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DD76A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DD76A9" w:rsidP="00DD76A9">
            <w:pPr>
              <w:jc w:val="right"/>
            </w:pPr>
            <w:r w:rsidRPr="00DD76A9">
              <w:rPr>
                <w:sz w:val="40"/>
              </w:rPr>
              <w:t>ECE</w:t>
            </w:r>
            <w:r>
              <w:t>/TRANS/WP.5/61</w:t>
            </w:r>
          </w:p>
        </w:tc>
      </w:tr>
      <w:tr w:rsidR="002D5AAC" w:rsidRPr="00252572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DD76A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DD76A9" w:rsidRDefault="00DD76A9" w:rsidP="00DD76A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June 2017</w:t>
            </w:r>
          </w:p>
          <w:p w:rsidR="00DD76A9" w:rsidRDefault="00DD76A9" w:rsidP="00DD76A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DD76A9" w:rsidRPr="008D53B6" w:rsidRDefault="00DD76A9" w:rsidP="00DD76A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DD76A9" w:rsidRPr="00910640" w:rsidRDefault="00DD76A9" w:rsidP="00910640">
      <w:pPr>
        <w:spacing w:before="120" w:after="120"/>
        <w:rPr>
          <w:bCs/>
          <w:sz w:val="28"/>
          <w:szCs w:val="28"/>
        </w:rPr>
      </w:pPr>
      <w:r w:rsidRPr="00910640">
        <w:rPr>
          <w:bCs/>
          <w:sz w:val="28"/>
          <w:szCs w:val="28"/>
        </w:rPr>
        <w:t>Комитет по внутреннему транспорту</w:t>
      </w:r>
    </w:p>
    <w:p w:rsidR="00DD76A9" w:rsidRPr="00910640" w:rsidRDefault="00DD76A9" w:rsidP="00910640">
      <w:pPr>
        <w:spacing w:after="120"/>
        <w:rPr>
          <w:b/>
          <w:bCs/>
          <w:sz w:val="24"/>
          <w:szCs w:val="24"/>
        </w:rPr>
      </w:pPr>
      <w:r w:rsidRPr="00910640">
        <w:rPr>
          <w:b/>
          <w:bCs/>
          <w:sz w:val="24"/>
          <w:szCs w:val="24"/>
        </w:rPr>
        <w:t xml:space="preserve">Рабочая группа по тенденциям </w:t>
      </w:r>
      <w:r w:rsidR="00C66EB7" w:rsidRPr="00C66EB7">
        <w:rPr>
          <w:b/>
          <w:bCs/>
          <w:sz w:val="24"/>
          <w:szCs w:val="24"/>
        </w:rPr>
        <w:br/>
      </w:r>
      <w:r w:rsidRPr="00910640">
        <w:rPr>
          <w:b/>
          <w:bCs/>
          <w:sz w:val="24"/>
          <w:szCs w:val="24"/>
        </w:rPr>
        <w:t>и экономике транспорта</w:t>
      </w:r>
    </w:p>
    <w:p w:rsidR="00DD76A9" w:rsidRPr="00DD76A9" w:rsidRDefault="00DD76A9" w:rsidP="00DD76A9">
      <w:pPr>
        <w:rPr>
          <w:b/>
          <w:bCs/>
        </w:rPr>
      </w:pPr>
      <w:r w:rsidRPr="00DD76A9">
        <w:rPr>
          <w:b/>
          <w:bCs/>
        </w:rPr>
        <w:t>Тридцатая сессия</w:t>
      </w:r>
    </w:p>
    <w:p w:rsidR="00DD76A9" w:rsidRPr="00DD76A9" w:rsidRDefault="00DD76A9" w:rsidP="00DD76A9">
      <w:r w:rsidRPr="00DD76A9">
        <w:t>Женева, 4–6 сентября 2017 года</w:t>
      </w:r>
    </w:p>
    <w:p w:rsidR="00DD76A9" w:rsidRPr="00DD76A9" w:rsidRDefault="00DD76A9" w:rsidP="00DD76A9">
      <w:r w:rsidRPr="00DD76A9">
        <w:t xml:space="preserve">Пункт 1 предварительной повестки дня </w:t>
      </w:r>
    </w:p>
    <w:p w:rsidR="00E12C5F" w:rsidRPr="00252572" w:rsidRDefault="00DD76A9" w:rsidP="00DD76A9">
      <w:pPr>
        <w:rPr>
          <w:b/>
          <w:bCs/>
        </w:rPr>
      </w:pPr>
      <w:r w:rsidRPr="00DD76A9">
        <w:rPr>
          <w:b/>
          <w:bCs/>
        </w:rPr>
        <w:t>Утверждение повестки дня</w:t>
      </w:r>
    </w:p>
    <w:p w:rsidR="00DD76A9" w:rsidRPr="00DD76A9" w:rsidRDefault="00DD76A9" w:rsidP="00910640">
      <w:pPr>
        <w:pStyle w:val="HChGR"/>
      </w:pPr>
      <w:r w:rsidRPr="00DD76A9">
        <w:tab/>
      </w:r>
      <w:r w:rsidRPr="00DD76A9">
        <w:tab/>
        <w:t>Аннотированная предварительная повестка дня тридцатой сессии</w:t>
      </w:r>
      <w:r w:rsidRPr="00910640">
        <w:rPr>
          <w:b w:val="0"/>
          <w:sz w:val="20"/>
          <w:vertAlign w:val="superscript"/>
        </w:rPr>
        <w:footnoteReference w:id="1"/>
      </w:r>
      <w:r w:rsidRPr="00910640">
        <w:rPr>
          <w:b w:val="0"/>
          <w:sz w:val="20"/>
          <w:vertAlign w:val="superscript"/>
        </w:rPr>
        <w:t>,</w:t>
      </w:r>
      <w:r w:rsidR="00910640" w:rsidRPr="00910640">
        <w:rPr>
          <w:b w:val="0"/>
          <w:sz w:val="20"/>
          <w:vertAlign w:val="superscript"/>
        </w:rPr>
        <w:t xml:space="preserve"> </w:t>
      </w:r>
      <w:r w:rsidRPr="00910640">
        <w:rPr>
          <w:b w:val="0"/>
          <w:sz w:val="20"/>
          <w:vertAlign w:val="superscript"/>
        </w:rPr>
        <w:footnoteReference w:id="2"/>
      </w:r>
      <w:r w:rsidRPr="00910640">
        <w:rPr>
          <w:b w:val="0"/>
        </w:rPr>
        <w:t>,</w:t>
      </w:r>
      <w:r w:rsidRPr="00DD76A9">
        <w:t xml:space="preserve"> </w:t>
      </w:r>
    </w:p>
    <w:p w:rsidR="00DD76A9" w:rsidRPr="00DD76A9" w:rsidRDefault="00DD76A9" w:rsidP="00910640">
      <w:pPr>
        <w:pStyle w:val="SingleTxtGR"/>
        <w:jc w:val="left"/>
      </w:pPr>
      <w:r w:rsidRPr="00DD76A9">
        <w:t xml:space="preserve">которая состоится во Дворце Наций в Женеве и откроется в 10 ч. 00 м. </w:t>
      </w:r>
      <w:r w:rsidR="00910640" w:rsidRPr="007C7E49">
        <w:br/>
      </w:r>
      <w:r w:rsidRPr="00DD76A9">
        <w:t>в понедельник, 4 сентября 2017 года, зал заседаний IX, Дворец Наций</w:t>
      </w:r>
    </w:p>
    <w:p w:rsidR="00DD76A9" w:rsidRPr="00DD76A9" w:rsidRDefault="00DD76A9" w:rsidP="00910640">
      <w:pPr>
        <w:pStyle w:val="HChGR"/>
      </w:pPr>
      <w:r w:rsidRPr="00DD76A9">
        <w:tab/>
        <w:t>I.</w:t>
      </w:r>
      <w:r w:rsidRPr="00DD76A9">
        <w:tab/>
        <w:t>Предварительная повестка дня</w:t>
      </w:r>
    </w:p>
    <w:p w:rsidR="00DD76A9" w:rsidRPr="00DD76A9" w:rsidRDefault="00DD76A9" w:rsidP="00DD76A9">
      <w:pPr>
        <w:pStyle w:val="SingleTxtGR"/>
      </w:pPr>
      <w:r w:rsidRPr="00DD76A9">
        <w:t>1.</w:t>
      </w:r>
      <w:r w:rsidRPr="00DD76A9">
        <w:tab/>
        <w:t>Утверждение повестки дня.</w:t>
      </w:r>
    </w:p>
    <w:p w:rsidR="00DD76A9" w:rsidRPr="00DD76A9" w:rsidRDefault="00DD76A9" w:rsidP="00910640">
      <w:pPr>
        <w:pStyle w:val="SingleTxtGR"/>
        <w:ind w:left="1701" w:hanging="567"/>
      </w:pPr>
      <w:r w:rsidRPr="00DD76A9">
        <w:t>2.</w:t>
      </w:r>
      <w:r w:rsidRPr="00DD76A9">
        <w:tab/>
        <w:t>Рабочее совещание на тему: «Коридоры транспортной инфраструктуры в Европе и Азии».</w:t>
      </w:r>
    </w:p>
    <w:p w:rsidR="00DD76A9" w:rsidRPr="00DD76A9" w:rsidRDefault="00DD76A9" w:rsidP="00910640">
      <w:pPr>
        <w:pStyle w:val="SingleTxtGR"/>
        <w:ind w:left="1701" w:hanging="567"/>
      </w:pPr>
      <w:r w:rsidRPr="00DD76A9">
        <w:t>3.</w:t>
      </w:r>
      <w:r w:rsidRPr="00DD76A9">
        <w:tab/>
        <w:t>Рабочее совещание на тему: «Мобильность как услуга».</w:t>
      </w:r>
    </w:p>
    <w:p w:rsidR="00DD76A9" w:rsidRPr="00DD76A9" w:rsidRDefault="00DD76A9" w:rsidP="00910640">
      <w:pPr>
        <w:pStyle w:val="SingleTxtGR"/>
        <w:ind w:left="1701" w:hanging="567"/>
      </w:pPr>
      <w:r w:rsidRPr="00DD76A9">
        <w:t>4.</w:t>
      </w:r>
      <w:r w:rsidRPr="00DD76A9">
        <w:tab/>
        <w:t>Транспортные связи между портами и внутренними регионами.</w:t>
      </w:r>
    </w:p>
    <w:p w:rsidR="00DD76A9" w:rsidRPr="00DD76A9" w:rsidRDefault="00DD76A9" w:rsidP="00910640">
      <w:pPr>
        <w:pStyle w:val="SingleTxtGR"/>
        <w:ind w:left="1701" w:hanging="567"/>
      </w:pPr>
      <w:r w:rsidRPr="00DD76A9">
        <w:t>5.</w:t>
      </w:r>
      <w:r w:rsidRPr="00DD76A9">
        <w:tab/>
        <w:t>Отслеживание изменений в общеевропейских транспортных сетях:</w:t>
      </w:r>
    </w:p>
    <w:p w:rsidR="00DD76A9" w:rsidRPr="00DD76A9" w:rsidRDefault="00DD76A9" w:rsidP="00910640">
      <w:pPr>
        <w:pStyle w:val="SingleTxtGR"/>
        <w:ind w:left="2268" w:hanging="567"/>
      </w:pPr>
      <w:r w:rsidRPr="00DD76A9">
        <w:lastRenderedPageBreak/>
        <w:t>a)</w:t>
      </w:r>
      <w:r w:rsidRPr="00DD76A9">
        <w:tab/>
        <w:t>краткое сообщение Европейской комиссии о ходе формирования Трансъевропейской транспортной сети;</w:t>
      </w:r>
    </w:p>
    <w:p w:rsidR="00DD76A9" w:rsidRPr="00DD76A9" w:rsidRDefault="00DD76A9" w:rsidP="00910640">
      <w:pPr>
        <w:pStyle w:val="SingleTxtGR"/>
        <w:ind w:left="2268" w:hanging="567"/>
      </w:pPr>
      <w:r w:rsidRPr="00DD76A9">
        <w:t>b)</w:t>
      </w:r>
      <w:r w:rsidRPr="00DD76A9">
        <w:tab/>
        <w:t>проекты Трансъевропейской автомагистрали и Трансъевропейской железнодорожной магистрали.</w:t>
      </w:r>
    </w:p>
    <w:p w:rsidR="00DD76A9" w:rsidRPr="00DD76A9" w:rsidRDefault="00DD76A9" w:rsidP="00910640">
      <w:pPr>
        <w:pStyle w:val="SingleTxtGR"/>
        <w:ind w:left="1701" w:hanging="567"/>
      </w:pPr>
      <w:r w:rsidRPr="00DD76A9">
        <w:t>6.</w:t>
      </w:r>
      <w:r w:rsidRPr="00DD76A9">
        <w:tab/>
        <w:t>Транспорт в Средиземноморском регионе:</w:t>
      </w:r>
    </w:p>
    <w:p w:rsidR="00DD76A9" w:rsidRPr="00DD76A9" w:rsidRDefault="00DD76A9" w:rsidP="00910640">
      <w:pPr>
        <w:pStyle w:val="SingleTxtGR"/>
        <w:ind w:left="2268" w:hanging="567"/>
      </w:pPr>
      <w:r w:rsidRPr="00DD76A9">
        <w:t>a)</w:t>
      </w:r>
      <w:r w:rsidRPr="00DD76A9">
        <w:tab/>
        <w:t>доклад Центра транспортных исследований для Средиземноморья;</w:t>
      </w:r>
    </w:p>
    <w:p w:rsidR="00DD76A9" w:rsidRPr="00DD76A9" w:rsidRDefault="00DD76A9" w:rsidP="00910640">
      <w:pPr>
        <w:pStyle w:val="SingleTxtGR"/>
        <w:ind w:left="2268" w:hanging="567"/>
      </w:pPr>
      <w:r w:rsidRPr="00DD76A9">
        <w:t>b)</w:t>
      </w:r>
      <w:r w:rsidRPr="00DD76A9">
        <w:tab/>
        <w:t>Евро-средиземноморская транспортная сеть;</w:t>
      </w:r>
    </w:p>
    <w:p w:rsidR="00DD76A9" w:rsidRPr="00DD76A9" w:rsidRDefault="00DD76A9" w:rsidP="00910640">
      <w:pPr>
        <w:pStyle w:val="SingleTxtGR"/>
        <w:ind w:left="2268" w:hanging="567"/>
      </w:pPr>
      <w:r w:rsidRPr="00DD76A9">
        <w:t>с)</w:t>
      </w:r>
      <w:r w:rsidRPr="00DD76A9">
        <w:tab/>
        <w:t>доклад Союза для Средиземноморья;</w:t>
      </w:r>
    </w:p>
    <w:p w:rsidR="00DD76A9" w:rsidRPr="00DD76A9" w:rsidRDefault="00DD76A9" w:rsidP="00910640">
      <w:pPr>
        <w:pStyle w:val="SingleTxtGR"/>
        <w:ind w:left="2268" w:hanging="567"/>
      </w:pPr>
      <w:r w:rsidRPr="00DD76A9">
        <w:t>d)</w:t>
      </w:r>
      <w:r w:rsidRPr="00DD76A9">
        <w:tab/>
        <w:t>проект постоянного сообщения между Европой и Африкой через Гибралтарский пролив: доклад о деятельности, осуществлявшейся в период 2015−2017 годов, и программа, предложенная на период 2017−2019 годов.</w:t>
      </w:r>
    </w:p>
    <w:p w:rsidR="00DD76A9" w:rsidRPr="00DD76A9" w:rsidRDefault="00DD76A9" w:rsidP="00910640">
      <w:pPr>
        <w:pStyle w:val="SingleTxtGR"/>
        <w:ind w:left="1701" w:hanging="567"/>
      </w:pPr>
      <w:r w:rsidRPr="00DD76A9">
        <w:t>7.</w:t>
      </w:r>
      <w:r w:rsidRPr="00DD76A9">
        <w:tab/>
        <w:t>Евро-азиатские транспортные связи:</w:t>
      </w:r>
    </w:p>
    <w:p w:rsidR="00DD76A9" w:rsidRPr="00DD76A9" w:rsidRDefault="00DD76A9" w:rsidP="00910640">
      <w:pPr>
        <w:pStyle w:val="SingleTxtGR"/>
        <w:ind w:left="2268" w:hanging="567"/>
      </w:pPr>
      <w:r w:rsidRPr="00DD76A9">
        <w:t>a)</w:t>
      </w:r>
      <w:r w:rsidRPr="00DD76A9">
        <w:tab/>
        <w:t>ход работы по евро-азиатским транспортным связям (ЕАТС);</w:t>
      </w:r>
    </w:p>
    <w:p w:rsidR="00DD76A9" w:rsidRPr="00DD76A9" w:rsidRDefault="00DD76A9" w:rsidP="00910640">
      <w:pPr>
        <w:pStyle w:val="SingleTxtGR"/>
        <w:ind w:left="2268" w:hanging="567"/>
      </w:pPr>
      <w:r w:rsidRPr="00DD76A9">
        <w:t>b)</w:t>
      </w:r>
      <w:r w:rsidRPr="00DD76A9">
        <w:tab/>
        <w:t>автотранспортные и железнодорожные коридоры в Европе и Азии;</w:t>
      </w:r>
    </w:p>
    <w:p w:rsidR="00DD76A9" w:rsidRPr="00DD76A9" w:rsidRDefault="00DD76A9" w:rsidP="00910640">
      <w:pPr>
        <w:pStyle w:val="SingleTxtGR"/>
        <w:ind w:left="2268" w:hanging="567"/>
      </w:pPr>
      <w:r w:rsidRPr="00DD76A9">
        <w:t>с)</w:t>
      </w:r>
      <w:r w:rsidRPr="00DD76A9">
        <w:tab/>
        <w:t>другие евро-азиатские транспортные инициативы.</w:t>
      </w:r>
    </w:p>
    <w:p w:rsidR="00DD76A9" w:rsidRPr="00DD76A9" w:rsidRDefault="00DD76A9" w:rsidP="00910640">
      <w:pPr>
        <w:pStyle w:val="SingleTxtGR"/>
        <w:ind w:left="1701" w:hanging="567"/>
      </w:pPr>
      <w:r w:rsidRPr="00DD76A9">
        <w:t>8.</w:t>
      </w:r>
      <w:r w:rsidRPr="00DD76A9">
        <w:tab/>
        <w:t>Группа экспертов по сопоставительному анализу затрат на строительство транспортной инфраструктуры.</w:t>
      </w:r>
    </w:p>
    <w:p w:rsidR="00DD76A9" w:rsidRPr="00DD76A9" w:rsidRDefault="00DD76A9" w:rsidP="00910640">
      <w:pPr>
        <w:pStyle w:val="SingleTxtGR"/>
        <w:ind w:left="1701" w:hanging="567"/>
      </w:pPr>
      <w:r w:rsidRPr="00DD76A9">
        <w:t>9.</w:t>
      </w:r>
      <w:r w:rsidRPr="00DD76A9">
        <w:tab/>
        <w:t>Городская мобильность и общественный транспорт: Общеевропейский генеральный план для велосипедного движения</w:t>
      </w:r>
      <w:r w:rsidR="00E37BD4">
        <w:t>.</w:t>
      </w:r>
    </w:p>
    <w:p w:rsidR="00DD76A9" w:rsidRPr="00DD76A9" w:rsidRDefault="00DD76A9" w:rsidP="00910640">
      <w:pPr>
        <w:pStyle w:val="SingleTxtGR"/>
        <w:ind w:left="1701" w:hanging="567"/>
      </w:pPr>
      <w:r w:rsidRPr="00DD76A9">
        <w:t>10.</w:t>
      </w:r>
      <w:r w:rsidRPr="00DD76A9">
        <w:tab/>
        <w:t>Изменение климата и транспорт:</w:t>
      </w:r>
    </w:p>
    <w:p w:rsidR="00DD76A9" w:rsidRPr="00DD76A9" w:rsidRDefault="00DD76A9" w:rsidP="00910640">
      <w:pPr>
        <w:pStyle w:val="SingleTxtGR"/>
        <w:ind w:left="2268" w:hanging="567"/>
      </w:pPr>
      <w:r w:rsidRPr="00DD76A9">
        <w:t>a)</w:t>
      </w:r>
      <w:r w:rsidRPr="00DD76A9">
        <w:tab/>
        <w:t>Группа экспертов по последствиям изменения климата для межд</w:t>
      </w:r>
      <w:r w:rsidRPr="00DD76A9">
        <w:t>у</w:t>
      </w:r>
      <w:r w:rsidRPr="00DD76A9">
        <w:t>народных транспортных сетей и узлов и адаптации к ним;</w:t>
      </w:r>
    </w:p>
    <w:p w:rsidR="00DD76A9" w:rsidRPr="00DD76A9" w:rsidRDefault="00DD76A9" w:rsidP="00910640">
      <w:pPr>
        <w:pStyle w:val="SingleTxtGR"/>
        <w:ind w:left="2268" w:hanging="567"/>
      </w:pPr>
      <w:r w:rsidRPr="00DD76A9">
        <w:t>b)</w:t>
      </w:r>
      <w:r w:rsidRPr="00DD76A9">
        <w:tab/>
        <w:t xml:space="preserve">смягчение последствий изменения климата: инструмент </w:t>
      </w:r>
      <w:r w:rsidR="00FA009A">
        <w:t>«</w:t>
      </w:r>
      <w:r w:rsidRPr="00DD76A9">
        <w:t>В интер</w:t>
      </w:r>
      <w:r w:rsidRPr="00DD76A9">
        <w:t>е</w:t>
      </w:r>
      <w:r w:rsidRPr="00DD76A9">
        <w:t>сах будущих систем внутреннего транспорта</w:t>
      </w:r>
      <w:r w:rsidR="00FA009A">
        <w:t>»</w:t>
      </w:r>
      <w:r w:rsidRPr="00DD76A9">
        <w:t xml:space="preserve"> Европейской экон</w:t>
      </w:r>
      <w:r w:rsidRPr="00DD76A9">
        <w:t>о</w:t>
      </w:r>
      <w:r w:rsidRPr="00DD76A9">
        <w:t>мической комиссии Организации Объединенных Наций.</w:t>
      </w:r>
    </w:p>
    <w:p w:rsidR="00DD76A9" w:rsidRPr="00DD76A9" w:rsidRDefault="00DD76A9" w:rsidP="00910640">
      <w:pPr>
        <w:pStyle w:val="SingleTxtGR"/>
        <w:ind w:left="1701" w:hanging="567"/>
      </w:pPr>
      <w:r w:rsidRPr="00DD76A9">
        <w:t>11.</w:t>
      </w:r>
      <w:r w:rsidRPr="00DD76A9">
        <w:tab/>
        <w:t>Обзор ситуации на транспорте, тенденций и экономики транспорта в р</w:t>
      </w:r>
      <w:r w:rsidRPr="00DD76A9">
        <w:t>е</w:t>
      </w:r>
      <w:r w:rsidRPr="00DD76A9">
        <w:t>гионе ЕЭК:</w:t>
      </w:r>
    </w:p>
    <w:p w:rsidR="00DD76A9" w:rsidRPr="00DD76A9" w:rsidRDefault="00DD76A9" w:rsidP="00910640">
      <w:pPr>
        <w:pStyle w:val="SingleTxtGR"/>
        <w:ind w:left="2268" w:hanging="567"/>
      </w:pPr>
      <w:r w:rsidRPr="00DD76A9">
        <w:t>a)</w:t>
      </w:r>
      <w:r w:rsidRPr="00DD76A9">
        <w:tab/>
        <w:t>тенденции и экономика транспорта в 2016–2017 годах: достижение целей устойчивого развития на основе развития устойчивого транспорта;</w:t>
      </w:r>
    </w:p>
    <w:p w:rsidR="00DD76A9" w:rsidRPr="00DD76A9" w:rsidRDefault="00DD76A9" w:rsidP="00910640">
      <w:pPr>
        <w:pStyle w:val="SingleTxtGR"/>
        <w:ind w:left="2268" w:hanging="567"/>
      </w:pPr>
      <w:r w:rsidRPr="00DD76A9">
        <w:t>b)</w:t>
      </w:r>
      <w:r w:rsidRPr="00DD76A9">
        <w:tab/>
        <w:t>тенденции и экономика транспорта в 2014–2015 годах: финансир</w:t>
      </w:r>
      <w:r w:rsidRPr="00DD76A9">
        <w:t>о</w:t>
      </w:r>
      <w:r w:rsidRPr="00DD76A9">
        <w:t>вание транспортной инфраструктуры;</w:t>
      </w:r>
    </w:p>
    <w:p w:rsidR="00DD76A9" w:rsidRPr="00DD76A9" w:rsidRDefault="00DD76A9" w:rsidP="00910640">
      <w:pPr>
        <w:pStyle w:val="SingleTxtGR"/>
        <w:ind w:left="2268" w:hanging="567"/>
      </w:pPr>
      <w:r w:rsidRPr="00DD76A9">
        <w:t>с)</w:t>
      </w:r>
      <w:r w:rsidRPr="00DD76A9">
        <w:tab/>
        <w:t>транспортные тенденции и вызовы в автомобильном секторе;</w:t>
      </w:r>
    </w:p>
    <w:p w:rsidR="00DD76A9" w:rsidRPr="00DD76A9" w:rsidRDefault="00DD76A9" w:rsidP="00910640">
      <w:pPr>
        <w:pStyle w:val="SingleTxtGR"/>
        <w:ind w:left="2268" w:hanging="567"/>
      </w:pPr>
      <w:r w:rsidRPr="00DD76A9">
        <w:t>d)</w:t>
      </w:r>
      <w:r w:rsidRPr="00DD76A9">
        <w:tab/>
        <w:t>транспортные тенденции и вызовы в железнодорожном секторе;</w:t>
      </w:r>
    </w:p>
    <w:p w:rsidR="00DD76A9" w:rsidRPr="00DD76A9" w:rsidRDefault="00DD76A9" w:rsidP="00910640">
      <w:pPr>
        <w:pStyle w:val="SingleTxtGR"/>
        <w:ind w:left="2268" w:hanging="567"/>
      </w:pPr>
      <w:r w:rsidRPr="00DD76A9">
        <w:t>e)</w:t>
      </w:r>
      <w:r w:rsidRPr="00DD76A9">
        <w:tab/>
        <w:t>транспортные тенденции и вызовы в секторе внутренних водных путей;</w:t>
      </w:r>
    </w:p>
    <w:p w:rsidR="00DD76A9" w:rsidRPr="00DD76A9" w:rsidRDefault="00DD76A9" w:rsidP="00910640">
      <w:pPr>
        <w:pStyle w:val="SingleTxtGR"/>
        <w:ind w:left="2268" w:hanging="567"/>
      </w:pPr>
      <w:r w:rsidRPr="00DD76A9">
        <w:t>f)</w:t>
      </w:r>
      <w:r w:rsidRPr="00DD76A9">
        <w:tab/>
        <w:t>анализ статистики транспорта ЕЭК ООН.</w:t>
      </w:r>
    </w:p>
    <w:p w:rsidR="00DD76A9" w:rsidRPr="00DD76A9" w:rsidRDefault="00DD76A9" w:rsidP="00910640">
      <w:pPr>
        <w:pStyle w:val="SingleTxtGR"/>
        <w:ind w:left="1701" w:hanging="567"/>
      </w:pPr>
      <w:r w:rsidRPr="00DD76A9">
        <w:t>12.</w:t>
      </w:r>
      <w:r w:rsidRPr="00DD76A9">
        <w:tab/>
        <w:t>Техническая помощь странам с переходной экономикой.</w:t>
      </w:r>
    </w:p>
    <w:p w:rsidR="00DD76A9" w:rsidRPr="00DD76A9" w:rsidRDefault="00DD76A9" w:rsidP="00910640">
      <w:pPr>
        <w:pStyle w:val="SingleTxtGR"/>
        <w:ind w:left="1701" w:hanging="567"/>
      </w:pPr>
      <w:r w:rsidRPr="00DD76A9">
        <w:t>13.</w:t>
      </w:r>
      <w:r w:rsidRPr="00DD76A9">
        <w:tab/>
        <w:t>Деятельность органов Европейской экономической комиссии Организ</w:t>
      </w:r>
      <w:r w:rsidRPr="00DD76A9">
        <w:t>а</w:t>
      </w:r>
      <w:r w:rsidRPr="00DD76A9">
        <w:t>ции Объединенных Наций, представляющая интерес для Рабочей группы.</w:t>
      </w:r>
    </w:p>
    <w:p w:rsidR="00DD76A9" w:rsidRPr="00DD76A9" w:rsidRDefault="00DD76A9" w:rsidP="00910640">
      <w:pPr>
        <w:pStyle w:val="SingleTxtGR"/>
        <w:ind w:left="1701" w:hanging="567"/>
      </w:pPr>
      <w:r w:rsidRPr="00DD76A9">
        <w:t>14.</w:t>
      </w:r>
      <w:r w:rsidRPr="00DD76A9">
        <w:tab/>
        <w:t>Программа работы, двухгодичная оценка на 2018−2019 годы и план раб</w:t>
      </w:r>
      <w:r w:rsidRPr="00DD76A9">
        <w:t>о</w:t>
      </w:r>
      <w:r w:rsidRPr="00DD76A9">
        <w:t>ты на 2018−2022 годы:</w:t>
      </w:r>
    </w:p>
    <w:p w:rsidR="00DD76A9" w:rsidRPr="00DD76A9" w:rsidRDefault="00DD76A9" w:rsidP="008F376C">
      <w:pPr>
        <w:pStyle w:val="SingleTxtGR"/>
        <w:ind w:left="2268" w:hanging="567"/>
      </w:pPr>
      <w:r w:rsidRPr="00DD76A9">
        <w:t>a)</w:t>
      </w:r>
      <w:r w:rsidRPr="00DD76A9">
        <w:tab/>
        <w:t>проект программы работы и двухгодичная оценка на 2018–2019 г</w:t>
      </w:r>
      <w:r w:rsidRPr="00DD76A9">
        <w:t>о</w:t>
      </w:r>
      <w:r w:rsidRPr="00DD76A9">
        <w:t>ды;</w:t>
      </w:r>
    </w:p>
    <w:p w:rsidR="00DD76A9" w:rsidRPr="00DD76A9" w:rsidRDefault="00DD76A9" w:rsidP="008F376C">
      <w:pPr>
        <w:pStyle w:val="SingleTxtGR"/>
        <w:ind w:left="2268" w:hanging="567"/>
      </w:pPr>
      <w:r w:rsidRPr="00DD76A9">
        <w:t>b)</w:t>
      </w:r>
      <w:r w:rsidRPr="00DD76A9">
        <w:tab/>
        <w:t>проект плана работы на 2018−2022 годы.</w:t>
      </w:r>
    </w:p>
    <w:p w:rsidR="00DD76A9" w:rsidRPr="00DD76A9" w:rsidRDefault="00DD76A9" w:rsidP="00FA009A">
      <w:pPr>
        <w:pStyle w:val="SingleTxtGR"/>
        <w:pageBreakBefore/>
        <w:ind w:left="1701" w:hanging="567"/>
      </w:pPr>
      <w:r w:rsidRPr="00DD76A9">
        <w:lastRenderedPageBreak/>
        <w:t>15.</w:t>
      </w:r>
      <w:r w:rsidRPr="00DD76A9">
        <w:tab/>
        <w:t>Прочие вопросы.</w:t>
      </w:r>
    </w:p>
    <w:p w:rsidR="00DD76A9" w:rsidRPr="00DD76A9" w:rsidRDefault="00DD76A9" w:rsidP="00910640">
      <w:pPr>
        <w:pStyle w:val="SingleTxtGR"/>
        <w:ind w:left="1701" w:hanging="567"/>
      </w:pPr>
      <w:r w:rsidRPr="00DD76A9">
        <w:t>16.</w:t>
      </w:r>
      <w:r w:rsidRPr="00DD76A9">
        <w:tab/>
        <w:t>Сроки проведения следующей сессии.</w:t>
      </w:r>
    </w:p>
    <w:p w:rsidR="00DD76A9" w:rsidRPr="00DD76A9" w:rsidRDefault="00DD76A9" w:rsidP="00910640">
      <w:pPr>
        <w:pStyle w:val="SingleTxtGR"/>
        <w:ind w:left="1701" w:hanging="567"/>
      </w:pPr>
      <w:r w:rsidRPr="00DD76A9">
        <w:t>17.</w:t>
      </w:r>
      <w:r w:rsidRPr="00DD76A9">
        <w:tab/>
        <w:t>Утверждение основных решений.</w:t>
      </w:r>
    </w:p>
    <w:p w:rsidR="00DD76A9" w:rsidRPr="00DD76A9" w:rsidRDefault="00DD76A9" w:rsidP="008F376C">
      <w:pPr>
        <w:pStyle w:val="HChGR"/>
      </w:pPr>
      <w:r w:rsidRPr="00DD76A9">
        <w:tab/>
        <w:t>II.</w:t>
      </w:r>
      <w:r w:rsidRPr="00DD76A9">
        <w:tab/>
        <w:t>Аннотации</w:t>
      </w:r>
    </w:p>
    <w:p w:rsidR="00DD76A9" w:rsidRPr="00DD76A9" w:rsidRDefault="00DD76A9" w:rsidP="008F376C">
      <w:pPr>
        <w:pStyle w:val="H1GR"/>
      </w:pPr>
      <w:r w:rsidRPr="00DD76A9">
        <w:tab/>
        <w:t>1.</w:t>
      </w:r>
      <w:r w:rsidRPr="00DD76A9">
        <w:tab/>
        <w:t>Утверждение повестки дня</w:t>
      </w:r>
    </w:p>
    <w:p w:rsidR="00DD76A9" w:rsidRPr="00DD76A9" w:rsidRDefault="00DD76A9" w:rsidP="00DD76A9">
      <w:pPr>
        <w:pStyle w:val="SingleTxtGR"/>
      </w:pPr>
      <w:r w:rsidRPr="00DD76A9">
        <w:tab/>
        <w:t>В соответствии с правилами процедуры Комиссии первым пунктом пре</w:t>
      </w:r>
      <w:r w:rsidRPr="00DD76A9">
        <w:t>д</w:t>
      </w:r>
      <w:r w:rsidRPr="00DD76A9">
        <w:t>варительной повестки дня является ее утверждение.</w:t>
      </w:r>
    </w:p>
    <w:p w:rsidR="00DD76A9" w:rsidRPr="00DD76A9" w:rsidRDefault="00DD76A9" w:rsidP="00DD76A9">
      <w:pPr>
        <w:pStyle w:val="SingleTxtGR"/>
        <w:rPr>
          <w:b/>
          <w:bCs/>
        </w:rPr>
      </w:pPr>
      <w:r w:rsidRPr="00DD76A9">
        <w:rPr>
          <w:b/>
          <w:bCs/>
        </w:rPr>
        <w:t>Документация</w:t>
      </w:r>
    </w:p>
    <w:p w:rsidR="00DD76A9" w:rsidRPr="00DD76A9" w:rsidRDefault="00DD76A9" w:rsidP="00DD76A9">
      <w:pPr>
        <w:pStyle w:val="SingleTxtGR"/>
      </w:pPr>
      <w:r w:rsidRPr="00DD76A9">
        <w:t>ECE/TRANS/WP.5/61</w:t>
      </w:r>
    </w:p>
    <w:p w:rsidR="00DD76A9" w:rsidRPr="00DD76A9" w:rsidRDefault="00DD76A9" w:rsidP="008F376C">
      <w:pPr>
        <w:pStyle w:val="H1GR"/>
      </w:pPr>
      <w:r w:rsidRPr="00DD76A9">
        <w:tab/>
        <w:t>2.</w:t>
      </w:r>
      <w:r w:rsidRPr="00DD76A9">
        <w:tab/>
        <w:t xml:space="preserve">Рабочее совещание на тему: </w:t>
      </w:r>
      <w:r w:rsidR="00FA009A">
        <w:t>«</w:t>
      </w:r>
      <w:r w:rsidRPr="00DD76A9">
        <w:t>Коридоры транспортной инфраструктуры в Европе и Азии</w:t>
      </w:r>
      <w:r w:rsidR="00FA009A">
        <w:t>»</w:t>
      </w:r>
    </w:p>
    <w:p w:rsidR="00DD76A9" w:rsidRPr="00DD76A9" w:rsidRDefault="00DD76A9" w:rsidP="00DD76A9">
      <w:pPr>
        <w:pStyle w:val="SingleTxtGR"/>
      </w:pPr>
      <w:r w:rsidRPr="00DD76A9">
        <w:tab/>
        <w:t xml:space="preserve">В ходе своей двадцать восьмой сессии (Женева, 7–9 сентября 2015 года) Рабочая группа по тенденциям и экономике транспорта организовала рабочее совещание на тему: </w:t>
      </w:r>
      <w:r w:rsidR="00FA009A">
        <w:t>«</w:t>
      </w:r>
      <w:r w:rsidRPr="00DD76A9">
        <w:t>Автотранспортные и железнодорожные коридоры в Евр</w:t>
      </w:r>
      <w:r w:rsidRPr="00DD76A9">
        <w:t>о</w:t>
      </w:r>
      <w:r w:rsidRPr="00DD76A9">
        <w:t>пе и Азии</w:t>
      </w:r>
      <w:r w:rsidR="00FA009A">
        <w:t>»</w:t>
      </w:r>
      <w:r w:rsidRPr="00DD76A9">
        <w:t>. На этом рабочем совещании присутствовали представители всех существующих и действующих инициатив по развитию транспортных корид</w:t>
      </w:r>
      <w:r w:rsidRPr="00DD76A9">
        <w:t>о</w:t>
      </w:r>
      <w:r w:rsidRPr="00DD76A9">
        <w:t>ров между Европой и Азией. Участники согласились с тем, что, несмотря на многочисленные нынешние инициативы по развитию транспортных коридоров в Европе и Азии, сотрудничество между этими инициативами очень незнач</w:t>
      </w:r>
      <w:r w:rsidRPr="00DD76A9">
        <w:t>и</w:t>
      </w:r>
      <w:r w:rsidRPr="00DD76A9">
        <w:t xml:space="preserve">тельно либо отсутствует вообще, и просили секретариат подготовить на основе полученных материалов официальный документ, в том числе с предложениями относительно возможных будущих мер для принятия Рабочей группой. </w:t>
      </w:r>
    </w:p>
    <w:p w:rsidR="00DD76A9" w:rsidRPr="00DD76A9" w:rsidRDefault="00DD76A9" w:rsidP="00DD76A9">
      <w:pPr>
        <w:pStyle w:val="SingleTxtGR"/>
      </w:pPr>
      <w:r w:rsidRPr="00DD76A9">
        <w:tab/>
        <w:t>В ходе своей двадцать девятой сессии (Женева, 5–7 сентября 2016 года) Рабочая группа одобрила создание центра мониторинга транспортной инфр</w:t>
      </w:r>
      <w:r w:rsidRPr="00DD76A9">
        <w:t>а</w:t>
      </w:r>
      <w:r w:rsidRPr="00DD76A9">
        <w:t>структуры в Европе и Азии, который должен охватывать все существующие инициативы в области развития транспортной инфраструктуры на Европейском и Азиатском континентах. Кроме того, Рабочая группа поручила секретариату изучить возможности организации на ее следующей сессии рабочего совещания для стимулирования взаимодействия между различными инициативами по ра</w:t>
      </w:r>
      <w:r w:rsidRPr="00DD76A9">
        <w:t>з</w:t>
      </w:r>
      <w:r w:rsidRPr="00DD76A9">
        <w:t xml:space="preserve">витию транспортных коридоров в Европе и Азии. </w:t>
      </w:r>
    </w:p>
    <w:p w:rsidR="00DD76A9" w:rsidRPr="00DD76A9" w:rsidRDefault="00DD76A9" w:rsidP="00DD76A9">
      <w:pPr>
        <w:pStyle w:val="SingleTxtGR"/>
      </w:pPr>
      <w:r w:rsidRPr="00DD76A9">
        <w:tab/>
        <w:t>На этом рабочем совещании представители различных инициатив и пр</w:t>
      </w:r>
      <w:r w:rsidRPr="00DD76A9">
        <w:t>о</w:t>
      </w:r>
      <w:r w:rsidRPr="00DD76A9">
        <w:t>ектов (программа рабочего совещания содержится в неофициальном докуме</w:t>
      </w:r>
      <w:r w:rsidRPr="00DD76A9">
        <w:t>н</w:t>
      </w:r>
      <w:r w:rsidRPr="00DD76A9">
        <w:t>те</w:t>
      </w:r>
      <w:r w:rsidR="00CF5F01">
        <w:t> </w:t>
      </w:r>
      <w:r w:rsidRPr="00DD76A9">
        <w:t>№ 1) по развитию коридоров в Европе и Азии, а также эксперты от междун</w:t>
      </w:r>
      <w:r w:rsidRPr="00DD76A9">
        <w:t>а</w:t>
      </w:r>
      <w:r w:rsidRPr="00DD76A9">
        <w:t>родных финансовых учреждений будут иметь возможность проинформировать и обменяться мнениями о предметных исследованиях и оптимальной практике развития коридоров и принять участие в обсуждениях по вопросам укрепления сотрудничества и достижения общих результатов. Кроме того, участники будут иметь возможность обсудить принципы, на которые должен опираться центр мониторинга транспортной инфраструктуры в своей работе по содействию с</w:t>
      </w:r>
      <w:r w:rsidRPr="00DD76A9">
        <w:t>о</w:t>
      </w:r>
      <w:r w:rsidRPr="00DD76A9">
        <w:t xml:space="preserve">трудничеству между различными инициативами. </w:t>
      </w:r>
    </w:p>
    <w:p w:rsidR="00DD76A9" w:rsidRPr="00DD76A9" w:rsidRDefault="00DD76A9" w:rsidP="00DD76A9">
      <w:pPr>
        <w:pStyle w:val="SingleTxtGR"/>
      </w:pPr>
      <w:r w:rsidRPr="00DD76A9">
        <w:tab/>
        <w:t>Рабочая группа, возможно, пожелает заслушать сообщения приглаше</w:t>
      </w:r>
      <w:r w:rsidRPr="00DD76A9">
        <w:t>н</w:t>
      </w:r>
      <w:r w:rsidRPr="00DD76A9">
        <w:t>ных экспертов. Она, возможно, пожелает рассмотреть, обсудить и принять з</w:t>
      </w:r>
      <w:r w:rsidRPr="00DD76A9">
        <w:t>а</w:t>
      </w:r>
      <w:r w:rsidRPr="00DD76A9">
        <w:t>ключительные замечания на основе представленных сообщений и их послед</w:t>
      </w:r>
      <w:r w:rsidRPr="00DD76A9">
        <w:t>у</w:t>
      </w:r>
      <w:r w:rsidRPr="00DD76A9">
        <w:t>ющего обсуждения участниками рабочего совещания.</w:t>
      </w:r>
    </w:p>
    <w:p w:rsidR="00DD76A9" w:rsidRPr="00DD76A9" w:rsidRDefault="00DD76A9" w:rsidP="00DD76A9">
      <w:pPr>
        <w:pStyle w:val="SingleTxtGR"/>
        <w:rPr>
          <w:b/>
          <w:bCs/>
        </w:rPr>
      </w:pPr>
      <w:r w:rsidRPr="00DD76A9">
        <w:rPr>
          <w:b/>
          <w:bCs/>
        </w:rPr>
        <w:t>Документация</w:t>
      </w:r>
    </w:p>
    <w:p w:rsidR="00DD76A9" w:rsidRPr="00DD76A9" w:rsidRDefault="00DD76A9" w:rsidP="00DD76A9">
      <w:pPr>
        <w:pStyle w:val="SingleTxtGR"/>
      </w:pPr>
      <w:r w:rsidRPr="00DD76A9">
        <w:t xml:space="preserve">неофициальный документ № 1 </w:t>
      </w:r>
    </w:p>
    <w:p w:rsidR="00DD76A9" w:rsidRPr="00DD76A9" w:rsidRDefault="00DD76A9" w:rsidP="008F376C">
      <w:pPr>
        <w:pStyle w:val="H1GR"/>
      </w:pPr>
      <w:r w:rsidRPr="00DD76A9">
        <w:tab/>
        <w:t>3.</w:t>
      </w:r>
      <w:r w:rsidRPr="00DD76A9">
        <w:tab/>
        <w:t xml:space="preserve">Рабочее совещание на тему: </w:t>
      </w:r>
      <w:r w:rsidR="00FA009A">
        <w:t>«</w:t>
      </w:r>
      <w:r w:rsidRPr="00DD76A9">
        <w:t>Мобильность как услуга</w:t>
      </w:r>
      <w:r w:rsidR="00FA009A">
        <w:t>»</w:t>
      </w:r>
    </w:p>
    <w:p w:rsidR="00DD76A9" w:rsidRPr="00DD76A9" w:rsidRDefault="00DD76A9" w:rsidP="00DD76A9">
      <w:pPr>
        <w:pStyle w:val="SingleTxtGR"/>
      </w:pPr>
      <w:r w:rsidRPr="00DD76A9">
        <w:tab/>
        <w:t>В ходе обсуждения транспортных тенденций и вызовов в автомобильном секторе на своей двадцать девятой сессии (Женева, 5–7 сентября 2016 года) Р</w:t>
      </w:r>
      <w:r w:rsidRPr="00DD76A9">
        <w:t>а</w:t>
      </w:r>
      <w:r w:rsidRPr="00DD76A9">
        <w:t>бочая группа просила секретариат организовать на ее следующей сессии раб</w:t>
      </w:r>
      <w:r w:rsidRPr="00DD76A9">
        <w:t>о</w:t>
      </w:r>
      <w:r w:rsidRPr="00DD76A9">
        <w:t xml:space="preserve">чее совещание на тему: </w:t>
      </w:r>
      <w:r w:rsidR="00FA009A">
        <w:t>«</w:t>
      </w:r>
      <w:r w:rsidRPr="00DD76A9">
        <w:t>Мобильность как услуга</w:t>
      </w:r>
      <w:r w:rsidR="00FA009A">
        <w:t>»</w:t>
      </w:r>
      <w:r w:rsidRPr="00DD76A9">
        <w:t>.</w:t>
      </w:r>
    </w:p>
    <w:p w:rsidR="00DD76A9" w:rsidRPr="00DD76A9" w:rsidRDefault="00DD76A9" w:rsidP="00DD76A9">
      <w:pPr>
        <w:pStyle w:val="SingleTxtGR"/>
      </w:pPr>
      <w:r w:rsidRPr="00DD76A9">
        <w:tab/>
        <w:t>По мере того как все больше городов мира страдают от перегруженности и загрязненности, появляются новые бизнес-модели и технологии для решения проблем, связанных с обеспечением мобильности. В 2014 году глобальные и</w:t>
      </w:r>
      <w:r w:rsidRPr="00DD76A9">
        <w:t>н</w:t>
      </w:r>
      <w:r w:rsidRPr="00DD76A9">
        <w:t>вестиции венчурного капитала в услуги мобильности превысили 5 млрд</w:t>
      </w:r>
      <w:r w:rsidR="00CF5F01">
        <w:t>.</w:t>
      </w:r>
      <w:r w:rsidRPr="00DD76A9">
        <w:t xml:space="preserve"> долл. США, продемонстрировав значительный рост по сравнению с 2009 годом, когда их объем составил менее 10 млн</w:t>
      </w:r>
      <w:r w:rsidR="00CF5F01">
        <w:t>.</w:t>
      </w:r>
      <w:r w:rsidRPr="00DD76A9">
        <w:t xml:space="preserve"> долл. США. Помимо компании </w:t>
      </w:r>
      <w:r w:rsidR="00FA009A">
        <w:t>«</w:t>
      </w:r>
      <w:r w:rsidRPr="00DD76A9">
        <w:t>Убер</w:t>
      </w:r>
      <w:r w:rsidR="00FA009A">
        <w:t>»</w:t>
      </w:r>
      <w:r w:rsidRPr="00DD76A9">
        <w:t xml:space="preserve">, здесь можно назвать китайскую компанию </w:t>
      </w:r>
      <w:r w:rsidR="00FA009A">
        <w:t>«</w:t>
      </w:r>
      <w:r w:rsidRPr="00DD76A9">
        <w:t>Диди Дачэ</w:t>
      </w:r>
      <w:r w:rsidR="00FA009A">
        <w:t>»</w:t>
      </w:r>
      <w:r w:rsidRPr="00DD76A9">
        <w:t>, которая насчитывает более 100 млн</w:t>
      </w:r>
      <w:r w:rsidR="00D47D0F">
        <w:t>.</w:t>
      </w:r>
      <w:r w:rsidRPr="00DD76A9">
        <w:t xml:space="preserve"> пользователей в 300 городах и выручила более 800 млн</w:t>
      </w:r>
      <w:r w:rsidR="00D47D0F">
        <w:t>.</w:t>
      </w:r>
      <w:r w:rsidRPr="00DD76A9">
        <w:t xml:space="preserve"> долл. США, а также компанию </w:t>
      </w:r>
      <w:r w:rsidR="00FA009A">
        <w:t>«</w:t>
      </w:r>
      <w:r w:rsidRPr="00DD76A9">
        <w:t>Ола</w:t>
      </w:r>
      <w:r w:rsidR="00FA009A">
        <w:t>»</w:t>
      </w:r>
      <w:r w:rsidRPr="00DD76A9">
        <w:t> – крупнейшую компанию Индии в сфере онлайн-услуг такси, – которая на сегодняшний день выручила 677 млн</w:t>
      </w:r>
      <w:r w:rsidR="00E23C6B">
        <w:t>.</w:t>
      </w:r>
      <w:r w:rsidRPr="00DD76A9">
        <w:t xml:space="preserve"> долл. США (по да</w:t>
      </w:r>
      <w:r w:rsidRPr="00DD76A9">
        <w:t>н</w:t>
      </w:r>
      <w:r w:rsidRPr="00DD76A9">
        <w:t xml:space="preserve">ным компании </w:t>
      </w:r>
      <w:r w:rsidR="00FA009A">
        <w:t>«</w:t>
      </w:r>
      <w:r w:rsidRPr="00DD76A9">
        <w:t>Маккинзи энд кампани</w:t>
      </w:r>
      <w:r w:rsidR="00FA009A">
        <w:t>»</w:t>
      </w:r>
      <w:r w:rsidRPr="00DD76A9">
        <w:t xml:space="preserve"> за 2017 год). </w:t>
      </w:r>
    </w:p>
    <w:p w:rsidR="00DD76A9" w:rsidRPr="00DD76A9" w:rsidRDefault="00DD76A9" w:rsidP="00DD76A9">
      <w:pPr>
        <w:pStyle w:val="SingleTxtGR"/>
      </w:pPr>
      <w:r w:rsidRPr="00DD76A9">
        <w:tab/>
        <w:t>Рабочая группа, возможно, пожелает заслушать сообщения приглаше</w:t>
      </w:r>
      <w:r w:rsidRPr="00DD76A9">
        <w:t>н</w:t>
      </w:r>
      <w:r w:rsidRPr="00DD76A9">
        <w:t>ных экспертов. Она, возможно, пожелает также рассмотреть, обсудить и пр</w:t>
      </w:r>
      <w:r w:rsidRPr="00DD76A9">
        <w:t>и</w:t>
      </w:r>
      <w:r w:rsidRPr="00DD76A9">
        <w:t>нять заключительные замечания на основе представленных сообщений и их п</w:t>
      </w:r>
      <w:r w:rsidRPr="00DD76A9">
        <w:t>о</w:t>
      </w:r>
      <w:r w:rsidRPr="00DD76A9">
        <w:t>следующего обсуждения участниками рабочего совещания (программа рабочего совещания содержится в неофициальном документе № 2).</w:t>
      </w:r>
    </w:p>
    <w:p w:rsidR="00DD76A9" w:rsidRPr="008F376C" w:rsidRDefault="00DD76A9" w:rsidP="008F376C">
      <w:pPr>
        <w:pStyle w:val="SingleTxtGR"/>
        <w:rPr>
          <w:b/>
        </w:rPr>
      </w:pPr>
      <w:r w:rsidRPr="008F376C">
        <w:rPr>
          <w:b/>
        </w:rPr>
        <w:t xml:space="preserve">Документация </w:t>
      </w:r>
    </w:p>
    <w:p w:rsidR="00DD76A9" w:rsidRPr="00DD76A9" w:rsidRDefault="00DD76A9" w:rsidP="00DD76A9">
      <w:pPr>
        <w:pStyle w:val="SingleTxtGR"/>
      </w:pPr>
      <w:r w:rsidRPr="00DD76A9">
        <w:t>неофициальный документ № 2</w:t>
      </w:r>
    </w:p>
    <w:p w:rsidR="00DD76A9" w:rsidRPr="00DD76A9" w:rsidRDefault="00DD76A9" w:rsidP="008F376C">
      <w:pPr>
        <w:pStyle w:val="H1GR"/>
      </w:pPr>
      <w:r w:rsidRPr="00DD76A9">
        <w:tab/>
        <w:t>4.</w:t>
      </w:r>
      <w:r w:rsidRPr="00DD76A9">
        <w:tab/>
        <w:t>Транспортные связи между портами и внутренними регионами</w:t>
      </w:r>
    </w:p>
    <w:p w:rsidR="00DD76A9" w:rsidRPr="00DD76A9" w:rsidRDefault="00DD76A9" w:rsidP="00DD76A9">
      <w:pPr>
        <w:pStyle w:val="SingleTxtGR"/>
      </w:pPr>
      <w:r w:rsidRPr="00DD76A9">
        <w:tab/>
        <w:t>Рабочая группа, возможно, пожелает напомнить, что на своей двадцать восьмой сессии (Женева, 7–9 сентября 2015 года) она приняла к сведению и</w:t>
      </w:r>
      <w:r w:rsidRPr="00DD76A9">
        <w:t>н</w:t>
      </w:r>
      <w:r w:rsidRPr="00DD76A9">
        <w:t>формацию о платформе мониторинга связей между портами и внутренними районами, разработанной программой Средиземноморской сети (</w:t>
      </w:r>
      <w:r w:rsidR="00FA009A">
        <w:t>«</w:t>
      </w:r>
      <w:r w:rsidRPr="00DD76A9">
        <w:t>МедНет</w:t>
      </w:r>
      <w:r w:rsidR="00FA009A">
        <w:t>»</w:t>
      </w:r>
      <w:r w:rsidRPr="00DD76A9">
        <w:t>) (ECE/TRANS/WP.5/2015/3). Она отметила также, что секретариат уже получил от представителей этого проекта неофициальное приглашение взять на себя размещение платформы мониторинга связей между портами и внутренними районами, ее обслуживание и дальнейшее распространение на все страны ЕЭК ООН. Кроме того, в ходе своей предыдущей сессии (Женева, 5–7 сентября 2016</w:t>
      </w:r>
      <w:r w:rsidR="008B26C0">
        <w:t> </w:t>
      </w:r>
      <w:r w:rsidRPr="00DD76A9">
        <w:t>года) члены Рабочей группы согласились с тем, что следует исключить в</w:t>
      </w:r>
      <w:r w:rsidRPr="00DD76A9">
        <w:t>е</w:t>
      </w:r>
      <w:r w:rsidRPr="00DD76A9">
        <w:t>роятность любых дополнительных издержек и обеспечить функционирование этой платформы мониторинга на основе принципа самоокупаемости. Это озн</w:t>
      </w:r>
      <w:r w:rsidRPr="00DD76A9">
        <w:t>а</w:t>
      </w:r>
      <w:r w:rsidRPr="00DD76A9">
        <w:t>чает, что за ввод и обновление любой информации, предоставляемой в рамках данной системы, будут отвечать правительственные эксперты. Кроме того, се</w:t>
      </w:r>
      <w:r w:rsidRPr="00DD76A9">
        <w:t>к</w:t>
      </w:r>
      <w:r w:rsidRPr="00DD76A9">
        <w:t>ретариат сообщил, что пока от проекта Средиземноморской сети никаких оф</w:t>
      </w:r>
      <w:r w:rsidRPr="00DD76A9">
        <w:t>и</w:t>
      </w:r>
      <w:r w:rsidRPr="00DD76A9">
        <w:t>циальных сообщений не поступило.</w:t>
      </w:r>
    </w:p>
    <w:p w:rsidR="00DD76A9" w:rsidRPr="00DD76A9" w:rsidRDefault="00DD76A9" w:rsidP="00DD76A9">
      <w:pPr>
        <w:pStyle w:val="SingleTxtGR"/>
      </w:pPr>
      <w:r w:rsidRPr="00DD76A9">
        <w:tab/>
        <w:t>Рабочая группа, возможно, пожелает заслушать информацию секретари</w:t>
      </w:r>
      <w:r w:rsidRPr="00DD76A9">
        <w:t>а</w:t>
      </w:r>
      <w:r w:rsidRPr="00DD76A9">
        <w:t xml:space="preserve">та о любых последних изменениях в этой области. </w:t>
      </w:r>
    </w:p>
    <w:p w:rsidR="00DD76A9" w:rsidRPr="008F376C" w:rsidRDefault="00DD76A9" w:rsidP="008F376C">
      <w:pPr>
        <w:pStyle w:val="SingleTxtGR"/>
        <w:rPr>
          <w:b/>
        </w:rPr>
      </w:pPr>
      <w:r w:rsidRPr="008F376C">
        <w:rPr>
          <w:b/>
        </w:rPr>
        <w:t>Документация</w:t>
      </w:r>
    </w:p>
    <w:p w:rsidR="00DD76A9" w:rsidRPr="00DD76A9" w:rsidRDefault="00DD76A9" w:rsidP="00DD76A9">
      <w:pPr>
        <w:pStyle w:val="SingleTxtGR"/>
      </w:pPr>
      <w:r w:rsidRPr="00DD76A9">
        <w:t>ECE/TRANS/WP.5/2015/3</w:t>
      </w:r>
    </w:p>
    <w:p w:rsidR="00DD76A9" w:rsidRPr="00DD76A9" w:rsidRDefault="00DD76A9" w:rsidP="008F376C">
      <w:pPr>
        <w:pStyle w:val="H1GR"/>
      </w:pPr>
      <w:r w:rsidRPr="00DD76A9">
        <w:tab/>
        <w:t>5.</w:t>
      </w:r>
      <w:r w:rsidRPr="00DD76A9">
        <w:tab/>
        <w:t>Отслеживание изменений в общеевропейских транспортных сетях</w:t>
      </w:r>
    </w:p>
    <w:p w:rsidR="00DD76A9" w:rsidRPr="00DD76A9" w:rsidRDefault="00DD76A9" w:rsidP="008F376C">
      <w:pPr>
        <w:pStyle w:val="H23GR"/>
      </w:pPr>
      <w:r w:rsidRPr="00DD76A9">
        <w:tab/>
        <w:t>a)</w:t>
      </w:r>
      <w:r w:rsidRPr="00DD76A9">
        <w:tab/>
        <w:t>Краткое сообщение Европейской комиссии о ходе формирования Трансъевропейской транспортной сети</w:t>
      </w:r>
    </w:p>
    <w:p w:rsidR="00DD76A9" w:rsidRPr="00DD76A9" w:rsidRDefault="00DD76A9" w:rsidP="00DD76A9">
      <w:pPr>
        <w:pStyle w:val="SingleTxtGR"/>
      </w:pPr>
      <w:r w:rsidRPr="00DD76A9">
        <w:tab/>
        <w:t>Европейская комиссия кратко проинформирует Рабочую группу о резул</w:t>
      </w:r>
      <w:r w:rsidRPr="00DD76A9">
        <w:t>ь</w:t>
      </w:r>
      <w:r w:rsidRPr="00DD76A9">
        <w:t>татах проделанной за последнее время работы в области ТЕС-Т и расширения сети за счет сопредельных с Европейским союзом (ЕС) стран.</w:t>
      </w:r>
    </w:p>
    <w:p w:rsidR="00DD76A9" w:rsidRPr="008F376C" w:rsidRDefault="00DD76A9" w:rsidP="008F376C">
      <w:pPr>
        <w:pStyle w:val="SingleTxtGR"/>
        <w:rPr>
          <w:b/>
        </w:rPr>
      </w:pPr>
      <w:r w:rsidRPr="008F376C">
        <w:rPr>
          <w:b/>
        </w:rPr>
        <w:t>Документация</w:t>
      </w:r>
    </w:p>
    <w:p w:rsidR="00DD76A9" w:rsidRPr="00DD76A9" w:rsidRDefault="00DD76A9" w:rsidP="00DD76A9">
      <w:pPr>
        <w:pStyle w:val="SingleTxtGR"/>
      </w:pPr>
      <w:r w:rsidRPr="00DD76A9">
        <w:t>неофициальный документ № 3</w:t>
      </w:r>
    </w:p>
    <w:p w:rsidR="00DD76A9" w:rsidRPr="00DD76A9" w:rsidRDefault="00DD76A9" w:rsidP="008F376C">
      <w:pPr>
        <w:pStyle w:val="H23GR"/>
      </w:pPr>
      <w:r w:rsidRPr="00DD76A9">
        <w:tab/>
        <w:t>b)</w:t>
      </w:r>
      <w:r w:rsidRPr="00DD76A9">
        <w:tab/>
        <w:t>Проекты Трансъевропейской автомагистрали и Трансъевропейской железнодорожной магистрали</w:t>
      </w:r>
    </w:p>
    <w:p w:rsidR="00DD76A9" w:rsidRPr="00DD76A9" w:rsidRDefault="00DD76A9" w:rsidP="00DD76A9">
      <w:pPr>
        <w:pStyle w:val="SingleTxtGR"/>
      </w:pPr>
      <w:r w:rsidRPr="00DD76A9">
        <w:tab/>
        <w:t>Управляющие проектами ТЕА (Трансъевропейской автомагистрали) (ECE/TRANS/WP.5/2017/1) и ТЕЖ (Трансъевропейской железнодорожной маг</w:t>
      </w:r>
      <w:r w:rsidRPr="00DD76A9">
        <w:t>и</w:t>
      </w:r>
      <w:r w:rsidRPr="00DD76A9">
        <w:t>страли) (ECE/TRANS/WP.5/2017/2) проинформируют Рабочую группу о мер</w:t>
      </w:r>
      <w:r w:rsidRPr="00DD76A9">
        <w:t>о</w:t>
      </w:r>
      <w:r w:rsidRPr="00DD76A9">
        <w:t>приятиях, проведенных за отчетный период 2016−2017 годов.</w:t>
      </w:r>
    </w:p>
    <w:p w:rsidR="00DD76A9" w:rsidRPr="00252572" w:rsidRDefault="00DD76A9" w:rsidP="008F376C">
      <w:pPr>
        <w:pStyle w:val="SingleTxtGR"/>
        <w:rPr>
          <w:b/>
          <w:lang w:val="en-US"/>
        </w:rPr>
      </w:pPr>
      <w:r w:rsidRPr="008F376C">
        <w:rPr>
          <w:b/>
        </w:rPr>
        <w:t>Документация</w:t>
      </w:r>
    </w:p>
    <w:p w:rsidR="00DD76A9" w:rsidRPr="00DD76A9" w:rsidRDefault="00DD76A9" w:rsidP="00DD76A9">
      <w:pPr>
        <w:pStyle w:val="SingleTxtGR"/>
        <w:rPr>
          <w:lang w:val="en-GB"/>
        </w:rPr>
      </w:pPr>
      <w:r w:rsidRPr="00DD76A9">
        <w:rPr>
          <w:lang w:val="en-US"/>
        </w:rPr>
        <w:t>ECE/TRANS/WP.5/2017/1, ECE/TRANS/WP.5/2017/2</w:t>
      </w:r>
    </w:p>
    <w:p w:rsidR="00DD76A9" w:rsidRPr="00DD76A9" w:rsidRDefault="00DD76A9" w:rsidP="008F376C">
      <w:pPr>
        <w:pStyle w:val="H1GR"/>
      </w:pPr>
      <w:r w:rsidRPr="00DD76A9">
        <w:rPr>
          <w:lang w:val="en-US"/>
        </w:rPr>
        <w:tab/>
      </w:r>
      <w:r w:rsidRPr="00DD76A9">
        <w:t>6.</w:t>
      </w:r>
      <w:r w:rsidRPr="00DD76A9">
        <w:tab/>
        <w:t>Транспорт в Средиземноморском регионе</w:t>
      </w:r>
    </w:p>
    <w:p w:rsidR="00DD76A9" w:rsidRPr="00DD76A9" w:rsidRDefault="00DD76A9" w:rsidP="008F376C">
      <w:pPr>
        <w:pStyle w:val="H23GR"/>
      </w:pPr>
      <w:r w:rsidRPr="00DD76A9">
        <w:tab/>
        <w:t>a)</w:t>
      </w:r>
      <w:r w:rsidRPr="00DD76A9">
        <w:tab/>
        <w:t>Доклад Центра транспортных исследований для Средиземноморья</w:t>
      </w:r>
    </w:p>
    <w:p w:rsidR="00DD76A9" w:rsidRPr="00DD76A9" w:rsidRDefault="00DD76A9" w:rsidP="00DD76A9">
      <w:pPr>
        <w:pStyle w:val="SingleTxtGR"/>
      </w:pPr>
      <w:r w:rsidRPr="00DD76A9">
        <w:tab/>
        <w:t>К Центру транспортных исследований для Средиземноморья (СЕТМО) была обращена просьба подготовить доклад о деятельности СЕТМО к тридц</w:t>
      </w:r>
      <w:r w:rsidRPr="00DD76A9">
        <w:t>а</w:t>
      </w:r>
      <w:r w:rsidRPr="00DD76A9">
        <w:t>той сессии Рабочей группы. Информация о недавней деятельности СЕТМО б</w:t>
      </w:r>
      <w:r w:rsidRPr="00DD76A9">
        <w:t>у</w:t>
      </w:r>
      <w:r w:rsidRPr="00DD76A9">
        <w:t>дет распространена для рассмотрения Рабочей группой.</w:t>
      </w:r>
    </w:p>
    <w:p w:rsidR="00DD76A9" w:rsidRPr="008F376C" w:rsidRDefault="00DD76A9" w:rsidP="008F376C">
      <w:pPr>
        <w:pStyle w:val="SingleTxtGR"/>
        <w:rPr>
          <w:b/>
        </w:rPr>
      </w:pPr>
      <w:r w:rsidRPr="008F376C">
        <w:rPr>
          <w:b/>
        </w:rPr>
        <w:t>Документация</w:t>
      </w:r>
    </w:p>
    <w:p w:rsidR="00DD76A9" w:rsidRPr="00DD76A9" w:rsidRDefault="00DD76A9" w:rsidP="00DD76A9">
      <w:pPr>
        <w:pStyle w:val="SingleTxtGR"/>
      </w:pPr>
      <w:r w:rsidRPr="00DD76A9">
        <w:t>неофициальный документ № 4</w:t>
      </w:r>
    </w:p>
    <w:p w:rsidR="00DD76A9" w:rsidRPr="00DD76A9" w:rsidRDefault="00DD76A9" w:rsidP="008F376C">
      <w:pPr>
        <w:pStyle w:val="H23GR"/>
      </w:pPr>
      <w:r w:rsidRPr="00DD76A9">
        <w:tab/>
        <w:t>b)</w:t>
      </w:r>
      <w:r w:rsidRPr="00DD76A9">
        <w:tab/>
        <w:t>Евро-средиземноморская транспортная сеть</w:t>
      </w:r>
    </w:p>
    <w:p w:rsidR="00DD76A9" w:rsidRPr="00DD76A9" w:rsidRDefault="00DD76A9" w:rsidP="00DD76A9">
      <w:pPr>
        <w:pStyle w:val="SingleTxtGR"/>
      </w:pPr>
      <w:r w:rsidRPr="00DD76A9">
        <w:tab/>
        <w:t>Европейская комиссия кратко проинформирует Рабочую группу о своей деятельности по развитию Евро-средиземноморской транспортной сети.</w:t>
      </w:r>
    </w:p>
    <w:p w:rsidR="00DD76A9" w:rsidRPr="00DD76A9" w:rsidRDefault="00DD76A9" w:rsidP="008F376C">
      <w:pPr>
        <w:pStyle w:val="H23GR"/>
      </w:pPr>
      <w:r w:rsidRPr="00DD76A9">
        <w:tab/>
        <w:t>с)</w:t>
      </w:r>
      <w:r w:rsidRPr="00DD76A9">
        <w:tab/>
        <w:t>Доклад Союза для Средиземноморья</w:t>
      </w:r>
    </w:p>
    <w:p w:rsidR="00DD76A9" w:rsidRPr="00DD76A9" w:rsidRDefault="00DD76A9" w:rsidP="00DD76A9">
      <w:pPr>
        <w:pStyle w:val="SingleTxtGR"/>
      </w:pPr>
      <w:r w:rsidRPr="00DD76A9">
        <w:tab/>
        <w:t>Секретариат Союза для Средиземноморья (СДС) кратко проинформирует Рабочую группу о своей деятельности по развитию Средиземноморской тран</w:t>
      </w:r>
      <w:r w:rsidRPr="00DD76A9">
        <w:t>с</w:t>
      </w:r>
      <w:r w:rsidRPr="00DD76A9">
        <w:t>портной сети.</w:t>
      </w:r>
    </w:p>
    <w:p w:rsidR="00DD76A9" w:rsidRPr="00DD76A9" w:rsidRDefault="00DD76A9" w:rsidP="008F376C">
      <w:pPr>
        <w:pStyle w:val="H23GR"/>
      </w:pPr>
      <w:r w:rsidRPr="00DD76A9">
        <w:tab/>
        <w:t>d)</w:t>
      </w:r>
      <w:r w:rsidRPr="00DD76A9">
        <w:tab/>
        <w:t>Проект постоянного сообщения между Европой и Африкой через Гибралтарский пролив: доклад о деятельности, осуществлявшейся в</w:t>
      </w:r>
      <w:r w:rsidR="008B26C0">
        <w:t> </w:t>
      </w:r>
      <w:r w:rsidRPr="00DD76A9">
        <w:t xml:space="preserve">период 2015−2017 годов, и программа, предложенная на период </w:t>
      </w:r>
      <w:r w:rsidR="008B26C0">
        <w:br/>
      </w:r>
      <w:r w:rsidRPr="00DD76A9">
        <w:t>2017−2019 годов</w:t>
      </w:r>
    </w:p>
    <w:p w:rsidR="00DD76A9" w:rsidRPr="00DD76A9" w:rsidRDefault="00DD76A9" w:rsidP="00DD76A9">
      <w:pPr>
        <w:pStyle w:val="SingleTxtGR"/>
      </w:pPr>
      <w:r w:rsidRPr="00DD76A9">
        <w:tab/>
        <w:t>Секретариат проинформирует Рабочую группу о проекте постоянного с</w:t>
      </w:r>
      <w:r w:rsidRPr="00DD76A9">
        <w:t>о</w:t>
      </w:r>
      <w:r w:rsidRPr="00DD76A9">
        <w:t>единения между Европой и Африкой через Гибралтарский пролив.</w:t>
      </w:r>
    </w:p>
    <w:p w:rsidR="00DD76A9" w:rsidRPr="008F376C" w:rsidRDefault="00DD76A9" w:rsidP="008F376C">
      <w:pPr>
        <w:pStyle w:val="SingleTxtGR"/>
        <w:rPr>
          <w:b/>
        </w:rPr>
      </w:pPr>
      <w:r w:rsidRPr="008F376C">
        <w:rPr>
          <w:b/>
        </w:rPr>
        <w:t>Документация</w:t>
      </w:r>
    </w:p>
    <w:p w:rsidR="00DD76A9" w:rsidRPr="00DD76A9" w:rsidRDefault="00DD76A9" w:rsidP="00DD76A9">
      <w:pPr>
        <w:pStyle w:val="SingleTxtGR"/>
      </w:pPr>
      <w:r w:rsidRPr="00DD76A9">
        <w:t>неофициальный документ № 5</w:t>
      </w:r>
    </w:p>
    <w:p w:rsidR="00DD76A9" w:rsidRPr="00DD76A9" w:rsidRDefault="00DD76A9" w:rsidP="008F376C">
      <w:pPr>
        <w:pStyle w:val="H1GR"/>
      </w:pPr>
      <w:r w:rsidRPr="00DD76A9">
        <w:tab/>
        <w:t>7.</w:t>
      </w:r>
      <w:r w:rsidRPr="00DD76A9">
        <w:tab/>
        <w:t>Евро-азиатские транспортные связи</w:t>
      </w:r>
    </w:p>
    <w:p w:rsidR="00DD76A9" w:rsidRPr="00DD76A9" w:rsidRDefault="00DD76A9" w:rsidP="008F376C">
      <w:pPr>
        <w:pStyle w:val="H23GR"/>
      </w:pPr>
      <w:r w:rsidRPr="00DD76A9">
        <w:tab/>
        <w:t>a)</w:t>
      </w:r>
      <w:r w:rsidRPr="00DD76A9">
        <w:tab/>
        <w:t>Ход работы по евро-азиатским транспортным связям</w:t>
      </w:r>
    </w:p>
    <w:p w:rsidR="00DD76A9" w:rsidRPr="00DD76A9" w:rsidRDefault="00DD76A9" w:rsidP="00DD76A9">
      <w:pPr>
        <w:pStyle w:val="SingleTxtGR"/>
      </w:pPr>
      <w:r w:rsidRPr="00DD76A9">
        <w:tab/>
        <w:t>Секретариат проинформирует Рабочую группу об окончательном докладе Группы экспертов по евро-азиатским транспортным связям (ЕАТС) и о неда</w:t>
      </w:r>
      <w:r w:rsidRPr="00DD76A9">
        <w:t>в</w:t>
      </w:r>
      <w:r w:rsidRPr="00DD76A9">
        <w:t>них изменениях в контексте этапа III проекта ЕАТС (ECE/TRANS/WP.5/2017/3, неофициальный документ № 6). Рабочая группа, возможно, пожелает рассмо</w:t>
      </w:r>
      <w:r w:rsidRPr="00DD76A9">
        <w:t>т</w:t>
      </w:r>
      <w:r w:rsidRPr="00DD76A9">
        <w:t xml:space="preserve">реть, обсудить и утвердить окончательный доклад Группы экспертов, а также представить руководящие указания в отношении ее будущей работы. </w:t>
      </w:r>
    </w:p>
    <w:p w:rsidR="00DD76A9" w:rsidRPr="008F376C" w:rsidRDefault="00DD76A9" w:rsidP="008F376C">
      <w:pPr>
        <w:pStyle w:val="SingleTxtGR"/>
        <w:rPr>
          <w:b/>
        </w:rPr>
      </w:pPr>
      <w:r w:rsidRPr="008F376C">
        <w:rPr>
          <w:b/>
        </w:rPr>
        <w:t>Документация</w:t>
      </w:r>
    </w:p>
    <w:p w:rsidR="00DD76A9" w:rsidRPr="00DD76A9" w:rsidRDefault="00DD76A9" w:rsidP="00DD76A9">
      <w:pPr>
        <w:pStyle w:val="SingleTxtGR"/>
      </w:pPr>
      <w:r w:rsidRPr="00DD76A9">
        <w:t>ECE/TRANS/WP.5/2017/3, неофициальный документ № 6</w:t>
      </w:r>
    </w:p>
    <w:p w:rsidR="00DD76A9" w:rsidRPr="00DD76A9" w:rsidRDefault="00DD76A9" w:rsidP="0071529A">
      <w:pPr>
        <w:pStyle w:val="H23GR"/>
      </w:pPr>
      <w:r w:rsidRPr="00DD76A9">
        <w:tab/>
        <w:t>b)</w:t>
      </w:r>
      <w:r w:rsidRPr="00DD76A9">
        <w:tab/>
        <w:t>Автотранспортные и железнодорожные коридоры в Европе и Азии</w:t>
      </w:r>
    </w:p>
    <w:p w:rsidR="00DD76A9" w:rsidRPr="00DD76A9" w:rsidRDefault="00DD76A9" w:rsidP="00DD76A9">
      <w:pPr>
        <w:pStyle w:val="SingleTxtGR"/>
        <w:rPr>
          <w:b/>
        </w:rPr>
      </w:pPr>
      <w:r w:rsidRPr="00DD76A9">
        <w:tab/>
        <w:t>Рабочая группа, возможно, пожелает напомнить, что в ходе своей после</w:t>
      </w:r>
      <w:r w:rsidRPr="00DD76A9">
        <w:t>д</w:t>
      </w:r>
      <w:r w:rsidRPr="00DD76A9">
        <w:t>ней сессии она одобрила создание центра мониторинга транспортной инфр</w:t>
      </w:r>
      <w:r w:rsidRPr="00DD76A9">
        <w:t>а</w:t>
      </w:r>
      <w:r w:rsidRPr="00DD76A9">
        <w:t xml:space="preserve">структуры в Европе и Азии, который должен охватывать все существующие инициативы в области развития транспортной инфраструктуры на Европейском и Азиатском континентах (ECE/TRANS/WP.5/2016/3). </w:t>
      </w:r>
    </w:p>
    <w:p w:rsidR="00DD76A9" w:rsidRPr="00DD76A9" w:rsidRDefault="00DD76A9" w:rsidP="00DD76A9">
      <w:pPr>
        <w:pStyle w:val="SingleTxtGR"/>
      </w:pPr>
      <w:r w:rsidRPr="00DD76A9">
        <w:tab/>
        <w:t>Рабочая группа, возможно, пожелает заслушать сообщение секретариата по этому вопросу.</w:t>
      </w:r>
    </w:p>
    <w:p w:rsidR="00DD76A9" w:rsidRPr="0071529A" w:rsidRDefault="00DD76A9" w:rsidP="0071529A">
      <w:pPr>
        <w:pStyle w:val="SingleTxtGR"/>
        <w:rPr>
          <w:b/>
        </w:rPr>
      </w:pPr>
      <w:r w:rsidRPr="0071529A">
        <w:rPr>
          <w:b/>
        </w:rPr>
        <w:t>Документация</w:t>
      </w:r>
    </w:p>
    <w:p w:rsidR="00DD76A9" w:rsidRPr="00DD76A9" w:rsidRDefault="00DD76A9" w:rsidP="00DD76A9">
      <w:pPr>
        <w:pStyle w:val="SingleTxtGR"/>
      </w:pPr>
      <w:r w:rsidRPr="00DD76A9">
        <w:t>ECE/TRANS/WP.5/2016/3</w:t>
      </w:r>
    </w:p>
    <w:p w:rsidR="00DD76A9" w:rsidRPr="00DD76A9" w:rsidRDefault="00DD76A9" w:rsidP="0071529A">
      <w:pPr>
        <w:pStyle w:val="H23GR"/>
      </w:pPr>
      <w:r w:rsidRPr="00DD76A9">
        <w:tab/>
        <w:t>с)</w:t>
      </w:r>
      <w:r w:rsidRPr="00DD76A9">
        <w:tab/>
        <w:t>Другие евро-азиатские транспортные инициативы</w:t>
      </w:r>
    </w:p>
    <w:p w:rsidR="00DD76A9" w:rsidRPr="00DD76A9" w:rsidRDefault="00DD76A9" w:rsidP="00DD76A9">
      <w:pPr>
        <w:pStyle w:val="SingleTxtGR"/>
      </w:pPr>
      <w:r w:rsidRPr="00DD76A9">
        <w:tab/>
        <w:t>Представители других евро-азиатских транспортных инициатив/проектов кратко проинформируют Рабочую группу о своей деятельности и возможном сотрудничестве с Группой экспертов по ЕАТС.</w:t>
      </w:r>
    </w:p>
    <w:p w:rsidR="00DD76A9" w:rsidRPr="00DD76A9" w:rsidRDefault="00DD76A9" w:rsidP="0071529A">
      <w:pPr>
        <w:pStyle w:val="H1GR"/>
      </w:pPr>
      <w:r w:rsidRPr="00DD76A9">
        <w:tab/>
        <w:t>8.</w:t>
      </w:r>
      <w:r w:rsidRPr="00DD76A9">
        <w:tab/>
        <w:t xml:space="preserve">Группа экспертов по сопоставительному анализу затрат </w:t>
      </w:r>
      <w:r w:rsidR="00E23C6B">
        <w:br/>
      </w:r>
      <w:r w:rsidRPr="00DD76A9">
        <w:t>на строительство транспортной инфраструктуры</w:t>
      </w:r>
    </w:p>
    <w:p w:rsidR="00DD76A9" w:rsidRPr="00DD76A9" w:rsidRDefault="00DD76A9" w:rsidP="00DD76A9">
      <w:pPr>
        <w:pStyle w:val="SingleTxtGR"/>
      </w:pPr>
      <w:r w:rsidRPr="00DD76A9">
        <w:tab/>
        <w:t>Рабочая группа, возможно, пожелает заслушать информацию об измен</w:t>
      </w:r>
      <w:r w:rsidRPr="00DD76A9">
        <w:t>е</w:t>
      </w:r>
      <w:r w:rsidRPr="00DD76A9">
        <w:t>ниях в работе Группы экспертов и результатах ее сессий (первая сессия – Жен</w:t>
      </w:r>
      <w:r w:rsidRPr="00DD76A9">
        <w:t>е</w:t>
      </w:r>
      <w:r w:rsidRPr="00DD76A9">
        <w:t>ва, 31 октября и 1 ноября 2016 года / вторая сессия – Женева, 10</w:t>
      </w:r>
      <w:r w:rsidR="00E23C6B">
        <w:t>–</w:t>
      </w:r>
      <w:r w:rsidRPr="00DD76A9">
        <w:t>11 апреля 2017</w:t>
      </w:r>
      <w:r w:rsidR="00E23C6B">
        <w:t> </w:t>
      </w:r>
      <w:r w:rsidRPr="00DD76A9">
        <w:t>года / третья сессия – Женева, 10</w:t>
      </w:r>
      <w:r w:rsidR="00E23C6B">
        <w:t>–</w:t>
      </w:r>
      <w:r w:rsidRPr="00DD76A9">
        <w:t>11 июля 2017 года) (ECE/TRANS/WP.5/</w:t>
      </w:r>
      <w:r w:rsidR="00E23C6B">
        <w:t xml:space="preserve"> </w:t>
      </w:r>
      <w:r w:rsidR="002B1B4B">
        <w:t>GE.4/6, ECE/TRANS/WP.5/</w:t>
      </w:r>
      <w:r w:rsidRPr="00DD76A9">
        <w:t xml:space="preserve">GE.4/2016/1). </w:t>
      </w:r>
    </w:p>
    <w:p w:rsidR="00DD76A9" w:rsidRPr="00252572" w:rsidRDefault="00DD76A9" w:rsidP="0071529A">
      <w:pPr>
        <w:pStyle w:val="SingleTxtGR"/>
        <w:rPr>
          <w:b/>
          <w:lang w:val="en-US"/>
        </w:rPr>
      </w:pPr>
      <w:r w:rsidRPr="0071529A">
        <w:rPr>
          <w:b/>
        </w:rPr>
        <w:t>Документация</w:t>
      </w:r>
    </w:p>
    <w:p w:rsidR="00DD76A9" w:rsidRPr="00DD76A9" w:rsidRDefault="00DD76A9" w:rsidP="00DD76A9">
      <w:pPr>
        <w:pStyle w:val="SingleTxtGR"/>
        <w:rPr>
          <w:lang w:val="en-GB"/>
        </w:rPr>
      </w:pPr>
      <w:r w:rsidRPr="00DD76A9">
        <w:rPr>
          <w:lang w:val="en-US"/>
        </w:rPr>
        <w:t>ECE/TRANS/WP.5/GE.4/6, ECE/TRANS/WP.5/GE.4/2016/1</w:t>
      </w:r>
    </w:p>
    <w:p w:rsidR="00DD76A9" w:rsidRPr="00DD76A9" w:rsidRDefault="00DD76A9" w:rsidP="0071529A">
      <w:pPr>
        <w:pStyle w:val="H1GR"/>
      </w:pPr>
      <w:r w:rsidRPr="00DD76A9">
        <w:rPr>
          <w:lang w:val="en-US"/>
        </w:rPr>
        <w:tab/>
      </w:r>
      <w:r w:rsidRPr="00DD76A9">
        <w:t>9.</w:t>
      </w:r>
      <w:r w:rsidRPr="00DD76A9">
        <w:tab/>
        <w:t>Городская мобильность и общественный транспорт: Общеевропейский генеральный план для велосипедного движения</w:t>
      </w:r>
    </w:p>
    <w:p w:rsidR="00DD76A9" w:rsidRPr="00DD76A9" w:rsidRDefault="00DD76A9" w:rsidP="00DD76A9">
      <w:pPr>
        <w:pStyle w:val="SingleTxtGR"/>
      </w:pPr>
      <w:r w:rsidRPr="00DD76A9">
        <w:tab/>
        <w:t>Рабочая группа, возможно, пожелает напомнить, что на своей предыд</w:t>
      </w:r>
      <w:r w:rsidRPr="00DD76A9">
        <w:t>у</w:t>
      </w:r>
      <w:r w:rsidRPr="00DD76A9">
        <w:t>щей сессии она приняла к сведению представленную секретариатом информ</w:t>
      </w:r>
      <w:r w:rsidRPr="00DD76A9">
        <w:t>а</w:t>
      </w:r>
      <w:r w:rsidRPr="00DD76A9">
        <w:t>цию о подготовке инфраструктурного модуля Общеевропейского генерального плана ОПТОСОЗ для велосипедного движения (неофициальный документ № 7) на основе методологии, использованной в ходе разработки Генерального плана ТЕА и ТЕЖ, а также проекта ЕАТС. Рабочая группа приветствовала сотрудн</w:t>
      </w:r>
      <w:r w:rsidRPr="00DD76A9">
        <w:t>и</w:t>
      </w:r>
      <w:r w:rsidRPr="00DD76A9">
        <w:t xml:space="preserve">чество с ОПТОСОЗ и приняла к сведению информацию о методологии. </w:t>
      </w:r>
    </w:p>
    <w:p w:rsidR="00DD76A9" w:rsidRPr="00DD76A9" w:rsidRDefault="00E23C6B" w:rsidP="00DD76A9">
      <w:pPr>
        <w:pStyle w:val="SingleTxtGR"/>
      </w:pPr>
      <w:r>
        <w:br w:type="page"/>
      </w:r>
      <w:r w:rsidR="00DD76A9" w:rsidRPr="00DD76A9">
        <w:tab/>
        <w:t>Рабочая группа, возможно, пожелает заслушать сообщение секретариата по этому вопросу.</w:t>
      </w:r>
    </w:p>
    <w:p w:rsidR="00DD76A9" w:rsidRPr="0071529A" w:rsidRDefault="00DD76A9" w:rsidP="0071529A">
      <w:pPr>
        <w:pStyle w:val="SingleTxtGR"/>
        <w:rPr>
          <w:b/>
        </w:rPr>
      </w:pPr>
      <w:r w:rsidRPr="0071529A">
        <w:rPr>
          <w:b/>
        </w:rPr>
        <w:t>Документация</w:t>
      </w:r>
    </w:p>
    <w:p w:rsidR="00DD76A9" w:rsidRPr="00DD76A9" w:rsidRDefault="00DD76A9" w:rsidP="00DD76A9">
      <w:pPr>
        <w:pStyle w:val="SingleTxtGR"/>
      </w:pPr>
      <w:r w:rsidRPr="00DD76A9">
        <w:t>неофициальный документ № 7</w:t>
      </w:r>
    </w:p>
    <w:p w:rsidR="00DD76A9" w:rsidRPr="00DD76A9" w:rsidRDefault="00DD76A9" w:rsidP="0071529A">
      <w:pPr>
        <w:pStyle w:val="H1GR"/>
      </w:pPr>
      <w:r w:rsidRPr="00DD76A9">
        <w:tab/>
        <w:t>10.</w:t>
      </w:r>
      <w:r w:rsidRPr="00DD76A9">
        <w:tab/>
        <w:t>Изменение климата и транспорт</w:t>
      </w:r>
    </w:p>
    <w:p w:rsidR="00DD76A9" w:rsidRPr="00DD76A9" w:rsidRDefault="00DD76A9" w:rsidP="0071529A">
      <w:pPr>
        <w:pStyle w:val="H23GR"/>
      </w:pPr>
      <w:r w:rsidRPr="00DD76A9">
        <w:tab/>
        <w:t>a)</w:t>
      </w:r>
      <w:r w:rsidRPr="00DD76A9">
        <w:tab/>
        <w:t>Группа экспертов по последствиям изменения климата для международных транспортных сетей и узлов и адаптации к ним</w:t>
      </w:r>
    </w:p>
    <w:p w:rsidR="00DD76A9" w:rsidRPr="00DD76A9" w:rsidRDefault="00DD76A9" w:rsidP="00DD76A9">
      <w:pPr>
        <w:pStyle w:val="SingleTxtGR"/>
      </w:pPr>
      <w:r w:rsidRPr="00DD76A9">
        <w:tab/>
        <w:t>Секретариат проинформирует Рабочую группу о проекте окончательного доклада, подготовленного Группой экспертов по последствиям изменения кл</w:t>
      </w:r>
      <w:r w:rsidRPr="00DD76A9">
        <w:t>и</w:t>
      </w:r>
      <w:r w:rsidRPr="00DD76A9">
        <w:t>мата для транспортных сетей и узлов и адаптации к ним, в котором представл</w:t>
      </w:r>
      <w:r w:rsidRPr="00DD76A9">
        <w:t>е</w:t>
      </w:r>
      <w:r w:rsidRPr="00DD76A9">
        <w:t>на общая информация о работе, проделанной на втором этапе деятельности этой группы (неофициальный документ № 8, ECE/TRANS/WP.5/GE.3/26). Раб</w:t>
      </w:r>
      <w:r w:rsidRPr="00DD76A9">
        <w:t>о</w:t>
      </w:r>
      <w:r w:rsidRPr="00DD76A9">
        <w:t>чая группа, возможно, пожелает рассмотреть и одобрить запрос Группы экспе</w:t>
      </w:r>
      <w:r w:rsidRPr="00DD76A9">
        <w:t>р</w:t>
      </w:r>
      <w:r w:rsidRPr="00DD76A9">
        <w:t>тов на продление ее мандата еще на один год с сохранением того же круга вед</w:t>
      </w:r>
      <w:r w:rsidRPr="00DD76A9">
        <w:t>е</w:t>
      </w:r>
      <w:r w:rsidRPr="00DD76A9">
        <w:t xml:space="preserve">ния, с тем чтобы эксперты могли завершить подготовку своего доклада. </w:t>
      </w:r>
    </w:p>
    <w:p w:rsidR="00DD76A9" w:rsidRPr="00DD76A9" w:rsidRDefault="00DD76A9" w:rsidP="00DD76A9">
      <w:pPr>
        <w:pStyle w:val="SingleTxtGR"/>
        <w:rPr>
          <w:b/>
          <w:bCs/>
        </w:rPr>
      </w:pPr>
      <w:r w:rsidRPr="00DD76A9">
        <w:rPr>
          <w:b/>
          <w:bCs/>
        </w:rPr>
        <w:t>Документация</w:t>
      </w:r>
    </w:p>
    <w:p w:rsidR="00DD76A9" w:rsidRPr="00DD76A9" w:rsidRDefault="00DD76A9" w:rsidP="00DD76A9">
      <w:pPr>
        <w:pStyle w:val="SingleTxtGR"/>
        <w:rPr>
          <w:b/>
        </w:rPr>
      </w:pPr>
      <w:r w:rsidRPr="00DD76A9">
        <w:t xml:space="preserve">неофициальный документ № 8, </w:t>
      </w:r>
      <w:r w:rsidRPr="00DD76A9">
        <w:rPr>
          <w:lang w:val="fr-CH"/>
        </w:rPr>
        <w:t>ECE</w:t>
      </w:r>
      <w:r w:rsidRPr="00DD76A9">
        <w:t>/</w:t>
      </w:r>
      <w:r w:rsidRPr="00DD76A9">
        <w:rPr>
          <w:lang w:val="fr-CH"/>
        </w:rPr>
        <w:t>TRANS</w:t>
      </w:r>
      <w:r w:rsidRPr="00DD76A9">
        <w:t>/</w:t>
      </w:r>
      <w:r w:rsidRPr="00DD76A9">
        <w:rPr>
          <w:lang w:val="fr-CH"/>
        </w:rPr>
        <w:t>WP</w:t>
      </w:r>
      <w:r w:rsidRPr="00DD76A9">
        <w:t>.5/</w:t>
      </w:r>
      <w:r w:rsidRPr="00DD76A9">
        <w:rPr>
          <w:lang w:val="fr-CH"/>
        </w:rPr>
        <w:t>GE</w:t>
      </w:r>
      <w:r w:rsidRPr="00DD76A9">
        <w:t>.3/26</w:t>
      </w:r>
    </w:p>
    <w:p w:rsidR="00DD76A9" w:rsidRPr="00DD76A9" w:rsidRDefault="00DD76A9" w:rsidP="0071529A">
      <w:pPr>
        <w:pStyle w:val="H23GR"/>
      </w:pPr>
      <w:r w:rsidRPr="00DD76A9">
        <w:tab/>
        <w:t>b)</w:t>
      </w:r>
      <w:r w:rsidRPr="00DD76A9">
        <w:tab/>
        <w:t xml:space="preserve">Смягчение последствий изменения климата: инструмент </w:t>
      </w:r>
      <w:r w:rsidR="00FA009A">
        <w:t>«</w:t>
      </w:r>
      <w:r w:rsidRPr="00DD76A9">
        <w:t>В интересах будущих систем внутреннего транспорта</w:t>
      </w:r>
      <w:r w:rsidR="00FA009A">
        <w:t>»</w:t>
      </w:r>
      <w:r w:rsidRPr="00DD76A9">
        <w:t xml:space="preserve"> Европейской экономической комиссии Организации Объединенных Наций</w:t>
      </w:r>
    </w:p>
    <w:p w:rsidR="00DD76A9" w:rsidRPr="00DD76A9" w:rsidRDefault="00DD76A9" w:rsidP="00DD76A9">
      <w:pPr>
        <w:pStyle w:val="SingleTxtGR"/>
      </w:pPr>
      <w:r w:rsidRPr="00DD76A9">
        <w:tab/>
        <w:t xml:space="preserve">Рабочая группа будет проинформирована секретариатом об изменениях, произошедших в 2016–2017 годах в рамках проекта </w:t>
      </w:r>
      <w:r w:rsidR="00FA009A">
        <w:t>«</w:t>
      </w:r>
      <w:r w:rsidRPr="00DD76A9">
        <w:t>В интересах будущих с</w:t>
      </w:r>
      <w:r w:rsidRPr="00DD76A9">
        <w:t>и</w:t>
      </w:r>
      <w:r w:rsidRPr="00DD76A9">
        <w:t>стем внутреннего транспорта</w:t>
      </w:r>
      <w:r w:rsidR="00FA009A">
        <w:t>»</w:t>
      </w:r>
      <w:r w:rsidRPr="00DD76A9">
        <w:t xml:space="preserve"> (ForFITS).</w:t>
      </w:r>
    </w:p>
    <w:p w:rsidR="00DD76A9" w:rsidRPr="00DD76A9" w:rsidRDefault="00DD76A9" w:rsidP="0071529A">
      <w:pPr>
        <w:pStyle w:val="H1GR"/>
      </w:pPr>
      <w:r w:rsidRPr="00DD76A9">
        <w:tab/>
        <w:t>11.</w:t>
      </w:r>
      <w:r w:rsidRPr="00DD76A9">
        <w:tab/>
        <w:t>Обзор ситуации на транспорте, тенденций и экономики транспорта в регионе ЕЭК</w:t>
      </w:r>
    </w:p>
    <w:p w:rsidR="00DD76A9" w:rsidRPr="00DD76A9" w:rsidRDefault="00DD76A9" w:rsidP="0071529A">
      <w:pPr>
        <w:pStyle w:val="H23GR"/>
      </w:pPr>
      <w:r w:rsidRPr="00DD76A9">
        <w:tab/>
        <w:t>a)</w:t>
      </w:r>
      <w:r w:rsidRPr="00DD76A9">
        <w:tab/>
        <w:t xml:space="preserve">Тенденции и экономика транспорта в 2016–2017 годах: достижение целей устойчивого развития на основе развития устойчивого транспорта </w:t>
      </w:r>
    </w:p>
    <w:p w:rsidR="00DD76A9" w:rsidRPr="00DD76A9" w:rsidRDefault="00DD76A9" w:rsidP="00DD76A9">
      <w:pPr>
        <w:pStyle w:val="SingleTxtGR"/>
        <w:rPr>
          <w:b/>
        </w:rPr>
      </w:pPr>
      <w:r w:rsidRPr="00DD76A9">
        <w:tab/>
        <w:t>Рабочая группа, возможно, пожелает напомнить, что на своей предыд</w:t>
      </w:r>
      <w:r w:rsidRPr="00DD76A9">
        <w:t>у</w:t>
      </w:r>
      <w:r w:rsidRPr="00DD76A9">
        <w:t xml:space="preserve">щей сессии она решила отложить принятие решения по теме </w:t>
      </w:r>
      <w:r w:rsidR="00FA009A">
        <w:t>«</w:t>
      </w:r>
      <w:r w:rsidRPr="00DD76A9">
        <w:t>Тенденции и эк</w:t>
      </w:r>
      <w:r w:rsidRPr="00DD76A9">
        <w:t>о</w:t>
      </w:r>
      <w:r w:rsidRPr="00DD76A9">
        <w:t>номика транспорта в 2016–2017 годах: достижение целей устойчивого развития на основе развития устойчивого транспорта</w:t>
      </w:r>
      <w:r w:rsidR="00FA009A">
        <w:t>»</w:t>
      </w:r>
      <w:r w:rsidRPr="00DD76A9">
        <w:t xml:space="preserve"> в ожидании решения Исполкома о том, каким образом ЕЭК ООН следует содействовать реализации целей усто</w:t>
      </w:r>
      <w:r w:rsidRPr="00DD76A9">
        <w:t>й</w:t>
      </w:r>
      <w:r w:rsidRPr="00DD76A9">
        <w:t xml:space="preserve">чивого развития. Кроме того, Рабочая группа, возможно, пожелает заслушать информацию о том, что в ходе своей предыдущей сессии (21–24 февраля </w:t>
      </w:r>
      <w:r w:rsidR="00B11024">
        <w:br/>
      </w:r>
      <w:r w:rsidRPr="00DD76A9">
        <w:t>2017 года) в соответствии с заявлением министров Комитет по внутреннему транспорту решил укреплять, в рамках имеющихся ресурсов, свой вклад в в</w:t>
      </w:r>
      <w:r w:rsidRPr="00DD76A9">
        <w:t>ы</w:t>
      </w:r>
      <w:r w:rsidRPr="00DD76A9">
        <w:t>полнение задач, имеющих отношение к транспорту, в контексте Повестки дня на период до 2030 года, а также в реализацию Парижского соглашения, Новой программы развития городов и целей устойчивого развития. В этой связи Ком</w:t>
      </w:r>
      <w:r w:rsidRPr="00DD76A9">
        <w:t>и</w:t>
      </w:r>
      <w:r w:rsidRPr="00DD76A9">
        <w:t>тет просил свои вспомогательные органы i) скорректировать работу соотве</w:t>
      </w:r>
      <w:r w:rsidRPr="00DD76A9">
        <w:t>т</w:t>
      </w:r>
      <w:r w:rsidRPr="00DD76A9">
        <w:t>ствующим образом, ii) дополнительно обсудить, проанализировать и по во</w:t>
      </w:r>
      <w:r w:rsidRPr="00DD76A9">
        <w:t>з</w:t>
      </w:r>
      <w:r w:rsidRPr="00DD76A9">
        <w:t xml:space="preserve">можности подготовить </w:t>
      </w:r>
      <w:r w:rsidR="00FA009A">
        <w:t>«</w:t>
      </w:r>
      <w:r w:rsidRPr="00DD76A9">
        <w:t>дорожную карту</w:t>
      </w:r>
      <w:r w:rsidR="00FA009A">
        <w:t>»</w:t>
      </w:r>
      <w:r w:rsidRPr="00DD76A9">
        <w:t>, касающуюся вклада государств-членов в осуществление Повестки дня на период до 2030 года, и отчитаться п</w:t>
      </w:r>
      <w:r w:rsidRPr="00DD76A9">
        <w:t>е</w:t>
      </w:r>
      <w:r w:rsidRPr="00DD76A9">
        <w:t>ред Комитетом, а также призвал государства-члены активизировать работу национальных координаторов по Повестке дня на период до 2030 года.</w:t>
      </w:r>
    </w:p>
    <w:p w:rsidR="00DD76A9" w:rsidRPr="00DD76A9" w:rsidRDefault="00DD76A9" w:rsidP="00DD76A9">
      <w:pPr>
        <w:pStyle w:val="SingleTxtGR"/>
        <w:rPr>
          <w:b/>
        </w:rPr>
      </w:pPr>
      <w:r w:rsidRPr="00DD76A9">
        <w:tab/>
        <w:t>С этой целью Рабочая группа, возможно, пожелает пересмотреть док</w:t>
      </w:r>
      <w:r w:rsidRPr="00DD76A9">
        <w:t>у</w:t>
      </w:r>
      <w:r w:rsidRPr="00DD76A9">
        <w:t>менты ECE/TRANS/WP.5/2016/5 и ECE/TRANS/WP.5/2016/6, которые касаются последствий для транспорта в контексте реализации целей устойчивого разв</w:t>
      </w:r>
      <w:r w:rsidRPr="00DD76A9">
        <w:t>и</w:t>
      </w:r>
      <w:r w:rsidRPr="00DD76A9">
        <w:t>тия (ЦУР), а также вопросник, который можно было бы направить правител</w:t>
      </w:r>
      <w:r w:rsidRPr="00DD76A9">
        <w:t>ь</w:t>
      </w:r>
      <w:r w:rsidRPr="00DD76A9">
        <w:t xml:space="preserve">ствам в целях сбора всей информации/данных, необходимых для подготовки соответствующей </w:t>
      </w:r>
      <w:r w:rsidR="00FA009A">
        <w:t>«</w:t>
      </w:r>
      <w:r w:rsidRPr="00DD76A9">
        <w:t>дорожной карты</w:t>
      </w:r>
      <w:r w:rsidR="00FA009A">
        <w:t>»</w:t>
      </w:r>
      <w:r w:rsidRPr="00DD76A9">
        <w:t>.</w:t>
      </w:r>
    </w:p>
    <w:p w:rsidR="00DD76A9" w:rsidRPr="00252572" w:rsidRDefault="00DD76A9" w:rsidP="0071529A">
      <w:pPr>
        <w:pStyle w:val="SingleTxtGR"/>
        <w:rPr>
          <w:b/>
          <w:lang w:val="en-US"/>
        </w:rPr>
      </w:pPr>
      <w:r w:rsidRPr="0071529A">
        <w:rPr>
          <w:b/>
        </w:rPr>
        <w:t>Документация</w:t>
      </w:r>
    </w:p>
    <w:p w:rsidR="00DD76A9" w:rsidRPr="00DD76A9" w:rsidRDefault="00DD76A9" w:rsidP="00DD76A9">
      <w:pPr>
        <w:pStyle w:val="SingleTxtGR"/>
        <w:rPr>
          <w:lang w:val="en-GB"/>
        </w:rPr>
      </w:pPr>
      <w:r w:rsidRPr="00DD76A9">
        <w:rPr>
          <w:lang w:val="en-US"/>
        </w:rPr>
        <w:t>ECE/TRANS/WP.5/2016/5, ECE/TRANS/WP.5/2016/6</w:t>
      </w:r>
    </w:p>
    <w:p w:rsidR="00DD76A9" w:rsidRPr="00DD76A9" w:rsidRDefault="00DD76A9" w:rsidP="0071529A">
      <w:pPr>
        <w:pStyle w:val="H23GR"/>
      </w:pPr>
      <w:r w:rsidRPr="00DD76A9">
        <w:rPr>
          <w:lang w:val="en-US"/>
        </w:rPr>
        <w:tab/>
      </w:r>
      <w:r w:rsidRPr="00DD76A9">
        <w:t>b)</w:t>
      </w:r>
      <w:r w:rsidRPr="00DD76A9">
        <w:tab/>
        <w:t>Тенденции и экономика транспорта в 2014–2015 годах: финансирование транспортной инфраструктуры</w:t>
      </w:r>
    </w:p>
    <w:p w:rsidR="00DD76A9" w:rsidRPr="00DD76A9" w:rsidRDefault="00DD76A9" w:rsidP="00DD76A9">
      <w:pPr>
        <w:pStyle w:val="SingleTxtGR"/>
      </w:pPr>
      <w:r w:rsidRPr="00DD76A9">
        <w:tab/>
        <w:t xml:space="preserve">Секретариат проинформирует Рабочую группу о публикации </w:t>
      </w:r>
      <w:r w:rsidR="00B11024">
        <w:br/>
      </w:r>
      <w:r w:rsidRPr="00DD76A9">
        <w:t xml:space="preserve">2014−2015 годов </w:t>
      </w:r>
      <w:r w:rsidR="00FA009A">
        <w:t>«</w:t>
      </w:r>
      <w:r w:rsidRPr="00DD76A9">
        <w:t>Тенденции и экономика транспорта: финансирование тран</w:t>
      </w:r>
      <w:r w:rsidRPr="00DD76A9">
        <w:t>с</w:t>
      </w:r>
      <w:r w:rsidRPr="00DD76A9">
        <w:t>портной инфраструктуры</w:t>
      </w:r>
      <w:r w:rsidR="00FA009A">
        <w:t>»</w:t>
      </w:r>
      <w:r w:rsidRPr="00DD76A9">
        <w:t>. Рабочая группа, возможно, пожелает рассмотреть неофициальный документ № 9, в котором содержится проект публикации. Р</w:t>
      </w:r>
      <w:r w:rsidRPr="00DD76A9">
        <w:t>а</w:t>
      </w:r>
      <w:r w:rsidRPr="00DD76A9">
        <w:t xml:space="preserve">бочая группа, возможно, пожелает представить свои замечания и рекомендации в отношении этого проекта публикации. </w:t>
      </w:r>
    </w:p>
    <w:p w:rsidR="00DD76A9" w:rsidRPr="0071529A" w:rsidRDefault="00DD76A9" w:rsidP="0071529A">
      <w:pPr>
        <w:pStyle w:val="SingleTxtGR"/>
        <w:rPr>
          <w:b/>
        </w:rPr>
      </w:pPr>
      <w:r w:rsidRPr="0071529A">
        <w:rPr>
          <w:b/>
        </w:rPr>
        <w:t>Документация</w:t>
      </w:r>
    </w:p>
    <w:p w:rsidR="00DD76A9" w:rsidRPr="00DD76A9" w:rsidRDefault="00DD76A9" w:rsidP="00DD76A9">
      <w:pPr>
        <w:pStyle w:val="SingleTxtGR"/>
      </w:pPr>
      <w:r w:rsidRPr="00DD76A9">
        <w:t>неофициальный документ № 9</w:t>
      </w:r>
    </w:p>
    <w:p w:rsidR="00DD76A9" w:rsidRPr="00DD76A9" w:rsidRDefault="00DD76A9" w:rsidP="0071529A">
      <w:pPr>
        <w:pStyle w:val="H23GR"/>
      </w:pPr>
      <w:r w:rsidRPr="00DD76A9">
        <w:tab/>
        <w:t>с)</w:t>
      </w:r>
      <w:r w:rsidRPr="00DD76A9">
        <w:tab/>
        <w:t>Транспортные тенденции и вызовы в автомобильном секторе</w:t>
      </w:r>
    </w:p>
    <w:p w:rsidR="00DD76A9" w:rsidRPr="00DD76A9" w:rsidRDefault="00DD76A9" w:rsidP="00DD76A9">
      <w:pPr>
        <w:pStyle w:val="SingleTxtGR"/>
      </w:pPr>
      <w:r w:rsidRPr="00DD76A9">
        <w:tab/>
        <w:t>Представитель Международного союза автомобильного транспорта с</w:t>
      </w:r>
      <w:r w:rsidRPr="00DD76A9">
        <w:t>о</w:t>
      </w:r>
      <w:r w:rsidRPr="00DD76A9">
        <w:t>общит о последних тенденциях и вызовах в автомобильном секторе.</w:t>
      </w:r>
    </w:p>
    <w:p w:rsidR="00DD76A9" w:rsidRPr="00DD76A9" w:rsidRDefault="00DD76A9" w:rsidP="0071529A">
      <w:pPr>
        <w:pStyle w:val="SingleTxtGR"/>
        <w:rPr>
          <w:b/>
        </w:rPr>
      </w:pPr>
      <w:r w:rsidRPr="00DD76A9">
        <w:rPr>
          <w:b/>
        </w:rPr>
        <w:t>Документация</w:t>
      </w:r>
    </w:p>
    <w:p w:rsidR="00DD76A9" w:rsidRPr="00DD76A9" w:rsidRDefault="00DD76A9" w:rsidP="00DD76A9">
      <w:pPr>
        <w:pStyle w:val="SingleTxtGR"/>
      </w:pPr>
      <w:r w:rsidRPr="00DD76A9">
        <w:t>неофициальный документ № 10</w:t>
      </w:r>
    </w:p>
    <w:p w:rsidR="00DD76A9" w:rsidRPr="00DD76A9" w:rsidRDefault="00DD76A9" w:rsidP="0071529A">
      <w:pPr>
        <w:pStyle w:val="H23GR"/>
      </w:pPr>
      <w:r w:rsidRPr="00DD76A9">
        <w:tab/>
        <w:t>d)</w:t>
      </w:r>
      <w:r w:rsidRPr="00DD76A9">
        <w:tab/>
        <w:t>Транспортные тенденции и вызовы в железнодорожном секторе</w:t>
      </w:r>
    </w:p>
    <w:p w:rsidR="00DD76A9" w:rsidRPr="00DD76A9" w:rsidRDefault="00DD76A9" w:rsidP="00DD76A9">
      <w:pPr>
        <w:pStyle w:val="SingleTxtGR"/>
      </w:pPr>
      <w:r w:rsidRPr="00DD76A9">
        <w:tab/>
        <w:t>Представитель Международного союза железных дорог проинформирует о последних тенденциях и вызовах в железнодорожном секторе.</w:t>
      </w:r>
    </w:p>
    <w:p w:rsidR="00DD76A9" w:rsidRPr="00DD76A9" w:rsidRDefault="00DD76A9" w:rsidP="0071529A">
      <w:pPr>
        <w:pStyle w:val="SingleTxtGR"/>
        <w:rPr>
          <w:b/>
        </w:rPr>
      </w:pPr>
      <w:r w:rsidRPr="00DD76A9">
        <w:rPr>
          <w:b/>
        </w:rPr>
        <w:t>Документация</w:t>
      </w:r>
    </w:p>
    <w:p w:rsidR="00DD76A9" w:rsidRPr="00DD76A9" w:rsidRDefault="00DD76A9" w:rsidP="00DD76A9">
      <w:pPr>
        <w:pStyle w:val="SingleTxtGR"/>
      </w:pPr>
      <w:r w:rsidRPr="00DD76A9">
        <w:t>неофициальный документ № 11</w:t>
      </w:r>
    </w:p>
    <w:p w:rsidR="00DD76A9" w:rsidRPr="00DD76A9" w:rsidRDefault="00DD76A9" w:rsidP="0071529A">
      <w:pPr>
        <w:pStyle w:val="H23GR"/>
      </w:pPr>
      <w:r w:rsidRPr="00DD76A9">
        <w:tab/>
        <w:t>e)</w:t>
      </w:r>
      <w:r w:rsidRPr="00DD76A9">
        <w:tab/>
        <w:t>Транспортные тенденции и вызовы в секторе внутренних водных путей</w:t>
      </w:r>
    </w:p>
    <w:p w:rsidR="00DD76A9" w:rsidRPr="00DD76A9" w:rsidRDefault="00DD76A9" w:rsidP="00DD76A9">
      <w:pPr>
        <w:pStyle w:val="SingleTxtGR"/>
      </w:pPr>
      <w:r w:rsidRPr="00DD76A9">
        <w:tab/>
        <w:t>Секретариат ознакомит участников с последними тенденциями и вызов</w:t>
      </w:r>
      <w:r w:rsidRPr="00DD76A9">
        <w:t>а</w:t>
      </w:r>
      <w:r w:rsidRPr="00DD76A9">
        <w:t>ми в секторе внутренних водных путей.</w:t>
      </w:r>
    </w:p>
    <w:p w:rsidR="00DD76A9" w:rsidRPr="00DD76A9" w:rsidRDefault="00DD76A9" w:rsidP="0071529A">
      <w:pPr>
        <w:pStyle w:val="H23GR"/>
      </w:pPr>
      <w:r w:rsidRPr="00DD76A9">
        <w:tab/>
        <w:t>f)</w:t>
      </w:r>
      <w:r w:rsidRPr="00DD76A9">
        <w:tab/>
        <w:t xml:space="preserve">Анализ статистики транспорта ЕЭК ООН </w:t>
      </w:r>
    </w:p>
    <w:p w:rsidR="00DD76A9" w:rsidRPr="00DD76A9" w:rsidRDefault="00DD76A9" w:rsidP="00DD76A9">
      <w:pPr>
        <w:pStyle w:val="SingleTxtGR"/>
      </w:pPr>
      <w:r w:rsidRPr="00DD76A9">
        <w:tab/>
        <w:t>Секретариат проинформиру</w:t>
      </w:r>
      <w:r w:rsidR="00B11024">
        <w:t>е</w:t>
      </w:r>
      <w:r w:rsidRPr="00DD76A9">
        <w:t>т о своей работе и представит статистич</w:t>
      </w:r>
      <w:r w:rsidRPr="00DD76A9">
        <w:t>е</w:t>
      </w:r>
      <w:r w:rsidRPr="00DD76A9">
        <w:t>ские данные по транспорту за 2016 год.</w:t>
      </w:r>
    </w:p>
    <w:p w:rsidR="00DD76A9" w:rsidRPr="00DD76A9" w:rsidRDefault="00DD76A9" w:rsidP="0071529A">
      <w:pPr>
        <w:pStyle w:val="H1GR"/>
      </w:pPr>
      <w:r w:rsidRPr="00DD76A9">
        <w:tab/>
        <w:t>12.</w:t>
      </w:r>
      <w:r w:rsidRPr="00DD76A9">
        <w:tab/>
        <w:t>Техническая помощь странам с переходной экономикой</w:t>
      </w:r>
    </w:p>
    <w:p w:rsidR="00DD76A9" w:rsidRPr="00DD76A9" w:rsidRDefault="00DD76A9" w:rsidP="00DD76A9">
      <w:pPr>
        <w:pStyle w:val="SingleTxtGR"/>
      </w:pPr>
      <w:r w:rsidRPr="00DD76A9">
        <w:tab/>
        <w:t>Рабочая группа заслушает информацию о деятельности регионального советника (неофициальный документ № 12) относительно технической пом</w:t>
      </w:r>
      <w:r w:rsidRPr="00DD76A9">
        <w:t>о</w:t>
      </w:r>
      <w:r w:rsidRPr="00DD76A9">
        <w:t>щи, оказанной ЕЭК странам с переходной экономикой.</w:t>
      </w:r>
    </w:p>
    <w:p w:rsidR="00DD76A9" w:rsidRPr="00DD76A9" w:rsidRDefault="00DD76A9" w:rsidP="0071529A">
      <w:pPr>
        <w:pStyle w:val="SingleTxtGR"/>
        <w:rPr>
          <w:b/>
        </w:rPr>
      </w:pPr>
      <w:r w:rsidRPr="00DD76A9">
        <w:rPr>
          <w:b/>
        </w:rPr>
        <w:t>Документация</w:t>
      </w:r>
    </w:p>
    <w:p w:rsidR="00DD76A9" w:rsidRPr="00DD76A9" w:rsidRDefault="00DD76A9" w:rsidP="00DD76A9">
      <w:pPr>
        <w:pStyle w:val="SingleTxtGR"/>
      </w:pPr>
      <w:r w:rsidRPr="00DD76A9">
        <w:t>неофициальный документ № 12</w:t>
      </w:r>
    </w:p>
    <w:p w:rsidR="00DD76A9" w:rsidRPr="00DD76A9" w:rsidRDefault="00DD76A9" w:rsidP="0071529A">
      <w:pPr>
        <w:pStyle w:val="H1GR"/>
      </w:pPr>
      <w:r w:rsidRPr="00DD76A9">
        <w:tab/>
        <w:t>13.</w:t>
      </w:r>
      <w:r w:rsidRPr="00DD76A9">
        <w:tab/>
        <w:t>Деятельность органов Европейской экономической комиссии Организации Объединенных Наций, представляющая интерес для Рабочей группы</w:t>
      </w:r>
    </w:p>
    <w:p w:rsidR="00DD76A9" w:rsidRPr="00DD76A9" w:rsidRDefault="00DD76A9" w:rsidP="00DD76A9">
      <w:pPr>
        <w:pStyle w:val="SingleTxtGR"/>
      </w:pPr>
      <w:r w:rsidRPr="00DD76A9">
        <w:tab/>
        <w:t>Рабочая группа заслушает информацию об основных решениях семьдесят девятой сессии Комитета по внутреннему транспорту (21−24 февраля 2015 г</w:t>
      </w:r>
      <w:r w:rsidRPr="00DD76A9">
        <w:t>о</w:t>
      </w:r>
      <w:r w:rsidRPr="00DD76A9">
        <w:t>да) по вопросам, представляющим интерес для Рабочей группы.</w:t>
      </w:r>
    </w:p>
    <w:p w:rsidR="00DD76A9" w:rsidRPr="00DD76A9" w:rsidRDefault="00DD76A9" w:rsidP="00DD76A9">
      <w:pPr>
        <w:pStyle w:val="SingleTxtGR"/>
      </w:pPr>
      <w:r w:rsidRPr="00DD76A9">
        <w:tab/>
        <w:t>На своей семьдесят восьмой сессии Комитет признал необходимость адаптации к новым реалиям и динамике в той стратегической обстановке, в к</w:t>
      </w:r>
      <w:r w:rsidRPr="00DD76A9">
        <w:t>о</w:t>
      </w:r>
      <w:r w:rsidRPr="00DD76A9">
        <w:t>торой Комитет действует сегодня. Он решил, что секретариат разработает пр</w:t>
      </w:r>
      <w:r w:rsidRPr="00DD76A9">
        <w:t>о</w:t>
      </w:r>
      <w:r w:rsidRPr="00DD76A9">
        <w:t>ект стратегического документа с указанием приоритетов и основных направл</w:t>
      </w:r>
      <w:r w:rsidRPr="00DD76A9">
        <w:t>е</w:t>
      </w:r>
      <w:r w:rsidRPr="00DD76A9">
        <w:t>ний деятельности на основе консультаций с Бюро, председателями вспомог</w:t>
      </w:r>
      <w:r w:rsidRPr="00DD76A9">
        <w:t>а</w:t>
      </w:r>
      <w:r w:rsidRPr="00DD76A9">
        <w:t>тельных органов и административных комитетов транспортных конвенций О</w:t>
      </w:r>
      <w:r w:rsidRPr="00DD76A9">
        <w:t>р</w:t>
      </w:r>
      <w:r w:rsidRPr="00DD76A9">
        <w:t>ганизации Объединенных Наций, относящихся к компетенции Комитета. Ком</w:t>
      </w:r>
      <w:r w:rsidRPr="00DD76A9">
        <w:t>и</w:t>
      </w:r>
      <w:r w:rsidRPr="00DD76A9">
        <w:t>тет имел возможность ознакомиться с предварительным вариантом краткого р</w:t>
      </w:r>
      <w:r w:rsidRPr="00DD76A9">
        <w:t>е</w:t>
      </w:r>
      <w:r w:rsidRPr="00DD76A9">
        <w:t>зюме этого стратегического документа (ECE/TRANS/2017/R.1), включая осно</w:t>
      </w:r>
      <w:r w:rsidRPr="00DD76A9">
        <w:t>в</w:t>
      </w:r>
      <w:r w:rsidRPr="00DD76A9">
        <w:t>ные выводы и рекомендации, с тем чтобы проанализировать пути повышения роли и эффективности Комитета и его вспомогательных органов в свете новых вызовов и возможностей в глобальном масштабе.</w:t>
      </w:r>
    </w:p>
    <w:p w:rsidR="00DD76A9" w:rsidRPr="00DD76A9" w:rsidRDefault="00DD76A9" w:rsidP="00DD76A9">
      <w:pPr>
        <w:pStyle w:val="SingleTxtGR"/>
      </w:pPr>
      <w:r w:rsidRPr="00DD76A9">
        <w:tab/>
        <w:t>Комитет приветствовал обсуждение вопросов повышения роли Комитета на заседании председателей его рабочих органов в быстро меняющейся гл</w:t>
      </w:r>
      <w:r w:rsidRPr="00DD76A9">
        <w:t>о</w:t>
      </w:r>
      <w:r w:rsidRPr="00DD76A9">
        <w:t>бальной обстановке. Он рассмотрел также пути усиления роли Комитета и его рабочих органов в решении современных проблем и использовании возможн</w:t>
      </w:r>
      <w:r w:rsidRPr="00DD76A9">
        <w:t>о</w:t>
      </w:r>
      <w:r w:rsidRPr="00DD76A9">
        <w:t>стей в глобальном контексте в соответствии с резолюцией министров семьдесят девятой сессии КВТ от 21 февраля 2017 года, в том числе путем включения в круг ведения рабочих групп вопросов, связанных с реализацией целей устойч</w:t>
      </w:r>
      <w:r w:rsidRPr="00DD76A9">
        <w:t>и</w:t>
      </w:r>
      <w:r w:rsidRPr="00DD76A9">
        <w:t xml:space="preserve">вого развития в сфере транспорта. Исходя из этого, рабочим группам следует рассмотреть вопрос о подготовке своего вклада в проект стратегии Комитета по внутреннему транспорту, который будет рассмотрен на сессии КВТ 2018 года, а при необходимости также проектов </w:t>
      </w:r>
      <w:r w:rsidR="00FA009A">
        <w:t>«</w:t>
      </w:r>
      <w:r w:rsidRPr="00DD76A9">
        <w:t>дорожных карт</w:t>
      </w:r>
      <w:r w:rsidR="00FA009A">
        <w:t>»</w:t>
      </w:r>
      <w:r w:rsidRPr="00DD76A9">
        <w:t xml:space="preserve"> по реализации целей устойчивого развития. Для этого Комитет решил распространить предварител</w:t>
      </w:r>
      <w:r w:rsidRPr="00DD76A9">
        <w:t>ь</w:t>
      </w:r>
      <w:r w:rsidRPr="00DD76A9">
        <w:t>ный вариант краткого резюме стратегического документа (ECE/TRANS/</w:t>
      </w:r>
      <w:r w:rsidR="00EE0521">
        <w:t xml:space="preserve"> </w:t>
      </w:r>
      <w:r w:rsidRPr="00DD76A9">
        <w:t>2017/R.1) среди всех рабочих групп и предложил им представить свои замеч</w:t>
      </w:r>
      <w:r w:rsidRPr="00DD76A9">
        <w:t>а</w:t>
      </w:r>
      <w:r w:rsidRPr="00DD76A9">
        <w:t xml:space="preserve">ния и рекомендации. При подготовке стратегического документа или </w:t>
      </w:r>
      <w:r w:rsidR="00FA009A">
        <w:t>«</w:t>
      </w:r>
      <w:r w:rsidRPr="00DD76A9">
        <w:t>доро</w:t>
      </w:r>
      <w:r w:rsidRPr="00DD76A9">
        <w:t>ж</w:t>
      </w:r>
      <w:r w:rsidRPr="00DD76A9">
        <w:t>ных карт</w:t>
      </w:r>
      <w:r w:rsidR="00FA009A">
        <w:t>»</w:t>
      </w:r>
      <w:r w:rsidRPr="00DD76A9">
        <w:t xml:space="preserve"> рабочим группам следует также принимать во внимание ограниче</w:t>
      </w:r>
      <w:r w:rsidRPr="00DD76A9">
        <w:t>н</w:t>
      </w:r>
      <w:r w:rsidRPr="00DD76A9">
        <w:t>ность ресурсов и осознавать, что новые виды деятельности должны сопрово</w:t>
      </w:r>
      <w:r w:rsidRPr="00DD76A9">
        <w:t>ж</w:t>
      </w:r>
      <w:r w:rsidRPr="00DD76A9">
        <w:t>даться сокращением или прекращением одного или нескольких видов деятел</w:t>
      </w:r>
      <w:r w:rsidRPr="00DD76A9">
        <w:t>ь</w:t>
      </w:r>
      <w:r w:rsidRPr="00DD76A9">
        <w:t>ности, если только не будет предоставлено внебюджетное финансирование.</w:t>
      </w:r>
    </w:p>
    <w:p w:rsidR="00DD76A9" w:rsidRPr="00DD76A9" w:rsidRDefault="00DD76A9" w:rsidP="00DD76A9">
      <w:pPr>
        <w:pStyle w:val="SingleTxtGR"/>
      </w:pPr>
      <w:r w:rsidRPr="00DD76A9">
        <w:tab/>
        <w:t>Кроме того, Комитет просил WP.5 рассмотреть вопросы, касающиеся взаимосвязи между транспортом и городским развитием, в том числе измен</w:t>
      </w:r>
      <w:r w:rsidRPr="00DD76A9">
        <w:t>е</w:t>
      </w:r>
      <w:r w:rsidRPr="00DD76A9">
        <w:t>ния, которые надлежит внести в программу работы WP.5.</w:t>
      </w:r>
    </w:p>
    <w:p w:rsidR="00DD76A9" w:rsidRPr="00703357" w:rsidRDefault="00DD76A9" w:rsidP="00703357">
      <w:pPr>
        <w:pStyle w:val="SingleTxtGR"/>
        <w:rPr>
          <w:b/>
        </w:rPr>
      </w:pPr>
      <w:r w:rsidRPr="00703357">
        <w:rPr>
          <w:b/>
        </w:rPr>
        <w:t>Документация</w:t>
      </w:r>
    </w:p>
    <w:p w:rsidR="00DD76A9" w:rsidRPr="00DD76A9" w:rsidRDefault="00DD76A9" w:rsidP="00DD76A9">
      <w:pPr>
        <w:pStyle w:val="SingleTxtGR"/>
      </w:pPr>
      <w:r w:rsidRPr="00DD76A9">
        <w:t>ECE/TRANS/254, ECE/TRANS/2017/R.1 (для ограниченного распространения)</w:t>
      </w:r>
    </w:p>
    <w:p w:rsidR="00DD76A9" w:rsidRPr="00DD76A9" w:rsidRDefault="00DD76A9" w:rsidP="00703357">
      <w:pPr>
        <w:pStyle w:val="H1GR"/>
      </w:pPr>
      <w:r w:rsidRPr="00DD76A9">
        <w:tab/>
        <w:t>14.</w:t>
      </w:r>
      <w:r w:rsidRPr="00DD76A9">
        <w:tab/>
        <w:t xml:space="preserve">Программа работы, двухгодичная оценка на 2018−2019 годы </w:t>
      </w:r>
      <w:r w:rsidR="00EE0521">
        <w:br/>
      </w:r>
      <w:r w:rsidRPr="00DD76A9">
        <w:t>и план работы на 2018−2022 годы</w:t>
      </w:r>
    </w:p>
    <w:p w:rsidR="00DD76A9" w:rsidRPr="00DD76A9" w:rsidRDefault="00DD76A9" w:rsidP="00703357">
      <w:pPr>
        <w:pStyle w:val="H23GR"/>
      </w:pPr>
      <w:r w:rsidRPr="00DD76A9">
        <w:tab/>
        <w:t>a)</w:t>
      </w:r>
      <w:r w:rsidRPr="00DD76A9">
        <w:tab/>
        <w:t>Проект программы работы и двухгодичная оценка на 2018−2019 годы</w:t>
      </w:r>
    </w:p>
    <w:p w:rsidR="00DD76A9" w:rsidRPr="00DD76A9" w:rsidRDefault="00DD76A9" w:rsidP="00DD76A9">
      <w:pPr>
        <w:pStyle w:val="SingleTxtGR"/>
      </w:pPr>
      <w:r w:rsidRPr="00DD76A9">
        <w:tab/>
        <w:t>Рабочая группа, возможно, пожелает напомнить, что на своей двадцать восьмой сессии, состоявшейся 7−9 сентября 2015 года, она одобрила показат</w:t>
      </w:r>
      <w:r w:rsidRPr="00DD76A9">
        <w:t>е</w:t>
      </w:r>
      <w:r w:rsidRPr="00DD76A9">
        <w:t>ли достижений для оценки ожидаемых результатов в 2016 и 2017 годах (ECE/TRANS/WP.5/58, пункт 79). В соответствии с решением Комитета по внутреннему транспорту о рассмотрении программы работы каждые два года и о проведении следующего обзора в 2018 году Рабочая группа, возможно, пож</w:t>
      </w:r>
      <w:r w:rsidRPr="00DD76A9">
        <w:t>е</w:t>
      </w:r>
      <w:r w:rsidRPr="00DD76A9">
        <w:t>лает обсудить и утвердить свою программу работы на 2018–2019 годы, а также соответствующие параметры для двухгодичной оценки. Проект программы р</w:t>
      </w:r>
      <w:r w:rsidRPr="00DD76A9">
        <w:t>а</w:t>
      </w:r>
      <w:r w:rsidRPr="00DD76A9">
        <w:t>боты на 2018–2019 годы и показатели достижения ожидаемых результатов с</w:t>
      </w:r>
      <w:r w:rsidRPr="00DD76A9">
        <w:t>о</w:t>
      </w:r>
      <w:r w:rsidRPr="00DD76A9">
        <w:t>держатся в документе ECE/TRANS/WP.5/2017/4.</w:t>
      </w:r>
    </w:p>
    <w:p w:rsidR="00DD76A9" w:rsidRPr="00DD76A9" w:rsidRDefault="00DD76A9" w:rsidP="00703357">
      <w:pPr>
        <w:pStyle w:val="SingleTxtGR"/>
        <w:rPr>
          <w:b/>
        </w:rPr>
      </w:pPr>
      <w:r w:rsidRPr="00DD76A9">
        <w:rPr>
          <w:b/>
        </w:rPr>
        <w:t>Документация</w:t>
      </w:r>
    </w:p>
    <w:p w:rsidR="00DD76A9" w:rsidRPr="00DD76A9" w:rsidRDefault="00DD76A9" w:rsidP="00DD76A9">
      <w:pPr>
        <w:pStyle w:val="SingleTxtGR"/>
      </w:pPr>
      <w:r w:rsidRPr="00DD76A9">
        <w:t>ECE/TRANS/WP.5/2017/4</w:t>
      </w:r>
    </w:p>
    <w:p w:rsidR="00DD76A9" w:rsidRPr="00DD76A9" w:rsidRDefault="00DD76A9" w:rsidP="00703357">
      <w:pPr>
        <w:pStyle w:val="H23GR"/>
      </w:pPr>
      <w:r w:rsidRPr="00DD76A9">
        <w:tab/>
        <w:t>b)</w:t>
      </w:r>
      <w:r w:rsidRPr="00DD76A9">
        <w:tab/>
        <w:t>Проект плана работы на 2018−2022 годы</w:t>
      </w:r>
    </w:p>
    <w:p w:rsidR="00DD76A9" w:rsidRPr="00DD76A9" w:rsidRDefault="00DD76A9" w:rsidP="00DD76A9">
      <w:pPr>
        <w:pStyle w:val="SingleTxtGR"/>
      </w:pPr>
      <w:r w:rsidRPr="00DD76A9">
        <w:tab/>
        <w:t xml:space="preserve">Комитет на своей семьдесят восьмой сессии (Женева, 23–26 февраля </w:t>
      </w:r>
      <w:r w:rsidR="00EE0521">
        <w:br/>
      </w:r>
      <w:r w:rsidRPr="00DD76A9">
        <w:t xml:space="preserve">2016 года) отметил (ECE/TRANS/254, пункт 159), что четырехгодичный план работы в прошлом зарекомендовал себя как весьма полезный с точки зрения предоставления мандатов для работы вспомогательных органов Комитета в четные годы, выполняя роль </w:t>
      </w:r>
      <w:r w:rsidR="00FA009A">
        <w:t>«</w:t>
      </w:r>
      <w:r w:rsidRPr="00DD76A9">
        <w:t>моста</w:t>
      </w:r>
      <w:r w:rsidR="00FA009A">
        <w:t>»</w:t>
      </w:r>
      <w:r w:rsidRPr="00DD76A9">
        <w:t>, который охватывает месяцы между ко</w:t>
      </w:r>
      <w:r w:rsidRPr="00DD76A9">
        <w:t>н</w:t>
      </w:r>
      <w:r w:rsidRPr="00DD76A9">
        <w:t>цом двухгодичного периода и моментом утверждения Комитетом программы работы на следующий двухгодичный период. Однако, после того как в 2015 г</w:t>
      </w:r>
      <w:r w:rsidRPr="00DD76A9">
        <w:t>о</w:t>
      </w:r>
      <w:r w:rsidRPr="00DD76A9">
        <w:t>ду в формат программы работы были внесены изменения, подобный документ по четырехгодичному плану работы, возможно, больше не понадобится. С уч</w:t>
      </w:r>
      <w:r w:rsidRPr="00DD76A9">
        <w:t>е</w:t>
      </w:r>
      <w:r w:rsidRPr="00DD76A9">
        <w:t>том этого Комитет принял решение о прекращении выпуска такого документа в будущем.</w:t>
      </w:r>
    </w:p>
    <w:p w:rsidR="00DD76A9" w:rsidRPr="00DD76A9" w:rsidRDefault="00DD76A9" w:rsidP="00703357">
      <w:pPr>
        <w:pStyle w:val="H1GR"/>
      </w:pPr>
      <w:r w:rsidRPr="00DD76A9">
        <w:tab/>
        <w:t>15.</w:t>
      </w:r>
      <w:r w:rsidRPr="00DD76A9">
        <w:tab/>
        <w:t>Прочие вопросы</w:t>
      </w:r>
    </w:p>
    <w:p w:rsidR="00DD76A9" w:rsidRPr="00DD76A9" w:rsidRDefault="00DD76A9" w:rsidP="00DD76A9">
      <w:pPr>
        <w:pStyle w:val="SingleTxtGR"/>
      </w:pPr>
      <w:r w:rsidRPr="00DD76A9">
        <w:tab/>
        <w:t>На момент составления настоящей повестки дня никаких предложений по этому пункту не поступило.</w:t>
      </w:r>
    </w:p>
    <w:p w:rsidR="00DD76A9" w:rsidRPr="00DD76A9" w:rsidRDefault="00DD76A9" w:rsidP="00703357">
      <w:pPr>
        <w:pStyle w:val="H1GR"/>
      </w:pPr>
      <w:r w:rsidRPr="00DD76A9">
        <w:tab/>
        <w:t>16.</w:t>
      </w:r>
      <w:r w:rsidRPr="00DD76A9">
        <w:tab/>
        <w:t>Сроки проведения следующей сессии</w:t>
      </w:r>
    </w:p>
    <w:p w:rsidR="00DD76A9" w:rsidRPr="00DD76A9" w:rsidRDefault="00DD76A9" w:rsidP="00DD76A9">
      <w:pPr>
        <w:pStyle w:val="SingleTxtGR"/>
      </w:pPr>
      <w:r w:rsidRPr="00DD76A9">
        <w:tab/>
        <w:t xml:space="preserve">Тридцать первую сессию Рабочей группы в предварительном порядке планируется провести в Женеве 4−6 сентября 2018 года. </w:t>
      </w:r>
    </w:p>
    <w:p w:rsidR="00DD76A9" w:rsidRPr="00DD76A9" w:rsidRDefault="00DD76A9" w:rsidP="00703357">
      <w:pPr>
        <w:pStyle w:val="H1GR"/>
      </w:pPr>
      <w:r w:rsidRPr="00DD76A9">
        <w:tab/>
        <w:t>17.</w:t>
      </w:r>
      <w:r w:rsidRPr="00DD76A9">
        <w:tab/>
        <w:t xml:space="preserve">Утверждение основных решений </w:t>
      </w:r>
    </w:p>
    <w:p w:rsidR="00DD76A9" w:rsidRPr="00DD76A9" w:rsidRDefault="00DD76A9" w:rsidP="00DD76A9">
      <w:pPr>
        <w:pStyle w:val="SingleTxtGR"/>
      </w:pPr>
      <w:r w:rsidRPr="00DD76A9">
        <w:tab/>
        <w:t>В соответствии с постановлением Рабочей группы, вынесенным на ее пятнадцатой сессии (TRANS/WP.5/32, пункт 56), решения, принятые на сессии, утверждаются в конце сессии. Доклад о работе сессии, включая принятые на ней решения, будет подготовлен Председателем и заместителем Председателя при содействии секретариата для представления Комитету по внутреннему транспорту.</w:t>
      </w:r>
    </w:p>
    <w:p w:rsidR="00DD76A9" w:rsidRPr="00703357" w:rsidRDefault="00703357" w:rsidP="00703357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D76A9" w:rsidRPr="00703357" w:rsidSect="00DD76A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C7F" w:rsidRPr="00A312BC" w:rsidRDefault="000A2C7F" w:rsidP="00A312BC"/>
  </w:endnote>
  <w:endnote w:type="continuationSeparator" w:id="0">
    <w:p w:rsidR="000A2C7F" w:rsidRPr="00A312BC" w:rsidRDefault="000A2C7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6A9" w:rsidRPr="00DD76A9" w:rsidRDefault="00DD76A9">
    <w:pPr>
      <w:pStyle w:val="Footer"/>
    </w:pPr>
    <w:r w:rsidRPr="00DD76A9">
      <w:rPr>
        <w:b/>
        <w:sz w:val="18"/>
      </w:rPr>
      <w:fldChar w:fldCharType="begin"/>
    </w:r>
    <w:r w:rsidRPr="00DD76A9">
      <w:rPr>
        <w:b/>
        <w:sz w:val="18"/>
      </w:rPr>
      <w:instrText xml:space="preserve"> PAGE  \* MERGEFORMAT </w:instrText>
    </w:r>
    <w:r w:rsidRPr="00DD76A9">
      <w:rPr>
        <w:b/>
        <w:sz w:val="18"/>
      </w:rPr>
      <w:fldChar w:fldCharType="separate"/>
    </w:r>
    <w:r w:rsidR="001578DF">
      <w:rPr>
        <w:b/>
        <w:noProof/>
        <w:sz w:val="18"/>
      </w:rPr>
      <w:t>10</w:t>
    </w:r>
    <w:r w:rsidRPr="00DD76A9">
      <w:rPr>
        <w:b/>
        <w:sz w:val="18"/>
      </w:rPr>
      <w:fldChar w:fldCharType="end"/>
    </w:r>
    <w:r>
      <w:rPr>
        <w:b/>
        <w:sz w:val="18"/>
      </w:rPr>
      <w:tab/>
    </w:r>
    <w:r>
      <w:t>GE.17-10101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6A9" w:rsidRPr="00DD76A9" w:rsidRDefault="00DD76A9" w:rsidP="00DD76A9">
    <w:pPr>
      <w:pStyle w:val="Footer"/>
      <w:tabs>
        <w:tab w:val="clear" w:pos="9639"/>
        <w:tab w:val="right" w:pos="9638"/>
      </w:tabs>
      <w:rPr>
        <w:b/>
        <w:sz w:val="18"/>
      </w:rPr>
    </w:pPr>
    <w:r>
      <w:t>GE.17-10101</w:t>
    </w:r>
    <w:r>
      <w:tab/>
    </w:r>
    <w:r w:rsidRPr="00DD76A9">
      <w:rPr>
        <w:b/>
        <w:sz w:val="18"/>
      </w:rPr>
      <w:fldChar w:fldCharType="begin"/>
    </w:r>
    <w:r w:rsidRPr="00DD76A9">
      <w:rPr>
        <w:b/>
        <w:sz w:val="18"/>
      </w:rPr>
      <w:instrText xml:space="preserve"> PAGE  \* MERGEFORMAT </w:instrText>
    </w:r>
    <w:r w:rsidRPr="00DD76A9">
      <w:rPr>
        <w:b/>
        <w:sz w:val="18"/>
      </w:rPr>
      <w:fldChar w:fldCharType="separate"/>
    </w:r>
    <w:r w:rsidR="001578DF">
      <w:rPr>
        <w:b/>
        <w:noProof/>
        <w:sz w:val="18"/>
      </w:rPr>
      <w:t>9</w:t>
    </w:r>
    <w:r w:rsidRPr="00DD76A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DD76A9" w:rsidRDefault="00DD76A9" w:rsidP="00DD76A9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A19CBCB" wp14:editId="6AABE2C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17-10101  (R)</w:t>
    </w:r>
    <w:r w:rsidR="0090376B">
      <w:rPr>
        <w:lang w:val="en-US"/>
      </w:rPr>
      <w:t xml:space="preserve">  120717  120717</w:t>
    </w:r>
    <w:r>
      <w:br/>
    </w:r>
    <w:r w:rsidRPr="00DD76A9">
      <w:rPr>
        <w:rFonts w:ascii="C39T30Lfz" w:hAnsi="C39T30Lfz"/>
        <w:spacing w:val="0"/>
        <w:w w:val="100"/>
        <w:sz w:val="56"/>
      </w:rPr>
      <w:t></w:t>
    </w:r>
    <w:r w:rsidRPr="00DD76A9">
      <w:rPr>
        <w:rFonts w:ascii="C39T30Lfz" w:hAnsi="C39T30Lfz"/>
        <w:spacing w:val="0"/>
        <w:w w:val="100"/>
        <w:sz w:val="56"/>
      </w:rPr>
      <w:t></w:t>
    </w:r>
    <w:r w:rsidRPr="00DD76A9">
      <w:rPr>
        <w:rFonts w:ascii="C39T30Lfz" w:hAnsi="C39T30Lfz"/>
        <w:spacing w:val="0"/>
        <w:w w:val="100"/>
        <w:sz w:val="56"/>
      </w:rPr>
      <w:t></w:t>
    </w:r>
    <w:r w:rsidRPr="00DD76A9">
      <w:rPr>
        <w:rFonts w:ascii="C39T30Lfz" w:hAnsi="C39T30Lfz"/>
        <w:spacing w:val="0"/>
        <w:w w:val="100"/>
        <w:sz w:val="56"/>
      </w:rPr>
      <w:t></w:t>
    </w:r>
    <w:r w:rsidRPr="00DD76A9">
      <w:rPr>
        <w:rFonts w:ascii="C39T30Lfz" w:hAnsi="C39T30Lfz"/>
        <w:spacing w:val="0"/>
        <w:w w:val="100"/>
        <w:sz w:val="56"/>
      </w:rPr>
      <w:t></w:t>
    </w:r>
    <w:r w:rsidRPr="00DD76A9">
      <w:rPr>
        <w:rFonts w:ascii="C39T30Lfz" w:hAnsi="C39T30Lfz"/>
        <w:spacing w:val="0"/>
        <w:w w:val="100"/>
        <w:sz w:val="56"/>
      </w:rPr>
      <w:t></w:t>
    </w:r>
    <w:r w:rsidRPr="00DD76A9">
      <w:rPr>
        <w:rFonts w:ascii="C39T30Lfz" w:hAnsi="C39T30Lfz"/>
        <w:spacing w:val="0"/>
        <w:w w:val="100"/>
        <w:sz w:val="56"/>
      </w:rPr>
      <w:t></w:t>
    </w:r>
    <w:r w:rsidRPr="00DD76A9">
      <w:rPr>
        <w:rFonts w:ascii="C39T30Lfz" w:hAnsi="C39T30Lfz"/>
        <w:spacing w:val="0"/>
        <w:w w:val="100"/>
        <w:sz w:val="56"/>
      </w:rPr>
      <w:t></w:t>
    </w:r>
    <w:r w:rsidRPr="00DD76A9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 wp14:anchorId="5F285A7D" wp14:editId="2A2457F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ECE/TRANS/WP.5/6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5/6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C7F" w:rsidRPr="001075E9" w:rsidRDefault="000A2C7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A2C7F" w:rsidRDefault="000A2C7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DD76A9" w:rsidRPr="0090376B" w:rsidRDefault="00DD76A9" w:rsidP="00DD76A9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>
        <w:rPr>
          <w:rStyle w:val="FootnoteReference"/>
          <w:lang w:val="ru-RU"/>
        </w:rPr>
        <w:footnoteRef/>
      </w:r>
      <w:r>
        <w:rPr>
          <w:lang w:val="ru-RU"/>
        </w:rPr>
        <w:tab/>
        <w:t xml:space="preserve">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</w:t>
      </w:r>
      <w:r w:rsidRPr="0090376B">
        <w:rPr>
          <w:lang w:val="ru-RU"/>
        </w:rPr>
        <w:t>можно загрузить с веб-сайта Отдела транспорта ЕЭК ООН в Интернете (</w:t>
      </w:r>
      <w:hyperlink r:id="rId1" w:history="1">
        <w:r w:rsidRPr="0090376B">
          <w:rPr>
            <w:rStyle w:val="Hyperlink"/>
            <w:color w:val="auto"/>
            <w:lang w:val="ru-RU"/>
          </w:rPr>
          <w:t>www.unece.org/trans/main/wp5/wp5.html</w:t>
        </w:r>
      </w:hyperlink>
      <w:r w:rsidRPr="0090376B">
        <w:rPr>
          <w:lang w:val="ru-RU"/>
        </w:rPr>
        <w:t xml:space="preserve">). В ходе сессии официальные документы можно получить в Секции распространения документов ЮНОГ (комната C.337, третий этаж, Дворец Наций). </w:t>
      </w:r>
    </w:p>
  </w:footnote>
  <w:footnote w:id="2">
    <w:p w:rsidR="00DD76A9" w:rsidRPr="0090376B" w:rsidRDefault="00DD76A9" w:rsidP="00DD76A9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 w:rsidRPr="0090376B">
        <w:rPr>
          <w:lang w:val="ru-RU"/>
        </w:rPr>
        <w:tab/>
      </w:r>
      <w:r w:rsidRPr="0090376B">
        <w:rPr>
          <w:rStyle w:val="FootnoteReference"/>
          <w:lang w:val="ru-RU"/>
        </w:rPr>
        <w:footnoteRef/>
      </w:r>
      <w:r w:rsidRPr="0090376B">
        <w:rPr>
          <w:lang w:val="ru-RU"/>
        </w:rPr>
        <w:tab/>
        <w:t xml:space="preserve">Делегатам необходимо зарегистрироваться онлайн по адресу </w:t>
      </w:r>
      <w:hyperlink r:id="rId2" w:history="1">
        <w:r w:rsidRPr="0090376B">
          <w:rPr>
            <w:rStyle w:val="Hyperlink"/>
            <w:color w:val="auto"/>
            <w:lang w:val="ru-RU"/>
          </w:rPr>
          <w:t>www2.unece.org/uncdb/</w:t>
        </w:r>
        <w:r w:rsidR="007C7E49">
          <w:rPr>
            <w:rStyle w:val="Hyperlink"/>
            <w:color w:val="auto"/>
            <w:lang w:val="ru-RU"/>
          </w:rPr>
          <w:br/>
        </w:r>
        <w:r w:rsidRPr="0090376B">
          <w:rPr>
            <w:rStyle w:val="Hyperlink"/>
            <w:color w:val="auto"/>
            <w:lang w:val="ru-RU"/>
          </w:rPr>
          <w:t>app/ext/meeting-registration?id=es3NXo</w:t>
        </w:r>
      </w:hyperlink>
      <w:r w:rsidRPr="0090376B">
        <w:rPr>
          <w:lang w:val="ru-RU"/>
        </w:rPr>
        <w:t xml:space="preserve"> либо заполнить регистрационный бланк, который можно загрузить с веб-сайта Отдела транспорта ЕЭК ООН (</w:t>
      </w:r>
      <w:hyperlink r:id="rId3" w:history="1">
        <w:r w:rsidR="007C7E49" w:rsidRPr="001555E2">
          <w:rPr>
            <w:rStyle w:val="Hyperlink"/>
            <w:color w:val="auto"/>
            <w:lang w:val="ru-RU"/>
          </w:rPr>
          <w:t>www.unece.org/</w:t>
        </w:r>
        <w:r w:rsidR="007C7E49" w:rsidRPr="001555E2">
          <w:rPr>
            <w:rStyle w:val="Hyperlink"/>
            <w:color w:val="auto"/>
            <w:lang w:val="ru-RU"/>
          </w:rPr>
          <w:br/>
          <w:t>trans/registfr.html</w:t>
        </w:r>
      </w:hyperlink>
      <w:r w:rsidRPr="0090376B">
        <w:rPr>
          <w:lang w:val="ru-RU"/>
        </w:rPr>
        <w:t>). Его следует передать в секретариат ЕЭК ООН не позднее чем за две недели до начала сессии по электронной почте (</w:t>
      </w:r>
      <w:hyperlink r:id="rId4" w:history="1">
        <w:r w:rsidRPr="0090376B">
          <w:rPr>
            <w:rStyle w:val="Hyperlink"/>
            <w:color w:val="auto"/>
            <w:lang w:val="ru-RU"/>
          </w:rPr>
          <w:t>maria.mostovets@unece.org</w:t>
        </w:r>
      </w:hyperlink>
      <w:r w:rsidRPr="0090376B">
        <w:rPr>
          <w:lang w:val="ru-RU"/>
        </w:rPr>
        <w:t xml:space="preserve">) или по факсу (+41 22 917 0039). Делегатам следует получить пропуск в Секции охраны и безопасности ЮНОГ, которая находится у въезда со стороны Прени (Pregny Gate, </w:t>
      </w:r>
      <w:r w:rsidR="0090376B" w:rsidRPr="0090376B">
        <w:rPr>
          <w:lang w:val="ru-RU"/>
        </w:rPr>
        <w:br/>
      </w:r>
      <w:r w:rsidRPr="0090376B">
        <w:rPr>
          <w:lang w:val="ru-RU"/>
        </w:rPr>
        <w:t xml:space="preserve">14, Avenue de la Paix) (см. схему на нашем веб-сайте </w:t>
      </w:r>
      <w:hyperlink r:id="rId5" w:history="1">
        <w:r w:rsidR="001555E2" w:rsidRPr="001555E2">
          <w:rPr>
            <w:rStyle w:val="Hyperlink"/>
            <w:color w:val="auto"/>
            <w:lang w:val="ru-RU"/>
          </w:rPr>
          <w:t>www.unece.org/meetings/</w:t>
        </w:r>
        <w:r w:rsidR="001555E2" w:rsidRPr="001555E2">
          <w:rPr>
            <w:rStyle w:val="Hyperlink"/>
            <w:color w:val="auto"/>
            <w:lang w:val="ru-RU"/>
          </w:rPr>
          <w:br/>
          <w:t>practical.htm</w:t>
        </w:r>
      </w:hyperlink>
      <w:r w:rsidRPr="0090376B">
        <w:rPr>
          <w:lang w:val="ru-RU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6A9" w:rsidRPr="00DD76A9" w:rsidRDefault="00C23514">
    <w:pPr>
      <w:pStyle w:val="Header"/>
    </w:pPr>
    <w:fldSimple w:instr=" TITLE  \* MERGEFORMAT ">
      <w:r w:rsidR="00101013">
        <w:t>ECE/TRANS/WP.5/61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6A9" w:rsidRPr="00DD76A9" w:rsidRDefault="00C23514" w:rsidP="00DD76A9">
    <w:pPr>
      <w:pStyle w:val="Header"/>
      <w:jc w:val="right"/>
    </w:pPr>
    <w:fldSimple w:instr=" TITLE  \* MERGEFORMAT ">
      <w:r w:rsidR="00101013">
        <w:t>ECE/TRANS/WP.5/61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5"/>
  </w:num>
  <w:num w:numId="20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7F"/>
    <w:rsid w:val="00033EE1"/>
    <w:rsid w:val="00042B72"/>
    <w:rsid w:val="000558BD"/>
    <w:rsid w:val="000A2C7F"/>
    <w:rsid w:val="000B57E7"/>
    <w:rsid w:val="000B6373"/>
    <w:rsid w:val="000E4E5B"/>
    <w:rsid w:val="000F09DF"/>
    <w:rsid w:val="000F61B2"/>
    <w:rsid w:val="000F6982"/>
    <w:rsid w:val="00101013"/>
    <w:rsid w:val="001075E9"/>
    <w:rsid w:val="0014152F"/>
    <w:rsid w:val="001555E2"/>
    <w:rsid w:val="001578DF"/>
    <w:rsid w:val="00180183"/>
    <w:rsid w:val="0018024D"/>
    <w:rsid w:val="0018649F"/>
    <w:rsid w:val="00196389"/>
    <w:rsid w:val="001967E1"/>
    <w:rsid w:val="001B3EF6"/>
    <w:rsid w:val="001C7A89"/>
    <w:rsid w:val="00252572"/>
    <w:rsid w:val="00255343"/>
    <w:rsid w:val="0027151D"/>
    <w:rsid w:val="002A2EFC"/>
    <w:rsid w:val="002B0106"/>
    <w:rsid w:val="002B1B4B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A2142"/>
    <w:rsid w:val="005D7914"/>
    <w:rsid w:val="005E2B41"/>
    <w:rsid w:val="005F0B42"/>
    <w:rsid w:val="006345DB"/>
    <w:rsid w:val="00640F49"/>
    <w:rsid w:val="00680D03"/>
    <w:rsid w:val="00681A10"/>
    <w:rsid w:val="006849C1"/>
    <w:rsid w:val="006A1ED8"/>
    <w:rsid w:val="006C2031"/>
    <w:rsid w:val="006D461A"/>
    <w:rsid w:val="006F35EE"/>
    <w:rsid w:val="007021FF"/>
    <w:rsid w:val="00703357"/>
    <w:rsid w:val="00712895"/>
    <w:rsid w:val="0071529A"/>
    <w:rsid w:val="00734ACB"/>
    <w:rsid w:val="00757357"/>
    <w:rsid w:val="00792497"/>
    <w:rsid w:val="007C7E49"/>
    <w:rsid w:val="00806737"/>
    <w:rsid w:val="00825F8D"/>
    <w:rsid w:val="00834B71"/>
    <w:rsid w:val="0084015B"/>
    <w:rsid w:val="0086445C"/>
    <w:rsid w:val="00894693"/>
    <w:rsid w:val="008A08D7"/>
    <w:rsid w:val="008A37C8"/>
    <w:rsid w:val="008B26C0"/>
    <w:rsid w:val="008B6909"/>
    <w:rsid w:val="008D53B6"/>
    <w:rsid w:val="008F376C"/>
    <w:rsid w:val="008F7609"/>
    <w:rsid w:val="0090376B"/>
    <w:rsid w:val="00906890"/>
    <w:rsid w:val="00910640"/>
    <w:rsid w:val="00911BE4"/>
    <w:rsid w:val="00951972"/>
    <w:rsid w:val="009608F3"/>
    <w:rsid w:val="009A24AC"/>
    <w:rsid w:val="009C6FE6"/>
    <w:rsid w:val="00A14DA8"/>
    <w:rsid w:val="00A312BC"/>
    <w:rsid w:val="00A5027A"/>
    <w:rsid w:val="00A84021"/>
    <w:rsid w:val="00A84D35"/>
    <w:rsid w:val="00A917B3"/>
    <w:rsid w:val="00AA2EF2"/>
    <w:rsid w:val="00AA6922"/>
    <w:rsid w:val="00AB4B51"/>
    <w:rsid w:val="00AC7AC2"/>
    <w:rsid w:val="00AD07B0"/>
    <w:rsid w:val="00B10CC7"/>
    <w:rsid w:val="00B11024"/>
    <w:rsid w:val="00B36DF7"/>
    <w:rsid w:val="00B45669"/>
    <w:rsid w:val="00B539E7"/>
    <w:rsid w:val="00B62458"/>
    <w:rsid w:val="00BC18B2"/>
    <w:rsid w:val="00BD33EE"/>
    <w:rsid w:val="00BE1CC7"/>
    <w:rsid w:val="00C106D6"/>
    <w:rsid w:val="00C119AE"/>
    <w:rsid w:val="00C23514"/>
    <w:rsid w:val="00C60F0C"/>
    <w:rsid w:val="00C6445A"/>
    <w:rsid w:val="00C66EB7"/>
    <w:rsid w:val="00C805C9"/>
    <w:rsid w:val="00C92939"/>
    <w:rsid w:val="00CA1679"/>
    <w:rsid w:val="00CB151C"/>
    <w:rsid w:val="00CE5A1A"/>
    <w:rsid w:val="00CF55F6"/>
    <w:rsid w:val="00CF5F01"/>
    <w:rsid w:val="00D33D63"/>
    <w:rsid w:val="00D47D0F"/>
    <w:rsid w:val="00D5253A"/>
    <w:rsid w:val="00D90028"/>
    <w:rsid w:val="00D90138"/>
    <w:rsid w:val="00DD76A9"/>
    <w:rsid w:val="00DD78D1"/>
    <w:rsid w:val="00DE32CD"/>
    <w:rsid w:val="00DF5767"/>
    <w:rsid w:val="00DF71B9"/>
    <w:rsid w:val="00E12C5F"/>
    <w:rsid w:val="00E12DDB"/>
    <w:rsid w:val="00E23C6B"/>
    <w:rsid w:val="00E37BD4"/>
    <w:rsid w:val="00E73F76"/>
    <w:rsid w:val="00EA2C9F"/>
    <w:rsid w:val="00EA420E"/>
    <w:rsid w:val="00ED0BDA"/>
    <w:rsid w:val="00EE0521"/>
    <w:rsid w:val="00EE142A"/>
    <w:rsid w:val="00EF1360"/>
    <w:rsid w:val="00EF3220"/>
    <w:rsid w:val="00F2523A"/>
    <w:rsid w:val="00F43903"/>
    <w:rsid w:val="00F94155"/>
    <w:rsid w:val="00F9783F"/>
    <w:rsid w:val="00FA009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Bullet1G">
    <w:name w:val="_Bullet 1_G"/>
    <w:basedOn w:val="Normal"/>
    <w:rsid w:val="00DD76A9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Bullet2G">
    <w:name w:val="_Bullet 2_G"/>
    <w:basedOn w:val="Normal"/>
    <w:rsid w:val="00DD76A9"/>
    <w:pPr>
      <w:numPr>
        <w:numId w:val="20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Bullet1G">
    <w:name w:val="_Bullet 1_G"/>
    <w:basedOn w:val="Normal"/>
    <w:rsid w:val="00DD76A9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Bullet2G">
    <w:name w:val="_Bullet 2_G"/>
    <w:basedOn w:val="Normal"/>
    <w:rsid w:val="00DD76A9"/>
    <w:pPr>
      <w:numPr>
        <w:numId w:val="20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ece.org/trans/registfr.html" TargetMode="External"/><Relationship Id="rId2" Type="http://schemas.openxmlformats.org/officeDocument/2006/relationships/hyperlink" Target="http://www2.unece.org/uncdb/app/ext/meeting-registration?id=es3NXo" TargetMode="External"/><Relationship Id="rId1" Type="http://schemas.openxmlformats.org/officeDocument/2006/relationships/hyperlink" Target="http://www.unece.org/trans/main/wp5/wp5.html" TargetMode="External"/><Relationship Id="rId5" Type="http://schemas.openxmlformats.org/officeDocument/2006/relationships/hyperlink" Target="http://www.unece.org/meetings/practical.htm" TargetMode="External"/><Relationship Id="rId4" Type="http://schemas.openxmlformats.org/officeDocument/2006/relationships/hyperlink" Target="mailto:maria.mostovets@unece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3432</Words>
  <Characters>19567</Characters>
  <Application>Microsoft Office Word</Application>
  <DocSecurity>4</DocSecurity>
  <Lines>163</Lines>
  <Paragraphs>45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ECE/TRANS/WP.5/61</vt:lpstr>
      <vt:lpstr>ECE/TRANS/WP.5/61</vt:lpstr>
      <vt:lpstr>A/</vt:lpstr>
    </vt:vector>
  </TitlesOfParts>
  <Company>DCM</Company>
  <LinksUpToDate>false</LinksUpToDate>
  <CharactersWithSpaces>22954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ECE/TRANS/WP.5/61</dc:title>
  <dc:creator>Prokoudina S.</dc:creator>
  <cp:lastModifiedBy>Maria Mostovets</cp:lastModifiedBy>
  <cp:revision>2</cp:revision>
  <cp:lastPrinted>2017-07-12T15:11:00Z</cp:lastPrinted>
  <dcterms:created xsi:type="dcterms:W3CDTF">2017-07-18T12:53:00Z</dcterms:created>
  <dcterms:modified xsi:type="dcterms:W3CDTF">2017-07-18T12:53:00Z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