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D3" w:rsidRPr="00AC0A56" w:rsidRDefault="00C11267" w:rsidP="00CD4506">
      <w:pPr>
        <w:pStyle w:val="HChG"/>
        <w:tabs>
          <w:tab w:val="clear" w:pos="851"/>
        </w:tabs>
        <w:ind w:left="567" w:right="401" w:firstLine="0"/>
        <w:jc w:val="both"/>
        <w:rPr>
          <w:sz w:val="26"/>
          <w:szCs w:val="26"/>
        </w:rPr>
      </w:pPr>
      <w:r w:rsidRPr="00AC0A56">
        <w:rPr>
          <w:sz w:val="26"/>
          <w:szCs w:val="26"/>
        </w:rPr>
        <w:t>Proposal for amendment</w:t>
      </w:r>
      <w:r w:rsidR="00D4713D">
        <w:rPr>
          <w:sz w:val="26"/>
          <w:szCs w:val="26"/>
        </w:rPr>
        <w:t>s</w:t>
      </w:r>
      <w:r w:rsidRPr="00AC0A56">
        <w:rPr>
          <w:sz w:val="26"/>
          <w:szCs w:val="26"/>
        </w:rPr>
        <w:t xml:space="preserve"> to </w:t>
      </w:r>
      <w:r w:rsidR="00D4713D">
        <w:rPr>
          <w:sz w:val="26"/>
          <w:szCs w:val="26"/>
        </w:rPr>
        <w:t xml:space="preserve">UN </w:t>
      </w:r>
      <w:r w:rsidRPr="00AC0A56">
        <w:rPr>
          <w:sz w:val="26"/>
          <w:szCs w:val="26"/>
        </w:rPr>
        <w:t>R</w:t>
      </w:r>
      <w:r w:rsidR="00D4713D">
        <w:rPr>
          <w:sz w:val="26"/>
          <w:szCs w:val="26"/>
        </w:rPr>
        <w:t xml:space="preserve">egulation No. </w:t>
      </w:r>
      <w:r w:rsidRPr="00AC0A56">
        <w:rPr>
          <w:sz w:val="26"/>
          <w:szCs w:val="26"/>
        </w:rPr>
        <w:t>46</w:t>
      </w:r>
      <w:r w:rsidR="00D4713D">
        <w:rPr>
          <w:sz w:val="26"/>
          <w:szCs w:val="26"/>
        </w:rPr>
        <w:t>,</w:t>
      </w:r>
      <w:r w:rsidRPr="00AC0A56">
        <w:rPr>
          <w:sz w:val="26"/>
          <w:szCs w:val="26"/>
        </w:rPr>
        <w:t xml:space="preserve"> 04 se</w:t>
      </w:r>
      <w:r w:rsidR="00AC0A56">
        <w:rPr>
          <w:sz w:val="26"/>
          <w:szCs w:val="26"/>
        </w:rPr>
        <w:t>ries of amendments</w:t>
      </w:r>
    </w:p>
    <w:p w:rsidR="00C11267" w:rsidRDefault="00AC0A56" w:rsidP="00CD4506">
      <w:pPr>
        <w:ind w:left="567" w:right="401" w:firstLine="567"/>
        <w:jc w:val="both"/>
        <w:rPr>
          <w:rFonts w:ascii="Arial" w:hAnsi="Arial" w:cs="Arial"/>
          <w:sz w:val="20"/>
          <w:szCs w:val="20"/>
        </w:rPr>
      </w:pPr>
      <w:r w:rsidRPr="00AC0A56">
        <w:rPr>
          <w:rFonts w:ascii="Times New Roman" w:hAnsi="Times New Roman" w:cs="Times New Roman"/>
        </w:rPr>
        <w:t xml:space="preserve">The text reproduced below was prepared by the expert from OICA to </w:t>
      </w:r>
      <w:r>
        <w:rPr>
          <w:rFonts w:ascii="Times New Roman" w:hAnsi="Times New Roman" w:cs="Times New Roman"/>
        </w:rPr>
        <w:t>clarify the requirements with regard to overlays in CMS respecting the spirit of the decisions of the informal group on Camera Monitor Systems</w:t>
      </w:r>
      <w:r w:rsidRPr="00AC0A56">
        <w:rPr>
          <w:rFonts w:ascii="Times New Roman" w:hAnsi="Times New Roman" w:cs="Times New Roman"/>
        </w:rPr>
        <w:t xml:space="preserve">. The modifications to the current text of </w:t>
      </w:r>
      <w:r w:rsidR="00D4713D">
        <w:rPr>
          <w:rFonts w:ascii="Times New Roman" w:hAnsi="Times New Roman" w:cs="Times New Roman"/>
        </w:rPr>
        <w:t xml:space="preserve">UN </w:t>
      </w:r>
      <w:r w:rsidRPr="00AC0A56">
        <w:rPr>
          <w:rFonts w:ascii="Times New Roman" w:hAnsi="Times New Roman" w:cs="Times New Roman"/>
        </w:rPr>
        <w:t>Regulation No. 43 are marked in bold characters for new and strikethrough for deleted characters</w:t>
      </w:r>
      <w:r w:rsidRPr="00AC0A56">
        <w:rPr>
          <w:rFonts w:ascii="Times New Roman" w:hAnsi="Times New Roman" w:cs="Times New Roman"/>
          <w:lang w:val="en-US"/>
        </w:rPr>
        <w:t>.</w:t>
      </w:r>
    </w:p>
    <w:p w:rsidR="00AC0A56" w:rsidRPr="00AC0A56" w:rsidRDefault="00AC0A56" w:rsidP="00CD4506">
      <w:pPr>
        <w:spacing w:before="360" w:after="240"/>
        <w:ind w:left="1134" w:right="401" w:hanging="567"/>
        <w:jc w:val="both"/>
        <w:rPr>
          <w:rFonts w:ascii="Times New Roman" w:hAnsi="Times New Roman" w:cs="Times New Roman"/>
          <w:b/>
          <w:sz w:val="28"/>
        </w:rPr>
      </w:pPr>
      <w:r w:rsidRPr="00AC0A56">
        <w:rPr>
          <w:rFonts w:ascii="Times New Roman" w:hAnsi="Times New Roman" w:cs="Times New Roman"/>
          <w:b/>
          <w:sz w:val="28"/>
        </w:rPr>
        <w:t>I.</w:t>
      </w:r>
      <w:r w:rsidRPr="00AC0A56">
        <w:rPr>
          <w:rFonts w:ascii="Times New Roman" w:hAnsi="Times New Roman" w:cs="Times New Roman"/>
          <w:b/>
          <w:sz w:val="28"/>
        </w:rPr>
        <w:tab/>
        <w:t>Proposal</w:t>
      </w:r>
    </w:p>
    <w:p w:rsidR="00AC0A56" w:rsidRPr="00AC0A56" w:rsidRDefault="00AC0A56" w:rsidP="00CD4506">
      <w:pPr>
        <w:ind w:left="567" w:right="401"/>
        <w:rPr>
          <w:rFonts w:ascii="Times New Roman" w:hAnsi="Times New Roman" w:cs="Times New Roman"/>
          <w:b/>
        </w:rPr>
      </w:pPr>
      <w:r w:rsidRPr="00AC0A56">
        <w:rPr>
          <w:rFonts w:ascii="Times New Roman" w:hAnsi="Times New Roman" w:cs="Times New Roman"/>
          <w:b/>
        </w:rPr>
        <w:t>English version</w:t>
      </w:r>
    </w:p>
    <w:p w:rsidR="00AC0A56" w:rsidRDefault="00AC0A56" w:rsidP="00CD4506">
      <w:pPr>
        <w:ind w:left="567" w:right="401"/>
        <w:rPr>
          <w:rFonts w:ascii="Times New Roman" w:hAnsi="Times New Roman" w:cs="Times New Roman"/>
          <w:i/>
        </w:rPr>
      </w:pPr>
    </w:p>
    <w:p w:rsidR="00AB2A3B" w:rsidRPr="00AC0A56" w:rsidRDefault="00AC0A56" w:rsidP="00CD4506">
      <w:pPr>
        <w:ind w:left="567" w:right="401"/>
        <w:rPr>
          <w:rFonts w:ascii="Times New Roman" w:hAnsi="Times New Roman" w:cs="Times New Roman"/>
        </w:rPr>
      </w:pPr>
      <w:r w:rsidRPr="00AC0A56">
        <w:rPr>
          <w:rFonts w:ascii="Times New Roman" w:hAnsi="Times New Roman" w:cs="Times New Roman"/>
          <w:i/>
        </w:rPr>
        <w:t>Paragraph 16.1.1.3.</w:t>
      </w:r>
      <w:r w:rsidRPr="00AC0A56">
        <w:rPr>
          <w:rFonts w:ascii="Times New Roman" w:hAnsi="Times New Roman" w:cs="Times New Roman"/>
        </w:rPr>
        <w:t>, amend to read:</w:t>
      </w:r>
    </w:p>
    <w:p w:rsidR="00BD2223" w:rsidRPr="00AC0A56" w:rsidRDefault="00D4713D" w:rsidP="00CD4506">
      <w:pPr>
        <w:tabs>
          <w:tab w:val="left" w:pos="1418"/>
        </w:tabs>
        <w:autoSpaceDE w:val="0"/>
        <w:autoSpaceDN w:val="0"/>
        <w:adjustRightInd w:val="0"/>
        <w:spacing w:after="120"/>
        <w:ind w:left="1985" w:right="401" w:hanging="1418"/>
        <w:rPr>
          <w:rFonts w:ascii="Times New Roman" w:hAnsi="Times New Roman" w:cs="Times New Roman"/>
        </w:rPr>
      </w:pPr>
      <w:r>
        <w:rPr>
          <w:rFonts w:ascii="Times New Roman" w:hAnsi="Times New Roman" w:cs="Times New Roman"/>
        </w:rPr>
        <w:t>"16.1.1.3.</w:t>
      </w:r>
      <w:r w:rsidR="00BD2223" w:rsidRPr="00AC0A56">
        <w:rPr>
          <w:rFonts w:ascii="Times New Roman" w:hAnsi="Times New Roman" w:cs="Times New Roman"/>
        </w:rPr>
        <w:tab/>
        <w:t xml:space="preserve">Overlay requirements within the minimum required field of vision </w:t>
      </w:r>
    </w:p>
    <w:p w:rsidR="00BD2223" w:rsidRPr="00AC0A56" w:rsidRDefault="00BD2223" w:rsidP="00CD4506">
      <w:pPr>
        <w:autoSpaceDE w:val="0"/>
        <w:autoSpaceDN w:val="0"/>
        <w:adjustRightInd w:val="0"/>
        <w:spacing w:after="120"/>
        <w:ind w:left="1985" w:right="401"/>
        <w:rPr>
          <w:rFonts w:ascii="Times New Roman" w:hAnsi="Times New Roman" w:cs="Times New Roman"/>
        </w:rPr>
      </w:pPr>
      <w:r w:rsidRPr="00AC0A56">
        <w:rPr>
          <w:rFonts w:ascii="Times New Roman" w:hAnsi="Times New Roman" w:cs="Times New Roman"/>
        </w:rPr>
        <w:t xml:space="preserve">Overlays shall display only </w:t>
      </w:r>
      <w:r w:rsidRPr="00AC0A56">
        <w:rPr>
          <w:rFonts w:ascii="Times New Roman" w:hAnsi="Times New Roman" w:cs="Times New Roman"/>
          <w:b/>
        </w:rPr>
        <w:t xml:space="preserve">rear view </w:t>
      </w:r>
      <w:r w:rsidR="009E12CD">
        <w:rPr>
          <w:rFonts w:ascii="Times New Roman" w:hAnsi="Times New Roman" w:cs="Times New Roman"/>
          <w:b/>
        </w:rPr>
        <w:t>and</w:t>
      </w:r>
      <w:r w:rsidR="00EE7928" w:rsidRPr="00AC0A56">
        <w:rPr>
          <w:rFonts w:ascii="Times New Roman" w:hAnsi="Times New Roman" w:cs="Times New Roman"/>
          <w:b/>
        </w:rPr>
        <w:t xml:space="preserve"> </w:t>
      </w:r>
      <w:r w:rsidR="00AC0A56" w:rsidRPr="00AC0A56">
        <w:rPr>
          <w:rFonts w:ascii="Times New Roman" w:hAnsi="Times New Roman" w:cs="Times New Roman"/>
          <w:strike/>
        </w:rPr>
        <w:t>rearward</w:t>
      </w:r>
      <w:r w:rsidR="00AC0A56" w:rsidRPr="00AC0A56">
        <w:rPr>
          <w:rFonts w:ascii="Times New Roman" w:hAnsi="Times New Roman" w:cs="Times New Roman"/>
          <w:b/>
        </w:rPr>
        <w:t xml:space="preserve"> </w:t>
      </w:r>
      <w:r w:rsidRPr="00AC0A56">
        <w:rPr>
          <w:rFonts w:ascii="Times New Roman" w:hAnsi="Times New Roman" w:cs="Times New Roman"/>
        </w:rPr>
        <w:t xml:space="preserve">driving-related visual information. </w:t>
      </w:r>
    </w:p>
    <w:p w:rsidR="00BD2223" w:rsidRPr="00AC0A56" w:rsidRDefault="00BD2223" w:rsidP="00CD4506">
      <w:pPr>
        <w:autoSpaceDE w:val="0"/>
        <w:autoSpaceDN w:val="0"/>
        <w:adjustRightInd w:val="0"/>
        <w:spacing w:after="120"/>
        <w:ind w:left="1985" w:right="401"/>
        <w:rPr>
          <w:rFonts w:ascii="Times New Roman" w:hAnsi="Times New Roman" w:cs="Times New Roman"/>
        </w:rPr>
      </w:pPr>
      <w:r w:rsidRPr="00AC0A56">
        <w:rPr>
          <w:rFonts w:ascii="Times New Roman" w:hAnsi="Times New Roman" w:cs="Times New Roman"/>
        </w:rPr>
        <w:t xml:space="preserve">Only temporary overlays are allowed. </w:t>
      </w:r>
    </w:p>
    <w:p w:rsidR="00BD2223" w:rsidRPr="00AC0A56" w:rsidRDefault="00BD2223" w:rsidP="00CD4506">
      <w:pPr>
        <w:autoSpaceDE w:val="0"/>
        <w:autoSpaceDN w:val="0"/>
        <w:adjustRightInd w:val="0"/>
        <w:spacing w:after="120"/>
        <w:ind w:left="1985" w:right="401"/>
        <w:rPr>
          <w:rFonts w:ascii="Times New Roman" w:hAnsi="Times New Roman" w:cs="Times New Roman"/>
        </w:rPr>
      </w:pPr>
      <w:r w:rsidRPr="00AC0A56">
        <w:rPr>
          <w:rFonts w:ascii="Times New Roman" w:hAnsi="Times New Roman" w:cs="Times New Roman"/>
        </w:rPr>
        <w:t xml:space="preserve">All overlays shall be considered as an obstruction regardless of their transparency. </w:t>
      </w:r>
    </w:p>
    <w:p w:rsidR="00BD2223" w:rsidRPr="00AC0A56" w:rsidRDefault="00BD2223" w:rsidP="00CD4506">
      <w:pPr>
        <w:autoSpaceDE w:val="0"/>
        <w:autoSpaceDN w:val="0"/>
        <w:adjustRightInd w:val="0"/>
        <w:spacing w:after="120"/>
        <w:ind w:left="1985" w:right="401"/>
        <w:rPr>
          <w:rFonts w:ascii="Times New Roman" w:hAnsi="Times New Roman" w:cs="Times New Roman"/>
        </w:rPr>
      </w:pPr>
      <w:r w:rsidRPr="00AC0A56">
        <w:rPr>
          <w:rFonts w:ascii="Times New Roman" w:hAnsi="Times New Roman" w:cs="Times New Roman"/>
        </w:rPr>
        <w:t xml:space="preserve">Each overlay shall not exceed 2.5 per cent of the required field of view displayed surface of the corresponding class. </w:t>
      </w:r>
    </w:p>
    <w:p w:rsidR="00BD2223" w:rsidRPr="00AC0A56" w:rsidRDefault="00BD2223" w:rsidP="00CD4506">
      <w:pPr>
        <w:autoSpaceDE w:val="0"/>
        <w:autoSpaceDN w:val="0"/>
        <w:adjustRightInd w:val="0"/>
        <w:spacing w:after="120"/>
        <w:ind w:left="1985" w:right="401"/>
        <w:rPr>
          <w:rFonts w:ascii="Times New Roman" w:hAnsi="Times New Roman" w:cs="Times New Roman"/>
        </w:rPr>
      </w:pPr>
      <w:r w:rsidRPr="00AC0A56">
        <w:rPr>
          <w:rFonts w:ascii="Times New Roman" w:hAnsi="Times New Roman" w:cs="Times New Roman"/>
        </w:rPr>
        <w:t xml:space="preserve">The total surface of all obstructions shall not exceed the provision of paragraph 15.2.4.9.1. </w:t>
      </w:r>
      <w:proofErr w:type="gramStart"/>
      <w:r w:rsidRPr="00AC0A56">
        <w:rPr>
          <w:rFonts w:ascii="Times New Roman" w:hAnsi="Times New Roman" w:cs="Times New Roman"/>
        </w:rPr>
        <w:t>or</w:t>
      </w:r>
      <w:proofErr w:type="gramEnd"/>
      <w:r w:rsidRPr="00AC0A56">
        <w:rPr>
          <w:rFonts w:ascii="Times New Roman" w:hAnsi="Times New Roman" w:cs="Times New Roman"/>
        </w:rPr>
        <w:t xml:space="preserve"> 15.2.4.9.2. </w:t>
      </w:r>
      <w:proofErr w:type="gramStart"/>
      <w:r w:rsidRPr="00AC0A56">
        <w:rPr>
          <w:rFonts w:ascii="Times New Roman" w:hAnsi="Times New Roman" w:cs="Times New Roman"/>
        </w:rPr>
        <w:t>at</w:t>
      </w:r>
      <w:proofErr w:type="gramEnd"/>
      <w:r w:rsidRPr="00AC0A56">
        <w:rPr>
          <w:rFonts w:ascii="Times New Roman" w:hAnsi="Times New Roman" w:cs="Times New Roman"/>
        </w:rPr>
        <w:t xml:space="preserve"> the same time. </w:t>
      </w:r>
    </w:p>
    <w:p w:rsidR="00BD2223" w:rsidRPr="00BD2223" w:rsidRDefault="00BD2223" w:rsidP="00CD4506">
      <w:pPr>
        <w:autoSpaceDE w:val="0"/>
        <w:autoSpaceDN w:val="0"/>
        <w:adjustRightInd w:val="0"/>
        <w:spacing w:after="120"/>
        <w:ind w:left="1985" w:right="401"/>
        <w:rPr>
          <w:rFonts w:ascii="Arial" w:hAnsi="Arial" w:cs="Arial"/>
          <w:sz w:val="20"/>
          <w:szCs w:val="20"/>
        </w:rPr>
      </w:pPr>
      <w:r w:rsidRPr="00AC0A56">
        <w:rPr>
          <w:rFonts w:ascii="Times New Roman" w:hAnsi="Times New Roman" w:cs="Times New Roman"/>
        </w:rPr>
        <w:t xml:space="preserve">Overlay and any other obstruction surface shall be determined (for example on screenshots) taking </w:t>
      </w:r>
      <w:r w:rsidR="00D4713D">
        <w:rPr>
          <w:rFonts w:ascii="Times New Roman" w:hAnsi="Times New Roman" w:cs="Times New Roman"/>
        </w:rPr>
        <w:t>into account the worst case(s)."</w:t>
      </w:r>
    </w:p>
    <w:p w:rsidR="00BD2223" w:rsidRDefault="00BD2223" w:rsidP="00CD4506">
      <w:pPr>
        <w:ind w:left="1985" w:right="401" w:hanging="1418"/>
        <w:rPr>
          <w:rFonts w:ascii="Arial" w:hAnsi="Arial" w:cs="Arial"/>
          <w:sz w:val="20"/>
          <w:szCs w:val="20"/>
        </w:rPr>
      </w:pPr>
    </w:p>
    <w:p w:rsidR="00AC0A56" w:rsidRPr="00D4713D" w:rsidRDefault="00AC0A56" w:rsidP="00CD4506">
      <w:pPr>
        <w:ind w:left="1985" w:right="401" w:hanging="1418"/>
        <w:rPr>
          <w:rFonts w:ascii="Times New Roman" w:hAnsi="Times New Roman" w:cs="Times New Roman"/>
          <w:b/>
          <w:lang w:val="fr-CH"/>
        </w:rPr>
      </w:pPr>
      <w:r w:rsidRPr="00D4713D">
        <w:rPr>
          <w:rFonts w:ascii="Times New Roman" w:hAnsi="Times New Roman" w:cs="Times New Roman"/>
          <w:b/>
          <w:lang w:val="fr-CH"/>
        </w:rPr>
        <w:t>French version</w:t>
      </w:r>
    </w:p>
    <w:p w:rsidR="00AC0A56" w:rsidRDefault="00AC0A56" w:rsidP="00CD4506">
      <w:pPr>
        <w:ind w:left="1985" w:right="401" w:hanging="1418"/>
        <w:rPr>
          <w:rFonts w:ascii="Arial" w:hAnsi="Arial" w:cs="Arial"/>
          <w:b/>
          <w:sz w:val="20"/>
          <w:szCs w:val="20"/>
          <w:lang w:val="fr-FR"/>
        </w:rPr>
      </w:pPr>
    </w:p>
    <w:p w:rsidR="00AC0A56" w:rsidRPr="00D4713D" w:rsidRDefault="00AC0A56" w:rsidP="00CD4506">
      <w:pPr>
        <w:ind w:left="1985" w:right="401" w:hanging="1418"/>
        <w:rPr>
          <w:rFonts w:ascii="Times New Roman" w:hAnsi="Times New Roman" w:cs="Times New Roman"/>
          <w:i/>
          <w:lang w:val="fr-CH"/>
        </w:rPr>
      </w:pPr>
      <w:r w:rsidRPr="00D4713D">
        <w:rPr>
          <w:rFonts w:ascii="Times New Roman" w:hAnsi="Times New Roman" w:cs="Times New Roman"/>
          <w:i/>
          <w:lang w:val="fr-CH"/>
        </w:rPr>
        <w:t>Paragraph</w:t>
      </w:r>
      <w:r w:rsidR="00972B23" w:rsidRPr="00D4713D">
        <w:rPr>
          <w:rFonts w:ascii="Times New Roman" w:hAnsi="Times New Roman" w:cs="Times New Roman"/>
          <w:i/>
          <w:lang w:val="fr-CH"/>
        </w:rPr>
        <w:t>e</w:t>
      </w:r>
      <w:r w:rsidRPr="00D4713D">
        <w:rPr>
          <w:rFonts w:ascii="Times New Roman" w:hAnsi="Times New Roman" w:cs="Times New Roman"/>
          <w:i/>
          <w:lang w:val="fr-CH"/>
        </w:rPr>
        <w:t xml:space="preserve"> 16.1.1.3., </w:t>
      </w:r>
      <w:proofErr w:type="gramStart"/>
      <w:r w:rsidR="00972B23" w:rsidRPr="00D4713D">
        <w:rPr>
          <w:rFonts w:ascii="Times New Roman" w:hAnsi="Times New Roman" w:cs="Times New Roman"/>
          <w:lang w:val="fr-CH"/>
        </w:rPr>
        <w:t>modifier</w:t>
      </w:r>
      <w:proofErr w:type="gramEnd"/>
      <w:r w:rsidR="00972B23" w:rsidRPr="00D4713D">
        <w:rPr>
          <w:rFonts w:ascii="Times New Roman" w:hAnsi="Times New Roman" w:cs="Times New Roman"/>
          <w:lang w:val="fr-CH"/>
        </w:rPr>
        <w:t xml:space="preserve"> comme suit :</w:t>
      </w:r>
    </w:p>
    <w:p w:rsidR="00BD2223" w:rsidRPr="00577668" w:rsidRDefault="00577668" w:rsidP="00CD4506">
      <w:pPr>
        <w:spacing w:after="120"/>
        <w:ind w:left="1985" w:right="401" w:hanging="1418"/>
        <w:rPr>
          <w:rFonts w:ascii="Times New Roman" w:hAnsi="Times New Roman" w:cs="Times New Roman"/>
          <w:lang w:val="fr-CH"/>
        </w:rPr>
      </w:pPr>
      <w:r>
        <w:rPr>
          <w:rFonts w:ascii="Times New Roman" w:hAnsi="Times New Roman" w:cs="Times New Roman"/>
          <w:lang w:val="fr-CH"/>
        </w:rPr>
        <w:t>« </w:t>
      </w:r>
      <w:r w:rsidR="00BD2223" w:rsidRPr="00577668">
        <w:rPr>
          <w:rFonts w:ascii="Times New Roman" w:hAnsi="Times New Roman" w:cs="Times New Roman"/>
          <w:lang w:val="fr-CH"/>
        </w:rPr>
        <w:t>16.1.1.3</w:t>
      </w:r>
      <w:r w:rsidR="00BD2223" w:rsidRPr="00577668">
        <w:rPr>
          <w:rFonts w:ascii="Times New Roman" w:hAnsi="Times New Roman" w:cs="Times New Roman"/>
          <w:lang w:val="fr-CH"/>
        </w:rPr>
        <w:tab/>
        <w:t>Prescriptions concernant les surimpressions dans le champ de vision minimal requis</w:t>
      </w:r>
    </w:p>
    <w:p w:rsidR="00BD2223" w:rsidRPr="00577668" w:rsidRDefault="00BD2223" w:rsidP="00CD4506">
      <w:pPr>
        <w:spacing w:after="120"/>
        <w:ind w:left="1985" w:right="401"/>
        <w:rPr>
          <w:rFonts w:ascii="Times New Roman" w:hAnsi="Times New Roman" w:cs="Times New Roman"/>
          <w:lang w:val="fr-CH"/>
        </w:rPr>
      </w:pPr>
      <w:r w:rsidRPr="00577668">
        <w:rPr>
          <w:rFonts w:ascii="Times New Roman" w:hAnsi="Times New Roman" w:cs="Times New Roman"/>
          <w:lang w:val="fr-CH"/>
        </w:rPr>
        <w:t xml:space="preserve">Les surimpressions ne doivent donner que des informations visuelles relatives à la conduite </w:t>
      </w:r>
      <w:r w:rsidRPr="009E12CD">
        <w:rPr>
          <w:rFonts w:ascii="Times New Roman" w:hAnsi="Times New Roman" w:cs="Times New Roman"/>
          <w:strike/>
          <w:lang w:val="fr-CH"/>
        </w:rPr>
        <w:t xml:space="preserve">en marche </w:t>
      </w:r>
      <w:r w:rsidR="00EE7928" w:rsidRPr="009E12CD">
        <w:rPr>
          <w:rFonts w:ascii="Times New Roman" w:hAnsi="Times New Roman" w:cs="Times New Roman"/>
          <w:strike/>
          <w:lang w:val="fr-CH"/>
        </w:rPr>
        <w:t>arrière</w:t>
      </w:r>
      <w:r w:rsidR="00EE7928" w:rsidRPr="00577668">
        <w:rPr>
          <w:rFonts w:ascii="Times New Roman" w:hAnsi="Times New Roman" w:cs="Times New Roman"/>
          <w:lang w:val="fr-CH"/>
        </w:rPr>
        <w:t xml:space="preserve"> </w:t>
      </w:r>
      <w:r w:rsidR="009E12CD">
        <w:rPr>
          <w:rFonts w:ascii="Times New Roman" w:hAnsi="Times New Roman" w:cs="Times New Roman"/>
          <w:b/>
          <w:lang w:val="fr-CH"/>
        </w:rPr>
        <w:t>et</w:t>
      </w:r>
      <w:r w:rsidRPr="00577668">
        <w:rPr>
          <w:rFonts w:ascii="Times New Roman" w:hAnsi="Times New Roman" w:cs="Times New Roman"/>
          <w:b/>
          <w:lang w:val="fr-CH"/>
        </w:rPr>
        <w:t xml:space="preserve"> la </w:t>
      </w:r>
      <w:r w:rsidR="00AB2A3B" w:rsidRPr="00577668">
        <w:rPr>
          <w:rFonts w:ascii="Times New Roman" w:hAnsi="Times New Roman" w:cs="Times New Roman"/>
          <w:b/>
          <w:lang w:val="fr-CH"/>
        </w:rPr>
        <w:t>vue</w:t>
      </w:r>
      <w:r w:rsidRPr="00577668">
        <w:rPr>
          <w:rFonts w:ascii="Times New Roman" w:hAnsi="Times New Roman" w:cs="Times New Roman"/>
          <w:b/>
          <w:lang w:val="fr-CH"/>
        </w:rPr>
        <w:t xml:space="preserve"> </w:t>
      </w:r>
      <w:r w:rsidR="00531E2C" w:rsidRPr="00577668">
        <w:rPr>
          <w:rFonts w:ascii="Times New Roman" w:hAnsi="Times New Roman" w:cs="Times New Roman"/>
          <w:b/>
          <w:lang w:val="fr-CH"/>
        </w:rPr>
        <w:t>vers l’</w:t>
      </w:r>
      <w:r w:rsidRPr="00577668">
        <w:rPr>
          <w:rFonts w:ascii="Times New Roman" w:hAnsi="Times New Roman" w:cs="Times New Roman"/>
          <w:b/>
          <w:lang w:val="fr-CH"/>
        </w:rPr>
        <w:t>arrière</w:t>
      </w:r>
      <w:r w:rsidRPr="00577668">
        <w:rPr>
          <w:rFonts w:ascii="Times New Roman" w:hAnsi="Times New Roman" w:cs="Times New Roman"/>
          <w:lang w:val="fr-CH"/>
        </w:rPr>
        <w:t>.</w:t>
      </w:r>
    </w:p>
    <w:p w:rsidR="00BD2223" w:rsidRPr="00577668" w:rsidRDefault="00BD2223" w:rsidP="00CD4506">
      <w:pPr>
        <w:spacing w:after="120"/>
        <w:ind w:left="1985" w:right="401"/>
        <w:rPr>
          <w:rFonts w:ascii="Times New Roman" w:hAnsi="Times New Roman" w:cs="Times New Roman"/>
          <w:lang w:val="fr-CH"/>
        </w:rPr>
      </w:pPr>
      <w:r w:rsidRPr="00577668">
        <w:rPr>
          <w:rFonts w:ascii="Times New Roman" w:hAnsi="Times New Roman" w:cs="Times New Roman"/>
          <w:lang w:val="fr-CH"/>
        </w:rPr>
        <w:t>Seules les surimpressions temporaires sont autorisées.</w:t>
      </w:r>
    </w:p>
    <w:p w:rsidR="00BD2223" w:rsidRPr="00577668" w:rsidRDefault="00BD2223" w:rsidP="00CD4506">
      <w:pPr>
        <w:spacing w:after="120"/>
        <w:ind w:left="1985" w:right="401"/>
        <w:rPr>
          <w:rFonts w:ascii="Times New Roman" w:hAnsi="Times New Roman" w:cs="Times New Roman"/>
          <w:lang w:val="fr-CH"/>
        </w:rPr>
      </w:pPr>
      <w:r w:rsidRPr="00577668">
        <w:rPr>
          <w:rFonts w:ascii="Times New Roman" w:hAnsi="Times New Roman" w:cs="Times New Roman"/>
          <w:lang w:val="fr-CH"/>
        </w:rPr>
        <w:t>Toutes les surimpressions doivent être considérées comme une obstruction indépendamment de leur transparence.</w:t>
      </w:r>
    </w:p>
    <w:p w:rsidR="00BD2223" w:rsidRPr="00577668" w:rsidRDefault="00BD2223" w:rsidP="00CD4506">
      <w:pPr>
        <w:spacing w:after="120"/>
        <w:ind w:left="1985" w:right="401"/>
        <w:rPr>
          <w:rFonts w:ascii="Times New Roman" w:hAnsi="Times New Roman" w:cs="Times New Roman"/>
          <w:lang w:val="fr-CH"/>
        </w:rPr>
      </w:pPr>
      <w:r w:rsidRPr="00577668">
        <w:rPr>
          <w:rFonts w:ascii="Times New Roman" w:hAnsi="Times New Roman" w:cs="Times New Roman"/>
          <w:lang w:val="fr-CH"/>
        </w:rPr>
        <w:t>Aucune surimpression ne doit couvrir plus de 2,5 % de la surface affichée du champ de vision requis de la classe correspondante.</w:t>
      </w:r>
    </w:p>
    <w:p w:rsidR="00BD2223" w:rsidRPr="00577668" w:rsidRDefault="00BD2223" w:rsidP="00CD4506">
      <w:pPr>
        <w:spacing w:after="120"/>
        <w:ind w:left="1985" w:right="401"/>
        <w:rPr>
          <w:rFonts w:ascii="Times New Roman" w:hAnsi="Times New Roman" w:cs="Times New Roman"/>
          <w:lang w:val="fr-CH"/>
        </w:rPr>
      </w:pPr>
      <w:r w:rsidRPr="00577668">
        <w:rPr>
          <w:rFonts w:ascii="Times New Roman" w:hAnsi="Times New Roman" w:cs="Times New Roman"/>
          <w:lang w:val="fr-CH"/>
        </w:rPr>
        <w:t>La surface totale de toutes les obstructions ne doit à aucun moment dépasser les limites indiquées à la fois au paragraphe 15.2.4.9.1 et au paragraphe 15.2.4.9.2.</w:t>
      </w:r>
    </w:p>
    <w:p w:rsidR="00AB2A3B" w:rsidRDefault="00BD2223" w:rsidP="00CD4506">
      <w:pPr>
        <w:spacing w:after="120"/>
        <w:ind w:left="1985" w:right="401"/>
        <w:rPr>
          <w:rFonts w:ascii="Arial" w:hAnsi="Arial" w:cs="Arial"/>
          <w:sz w:val="20"/>
          <w:szCs w:val="20"/>
          <w:lang w:val="fr-CH"/>
        </w:rPr>
      </w:pPr>
      <w:r w:rsidRPr="00577668">
        <w:rPr>
          <w:rFonts w:ascii="Times New Roman" w:hAnsi="Times New Roman" w:cs="Times New Roman"/>
          <w:lang w:val="fr-CH"/>
        </w:rPr>
        <w:t>Une surimpression et toute autre surface d’obstruction doivent être déterminées (sur des captures d’écran par exemple) sur la base de la situation la moins favorable.</w:t>
      </w:r>
      <w:r w:rsidR="00577668">
        <w:rPr>
          <w:rFonts w:ascii="Times New Roman" w:hAnsi="Times New Roman" w:cs="Times New Roman"/>
          <w:lang w:val="fr-CH"/>
        </w:rPr>
        <w:t> »</w:t>
      </w:r>
    </w:p>
    <w:p w:rsidR="00577668" w:rsidRPr="00D4713D" w:rsidRDefault="00577668" w:rsidP="00577668">
      <w:pPr>
        <w:spacing w:before="360" w:after="240"/>
        <w:ind w:left="1134" w:right="1134" w:hanging="567"/>
        <w:jc w:val="both"/>
        <w:rPr>
          <w:rFonts w:ascii="Times New Roman" w:hAnsi="Times New Roman" w:cs="Times New Roman"/>
          <w:b/>
          <w:sz w:val="28"/>
          <w:lang w:val="fr-CH"/>
        </w:rPr>
      </w:pPr>
      <w:r w:rsidRPr="00D4713D">
        <w:rPr>
          <w:rFonts w:ascii="Times New Roman" w:hAnsi="Times New Roman" w:cs="Times New Roman"/>
          <w:b/>
          <w:sz w:val="28"/>
          <w:lang w:val="fr-CH"/>
        </w:rPr>
        <w:br w:type="page"/>
      </w:r>
    </w:p>
    <w:p w:rsidR="00CD4506" w:rsidRDefault="00CD4506" w:rsidP="00577668">
      <w:pPr>
        <w:spacing w:before="360" w:after="240"/>
        <w:ind w:left="1134" w:right="1134" w:hanging="567"/>
        <w:jc w:val="both"/>
        <w:rPr>
          <w:rFonts w:ascii="Times New Roman" w:hAnsi="Times New Roman" w:cs="Times New Roman"/>
          <w:b/>
          <w:sz w:val="28"/>
        </w:rPr>
      </w:pPr>
    </w:p>
    <w:p w:rsidR="00577668" w:rsidRPr="00AC0A56" w:rsidRDefault="00577668" w:rsidP="00CD4506">
      <w:pPr>
        <w:tabs>
          <w:tab w:val="left" w:pos="10065"/>
        </w:tabs>
        <w:spacing w:before="360" w:after="240"/>
        <w:ind w:left="1134" w:right="401" w:hanging="567"/>
        <w:jc w:val="both"/>
        <w:rPr>
          <w:rFonts w:ascii="Times New Roman" w:hAnsi="Times New Roman" w:cs="Times New Roman"/>
          <w:b/>
          <w:sz w:val="28"/>
        </w:rPr>
      </w:pPr>
      <w:r w:rsidRPr="00AC0A56">
        <w:rPr>
          <w:rFonts w:ascii="Times New Roman" w:hAnsi="Times New Roman" w:cs="Times New Roman"/>
          <w:b/>
          <w:sz w:val="28"/>
        </w:rPr>
        <w:t>I</w:t>
      </w:r>
      <w:r>
        <w:rPr>
          <w:rFonts w:ascii="Times New Roman" w:hAnsi="Times New Roman" w:cs="Times New Roman"/>
          <w:b/>
          <w:sz w:val="28"/>
        </w:rPr>
        <w:t>I</w:t>
      </w:r>
      <w:r w:rsidRPr="00AC0A56">
        <w:rPr>
          <w:rFonts w:ascii="Times New Roman" w:hAnsi="Times New Roman" w:cs="Times New Roman"/>
          <w:b/>
          <w:sz w:val="28"/>
        </w:rPr>
        <w:t>.</w:t>
      </w:r>
      <w:r w:rsidRPr="00AC0A56">
        <w:rPr>
          <w:rFonts w:ascii="Times New Roman" w:hAnsi="Times New Roman" w:cs="Times New Roman"/>
          <w:b/>
          <w:sz w:val="28"/>
        </w:rPr>
        <w:tab/>
      </w:r>
      <w:r>
        <w:rPr>
          <w:rFonts w:ascii="Times New Roman" w:hAnsi="Times New Roman" w:cs="Times New Roman"/>
          <w:b/>
          <w:sz w:val="28"/>
        </w:rPr>
        <w:t>Justifications</w:t>
      </w:r>
    </w:p>
    <w:p w:rsidR="00AB2A3B" w:rsidRPr="00577668" w:rsidRDefault="00AB2A3B" w:rsidP="00CD4506">
      <w:pPr>
        <w:pStyle w:val="ListParagraph"/>
        <w:numPr>
          <w:ilvl w:val="0"/>
          <w:numId w:val="1"/>
        </w:numPr>
        <w:tabs>
          <w:tab w:val="left" w:pos="10065"/>
        </w:tabs>
        <w:spacing w:after="120"/>
        <w:ind w:left="1418" w:right="401" w:hanging="284"/>
        <w:contextualSpacing w:val="0"/>
        <w:rPr>
          <w:rFonts w:ascii="Times New Roman" w:hAnsi="Times New Roman" w:cs="Times New Roman"/>
        </w:rPr>
      </w:pPr>
      <w:r w:rsidRPr="00577668">
        <w:rPr>
          <w:rFonts w:ascii="Times New Roman" w:hAnsi="Times New Roman" w:cs="Times New Roman"/>
        </w:rPr>
        <w:t>The current Eng</w:t>
      </w:r>
      <w:r w:rsidR="00531E2C" w:rsidRPr="00577668">
        <w:rPr>
          <w:rFonts w:ascii="Times New Roman" w:hAnsi="Times New Roman" w:cs="Times New Roman"/>
        </w:rPr>
        <w:t>lish text</w:t>
      </w:r>
      <w:r w:rsidRPr="00577668">
        <w:rPr>
          <w:rFonts w:ascii="Times New Roman" w:hAnsi="Times New Roman" w:cs="Times New Roman"/>
        </w:rPr>
        <w:t xml:space="preserve"> can be interpreted in a way that overlays are only</w:t>
      </w:r>
      <w:r w:rsidR="00FA416A" w:rsidRPr="00577668">
        <w:rPr>
          <w:rFonts w:ascii="Times New Roman" w:hAnsi="Times New Roman" w:cs="Times New Roman"/>
        </w:rPr>
        <w:t xml:space="preserve"> allowed when driving backwards (revers</w:t>
      </w:r>
      <w:r w:rsidR="00577668" w:rsidRPr="00577668">
        <w:rPr>
          <w:rFonts w:ascii="Times New Roman" w:hAnsi="Times New Roman" w:cs="Times New Roman"/>
        </w:rPr>
        <w:t>e driv</w:t>
      </w:r>
      <w:r w:rsidR="00FA416A" w:rsidRPr="00577668">
        <w:rPr>
          <w:rFonts w:ascii="Times New Roman" w:hAnsi="Times New Roman" w:cs="Times New Roman"/>
        </w:rPr>
        <w:t xml:space="preserve">ing). </w:t>
      </w:r>
      <w:r w:rsidRPr="00577668">
        <w:rPr>
          <w:rFonts w:ascii="Times New Roman" w:hAnsi="Times New Roman" w:cs="Times New Roman"/>
        </w:rPr>
        <w:t xml:space="preserve">This is not the </w:t>
      </w:r>
      <w:r w:rsidR="00577668" w:rsidRPr="00577668">
        <w:rPr>
          <w:rFonts w:ascii="Times New Roman" w:hAnsi="Times New Roman" w:cs="Times New Roman"/>
        </w:rPr>
        <w:t xml:space="preserve">original </w:t>
      </w:r>
      <w:r w:rsidRPr="00577668">
        <w:rPr>
          <w:rFonts w:ascii="Times New Roman" w:hAnsi="Times New Roman" w:cs="Times New Roman"/>
        </w:rPr>
        <w:t>intention of the text.</w:t>
      </w:r>
    </w:p>
    <w:p w:rsidR="00531E2C" w:rsidRPr="00577668" w:rsidRDefault="00531E2C" w:rsidP="00CD4506">
      <w:pPr>
        <w:pStyle w:val="ListParagraph"/>
        <w:numPr>
          <w:ilvl w:val="0"/>
          <w:numId w:val="1"/>
        </w:numPr>
        <w:tabs>
          <w:tab w:val="left" w:pos="10065"/>
        </w:tabs>
        <w:spacing w:after="120"/>
        <w:ind w:left="1418" w:right="401" w:hanging="284"/>
        <w:contextualSpacing w:val="0"/>
        <w:rPr>
          <w:rFonts w:ascii="Times New Roman" w:hAnsi="Times New Roman" w:cs="Times New Roman"/>
        </w:rPr>
      </w:pPr>
      <w:r w:rsidRPr="00577668">
        <w:rPr>
          <w:rFonts w:ascii="Times New Roman" w:hAnsi="Times New Roman" w:cs="Times New Roman"/>
        </w:rPr>
        <w:t xml:space="preserve">During the discussions of the IWG on CMS, the topic of overlays was discussed in relation to “information other than driving related”. The group decided that only information related to the rear view could be shown as overlay within the field </w:t>
      </w:r>
      <w:r w:rsidR="00FA416A" w:rsidRPr="00577668">
        <w:rPr>
          <w:rFonts w:ascii="Times New Roman" w:hAnsi="Times New Roman" w:cs="Times New Roman"/>
        </w:rPr>
        <w:t>of view. Other information</w:t>
      </w:r>
      <w:r w:rsidRPr="00577668">
        <w:rPr>
          <w:rFonts w:ascii="Times New Roman" w:hAnsi="Times New Roman" w:cs="Times New Roman"/>
        </w:rPr>
        <w:t xml:space="preserve"> </w:t>
      </w:r>
      <w:r w:rsidR="00FA416A" w:rsidRPr="00577668">
        <w:rPr>
          <w:rFonts w:ascii="Times New Roman" w:hAnsi="Times New Roman" w:cs="Times New Roman"/>
        </w:rPr>
        <w:t>(</w:t>
      </w:r>
      <w:r w:rsidRPr="00577668">
        <w:rPr>
          <w:rFonts w:ascii="Times New Roman" w:hAnsi="Times New Roman" w:cs="Times New Roman"/>
        </w:rPr>
        <w:t>for example information on view in different directions f</w:t>
      </w:r>
      <w:r w:rsidR="00FA416A" w:rsidRPr="00577668">
        <w:rPr>
          <w:rFonts w:ascii="Times New Roman" w:hAnsi="Times New Roman" w:cs="Times New Roman"/>
        </w:rPr>
        <w:t>rom the rear, or other messages),</w:t>
      </w:r>
      <w:r w:rsidRPr="00577668">
        <w:rPr>
          <w:rFonts w:ascii="Times New Roman" w:hAnsi="Times New Roman" w:cs="Times New Roman"/>
        </w:rPr>
        <w:t xml:space="preserve"> not related to the rear view, should never appear within the defined field of view.</w:t>
      </w:r>
    </w:p>
    <w:p w:rsidR="00531E2C" w:rsidRPr="00577668" w:rsidRDefault="00531E2C" w:rsidP="00CD4506">
      <w:pPr>
        <w:pStyle w:val="ListParagraph"/>
        <w:numPr>
          <w:ilvl w:val="0"/>
          <w:numId w:val="1"/>
        </w:numPr>
        <w:tabs>
          <w:tab w:val="left" w:pos="10065"/>
        </w:tabs>
        <w:spacing w:after="120"/>
        <w:ind w:left="1418" w:right="401" w:hanging="284"/>
        <w:contextualSpacing w:val="0"/>
        <w:rPr>
          <w:rFonts w:ascii="Times New Roman" w:hAnsi="Times New Roman" w:cs="Times New Roman"/>
        </w:rPr>
      </w:pPr>
      <w:r w:rsidRPr="00577668">
        <w:rPr>
          <w:rFonts w:ascii="Times New Roman" w:hAnsi="Times New Roman" w:cs="Times New Roman"/>
        </w:rPr>
        <w:t xml:space="preserve">As such, the text on overlays was created with </w:t>
      </w:r>
      <w:r w:rsidR="00577668">
        <w:rPr>
          <w:rFonts w:ascii="Times New Roman" w:hAnsi="Times New Roman" w:cs="Times New Roman"/>
        </w:rPr>
        <w:t>an</w:t>
      </w:r>
      <w:r w:rsidRPr="00577668">
        <w:rPr>
          <w:rFonts w:ascii="Times New Roman" w:hAnsi="Times New Roman" w:cs="Times New Roman"/>
        </w:rPr>
        <w:t xml:space="preserve"> “unfortunate wording”.</w:t>
      </w:r>
    </w:p>
    <w:p w:rsidR="00531E2C" w:rsidRPr="00577668" w:rsidRDefault="00577668" w:rsidP="00CD4506">
      <w:pPr>
        <w:pStyle w:val="ListParagraph"/>
        <w:numPr>
          <w:ilvl w:val="0"/>
          <w:numId w:val="1"/>
        </w:numPr>
        <w:tabs>
          <w:tab w:val="left" w:pos="10065"/>
        </w:tabs>
        <w:spacing w:after="120"/>
        <w:ind w:left="1418" w:right="401" w:hanging="284"/>
        <w:contextualSpacing w:val="0"/>
        <w:rPr>
          <w:rFonts w:ascii="Times New Roman" w:hAnsi="Times New Roman" w:cs="Times New Roman"/>
        </w:rPr>
      </w:pPr>
      <w:r>
        <w:rPr>
          <w:rFonts w:ascii="Times New Roman" w:hAnsi="Times New Roman" w:cs="Times New Roman"/>
        </w:rPr>
        <w:t>An illustration</w:t>
      </w:r>
      <w:r w:rsidR="00531E2C" w:rsidRPr="00577668">
        <w:rPr>
          <w:rFonts w:ascii="Times New Roman" w:hAnsi="Times New Roman" w:cs="Times New Roman"/>
        </w:rPr>
        <w:t xml:space="preserve"> of the possibility to </w:t>
      </w:r>
      <w:r w:rsidRPr="00577668">
        <w:rPr>
          <w:rFonts w:ascii="Times New Roman" w:hAnsi="Times New Roman" w:cs="Times New Roman"/>
        </w:rPr>
        <w:t>misinterpret</w:t>
      </w:r>
      <w:r w:rsidR="00531E2C" w:rsidRPr="00577668">
        <w:rPr>
          <w:rFonts w:ascii="Times New Roman" w:hAnsi="Times New Roman" w:cs="Times New Roman"/>
        </w:rPr>
        <w:t xml:space="preserve"> the text is the translation into French.</w:t>
      </w:r>
    </w:p>
    <w:p w:rsidR="00AB2A3B" w:rsidRPr="00577668" w:rsidRDefault="00C8757B" w:rsidP="00CD4506">
      <w:pPr>
        <w:pStyle w:val="ListParagraph"/>
        <w:numPr>
          <w:ilvl w:val="0"/>
          <w:numId w:val="1"/>
        </w:numPr>
        <w:tabs>
          <w:tab w:val="left" w:pos="10065"/>
        </w:tabs>
        <w:spacing w:after="120"/>
        <w:ind w:left="1418" w:right="401" w:hanging="284"/>
        <w:contextualSpacing w:val="0"/>
        <w:rPr>
          <w:rFonts w:ascii="Times New Roman" w:hAnsi="Times New Roman" w:cs="Times New Roman"/>
        </w:rPr>
      </w:pPr>
      <w:r w:rsidRPr="00577668">
        <w:rPr>
          <w:rFonts w:ascii="Times New Roman" w:hAnsi="Times New Roman" w:cs="Times New Roman"/>
        </w:rPr>
        <w:t xml:space="preserve">The French text expresses the possibility of the use of overlays </w:t>
      </w:r>
      <w:r w:rsidR="00FA416A" w:rsidRPr="00577668">
        <w:rPr>
          <w:rFonts w:ascii="Times New Roman" w:hAnsi="Times New Roman" w:cs="Times New Roman"/>
        </w:rPr>
        <w:t xml:space="preserve">only </w:t>
      </w:r>
      <w:r w:rsidRPr="00577668">
        <w:rPr>
          <w:rFonts w:ascii="Times New Roman" w:hAnsi="Times New Roman" w:cs="Times New Roman"/>
        </w:rPr>
        <w:t>relative to “backward driving”</w:t>
      </w:r>
      <w:r w:rsidR="00577668">
        <w:rPr>
          <w:rFonts w:ascii="Times New Roman" w:hAnsi="Times New Roman" w:cs="Times New Roman"/>
        </w:rPr>
        <w:t xml:space="preserve"> (reverse driving)</w:t>
      </w:r>
      <w:r w:rsidRPr="00577668">
        <w:rPr>
          <w:rFonts w:ascii="Times New Roman" w:hAnsi="Times New Roman" w:cs="Times New Roman"/>
        </w:rPr>
        <w:t>.</w:t>
      </w:r>
    </w:p>
    <w:p w:rsidR="00C8757B" w:rsidRPr="00D4713D" w:rsidRDefault="00C8757B" w:rsidP="00CD4506">
      <w:pPr>
        <w:tabs>
          <w:tab w:val="left" w:pos="10065"/>
        </w:tabs>
        <w:spacing w:after="120"/>
        <w:ind w:left="1418" w:right="401" w:hanging="284"/>
        <w:rPr>
          <w:rFonts w:ascii="Times New Roman" w:hAnsi="Times New Roman" w:cs="Times New Roman"/>
        </w:rPr>
      </w:pPr>
    </w:p>
    <w:p w:rsidR="00C8757B" w:rsidRPr="00D4713D" w:rsidRDefault="00C8757B" w:rsidP="00CD4506">
      <w:pPr>
        <w:tabs>
          <w:tab w:val="left" w:pos="10065"/>
        </w:tabs>
        <w:spacing w:after="120"/>
        <w:ind w:left="1418" w:right="401" w:hanging="284"/>
        <w:rPr>
          <w:rFonts w:ascii="Times New Roman" w:hAnsi="Times New Roman" w:cs="Times New Roman"/>
        </w:rPr>
      </w:pPr>
      <w:r w:rsidRPr="00D4713D">
        <w:rPr>
          <w:rFonts w:ascii="Times New Roman" w:hAnsi="Times New Roman" w:cs="Times New Roman"/>
        </w:rPr>
        <w:t>Example of overlays within the field of vision:</w:t>
      </w:r>
    </w:p>
    <w:p w:rsidR="00C8757B" w:rsidRDefault="00C8757B" w:rsidP="00AB2A3B">
      <w:pPr>
        <w:ind w:left="993"/>
        <w:rPr>
          <w:rFonts w:ascii="Arial" w:hAnsi="Arial" w:cs="Arial"/>
          <w:sz w:val="20"/>
          <w:szCs w:val="20"/>
        </w:rPr>
      </w:pPr>
      <w:r>
        <w:rPr>
          <w:noProof/>
          <w:color w:val="0000FF"/>
          <w:lang w:eastAsia="en-GB"/>
        </w:rPr>
        <w:drawing>
          <wp:inline distT="0" distB="0" distL="0" distR="0">
            <wp:extent cx="5621655" cy="3745230"/>
            <wp:effectExtent l="0" t="0" r="0" b="7620"/>
            <wp:docPr id="1" name="Picture 1" descr="Afbeeldingsresultaat voor Honda Camera monitoring syste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onda Camera monitoring system">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1655" cy="3745230"/>
                    </a:xfrm>
                    <a:prstGeom prst="rect">
                      <a:avLst/>
                    </a:prstGeom>
                    <a:noFill/>
                    <a:ln>
                      <a:noFill/>
                    </a:ln>
                  </pic:spPr>
                </pic:pic>
              </a:graphicData>
            </a:graphic>
          </wp:inline>
        </w:drawing>
      </w:r>
    </w:p>
    <w:p w:rsidR="00CD4506" w:rsidRDefault="00CD4506" w:rsidP="00AB2A3B">
      <w:pPr>
        <w:ind w:left="993"/>
        <w:rPr>
          <w:rFonts w:ascii="Arial" w:hAnsi="Arial" w:cs="Arial"/>
          <w:sz w:val="20"/>
          <w:szCs w:val="20"/>
        </w:rPr>
      </w:pPr>
    </w:p>
    <w:p w:rsidR="00CD4506" w:rsidRPr="00AB2A3B" w:rsidRDefault="00CD4506" w:rsidP="00CD4506">
      <w:pPr>
        <w:ind w:left="993"/>
        <w:jc w:val="center"/>
        <w:rPr>
          <w:rFonts w:ascii="Arial" w:hAnsi="Arial" w:cs="Arial"/>
          <w:sz w:val="20"/>
          <w:szCs w:val="20"/>
        </w:rPr>
      </w:pPr>
      <w:r>
        <w:rPr>
          <w:rFonts w:ascii="Arial" w:hAnsi="Arial" w:cs="Arial"/>
          <w:sz w:val="20"/>
          <w:szCs w:val="20"/>
        </w:rPr>
        <w:t>__________________</w:t>
      </w:r>
      <w:bookmarkStart w:id="0" w:name="_GoBack"/>
      <w:bookmarkEnd w:id="0"/>
    </w:p>
    <w:sectPr w:rsidR="00CD4506" w:rsidRPr="00AB2A3B" w:rsidSect="00D4713D">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56" w:rsidRDefault="00AC0A56" w:rsidP="00AC0A56">
      <w:r>
        <w:separator/>
      </w:r>
    </w:p>
  </w:endnote>
  <w:endnote w:type="continuationSeparator" w:id="0">
    <w:p w:rsidR="00AC0A56" w:rsidRDefault="00AC0A56" w:rsidP="00AC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057516"/>
      <w:docPartObj>
        <w:docPartGallery w:val="Page Numbers (Bottom of Page)"/>
        <w:docPartUnique/>
      </w:docPartObj>
    </w:sdtPr>
    <w:sdtEndPr>
      <w:rPr>
        <w:noProof/>
      </w:rPr>
    </w:sdtEndPr>
    <w:sdtContent>
      <w:p w:rsidR="00D4713D" w:rsidRDefault="00D4713D">
        <w:pPr>
          <w:pStyle w:val="Footer"/>
          <w:jc w:val="center"/>
        </w:pPr>
        <w:r>
          <w:fldChar w:fldCharType="begin"/>
        </w:r>
        <w:r>
          <w:instrText xml:space="preserve"> PAGE   \* MERGEFORMAT </w:instrText>
        </w:r>
        <w:r>
          <w:fldChar w:fldCharType="separate"/>
        </w:r>
        <w:r w:rsidR="00CD4506">
          <w:rPr>
            <w:noProof/>
          </w:rPr>
          <w:t>2</w:t>
        </w:r>
        <w:r>
          <w:rPr>
            <w:noProof/>
          </w:rPr>
          <w:fldChar w:fldCharType="end"/>
        </w:r>
      </w:p>
    </w:sdtContent>
  </w:sdt>
  <w:p w:rsidR="00D4713D" w:rsidRDefault="00D47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56" w:rsidRDefault="00AC0A56" w:rsidP="00AC0A56">
      <w:r>
        <w:separator/>
      </w:r>
    </w:p>
  </w:footnote>
  <w:footnote w:type="continuationSeparator" w:id="0">
    <w:p w:rsidR="00AC0A56" w:rsidRDefault="00AC0A56" w:rsidP="00AC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108" w:type="dxa"/>
      <w:tblLook w:val="0000" w:firstRow="0" w:lastRow="0" w:firstColumn="0" w:lastColumn="0" w:noHBand="0" w:noVBand="0"/>
    </w:tblPr>
    <w:tblGrid>
      <w:gridCol w:w="5529"/>
      <w:gridCol w:w="4961"/>
    </w:tblGrid>
    <w:tr w:rsidR="00D4713D" w:rsidRPr="00AC0A56" w:rsidTr="00D4713D">
      <w:tc>
        <w:tcPr>
          <w:tcW w:w="5529" w:type="dxa"/>
        </w:tcPr>
        <w:p w:rsidR="00D4713D" w:rsidRPr="00AC0A56" w:rsidRDefault="00D4713D" w:rsidP="00D4713D">
          <w:pPr>
            <w:tabs>
              <w:tab w:val="center" w:pos="4320"/>
              <w:tab w:val="right" w:pos="8640"/>
            </w:tabs>
            <w:ind w:left="601"/>
            <w:rPr>
              <w:rFonts w:ascii="Times New Roman" w:hAnsi="Times New Roman" w:cs="Times New Roman"/>
              <w:sz w:val="20"/>
              <w:szCs w:val="20"/>
            </w:rPr>
          </w:pPr>
          <w:r>
            <w:rPr>
              <w:rFonts w:ascii="Times New Roman" w:hAnsi="Times New Roman" w:cs="Times New Roman"/>
              <w:sz w:val="20"/>
              <w:szCs w:val="20"/>
            </w:rPr>
            <w:t xml:space="preserve">Submitted </w:t>
          </w:r>
          <w:r w:rsidRPr="00AC0A56">
            <w:rPr>
              <w:rFonts w:ascii="Times New Roman" w:hAnsi="Times New Roman" w:cs="Times New Roman"/>
              <w:sz w:val="20"/>
              <w:szCs w:val="20"/>
            </w:rPr>
            <w:t xml:space="preserve">by </w:t>
          </w:r>
          <w:r>
            <w:rPr>
              <w:rFonts w:ascii="Times New Roman" w:hAnsi="Times New Roman" w:cs="Times New Roman"/>
              <w:sz w:val="20"/>
              <w:szCs w:val="20"/>
            </w:rPr>
            <w:t xml:space="preserve">the expert from </w:t>
          </w:r>
          <w:r w:rsidRPr="00AC0A56">
            <w:rPr>
              <w:rFonts w:ascii="Times New Roman" w:hAnsi="Times New Roman" w:cs="Times New Roman"/>
              <w:sz w:val="20"/>
              <w:szCs w:val="20"/>
            </w:rPr>
            <w:t>OICA</w:t>
          </w:r>
        </w:p>
      </w:tc>
      <w:tc>
        <w:tcPr>
          <w:tcW w:w="4961" w:type="dxa"/>
        </w:tcPr>
        <w:p w:rsidR="00D4713D" w:rsidRPr="00AC0A56" w:rsidRDefault="00D4713D" w:rsidP="00792511">
          <w:pPr>
            <w:ind w:left="742"/>
            <w:rPr>
              <w:rFonts w:ascii="Times New Roman" w:hAnsi="Times New Roman" w:cs="Times New Roman"/>
              <w:b/>
              <w:bCs/>
              <w:sz w:val="20"/>
              <w:szCs w:val="20"/>
            </w:rPr>
          </w:pPr>
          <w:r w:rsidRPr="00AC0A56">
            <w:rPr>
              <w:rFonts w:ascii="Times New Roman" w:hAnsi="Times New Roman" w:cs="Times New Roman"/>
              <w:sz w:val="20"/>
              <w:szCs w:val="20"/>
              <w:u w:val="single"/>
            </w:rPr>
            <w:t>Informal document</w:t>
          </w:r>
          <w:r w:rsidRPr="00AC0A56">
            <w:rPr>
              <w:rFonts w:ascii="Times New Roman" w:hAnsi="Times New Roman" w:cs="Times New Roman"/>
              <w:sz w:val="20"/>
              <w:szCs w:val="20"/>
            </w:rPr>
            <w:t xml:space="preserve"> </w:t>
          </w:r>
          <w:r w:rsidRPr="00AC0A56">
            <w:rPr>
              <w:rFonts w:ascii="Times New Roman" w:hAnsi="Times New Roman" w:cs="Times New Roman"/>
              <w:b/>
              <w:bCs/>
              <w:sz w:val="20"/>
              <w:szCs w:val="20"/>
            </w:rPr>
            <w:t>GRSG-1</w:t>
          </w:r>
          <w:r w:rsidRPr="00AC0A56">
            <w:rPr>
              <w:rFonts w:ascii="Times New Roman" w:eastAsia="MS Mincho" w:hAnsi="Times New Roman" w:cs="Times New Roman"/>
              <w:b/>
              <w:bCs/>
              <w:sz w:val="20"/>
              <w:szCs w:val="20"/>
              <w:lang w:eastAsia="ja-JP"/>
            </w:rPr>
            <w:t>13</w:t>
          </w:r>
          <w:r w:rsidRPr="00AC0A56">
            <w:rPr>
              <w:rFonts w:ascii="Times New Roman" w:hAnsi="Times New Roman" w:cs="Times New Roman"/>
              <w:b/>
              <w:bCs/>
              <w:sz w:val="20"/>
              <w:szCs w:val="20"/>
            </w:rPr>
            <w:t>-</w:t>
          </w:r>
          <w:r>
            <w:rPr>
              <w:rFonts w:ascii="Times New Roman" w:hAnsi="Times New Roman" w:cs="Times New Roman"/>
              <w:b/>
              <w:bCs/>
              <w:sz w:val="20"/>
              <w:szCs w:val="20"/>
            </w:rPr>
            <w:t>17</w:t>
          </w:r>
        </w:p>
        <w:p w:rsidR="00D4713D" w:rsidRPr="00AC0A56" w:rsidRDefault="00D4713D" w:rsidP="00792511">
          <w:pPr>
            <w:tabs>
              <w:tab w:val="center" w:pos="4320"/>
              <w:tab w:val="right" w:pos="8640"/>
            </w:tabs>
            <w:ind w:left="742"/>
            <w:rPr>
              <w:rFonts w:ascii="Times New Roman" w:hAnsi="Times New Roman" w:cs="Times New Roman"/>
              <w:sz w:val="20"/>
              <w:szCs w:val="20"/>
            </w:rPr>
          </w:pPr>
          <w:r w:rsidRPr="00AC0A56">
            <w:rPr>
              <w:rFonts w:ascii="Times New Roman" w:hAnsi="Times New Roman" w:cs="Times New Roman"/>
              <w:sz w:val="20"/>
              <w:szCs w:val="20"/>
            </w:rPr>
            <w:t>(1</w:t>
          </w:r>
          <w:r w:rsidRPr="00AC0A56">
            <w:rPr>
              <w:rFonts w:ascii="Times New Roman" w:eastAsia="MS Mincho" w:hAnsi="Times New Roman" w:cs="Times New Roman"/>
              <w:sz w:val="20"/>
              <w:szCs w:val="20"/>
              <w:lang w:eastAsia="ja-JP"/>
            </w:rPr>
            <w:t>13</w:t>
          </w:r>
          <w:r w:rsidRPr="00AC0A56">
            <w:rPr>
              <w:rFonts w:ascii="Times New Roman" w:hAnsi="Times New Roman" w:cs="Times New Roman"/>
              <w:sz w:val="20"/>
              <w:szCs w:val="20"/>
              <w:vertAlign w:val="superscript"/>
            </w:rPr>
            <w:t>th</w:t>
          </w:r>
          <w:r w:rsidRPr="00AC0A56">
            <w:rPr>
              <w:rFonts w:ascii="Times New Roman" w:hAnsi="Times New Roman" w:cs="Times New Roman"/>
              <w:sz w:val="20"/>
              <w:szCs w:val="20"/>
            </w:rPr>
            <w:t xml:space="preserve"> GRSG, </w:t>
          </w:r>
          <w:r w:rsidRPr="00AC0A56">
            <w:rPr>
              <w:rFonts w:ascii="Times New Roman" w:hAnsi="Times New Roman" w:cs="Times New Roman"/>
              <w:sz w:val="20"/>
              <w:szCs w:val="20"/>
              <w:lang w:eastAsia="ja-JP"/>
            </w:rPr>
            <w:t>10-13 October 2017</w:t>
          </w:r>
        </w:p>
        <w:p w:rsidR="00D4713D" w:rsidRPr="00AC0A56" w:rsidRDefault="00D4713D" w:rsidP="00D4713D">
          <w:pPr>
            <w:tabs>
              <w:tab w:val="center" w:pos="4320"/>
              <w:tab w:val="right" w:pos="8640"/>
            </w:tabs>
            <w:ind w:left="742"/>
            <w:rPr>
              <w:rFonts w:ascii="Times New Roman" w:hAnsi="Times New Roman" w:cs="Times New Roman"/>
              <w:sz w:val="20"/>
              <w:szCs w:val="20"/>
            </w:rPr>
          </w:pPr>
          <w:r w:rsidRPr="00AC0A56">
            <w:rPr>
              <w:rFonts w:ascii="Times New Roman" w:hAnsi="Times New Roman" w:cs="Times New Roman"/>
              <w:sz w:val="20"/>
              <w:szCs w:val="20"/>
            </w:rPr>
            <w:t xml:space="preserve">agenda item </w:t>
          </w:r>
          <w:r>
            <w:rPr>
              <w:rFonts w:ascii="Times New Roman" w:hAnsi="Times New Roman" w:cs="Times New Roman"/>
              <w:sz w:val="20"/>
              <w:szCs w:val="20"/>
            </w:rPr>
            <w:t>5.(a)</w:t>
          </w:r>
          <w:r w:rsidRPr="00AC0A56">
            <w:rPr>
              <w:rFonts w:ascii="Times New Roman" w:hAnsi="Times New Roman" w:cs="Times New Roman"/>
              <w:sz w:val="20"/>
              <w:szCs w:val="20"/>
            </w:rPr>
            <w:t>)</w:t>
          </w:r>
        </w:p>
      </w:tc>
    </w:tr>
  </w:tbl>
  <w:p w:rsidR="00D4713D" w:rsidRDefault="00D47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D50CD"/>
    <w:multiLevelType w:val="hybridMultilevel"/>
    <w:tmpl w:val="FFCE4D18"/>
    <w:lvl w:ilvl="0" w:tplc="040C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3"/>
    <w:rsid w:val="00051F9C"/>
    <w:rsid w:val="00163ED3"/>
    <w:rsid w:val="00531E2C"/>
    <w:rsid w:val="00577668"/>
    <w:rsid w:val="007C5934"/>
    <w:rsid w:val="00972B23"/>
    <w:rsid w:val="009E12CD"/>
    <w:rsid w:val="00A80A59"/>
    <w:rsid w:val="00AB2A3B"/>
    <w:rsid w:val="00AC0A56"/>
    <w:rsid w:val="00BD2223"/>
    <w:rsid w:val="00C11267"/>
    <w:rsid w:val="00C8757B"/>
    <w:rsid w:val="00CD4506"/>
    <w:rsid w:val="00D4713D"/>
    <w:rsid w:val="00EE7928"/>
    <w:rsid w:val="00F03572"/>
    <w:rsid w:val="00FA41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A56"/>
    <w:pPr>
      <w:tabs>
        <w:tab w:val="center" w:pos="4536"/>
        <w:tab w:val="right" w:pos="9072"/>
      </w:tabs>
    </w:pPr>
  </w:style>
  <w:style w:type="character" w:customStyle="1" w:styleId="HeaderChar">
    <w:name w:val="Header Char"/>
    <w:basedOn w:val="DefaultParagraphFont"/>
    <w:link w:val="Header"/>
    <w:uiPriority w:val="99"/>
    <w:rsid w:val="00AC0A56"/>
  </w:style>
  <w:style w:type="paragraph" w:styleId="Footer">
    <w:name w:val="footer"/>
    <w:basedOn w:val="Normal"/>
    <w:link w:val="FooterChar"/>
    <w:uiPriority w:val="99"/>
    <w:unhideWhenUsed/>
    <w:rsid w:val="00AC0A56"/>
    <w:pPr>
      <w:tabs>
        <w:tab w:val="center" w:pos="4536"/>
        <w:tab w:val="right" w:pos="9072"/>
      </w:tabs>
    </w:pPr>
  </w:style>
  <w:style w:type="character" w:customStyle="1" w:styleId="FooterChar">
    <w:name w:val="Footer Char"/>
    <w:basedOn w:val="DefaultParagraphFont"/>
    <w:link w:val="Footer"/>
    <w:uiPriority w:val="99"/>
    <w:rsid w:val="00AC0A56"/>
  </w:style>
  <w:style w:type="paragraph" w:customStyle="1" w:styleId="HChG">
    <w:name w:val="_ H _Ch_G"/>
    <w:basedOn w:val="Normal"/>
    <w:next w:val="Normal"/>
    <w:link w:val="HChGChar"/>
    <w:rsid w:val="00AC0A56"/>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rPr>
  </w:style>
  <w:style w:type="character" w:customStyle="1" w:styleId="HChGChar">
    <w:name w:val="_ H _Ch_G Char"/>
    <w:link w:val="HChG"/>
    <w:rsid w:val="00AC0A56"/>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577668"/>
    <w:pPr>
      <w:ind w:left="720"/>
      <w:contextualSpacing/>
    </w:pPr>
  </w:style>
  <w:style w:type="paragraph" w:styleId="BalloonText">
    <w:name w:val="Balloon Text"/>
    <w:basedOn w:val="Normal"/>
    <w:link w:val="BalloonTextChar"/>
    <w:uiPriority w:val="99"/>
    <w:semiHidden/>
    <w:unhideWhenUsed/>
    <w:rsid w:val="00D4713D"/>
    <w:rPr>
      <w:rFonts w:ascii="Tahoma" w:hAnsi="Tahoma" w:cs="Tahoma"/>
      <w:sz w:val="16"/>
      <w:szCs w:val="16"/>
    </w:rPr>
  </w:style>
  <w:style w:type="character" w:customStyle="1" w:styleId="BalloonTextChar">
    <w:name w:val="Balloon Text Char"/>
    <w:basedOn w:val="DefaultParagraphFont"/>
    <w:link w:val="BalloonText"/>
    <w:uiPriority w:val="99"/>
    <w:semiHidden/>
    <w:rsid w:val="00D47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A56"/>
    <w:pPr>
      <w:tabs>
        <w:tab w:val="center" w:pos="4536"/>
        <w:tab w:val="right" w:pos="9072"/>
      </w:tabs>
    </w:pPr>
  </w:style>
  <w:style w:type="character" w:customStyle="1" w:styleId="HeaderChar">
    <w:name w:val="Header Char"/>
    <w:basedOn w:val="DefaultParagraphFont"/>
    <w:link w:val="Header"/>
    <w:uiPriority w:val="99"/>
    <w:rsid w:val="00AC0A56"/>
  </w:style>
  <w:style w:type="paragraph" w:styleId="Footer">
    <w:name w:val="footer"/>
    <w:basedOn w:val="Normal"/>
    <w:link w:val="FooterChar"/>
    <w:uiPriority w:val="99"/>
    <w:unhideWhenUsed/>
    <w:rsid w:val="00AC0A56"/>
    <w:pPr>
      <w:tabs>
        <w:tab w:val="center" w:pos="4536"/>
        <w:tab w:val="right" w:pos="9072"/>
      </w:tabs>
    </w:pPr>
  </w:style>
  <w:style w:type="character" w:customStyle="1" w:styleId="FooterChar">
    <w:name w:val="Footer Char"/>
    <w:basedOn w:val="DefaultParagraphFont"/>
    <w:link w:val="Footer"/>
    <w:uiPriority w:val="99"/>
    <w:rsid w:val="00AC0A56"/>
  </w:style>
  <w:style w:type="paragraph" w:customStyle="1" w:styleId="HChG">
    <w:name w:val="_ H _Ch_G"/>
    <w:basedOn w:val="Normal"/>
    <w:next w:val="Normal"/>
    <w:link w:val="HChGChar"/>
    <w:rsid w:val="00AC0A56"/>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rPr>
  </w:style>
  <w:style w:type="character" w:customStyle="1" w:styleId="HChGChar">
    <w:name w:val="_ H _Ch_G Char"/>
    <w:link w:val="HChG"/>
    <w:rsid w:val="00AC0A56"/>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577668"/>
    <w:pPr>
      <w:ind w:left="720"/>
      <w:contextualSpacing/>
    </w:pPr>
  </w:style>
  <w:style w:type="paragraph" w:styleId="BalloonText">
    <w:name w:val="Balloon Text"/>
    <w:basedOn w:val="Normal"/>
    <w:link w:val="BalloonTextChar"/>
    <w:uiPriority w:val="99"/>
    <w:semiHidden/>
    <w:unhideWhenUsed/>
    <w:rsid w:val="00D4713D"/>
    <w:rPr>
      <w:rFonts w:ascii="Tahoma" w:hAnsi="Tahoma" w:cs="Tahoma"/>
      <w:sz w:val="16"/>
      <w:szCs w:val="16"/>
    </w:rPr>
  </w:style>
  <w:style w:type="character" w:customStyle="1" w:styleId="BalloonTextChar">
    <w:name w:val="Balloon Text Char"/>
    <w:basedOn w:val="DefaultParagraphFont"/>
    <w:link w:val="BalloonText"/>
    <w:uiPriority w:val="99"/>
    <w:semiHidden/>
    <w:rsid w:val="00D47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rct=j&amp;q=&amp;esrc=s&amp;source=images&amp;cd=&amp;cad=rja&amp;uact=8&amp;ved=0ahUKEwiqhYnTqMDWAhVBZFAKHZ8VAjoQjRwIBw&amp;url=https://www.extremetech.com/extreme/135716-too-quirky-5-reasons-why-honda-tech-will-scare-away-tech-savvy-buyers&amp;psig=AFQjCNGU7sLodRZAhwnUPvmI-GEbBJn7zw&amp;ust=15064282332600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Honda Motor Group</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Ballaux</dc:creator>
  <cp:lastModifiedBy>Hubert Romain</cp:lastModifiedBy>
  <cp:revision>2</cp:revision>
  <dcterms:created xsi:type="dcterms:W3CDTF">2017-10-03T15:14:00Z</dcterms:created>
  <dcterms:modified xsi:type="dcterms:W3CDTF">2017-10-03T15:14:00Z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