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E07570" w:rsidTr="00C97039">
        <w:trPr>
          <w:trHeight w:hRule="exact" w:val="851"/>
        </w:trPr>
        <w:tc>
          <w:tcPr>
            <w:tcW w:w="1276" w:type="dxa"/>
            <w:tcBorders>
              <w:bottom w:val="single" w:sz="4" w:space="0" w:color="auto"/>
            </w:tcBorders>
          </w:tcPr>
          <w:p w:rsidR="00F35BAF" w:rsidRPr="00E07570" w:rsidRDefault="00F35BAF" w:rsidP="00BD381E">
            <w:bookmarkStart w:id="0" w:name="_GoBack"/>
            <w:bookmarkEnd w:id="0"/>
          </w:p>
        </w:tc>
        <w:tc>
          <w:tcPr>
            <w:tcW w:w="2268" w:type="dxa"/>
            <w:tcBorders>
              <w:bottom w:val="single" w:sz="4" w:space="0" w:color="auto"/>
            </w:tcBorders>
            <w:vAlign w:val="bottom"/>
          </w:tcPr>
          <w:p w:rsidR="00F35BAF" w:rsidRPr="00E07570" w:rsidRDefault="00F35BAF" w:rsidP="00C97039">
            <w:pPr>
              <w:spacing w:after="80" w:line="300" w:lineRule="exact"/>
              <w:rPr>
                <w:sz w:val="28"/>
              </w:rPr>
            </w:pPr>
            <w:r w:rsidRPr="00E07570">
              <w:rPr>
                <w:sz w:val="28"/>
              </w:rPr>
              <w:t>Nations Unies</w:t>
            </w:r>
          </w:p>
        </w:tc>
        <w:tc>
          <w:tcPr>
            <w:tcW w:w="6095" w:type="dxa"/>
            <w:gridSpan w:val="2"/>
            <w:tcBorders>
              <w:bottom w:val="single" w:sz="4" w:space="0" w:color="auto"/>
            </w:tcBorders>
            <w:vAlign w:val="bottom"/>
          </w:tcPr>
          <w:p w:rsidR="00F35BAF" w:rsidRPr="00E07570" w:rsidRDefault="00BD381E" w:rsidP="00BD381E">
            <w:pPr>
              <w:jc w:val="right"/>
            </w:pPr>
            <w:r w:rsidRPr="00E07570">
              <w:rPr>
                <w:sz w:val="40"/>
              </w:rPr>
              <w:t>ECE</w:t>
            </w:r>
            <w:r w:rsidRPr="00E07570">
              <w:t>/TRANS/WP.29/GRSG/2017/12</w:t>
            </w:r>
          </w:p>
        </w:tc>
      </w:tr>
      <w:tr w:rsidR="00F35BAF" w:rsidRPr="00E07570" w:rsidTr="00C97039">
        <w:trPr>
          <w:trHeight w:hRule="exact" w:val="2835"/>
        </w:trPr>
        <w:tc>
          <w:tcPr>
            <w:tcW w:w="1276" w:type="dxa"/>
            <w:tcBorders>
              <w:top w:val="single" w:sz="4" w:space="0" w:color="auto"/>
              <w:bottom w:val="single" w:sz="12" w:space="0" w:color="auto"/>
            </w:tcBorders>
          </w:tcPr>
          <w:p w:rsidR="00F35BAF" w:rsidRPr="00E07570" w:rsidRDefault="00F35BAF" w:rsidP="00C97039">
            <w:pPr>
              <w:spacing w:before="120"/>
              <w:jc w:val="center"/>
            </w:pPr>
            <w:r w:rsidRPr="00E07570">
              <w:rPr>
                <w:noProof/>
                <w:lang w:val="en-GB" w:eastAsia="en-GB"/>
              </w:rPr>
              <w:drawing>
                <wp:inline distT="0" distB="0" distL="0" distR="0" wp14:anchorId="6C8AF823" wp14:editId="2A5E59B1">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F35BAF" w:rsidRPr="00E07570" w:rsidRDefault="00F35BAF" w:rsidP="00C97039">
            <w:pPr>
              <w:spacing w:before="120" w:line="420" w:lineRule="exact"/>
              <w:rPr>
                <w:b/>
                <w:sz w:val="40"/>
                <w:szCs w:val="40"/>
              </w:rPr>
            </w:pPr>
            <w:r w:rsidRPr="00E07570">
              <w:rPr>
                <w:b/>
                <w:sz w:val="40"/>
                <w:szCs w:val="40"/>
              </w:rPr>
              <w:t>Conseil économique et social</w:t>
            </w:r>
          </w:p>
        </w:tc>
        <w:tc>
          <w:tcPr>
            <w:tcW w:w="2835" w:type="dxa"/>
            <w:tcBorders>
              <w:top w:val="single" w:sz="4" w:space="0" w:color="auto"/>
              <w:bottom w:val="single" w:sz="12" w:space="0" w:color="auto"/>
            </w:tcBorders>
          </w:tcPr>
          <w:p w:rsidR="00F35BAF" w:rsidRPr="00E07570" w:rsidRDefault="00BD381E" w:rsidP="00C97039">
            <w:pPr>
              <w:spacing w:before="240"/>
            </w:pPr>
            <w:proofErr w:type="spellStart"/>
            <w:r w:rsidRPr="00E07570">
              <w:t>Distr</w:t>
            </w:r>
            <w:proofErr w:type="spellEnd"/>
            <w:r w:rsidRPr="00E07570">
              <w:t>. générale</w:t>
            </w:r>
          </w:p>
          <w:p w:rsidR="00BD381E" w:rsidRPr="00E07570" w:rsidRDefault="00BD381E" w:rsidP="00BD381E">
            <w:pPr>
              <w:spacing w:line="240" w:lineRule="exact"/>
            </w:pPr>
            <w:r w:rsidRPr="00E07570">
              <w:t>8 février 2017</w:t>
            </w:r>
          </w:p>
          <w:p w:rsidR="00BD381E" w:rsidRPr="00E07570" w:rsidRDefault="00BD381E" w:rsidP="00BD381E">
            <w:pPr>
              <w:spacing w:line="240" w:lineRule="exact"/>
            </w:pPr>
            <w:r w:rsidRPr="00E07570">
              <w:t>Français</w:t>
            </w:r>
          </w:p>
          <w:p w:rsidR="00BD381E" w:rsidRPr="00E07570" w:rsidRDefault="00BD381E" w:rsidP="00BD381E">
            <w:pPr>
              <w:spacing w:line="240" w:lineRule="exact"/>
            </w:pPr>
            <w:r w:rsidRPr="00E07570">
              <w:t>Original : anglais</w:t>
            </w:r>
          </w:p>
        </w:tc>
      </w:tr>
    </w:tbl>
    <w:p w:rsidR="007F20FA" w:rsidRPr="00E07570" w:rsidRDefault="007F20FA" w:rsidP="007F20FA">
      <w:pPr>
        <w:spacing w:before="120"/>
        <w:rPr>
          <w:b/>
          <w:sz w:val="28"/>
          <w:szCs w:val="28"/>
        </w:rPr>
      </w:pPr>
      <w:r w:rsidRPr="00E07570">
        <w:rPr>
          <w:b/>
          <w:sz w:val="28"/>
          <w:szCs w:val="28"/>
        </w:rPr>
        <w:t>Commission économique pour l</w:t>
      </w:r>
      <w:r w:rsidR="00145E4B">
        <w:rPr>
          <w:b/>
          <w:sz w:val="28"/>
          <w:szCs w:val="28"/>
        </w:rPr>
        <w:t>’</w:t>
      </w:r>
      <w:r w:rsidRPr="00E07570">
        <w:rPr>
          <w:b/>
          <w:sz w:val="28"/>
          <w:szCs w:val="28"/>
        </w:rPr>
        <w:t>Europe</w:t>
      </w:r>
    </w:p>
    <w:p w:rsidR="007F20FA" w:rsidRPr="00E07570" w:rsidRDefault="007F20FA" w:rsidP="007F20FA">
      <w:pPr>
        <w:spacing w:before="120"/>
        <w:rPr>
          <w:sz w:val="28"/>
          <w:szCs w:val="28"/>
        </w:rPr>
      </w:pPr>
      <w:r w:rsidRPr="00E07570">
        <w:rPr>
          <w:sz w:val="28"/>
          <w:szCs w:val="28"/>
        </w:rPr>
        <w:t>Comité des transports intérieurs</w:t>
      </w:r>
    </w:p>
    <w:p w:rsidR="00BD381E" w:rsidRPr="00E07570" w:rsidRDefault="00BD381E" w:rsidP="00AF0CB5">
      <w:pPr>
        <w:spacing w:before="120"/>
        <w:rPr>
          <w:b/>
          <w:sz w:val="24"/>
          <w:szCs w:val="24"/>
        </w:rPr>
      </w:pPr>
      <w:r w:rsidRPr="00E07570">
        <w:rPr>
          <w:b/>
          <w:sz w:val="24"/>
          <w:szCs w:val="24"/>
        </w:rPr>
        <w:t>Forum mondial de l</w:t>
      </w:r>
      <w:r w:rsidR="00145E4B">
        <w:rPr>
          <w:b/>
          <w:sz w:val="24"/>
          <w:szCs w:val="24"/>
        </w:rPr>
        <w:t>’</w:t>
      </w:r>
      <w:r w:rsidRPr="00E07570">
        <w:rPr>
          <w:b/>
          <w:sz w:val="24"/>
          <w:szCs w:val="24"/>
        </w:rPr>
        <w:t>harmonisation</w:t>
      </w:r>
      <w:r w:rsidRPr="00E07570">
        <w:rPr>
          <w:b/>
          <w:sz w:val="24"/>
          <w:szCs w:val="24"/>
        </w:rPr>
        <w:br/>
        <w:t>des Règlements concernant les véhicules</w:t>
      </w:r>
    </w:p>
    <w:p w:rsidR="00BD381E" w:rsidRPr="00E07570" w:rsidRDefault="00BD381E" w:rsidP="00257168">
      <w:pPr>
        <w:spacing w:before="120" w:after="120" w:line="240" w:lineRule="exact"/>
        <w:rPr>
          <w:b/>
        </w:rPr>
      </w:pPr>
      <w:r w:rsidRPr="00E07570">
        <w:rPr>
          <w:b/>
        </w:rPr>
        <w:t>Groupe de travail des dispositions générales de sécurité</w:t>
      </w:r>
    </w:p>
    <w:p w:rsidR="00BD381E" w:rsidRPr="00E07570" w:rsidRDefault="00BD381E" w:rsidP="00257168">
      <w:pPr>
        <w:spacing w:before="120" w:line="240" w:lineRule="exact"/>
        <w:rPr>
          <w:b/>
        </w:rPr>
      </w:pPr>
      <w:r w:rsidRPr="00E07570">
        <w:rPr>
          <w:b/>
        </w:rPr>
        <w:t>112</w:t>
      </w:r>
      <w:r w:rsidRPr="00E07570">
        <w:rPr>
          <w:b/>
          <w:vertAlign w:val="superscript"/>
        </w:rPr>
        <w:t>e</w:t>
      </w:r>
      <w:r w:rsidRPr="00E07570">
        <w:rPr>
          <w:b/>
        </w:rPr>
        <w:t xml:space="preserve"> session</w:t>
      </w:r>
    </w:p>
    <w:p w:rsidR="00BD381E" w:rsidRPr="00E07570" w:rsidRDefault="00BD381E" w:rsidP="00257168">
      <w:pPr>
        <w:spacing w:line="240" w:lineRule="exact"/>
      </w:pPr>
      <w:r w:rsidRPr="00E07570">
        <w:t>Genève, 24-28 avril 2017</w:t>
      </w:r>
    </w:p>
    <w:p w:rsidR="00BD381E" w:rsidRPr="00E07570" w:rsidRDefault="00BD381E" w:rsidP="00257168">
      <w:pPr>
        <w:spacing w:line="240" w:lineRule="exact"/>
      </w:pPr>
      <w:r w:rsidRPr="00E07570">
        <w:t>Point 12 de l</w:t>
      </w:r>
      <w:r w:rsidR="00145E4B">
        <w:t>’</w:t>
      </w:r>
      <w:r w:rsidRPr="00E07570">
        <w:t>ordre du jour provisoire</w:t>
      </w:r>
    </w:p>
    <w:p w:rsidR="00C134CD" w:rsidRPr="00E07570" w:rsidRDefault="00C134CD" w:rsidP="00C134CD">
      <w:pPr>
        <w:spacing w:line="480" w:lineRule="auto"/>
        <w:rPr>
          <w:b/>
          <w:bCs/>
        </w:rPr>
      </w:pPr>
      <w:r w:rsidRPr="00E07570">
        <w:rPr>
          <w:b/>
          <w:bCs/>
        </w:rPr>
        <w:t>Systèmes automatiques d</w:t>
      </w:r>
      <w:r w:rsidR="00145E4B">
        <w:rPr>
          <w:b/>
          <w:bCs/>
        </w:rPr>
        <w:t>’</w:t>
      </w:r>
      <w:r w:rsidRPr="00E07570">
        <w:rPr>
          <w:b/>
          <w:bCs/>
        </w:rPr>
        <w:t>appel d</w:t>
      </w:r>
      <w:r w:rsidR="00145E4B">
        <w:rPr>
          <w:b/>
          <w:bCs/>
        </w:rPr>
        <w:t>’</w:t>
      </w:r>
      <w:r w:rsidRPr="00E07570">
        <w:rPr>
          <w:b/>
          <w:bCs/>
        </w:rPr>
        <w:t>urgence</w:t>
      </w:r>
    </w:p>
    <w:p w:rsidR="00C134CD" w:rsidRPr="00E07570" w:rsidRDefault="00C134CD" w:rsidP="00C134CD">
      <w:pPr>
        <w:pStyle w:val="HChG"/>
      </w:pPr>
      <w:r w:rsidRPr="00E07570">
        <w:tab/>
      </w:r>
      <w:r w:rsidRPr="00E07570">
        <w:tab/>
        <w:t>Propositions d</w:t>
      </w:r>
      <w:r w:rsidR="00145E4B">
        <w:t>’</w:t>
      </w:r>
      <w:r w:rsidRPr="00E07570">
        <w:t xml:space="preserve">amendements au projet de nouveau Règlement sur les systèmes automatiques </w:t>
      </w:r>
      <w:r w:rsidRPr="00E07570">
        <w:br/>
      </w:r>
      <w:proofErr w:type="gramStart"/>
      <w:r w:rsidRPr="00E07570">
        <w:t>d</w:t>
      </w:r>
      <w:r w:rsidR="00145E4B">
        <w:t>’</w:t>
      </w:r>
      <w:r w:rsidRPr="00E07570">
        <w:t>appel</w:t>
      </w:r>
      <w:proofErr w:type="gramEnd"/>
      <w:r w:rsidRPr="00E07570">
        <w:t xml:space="preserve"> d</w:t>
      </w:r>
      <w:r w:rsidR="00145E4B">
        <w:t>’</w:t>
      </w:r>
      <w:r w:rsidRPr="00E07570">
        <w:t>urgence</w:t>
      </w:r>
    </w:p>
    <w:p w:rsidR="00BD381E" w:rsidRPr="00E07570" w:rsidRDefault="00C134CD" w:rsidP="00C134CD">
      <w:pPr>
        <w:pStyle w:val="H1G"/>
        <w:rPr>
          <w:b w:val="0"/>
          <w:bCs/>
          <w:sz w:val="20"/>
        </w:rPr>
      </w:pPr>
      <w:r w:rsidRPr="00E07570">
        <w:tab/>
      </w:r>
      <w:r w:rsidRPr="00E07570">
        <w:tab/>
        <w:t xml:space="preserve">Communication du Président du groupe de travail informel </w:t>
      </w:r>
      <w:r w:rsidRPr="00E07570">
        <w:br/>
        <w:t>des systèmes automatiques d</w:t>
      </w:r>
      <w:r w:rsidR="00145E4B">
        <w:t>’</w:t>
      </w:r>
      <w:r w:rsidRPr="00E07570">
        <w:t>appel d</w:t>
      </w:r>
      <w:r w:rsidR="00145E4B">
        <w:t>’</w:t>
      </w:r>
      <w:r w:rsidRPr="00E07570">
        <w:t>urgence</w:t>
      </w:r>
      <w:r w:rsidRPr="00E07570">
        <w:rPr>
          <w:rStyle w:val="FootnoteReference"/>
          <w:b w:val="0"/>
          <w:bCs/>
          <w:sz w:val="20"/>
          <w:vertAlign w:val="baseline"/>
        </w:rPr>
        <w:footnoteReference w:customMarkFollows="1" w:id="2"/>
        <w:t>*</w:t>
      </w:r>
    </w:p>
    <w:p w:rsidR="00785E8A" w:rsidRPr="00E07570" w:rsidRDefault="00C134CD" w:rsidP="00C134CD">
      <w:pPr>
        <w:pStyle w:val="SingleTxtG"/>
        <w:ind w:firstLine="567"/>
      </w:pPr>
      <w:r w:rsidRPr="00E07570">
        <w:t>Le texte reproduit ci-après a été établi par l</w:t>
      </w:r>
      <w:r w:rsidR="00145E4B">
        <w:t>’</w:t>
      </w:r>
      <w:r w:rsidRPr="00E07570">
        <w:t>expert de la République de Corée, qui préside le groupe de travail informel des systèmes automatiques d</w:t>
      </w:r>
      <w:r w:rsidR="00145E4B">
        <w:t>’</w:t>
      </w:r>
      <w:r w:rsidRPr="00E07570">
        <w:t>appel d</w:t>
      </w:r>
      <w:r w:rsidR="00145E4B">
        <w:t>’</w:t>
      </w:r>
      <w:r w:rsidRPr="00E07570">
        <w:t>urgence. Il présente des prescriptions aux fins de l</w:t>
      </w:r>
      <w:r w:rsidR="00145E4B">
        <w:t>’</w:t>
      </w:r>
      <w:r w:rsidRPr="00E07570">
        <w:t>homologation des éléments des dispositifs automatiques d</w:t>
      </w:r>
      <w:r w:rsidR="00145E4B">
        <w:t>’</w:t>
      </w:r>
      <w:r w:rsidRPr="00E07570">
        <w:t>appel d</w:t>
      </w:r>
      <w:r w:rsidR="00145E4B">
        <w:t>’</w:t>
      </w:r>
      <w:r w:rsidRPr="00E07570">
        <w:t>urgence (AECC), qui peuvent être prises en compte dans les homologations des dispositifs automatiques d</w:t>
      </w:r>
      <w:r w:rsidR="00145E4B">
        <w:t>’</w:t>
      </w:r>
      <w:r w:rsidRPr="00E07570">
        <w:t>appel d</w:t>
      </w:r>
      <w:r w:rsidR="00145E4B">
        <w:t>’</w:t>
      </w:r>
      <w:r w:rsidRPr="00E07570">
        <w:t>urgence (AECD) ou dans les homologations des installations de ces dispositifs, dans le cadre du nouveau Règlement sur les systèmes automatiques d</w:t>
      </w:r>
      <w:r w:rsidR="00145E4B">
        <w:t>’</w:t>
      </w:r>
      <w:r w:rsidRPr="00E07570">
        <w:t>appel d</w:t>
      </w:r>
      <w:r w:rsidR="00145E4B">
        <w:t>’</w:t>
      </w:r>
      <w:r w:rsidRPr="00E07570">
        <w:t>urgence (AECS). Il est fondé principalement sur le document ECE/TRANS/WP.29/GRSG/2016/19 et il tient compte des résultats de la réunion que le groupe de travail a tenue à Paris le 19 janvier 2017. Les modifications qu</w:t>
      </w:r>
      <w:r w:rsidR="00145E4B">
        <w:t>’</w:t>
      </w:r>
      <w:r w:rsidRPr="00E07570">
        <w:t>il est proposé d</w:t>
      </w:r>
      <w:r w:rsidR="00145E4B">
        <w:t>’</w:t>
      </w:r>
      <w:r w:rsidRPr="00E07570">
        <w:t>apporter au texte du document ECE/TRANS/WP.29/GRSG/2016/19 sont signalées en caractères gras.</w:t>
      </w:r>
    </w:p>
    <w:p w:rsidR="00785E8A" w:rsidRPr="00E07570" w:rsidRDefault="00785E8A" w:rsidP="00547248">
      <w:pPr>
        <w:pStyle w:val="HChG"/>
        <w:rPr>
          <w:b w:val="0"/>
        </w:rPr>
      </w:pPr>
      <w:r w:rsidRPr="00E07570">
        <w:br w:type="page"/>
      </w:r>
      <w:r w:rsidR="00547248" w:rsidRPr="00E07570">
        <w:lastRenderedPageBreak/>
        <w:tab/>
      </w:r>
      <w:r w:rsidRPr="00E07570">
        <w:rPr>
          <w:b w:val="0"/>
        </w:rPr>
        <w:t>Règlement n</w:t>
      </w:r>
      <w:r w:rsidRPr="00E07570">
        <w:rPr>
          <w:b w:val="0"/>
          <w:vertAlign w:val="superscript"/>
        </w:rPr>
        <w:t>o</w:t>
      </w:r>
      <w:r w:rsidRPr="00E07570">
        <w:rPr>
          <w:b w:val="0"/>
        </w:rPr>
        <w:t> XXX</w:t>
      </w:r>
    </w:p>
    <w:p w:rsidR="00785E8A" w:rsidRPr="00E07570" w:rsidRDefault="00785E8A" w:rsidP="00547248">
      <w:pPr>
        <w:pStyle w:val="HChG"/>
        <w:rPr>
          <w:b w:val="0"/>
        </w:rPr>
      </w:pPr>
      <w:r w:rsidRPr="00E07570">
        <w:rPr>
          <w:b w:val="0"/>
        </w:rPr>
        <w:tab/>
      </w:r>
      <w:r w:rsidRPr="00E07570">
        <w:rPr>
          <w:b w:val="0"/>
        </w:rPr>
        <w:tab/>
        <w:t>Prescriptions uniformes portant sur</w:t>
      </w:r>
      <w:r w:rsidR="00547248" w:rsidRPr="00E07570">
        <w:rPr>
          <w:b w:val="0"/>
        </w:rPr>
        <w:t> </w:t>
      </w:r>
      <w:r w:rsidRPr="00E07570">
        <w:rPr>
          <w:b w:val="0"/>
        </w:rPr>
        <w:t>:</w:t>
      </w:r>
    </w:p>
    <w:p w:rsidR="00785E8A" w:rsidRPr="00E07570" w:rsidRDefault="00785E8A" w:rsidP="007E3F53">
      <w:pPr>
        <w:pStyle w:val="HChG"/>
        <w:ind w:left="1701" w:hanging="567"/>
      </w:pPr>
      <w:proofErr w:type="spellStart"/>
      <w:r w:rsidRPr="00E07570">
        <w:t>Ia</w:t>
      </w:r>
      <w:proofErr w:type="spellEnd"/>
      <w:r w:rsidRPr="00E07570">
        <w:t>.</w:t>
      </w:r>
      <w:r w:rsidRPr="00E07570">
        <w:tab/>
        <w:t>Les éléments des dispositifs automatiques d</w:t>
      </w:r>
      <w:r w:rsidR="00145E4B">
        <w:t>’</w:t>
      </w:r>
      <w:r w:rsidRPr="00E07570">
        <w:t>appel d</w:t>
      </w:r>
      <w:r w:rsidR="00145E4B">
        <w:t>’</w:t>
      </w:r>
      <w:r w:rsidRPr="00E07570">
        <w:t>urgence</w:t>
      </w:r>
    </w:p>
    <w:p w:rsidR="00785E8A" w:rsidRPr="00E07570" w:rsidRDefault="00A22689" w:rsidP="007E3F53">
      <w:pPr>
        <w:pStyle w:val="HChG"/>
        <w:ind w:left="1701" w:hanging="567"/>
        <w:rPr>
          <w:b w:val="0"/>
        </w:rPr>
      </w:pPr>
      <w:proofErr w:type="spellStart"/>
      <w:r w:rsidRPr="00E07570">
        <w:t>Ib</w:t>
      </w:r>
      <w:proofErr w:type="spellEnd"/>
      <w:r w:rsidR="00785E8A" w:rsidRPr="00E07570">
        <w:t>.</w:t>
      </w:r>
      <w:r w:rsidR="00785E8A" w:rsidRPr="00E07570">
        <w:tab/>
      </w:r>
      <w:r w:rsidR="00785E8A" w:rsidRPr="00E07570">
        <w:rPr>
          <w:b w:val="0"/>
        </w:rPr>
        <w:t>Les dispositifs automatiques d</w:t>
      </w:r>
      <w:r w:rsidR="00145E4B">
        <w:rPr>
          <w:b w:val="0"/>
        </w:rPr>
        <w:t>’</w:t>
      </w:r>
      <w:r w:rsidR="00785E8A" w:rsidRPr="00E07570">
        <w:rPr>
          <w:b w:val="0"/>
        </w:rPr>
        <w:t>appel d</w:t>
      </w:r>
      <w:r w:rsidR="00145E4B">
        <w:rPr>
          <w:b w:val="0"/>
        </w:rPr>
        <w:t>’</w:t>
      </w:r>
      <w:r w:rsidR="00785E8A" w:rsidRPr="00E07570">
        <w:rPr>
          <w:b w:val="0"/>
        </w:rPr>
        <w:t>urgence, destinés à</w:t>
      </w:r>
      <w:r w:rsidR="00313D47" w:rsidRPr="00E07570">
        <w:rPr>
          <w:b w:val="0"/>
        </w:rPr>
        <w:t> </w:t>
      </w:r>
      <w:r w:rsidR="00785E8A" w:rsidRPr="00E07570">
        <w:rPr>
          <w:b w:val="0"/>
        </w:rPr>
        <w:t>être installés sur les véhicules des catégories M</w:t>
      </w:r>
      <w:r w:rsidR="00785E8A" w:rsidRPr="00E07570">
        <w:rPr>
          <w:b w:val="0"/>
          <w:vertAlign w:val="subscript"/>
        </w:rPr>
        <w:t>1</w:t>
      </w:r>
      <w:r w:rsidR="00785E8A" w:rsidRPr="00E07570">
        <w:rPr>
          <w:b w:val="0"/>
        </w:rPr>
        <w:t xml:space="preserve"> et N</w:t>
      </w:r>
      <w:r w:rsidR="00785E8A" w:rsidRPr="00E07570">
        <w:rPr>
          <w:b w:val="0"/>
          <w:vertAlign w:val="subscript"/>
        </w:rPr>
        <w:t>1</w:t>
      </w:r>
    </w:p>
    <w:p w:rsidR="00785E8A" w:rsidRPr="00E07570" w:rsidRDefault="00785E8A" w:rsidP="007E3F53">
      <w:pPr>
        <w:pStyle w:val="HChG"/>
        <w:ind w:left="1701" w:hanging="567"/>
        <w:rPr>
          <w:b w:val="0"/>
        </w:rPr>
      </w:pPr>
      <w:r w:rsidRPr="00E07570">
        <w:rPr>
          <w:b w:val="0"/>
        </w:rPr>
        <w:t>II.</w:t>
      </w:r>
      <w:r w:rsidRPr="00E07570">
        <w:rPr>
          <w:b w:val="0"/>
        </w:rPr>
        <w:tab/>
      </w:r>
      <w:r w:rsidRPr="00E07570">
        <w:rPr>
          <w:b w:val="0"/>
          <w:spacing w:val="-2"/>
        </w:rPr>
        <w:t>Les véhicules en ce qui concerne l</w:t>
      </w:r>
      <w:r w:rsidR="00145E4B">
        <w:rPr>
          <w:b w:val="0"/>
          <w:spacing w:val="-2"/>
        </w:rPr>
        <w:t>’</w:t>
      </w:r>
      <w:r w:rsidRPr="00E07570">
        <w:rPr>
          <w:b w:val="0"/>
          <w:spacing w:val="-2"/>
        </w:rPr>
        <w:t>installation d</w:t>
      </w:r>
      <w:r w:rsidR="00145E4B">
        <w:rPr>
          <w:b w:val="0"/>
          <w:spacing w:val="-2"/>
        </w:rPr>
        <w:t>’</w:t>
      </w:r>
      <w:r w:rsidRPr="00E07570">
        <w:rPr>
          <w:b w:val="0"/>
          <w:spacing w:val="-2"/>
        </w:rPr>
        <w:t>un dispositif</w:t>
      </w:r>
      <w:r w:rsidRPr="00E07570">
        <w:rPr>
          <w:b w:val="0"/>
        </w:rPr>
        <w:t xml:space="preserve"> automatique d</w:t>
      </w:r>
      <w:r w:rsidR="00145E4B">
        <w:rPr>
          <w:b w:val="0"/>
        </w:rPr>
        <w:t>’</w:t>
      </w:r>
      <w:r w:rsidRPr="00E07570">
        <w:rPr>
          <w:b w:val="0"/>
        </w:rPr>
        <w:t>appel d</w:t>
      </w:r>
      <w:r w:rsidR="00145E4B">
        <w:rPr>
          <w:b w:val="0"/>
        </w:rPr>
        <w:t>’</w:t>
      </w:r>
      <w:r w:rsidRPr="00E07570">
        <w:rPr>
          <w:b w:val="0"/>
        </w:rPr>
        <w:t>urgence d</w:t>
      </w:r>
      <w:r w:rsidR="00145E4B">
        <w:rPr>
          <w:b w:val="0"/>
        </w:rPr>
        <w:t>’</w:t>
      </w:r>
      <w:r w:rsidRPr="00E07570">
        <w:rPr>
          <w:b w:val="0"/>
        </w:rPr>
        <w:t>un type homologué</w:t>
      </w:r>
    </w:p>
    <w:p w:rsidR="00C134CD" w:rsidRPr="00E07570" w:rsidRDefault="00785E8A" w:rsidP="007E3F53">
      <w:pPr>
        <w:pStyle w:val="HChG"/>
        <w:ind w:left="1701" w:hanging="567"/>
        <w:rPr>
          <w:b w:val="0"/>
        </w:rPr>
      </w:pPr>
      <w:r w:rsidRPr="00E07570">
        <w:rPr>
          <w:b w:val="0"/>
        </w:rPr>
        <w:t>III.</w:t>
      </w:r>
      <w:r w:rsidRPr="00E07570">
        <w:rPr>
          <w:b w:val="0"/>
        </w:rPr>
        <w:tab/>
        <w:t>Les véhicules en ce qui concerne leur système automatique d</w:t>
      </w:r>
      <w:r w:rsidR="00145E4B">
        <w:rPr>
          <w:b w:val="0"/>
        </w:rPr>
        <w:t>’</w:t>
      </w:r>
      <w:r w:rsidRPr="00E07570">
        <w:rPr>
          <w:b w:val="0"/>
        </w:rPr>
        <w:t>appel d</w:t>
      </w:r>
      <w:r w:rsidR="00145E4B">
        <w:rPr>
          <w:b w:val="0"/>
        </w:rPr>
        <w:t>’</w:t>
      </w:r>
      <w:r w:rsidRPr="00E07570">
        <w:rPr>
          <w:b w:val="0"/>
        </w:rPr>
        <w:t>urgence</w:t>
      </w:r>
    </w:p>
    <w:p w:rsidR="004A0AE0" w:rsidRPr="00E07570" w:rsidRDefault="004A0AE0" w:rsidP="004A0AE0">
      <w:pPr>
        <w:spacing w:after="120"/>
        <w:rPr>
          <w:sz w:val="28"/>
        </w:rPr>
      </w:pPr>
      <w:r w:rsidRPr="00E07570">
        <w:rPr>
          <w:sz w:val="28"/>
        </w:rPr>
        <w:t>Table des matières</w:t>
      </w:r>
    </w:p>
    <w:p w:rsidR="004A0AE0" w:rsidRPr="00E07570" w:rsidRDefault="004A0AE0" w:rsidP="004A0AE0">
      <w:pPr>
        <w:tabs>
          <w:tab w:val="right" w:pos="9638"/>
        </w:tabs>
        <w:spacing w:after="120"/>
        <w:ind w:left="283"/>
        <w:rPr>
          <w:i/>
          <w:sz w:val="18"/>
        </w:rPr>
      </w:pPr>
      <w:r w:rsidRPr="00E07570">
        <w:rPr>
          <w:i/>
          <w:sz w:val="18"/>
        </w:rPr>
        <w:tab/>
        <w:t>Page</w:t>
      </w:r>
    </w:p>
    <w:p w:rsidR="00964DB7" w:rsidRPr="00E07570" w:rsidRDefault="00964DB7" w:rsidP="00964DB7">
      <w:pPr>
        <w:tabs>
          <w:tab w:val="right" w:pos="850"/>
          <w:tab w:val="right" w:leader="dot" w:pos="8787"/>
          <w:tab w:val="right" w:pos="9638"/>
        </w:tabs>
        <w:spacing w:after="120"/>
        <w:ind w:left="1134" w:hanging="1134"/>
      </w:pPr>
      <w:r w:rsidRPr="00E07570">
        <w:tab/>
        <w:t>1.</w:t>
      </w:r>
      <w:r w:rsidRPr="00E07570">
        <w:tab/>
        <w:t>Champ d</w:t>
      </w:r>
      <w:r w:rsidR="00145E4B">
        <w:t>’</w:t>
      </w:r>
      <w:r w:rsidRPr="00E07570">
        <w:t>application</w:t>
      </w:r>
      <w:r w:rsidRPr="00E07570">
        <w:tab/>
      </w:r>
      <w:r w:rsidRPr="00E07570">
        <w:tab/>
      </w:r>
      <w:r w:rsidR="00EA2FC7" w:rsidRPr="00E07570">
        <w:t>5</w:t>
      </w:r>
    </w:p>
    <w:p w:rsidR="00964DB7" w:rsidRPr="00E07570" w:rsidRDefault="00964DB7" w:rsidP="00964DB7">
      <w:pPr>
        <w:tabs>
          <w:tab w:val="right" w:pos="850"/>
          <w:tab w:val="right" w:leader="dot" w:pos="8787"/>
          <w:tab w:val="right" w:pos="9638"/>
        </w:tabs>
        <w:spacing w:after="120"/>
        <w:ind w:left="1134" w:hanging="1134"/>
      </w:pPr>
      <w:r w:rsidRPr="00E07570">
        <w:tab/>
        <w:t>2.</w:t>
      </w:r>
      <w:r w:rsidRPr="00E07570">
        <w:tab/>
        <w:t>Définitions − Généralités</w:t>
      </w:r>
      <w:r w:rsidRPr="00E07570">
        <w:tab/>
      </w:r>
      <w:r w:rsidRPr="00E07570">
        <w:tab/>
        <w:t>6</w:t>
      </w:r>
    </w:p>
    <w:p w:rsidR="00964DB7" w:rsidRPr="00E07570" w:rsidRDefault="00FB1703" w:rsidP="00964DB7">
      <w:pPr>
        <w:tabs>
          <w:tab w:val="right" w:leader="dot" w:pos="8787"/>
          <w:tab w:val="right" w:pos="9638"/>
        </w:tabs>
        <w:spacing w:after="120"/>
        <w:ind w:left="1134"/>
        <w:rPr>
          <w:b/>
        </w:rPr>
      </w:pPr>
      <w:r w:rsidRPr="00E07570">
        <w:rPr>
          <w:b/>
        </w:rPr>
        <w:t>Partie </w:t>
      </w:r>
      <w:proofErr w:type="spellStart"/>
      <w:r w:rsidRPr="00E07570">
        <w:rPr>
          <w:b/>
        </w:rPr>
        <w:t>Ia</w:t>
      </w:r>
      <w:proofErr w:type="spellEnd"/>
      <w:r w:rsidRPr="00E07570">
        <w:rPr>
          <w:b/>
        </w:rPr>
        <w:t xml:space="preserve"> </w:t>
      </w:r>
      <w:r w:rsidR="005C0C39" w:rsidRPr="00E07570">
        <w:rPr>
          <w:b/>
        </w:rPr>
        <w:t>−</w:t>
      </w:r>
      <w:r w:rsidRPr="00E07570">
        <w:rPr>
          <w:b/>
        </w:rPr>
        <w:t xml:space="preserve"> Homologation des éléments destinés à être incorporés dans un dispositif </w:t>
      </w:r>
      <w:r w:rsidRPr="00E07570">
        <w:rPr>
          <w:b/>
        </w:rPr>
        <w:br/>
        <w:t>automatique d</w:t>
      </w:r>
      <w:r w:rsidR="00145E4B">
        <w:rPr>
          <w:b/>
        </w:rPr>
        <w:t>’</w:t>
      </w:r>
      <w:r w:rsidRPr="00E07570">
        <w:rPr>
          <w:b/>
        </w:rPr>
        <w:t>appel d</w:t>
      </w:r>
      <w:r w:rsidR="00145E4B">
        <w:rPr>
          <w:b/>
        </w:rPr>
        <w:t>’</w:t>
      </w:r>
      <w:r w:rsidRPr="00E07570">
        <w:rPr>
          <w:b/>
        </w:rPr>
        <w:t>urgence (AECD)</w:t>
      </w:r>
      <w:r w:rsidR="00964DB7" w:rsidRPr="00E07570">
        <w:rPr>
          <w:b/>
        </w:rPr>
        <w:tab/>
      </w:r>
      <w:r w:rsidR="00964DB7" w:rsidRPr="00E07570">
        <w:rPr>
          <w:b/>
        </w:rPr>
        <w:tab/>
      </w:r>
      <w:r w:rsidR="00EA2FC7" w:rsidRPr="00E07570">
        <w:rPr>
          <w:b/>
        </w:rPr>
        <w:t>8</w:t>
      </w:r>
    </w:p>
    <w:p w:rsidR="00964DB7" w:rsidRPr="00E07570" w:rsidRDefault="00964DB7" w:rsidP="00964DB7">
      <w:pPr>
        <w:tabs>
          <w:tab w:val="right" w:pos="850"/>
          <w:tab w:val="right" w:leader="dot" w:pos="8787"/>
          <w:tab w:val="right" w:pos="9638"/>
        </w:tabs>
        <w:spacing w:after="120"/>
        <w:ind w:left="1134" w:hanging="1134"/>
      </w:pPr>
      <w:r w:rsidRPr="00E07570">
        <w:tab/>
        <w:t>3.</w:t>
      </w:r>
      <w:r w:rsidRPr="00E07570">
        <w:tab/>
        <w:t>Définitions</w:t>
      </w:r>
      <w:r w:rsidRPr="00E07570">
        <w:tab/>
      </w:r>
      <w:r w:rsidRPr="00E07570">
        <w:tab/>
      </w:r>
      <w:r w:rsidR="00EA2FC7" w:rsidRPr="00E07570">
        <w:t>8</w:t>
      </w:r>
    </w:p>
    <w:p w:rsidR="00964DB7" w:rsidRPr="00E07570" w:rsidRDefault="00964DB7" w:rsidP="00964DB7">
      <w:pPr>
        <w:tabs>
          <w:tab w:val="right" w:pos="850"/>
          <w:tab w:val="right" w:leader="dot" w:pos="8787"/>
          <w:tab w:val="right" w:pos="9638"/>
        </w:tabs>
        <w:spacing w:after="120"/>
        <w:ind w:left="1134" w:hanging="1134"/>
      </w:pPr>
      <w:r w:rsidRPr="00E07570">
        <w:tab/>
        <w:t>4.</w:t>
      </w:r>
      <w:r w:rsidRPr="00E07570">
        <w:tab/>
      </w:r>
      <w:r w:rsidR="00FB1703" w:rsidRPr="00E07570">
        <w:t>Demande d</w:t>
      </w:r>
      <w:r w:rsidR="00145E4B">
        <w:t>’</w:t>
      </w:r>
      <w:r w:rsidR="00FB1703" w:rsidRPr="00E07570">
        <w:t>homologation d</w:t>
      </w:r>
      <w:r w:rsidR="00145E4B">
        <w:t>’</w:t>
      </w:r>
      <w:r w:rsidR="00FB1703" w:rsidRPr="00E07570">
        <w:t>un type d</w:t>
      </w:r>
      <w:r w:rsidR="00145E4B">
        <w:t>’</w:t>
      </w:r>
      <w:r w:rsidR="00FB1703" w:rsidRPr="00E07570">
        <w:t>AECC</w:t>
      </w:r>
      <w:r w:rsidRPr="00E07570">
        <w:tab/>
      </w:r>
      <w:r w:rsidRPr="00E07570">
        <w:tab/>
      </w:r>
      <w:r w:rsidR="00EA2FC7" w:rsidRPr="00E07570">
        <w:t>9</w:t>
      </w:r>
    </w:p>
    <w:p w:rsidR="00964DB7" w:rsidRPr="00E07570" w:rsidRDefault="00964DB7" w:rsidP="00964DB7">
      <w:pPr>
        <w:tabs>
          <w:tab w:val="right" w:pos="850"/>
          <w:tab w:val="right" w:leader="dot" w:pos="8787"/>
          <w:tab w:val="right" w:pos="9638"/>
        </w:tabs>
        <w:spacing w:after="120"/>
        <w:ind w:left="1134" w:hanging="1134"/>
      </w:pPr>
      <w:r w:rsidRPr="00E07570">
        <w:tab/>
        <w:t>5.</w:t>
      </w:r>
      <w:r w:rsidRPr="00E07570">
        <w:tab/>
      </w:r>
      <w:r w:rsidR="006B6E27" w:rsidRPr="00E07570">
        <w:t>Inscriptions</w:t>
      </w:r>
      <w:r w:rsidRPr="00E07570">
        <w:tab/>
      </w:r>
      <w:r w:rsidRPr="00E07570">
        <w:tab/>
      </w:r>
      <w:r w:rsidR="00EA2FC7" w:rsidRPr="00E07570">
        <w:t>9</w:t>
      </w:r>
    </w:p>
    <w:p w:rsidR="00964DB7" w:rsidRPr="00E07570" w:rsidRDefault="00964DB7" w:rsidP="00964DB7">
      <w:pPr>
        <w:tabs>
          <w:tab w:val="right" w:pos="850"/>
          <w:tab w:val="right" w:leader="dot" w:pos="8787"/>
          <w:tab w:val="right" w:pos="9638"/>
        </w:tabs>
        <w:spacing w:after="120"/>
        <w:ind w:left="1134" w:hanging="1134"/>
      </w:pPr>
      <w:r w:rsidRPr="00E07570">
        <w:tab/>
        <w:t>6.</w:t>
      </w:r>
      <w:r w:rsidRPr="00E07570">
        <w:tab/>
      </w:r>
      <w:r w:rsidR="006B6E27" w:rsidRPr="00E07570">
        <w:t>Homologation</w:t>
      </w:r>
      <w:r w:rsidRPr="00E07570">
        <w:tab/>
      </w:r>
      <w:r w:rsidRPr="00E07570">
        <w:tab/>
      </w:r>
      <w:r w:rsidR="00EA2FC7" w:rsidRPr="00E07570">
        <w:t>9</w:t>
      </w:r>
    </w:p>
    <w:p w:rsidR="00964DB7" w:rsidRPr="00E07570" w:rsidRDefault="00964DB7" w:rsidP="00964DB7">
      <w:pPr>
        <w:tabs>
          <w:tab w:val="right" w:pos="850"/>
          <w:tab w:val="right" w:leader="dot" w:pos="8787"/>
          <w:tab w:val="right" w:pos="9638"/>
        </w:tabs>
        <w:spacing w:after="120"/>
        <w:ind w:left="1134" w:hanging="1134"/>
      </w:pPr>
      <w:r w:rsidRPr="00E07570">
        <w:tab/>
        <w:t>7.</w:t>
      </w:r>
      <w:r w:rsidRPr="00E07570">
        <w:tab/>
      </w:r>
      <w:r w:rsidR="006B6E27" w:rsidRPr="00E07570">
        <w:t>Prescriptions générales</w:t>
      </w:r>
      <w:r w:rsidRPr="00E07570">
        <w:tab/>
      </w:r>
      <w:r w:rsidRPr="00E07570">
        <w:tab/>
      </w:r>
      <w:r w:rsidR="00EA2FC7" w:rsidRPr="00E07570">
        <w:t>10</w:t>
      </w:r>
    </w:p>
    <w:p w:rsidR="00964DB7" w:rsidRPr="00E07570" w:rsidRDefault="00964DB7" w:rsidP="00964DB7">
      <w:pPr>
        <w:tabs>
          <w:tab w:val="right" w:pos="850"/>
          <w:tab w:val="right" w:leader="dot" w:pos="8787"/>
          <w:tab w:val="right" w:pos="9638"/>
        </w:tabs>
        <w:spacing w:after="120"/>
        <w:ind w:left="1134" w:hanging="1134"/>
      </w:pPr>
      <w:r w:rsidRPr="00E07570">
        <w:tab/>
        <w:t>8.</w:t>
      </w:r>
      <w:r w:rsidRPr="00E07570">
        <w:tab/>
      </w:r>
      <w:r w:rsidR="006B6E27" w:rsidRPr="00E07570">
        <w:t>Modification d</w:t>
      </w:r>
      <w:r w:rsidR="00145E4B">
        <w:t>’</w:t>
      </w:r>
      <w:r w:rsidR="006B6E27" w:rsidRPr="00E07570">
        <w:t>un type d</w:t>
      </w:r>
      <w:r w:rsidR="00145E4B">
        <w:t>’</w:t>
      </w:r>
      <w:r w:rsidR="006B6E27" w:rsidRPr="00E07570">
        <w:t>AECC et extension de l</w:t>
      </w:r>
      <w:r w:rsidR="00145E4B">
        <w:t>’</w:t>
      </w:r>
      <w:r w:rsidR="006B6E27" w:rsidRPr="00E07570">
        <w:t>homologation</w:t>
      </w:r>
      <w:r w:rsidRPr="00E07570">
        <w:tab/>
      </w:r>
      <w:r w:rsidRPr="00E07570">
        <w:tab/>
        <w:t>1</w:t>
      </w:r>
      <w:r w:rsidR="00EA2FC7" w:rsidRPr="00E07570">
        <w:t>5</w:t>
      </w:r>
    </w:p>
    <w:p w:rsidR="00964DB7" w:rsidRPr="00E07570" w:rsidRDefault="00964DB7" w:rsidP="00964DB7">
      <w:pPr>
        <w:tabs>
          <w:tab w:val="right" w:pos="850"/>
          <w:tab w:val="right" w:leader="dot" w:pos="8787"/>
          <w:tab w:val="right" w:pos="9638"/>
        </w:tabs>
        <w:spacing w:after="120"/>
        <w:ind w:left="1134" w:hanging="1134"/>
      </w:pPr>
      <w:r w:rsidRPr="00E07570">
        <w:tab/>
        <w:t>9.</w:t>
      </w:r>
      <w:r w:rsidRPr="00E07570">
        <w:tab/>
      </w:r>
      <w:r w:rsidR="006B6E27" w:rsidRPr="00E07570">
        <w:t>Conformité de la production</w:t>
      </w:r>
      <w:r w:rsidRPr="00E07570">
        <w:tab/>
      </w:r>
      <w:r w:rsidRPr="00E07570">
        <w:tab/>
        <w:t>1</w:t>
      </w:r>
      <w:r w:rsidR="00EA2FC7" w:rsidRPr="00E07570">
        <w:t>5</w:t>
      </w:r>
    </w:p>
    <w:p w:rsidR="00964DB7" w:rsidRPr="00E07570" w:rsidRDefault="00964DB7" w:rsidP="00964DB7">
      <w:pPr>
        <w:tabs>
          <w:tab w:val="right" w:pos="850"/>
          <w:tab w:val="right" w:leader="dot" w:pos="8787"/>
          <w:tab w:val="right" w:pos="9638"/>
        </w:tabs>
        <w:spacing w:after="120"/>
        <w:ind w:left="1134" w:hanging="1134"/>
      </w:pPr>
      <w:r w:rsidRPr="00E07570">
        <w:tab/>
        <w:t>10.</w:t>
      </w:r>
      <w:r w:rsidRPr="00E07570">
        <w:tab/>
      </w:r>
      <w:r w:rsidR="006B6E27" w:rsidRPr="00E07570">
        <w:t>Sanctions pour non-conformité de la production</w:t>
      </w:r>
      <w:r w:rsidRPr="00E07570">
        <w:tab/>
      </w:r>
      <w:r w:rsidRPr="00E07570">
        <w:tab/>
        <w:t>1</w:t>
      </w:r>
      <w:r w:rsidR="00EA2FC7" w:rsidRPr="00E07570">
        <w:t>5</w:t>
      </w:r>
    </w:p>
    <w:p w:rsidR="00964DB7" w:rsidRPr="00E07570" w:rsidRDefault="00964DB7" w:rsidP="00964DB7">
      <w:pPr>
        <w:tabs>
          <w:tab w:val="right" w:pos="850"/>
          <w:tab w:val="right" w:leader="dot" w:pos="8787"/>
          <w:tab w:val="right" w:pos="9638"/>
        </w:tabs>
        <w:spacing w:after="120"/>
        <w:ind w:left="1134" w:hanging="1134"/>
      </w:pPr>
      <w:r w:rsidRPr="00E07570">
        <w:tab/>
        <w:t>11.</w:t>
      </w:r>
      <w:r w:rsidRPr="00E07570">
        <w:tab/>
      </w:r>
      <w:r w:rsidR="006B6E27" w:rsidRPr="00E07570">
        <w:t>Arrêt définitif de la production</w:t>
      </w:r>
      <w:r w:rsidRPr="00E07570">
        <w:tab/>
      </w:r>
      <w:r w:rsidRPr="00E07570">
        <w:tab/>
        <w:t>1</w:t>
      </w:r>
      <w:r w:rsidR="00EA2FC7" w:rsidRPr="00E07570">
        <w:t>5</w:t>
      </w:r>
    </w:p>
    <w:p w:rsidR="00964DB7" w:rsidRPr="00E07570" w:rsidRDefault="00964DB7" w:rsidP="00964DB7">
      <w:pPr>
        <w:tabs>
          <w:tab w:val="right" w:pos="850"/>
          <w:tab w:val="right" w:leader="dot" w:pos="8787"/>
          <w:tab w:val="right" w:pos="9638"/>
        </w:tabs>
        <w:spacing w:after="120"/>
        <w:ind w:left="1134" w:hanging="1134"/>
      </w:pPr>
      <w:r w:rsidRPr="00E07570">
        <w:tab/>
        <w:t>12.</w:t>
      </w:r>
      <w:r w:rsidRPr="00E07570">
        <w:tab/>
      </w:r>
      <w:r w:rsidR="00AB47DD" w:rsidRPr="00E07570">
        <w:t>Noms et adresses des services techniques chargés des essais d</w:t>
      </w:r>
      <w:r w:rsidR="00145E4B">
        <w:t>’</w:t>
      </w:r>
      <w:r w:rsidR="00AB47DD" w:rsidRPr="00E07570">
        <w:t>homologation et des autorités d</w:t>
      </w:r>
      <w:r w:rsidR="00145E4B">
        <w:t>’</w:t>
      </w:r>
      <w:r w:rsidR="00AB47DD" w:rsidRPr="00E07570">
        <w:t>homologation de type</w:t>
      </w:r>
      <w:r w:rsidRPr="00E07570">
        <w:tab/>
      </w:r>
      <w:r w:rsidRPr="00E07570">
        <w:tab/>
        <w:t>1</w:t>
      </w:r>
      <w:r w:rsidR="00EA2FC7" w:rsidRPr="00E07570">
        <w:t>6</w:t>
      </w:r>
    </w:p>
    <w:p w:rsidR="00964DB7" w:rsidRPr="00E07570" w:rsidRDefault="00AB47DD" w:rsidP="00964DB7">
      <w:pPr>
        <w:tabs>
          <w:tab w:val="right" w:leader="dot" w:pos="8787"/>
          <w:tab w:val="right" w:pos="9638"/>
        </w:tabs>
        <w:spacing w:after="120"/>
        <w:ind w:left="1134"/>
      </w:pPr>
      <w:r w:rsidRPr="00E07570">
        <w:t>Partie </w:t>
      </w:r>
      <w:proofErr w:type="spellStart"/>
      <w:r w:rsidR="00A22689" w:rsidRPr="00E07570">
        <w:rPr>
          <w:b/>
        </w:rPr>
        <w:t>Ib</w:t>
      </w:r>
      <w:proofErr w:type="spellEnd"/>
      <w:r w:rsidRPr="00E07570">
        <w:t xml:space="preserve"> − </w:t>
      </w:r>
      <w:r w:rsidRPr="00E07570">
        <w:rPr>
          <w:spacing w:val="-2"/>
        </w:rPr>
        <w:t>Homologation des dispositifs automatiques d</w:t>
      </w:r>
      <w:r w:rsidR="00145E4B">
        <w:rPr>
          <w:spacing w:val="-2"/>
        </w:rPr>
        <w:t>’</w:t>
      </w:r>
      <w:r w:rsidRPr="00E07570">
        <w:rPr>
          <w:spacing w:val="-2"/>
        </w:rPr>
        <w:t>appel</w:t>
      </w:r>
      <w:r w:rsidRPr="00E07570">
        <w:t xml:space="preserve"> d</w:t>
      </w:r>
      <w:r w:rsidR="00145E4B">
        <w:t>’</w:t>
      </w:r>
      <w:r w:rsidRPr="00E07570">
        <w:t xml:space="preserve">urgence (AECD), </w:t>
      </w:r>
      <w:r w:rsidRPr="00E07570">
        <w:br/>
        <w:t>destinés à être installés sur les véhicules des catégories M</w:t>
      </w:r>
      <w:r w:rsidRPr="00E07570">
        <w:rPr>
          <w:vertAlign w:val="subscript"/>
        </w:rPr>
        <w:t>1</w:t>
      </w:r>
      <w:r w:rsidRPr="00E07570">
        <w:t xml:space="preserve"> et N</w:t>
      </w:r>
      <w:r w:rsidRPr="00E07570">
        <w:rPr>
          <w:vertAlign w:val="subscript"/>
        </w:rPr>
        <w:t>1</w:t>
      </w:r>
      <w:r w:rsidR="00964DB7" w:rsidRPr="00E07570">
        <w:tab/>
      </w:r>
      <w:r w:rsidR="00964DB7" w:rsidRPr="00E07570">
        <w:tab/>
        <w:t>1</w:t>
      </w:r>
      <w:r w:rsidR="00EA2FC7" w:rsidRPr="00E07570">
        <w:t>6</w:t>
      </w:r>
    </w:p>
    <w:p w:rsidR="00964DB7" w:rsidRPr="00E07570" w:rsidRDefault="00964DB7" w:rsidP="00964DB7">
      <w:pPr>
        <w:tabs>
          <w:tab w:val="right" w:pos="850"/>
          <w:tab w:val="right" w:leader="dot" w:pos="8787"/>
          <w:tab w:val="right" w:pos="9638"/>
        </w:tabs>
        <w:spacing w:after="120"/>
        <w:ind w:left="1134" w:hanging="1134"/>
      </w:pPr>
      <w:r w:rsidRPr="00E07570">
        <w:tab/>
        <w:t>13.</w:t>
      </w:r>
      <w:r w:rsidRPr="00E07570">
        <w:tab/>
        <w:t>Définitions</w:t>
      </w:r>
      <w:r w:rsidRPr="00E07570">
        <w:tab/>
      </w:r>
      <w:r w:rsidRPr="00E07570">
        <w:tab/>
        <w:t>1</w:t>
      </w:r>
      <w:r w:rsidR="00EA2FC7" w:rsidRPr="00E07570">
        <w:t>6</w:t>
      </w:r>
    </w:p>
    <w:p w:rsidR="00964DB7" w:rsidRPr="00E07570" w:rsidRDefault="00964DB7" w:rsidP="00964DB7">
      <w:pPr>
        <w:tabs>
          <w:tab w:val="right" w:pos="850"/>
          <w:tab w:val="right" w:leader="dot" w:pos="8787"/>
          <w:tab w:val="right" w:pos="9638"/>
        </w:tabs>
        <w:spacing w:after="120"/>
        <w:ind w:left="1134" w:hanging="1134"/>
      </w:pPr>
      <w:r w:rsidRPr="00E07570">
        <w:tab/>
        <w:t>14.</w:t>
      </w:r>
      <w:r w:rsidRPr="00E07570">
        <w:tab/>
      </w:r>
      <w:r w:rsidR="00AB47DD" w:rsidRPr="00E07570">
        <w:t>Demande d</w:t>
      </w:r>
      <w:r w:rsidR="00145E4B">
        <w:t>’</w:t>
      </w:r>
      <w:r w:rsidR="00AB47DD" w:rsidRPr="00E07570">
        <w:t>homologation d</w:t>
      </w:r>
      <w:r w:rsidR="00145E4B">
        <w:t>’</w:t>
      </w:r>
      <w:r w:rsidR="00AB47DD" w:rsidRPr="00E07570">
        <w:t>un AECD</w:t>
      </w:r>
      <w:r w:rsidRPr="00E07570">
        <w:tab/>
      </w:r>
      <w:r w:rsidRPr="00E07570">
        <w:tab/>
        <w:t>1</w:t>
      </w:r>
      <w:r w:rsidR="00EA2FC7" w:rsidRPr="00E07570">
        <w:t>6</w:t>
      </w:r>
    </w:p>
    <w:p w:rsidR="00964DB7" w:rsidRPr="00E07570" w:rsidRDefault="00964DB7" w:rsidP="00964DB7">
      <w:pPr>
        <w:tabs>
          <w:tab w:val="right" w:pos="850"/>
          <w:tab w:val="right" w:leader="dot" w:pos="8787"/>
          <w:tab w:val="right" w:pos="9638"/>
        </w:tabs>
        <w:spacing w:after="120"/>
        <w:ind w:left="1134" w:hanging="1134"/>
      </w:pPr>
      <w:r w:rsidRPr="00E07570">
        <w:tab/>
        <w:t>15.</w:t>
      </w:r>
      <w:r w:rsidRPr="00E07570">
        <w:tab/>
      </w:r>
      <w:r w:rsidR="00AB47DD" w:rsidRPr="00E07570">
        <w:t>Inscriptions</w:t>
      </w:r>
      <w:r w:rsidRPr="00E07570">
        <w:tab/>
      </w:r>
      <w:r w:rsidRPr="00E07570">
        <w:tab/>
        <w:t>1</w:t>
      </w:r>
      <w:r w:rsidR="00CF396E" w:rsidRPr="00E07570">
        <w:t>6</w:t>
      </w:r>
    </w:p>
    <w:p w:rsidR="00964DB7" w:rsidRPr="00E07570" w:rsidRDefault="00964DB7" w:rsidP="00964DB7">
      <w:pPr>
        <w:tabs>
          <w:tab w:val="right" w:pos="850"/>
          <w:tab w:val="right" w:leader="dot" w:pos="8787"/>
          <w:tab w:val="right" w:pos="9638"/>
        </w:tabs>
        <w:spacing w:after="120"/>
        <w:ind w:left="1134" w:hanging="1134"/>
      </w:pPr>
      <w:r w:rsidRPr="00E07570">
        <w:tab/>
        <w:t>16.</w:t>
      </w:r>
      <w:r w:rsidRPr="00E07570">
        <w:tab/>
      </w:r>
      <w:r w:rsidR="00AB47DD" w:rsidRPr="00E07570">
        <w:t>Homologation</w:t>
      </w:r>
      <w:r w:rsidRPr="00E07570">
        <w:tab/>
      </w:r>
      <w:r w:rsidRPr="00E07570">
        <w:tab/>
        <w:t>1</w:t>
      </w:r>
      <w:r w:rsidR="00CF396E" w:rsidRPr="00E07570">
        <w:t>7</w:t>
      </w:r>
    </w:p>
    <w:p w:rsidR="00964DB7" w:rsidRPr="00E07570" w:rsidRDefault="00964DB7" w:rsidP="00964DB7">
      <w:pPr>
        <w:tabs>
          <w:tab w:val="right" w:pos="850"/>
          <w:tab w:val="right" w:leader="dot" w:pos="8787"/>
          <w:tab w:val="right" w:pos="9638"/>
        </w:tabs>
        <w:spacing w:after="120"/>
        <w:ind w:left="1134" w:hanging="1134"/>
      </w:pPr>
      <w:r w:rsidRPr="00E07570">
        <w:tab/>
        <w:t>17.</w:t>
      </w:r>
      <w:r w:rsidRPr="00E07570">
        <w:tab/>
      </w:r>
      <w:r w:rsidR="00AB47DD" w:rsidRPr="00E07570">
        <w:t>Prescriptions</w:t>
      </w:r>
      <w:r w:rsidRPr="00E07570">
        <w:tab/>
      </w:r>
      <w:r w:rsidRPr="00E07570">
        <w:tab/>
      </w:r>
      <w:r w:rsidR="00AB47DD" w:rsidRPr="00E07570">
        <w:t>1</w:t>
      </w:r>
      <w:r w:rsidR="00CF396E" w:rsidRPr="00E07570">
        <w:t>7</w:t>
      </w:r>
    </w:p>
    <w:p w:rsidR="00964DB7" w:rsidRPr="00E07570" w:rsidRDefault="00964DB7" w:rsidP="00964DB7">
      <w:pPr>
        <w:tabs>
          <w:tab w:val="right" w:pos="850"/>
          <w:tab w:val="right" w:leader="dot" w:pos="8787"/>
          <w:tab w:val="right" w:pos="9638"/>
        </w:tabs>
        <w:spacing w:after="120"/>
        <w:ind w:left="1134" w:hanging="1134"/>
      </w:pPr>
      <w:r w:rsidRPr="00E07570">
        <w:tab/>
        <w:t>18.</w:t>
      </w:r>
      <w:r w:rsidRPr="00E07570">
        <w:tab/>
      </w:r>
      <w:r w:rsidR="00B16969" w:rsidRPr="00E07570">
        <w:t>Modification d</w:t>
      </w:r>
      <w:r w:rsidR="00145E4B">
        <w:t>’</w:t>
      </w:r>
      <w:r w:rsidR="00B16969" w:rsidRPr="00E07570">
        <w:t>un type d</w:t>
      </w:r>
      <w:r w:rsidR="00145E4B">
        <w:t>’</w:t>
      </w:r>
      <w:r w:rsidR="00B16969" w:rsidRPr="00E07570">
        <w:t>AECD et extension de l</w:t>
      </w:r>
      <w:r w:rsidR="00145E4B">
        <w:t>’</w:t>
      </w:r>
      <w:r w:rsidR="00B16969" w:rsidRPr="00E07570">
        <w:t>homologation</w:t>
      </w:r>
      <w:r w:rsidRPr="00E07570">
        <w:tab/>
      </w:r>
      <w:r w:rsidRPr="00E07570">
        <w:tab/>
        <w:t>2</w:t>
      </w:r>
      <w:r w:rsidR="00CF396E" w:rsidRPr="00E07570">
        <w:t>2</w:t>
      </w:r>
    </w:p>
    <w:p w:rsidR="00964DB7" w:rsidRPr="00E07570" w:rsidRDefault="00964DB7" w:rsidP="00964DB7">
      <w:pPr>
        <w:tabs>
          <w:tab w:val="right" w:pos="850"/>
          <w:tab w:val="right" w:leader="dot" w:pos="8787"/>
          <w:tab w:val="right" w:pos="9638"/>
        </w:tabs>
        <w:spacing w:after="120"/>
        <w:ind w:left="1134" w:hanging="1134"/>
      </w:pPr>
      <w:r w:rsidRPr="00E07570">
        <w:tab/>
        <w:t>19.</w:t>
      </w:r>
      <w:r w:rsidRPr="00E07570">
        <w:tab/>
      </w:r>
      <w:r w:rsidR="00B16969" w:rsidRPr="00E07570">
        <w:t>Conformité de la production</w:t>
      </w:r>
      <w:r w:rsidRPr="00E07570">
        <w:tab/>
      </w:r>
      <w:r w:rsidRPr="00E07570">
        <w:tab/>
        <w:t>2</w:t>
      </w:r>
      <w:r w:rsidR="00F5053D" w:rsidRPr="00E07570">
        <w:t>2</w:t>
      </w:r>
    </w:p>
    <w:p w:rsidR="00964DB7" w:rsidRPr="00E07570" w:rsidRDefault="00964DB7" w:rsidP="00964DB7">
      <w:pPr>
        <w:tabs>
          <w:tab w:val="right" w:pos="850"/>
          <w:tab w:val="right" w:leader="dot" w:pos="8787"/>
          <w:tab w:val="right" w:pos="9638"/>
        </w:tabs>
        <w:spacing w:after="120"/>
        <w:ind w:left="1134" w:hanging="1134"/>
      </w:pPr>
      <w:r w:rsidRPr="00E07570">
        <w:lastRenderedPageBreak/>
        <w:tab/>
        <w:t>20.</w:t>
      </w:r>
      <w:r w:rsidRPr="00E07570">
        <w:tab/>
      </w:r>
      <w:r w:rsidR="00B16969" w:rsidRPr="00E07570">
        <w:t>Sanctions pour non-conformité de la production</w:t>
      </w:r>
      <w:r w:rsidRPr="00E07570">
        <w:tab/>
      </w:r>
      <w:r w:rsidRPr="00E07570">
        <w:tab/>
        <w:t>2</w:t>
      </w:r>
      <w:r w:rsidR="00625CD1" w:rsidRPr="00E07570">
        <w:t>3</w:t>
      </w:r>
    </w:p>
    <w:p w:rsidR="00B16969" w:rsidRPr="00E07570" w:rsidRDefault="00B16969" w:rsidP="00964DB7">
      <w:pPr>
        <w:tabs>
          <w:tab w:val="right" w:pos="850"/>
          <w:tab w:val="right" w:leader="dot" w:pos="8787"/>
          <w:tab w:val="right" w:pos="9638"/>
        </w:tabs>
        <w:spacing w:after="120"/>
        <w:ind w:left="1134" w:hanging="1134"/>
      </w:pPr>
      <w:r w:rsidRPr="00E07570">
        <w:tab/>
        <w:t>21.</w:t>
      </w:r>
      <w:r w:rsidRPr="00E07570">
        <w:tab/>
        <w:t>Arrêt définitif de la production</w:t>
      </w:r>
      <w:r w:rsidRPr="00E07570">
        <w:tab/>
      </w:r>
      <w:r w:rsidRPr="00E07570">
        <w:tab/>
        <w:t>2</w:t>
      </w:r>
      <w:r w:rsidR="00625CD1" w:rsidRPr="00E07570">
        <w:t>3</w:t>
      </w:r>
    </w:p>
    <w:p w:rsidR="00964DB7" w:rsidRPr="00E07570" w:rsidRDefault="00964DB7" w:rsidP="00964DB7">
      <w:pPr>
        <w:tabs>
          <w:tab w:val="right" w:pos="850"/>
          <w:tab w:val="right" w:leader="dot" w:pos="8787"/>
          <w:tab w:val="right" w:pos="9638"/>
        </w:tabs>
        <w:spacing w:after="120"/>
        <w:ind w:left="1134" w:hanging="1134"/>
      </w:pPr>
      <w:r w:rsidRPr="00E07570">
        <w:tab/>
        <w:t>2</w:t>
      </w:r>
      <w:r w:rsidR="00B16969" w:rsidRPr="00E07570">
        <w:t>2</w:t>
      </w:r>
      <w:r w:rsidRPr="00E07570">
        <w:t>.</w:t>
      </w:r>
      <w:r w:rsidRPr="00E07570">
        <w:tab/>
      </w:r>
      <w:r w:rsidR="00F5053D" w:rsidRPr="00E07570">
        <w:t>Noms et adresses des services techniques chargés des essais d</w:t>
      </w:r>
      <w:r w:rsidR="00145E4B">
        <w:t>’</w:t>
      </w:r>
      <w:r w:rsidR="00F5053D" w:rsidRPr="00E07570">
        <w:t>homologation et des autorités d</w:t>
      </w:r>
      <w:r w:rsidR="00145E4B">
        <w:t>’</w:t>
      </w:r>
      <w:r w:rsidR="00F5053D" w:rsidRPr="00E07570">
        <w:t>homologation de type</w:t>
      </w:r>
      <w:r w:rsidRPr="00E07570">
        <w:tab/>
      </w:r>
      <w:r w:rsidRPr="00E07570">
        <w:tab/>
        <w:t>2</w:t>
      </w:r>
      <w:r w:rsidR="00625CD1" w:rsidRPr="00E07570">
        <w:t>3</w:t>
      </w:r>
    </w:p>
    <w:p w:rsidR="00964DB7" w:rsidRPr="00E07570" w:rsidRDefault="0063569E" w:rsidP="00964DB7">
      <w:pPr>
        <w:tabs>
          <w:tab w:val="right" w:leader="dot" w:pos="8787"/>
          <w:tab w:val="right" w:pos="9638"/>
        </w:tabs>
        <w:spacing w:after="120"/>
        <w:ind w:left="1134"/>
      </w:pPr>
      <w:r w:rsidRPr="00E07570">
        <w:t>Partie II − Homologation des véhicules en ce qui concerne le montage d</w:t>
      </w:r>
      <w:r w:rsidR="00145E4B">
        <w:t>’</w:t>
      </w:r>
      <w:r w:rsidRPr="00E07570">
        <w:t xml:space="preserve">un dispositif </w:t>
      </w:r>
      <w:r w:rsidRPr="00E07570">
        <w:br/>
        <w:t>automatique d</w:t>
      </w:r>
      <w:r w:rsidR="00145E4B">
        <w:t>’</w:t>
      </w:r>
      <w:r w:rsidRPr="00E07570">
        <w:t>appel d</w:t>
      </w:r>
      <w:r w:rsidR="00145E4B">
        <w:t>’</w:t>
      </w:r>
      <w:r w:rsidRPr="00E07570">
        <w:t>urgence d</w:t>
      </w:r>
      <w:r w:rsidR="00145E4B">
        <w:t>’</w:t>
      </w:r>
      <w:r w:rsidRPr="00E07570">
        <w:t>un type homologué</w:t>
      </w:r>
      <w:r w:rsidR="00964DB7" w:rsidRPr="00E07570">
        <w:tab/>
      </w:r>
      <w:r w:rsidR="00964DB7" w:rsidRPr="00E07570">
        <w:tab/>
        <w:t>2</w:t>
      </w:r>
      <w:r w:rsidR="00625CD1" w:rsidRPr="00E07570">
        <w:t>4</w:t>
      </w:r>
    </w:p>
    <w:p w:rsidR="00964DB7" w:rsidRPr="00E07570" w:rsidRDefault="00964DB7" w:rsidP="00964DB7">
      <w:pPr>
        <w:tabs>
          <w:tab w:val="right" w:pos="850"/>
          <w:tab w:val="right" w:leader="dot" w:pos="8787"/>
          <w:tab w:val="right" w:pos="9638"/>
        </w:tabs>
        <w:spacing w:after="120"/>
        <w:ind w:left="1134" w:hanging="1134"/>
      </w:pPr>
      <w:r w:rsidRPr="00E07570">
        <w:tab/>
        <w:t>2</w:t>
      </w:r>
      <w:r w:rsidR="0063569E" w:rsidRPr="00E07570">
        <w:t>3</w:t>
      </w:r>
      <w:r w:rsidRPr="00E07570">
        <w:t>.</w:t>
      </w:r>
      <w:r w:rsidRPr="00E07570">
        <w:tab/>
        <w:t>Définitions</w:t>
      </w:r>
      <w:r w:rsidRPr="00E07570">
        <w:tab/>
      </w:r>
      <w:r w:rsidRPr="00E07570">
        <w:tab/>
        <w:t>2</w:t>
      </w:r>
      <w:r w:rsidR="00625CD1" w:rsidRPr="00E07570">
        <w:t>4</w:t>
      </w:r>
    </w:p>
    <w:p w:rsidR="00964DB7" w:rsidRPr="00E07570" w:rsidRDefault="00964DB7" w:rsidP="00964DB7">
      <w:pPr>
        <w:tabs>
          <w:tab w:val="right" w:pos="850"/>
          <w:tab w:val="right" w:leader="dot" w:pos="8787"/>
          <w:tab w:val="right" w:pos="9638"/>
        </w:tabs>
        <w:spacing w:after="120"/>
        <w:ind w:left="1134" w:hanging="1134"/>
      </w:pPr>
      <w:r w:rsidRPr="00E07570">
        <w:tab/>
        <w:t>2</w:t>
      </w:r>
      <w:r w:rsidR="0063569E" w:rsidRPr="00E07570">
        <w:t>4</w:t>
      </w:r>
      <w:r w:rsidRPr="00E07570">
        <w:t>.</w:t>
      </w:r>
      <w:r w:rsidRPr="00E07570">
        <w:tab/>
      </w:r>
      <w:r w:rsidR="0063569E" w:rsidRPr="00E07570">
        <w:t>Demande d</w:t>
      </w:r>
      <w:r w:rsidR="00145E4B">
        <w:t>’</w:t>
      </w:r>
      <w:r w:rsidR="0063569E" w:rsidRPr="00E07570">
        <w:t>homologation</w:t>
      </w:r>
      <w:r w:rsidRPr="00E07570">
        <w:tab/>
      </w:r>
      <w:r w:rsidRPr="00E07570">
        <w:tab/>
        <w:t>2</w:t>
      </w:r>
      <w:r w:rsidR="00625CD1" w:rsidRPr="00E07570">
        <w:t>4</w:t>
      </w:r>
    </w:p>
    <w:p w:rsidR="00964DB7" w:rsidRPr="00E07570" w:rsidRDefault="00964DB7" w:rsidP="00964DB7">
      <w:pPr>
        <w:tabs>
          <w:tab w:val="right" w:pos="850"/>
          <w:tab w:val="right" w:leader="dot" w:pos="8787"/>
          <w:tab w:val="right" w:pos="9638"/>
        </w:tabs>
        <w:spacing w:after="120"/>
        <w:ind w:left="1134" w:hanging="1134"/>
      </w:pPr>
      <w:r w:rsidRPr="00E07570">
        <w:tab/>
        <w:t>2</w:t>
      </w:r>
      <w:r w:rsidR="0063569E" w:rsidRPr="00E07570">
        <w:t>5</w:t>
      </w:r>
      <w:r w:rsidRPr="00E07570">
        <w:t>.</w:t>
      </w:r>
      <w:r w:rsidRPr="00E07570">
        <w:tab/>
      </w:r>
      <w:r w:rsidR="0063569E" w:rsidRPr="00E07570">
        <w:t>Homologation</w:t>
      </w:r>
      <w:r w:rsidRPr="00E07570">
        <w:tab/>
      </w:r>
      <w:r w:rsidRPr="00E07570">
        <w:tab/>
        <w:t>2</w:t>
      </w:r>
      <w:r w:rsidR="00625CD1" w:rsidRPr="00E07570">
        <w:t>4</w:t>
      </w:r>
    </w:p>
    <w:p w:rsidR="00964DB7" w:rsidRPr="00E07570" w:rsidRDefault="00964DB7" w:rsidP="00964DB7">
      <w:pPr>
        <w:tabs>
          <w:tab w:val="right" w:pos="850"/>
          <w:tab w:val="right" w:leader="dot" w:pos="8787"/>
          <w:tab w:val="right" w:pos="9638"/>
        </w:tabs>
        <w:spacing w:after="120"/>
        <w:ind w:left="1134" w:hanging="1134"/>
      </w:pPr>
      <w:r w:rsidRPr="00E07570">
        <w:tab/>
        <w:t>2</w:t>
      </w:r>
      <w:r w:rsidR="0063569E" w:rsidRPr="00E07570">
        <w:t>6</w:t>
      </w:r>
      <w:r w:rsidRPr="00E07570">
        <w:t>.</w:t>
      </w:r>
      <w:r w:rsidRPr="00E07570">
        <w:tab/>
      </w:r>
      <w:r w:rsidR="0063569E" w:rsidRPr="00E07570">
        <w:t>Prescriptions</w:t>
      </w:r>
      <w:r w:rsidRPr="00E07570">
        <w:tab/>
      </w:r>
      <w:r w:rsidRPr="00E07570">
        <w:tab/>
        <w:t>2</w:t>
      </w:r>
      <w:r w:rsidR="00625CD1" w:rsidRPr="00E07570">
        <w:t>5</w:t>
      </w:r>
    </w:p>
    <w:p w:rsidR="00964DB7" w:rsidRPr="00E07570" w:rsidRDefault="00964DB7" w:rsidP="00964DB7">
      <w:pPr>
        <w:tabs>
          <w:tab w:val="right" w:pos="850"/>
          <w:tab w:val="right" w:leader="dot" w:pos="8787"/>
          <w:tab w:val="right" w:pos="9638"/>
        </w:tabs>
        <w:spacing w:after="120"/>
        <w:ind w:left="1134" w:hanging="1134"/>
      </w:pPr>
      <w:r w:rsidRPr="00E07570">
        <w:tab/>
        <w:t>2</w:t>
      </w:r>
      <w:r w:rsidR="0063569E" w:rsidRPr="00E07570">
        <w:t>7</w:t>
      </w:r>
      <w:r w:rsidRPr="00E07570">
        <w:t>.</w:t>
      </w:r>
      <w:r w:rsidRPr="00E07570">
        <w:tab/>
      </w:r>
      <w:r w:rsidR="00592EA6" w:rsidRPr="00E07570">
        <w:t>Modification et extension de l</w:t>
      </w:r>
      <w:r w:rsidR="00145E4B">
        <w:t>’</w:t>
      </w:r>
      <w:r w:rsidR="00592EA6" w:rsidRPr="00E07570">
        <w:t>homologation d</w:t>
      </w:r>
      <w:r w:rsidR="00145E4B">
        <w:t>’</w:t>
      </w:r>
      <w:r w:rsidR="00592EA6" w:rsidRPr="00E07570">
        <w:t>un type de véhicule équipé d</w:t>
      </w:r>
      <w:r w:rsidR="00145E4B">
        <w:t>’</w:t>
      </w:r>
      <w:r w:rsidR="00592EA6" w:rsidRPr="00E07570">
        <w:t xml:space="preserve">un AECD </w:t>
      </w:r>
      <w:r w:rsidR="00592EA6" w:rsidRPr="00E07570">
        <w:br/>
        <w:t>homologué en vertu de la partie </w:t>
      </w:r>
      <w:proofErr w:type="spellStart"/>
      <w:r w:rsidR="00A22689" w:rsidRPr="00E07570">
        <w:rPr>
          <w:b/>
        </w:rPr>
        <w:t>Ib</w:t>
      </w:r>
      <w:proofErr w:type="spellEnd"/>
      <w:r w:rsidR="00592EA6" w:rsidRPr="00E07570">
        <w:t xml:space="preserve"> du présent Règlement</w:t>
      </w:r>
      <w:r w:rsidRPr="00E07570">
        <w:tab/>
      </w:r>
      <w:r w:rsidRPr="00E07570">
        <w:tab/>
        <w:t>3</w:t>
      </w:r>
      <w:r w:rsidR="00625CD1" w:rsidRPr="00E07570">
        <w:t>2</w:t>
      </w:r>
    </w:p>
    <w:p w:rsidR="00964DB7" w:rsidRPr="00E07570" w:rsidRDefault="00964DB7" w:rsidP="00964DB7">
      <w:pPr>
        <w:tabs>
          <w:tab w:val="right" w:pos="850"/>
          <w:tab w:val="right" w:leader="dot" w:pos="8787"/>
          <w:tab w:val="right" w:pos="9638"/>
        </w:tabs>
        <w:spacing w:after="120"/>
        <w:ind w:left="1134" w:hanging="1134"/>
      </w:pPr>
      <w:r w:rsidRPr="00E07570">
        <w:tab/>
        <w:t>2</w:t>
      </w:r>
      <w:r w:rsidR="0063569E" w:rsidRPr="00E07570">
        <w:t>8</w:t>
      </w:r>
      <w:r w:rsidRPr="00E07570">
        <w:t>.</w:t>
      </w:r>
      <w:r w:rsidRPr="00E07570">
        <w:tab/>
      </w:r>
      <w:r w:rsidR="00592EA6" w:rsidRPr="00E07570">
        <w:t>Conformité de la production</w:t>
      </w:r>
      <w:r w:rsidRPr="00E07570">
        <w:tab/>
      </w:r>
      <w:r w:rsidRPr="00E07570">
        <w:tab/>
        <w:t>3</w:t>
      </w:r>
      <w:r w:rsidR="00625CD1" w:rsidRPr="00E07570">
        <w:t>3</w:t>
      </w:r>
    </w:p>
    <w:p w:rsidR="00964DB7" w:rsidRPr="00E07570" w:rsidRDefault="00964DB7" w:rsidP="00964DB7">
      <w:pPr>
        <w:tabs>
          <w:tab w:val="right" w:pos="850"/>
          <w:tab w:val="right" w:leader="dot" w:pos="8787"/>
          <w:tab w:val="right" w:pos="9638"/>
        </w:tabs>
        <w:spacing w:after="120"/>
        <w:ind w:left="1134" w:hanging="1134"/>
      </w:pPr>
      <w:r w:rsidRPr="00E07570">
        <w:tab/>
        <w:t>2</w:t>
      </w:r>
      <w:r w:rsidR="0063569E" w:rsidRPr="00E07570">
        <w:t>9</w:t>
      </w:r>
      <w:r w:rsidRPr="00E07570">
        <w:t>.</w:t>
      </w:r>
      <w:r w:rsidRPr="00E07570">
        <w:tab/>
      </w:r>
      <w:r w:rsidR="00592EA6" w:rsidRPr="00E07570">
        <w:t>Sanctions pour non-conformité de la production</w:t>
      </w:r>
      <w:r w:rsidRPr="00E07570">
        <w:tab/>
      </w:r>
      <w:r w:rsidRPr="00E07570">
        <w:tab/>
        <w:t>3</w:t>
      </w:r>
      <w:r w:rsidR="00625CD1" w:rsidRPr="00E07570">
        <w:t>3</w:t>
      </w:r>
    </w:p>
    <w:p w:rsidR="00964DB7" w:rsidRPr="00E07570" w:rsidRDefault="00964DB7" w:rsidP="00964DB7">
      <w:pPr>
        <w:tabs>
          <w:tab w:val="right" w:pos="850"/>
          <w:tab w:val="right" w:leader="dot" w:pos="8787"/>
          <w:tab w:val="right" w:pos="9638"/>
        </w:tabs>
        <w:spacing w:after="120"/>
        <w:ind w:left="1134" w:hanging="1134"/>
      </w:pPr>
      <w:r w:rsidRPr="00E07570">
        <w:tab/>
      </w:r>
      <w:r w:rsidR="0063569E" w:rsidRPr="00E07570">
        <w:t>30</w:t>
      </w:r>
      <w:r w:rsidRPr="00E07570">
        <w:t>.</w:t>
      </w:r>
      <w:r w:rsidRPr="00E07570">
        <w:tab/>
      </w:r>
      <w:r w:rsidR="00592EA6" w:rsidRPr="00E07570">
        <w:t>Arrêt définitif de la production</w:t>
      </w:r>
      <w:r w:rsidRPr="00E07570">
        <w:tab/>
      </w:r>
      <w:r w:rsidRPr="00E07570">
        <w:tab/>
        <w:t>3</w:t>
      </w:r>
      <w:r w:rsidR="00625CD1" w:rsidRPr="00E07570">
        <w:t>3</w:t>
      </w:r>
    </w:p>
    <w:p w:rsidR="00964DB7" w:rsidRPr="00E07570" w:rsidRDefault="00964DB7" w:rsidP="00964DB7">
      <w:pPr>
        <w:tabs>
          <w:tab w:val="right" w:pos="850"/>
          <w:tab w:val="right" w:leader="dot" w:pos="8787"/>
          <w:tab w:val="right" w:pos="9638"/>
        </w:tabs>
        <w:spacing w:after="120"/>
        <w:ind w:left="1134" w:hanging="1134"/>
      </w:pPr>
      <w:r w:rsidRPr="00E07570">
        <w:tab/>
        <w:t>3</w:t>
      </w:r>
      <w:r w:rsidR="0063569E" w:rsidRPr="00E07570">
        <w:t>1</w:t>
      </w:r>
      <w:r w:rsidRPr="00E07570">
        <w:t>.</w:t>
      </w:r>
      <w:r w:rsidRPr="00E07570">
        <w:tab/>
      </w:r>
      <w:r w:rsidR="00592EA6" w:rsidRPr="00E07570">
        <w:t>Noms et adresses des services techniques chargés des essais d</w:t>
      </w:r>
      <w:r w:rsidR="00145E4B">
        <w:t>’</w:t>
      </w:r>
      <w:r w:rsidR="00592EA6" w:rsidRPr="00E07570">
        <w:t>homologation et des autorités d</w:t>
      </w:r>
      <w:r w:rsidR="00145E4B">
        <w:t>’</w:t>
      </w:r>
      <w:r w:rsidR="00592EA6" w:rsidRPr="00E07570">
        <w:t>homologation de type</w:t>
      </w:r>
      <w:r w:rsidRPr="00E07570">
        <w:tab/>
      </w:r>
      <w:r w:rsidRPr="00E07570">
        <w:tab/>
        <w:t>3</w:t>
      </w:r>
      <w:r w:rsidR="00625CD1" w:rsidRPr="00E07570">
        <w:t>4</w:t>
      </w:r>
    </w:p>
    <w:p w:rsidR="00902126" w:rsidRPr="00E07570" w:rsidRDefault="00902126" w:rsidP="00902126">
      <w:pPr>
        <w:tabs>
          <w:tab w:val="right" w:leader="dot" w:pos="8787"/>
          <w:tab w:val="right" w:pos="9638"/>
        </w:tabs>
        <w:spacing w:after="120"/>
        <w:ind w:left="1134"/>
      </w:pPr>
      <w:r w:rsidRPr="00E07570">
        <w:t xml:space="preserve">Partie III − Homologation des véhicules en ce qui concerne leur système automatique </w:t>
      </w:r>
      <w:r w:rsidRPr="00E07570">
        <w:br/>
        <w:t>d</w:t>
      </w:r>
      <w:r w:rsidR="00145E4B">
        <w:t>’</w:t>
      </w:r>
      <w:r w:rsidRPr="00E07570">
        <w:t>appel d</w:t>
      </w:r>
      <w:r w:rsidR="00145E4B">
        <w:t>’</w:t>
      </w:r>
      <w:r w:rsidRPr="00E07570">
        <w:t>urgence lorsqu</w:t>
      </w:r>
      <w:r w:rsidR="00145E4B">
        <w:t>’</w:t>
      </w:r>
      <w:r w:rsidRPr="00E07570">
        <w:t>ils sont équipés d</w:t>
      </w:r>
      <w:r w:rsidR="00145E4B">
        <w:t>’</w:t>
      </w:r>
      <w:r w:rsidRPr="00E07570">
        <w:t>un AECC/AECD qui n</w:t>
      </w:r>
      <w:r w:rsidR="00145E4B">
        <w:t>’</w:t>
      </w:r>
      <w:r w:rsidRPr="00E07570">
        <w:t>a pas fait l</w:t>
      </w:r>
      <w:r w:rsidR="00145E4B">
        <w:t>’</w:t>
      </w:r>
      <w:r w:rsidRPr="00E07570">
        <w:t xml:space="preserve">objet </w:t>
      </w:r>
      <w:r w:rsidRPr="00E07570">
        <w:br/>
        <w:t>d</w:t>
      </w:r>
      <w:r w:rsidR="00145E4B">
        <w:t>’</w:t>
      </w:r>
      <w:r w:rsidRPr="00E07570">
        <w:t>une homologation distincte en vertu de la partie </w:t>
      </w:r>
      <w:proofErr w:type="spellStart"/>
      <w:r w:rsidRPr="00E07570">
        <w:rPr>
          <w:b/>
        </w:rPr>
        <w:t>Ia</w:t>
      </w:r>
      <w:proofErr w:type="spellEnd"/>
      <w:r w:rsidRPr="00E07570">
        <w:rPr>
          <w:b/>
        </w:rPr>
        <w:t>/</w:t>
      </w:r>
      <w:proofErr w:type="spellStart"/>
      <w:r w:rsidR="00A22689" w:rsidRPr="00E07570">
        <w:rPr>
          <w:b/>
        </w:rPr>
        <w:t>Ib</w:t>
      </w:r>
      <w:proofErr w:type="spellEnd"/>
      <w:r w:rsidRPr="00E07570">
        <w:t xml:space="preserve"> du présent Règlement</w:t>
      </w:r>
      <w:r w:rsidRPr="00E07570">
        <w:tab/>
      </w:r>
      <w:r w:rsidRPr="00E07570">
        <w:tab/>
        <w:t>35</w:t>
      </w:r>
    </w:p>
    <w:p w:rsidR="00592EA6" w:rsidRPr="00E07570" w:rsidRDefault="00592EA6" w:rsidP="00964DB7">
      <w:pPr>
        <w:tabs>
          <w:tab w:val="right" w:pos="850"/>
          <w:tab w:val="right" w:leader="dot" w:pos="8787"/>
          <w:tab w:val="right" w:pos="9638"/>
        </w:tabs>
        <w:spacing w:after="120"/>
        <w:ind w:left="1134" w:hanging="1134"/>
      </w:pPr>
      <w:r w:rsidRPr="00E07570">
        <w:tab/>
        <w:t>32.</w:t>
      </w:r>
      <w:r w:rsidRPr="00E07570">
        <w:tab/>
      </w:r>
      <w:r w:rsidR="00902126" w:rsidRPr="00E07570">
        <w:t>Définitions</w:t>
      </w:r>
      <w:r w:rsidR="00902126" w:rsidRPr="00E07570">
        <w:tab/>
      </w:r>
      <w:r w:rsidR="00902126" w:rsidRPr="00E07570">
        <w:tab/>
        <w:t>35</w:t>
      </w:r>
    </w:p>
    <w:p w:rsidR="00902126" w:rsidRPr="00E07570" w:rsidRDefault="00902126" w:rsidP="00964DB7">
      <w:pPr>
        <w:tabs>
          <w:tab w:val="right" w:pos="850"/>
          <w:tab w:val="right" w:leader="dot" w:pos="8787"/>
          <w:tab w:val="right" w:pos="9638"/>
        </w:tabs>
        <w:spacing w:after="120"/>
        <w:ind w:left="1134" w:hanging="1134"/>
      </w:pPr>
      <w:r w:rsidRPr="00E07570">
        <w:tab/>
        <w:t>33.</w:t>
      </w:r>
      <w:r w:rsidRPr="00E07570">
        <w:tab/>
        <w:t>Demande d</w:t>
      </w:r>
      <w:r w:rsidR="00145E4B">
        <w:t>’</w:t>
      </w:r>
      <w:r w:rsidRPr="00E07570">
        <w:t>homologation d</w:t>
      </w:r>
      <w:r w:rsidR="00145E4B">
        <w:t>’</w:t>
      </w:r>
      <w:r w:rsidRPr="00E07570">
        <w:t>un type de véhicule équipé d</w:t>
      </w:r>
      <w:r w:rsidR="00145E4B">
        <w:t>’</w:t>
      </w:r>
      <w:r w:rsidRPr="00E07570">
        <w:t>un AECS</w:t>
      </w:r>
      <w:r w:rsidRPr="00E07570">
        <w:tab/>
      </w:r>
      <w:r w:rsidRPr="00E07570">
        <w:tab/>
        <w:t>35</w:t>
      </w:r>
    </w:p>
    <w:p w:rsidR="00902126" w:rsidRPr="00E07570" w:rsidRDefault="00902126" w:rsidP="00964DB7">
      <w:pPr>
        <w:tabs>
          <w:tab w:val="right" w:pos="850"/>
          <w:tab w:val="right" w:leader="dot" w:pos="8787"/>
          <w:tab w:val="right" w:pos="9638"/>
        </w:tabs>
        <w:spacing w:after="120"/>
        <w:ind w:left="1134" w:hanging="1134"/>
      </w:pPr>
      <w:r w:rsidRPr="00E07570">
        <w:tab/>
        <w:t>34.</w:t>
      </w:r>
      <w:r w:rsidRPr="00E07570">
        <w:tab/>
      </w:r>
      <w:r w:rsidR="000A40DB" w:rsidRPr="00E07570">
        <w:t>Homologation</w:t>
      </w:r>
      <w:r w:rsidR="000A40DB" w:rsidRPr="00E07570">
        <w:tab/>
      </w:r>
      <w:r w:rsidR="000A40DB" w:rsidRPr="00E07570">
        <w:tab/>
        <w:t>36</w:t>
      </w:r>
    </w:p>
    <w:p w:rsidR="000A40DB" w:rsidRPr="00E07570" w:rsidRDefault="000A40DB" w:rsidP="00964DB7">
      <w:pPr>
        <w:tabs>
          <w:tab w:val="right" w:pos="850"/>
          <w:tab w:val="right" w:leader="dot" w:pos="8787"/>
          <w:tab w:val="right" w:pos="9638"/>
        </w:tabs>
        <w:spacing w:after="120"/>
        <w:ind w:left="1134" w:hanging="1134"/>
      </w:pPr>
      <w:r w:rsidRPr="00E07570">
        <w:tab/>
        <w:t>35.</w:t>
      </w:r>
      <w:r w:rsidRPr="00E07570">
        <w:tab/>
        <w:t>Prescriptions</w:t>
      </w:r>
      <w:r w:rsidRPr="00E07570">
        <w:tab/>
      </w:r>
      <w:r w:rsidRPr="00E07570">
        <w:tab/>
      </w:r>
      <w:r w:rsidR="00625CD1" w:rsidRPr="00E07570">
        <w:t>36</w:t>
      </w:r>
    </w:p>
    <w:p w:rsidR="00902126" w:rsidRPr="00E07570" w:rsidRDefault="000A40DB" w:rsidP="00964DB7">
      <w:pPr>
        <w:tabs>
          <w:tab w:val="right" w:pos="850"/>
          <w:tab w:val="right" w:leader="dot" w:pos="8787"/>
          <w:tab w:val="right" w:pos="9638"/>
        </w:tabs>
        <w:spacing w:after="120"/>
        <w:ind w:left="1134" w:hanging="1134"/>
      </w:pPr>
      <w:r w:rsidRPr="00E07570">
        <w:tab/>
        <w:t>36.</w:t>
      </w:r>
      <w:r w:rsidRPr="00E07570">
        <w:tab/>
        <w:t>Modification et extension de l</w:t>
      </w:r>
      <w:r w:rsidR="00145E4B">
        <w:t>’</w:t>
      </w:r>
      <w:r w:rsidRPr="00E07570">
        <w:t>homologation d</w:t>
      </w:r>
      <w:r w:rsidR="00145E4B">
        <w:t>’</w:t>
      </w:r>
      <w:r w:rsidRPr="00E07570">
        <w:t>un type de véhicule équipé d</w:t>
      </w:r>
      <w:r w:rsidR="00145E4B">
        <w:t>’</w:t>
      </w:r>
      <w:r w:rsidRPr="00E07570">
        <w:t>un AECS</w:t>
      </w:r>
      <w:r w:rsidRPr="00E07570">
        <w:tab/>
      </w:r>
      <w:r w:rsidRPr="00E07570">
        <w:tab/>
      </w:r>
      <w:r w:rsidR="00625CD1" w:rsidRPr="00E07570">
        <w:t>43</w:t>
      </w:r>
    </w:p>
    <w:p w:rsidR="000A40DB" w:rsidRPr="00E07570" w:rsidRDefault="000A40DB" w:rsidP="00964DB7">
      <w:pPr>
        <w:tabs>
          <w:tab w:val="right" w:pos="850"/>
          <w:tab w:val="right" w:leader="dot" w:pos="8787"/>
          <w:tab w:val="right" w:pos="9638"/>
        </w:tabs>
        <w:spacing w:after="120"/>
        <w:ind w:left="1134" w:hanging="1134"/>
      </w:pPr>
      <w:r w:rsidRPr="00E07570">
        <w:tab/>
        <w:t>37.</w:t>
      </w:r>
      <w:r w:rsidRPr="00E07570">
        <w:tab/>
        <w:t>Conformité de la production</w:t>
      </w:r>
      <w:r w:rsidRPr="00E07570">
        <w:tab/>
      </w:r>
      <w:r w:rsidRPr="00E07570">
        <w:tab/>
      </w:r>
      <w:r w:rsidR="00625CD1" w:rsidRPr="00E07570">
        <w:t>44</w:t>
      </w:r>
    </w:p>
    <w:p w:rsidR="000A40DB" w:rsidRPr="00E07570" w:rsidRDefault="000A40DB" w:rsidP="00964DB7">
      <w:pPr>
        <w:tabs>
          <w:tab w:val="right" w:pos="850"/>
          <w:tab w:val="right" w:leader="dot" w:pos="8787"/>
          <w:tab w:val="right" w:pos="9638"/>
        </w:tabs>
        <w:spacing w:after="120"/>
        <w:ind w:left="1134" w:hanging="1134"/>
      </w:pPr>
      <w:r w:rsidRPr="00E07570">
        <w:tab/>
        <w:t>38.</w:t>
      </w:r>
      <w:r w:rsidRPr="00E07570">
        <w:tab/>
        <w:t>Sanctions pour non-conformité de la production</w:t>
      </w:r>
      <w:r w:rsidRPr="00E07570">
        <w:tab/>
      </w:r>
      <w:r w:rsidRPr="00E07570">
        <w:tab/>
      </w:r>
      <w:r w:rsidR="00625CD1" w:rsidRPr="00E07570">
        <w:t>44</w:t>
      </w:r>
    </w:p>
    <w:p w:rsidR="000A40DB" w:rsidRPr="00E07570" w:rsidRDefault="000A40DB" w:rsidP="00964DB7">
      <w:pPr>
        <w:tabs>
          <w:tab w:val="right" w:pos="850"/>
          <w:tab w:val="right" w:leader="dot" w:pos="8787"/>
          <w:tab w:val="right" w:pos="9638"/>
        </w:tabs>
        <w:spacing w:after="120"/>
        <w:ind w:left="1134" w:hanging="1134"/>
      </w:pPr>
      <w:r w:rsidRPr="00E07570">
        <w:tab/>
        <w:t>39.</w:t>
      </w:r>
      <w:r w:rsidRPr="00E07570">
        <w:tab/>
        <w:t>Arrêt définitif de la production</w:t>
      </w:r>
      <w:r w:rsidRPr="00E07570">
        <w:tab/>
      </w:r>
      <w:r w:rsidRPr="00E07570">
        <w:tab/>
      </w:r>
      <w:r w:rsidR="00625CD1" w:rsidRPr="00E07570">
        <w:t>45</w:t>
      </w:r>
    </w:p>
    <w:p w:rsidR="000A40DB" w:rsidRPr="00E07570" w:rsidRDefault="000A40DB" w:rsidP="00964DB7">
      <w:pPr>
        <w:tabs>
          <w:tab w:val="right" w:pos="850"/>
          <w:tab w:val="right" w:leader="dot" w:pos="8787"/>
          <w:tab w:val="right" w:pos="9638"/>
        </w:tabs>
        <w:spacing w:after="120"/>
        <w:ind w:left="1134" w:hanging="1134"/>
      </w:pPr>
      <w:r w:rsidRPr="00E07570">
        <w:tab/>
        <w:t>40.</w:t>
      </w:r>
      <w:r w:rsidRPr="00E07570">
        <w:tab/>
        <w:t>Noms et adresses des services techniques chargés des essais d</w:t>
      </w:r>
      <w:r w:rsidR="00145E4B">
        <w:t>’</w:t>
      </w:r>
      <w:r w:rsidRPr="00E07570">
        <w:t>homologation et des autorités d</w:t>
      </w:r>
      <w:r w:rsidR="00145E4B">
        <w:t>’</w:t>
      </w:r>
      <w:r w:rsidRPr="00E07570">
        <w:t>homologation de type</w:t>
      </w:r>
      <w:r w:rsidRPr="00E07570">
        <w:tab/>
      </w:r>
      <w:r w:rsidRPr="00E07570">
        <w:tab/>
      </w:r>
      <w:r w:rsidR="00625CD1" w:rsidRPr="00E07570">
        <w:t>45</w:t>
      </w:r>
    </w:p>
    <w:p w:rsidR="00964DB7" w:rsidRPr="00E07570" w:rsidRDefault="00964DB7" w:rsidP="00964DB7">
      <w:pPr>
        <w:tabs>
          <w:tab w:val="right" w:pos="850"/>
        </w:tabs>
        <w:spacing w:after="120"/>
      </w:pPr>
      <w:r w:rsidRPr="00E07570">
        <w:tab/>
        <w:t>Annexes</w:t>
      </w:r>
    </w:p>
    <w:p w:rsidR="00964DB7" w:rsidRPr="00E07570" w:rsidRDefault="00964DB7" w:rsidP="00964DB7">
      <w:pPr>
        <w:tabs>
          <w:tab w:val="right" w:pos="850"/>
          <w:tab w:val="right" w:leader="dot" w:pos="8787"/>
          <w:tab w:val="right" w:pos="9638"/>
        </w:tabs>
        <w:spacing w:after="120"/>
        <w:ind w:left="1134" w:hanging="1134"/>
      </w:pPr>
      <w:r w:rsidRPr="00E07570">
        <w:tab/>
        <w:t>1.</w:t>
      </w:r>
      <w:r w:rsidRPr="00E07570">
        <w:tab/>
      </w:r>
      <w:r w:rsidRPr="00E07570">
        <w:rPr>
          <w:b/>
        </w:rPr>
        <w:t>Communication concernant la délivrance d</w:t>
      </w:r>
      <w:r w:rsidR="00145E4B">
        <w:rPr>
          <w:b/>
        </w:rPr>
        <w:t>’</w:t>
      </w:r>
      <w:r w:rsidRPr="00E07570">
        <w:rPr>
          <w:b/>
        </w:rPr>
        <w:t>une homologation, l</w:t>
      </w:r>
      <w:r w:rsidR="00145E4B">
        <w:rPr>
          <w:b/>
        </w:rPr>
        <w:t>’</w:t>
      </w:r>
      <w:r w:rsidRPr="00E07570">
        <w:rPr>
          <w:b/>
        </w:rPr>
        <w:t>extension d</w:t>
      </w:r>
      <w:r w:rsidR="00145E4B">
        <w:rPr>
          <w:b/>
        </w:rPr>
        <w:t>’</w:t>
      </w:r>
      <w:r w:rsidRPr="00E07570">
        <w:rPr>
          <w:b/>
        </w:rPr>
        <w:t>homologation,</w:t>
      </w:r>
      <w:r w:rsidRPr="00E07570">
        <w:rPr>
          <w:b/>
        </w:rPr>
        <w:br/>
        <w:t>le refus d</w:t>
      </w:r>
      <w:r w:rsidR="00145E4B">
        <w:rPr>
          <w:b/>
        </w:rPr>
        <w:t>’</w:t>
      </w:r>
      <w:r w:rsidRPr="00E07570">
        <w:rPr>
          <w:b/>
        </w:rPr>
        <w:t>homologation, le retrait d</w:t>
      </w:r>
      <w:r w:rsidR="00145E4B">
        <w:rPr>
          <w:b/>
        </w:rPr>
        <w:t>’</w:t>
      </w:r>
      <w:r w:rsidRPr="00E07570">
        <w:rPr>
          <w:b/>
        </w:rPr>
        <w:t>homologation ou l</w:t>
      </w:r>
      <w:r w:rsidR="00145E4B">
        <w:rPr>
          <w:b/>
        </w:rPr>
        <w:t>’</w:t>
      </w:r>
      <w:r w:rsidRPr="00E07570">
        <w:rPr>
          <w:b/>
        </w:rPr>
        <w:t xml:space="preserve">arrêt définitif de la production </w:t>
      </w:r>
      <w:r w:rsidRPr="00E07570">
        <w:rPr>
          <w:b/>
        </w:rPr>
        <w:br/>
      </w:r>
      <w:r w:rsidR="00B32702" w:rsidRPr="00E07570">
        <w:rPr>
          <w:b/>
        </w:rPr>
        <w:t>d</w:t>
      </w:r>
      <w:r w:rsidR="00145E4B">
        <w:rPr>
          <w:b/>
        </w:rPr>
        <w:t>’</w:t>
      </w:r>
      <w:r w:rsidR="00B32702" w:rsidRPr="00E07570">
        <w:rPr>
          <w:b/>
        </w:rPr>
        <w:t>un type d</w:t>
      </w:r>
      <w:r w:rsidR="00145E4B">
        <w:rPr>
          <w:b/>
        </w:rPr>
        <w:t>’</w:t>
      </w:r>
      <w:r w:rsidR="00B32702" w:rsidRPr="00E07570">
        <w:rPr>
          <w:b/>
        </w:rPr>
        <w:t xml:space="preserve">AECC destiné à être installé dans un AECD sur les véhicules </w:t>
      </w:r>
      <w:r w:rsidR="00B32702" w:rsidRPr="00E07570">
        <w:rPr>
          <w:b/>
        </w:rPr>
        <w:br/>
        <w:t>des catégories M</w:t>
      </w:r>
      <w:r w:rsidR="00B32702" w:rsidRPr="00E07570">
        <w:rPr>
          <w:b/>
          <w:vertAlign w:val="subscript"/>
        </w:rPr>
        <w:t xml:space="preserve">1 </w:t>
      </w:r>
      <w:r w:rsidR="00B32702" w:rsidRPr="00E07570">
        <w:rPr>
          <w:b/>
        </w:rPr>
        <w:t>et N</w:t>
      </w:r>
      <w:r w:rsidR="00B32702" w:rsidRPr="00E07570">
        <w:rPr>
          <w:b/>
          <w:vertAlign w:val="subscript"/>
        </w:rPr>
        <w:t>1</w:t>
      </w:r>
      <w:r w:rsidR="00B32702" w:rsidRPr="00E07570">
        <w:rPr>
          <w:b/>
        </w:rPr>
        <w:t>,</w:t>
      </w:r>
      <w:r w:rsidR="00B32702" w:rsidRPr="00E07570">
        <w:rPr>
          <w:b/>
          <w:vertAlign w:val="subscript"/>
        </w:rPr>
        <w:t xml:space="preserve"> </w:t>
      </w:r>
      <w:r w:rsidR="00B32702" w:rsidRPr="00E07570">
        <w:rPr>
          <w:b/>
        </w:rPr>
        <w:t>homologué en application de la partie </w:t>
      </w:r>
      <w:proofErr w:type="spellStart"/>
      <w:r w:rsidR="00B32702" w:rsidRPr="00E07570">
        <w:rPr>
          <w:b/>
        </w:rPr>
        <w:t>Ia</w:t>
      </w:r>
      <w:proofErr w:type="spellEnd"/>
      <w:r w:rsidR="00B32702" w:rsidRPr="00E07570">
        <w:rPr>
          <w:b/>
        </w:rPr>
        <w:t xml:space="preserve"> </w:t>
      </w:r>
      <w:r w:rsidR="00B32702" w:rsidRPr="00E07570">
        <w:rPr>
          <w:b/>
        </w:rPr>
        <w:br/>
        <w:t xml:space="preserve">du Règlement </w:t>
      </w:r>
      <w:r w:rsidR="00B32702" w:rsidRPr="00E07570">
        <w:rPr>
          <w:rFonts w:eastAsia="MS Mincho"/>
          <w:b/>
        </w:rPr>
        <w:t>n</w:t>
      </w:r>
      <w:r w:rsidR="00B32702" w:rsidRPr="00E07570">
        <w:rPr>
          <w:rFonts w:eastAsia="MS Mincho"/>
          <w:b/>
          <w:vertAlign w:val="superscript"/>
        </w:rPr>
        <w:t>o</w:t>
      </w:r>
      <w:r w:rsidR="00B32702" w:rsidRPr="00E07570">
        <w:rPr>
          <w:b/>
        </w:rPr>
        <w:t> XXX.</w:t>
      </w:r>
      <w:r w:rsidRPr="00E07570">
        <w:tab/>
      </w:r>
      <w:r w:rsidRPr="00E07570">
        <w:tab/>
      </w:r>
      <w:r w:rsidR="00625CD1" w:rsidRPr="00E07570">
        <w:rPr>
          <w:b/>
        </w:rPr>
        <w:t>46</w:t>
      </w:r>
    </w:p>
    <w:p w:rsidR="00964DB7" w:rsidRPr="00E07570" w:rsidRDefault="00964DB7" w:rsidP="00964DB7">
      <w:pPr>
        <w:tabs>
          <w:tab w:val="right" w:pos="850"/>
          <w:tab w:val="right" w:leader="dot" w:pos="8787"/>
          <w:tab w:val="right" w:pos="9638"/>
        </w:tabs>
        <w:spacing w:after="120"/>
        <w:ind w:left="1134" w:hanging="1134"/>
      </w:pPr>
      <w:r w:rsidRPr="00E07570">
        <w:tab/>
        <w:t>2.</w:t>
      </w:r>
      <w:r w:rsidRPr="00E07570">
        <w:tab/>
        <w:t>Communication concernant la délivrance d</w:t>
      </w:r>
      <w:r w:rsidR="00145E4B">
        <w:t>’</w:t>
      </w:r>
      <w:r w:rsidRPr="00E07570">
        <w:t>une homologation, l</w:t>
      </w:r>
      <w:r w:rsidR="00145E4B">
        <w:t>’</w:t>
      </w:r>
      <w:r w:rsidRPr="00E07570">
        <w:t>extension d</w:t>
      </w:r>
      <w:r w:rsidR="00145E4B">
        <w:t>’</w:t>
      </w:r>
      <w:r w:rsidRPr="00E07570">
        <w:t xml:space="preserve">homologation, </w:t>
      </w:r>
      <w:r w:rsidRPr="00E07570">
        <w:br/>
        <w:t>le refus d</w:t>
      </w:r>
      <w:r w:rsidR="00145E4B">
        <w:t>’</w:t>
      </w:r>
      <w:r w:rsidRPr="00E07570">
        <w:t>homologation, le retrait d</w:t>
      </w:r>
      <w:r w:rsidR="00145E4B">
        <w:t>’</w:t>
      </w:r>
      <w:r w:rsidRPr="00E07570">
        <w:t>homologation ou l</w:t>
      </w:r>
      <w:r w:rsidR="00145E4B">
        <w:t>’</w:t>
      </w:r>
      <w:r w:rsidRPr="00E07570">
        <w:t xml:space="preserve">arrêt définitif de la production </w:t>
      </w:r>
      <w:r w:rsidRPr="00E07570">
        <w:br/>
      </w:r>
      <w:r w:rsidR="0097098E" w:rsidRPr="00E07570">
        <w:t>d</w:t>
      </w:r>
      <w:r w:rsidR="00145E4B">
        <w:t>’</w:t>
      </w:r>
      <w:r w:rsidR="0097098E" w:rsidRPr="00E07570">
        <w:t>un type d</w:t>
      </w:r>
      <w:r w:rsidR="00145E4B">
        <w:t>’</w:t>
      </w:r>
      <w:r w:rsidR="0097098E" w:rsidRPr="00E07570">
        <w:t>AECD destiné à être installé sur les véhicules des catégories M</w:t>
      </w:r>
      <w:r w:rsidR="0097098E" w:rsidRPr="00E07570">
        <w:rPr>
          <w:vertAlign w:val="subscript"/>
        </w:rPr>
        <w:t>1</w:t>
      </w:r>
      <w:r w:rsidR="0097098E" w:rsidRPr="00E07570">
        <w:t xml:space="preserve"> et N</w:t>
      </w:r>
      <w:r w:rsidR="0097098E" w:rsidRPr="00E07570">
        <w:rPr>
          <w:vertAlign w:val="subscript"/>
        </w:rPr>
        <w:t>1</w:t>
      </w:r>
      <w:r w:rsidR="0097098E" w:rsidRPr="00E07570">
        <w:t xml:space="preserve">, </w:t>
      </w:r>
      <w:r w:rsidR="0097098E" w:rsidRPr="00E07570">
        <w:br/>
        <w:t>en application de la partie </w:t>
      </w:r>
      <w:proofErr w:type="spellStart"/>
      <w:r w:rsidR="00A22689" w:rsidRPr="00E07570">
        <w:rPr>
          <w:b/>
        </w:rPr>
        <w:t>Ib</w:t>
      </w:r>
      <w:proofErr w:type="spellEnd"/>
      <w:r w:rsidR="0097098E" w:rsidRPr="00E07570">
        <w:t xml:space="preserve"> du Règlement </w:t>
      </w:r>
      <w:r w:rsidR="0097098E" w:rsidRPr="00E07570">
        <w:rPr>
          <w:rFonts w:eastAsia="MS Mincho"/>
        </w:rPr>
        <w:t>n</w:t>
      </w:r>
      <w:r w:rsidR="0097098E" w:rsidRPr="00E07570">
        <w:rPr>
          <w:rFonts w:eastAsia="MS Mincho"/>
          <w:vertAlign w:val="superscript"/>
        </w:rPr>
        <w:t>o</w:t>
      </w:r>
      <w:r w:rsidR="0097098E" w:rsidRPr="00E07570">
        <w:t> XXX</w:t>
      </w:r>
      <w:r w:rsidRPr="00E07570">
        <w:tab/>
      </w:r>
      <w:r w:rsidR="00923EC5" w:rsidRPr="00E07570">
        <w:tab/>
      </w:r>
      <w:r w:rsidR="004B0F78" w:rsidRPr="00E07570">
        <w:t>48</w:t>
      </w:r>
    </w:p>
    <w:p w:rsidR="00964DB7" w:rsidRPr="00E07570" w:rsidRDefault="00964DB7" w:rsidP="00964DB7">
      <w:pPr>
        <w:tabs>
          <w:tab w:val="right" w:pos="850"/>
          <w:tab w:val="right" w:leader="dot" w:pos="8787"/>
          <w:tab w:val="right" w:pos="9638"/>
        </w:tabs>
        <w:spacing w:after="120"/>
        <w:ind w:left="1134" w:hanging="1134"/>
      </w:pPr>
      <w:r w:rsidRPr="00E07570">
        <w:tab/>
        <w:t>3.</w:t>
      </w:r>
      <w:r w:rsidRPr="00E07570">
        <w:tab/>
        <w:t>Communication concernant la délivrance d</w:t>
      </w:r>
      <w:r w:rsidR="00145E4B">
        <w:t>’</w:t>
      </w:r>
      <w:r w:rsidRPr="00E07570">
        <w:t>une homologation, l</w:t>
      </w:r>
      <w:r w:rsidR="00145E4B">
        <w:t>’</w:t>
      </w:r>
      <w:r w:rsidRPr="00E07570">
        <w:t>extension d</w:t>
      </w:r>
      <w:r w:rsidR="00145E4B">
        <w:t>’</w:t>
      </w:r>
      <w:r w:rsidRPr="00E07570">
        <w:t xml:space="preserve">homologation, </w:t>
      </w:r>
      <w:r w:rsidRPr="00E07570">
        <w:br/>
        <w:t>le refus d</w:t>
      </w:r>
      <w:r w:rsidR="00145E4B">
        <w:t>’</w:t>
      </w:r>
      <w:r w:rsidRPr="00E07570">
        <w:t>homologation, le retrait d</w:t>
      </w:r>
      <w:r w:rsidR="00145E4B">
        <w:t>’</w:t>
      </w:r>
      <w:r w:rsidRPr="00E07570">
        <w:t>homologation ou l</w:t>
      </w:r>
      <w:r w:rsidR="00145E4B">
        <w:t>’</w:t>
      </w:r>
      <w:r w:rsidRPr="00E07570">
        <w:t xml:space="preserve">arrêt définitif de la production </w:t>
      </w:r>
      <w:r w:rsidRPr="00E07570">
        <w:br/>
      </w:r>
      <w:r w:rsidR="0097098E" w:rsidRPr="00E07570">
        <w:t>d</w:t>
      </w:r>
      <w:r w:rsidR="00145E4B">
        <w:t>’</w:t>
      </w:r>
      <w:r w:rsidR="0097098E" w:rsidRPr="00E07570">
        <w:t>un type de véhicule de catégorie M</w:t>
      </w:r>
      <w:r w:rsidR="0097098E" w:rsidRPr="00E07570">
        <w:rPr>
          <w:vertAlign w:val="subscript"/>
        </w:rPr>
        <w:t>1</w:t>
      </w:r>
      <w:r w:rsidR="0097098E" w:rsidRPr="00E07570">
        <w:t xml:space="preserve"> ou N</w:t>
      </w:r>
      <w:r w:rsidR="0097098E" w:rsidRPr="00E07570">
        <w:rPr>
          <w:vertAlign w:val="subscript"/>
        </w:rPr>
        <w:t>1</w:t>
      </w:r>
      <w:r w:rsidR="0097098E" w:rsidRPr="00E07570">
        <w:t xml:space="preserve"> en application de la partie II du Règlement </w:t>
      </w:r>
      <w:r w:rsidR="0097098E" w:rsidRPr="00E07570">
        <w:br/>
        <w:t>n</w:t>
      </w:r>
      <w:r w:rsidR="0097098E" w:rsidRPr="00E07570">
        <w:rPr>
          <w:vertAlign w:val="superscript"/>
        </w:rPr>
        <w:t>o</w:t>
      </w:r>
      <w:r w:rsidR="0097098E" w:rsidRPr="00E07570">
        <w:t> XXX, équipé d</w:t>
      </w:r>
      <w:r w:rsidR="00145E4B">
        <w:t>’</w:t>
      </w:r>
      <w:r w:rsidR="0097098E" w:rsidRPr="00E07570">
        <w:t>un AECD homologué conformément à la partie </w:t>
      </w:r>
      <w:proofErr w:type="spellStart"/>
      <w:r w:rsidR="00A22689" w:rsidRPr="00E07570">
        <w:rPr>
          <w:b/>
        </w:rPr>
        <w:t>Ib</w:t>
      </w:r>
      <w:proofErr w:type="spellEnd"/>
      <w:r w:rsidR="0097098E" w:rsidRPr="00E07570">
        <w:t xml:space="preserve"> dudit Règlement.</w:t>
      </w:r>
      <w:r w:rsidRPr="00E07570">
        <w:tab/>
      </w:r>
      <w:r w:rsidRPr="00E07570">
        <w:tab/>
      </w:r>
      <w:r w:rsidR="004B0F78" w:rsidRPr="00E07570">
        <w:t>50</w:t>
      </w:r>
    </w:p>
    <w:p w:rsidR="00964DB7" w:rsidRPr="00E07570" w:rsidRDefault="00964DB7" w:rsidP="005E45F6">
      <w:pPr>
        <w:keepNext/>
        <w:keepLines/>
        <w:tabs>
          <w:tab w:val="right" w:pos="850"/>
          <w:tab w:val="right" w:leader="dot" w:pos="8787"/>
          <w:tab w:val="right" w:pos="9638"/>
        </w:tabs>
        <w:spacing w:after="120"/>
        <w:ind w:left="1134" w:hanging="1134"/>
      </w:pPr>
      <w:r w:rsidRPr="00E07570">
        <w:tab/>
        <w:t>4.</w:t>
      </w:r>
      <w:r w:rsidRPr="00E07570">
        <w:tab/>
      </w:r>
      <w:r w:rsidR="000C7032" w:rsidRPr="00E07570">
        <w:t>Communication concernant la délivrance d</w:t>
      </w:r>
      <w:r w:rsidR="00145E4B">
        <w:t>’</w:t>
      </w:r>
      <w:r w:rsidR="000C7032" w:rsidRPr="00E07570">
        <w:t>une homologation, l</w:t>
      </w:r>
      <w:r w:rsidR="00145E4B">
        <w:t>’</w:t>
      </w:r>
      <w:r w:rsidR="000C7032" w:rsidRPr="00E07570">
        <w:t>extension d</w:t>
      </w:r>
      <w:r w:rsidR="00145E4B">
        <w:t>’</w:t>
      </w:r>
      <w:r w:rsidR="000C7032" w:rsidRPr="00E07570">
        <w:t xml:space="preserve">homologation, </w:t>
      </w:r>
      <w:r w:rsidR="000C7032" w:rsidRPr="00E07570">
        <w:br/>
        <w:t>le refus d</w:t>
      </w:r>
      <w:r w:rsidR="00145E4B">
        <w:t>’</w:t>
      </w:r>
      <w:r w:rsidR="000C7032" w:rsidRPr="00E07570">
        <w:t>homologation, le retrait d</w:t>
      </w:r>
      <w:r w:rsidR="00145E4B">
        <w:t>’</w:t>
      </w:r>
      <w:r w:rsidR="000C7032" w:rsidRPr="00E07570">
        <w:t>homologation ou l</w:t>
      </w:r>
      <w:r w:rsidR="00145E4B">
        <w:t>’</w:t>
      </w:r>
      <w:r w:rsidR="000C7032" w:rsidRPr="00E07570">
        <w:t xml:space="preserve">arrêt définitif de la production </w:t>
      </w:r>
      <w:r w:rsidR="000C7032" w:rsidRPr="00E07570">
        <w:br/>
      </w:r>
      <w:r w:rsidR="005E45F6" w:rsidRPr="00E07570">
        <w:t>d</w:t>
      </w:r>
      <w:r w:rsidR="00145E4B">
        <w:t>’</w:t>
      </w:r>
      <w:r w:rsidR="005E45F6" w:rsidRPr="00E07570">
        <w:t>un type de véhicule de catégorie M</w:t>
      </w:r>
      <w:r w:rsidR="005E45F6" w:rsidRPr="00E07570">
        <w:rPr>
          <w:vertAlign w:val="subscript"/>
        </w:rPr>
        <w:t>1</w:t>
      </w:r>
      <w:r w:rsidR="005E45F6" w:rsidRPr="00E07570">
        <w:t xml:space="preserve"> ou N</w:t>
      </w:r>
      <w:r w:rsidR="005E45F6" w:rsidRPr="00E07570">
        <w:rPr>
          <w:vertAlign w:val="subscript"/>
        </w:rPr>
        <w:t>1</w:t>
      </w:r>
      <w:r w:rsidR="005E45F6" w:rsidRPr="00E07570">
        <w:t xml:space="preserve"> homologué en application de la partie III </w:t>
      </w:r>
      <w:r w:rsidR="005E45F6" w:rsidRPr="00E07570">
        <w:br/>
        <w:t>du Règlement n</w:t>
      </w:r>
      <w:r w:rsidR="005E45F6" w:rsidRPr="00E07570">
        <w:rPr>
          <w:vertAlign w:val="superscript"/>
        </w:rPr>
        <w:t>o</w:t>
      </w:r>
      <w:r w:rsidR="005E45F6" w:rsidRPr="00E07570">
        <w:t> XXX</w:t>
      </w:r>
      <w:r w:rsidR="000C7032" w:rsidRPr="00E07570">
        <w:tab/>
      </w:r>
      <w:r w:rsidR="000C7032" w:rsidRPr="00E07570">
        <w:tab/>
      </w:r>
      <w:r w:rsidR="004B0F78" w:rsidRPr="00E07570">
        <w:t>52</w:t>
      </w:r>
    </w:p>
    <w:p w:rsidR="00964DB7" w:rsidRPr="00E07570" w:rsidRDefault="00964DB7" w:rsidP="00964DB7">
      <w:pPr>
        <w:tabs>
          <w:tab w:val="right" w:pos="850"/>
          <w:tab w:val="right" w:leader="dot" w:pos="8787"/>
          <w:tab w:val="right" w:pos="9638"/>
        </w:tabs>
        <w:spacing w:after="120"/>
        <w:ind w:left="1134" w:hanging="1134"/>
        <w:rPr>
          <w:b/>
        </w:rPr>
      </w:pPr>
      <w:r w:rsidRPr="00E07570">
        <w:tab/>
        <w:t>5.</w:t>
      </w:r>
      <w:r w:rsidRPr="00E07570">
        <w:tab/>
      </w:r>
      <w:r w:rsidR="004A5744" w:rsidRPr="00E07570">
        <w:rPr>
          <w:b/>
        </w:rPr>
        <w:t>Document d</w:t>
      </w:r>
      <w:r w:rsidR="00145E4B">
        <w:rPr>
          <w:b/>
        </w:rPr>
        <w:t>’</w:t>
      </w:r>
      <w:r w:rsidR="004A5744" w:rsidRPr="00E07570">
        <w:rPr>
          <w:b/>
        </w:rPr>
        <w:t>information sur l</w:t>
      </w:r>
      <w:r w:rsidR="00145E4B">
        <w:rPr>
          <w:b/>
        </w:rPr>
        <w:t>’</w:t>
      </w:r>
      <w:r w:rsidR="004A5744" w:rsidRPr="00E07570">
        <w:rPr>
          <w:b/>
        </w:rPr>
        <w:t>homologation de type d</w:t>
      </w:r>
      <w:r w:rsidR="00145E4B">
        <w:rPr>
          <w:b/>
        </w:rPr>
        <w:t>’</w:t>
      </w:r>
      <w:r w:rsidR="004A5744" w:rsidRPr="00E07570">
        <w:rPr>
          <w:b/>
        </w:rPr>
        <w:t>un élément d</w:t>
      </w:r>
      <w:r w:rsidR="00145E4B">
        <w:rPr>
          <w:b/>
        </w:rPr>
        <w:t>’</w:t>
      </w:r>
      <w:r w:rsidR="004A5744" w:rsidRPr="00E07570">
        <w:rPr>
          <w:b/>
        </w:rPr>
        <w:t xml:space="preserve">un dispositif </w:t>
      </w:r>
      <w:r w:rsidR="004A5744" w:rsidRPr="00E07570">
        <w:rPr>
          <w:b/>
        </w:rPr>
        <w:br/>
        <w:t>automatique d</w:t>
      </w:r>
      <w:r w:rsidR="00145E4B">
        <w:rPr>
          <w:b/>
        </w:rPr>
        <w:t>’</w:t>
      </w:r>
      <w:r w:rsidR="004A5744" w:rsidRPr="00E07570">
        <w:rPr>
          <w:b/>
        </w:rPr>
        <w:t>appel d</w:t>
      </w:r>
      <w:r w:rsidR="00145E4B">
        <w:rPr>
          <w:b/>
        </w:rPr>
        <w:t>’</w:t>
      </w:r>
      <w:r w:rsidR="004A5744" w:rsidRPr="00E07570">
        <w:rPr>
          <w:b/>
        </w:rPr>
        <w:t>urgence (AECC)</w:t>
      </w:r>
      <w:r w:rsidRPr="00E07570">
        <w:tab/>
      </w:r>
      <w:r w:rsidRPr="00E07570">
        <w:tab/>
      </w:r>
      <w:r w:rsidR="004B0F78" w:rsidRPr="00E07570">
        <w:rPr>
          <w:b/>
        </w:rPr>
        <w:t>54</w:t>
      </w:r>
    </w:p>
    <w:p w:rsidR="00964DB7" w:rsidRPr="00E07570" w:rsidRDefault="00964DB7" w:rsidP="007875F2">
      <w:pPr>
        <w:tabs>
          <w:tab w:val="right" w:pos="850"/>
          <w:tab w:val="right" w:leader="dot" w:pos="8787"/>
          <w:tab w:val="right" w:pos="9638"/>
        </w:tabs>
        <w:spacing w:after="120"/>
        <w:ind w:left="1134" w:hanging="1134"/>
      </w:pPr>
      <w:r w:rsidRPr="00E07570">
        <w:tab/>
        <w:t>6.</w:t>
      </w:r>
      <w:r w:rsidRPr="00E07570">
        <w:tab/>
      </w:r>
      <w:r w:rsidR="00945EFE" w:rsidRPr="00E07570">
        <w:t>Document d</w:t>
      </w:r>
      <w:r w:rsidR="00145E4B">
        <w:t>’</w:t>
      </w:r>
      <w:r w:rsidR="00945EFE" w:rsidRPr="00E07570">
        <w:t>information sur l</w:t>
      </w:r>
      <w:r w:rsidR="00145E4B">
        <w:t>’</w:t>
      </w:r>
      <w:r w:rsidR="00945EFE" w:rsidRPr="00E07570">
        <w:t>homologation de type d</w:t>
      </w:r>
      <w:r w:rsidR="00145E4B">
        <w:t>’</w:t>
      </w:r>
      <w:r w:rsidR="00945EFE" w:rsidRPr="00E07570">
        <w:t xml:space="preserve">un dispositif automatique </w:t>
      </w:r>
      <w:r w:rsidR="00945EFE" w:rsidRPr="00E07570">
        <w:br/>
        <w:t>d</w:t>
      </w:r>
      <w:r w:rsidR="00145E4B">
        <w:t>’</w:t>
      </w:r>
      <w:r w:rsidR="00945EFE" w:rsidRPr="00E07570">
        <w:t>appel d</w:t>
      </w:r>
      <w:r w:rsidR="00145E4B">
        <w:t>’</w:t>
      </w:r>
      <w:r w:rsidR="00945EFE" w:rsidRPr="00E07570">
        <w:t>urgence (AECD)</w:t>
      </w:r>
      <w:r w:rsidRPr="00E07570">
        <w:tab/>
      </w:r>
      <w:r w:rsidRPr="00E07570">
        <w:tab/>
      </w:r>
      <w:r w:rsidR="004B0F78" w:rsidRPr="00E07570">
        <w:t>55</w:t>
      </w:r>
    </w:p>
    <w:p w:rsidR="00964DB7" w:rsidRPr="00E07570" w:rsidRDefault="00964DB7" w:rsidP="00964DB7">
      <w:pPr>
        <w:tabs>
          <w:tab w:val="right" w:pos="850"/>
          <w:tab w:val="right" w:leader="dot" w:pos="8787"/>
          <w:tab w:val="right" w:pos="9638"/>
        </w:tabs>
        <w:spacing w:after="120"/>
        <w:ind w:left="1134" w:hanging="1134"/>
      </w:pPr>
      <w:r w:rsidRPr="00E07570">
        <w:tab/>
        <w:t>7.</w:t>
      </w:r>
      <w:r w:rsidRPr="00E07570">
        <w:tab/>
      </w:r>
      <w:r w:rsidR="00942FB3" w:rsidRPr="00E07570">
        <w:t>Document d</w:t>
      </w:r>
      <w:r w:rsidR="00145E4B">
        <w:t>’</w:t>
      </w:r>
      <w:r w:rsidR="00942FB3" w:rsidRPr="00E07570">
        <w:t>information sur l</w:t>
      </w:r>
      <w:r w:rsidR="00145E4B">
        <w:t>’</w:t>
      </w:r>
      <w:r w:rsidR="00942FB3" w:rsidRPr="00E07570">
        <w:t>homologation de type d</w:t>
      </w:r>
      <w:r w:rsidR="00145E4B">
        <w:t>’</w:t>
      </w:r>
      <w:r w:rsidR="00942FB3" w:rsidRPr="00E07570">
        <w:t xml:space="preserve">un véhicule en ce qui concerne </w:t>
      </w:r>
      <w:r w:rsidR="00942FB3" w:rsidRPr="00E07570">
        <w:br/>
        <w:t>l</w:t>
      </w:r>
      <w:r w:rsidR="00145E4B">
        <w:t>’</w:t>
      </w:r>
      <w:r w:rsidR="00942FB3" w:rsidRPr="00E07570">
        <w:t>installation d</w:t>
      </w:r>
      <w:r w:rsidR="00145E4B">
        <w:t>’</w:t>
      </w:r>
      <w:r w:rsidR="00942FB3" w:rsidRPr="00E07570">
        <w:t>un dispositif automatique d</w:t>
      </w:r>
      <w:r w:rsidR="00145E4B">
        <w:t>’</w:t>
      </w:r>
      <w:r w:rsidR="00942FB3" w:rsidRPr="00E07570">
        <w:t>appel d</w:t>
      </w:r>
      <w:r w:rsidR="00145E4B">
        <w:t>’</w:t>
      </w:r>
      <w:r w:rsidR="00942FB3" w:rsidRPr="00E07570">
        <w:t>urgence (AECD) d</w:t>
      </w:r>
      <w:r w:rsidR="00145E4B">
        <w:t>’</w:t>
      </w:r>
      <w:r w:rsidR="00942FB3" w:rsidRPr="00E07570">
        <w:t>un type homologué</w:t>
      </w:r>
      <w:r w:rsidRPr="00E07570">
        <w:tab/>
      </w:r>
      <w:r w:rsidRPr="00E07570">
        <w:tab/>
      </w:r>
      <w:r w:rsidR="004B0F78" w:rsidRPr="00E07570">
        <w:t>56</w:t>
      </w:r>
    </w:p>
    <w:p w:rsidR="00964DB7" w:rsidRPr="00E07570" w:rsidRDefault="00964DB7" w:rsidP="00964DB7">
      <w:pPr>
        <w:tabs>
          <w:tab w:val="right" w:pos="850"/>
          <w:tab w:val="right" w:leader="dot" w:pos="8787"/>
          <w:tab w:val="right" w:pos="9638"/>
        </w:tabs>
        <w:spacing w:after="120"/>
        <w:ind w:left="1134" w:hanging="1134"/>
      </w:pPr>
      <w:r w:rsidRPr="00E07570">
        <w:tab/>
        <w:t>8.</w:t>
      </w:r>
      <w:r w:rsidRPr="00E07570">
        <w:tab/>
      </w:r>
      <w:r w:rsidR="007875F2" w:rsidRPr="00E07570">
        <w:t>Document d</w:t>
      </w:r>
      <w:r w:rsidR="00145E4B">
        <w:t>’</w:t>
      </w:r>
      <w:r w:rsidR="007875F2" w:rsidRPr="00E07570">
        <w:t>information sur l</w:t>
      </w:r>
      <w:r w:rsidR="00145E4B">
        <w:t>’</w:t>
      </w:r>
      <w:r w:rsidR="007875F2" w:rsidRPr="00E07570">
        <w:t>homologation de type d</w:t>
      </w:r>
      <w:r w:rsidR="00145E4B">
        <w:t>’</w:t>
      </w:r>
      <w:r w:rsidR="007875F2" w:rsidRPr="00E07570">
        <w:t xml:space="preserve">un véhicule en ce qui concerne </w:t>
      </w:r>
      <w:r w:rsidR="00945EFE" w:rsidRPr="00E07570">
        <w:br/>
      </w:r>
      <w:r w:rsidR="007875F2" w:rsidRPr="00E07570">
        <w:t>le système automatique d</w:t>
      </w:r>
      <w:r w:rsidR="00145E4B">
        <w:t>’</w:t>
      </w:r>
      <w:r w:rsidR="007875F2" w:rsidRPr="00E07570">
        <w:t>appel d</w:t>
      </w:r>
      <w:r w:rsidR="00145E4B">
        <w:t>’</w:t>
      </w:r>
      <w:r w:rsidR="007875F2" w:rsidRPr="00E07570">
        <w:t>urgence (AECS)</w:t>
      </w:r>
      <w:r w:rsidRPr="00E07570">
        <w:tab/>
      </w:r>
      <w:r w:rsidRPr="00E07570">
        <w:tab/>
        <w:t>5</w:t>
      </w:r>
      <w:r w:rsidR="004B0F78" w:rsidRPr="00E07570">
        <w:t>8</w:t>
      </w:r>
    </w:p>
    <w:p w:rsidR="00964DB7" w:rsidRPr="00E07570" w:rsidRDefault="00964DB7" w:rsidP="00964DB7">
      <w:pPr>
        <w:tabs>
          <w:tab w:val="right" w:pos="850"/>
          <w:tab w:val="right" w:leader="dot" w:pos="8787"/>
          <w:tab w:val="right" w:pos="9638"/>
        </w:tabs>
        <w:spacing w:after="120"/>
        <w:ind w:left="1134" w:hanging="1134"/>
      </w:pPr>
      <w:r w:rsidRPr="00E07570">
        <w:tab/>
        <w:t>9.</w:t>
      </w:r>
      <w:r w:rsidRPr="00E07570">
        <w:tab/>
      </w:r>
      <w:r w:rsidR="00945EFE" w:rsidRPr="00E07570">
        <w:t>Méthode d</w:t>
      </w:r>
      <w:r w:rsidR="00145E4B">
        <w:t>’</w:t>
      </w:r>
      <w:r w:rsidR="00945EFE" w:rsidRPr="00E07570">
        <w:t>essai de la résistance à un choc mécanique</w:t>
      </w:r>
      <w:r w:rsidRPr="00E07570">
        <w:tab/>
      </w:r>
      <w:r w:rsidRPr="00E07570">
        <w:tab/>
      </w:r>
      <w:r w:rsidR="004B0F78" w:rsidRPr="00E07570">
        <w:t>59</w:t>
      </w:r>
    </w:p>
    <w:p w:rsidR="00964DB7" w:rsidRPr="00E07570" w:rsidRDefault="00964DB7" w:rsidP="00964DB7">
      <w:pPr>
        <w:tabs>
          <w:tab w:val="right" w:pos="850"/>
          <w:tab w:val="right" w:leader="dot" w:pos="8787"/>
          <w:tab w:val="right" w:pos="9638"/>
        </w:tabs>
        <w:spacing w:after="120"/>
        <w:ind w:left="1134" w:hanging="1134"/>
      </w:pPr>
      <w:r w:rsidRPr="00E07570">
        <w:tab/>
        <w:t>10.</w:t>
      </w:r>
      <w:r w:rsidRPr="00E07570">
        <w:tab/>
      </w:r>
      <w:r w:rsidR="00F01084" w:rsidRPr="00E07570">
        <w:t>Méthodes d</w:t>
      </w:r>
      <w:r w:rsidR="00145E4B">
        <w:t>’</w:t>
      </w:r>
      <w:r w:rsidR="00F01084" w:rsidRPr="00E07570">
        <w:t>essai pour les solutions de navigation</w:t>
      </w:r>
      <w:r w:rsidRPr="00E07570">
        <w:tab/>
      </w:r>
      <w:r w:rsidRPr="00E07570">
        <w:tab/>
      </w:r>
      <w:r w:rsidR="004B0F78" w:rsidRPr="00E07570">
        <w:t>61</w:t>
      </w:r>
    </w:p>
    <w:p w:rsidR="0075263E" w:rsidRPr="00E07570" w:rsidRDefault="0075263E" w:rsidP="0075263E">
      <w:pPr>
        <w:tabs>
          <w:tab w:val="right" w:pos="850"/>
          <w:tab w:val="right" w:leader="dot" w:pos="8787"/>
          <w:tab w:val="right" w:pos="9638"/>
        </w:tabs>
        <w:spacing w:after="120"/>
        <w:ind w:left="1134" w:hanging="1134"/>
      </w:pPr>
      <w:r w:rsidRPr="00E07570">
        <w:tab/>
        <w:t>11.</w:t>
      </w:r>
      <w:r w:rsidRPr="00E07570">
        <w:tab/>
      </w:r>
      <w:r w:rsidR="00F01084" w:rsidRPr="00E07570">
        <w:t>Méthode d</w:t>
      </w:r>
      <w:r w:rsidR="00145E4B">
        <w:t>’</w:t>
      </w:r>
      <w:r w:rsidR="00F01084" w:rsidRPr="00E07570">
        <w:t>essai du fonctionnement de l</w:t>
      </w:r>
      <w:r w:rsidR="00145E4B">
        <w:t>’</w:t>
      </w:r>
      <w:r w:rsidR="00F01084" w:rsidRPr="00E07570">
        <w:t>AECD/AECS après accident</w:t>
      </w:r>
      <w:r w:rsidR="00F01084" w:rsidRPr="00E07570">
        <w:tab/>
      </w:r>
      <w:r w:rsidR="00F01084" w:rsidRPr="00E07570">
        <w:tab/>
      </w:r>
      <w:r w:rsidR="004B0F78" w:rsidRPr="00E07570">
        <w:t>73</w:t>
      </w:r>
    </w:p>
    <w:p w:rsidR="0075263E" w:rsidRPr="00E07570" w:rsidRDefault="0075263E" w:rsidP="0075263E">
      <w:pPr>
        <w:tabs>
          <w:tab w:val="right" w:pos="850"/>
          <w:tab w:val="right" w:leader="dot" w:pos="8787"/>
          <w:tab w:val="right" w:pos="9638"/>
        </w:tabs>
        <w:spacing w:after="120"/>
        <w:ind w:left="1134" w:hanging="1134"/>
      </w:pPr>
      <w:r w:rsidRPr="00E07570">
        <w:tab/>
      </w:r>
      <w:r w:rsidRPr="00E07570">
        <w:tab/>
      </w:r>
      <w:r w:rsidR="00F01084" w:rsidRPr="00E07570">
        <w:t>A</w:t>
      </w:r>
      <w:r w:rsidRPr="00E07570">
        <w:t>ppendice</w:t>
      </w:r>
      <w:r w:rsidR="00F01084" w:rsidRPr="00E07570">
        <w:t> : L</w:t>
      </w:r>
      <w:r w:rsidRPr="00E07570">
        <w:t>angues et phrases utilisées pour l</w:t>
      </w:r>
      <w:r w:rsidR="00145E4B">
        <w:t>’</w:t>
      </w:r>
      <w:r w:rsidRPr="00E07570">
        <w:t xml:space="preserve">évaluation de la communication vocale </w:t>
      </w:r>
      <w:r w:rsidR="00F01084" w:rsidRPr="00E07570">
        <w:br/>
      </w:r>
      <w:r w:rsidRPr="00E07570">
        <w:t xml:space="preserve">en mode mains </w:t>
      </w:r>
      <w:r w:rsidR="00305F8B" w:rsidRPr="00E07570">
        <w:t>libres</w:t>
      </w:r>
      <w:r w:rsidRPr="00E07570">
        <w:tab/>
      </w:r>
      <w:r w:rsidRPr="00E07570">
        <w:tab/>
      </w:r>
      <w:r w:rsidR="004B0F78" w:rsidRPr="00E07570">
        <w:t>75</w:t>
      </w:r>
    </w:p>
    <w:p w:rsidR="0075263E" w:rsidRPr="00E07570" w:rsidRDefault="0075263E" w:rsidP="00964DB7">
      <w:pPr>
        <w:tabs>
          <w:tab w:val="right" w:pos="850"/>
          <w:tab w:val="right" w:leader="dot" w:pos="8787"/>
          <w:tab w:val="right" w:pos="9638"/>
        </w:tabs>
        <w:spacing w:after="120"/>
        <w:ind w:left="1134" w:hanging="1134"/>
      </w:pPr>
      <w:r w:rsidRPr="00E07570">
        <w:tab/>
        <w:t>12.</w:t>
      </w:r>
      <w:r w:rsidRPr="00E07570">
        <w:tab/>
        <w:t>Définition d</w:t>
      </w:r>
      <w:r w:rsidR="00145E4B">
        <w:t>’</w:t>
      </w:r>
      <w:r w:rsidRPr="00E07570">
        <w:t>un ensemble minimum de données (MSD)</w:t>
      </w:r>
      <w:r w:rsidRPr="00E07570">
        <w:tab/>
      </w:r>
      <w:r w:rsidRPr="00E07570">
        <w:tab/>
      </w:r>
      <w:r w:rsidR="004B0F78" w:rsidRPr="00E07570">
        <w:t>81</w:t>
      </w:r>
    </w:p>
    <w:p w:rsidR="00964DB7" w:rsidRPr="00E07570" w:rsidRDefault="00964DB7" w:rsidP="002D1FA1">
      <w:pPr>
        <w:pStyle w:val="HChG"/>
        <w:ind w:left="2268"/>
      </w:pPr>
      <w:r w:rsidRPr="00E07570">
        <w:br w:type="page"/>
        <w:t>1.</w:t>
      </w:r>
      <w:r w:rsidRPr="00E07570">
        <w:tab/>
        <w:t>Champ d</w:t>
      </w:r>
      <w:r w:rsidR="00145E4B">
        <w:t>’</w:t>
      </w:r>
      <w:r w:rsidRPr="00E07570">
        <w:t>application</w:t>
      </w:r>
    </w:p>
    <w:p w:rsidR="00964DB7" w:rsidRPr="00E07570" w:rsidRDefault="00964DB7" w:rsidP="002D1FA1">
      <w:pPr>
        <w:pStyle w:val="SingleTxtG"/>
        <w:keepNext/>
        <w:ind w:left="2268" w:hanging="1134"/>
      </w:pPr>
      <w:r w:rsidRPr="00E07570">
        <w:t>1.1</w:t>
      </w:r>
      <w:r w:rsidRPr="00E07570">
        <w:tab/>
        <w:t>Le présent Règlement s</w:t>
      </w:r>
      <w:r w:rsidR="00145E4B">
        <w:t>’</w:t>
      </w:r>
      <w:r w:rsidRPr="00E07570">
        <w:t>applique :</w:t>
      </w:r>
    </w:p>
    <w:p w:rsidR="00964DB7" w:rsidRPr="00E07570" w:rsidRDefault="00964DB7" w:rsidP="002D1FA1">
      <w:pPr>
        <w:pStyle w:val="SingleTxtG"/>
        <w:ind w:left="2835" w:hanging="567"/>
        <w:rPr>
          <w:b/>
        </w:rPr>
      </w:pPr>
      <w:r w:rsidRPr="00E07570">
        <w:rPr>
          <w:b/>
        </w:rPr>
        <w:t>a)</w:t>
      </w:r>
      <w:r w:rsidRPr="00E07570">
        <w:rPr>
          <w:b/>
        </w:rPr>
        <w:tab/>
        <w:t>Partie </w:t>
      </w:r>
      <w:proofErr w:type="spellStart"/>
      <w:r w:rsidRPr="00E07570">
        <w:rPr>
          <w:b/>
        </w:rPr>
        <w:t>Ia</w:t>
      </w:r>
      <w:proofErr w:type="spellEnd"/>
      <w:r w:rsidR="002D1FA1" w:rsidRPr="00E07570">
        <w:rPr>
          <w:b/>
        </w:rPr>
        <w:t> </w:t>
      </w:r>
      <w:r w:rsidRPr="00E07570">
        <w:rPr>
          <w:b/>
        </w:rPr>
        <w:t>: à l</w:t>
      </w:r>
      <w:r w:rsidR="00145E4B">
        <w:rPr>
          <w:b/>
        </w:rPr>
        <w:t>’</w:t>
      </w:r>
      <w:r w:rsidRPr="00E07570">
        <w:rPr>
          <w:b/>
        </w:rPr>
        <w:t>homologation des éléments destinés à être incorporés dans un dispositif automatique d</w:t>
      </w:r>
      <w:r w:rsidR="00145E4B">
        <w:rPr>
          <w:b/>
        </w:rPr>
        <w:t>’</w:t>
      </w:r>
      <w:r w:rsidRPr="00E07570">
        <w:rPr>
          <w:b/>
        </w:rPr>
        <w:t>appel d</w:t>
      </w:r>
      <w:r w:rsidR="00145E4B">
        <w:rPr>
          <w:b/>
        </w:rPr>
        <w:t>’</w:t>
      </w:r>
      <w:r w:rsidRPr="00E07570">
        <w:rPr>
          <w:b/>
        </w:rPr>
        <w:t>urgence (AECD)</w:t>
      </w:r>
      <w:r w:rsidR="002D1FA1" w:rsidRPr="00E07570">
        <w:rPr>
          <w:b/>
        </w:rPr>
        <w:t> </w:t>
      </w:r>
      <w:r w:rsidRPr="00E07570">
        <w:rPr>
          <w:b/>
        </w:rPr>
        <w:t>;</w:t>
      </w:r>
    </w:p>
    <w:p w:rsidR="00964DB7" w:rsidRPr="00E07570" w:rsidRDefault="00964DB7" w:rsidP="002D1FA1">
      <w:pPr>
        <w:pStyle w:val="SingleTxtG"/>
        <w:ind w:left="2835" w:hanging="567"/>
        <w:rPr>
          <w:b/>
        </w:rPr>
      </w:pPr>
      <w:r w:rsidRPr="00E07570">
        <w:rPr>
          <w:b/>
        </w:rPr>
        <w:t>b)</w:t>
      </w:r>
      <w:r w:rsidR="002D507C" w:rsidRPr="00E07570">
        <w:tab/>
        <w:t>Partie </w:t>
      </w:r>
      <w:proofErr w:type="spellStart"/>
      <w:r w:rsidR="00A22689" w:rsidRPr="00E07570">
        <w:rPr>
          <w:b/>
        </w:rPr>
        <w:t>Ib</w:t>
      </w:r>
      <w:proofErr w:type="spellEnd"/>
      <w:r w:rsidR="002D1FA1" w:rsidRPr="00E07570">
        <w:rPr>
          <w:b/>
        </w:rPr>
        <w:t> </w:t>
      </w:r>
      <w:r w:rsidRPr="00E07570">
        <w:t>: à l</w:t>
      </w:r>
      <w:r w:rsidR="00145E4B">
        <w:t>’</w:t>
      </w:r>
      <w:r w:rsidRPr="00E07570">
        <w:t>homologation des dispositifs automatiques d</w:t>
      </w:r>
      <w:r w:rsidR="00145E4B">
        <w:t>’</w:t>
      </w:r>
      <w:r w:rsidRPr="00E07570">
        <w:t>appel d</w:t>
      </w:r>
      <w:r w:rsidR="00145E4B">
        <w:t>’</w:t>
      </w:r>
      <w:r w:rsidRPr="00E07570">
        <w:t>urgence (AECD), destinés à être installés sur les véhicules des catégories</w:t>
      </w:r>
      <w:r w:rsidR="002D1FA1" w:rsidRPr="00E07570">
        <w:t> </w:t>
      </w:r>
      <w:r w:rsidRPr="00E07570">
        <w:t>M</w:t>
      </w:r>
      <w:r w:rsidRPr="00E07570">
        <w:rPr>
          <w:vertAlign w:val="subscript"/>
        </w:rPr>
        <w:t>1</w:t>
      </w:r>
      <w:r w:rsidRPr="00E07570">
        <w:t xml:space="preserve"> et N</w:t>
      </w:r>
      <w:r w:rsidRPr="00E07570">
        <w:rPr>
          <w:vertAlign w:val="subscript"/>
        </w:rPr>
        <w:t>1</w:t>
      </w:r>
      <w:r w:rsidRPr="00E07570">
        <w:rPr>
          <w:rStyle w:val="FootnoteReference"/>
        </w:rPr>
        <w:footnoteReference w:id="3"/>
      </w:r>
      <w:r w:rsidRPr="00E07570">
        <w:t> ;</w:t>
      </w:r>
    </w:p>
    <w:p w:rsidR="00964DB7" w:rsidRPr="00E07570" w:rsidRDefault="00964DB7" w:rsidP="002D1FA1">
      <w:pPr>
        <w:pStyle w:val="SingleTxtG"/>
        <w:ind w:left="2835" w:hanging="567"/>
      </w:pPr>
      <w:r w:rsidRPr="00E07570">
        <w:rPr>
          <w:b/>
        </w:rPr>
        <w:t>c)</w:t>
      </w:r>
      <w:r w:rsidRPr="00E07570">
        <w:tab/>
        <w:t>Partie</w:t>
      </w:r>
      <w:r w:rsidR="002D1FA1" w:rsidRPr="00E07570">
        <w:t> </w:t>
      </w:r>
      <w:r w:rsidRPr="00E07570">
        <w:t>II</w:t>
      </w:r>
      <w:r w:rsidR="002D1FA1" w:rsidRPr="00E07570">
        <w:t> </w:t>
      </w:r>
      <w:r w:rsidRPr="00E07570">
        <w:t>: à l</w:t>
      </w:r>
      <w:r w:rsidR="00145E4B">
        <w:t>’</w:t>
      </w:r>
      <w:r w:rsidRPr="00E07570">
        <w:t>homologation des véhicules des catégories M</w:t>
      </w:r>
      <w:r w:rsidRPr="00E07570">
        <w:rPr>
          <w:vertAlign w:val="subscript"/>
        </w:rPr>
        <w:t>1</w:t>
      </w:r>
      <w:r w:rsidRPr="00E07570">
        <w:t xml:space="preserve"> et N</w:t>
      </w:r>
      <w:r w:rsidRPr="00E07570">
        <w:rPr>
          <w:vertAlign w:val="subscript"/>
        </w:rPr>
        <w:t>1</w:t>
      </w:r>
      <w:r w:rsidRPr="00E07570">
        <w:rPr>
          <w:sz w:val="18"/>
          <w:szCs w:val="18"/>
          <w:vertAlign w:val="superscript"/>
        </w:rPr>
        <w:t>1</w:t>
      </w:r>
      <w:r w:rsidRPr="00E07570">
        <w:t xml:space="preserve"> en ce qui concerne l</w:t>
      </w:r>
      <w:r w:rsidR="00145E4B">
        <w:t>’</w:t>
      </w:r>
      <w:r w:rsidR="00E07570">
        <w:t>in</w:t>
      </w:r>
      <w:r w:rsidRPr="00E07570">
        <w:t>stallation d</w:t>
      </w:r>
      <w:r w:rsidR="00145E4B">
        <w:t>’</w:t>
      </w:r>
      <w:r w:rsidRPr="00E07570">
        <w:t>un dispositif automatique d</w:t>
      </w:r>
      <w:r w:rsidR="00145E4B">
        <w:t>’</w:t>
      </w:r>
      <w:r w:rsidRPr="00E07570">
        <w:t>appel d</w:t>
      </w:r>
      <w:r w:rsidR="00145E4B">
        <w:t>’</w:t>
      </w:r>
      <w:r w:rsidRPr="00E07570">
        <w:t>urgence homologué conformément à la partie </w:t>
      </w:r>
      <w:proofErr w:type="spellStart"/>
      <w:r w:rsidR="00A22689" w:rsidRPr="00E07570">
        <w:rPr>
          <w:b/>
        </w:rPr>
        <w:t>Ib</w:t>
      </w:r>
      <w:proofErr w:type="spellEnd"/>
      <w:r w:rsidRPr="00E07570">
        <w:t xml:space="preserve"> du présent Règlement ;</w:t>
      </w:r>
    </w:p>
    <w:p w:rsidR="00964DB7" w:rsidRPr="00E07570" w:rsidRDefault="00964DB7" w:rsidP="002D1FA1">
      <w:pPr>
        <w:pStyle w:val="SingleTxtG"/>
        <w:ind w:left="2835" w:hanging="567"/>
      </w:pPr>
      <w:r w:rsidRPr="00E07570">
        <w:rPr>
          <w:b/>
        </w:rPr>
        <w:t>d)</w:t>
      </w:r>
      <w:r w:rsidRPr="00E07570">
        <w:tab/>
        <w:t>Partie III</w:t>
      </w:r>
      <w:r w:rsidR="00961374" w:rsidRPr="00E07570">
        <w:t> </w:t>
      </w:r>
      <w:r w:rsidRPr="00E07570">
        <w:t>: à l</w:t>
      </w:r>
      <w:r w:rsidR="00145E4B">
        <w:t>’</w:t>
      </w:r>
      <w:r w:rsidRPr="00E07570">
        <w:t>homologation des véhicules des catégories M</w:t>
      </w:r>
      <w:r w:rsidRPr="00E07570">
        <w:rPr>
          <w:vertAlign w:val="subscript"/>
        </w:rPr>
        <w:t>1</w:t>
      </w:r>
      <w:r w:rsidRPr="00E07570">
        <w:t xml:space="preserve"> et N</w:t>
      </w:r>
      <w:r w:rsidRPr="00E07570">
        <w:rPr>
          <w:vertAlign w:val="subscript"/>
        </w:rPr>
        <w:t>1</w:t>
      </w:r>
      <w:r w:rsidRPr="00E07570">
        <w:rPr>
          <w:sz w:val="18"/>
          <w:szCs w:val="18"/>
          <w:vertAlign w:val="superscript"/>
        </w:rPr>
        <w:t>1</w:t>
      </w:r>
      <w:r w:rsidRPr="00E07570">
        <w:t xml:space="preserve"> en ce qui concerne leur système automatique d</w:t>
      </w:r>
      <w:r w:rsidR="00145E4B">
        <w:t>’</w:t>
      </w:r>
      <w:r w:rsidRPr="00E07570">
        <w:t>appel d</w:t>
      </w:r>
      <w:r w:rsidR="00145E4B">
        <w:t>’</w:t>
      </w:r>
      <w:r w:rsidRPr="00E07570">
        <w:t xml:space="preserve">urgence (AECS) ou </w:t>
      </w:r>
      <w:r w:rsidRPr="00E07570">
        <w:rPr>
          <w:b/>
        </w:rPr>
        <w:t>en ce qui concerne l</w:t>
      </w:r>
      <w:r w:rsidR="00145E4B">
        <w:rPr>
          <w:b/>
        </w:rPr>
        <w:t>’</w:t>
      </w:r>
      <w:r w:rsidRPr="00E07570">
        <w:rPr>
          <w:b/>
        </w:rPr>
        <w:t>installation d</w:t>
      </w:r>
      <w:r w:rsidR="00145E4B">
        <w:rPr>
          <w:b/>
        </w:rPr>
        <w:t>’</w:t>
      </w:r>
      <w:r w:rsidRPr="00E07570">
        <w:rPr>
          <w:b/>
        </w:rPr>
        <w:t>un élément (d</w:t>
      </w:r>
      <w:r w:rsidR="00145E4B">
        <w:rPr>
          <w:b/>
        </w:rPr>
        <w:t>’</w:t>
      </w:r>
      <w:r w:rsidRPr="00E07570">
        <w:rPr>
          <w:b/>
        </w:rPr>
        <w:t>éléments) d</w:t>
      </w:r>
      <w:r w:rsidR="00145E4B">
        <w:rPr>
          <w:b/>
        </w:rPr>
        <w:t>’</w:t>
      </w:r>
      <w:r w:rsidRPr="00E07570">
        <w:rPr>
          <w:b/>
        </w:rPr>
        <w:t>AECD non homologué(s) séparément en vertu de la partie </w:t>
      </w:r>
      <w:proofErr w:type="spellStart"/>
      <w:r w:rsidRPr="00E07570">
        <w:rPr>
          <w:b/>
        </w:rPr>
        <w:t>Ia</w:t>
      </w:r>
      <w:proofErr w:type="spellEnd"/>
      <w:r w:rsidRPr="00E07570">
        <w:rPr>
          <w:b/>
        </w:rPr>
        <w:t xml:space="preserve"> du présent Règlement, ou</w:t>
      </w:r>
      <w:r w:rsidRPr="00E07570">
        <w:t xml:space="preserve"> en ce qui concerne l</w:t>
      </w:r>
      <w:r w:rsidR="00145E4B">
        <w:t>’</w:t>
      </w:r>
      <w:r w:rsidRPr="00E07570">
        <w:t>installation d</w:t>
      </w:r>
      <w:r w:rsidR="00145E4B">
        <w:t>’</w:t>
      </w:r>
      <w:r w:rsidRPr="00E07570">
        <w:t>un AECD qui n</w:t>
      </w:r>
      <w:r w:rsidR="00145E4B">
        <w:t>’</w:t>
      </w:r>
      <w:r w:rsidRPr="00E07570">
        <w:t>a pas été homologué séparément en vertu de la partie</w:t>
      </w:r>
      <w:r w:rsidR="00961374" w:rsidRPr="00E07570">
        <w:t> </w:t>
      </w:r>
      <w:proofErr w:type="spellStart"/>
      <w:r w:rsidR="00A22689" w:rsidRPr="00E07570">
        <w:rPr>
          <w:b/>
        </w:rPr>
        <w:t>Ib</w:t>
      </w:r>
      <w:proofErr w:type="spellEnd"/>
      <w:r w:rsidRPr="00E07570">
        <w:t xml:space="preserve"> du présent Règlement.</w:t>
      </w:r>
    </w:p>
    <w:p w:rsidR="00964DB7" w:rsidRPr="00E07570" w:rsidRDefault="00964DB7" w:rsidP="00961374">
      <w:pPr>
        <w:pStyle w:val="SingleTxtG"/>
        <w:keepNext/>
        <w:ind w:left="2268" w:hanging="1134"/>
      </w:pPr>
      <w:r w:rsidRPr="00E07570">
        <w:t>1.2</w:t>
      </w:r>
      <w:r w:rsidRPr="00E07570">
        <w:tab/>
        <w:t>Il ne s</w:t>
      </w:r>
      <w:r w:rsidR="00145E4B">
        <w:t>’</w:t>
      </w:r>
      <w:r w:rsidRPr="00E07570">
        <w:t>applique pas :</w:t>
      </w:r>
    </w:p>
    <w:p w:rsidR="00964DB7" w:rsidRPr="00E07570" w:rsidRDefault="00964DB7" w:rsidP="002D1FA1">
      <w:pPr>
        <w:pStyle w:val="SingleTxtG"/>
        <w:ind w:left="2835" w:hanging="567"/>
      </w:pPr>
      <w:r w:rsidRPr="00E07570">
        <w:t>a)</w:t>
      </w:r>
      <w:r w:rsidRPr="00E07570">
        <w:tab/>
        <w:t>À la fonction de module de communication ni à la fonction d</w:t>
      </w:r>
      <w:r w:rsidR="00145E4B">
        <w:t>’</w:t>
      </w:r>
      <w:r w:rsidRPr="00E07570">
        <w:t>antenne de communication, sauf prescription contraire du présent Règlement ;</w:t>
      </w:r>
    </w:p>
    <w:p w:rsidR="00964DB7" w:rsidRPr="00E07570" w:rsidRDefault="00964DB7" w:rsidP="002D1FA1">
      <w:pPr>
        <w:pStyle w:val="SingleTxtG"/>
        <w:ind w:left="2835" w:hanging="567"/>
      </w:pPr>
      <w:r w:rsidRPr="00E07570">
        <w:t>b)</w:t>
      </w:r>
      <w:r w:rsidRPr="00E07570">
        <w:tab/>
        <w:t>Aux données complémentaires à ajouter à l</w:t>
      </w:r>
      <w:r w:rsidR="00145E4B">
        <w:t>’</w:t>
      </w:r>
      <w:r w:rsidRPr="00E07570">
        <w:t>ensemble minimum de données (MSD) à transmettre au centre de réception des appels d</w:t>
      </w:r>
      <w:r w:rsidR="00145E4B">
        <w:t>’</w:t>
      </w:r>
      <w:r w:rsidRPr="00E07570">
        <w:t>urgence (PSAP), au format des données, au mécanisme et à la logique de la transmission des données, au protocole d</w:t>
      </w:r>
      <w:r w:rsidR="00145E4B">
        <w:t>’</w:t>
      </w:r>
      <w:r w:rsidRPr="00E07570">
        <w:t>échange des données, aux modes de fonctionnement et aux modalités de passage entre ces modes, à l</w:t>
      </w:r>
      <w:r w:rsidR="00145E4B">
        <w:t>’</w:t>
      </w:r>
      <w:r w:rsidRPr="00E07570">
        <w:t>efficacité des essais d</w:t>
      </w:r>
      <w:r w:rsidR="00145E4B">
        <w:t>’</w:t>
      </w:r>
      <w:r w:rsidRPr="00E07570">
        <w:t>appel et de transfert de données, ni à la réponse aux commandes de protocole émanant d</w:t>
      </w:r>
      <w:r w:rsidR="00145E4B">
        <w:t>’</w:t>
      </w:r>
      <w:r w:rsidRPr="00E07570">
        <w:t>une logique d</w:t>
      </w:r>
      <w:r w:rsidR="00145E4B">
        <w:t>’</w:t>
      </w:r>
      <w:r w:rsidRPr="00E07570">
        <w:t>enregistrement de l</w:t>
      </w:r>
      <w:r w:rsidR="00145E4B">
        <w:t>’</w:t>
      </w:r>
      <w:r w:rsidRPr="00E07570">
        <w:t>infrastructure et du réseau ;</w:t>
      </w:r>
    </w:p>
    <w:p w:rsidR="00964DB7" w:rsidRPr="00E07570" w:rsidRDefault="00964DB7" w:rsidP="002D1FA1">
      <w:pPr>
        <w:pStyle w:val="SingleTxtG"/>
        <w:ind w:left="2835" w:hanging="567"/>
      </w:pPr>
      <w:r w:rsidRPr="00E07570">
        <w:t>c)</w:t>
      </w:r>
      <w:r w:rsidRPr="00E07570">
        <w:tab/>
        <w:t>À la vie privée, à la protection des données et au traitement des données personnelles ;</w:t>
      </w:r>
    </w:p>
    <w:p w:rsidR="00964DB7" w:rsidRPr="00E07570" w:rsidRDefault="00964DB7" w:rsidP="002D1FA1">
      <w:pPr>
        <w:pStyle w:val="SingleTxtG"/>
        <w:ind w:left="2835" w:hanging="567"/>
      </w:pPr>
      <w:r w:rsidRPr="00E07570">
        <w:t>d)</w:t>
      </w:r>
      <w:r w:rsidRPr="00E07570">
        <w:tab/>
        <w:t>Aux contrôles techniques périodiques.</w:t>
      </w:r>
    </w:p>
    <w:p w:rsidR="00964DB7" w:rsidRPr="00E07570" w:rsidRDefault="00964DB7" w:rsidP="00961374">
      <w:pPr>
        <w:pStyle w:val="SingleTxtG"/>
        <w:keepNext/>
        <w:ind w:left="2268" w:hanging="1134"/>
      </w:pPr>
      <w:r w:rsidRPr="00E07570">
        <w:t>1.3</w:t>
      </w:r>
      <w:r w:rsidRPr="00E07570">
        <w:tab/>
        <w:t>Sont exclus du champ d</w:t>
      </w:r>
      <w:r w:rsidR="00145E4B">
        <w:t>’</w:t>
      </w:r>
      <w:r w:rsidRPr="00E07570">
        <w:t>application du présent Règlement :</w:t>
      </w:r>
    </w:p>
    <w:p w:rsidR="00964DB7" w:rsidRPr="00E07570" w:rsidRDefault="00964DB7" w:rsidP="002D1FA1">
      <w:pPr>
        <w:pStyle w:val="SingleTxtG"/>
        <w:ind w:left="2835" w:hanging="567"/>
      </w:pPr>
      <w:r w:rsidRPr="00E07570">
        <w:t>a)</w:t>
      </w:r>
      <w:r w:rsidRPr="00E07570">
        <w:tab/>
        <w:t>Les véhicules qui ne sont visés ni par le Règlement n</w:t>
      </w:r>
      <w:r w:rsidRPr="00E07570">
        <w:rPr>
          <w:vertAlign w:val="superscript"/>
        </w:rPr>
        <w:t>o</w:t>
      </w:r>
      <w:r w:rsidRPr="00E07570">
        <w:t> 94 ni par le Règlement n</w:t>
      </w:r>
      <w:r w:rsidRPr="00E07570">
        <w:rPr>
          <w:vertAlign w:val="superscript"/>
        </w:rPr>
        <w:t>o</w:t>
      </w:r>
      <w:r w:rsidRPr="00E07570">
        <w:t xml:space="preserve"> 95 et sont dépourvus de système de déclenchement automatique </w:t>
      </w:r>
      <w:r w:rsidRPr="00E07570">
        <w:rPr>
          <w:b/>
        </w:rPr>
        <w:t>d</w:t>
      </w:r>
      <w:r w:rsidR="00145E4B">
        <w:rPr>
          <w:b/>
        </w:rPr>
        <w:t>’</w:t>
      </w:r>
      <w:r w:rsidRPr="00E07570">
        <w:rPr>
          <w:b/>
        </w:rPr>
        <w:t>un appel d</w:t>
      </w:r>
      <w:r w:rsidR="00145E4B">
        <w:rPr>
          <w:b/>
        </w:rPr>
        <w:t>’</w:t>
      </w:r>
      <w:r w:rsidRPr="00E07570">
        <w:rPr>
          <w:b/>
        </w:rPr>
        <w:t>urgence</w:t>
      </w:r>
      <w:r w:rsidRPr="00E07570">
        <w:t> ;</w:t>
      </w:r>
    </w:p>
    <w:p w:rsidR="00964DB7" w:rsidRPr="00E07570" w:rsidRDefault="00964DB7" w:rsidP="002D1FA1">
      <w:pPr>
        <w:pStyle w:val="SingleTxtG"/>
        <w:ind w:left="2835" w:hanging="567"/>
      </w:pPr>
      <w:r w:rsidRPr="00E07570">
        <w:t>b)</w:t>
      </w:r>
      <w:r w:rsidRPr="00E07570">
        <w:tab/>
        <w:t>Les véhicules de la catégorie M</w:t>
      </w:r>
      <w:r w:rsidRPr="00E07570">
        <w:rPr>
          <w:vertAlign w:val="subscript"/>
        </w:rPr>
        <w:t>1</w:t>
      </w:r>
      <w:r w:rsidRPr="00E07570">
        <w:t xml:space="preserve"> qui sont visés par le Règlement n</w:t>
      </w:r>
      <w:r w:rsidRPr="00E07570">
        <w:rPr>
          <w:vertAlign w:val="superscript"/>
        </w:rPr>
        <w:t>o</w:t>
      </w:r>
      <w:r w:rsidRPr="00E07570">
        <w:t> 94 et sont dépourvus de coussin gonflable frontal ;</w:t>
      </w:r>
    </w:p>
    <w:p w:rsidR="00964DB7" w:rsidRPr="00E07570" w:rsidRDefault="00964DB7" w:rsidP="002D1FA1">
      <w:pPr>
        <w:pStyle w:val="SingleTxtG"/>
        <w:ind w:left="2835" w:hanging="567"/>
      </w:pPr>
      <w:r w:rsidRPr="00E07570">
        <w:t>c)</w:t>
      </w:r>
      <w:r w:rsidRPr="00E07570">
        <w:tab/>
        <w:t>Les véhicules de la catégorie N</w:t>
      </w:r>
      <w:r w:rsidRPr="00E07570">
        <w:rPr>
          <w:vertAlign w:val="subscript"/>
        </w:rPr>
        <w:t>1</w:t>
      </w:r>
      <w:r w:rsidRPr="00E07570">
        <w:t xml:space="preserve"> visés par le Règlement n</w:t>
      </w:r>
      <w:r w:rsidRPr="00E07570">
        <w:rPr>
          <w:vertAlign w:val="superscript"/>
        </w:rPr>
        <w:t>o</w:t>
      </w:r>
      <w:r w:rsidRPr="00E07570">
        <w:t> 95 et dépourvus de coussin gonflable latéral ;</w:t>
      </w:r>
    </w:p>
    <w:p w:rsidR="00964DB7" w:rsidRPr="00E07570" w:rsidRDefault="00964DB7" w:rsidP="002D1FA1">
      <w:pPr>
        <w:pStyle w:val="SingleTxtG"/>
        <w:ind w:left="2835" w:hanging="567"/>
      </w:pPr>
      <w:r w:rsidRPr="00E07570">
        <w:t>d)</w:t>
      </w:r>
      <w:r w:rsidRPr="00E07570">
        <w:tab/>
        <w:t>Les véhicules de la catégorie M</w:t>
      </w:r>
      <w:r w:rsidRPr="00E07570">
        <w:rPr>
          <w:vertAlign w:val="subscript"/>
        </w:rPr>
        <w:t>1</w:t>
      </w:r>
      <w:r w:rsidRPr="00E07570">
        <w:t xml:space="preserve"> dont la masse </w:t>
      </w:r>
      <w:r w:rsidR="00305F8B" w:rsidRPr="00E07570">
        <w:t>admissible</w:t>
      </w:r>
      <w:r w:rsidRPr="00E07570">
        <w:t xml:space="preserve"> totale dépasse 3,5 t ; et</w:t>
      </w:r>
    </w:p>
    <w:p w:rsidR="00964DB7" w:rsidRPr="00E07570" w:rsidRDefault="00964DB7" w:rsidP="002D1FA1">
      <w:pPr>
        <w:pStyle w:val="SingleTxtG"/>
        <w:ind w:left="2835" w:hanging="567"/>
      </w:pPr>
      <w:r w:rsidRPr="00E07570">
        <w:t>e)</w:t>
      </w:r>
      <w:r w:rsidRPr="00E07570">
        <w:tab/>
        <w:t>Les véhicules blindés</w:t>
      </w:r>
      <w:r w:rsidRPr="00E07570">
        <w:rPr>
          <w:sz w:val="18"/>
          <w:szCs w:val="18"/>
          <w:vertAlign w:val="superscript"/>
        </w:rPr>
        <w:t>1</w:t>
      </w:r>
      <w:r w:rsidRPr="00E07570">
        <w:t>.</w:t>
      </w:r>
    </w:p>
    <w:p w:rsidR="00964DB7" w:rsidRPr="00E07570" w:rsidRDefault="00964DB7" w:rsidP="00E85307">
      <w:pPr>
        <w:pStyle w:val="SingleTxtG"/>
        <w:ind w:left="2268" w:hanging="1134"/>
      </w:pPr>
      <w:r w:rsidRPr="00E07570">
        <w:t>1.4</w:t>
      </w:r>
      <w:r w:rsidRPr="00E07570">
        <w:tab/>
        <w:t>La position indiquée par le système mondial de navigation par satellite (GNSS) peut être homologuée si le demandeur en fait la demande.</w:t>
      </w:r>
    </w:p>
    <w:p w:rsidR="00964DB7" w:rsidRPr="00E07570" w:rsidRDefault="00964DB7" w:rsidP="00961374">
      <w:pPr>
        <w:pStyle w:val="SingleTxtG"/>
        <w:ind w:left="2268"/>
      </w:pPr>
      <w:r w:rsidRPr="00E07570">
        <w:t>Cependant, si le demandeur choisit de demander l</w:t>
      </w:r>
      <w:r w:rsidR="00145E4B">
        <w:t>’</w:t>
      </w:r>
      <w:r w:rsidRPr="00E07570">
        <w:t>homologation d</w:t>
      </w:r>
      <w:r w:rsidR="00145E4B">
        <w:t>’</w:t>
      </w:r>
      <w:r w:rsidRPr="00E07570">
        <w:t xml:space="preserve">un AECD/AECS </w:t>
      </w:r>
      <w:r w:rsidRPr="00E07570">
        <w:rPr>
          <w:b/>
        </w:rPr>
        <w:t>ou d</w:t>
      </w:r>
      <w:r w:rsidR="00145E4B">
        <w:rPr>
          <w:b/>
        </w:rPr>
        <w:t>’</w:t>
      </w:r>
      <w:r w:rsidRPr="00E07570">
        <w:rPr>
          <w:b/>
        </w:rPr>
        <w:t>un AECC</w:t>
      </w:r>
      <w:r w:rsidRPr="00E07570">
        <w:t xml:space="preserve"> dépourvu de positionnement GNSS, tel que défini dans le présent Règlement, ce sont les prescriptions nationales de la Partie contractante qui s</w:t>
      </w:r>
      <w:r w:rsidR="00145E4B">
        <w:t>’</w:t>
      </w:r>
      <w:r w:rsidRPr="00E07570">
        <w:t>appliquent.</w:t>
      </w:r>
    </w:p>
    <w:p w:rsidR="00964DB7" w:rsidRPr="00E07570" w:rsidRDefault="00964DB7" w:rsidP="0087042C">
      <w:pPr>
        <w:pStyle w:val="SingleTxtG"/>
        <w:ind w:left="2268" w:hanging="1134"/>
      </w:pPr>
      <w:r w:rsidRPr="00E07570">
        <w:t>1.5</w:t>
      </w:r>
      <w:r w:rsidRPr="00E07570">
        <w:tab/>
        <w:t xml:space="preserve">La qualité audio du dispositif mains </w:t>
      </w:r>
      <w:r w:rsidR="00305F8B" w:rsidRPr="00E07570">
        <w:t>libres</w:t>
      </w:r>
      <w:r w:rsidRPr="00E07570">
        <w:t xml:space="preserve"> avant accident peut être homologuée si le demandeur en fait la demande.</w:t>
      </w:r>
    </w:p>
    <w:p w:rsidR="00964DB7" w:rsidRPr="00E07570" w:rsidRDefault="00964DB7" w:rsidP="0087042C">
      <w:pPr>
        <w:pStyle w:val="SingleTxtG"/>
        <w:ind w:left="2268"/>
      </w:pPr>
      <w:r w:rsidRPr="00E07570">
        <w:t>Cependant, si le demandeur choisit de demander l</w:t>
      </w:r>
      <w:r w:rsidR="00145E4B">
        <w:t>’</w:t>
      </w:r>
      <w:r w:rsidRPr="00E07570">
        <w:t>homologation de l</w:t>
      </w:r>
      <w:r w:rsidR="00145E4B">
        <w:t>’</w:t>
      </w:r>
      <w:r w:rsidRPr="00E07570">
        <w:t xml:space="preserve">AECS sans évaluation de la qualité audio du dispositif mains </w:t>
      </w:r>
      <w:r w:rsidR="00305F8B" w:rsidRPr="00E07570">
        <w:t>libres</w:t>
      </w:r>
      <w:r w:rsidRPr="00E07570">
        <w:t xml:space="preserve"> tel qu</w:t>
      </w:r>
      <w:r w:rsidR="00145E4B">
        <w:t>’</w:t>
      </w:r>
      <w:r w:rsidRPr="00E07570">
        <w:t>il est décrit dans le présent Règlement, ce sont les prescriptions nationales de la Partie contractante qui s</w:t>
      </w:r>
      <w:r w:rsidR="00145E4B">
        <w:t>’</w:t>
      </w:r>
      <w:r w:rsidRPr="00E07570">
        <w:t>appliquent.</w:t>
      </w:r>
    </w:p>
    <w:p w:rsidR="00964DB7" w:rsidRPr="00E07570" w:rsidRDefault="00964DB7" w:rsidP="00163728">
      <w:pPr>
        <w:pStyle w:val="HChG"/>
        <w:ind w:left="2268"/>
      </w:pPr>
      <w:r w:rsidRPr="00E07570">
        <w:t>2.</w:t>
      </w:r>
      <w:r w:rsidRPr="00E07570">
        <w:tab/>
        <w:t>Définitions − Généralités</w:t>
      </w:r>
    </w:p>
    <w:p w:rsidR="00964DB7" w:rsidRPr="00E07570" w:rsidRDefault="00964DB7" w:rsidP="0087042C">
      <w:pPr>
        <w:pStyle w:val="SingleTxtG"/>
        <w:ind w:left="2268"/>
      </w:pPr>
      <w:r w:rsidRPr="00E07570">
        <w:t>Aux fins du pré</w:t>
      </w:r>
      <w:r w:rsidR="00163728" w:rsidRPr="00E07570">
        <w:t>sent Règlement, on entend par :</w:t>
      </w:r>
    </w:p>
    <w:p w:rsidR="00964DB7" w:rsidRPr="00E07570" w:rsidRDefault="00964DB7" w:rsidP="00E85307">
      <w:pPr>
        <w:pStyle w:val="SingleTxtG"/>
        <w:ind w:left="2268" w:hanging="1134"/>
      </w:pPr>
      <w:r w:rsidRPr="00E07570">
        <w:t>2.1</w:t>
      </w:r>
      <w:r w:rsidRPr="00E07570">
        <w:tab/>
        <w:t>« </w:t>
      </w:r>
      <w:r w:rsidRPr="00E07570">
        <w:rPr>
          <w:i/>
          <w:iCs/>
        </w:rPr>
        <w:t>Module de communication</w:t>
      </w:r>
      <w:r w:rsidRPr="00E07570">
        <w:t> », un élément de l</w:t>
      </w:r>
      <w:r w:rsidR="00145E4B">
        <w:t>’</w:t>
      </w:r>
      <w:r w:rsidRPr="00E07570">
        <w:t>AECD conçu pour la communication vocale et la transmission de données concernant un accident au moyen du réseau mobile terrestre public (PLMN).</w:t>
      </w:r>
    </w:p>
    <w:p w:rsidR="00964DB7" w:rsidRPr="00E07570" w:rsidRDefault="00964DB7" w:rsidP="00E85307">
      <w:pPr>
        <w:pStyle w:val="SingleTxtG"/>
        <w:ind w:left="2268" w:hanging="1134"/>
      </w:pPr>
      <w:r w:rsidRPr="00E07570">
        <w:t>2.2</w:t>
      </w:r>
      <w:r w:rsidRPr="00E07570">
        <w:tab/>
        <w:t>« </w:t>
      </w:r>
      <w:r w:rsidRPr="00E07570">
        <w:rPr>
          <w:i/>
          <w:iCs/>
        </w:rPr>
        <w:t>Interface homme-machine (IHM)</w:t>
      </w:r>
      <w:r w:rsidRPr="00E07570">
        <w:t> », un élément ou une fonction d</w:t>
      </w:r>
      <w:r w:rsidR="00145E4B">
        <w:t>’</w:t>
      </w:r>
      <w:r w:rsidRPr="00E07570">
        <w:t>un AECD destinés à permettre à l</w:t>
      </w:r>
      <w:r w:rsidR="00145E4B">
        <w:t>’</w:t>
      </w:r>
      <w:r w:rsidRPr="00E07570">
        <w:t>usager d</w:t>
      </w:r>
      <w:r w:rsidR="00145E4B">
        <w:t>’</w:t>
      </w:r>
      <w:r w:rsidRPr="00E07570">
        <w:t>interagir avec le dispositif, notamment en recevant des informations visuelles et en introduisant des commandes.</w:t>
      </w:r>
    </w:p>
    <w:p w:rsidR="00964DB7" w:rsidRPr="00E07570" w:rsidRDefault="00964DB7" w:rsidP="00E85307">
      <w:pPr>
        <w:pStyle w:val="SingleTxtG"/>
        <w:ind w:left="2268" w:hanging="1134"/>
      </w:pPr>
      <w:r w:rsidRPr="00E07570">
        <w:t>2.3</w:t>
      </w:r>
      <w:r w:rsidRPr="00E07570">
        <w:tab/>
        <w:t>« </w:t>
      </w:r>
      <w:r w:rsidRPr="00E07570">
        <w:rPr>
          <w:i/>
          <w:iCs/>
        </w:rPr>
        <w:t>Protocole d</w:t>
      </w:r>
      <w:r w:rsidR="00145E4B">
        <w:rPr>
          <w:i/>
          <w:iCs/>
        </w:rPr>
        <w:t>’</w:t>
      </w:r>
      <w:r w:rsidRPr="00E07570">
        <w:rPr>
          <w:i/>
          <w:iCs/>
        </w:rPr>
        <w:t>échange de données</w:t>
      </w:r>
      <w:r w:rsidRPr="00E07570">
        <w:t> », un ensemble de règles et d</w:t>
      </w:r>
      <w:r w:rsidR="00145E4B">
        <w:t>’</w:t>
      </w:r>
      <w:r w:rsidRPr="00E07570">
        <w:t xml:space="preserve">accords qui définissent le contenu, le format, les paramètres temps, la séquence et la vérification des erreurs des messages échangés entre un </w:t>
      </w:r>
      <w:r w:rsidRPr="00E07570">
        <w:rPr>
          <w:b/>
        </w:rPr>
        <w:t>AECC ou un</w:t>
      </w:r>
      <w:r w:rsidRPr="00E07570">
        <w:t xml:space="preserve"> AECD </w:t>
      </w:r>
      <w:r w:rsidRPr="00E07570">
        <w:rPr>
          <w:b/>
        </w:rPr>
        <w:t>d</w:t>
      </w:r>
      <w:r w:rsidR="00145E4B">
        <w:rPr>
          <w:b/>
        </w:rPr>
        <w:t>’</w:t>
      </w:r>
      <w:r w:rsidRPr="00E07570">
        <w:rPr>
          <w:b/>
        </w:rPr>
        <w:t>une part</w:t>
      </w:r>
      <w:r w:rsidRPr="00E07570">
        <w:t xml:space="preserve"> et un centre de réception des appels d</w:t>
      </w:r>
      <w:r w:rsidR="00145E4B">
        <w:t>’</w:t>
      </w:r>
      <w:r w:rsidRPr="00E07570">
        <w:t xml:space="preserve">urgence (PSAP) </w:t>
      </w:r>
      <w:r w:rsidRPr="00E07570">
        <w:rPr>
          <w:b/>
        </w:rPr>
        <w:t>d</w:t>
      </w:r>
      <w:r w:rsidR="00145E4B">
        <w:rPr>
          <w:b/>
        </w:rPr>
        <w:t>’</w:t>
      </w:r>
      <w:r w:rsidRPr="00E07570">
        <w:rPr>
          <w:b/>
        </w:rPr>
        <w:t>autre part</w:t>
      </w:r>
      <w:r w:rsidRPr="00E07570">
        <w:t>.</w:t>
      </w:r>
    </w:p>
    <w:p w:rsidR="00964DB7" w:rsidRPr="00E07570" w:rsidRDefault="00964DB7" w:rsidP="00E85307">
      <w:pPr>
        <w:pStyle w:val="SingleTxtG"/>
        <w:ind w:left="2268" w:hanging="1134"/>
      </w:pPr>
      <w:r w:rsidRPr="00E07570">
        <w:t>2.4</w:t>
      </w:r>
      <w:r w:rsidRPr="00E07570">
        <w:tab/>
        <w:t>« </w:t>
      </w:r>
      <w:r w:rsidRPr="00E07570">
        <w:rPr>
          <w:i/>
          <w:iCs/>
        </w:rPr>
        <w:t>Centre de réception des appels d</w:t>
      </w:r>
      <w:r w:rsidR="00145E4B">
        <w:rPr>
          <w:i/>
          <w:iCs/>
        </w:rPr>
        <w:t>’</w:t>
      </w:r>
      <w:r w:rsidRPr="00E07570">
        <w:rPr>
          <w:i/>
          <w:iCs/>
        </w:rPr>
        <w:t>urgence (PSAP)</w:t>
      </w:r>
      <w:r w:rsidRPr="00E07570">
        <w:t> », le lieu qui reçoit en premier les appels d</w:t>
      </w:r>
      <w:r w:rsidR="00145E4B">
        <w:t>’</w:t>
      </w:r>
      <w:r w:rsidRPr="00E07570">
        <w:t>urgence et qui est placé sous la responsabilité d</w:t>
      </w:r>
      <w:r w:rsidR="00145E4B">
        <w:t>’</w:t>
      </w:r>
      <w:r w:rsidRPr="00E07570">
        <w:t>un organisme public ou d</w:t>
      </w:r>
      <w:r w:rsidR="00145E4B">
        <w:t>’</w:t>
      </w:r>
      <w:r w:rsidRPr="00E07570">
        <w:t xml:space="preserve">un organisme privé, agréé par le gouvernement national ou les autorités responsables. </w:t>
      </w:r>
    </w:p>
    <w:p w:rsidR="00964DB7" w:rsidRPr="00E07570" w:rsidRDefault="00964DB7" w:rsidP="00E85307">
      <w:pPr>
        <w:pStyle w:val="SingleTxtG"/>
        <w:ind w:left="2268" w:hanging="1134"/>
      </w:pPr>
      <w:r w:rsidRPr="00E07570">
        <w:t>2.5</w:t>
      </w:r>
      <w:r w:rsidRPr="00E07570">
        <w:tab/>
        <w:t>« </w:t>
      </w:r>
      <w:r w:rsidRPr="00E07570">
        <w:rPr>
          <w:i/>
          <w:iCs/>
        </w:rPr>
        <w:t>Coussin gonflable</w:t>
      </w:r>
      <w:r w:rsidRPr="00E07570">
        <w:t> », un dispositif qui, en cas de choc grave subi par le véhicule, déploie automatiquement une structure souple destinée à atténuer la gravité de l</w:t>
      </w:r>
      <w:r w:rsidR="00145E4B">
        <w:t>’</w:t>
      </w:r>
      <w:r w:rsidRPr="00E07570">
        <w:t>impact d</w:t>
      </w:r>
      <w:r w:rsidR="00145E4B">
        <w:t>’</w:t>
      </w:r>
      <w:r w:rsidRPr="00E07570">
        <w:t>une ou plusieurs parties du corps d</w:t>
      </w:r>
      <w:r w:rsidR="00145E4B">
        <w:t>’</w:t>
      </w:r>
      <w:r w:rsidRPr="00E07570">
        <w:t>un occupant du véhicule contre l</w:t>
      </w:r>
      <w:r w:rsidR="00145E4B">
        <w:t>’</w:t>
      </w:r>
      <w:r w:rsidRPr="00E07570">
        <w:t>intérieur de l</w:t>
      </w:r>
      <w:r w:rsidR="00145E4B">
        <w:t>’</w:t>
      </w:r>
      <w:r w:rsidRPr="00E07570">
        <w:t>habitacle.</w:t>
      </w:r>
    </w:p>
    <w:p w:rsidR="00964DB7" w:rsidRPr="00E07570" w:rsidRDefault="00964DB7" w:rsidP="00E85307">
      <w:pPr>
        <w:pStyle w:val="SingleTxtG"/>
        <w:ind w:left="2268" w:hanging="1134"/>
      </w:pPr>
      <w:r w:rsidRPr="00E07570">
        <w:t>2.6</w:t>
      </w:r>
      <w:r w:rsidRPr="00E07570">
        <w:tab/>
        <w:t>« </w:t>
      </w:r>
      <w:r w:rsidRPr="00E07570">
        <w:rPr>
          <w:i/>
          <w:iCs/>
        </w:rPr>
        <w:t>Alimentation en électricité</w:t>
      </w:r>
      <w:r w:rsidRPr="00E07570">
        <w:t xml:space="preserve"> », </w:t>
      </w:r>
      <w:r w:rsidRPr="00E07570">
        <w:rPr>
          <w:b/>
        </w:rPr>
        <w:t>le ou les éléments</w:t>
      </w:r>
      <w:r w:rsidRPr="00E07570">
        <w:t xml:space="preserve"> qui alimente</w:t>
      </w:r>
      <w:r w:rsidRPr="00E07570">
        <w:rPr>
          <w:b/>
        </w:rPr>
        <w:t>nt l</w:t>
      </w:r>
      <w:r w:rsidR="00145E4B">
        <w:rPr>
          <w:b/>
        </w:rPr>
        <w:t>’</w:t>
      </w:r>
      <w:r w:rsidRPr="00E07570">
        <w:rPr>
          <w:b/>
        </w:rPr>
        <w:t>AECC</w:t>
      </w:r>
      <w:r w:rsidRPr="00E07570">
        <w:t>, l</w:t>
      </w:r>
      <w:r w:rsidR="00145E4B">
        <w:t>’</w:t>
      </w:r>
      <w:r w:rsidRPr="00E07570">
        <w:t xml:space="preserve">AECD </w:t>
      </w:r>
      <w:r w:rsidRPr="00E07570">
        <w:rPr>
          <w:b/>
        </w:rPr>
        <w:t>ou l</w:t>
      </w:r>
      <w:r w:rsidR="00145E4B">
        <w:rPr>
          <w:b/>
        </w:rPr>
        <w:t>’</w:t>
      </w:r>
      <w:r w:rsidRPr="00E07570">
        <w:rPr>
          <w:b/>
        </w:rPr>
        <w:t>AECS</w:t>
      </w:r>
      <w:r w:rsidRPr="00E07570">
        <w:t xml:space="preserve"> en électricité.</w:t>
      </w:r>
    </w:p>
    <w:p w:rsidR="00964DB7" w:rsidRPr="00E07570" w:rsidRDefault="00964DB7" w:rsidP="00E85307">
      <w:pPr>
        <w:pStyle w:val="SingleTxtG"/>
        <w:ind w:left="2268" w:hanging="1134"/>
      </w:pPr>
      <w:r w:rsidRPr="00E07570">
        <w:t>2.7</w:t>
      </w:r>
      <w:r w:rsidRPr="00E07570">
        <w:tab/>
        <w:t>« </w:t>
      </w:r>
      <w:r w:rsidRPr="00E07570">
        <w:rPr>
          <w:i/>
          <w:iCs/>
        </w:rPr>
        <w:t>Alimentation électrique de secours</w:t>
      </w:r>
      <w:r w:rsidRPr="00E07570">
        <w:t xml:space="preserve"> », le ou les éléments qui alimentent en électricité </w:t>
      </w:r>
      <w:r w:rsidRPr="00E07570">
        <w:rPr>
          <w:b/>
        </w:rPr>
        <w:t>l</w:t>
      </w:r>
      <w:r w:rsidR="00145E4B">
        <w:rPr>
          <w:b/>
        </w:rPr>
        <w:t>’</w:t>
      </w:r>
      <w:r w:rsidRPr="00E07570">
        <w:rPr>
          <w:b/>
        </w:rPr>
        <w:t>AECC ou</w:t>
      </w:r>
      <w:r w:rsidRPr="00E07570">
        <w:t xml:space="preserve"> l</w:t>
      </w:r>
      <w:r w:rsidR="00145E4B">
        <w:t>’</w:t>
      </w:r>
      <w:r w:rsidRPr="00E07570">
        <w:t>AECD lorsque l</w:t>
      </w:r>
      <w:r w:rsidR="00145E4B">
        <w:t>’</w:t>
      </w:r>
      <w:r w:rsidRPr="00E07570">
        <w:t>alimentation principale est défaillante.</w:t>
      </w:r>
    </w:p>
    <w:p w:rsidR="00964DB7" w:rsidRPr="00E07570" w:rsidRDefault="00964DB7" w:rsidP="00E85307">
      <w:pPr>
        <w:pStyle w:val="SingleTxtG"/>
        <w:ind w:left="2268" w:hanging="1134"/>
      </w:pPr>
      <w:r w:rsidRPr="00E07570">
        <w:t>2.8</w:t>
      </w:r>
      <w:r w:rsidRPr="00E07570">
        <w:tab/>
        <w:t>« </w:t>
      </w:r>
      <w:r w:rsidRPr="00E07570">
        <w:rPr>
          <w:i/>
          <w:iCs/>
        </w:rPr>
        <w:t>Système mondial de navigation par satellite (GNSS)</w:t>
      </w:r>
      <w:r w:rsidRPr="00E07570">
        <w:t> », un système, fonctionnant par satellite, qui sert à déterminer la position, la vitesse de déplacement et le temps du récepteur d</w:t>
      </w:r>
      <w:r w:rsidR="00145E4B">
        <w:t>’</w:t>
      </w:r>
      <w:r w:rsidRPr="00E07570">
        <w:t>un usager en n</w:t>
      </w:r>
      <w:r w:rsidR="00145E4B">
        <w:t>’</w:t>
      </w:r>
      <w:r w:rsidRPr="00E07570">
        <w:t>importe quel point de la surface du globe.</w:t>
      </w:r>
    </w:p>
    <w:p w:rsidR="00964DB7" w:rsidRPr="00E07570" w:rsidRDefault="00964DB7" w:rsidP="00E85307">
      <w:pPr>
        <w:pStyle w:val="SingleTxtG"/>
        <w:ind w:left="2268" w:hanging="1134"/>
      </w:pPr>
      <w:r w:rsidRPr="00E07570">
        <w:t>2.9</w:t>
      </w:r>
      <w:r w:rsidRPr="00E07570">
        <w:tab/>
        <w:t>« </w:t>
      </w:r>
      <w:r w:rsidRPr="00E07570">
        <w:rPr>
          <w:i/>
          <w:iCs/>
        </w:rPr>
        <w:t>Récepteur de système mondial de navigation par satellite (récepteur GNSS)</w:t>
      </w:r>
      <w:r w:rsidRPr="00E07570">
        <w:t> », l</w:t>
      </w:r>
      <w:r w:rsidR="00145E4B">
        <w:t>’</w:t>
      </w:r>
      <w:r w:rsidRPr="00E07570">
        <w:t>élément d</w:t>
      </w:r>
      <w:r w:rsidR="00145E4B">
        <w:t>’</w:t>
      </w:r>
      <w:r w:rsidRPr="00E07570">
        <w:t>un AECD servant à déterminer la position du véhicule et le temps, au moyen de signaux émis par les systèmes mondiaux de navigation par satellite ; il peut faire partie d</w:t>
      </w:r>
      <w:r w:rsidR="00145E4B">
        <w:t>’</w:t>
      </w:r>
      <w:r w:rsidRPr="00E07570">
        <w:t>un AECD, ou d</w:t>
      </w:r>
      <w:r w:rsidR="00145E4B">
        <w:t>’</w:t>
      </w:r>
      <w:r w:rsidRPr="00E07570">
        <w:t>un autre module de commande extérieur, aussi longtemps que l</w:t>
      </w:r>
      <w:r w:rsidR="00145E4B">
        <w:t>’</w:t>
      </w:r>
      <w:r w:rsidRPr="00E07570">
        <w:t>AECD est capable d</w:t>
      </w:r>
      <w:r w:rsidR="00145E4B">
        <w:t>’</w:t>
      </w:r>
      <w:r w:rsidRPr="00E07570">
        <w:t>indiquer la position du véhicule en cas d</w:t>
      </w:r>
      <w:r w:rsidR="00145E4B">
        <w:t>’</w:t>
      </w:r>
      <w:r w:rsidRPr="00E07570">
        <w:t>accident.</w:t>
      </w:r>
    </w:p>
    <w:p w:rsidR="00964DB7" w:rsidRPr="00E07570" w:rsidRDefault="00964DB7" w:rsidP="00E85307">
      <w:pPr>
        <w:pStyle w:val="SingleTxtG"/>
        <w:ind w:left="2268" w:hanging="1134"/>
      </w:pPr>
      <w:r w:rsidRPr="00E07570">
        <w:t>2.10</w:t>
      </w:r>
      <w:r w:rsidRPr="00E07570">
        <w:tab/>
        <w:t>« </w:t>
      </w:r>
      <w:r w:rsidRPr="00E07570">
        <w:rPr>
          <w:i/>
          <w:iCs/>
        </w:rPr>
        <w:t>Système de renforcement satellitaire (SBAS)</w:t>
      </w:r>
      <w:r w:rsidRPr="00E07570">
        <w:t> », un système permettant de corriger les erreurs locales des GNSS dues à des interférences, grâce à un réseau de stations terrestres (par exemple, EGNOS, WAAS ou QZSS).</w:t>
      </w:r>
    </w:p>
    <w:p w:rsidR="00964DB7" w:rsidRPr="00E07570" w:rsidRDefault="00964DB7" w:rsidP="00E85307">
      <w:pPr>
        <w:pStyle w:val="SingleTxtG"/>
        <w:ind w:left="2268" w:hanging="1134"/>
      </w:pPr>
      <w:r w:rsidRPr="00E07570">
        <w:t>2.11</w:t>
      </w:r>
      <w:r w:rsidRPr="00E07570">
        <w:tab/>
        <w:t>« </w:t>
      </w:r>
      <w:r w:rsidRPr="00E07570">
        <w:rPr>
          <w:i/>
          <w:iCs/>
        </w:rPr>
        <w:t>GLONASS</w:t>
      </w:r>
      <w:r w:rsidRPr="00E07570">
        <w:t> », le système mondial de navigation par satellite appartenant à la Fédération de Russie.</w:t>
      </w:r>
    </w:p>
    <w:p w:rsidR="00964DB7" w:rsidRPr="00E07570" w:rsidRDefault="00964DB7" w:rsidP="00E85307">
      <w:pPr>
        <w:pStyle w:val="SingleTxtG"/>
        <w:ind w:left="2268" w:hanging="1134"/>
      </w:pPr>
      <w:r w:rsidRPr="00E07570">
        <w:t>2.12</w:t>
      </w:r>
      <w:r w:rsidRPr="00E07570">
        <w:tab/>
        <w:t>« </w:t>
      </w:r>
      <w:r w:rsidR="002B669D" w:rsidRPr="00E07570">
        <w:rPr>
          <w:i/>
          <w:iCs/>
        </w:rPr>
        <w:t>Galileo</w:t>
      </w:r>
      <w:r w:rsidRPr="00E07570">
        <w:t> », le système mondial de navigation par satellite appartenant à l</w:t>
      </w:r>
      <w:r w:rsidR="00145E4B">
        <w:t>’</w:t>
      </w:r>
      <w:r w:rsidRPr="00E07570">
        <w:t>Union européenne.</w:t>
      </w:r>
    </w:p>
    <w:p w:rsidR="00964DB7" w:rsidRPr="00E07570" w:rsidRDefault="00964DB7" w:rsidP="00E85307">
      <w:pPr>
        <w:pStyle w:val="SingleTxtG"/>
        <w:ind w:left="2268" w:hanging="1134"/>
      </w:pPr>
      <w:r w:rsidRPr="00E07570">
        <w:t>2.13</w:t>
      </w:r>
      <w:r w:rsidRPr="00E07570">
        <w:tab/>
        <w:t>« </w:t>
      </w:r>
      <w:r w:rsidRPr="00E07570">
        <w:rPr>
          <w:i/>
          <w:iCs/>
        </w:rPr>
        <w:t>GPS</w:t>
      </w:r>
      <w:r w:rsidRPr="00E07570">
        <w:t> », le système mondial de navigation par satellite appartenant aux États-Unis d</w:t>
      </w:r>
      <w:r w:rsidR="00145E4B">
        <w:t>’</w:t>
      </w:r>
      <w:r w:rsidRPr="00E07570">
        <w:t>Amérique.</w:t>
      </w:r>
    </w:p>
    <w:p w:rsidR="00964DB7" w:rsidRPr="00E07570" w:rsidRDefault="00964DB7" w:rsidP="00E85307">
      <w:pPr>
        <w:pStyle w:val="SingleTxtG"/>
        <w:ind w:left="2268" w:hanging="1134"/>
      </w:pPr>
      <w:r w:rsidRPr="00E07570">
        <w:t>2.14</w:t>
      </w:r>
      <w:r w:rsidRPr="00E07570">
        <w:tab/>
        <w:t>« </w:t>
      </w:r>
      <w:r w:rsidRPr="00E07570">
        <w:rPr>
          <w:i/>
          <w:iCs/>
        </w:rPr>
        <w:t>Protocole NMEA-0183</w:t>
      </w:r>
      <w:r w:rsidRPr="00E07570">
        <w:t> », une norme mixte concernant à la fois l</w:t>
      </w:r>
      <w:r w:rsidR="00145E4B">
        <w:t>’</w:t>
      </w:r>
      <w:r w:rsidRPr="00E07570">
        <w:t>électricité et les données, mise au point par la National Marine Electronics Association (NMEA) sur la base des codes ASCII et d</w:t>
      </w:r>
      <w:r w:rsidR="00145E4B">
        <w:t>’</w:t>
      </w:r>
      <w:r w:rsidRPr="00E07570">
        <w:t>un protocole de communication série, qui a été adoptée spontanément dans de nombreux secteurs, notamment les récepteurs de GNSS, en raison de sa simplicité.</w:t>
      </w:r>
    </w:p>
    <w:p w:rsidR="00964DB7" w:rsidRPr="00E07570" w:rsidRDefault="00964DB7" w:rsidP="00E85307">
      <w:pPr>
        <w:pStyle w:val="SingleTxtG"/>
        <w:ind w:left="2268" w:hanging="1134"/>
      </w:pPr>
      <w:r w:rsidRPr="00E07570">
        <w:t>2.15</w:t>
      </w:r>
      <w:r w:rsidRPr="00E07570">
        <w:tab/>
        <w:t>« </w:t>
      </w:r>
      <w:r w:rsidRPr="00E07570">
        <w:rPr>
          <w:i/>
          <w:iCs/>
        </w:rPr>
        <w:t>Affa</w:t>
      </w:r>
      <w:r w:rsidR="00305F8B" w:rsidRPr="00E07570">
        <w:rPr>
          <w:i/>
          <w:iCs/>
        </w:rPr>
        <w:t>ib</w:t>
      </w:r>
      <w:r w:rsidRPr="00E07570">
        <w:rPr>
          <w:i/>
          <w:iCs/>
        </w:rPr>
        <w:t>lissement de la précision de la position (PDOP)</w:t>
      </w:r>
      <w:r w:rsidRPr="00E07570">
        <w:t> », une mesure continue de la façon dont la géométrie de la position des satellites fausse la détermination finale de la position du récepteur GNSS par la combinaison de facteurs d</w:t>
      </w:r>
      <w:r w:rsidR="00145E4B">
        <w:t>’</w:t>
      </w:r>
      <w:r w:rsidRPr="00E07570">
        <w:t>erreur à la fois dans le sens horizontal et dans le sens vertical.</w:t>
      </w:r>
    </w:p>
    <w:p w:rsidR="00964DB7" w:rsidRPr="00E07570" w:rsidRDefault="00964DB7" w:rsidP="00E85307">
      <w:pPr>
        <w:pStyle w:val="SingleTxtG"/>
        <w:ind w:left="2268" w:hanging="1134"/>
      </w:pPr>
      <w:r w:rsidRPr="00E07570">
        <w:t>2.16</w:t>
      </w:r>
      <w:r w:rsidRPr="00E07570">
        <w:tab/>
        <w:t>« </w:t>
      </w:r>
      <w:r w:rsidRPr="00E07570">
        <w:rPr>
          <w:i/>
          <w:iCs/>
        </w:rPr>
        <w:t>Système de coordonnées WGS-84</w:t>
      </w:r>
      <w:r w:rsidRPr="00E07570">
        <w:t> », le référentiel géodésiq</w:t>
      </w:r>
      <w:r w:rsidR="000E22C4" w:rsidRPr="00E07570">
        <w:t xml:space="preserve">ue mondial de la Terre le plus </w:t>
      </w:r>
      <w:r w:rsidRPr="00E07570">
        <w:t xml:space="preserve">connu et le plus recommandé, qui avait été mis au point pour le GPS par la National </w:t>
      </w:r>
      <w:proofErr w:type="spellStart"/>
      <w:r w:rsidRPr="00E07570">
        <w:t>Geospatial</w:t>
      </w:r>
      <w:proofErr w:type="spellEnd"/>
      <w:r w:rsidRPr="00E07570">
        <w:t>-Intelligence Agency des États-Unis et qui est largement utilisé dans l</w:t>
      </w:r>
      <w:r w:rsidR="00145E4B">
        <w:t>’</w:t>
      </w:r>
      <w:r w:rsidRPr="00E07570">
        <w:t>industrie des récepteurs GNSS.</w:t>
      </w:r>
    </w:p>
    <w:p w:rsidR="00964DB7" w:rsidRPr="00E07570" w:rsidRDefault="00964DB7" w:rsidP="00E85307">
      <w:pPr>
        <w:pStyle w:val="SingleTxtG"/>
        <w:ind w:left="2268" w:hanging="1134"/>
      </w:pPr>
      <w:r w:rsidRPr="00E07570">
        <w:t>2.17</w:t>
      </w:r>
      <w:r w:rsidRPr="00E07570">
        <w:tab/>
        <w:t>« </w:t>
      </w:r>
      <w:r w:rsidRPr="00E07570">
        <w:rPr>
          <w:i/>
          <w:iCs/>
        </w:rPr>
        <w:t>Ciel ouvert</w:t>
      </w:r>
      <w:r w:rsidRPr="00E07570">
        <w:t xml:space="preserve"> », une opération consistant à reproduire les conditions de </w:t>
      </w:r>
      <w:r w:rsidR="00305F8B" w:rsidRPr="00E07570">
        <w:t>visibilité</w:t>
      </w:r>
      <w:r w:rsidR="009F5B82" w:rsidRPr="00E07570">
        <w:t xml:space="preserve"> </w:t>
      </w:r>
      <w:r w:rsidRPr="00E07570">
        <w:t>des satellites dans les zones rurales et suburbaines, dans lesquelles les signaux GNSS émis ne sont pas perturbés par des obstacles comme les bâtiments ou les arbres, ce qui leur permet d</w:t>
      </w:r>
      <w:r w:rsidR="00145E4B">
        <w:t>’</w:t>
      </w:r>
      <w:r w:rsidRPr="00E07570">
        <w:t>atteindre facilement le récepteur GNSS.</w:t>
      </w:r>
    </w:p>
    <w:p w:rsidR="00964DB7" w:rsidRPr="00E07570" w:rsidRDefault="00964DB7" w:rsidP="00E85307">
      <w:pPr>
        <w:pStyle w:val="SingleTxtG"/>
        <w:ind w:left="2268" w:hanging="1134"/>
      </w:pPr>
      <w:r w:rsidRPr="00E07570">
        <w:t>2.18</w:t>
      </w:r>
      <w:r w:rsidRPr="00E07570">
        <w:tab/>
        <w:t>« </w:t>
      </w:r>
      <w:r w:rsidRPr="00E07570">
        <w:rPr>
          <w:i/>
          <w:iCs/>
        </w:rPr>
        <w:t>Canyon urbain</w:t>
      </w:r>
      <w:r w:rsidRPr="00E07570">
        <w:t xml:space="preserve"> », une opération servant à reproduire les conditions de </w:t>
      </w:r>
      <w:r w:rsidR="00305F8B" w:rsidRPr="00E07570">
        <w:t>visibilité</w:t>
      </w:r>
      <w:r w:rsidR="009F5B82" w:rsidRPr="00E07570">
        <w:t xml:space="preserve"> </w:t>
      </w:r>
      <w:r w:rsidRPr="00E07570">
        <w:t>des satellites dans les zones urbaines, dans lesquelles les signaux GNSS émis sont perturbés par des obstacles comme les bâtiments ou les arbres et ont donc du mal à atteindre le récepteur GNSS.</w:t>
      </w:r>
    </w:p>
    <w:p w:rsidR="00964DB7" w:rsidRPr="00E07570" w:rsidRDefault="00964DB7" w:rsidP="00E85307">
      <w:pPr>
        <w:pStyle w:val="SingleTxtG"/>
        <w:ind w:left="2268" w:hanging="1134"/>
      </w:pPr>
      <w:r w:rsidRPr="00E07570">
        <w:t>2.19</w:t>
      </w:r>
      <w:r w:rsidRPr="00E07570">
        <w:tab/>
        <w:t>« </w:t>
      </w:r>
      <w:r w:rsidR="00305F8B" w:rsidRPr="00E07570">
        <w:rPr>
          <w:i/>
          <w:iCs/>
        </w:rPr>
        <w:t>Sensibilité</w:t>
      </w:r>
      <w:r w:rsidRPr="00E07570">
        <w:t>», le critère d</w:t>
      </w:r>
      <w:r w:rsidR="00145E4B">
        <w:t>’</w:t>
      </w:r>
      <w:r w:rsidRPr="00E07570">
        <w:t>efficacité du GNSS pour évaluer la puissance minimum du signal par satellite en entrée d</w:t>
      </w:r>
      <w:r w:rsidR="00145E4B">
        <w:t>’</w:t>
      </w:r>
      <w:r w:rsidRPr="00E07570">
        <w:t>antenne permettant au récepteur GNSS de se positionner.</w:t>
      </w:r>
    </w:p>
    <w:p w:rsidR="00964DB7" w:rsidRPr="00E07570" w:rsidRDefault="00964DB7" w:rsidP="00E85307">
      <w:pPr>
        <w:pStyle w:val="SingleTxtG"/>
        <w:ind w:left="2268" w:hanging="1134"/>
      </w:pPr>
      <w:r w:rsidRPr="00E07570">
        <w:t>2.20</w:t>
      </w:r>
      <w:r w:rsidRPr="00E07570">
        <w:tab/>
        <w:t>« </w:t>
      </w:r>
      <w:r w:rsidRPr="00E07570">
        <w:rPr>
          <w:i/>
        </w:rPr>
        <w:t>Bande L1/E1</w:t>
      </w:r>
      <w:r w:rsidRPr="00E07570">
        <w:t> », la partie de la radiofréquence destinée aux services de radionavigation par satellite, telle qu</w:t>
      </w:r>
      <w:r w:rsidR="00145E4B">
        <w:t>’</w:t>
      </w:r>
      <w:r w:rsidRPr="00E07570">
        <w:t>elle est définie par l</w:t>
      </w:r>
      <w:r w:rsidR="00145E4B">
        <w:t>’</w:t>
      </w:r>
      <w:r w:rsidRPr="00E07570">
        <w:t>Union internationale des télécommunications (UIT), entre 1 559 et 1 591 MHz, et centrée sur 1 575,42 MHz.</w:t>
      </w:r>
    </w:p>
    <w:p w:rsidR="00964DB7" w:rsidRPr="00E07570" w:rsidRDefault="00964DB7" w:rsidP="00E85307">
      <w:pPr>
        <w:pStyle w:val="SingleTxtG"/>
        <w:ind w:left="2268" w:hanging="1134"/>
      </w:pPr>
      <w:r w:rsidRPr="00E07570">
        <w:t>2.21</w:t>
      </w:r>
      <w:r w:rsidRPr="00E07570">
        <w:tab/>
        <w:t>« </w:t>
      </w:r>
      <w:r w:rsidRPr="00E07570">
        <w:rPr>
          <w:i/>
        </w:rPr>
        <w:t>Délai de premier positionnement</w:t>
      </w:r>
      <w:r w:rsidRPr="00E07570">
        <w:t> », le temps qui s</w:t>
      </w:r>
      <w:r w:rsidR="00145E4B">
        <w:t>’</w:t>
      </w:r>
      <w:r w:rsidRPr="00E07570">
        <w:t>écoule entre la mise sous tension d</w:t>
      </w:r>
      <w:r w:rsidR="00145E4B">
        <w:t>’</w:t>
      </w:r>
      <w:r w:rsidRPr="00E07570">
        <w:t>un récepteur GNSS et le début de la diffusion d</w:t>
      </w:r>
      <w:r w:rsidR="00145E4B">
        <w:t>’</w:t>
      </w:r>
      <w:r w:rsidRPr="00E07570">
        <w:t>informations de navigation valables.</w:t>
      </w:r>
    </w:p>
    <w:p w:rsidR="00964DB7" w:rsidRPr="00E07570" w:rsidRDefault="00964DB7" w:rsidP="00E85307">
      <w:pPr>
        <w:pStyle w:val="SingleTxtG"/>
        <w:ind w:left="2268" w:hanging="1134"/>
      </w:pPr>
      <w:r w:rsidRPr="00E07570">
        <w:t>2.22</w:t>
      </w:r>
      <w:r w:rsidRPr="00E07570">
        <w:tab/>
        <w:t>« </w:t>
      </w:r>
      <w:r w:rsidRPr="00E07570">
        <w:rPr>
          <w:i/>
        </w:rPr>
        <w:t>Départ à froid</w:t>
      </w:r>
      <w:r w:rsidRPr="00E07570">
        <w:t> », l</w:t>
      </w:r>
      <w:r w:rsidR="00145E4B">
        <w:t>’</w:t>
      </w:r>
      <w:r w:rsidRPr="00E07570">
        <w:t>état du récepteur GNSS lorsque les données relatives à la position du véhicule, à sa vitesse, au temps, au calendrier et aux éphémérides ne sont pas stockées dans le récepteur et que la solution de navigation doit être calculée au moyen d</w:t>
      </w:r>
      <w:r w:rsidR="00145E4B">
        <w:t>’</w:t>
      </w:r>
      <w:r w:rsidRPr="00E07570">
        <w:t>une recherche « à ciel ouvert ».</w:t>
      </w:r>
    </w:p>
    <w:p w:rsidR="00964DB7" w:rsidRPr="00E07570" w:rsidRDefault="00964DB7" w:rsidP="00E85307">
      <w:pPr>
        <w:pStyle w:val="SingleTxtG"/>
        <w:ind w:left="2268" w:hanging="1134"/>
      </w:pPr>
      <w:r w:rsidRPr="00E07570">
        <w:t>2.23</w:t>
      </w:r>
      <w:r w:rsidRPr="00E07570">
        <w:tab/>
        <w:t>« </w:t>
      </w:r>
      <w:r w:rsidRPr="00E07570">
        <w:rPr>
          <w:i/>
        </w:rPr>
        <w:t>AECD (Dispositif automatique d</w:t>
      </w:r>
      <w:r w:rsidR="00145E4B">
        <w:rPr>
          <w:i/>
        </w:rPr>
        <w:t>’</w:t>
      </w:r>
      <w:r w:rsidRPr="00E07570">
        <w:rPr>
          <w:i/>
        </w:rPr>
        <w:t>appel d</w:t>
      </w:r>
      <w:r w:rsidR="00145E4B">
        <w:rPr>
          <w:i/>
        </w:rPr>
        <w:t>’</w:t>
      </w:r>
      <w:r w:rsidRPr="00E07570">
        <w:rPr>
          <w:i/>
        </w:rPr>
        <w:t>urgence</w:t>
      </w:r>
      <w:r w:rsidRPr="00E07570">
        <w:t>) », une unité ou un ensemble d</w:t>
      </w:r>
      <w:r w:rsidR="00145E4B">
        <w:t>’</w:t>
      </w:r>
      <w:r w:rsidRPr="00E07570">
        <w:t>unités capables d</w:t>
      </w:r>
      <w:r w:rsidR="00145E4B">
        <w:t>’</w:t>
      </w:r>
      <w:r w:rsidRPr="00E07570">
        <w:t>assurer les fonctions suivantes</w:t>
      </w:r>
      <w:r w:rsidR="00683B03">
        <w:t xml:space="preserve"> </w:t>
      </w:r>
      <w:r w:rsidRPr="00E07570">
        <w:t>au moins</w:t>
      </w:r>
      <w:r w:rsidR="009B1618" w:rsidRPr="00E07570">
        <w:t> </w:t>
      </w:r>
      <w:r w:rsidRPr="00E07570">
        <w:t>:</w:t>
      </w:r>
    </w:p>
    <w:p w:rsidR="00964DB7" w:rsidRPr="00E07570" w:rsidRDefault="00964DB7" w:rsidP="00E85307">
      <w:pPr>
        <w:pStyle w:val="SingleTxtG"/>
        <w:ind w:left="2835" w:hanging="567"/>
      </w:pPr>
      <w:r w:rsidRPr="00E07570">
        <w:t>a)</w:t>
      </w:r>
      <w:r w:rsidRPr="00E07570">
        <w:tab/>
        <w:t>Recevoir et/ou émettre des signaux de déclenchement automatique ou manuel ; et</w:t>
      </w:r>
    </w:p>
    <w:p w:rsidR="00964DB7" w:rsidRPr="00E07570" w:rsidRDefault="00964DB7" w:rsidP="00E85307">
      <w:pPr>
        <w:pStyle w:val="SingleTxtG"/>
        <w:ind w:left="2835" w:hanging="567"/>
      </w:pPr>
      <w:r w:rsidRPr="00E07570">
        <w:t>b)</w:t>
      </w:r>
      <w:r w:rsidRPr="00E07570">
        <w:tab/>
        <w:t>Envoyer un ensemble minimum de données (MSD).</w:t>
      </w:r>
    </w:p>
    <w:p w:rsidR="00964DB7" w:rsidRPr="00E07570" w:rsidRDefault="00964DB7" w:rsidP="00E85307">
      <w:pPr>
        <w:pStyle w:val="SingleTxtG"/>
        <w:keepNext/>
        <w:ind w:left="2268"/>
      </w:pPr>
      <w:r w:rsidRPr="00E07570">
        <w:t>L</w:t>
      </w:r>
      <w:r w:rsidR="00145E4B">
        <w:t>’</w:t>
      </w:r>
      <w:r w:rsidRPr="00E07570">
        <w:t>AECD peut en outre remplir l</w:t>
      </w:r>
      <w:r w:rsidR="00145E4B">
        <w:t>’</w:t>
      </w:r>
      <w:r w:rsidRPr="00E07570">
        <w:t>une quelconque des fonctions ci-dessous :</w:t>
      </w:r>
    </w:p>
    <w:p w:rsidR="00964DB7" w:rsidRPr="00E07570" w:rsidRDefault="00964DB7" w:rsidP="00E85307">
      <w:pPr>
        <w:pStyle w:val="SingleTxtG"/>
        <w:ind w:left="2835" w:hanging="567"/>
      </w:pPr>
      <w:r w:rsidRPr="00E07570">
        <w:t>a)</w:t>
      </w:r>
      <w:r w:rsidRPr="00E07570">
        <w:tab/>
        <w:t>Recevoir ou déterminer la position du véhicule ;</w:t>
      </w:r>
    </w:p>
    <w:p w:rsidR="00964DB7" w:rsidRPr="00E07570" w:rsidRDefault="00964DB7" w:rsidP="00E85307">
      <w:pPr>
        <w:pStyle w:val="SingleTxtG"/>
        <w:ind w:left="2835" w:hanging="567"/>
      </w:pPr>
      <w:r w:rsidRPr="00E07570">
        <w:t>b)</w:t>
      </w:r>
      <w:r w:rsidRPr="00E07570">
        <w:tab/>
        <w:t>Émettre un signal d</w:t>
      </w:r>
      <w:r w:rsidR="00145E4B">
        <w:t>’</w:t>
      </w:r>
      <w:r w:rsidRPr="00E07570">
        <w:t>alerte ; et</w:t>
      </w:r>
    </w:p>
    <w:p w:rsidR="00964DB7" w:rsidRPr="00E07570" w:rsidRDefault="00964DB7" w:rsidP="00E85307">
      <w:pPr>
        <w:pStyle w:val="SingleTxtG"/>
        <w:ind w:left="2835" w:hanging="567"/>
      </w:pPr>
      <w:r w:rsidRPr="00E07570">
        <w:t>c)</w:t>
      </w:r>
      <w:r w:rsidRPr="00E07570">
        <w:tab/>
        <w:t>Émettre des signaux audio bidirectionnels pour la communication vocale, sauf indication contraire du présent Règlement.</w:t>
      </w:r>
    </w:p>
    <w:p w:rsidR="00964DB7" w:rsidRPr="00E07570" w:rsidRDefault="00964DB7" w:rsidP="009B1618">
      <w:pPr>
        <w:pStyle w:val="SingleTxtG"/>
        <w:ind w:left="2268" w:hanging="1134"/>
      </w:pPr>
      <w:r w:rsidRPr="00E07570">
        <w:t>2.24</w:t>
      </w:r>
      <w:r w:rsidRPr="00E07570">
        <w:tab/>
        <w:t>« </w:t>
      </w:r>
      <w:r w:rsidRPr="00E07570">
        <w:rPr>
          <w:i/>
        </w:rPr>
        <w:t>AECS (Système automatique d</w:t>
      </w:r>
      <w:r w:rsidR="00145E4B">
        <w:rPr>
          <w:i/>
        </w:rPr>
        <w:t>’</w:t>
      </w:r>
      <w:r w:rsidRPr="00E07570">
        <w:rPr>
          <w:i/>
        </w:rPr>
        <w:t>appel d</w:t>
      </w:r>
      <w:r w:rsidR="00145E4B">
        <w:rPr>
          <w:i/>
        </w:rPr>
        <w:t>’</w:t>
      </w:r>
      <w:r w:rsidRPr="00E07570">
        <w:rPr>
          <w:i/>
        </w:rPr>
        <w:t>urgence)</w:t>
      </w:r>
      <w:r w:rsidRPr="00E07570">
        <w:t> », un AECD lorsqu</w:t>
      </w:r>
      <w:r w:rsidR="00145E4B">
        <w:t>’</w:t>
      </w:r>
      <w:r w:rsidRPr="00E07570">
        <w:t>il est installé dans un véhicule.</w:t>
      </w:r>
    </w:p>
    <w:p w:rsidR="00964DB7" w:rsidRPr="00E07570" w:rsidRDefault="00964DB7" w:rsidP="009B1618">
      <w:pPr>
        <w:pStyle w:val="SingleTxtG"/>
        <w:ind w:left="2268" w:hanging="1134"/>
      </w:pPr>
      <w:r w:rsidRPr="00E07570">
        <w:t>2.25</w:t>
      </w:r>
      <w:r w:rsidRPr="00E07570">
        <w:tab/>
        <w:t>« </w:t>
      </w:r>
      <w:r w:rsidRPr="00E07570">
        <w:rPr>
          <w:i/>
        </w:rPr>
        <w:t>Signal de déclenchement</w:t>
      </w:r>
      <w:r w:rsidRPr="00E07570">
        <w:t> », un signal logique qui déclenche la procédure d</w:t>
      </w:r>
      <w:r w:rsidR="00145E4B">
        <w:t>’</w:t>
      </w:r>
      <w:r w:rsidRPr="00E07570">
        <w:t>appel d</w:t>
      </w:r>
      <w:r w:rsidR="00145E4B">
        <w:t>’</w:t>
      </w:r>
      <w:r w:rsidRPr="00E07570">
        <w:t>urgence.</w:t>
      </w:r>
    </w:p>
    <w:p w:rsidR="00964DB7" w:rsidRPr="00E07570" w:rsidRDefault="00964DB7" w:rsidP="009B1618">
      <w:pPr>
        <w:pStyle w:val="SingleTxtG"/>
        <w:ind w:left="2268" w:hanging="1134"/>
      </w:pPr>
      <w:r w:rsidRPr="00E07570">
        <w:t>2.26</w:t>
      </w:r>
      <w:r w:rsidRPr="00E07570">
        <w:tab/>
        <w:t>« </w:t>
      </w:r>
      <w:r w:rsidRPr="00E07570">
        <w:rPr>
          <w:i/>
        </w:rPr>
        <w:t>Ensemble minimum de données (MSD)</w:t>
      </w:r>
      <w:r w:rsidRPr="00E07570">
        <w:t> », l</w:t>
      </w:r>
      <w:r w:rsidR="00145E4B">
        <w:t>’</w:t>
      </w:r>
      <w:r w:rsidRPr="00E07570">
        <w:t>ensemble de données défini à l</w:t>
      </w:r>
      <w:r w:rsidR="00145E4B">
        <w:t>’</w:t>
      </w:r>
      <w:r w:rsidRPr="00E07570">
        <w:t>annexe </w:t>
      </w:r>
      <w:r w:rsidRPr="00E07570">
        <w:rPr>
          <w:b/>
        </w:rPr>
        <w:t>12</w:t>
      </w:r>
      <w:r w:rsidRPr="00E07570">
        <w:t>.</w:t>
      </w:r>
    </w:p>
    <w:p w:rsidR="00964DB7" w:rsidRPr="00E07570" w:rsidRDefault="00964DB7" w:rsidP="009B1618">
      <w:pPr>
        <w:pStyle w:val="SingleTxtG"/>
        <w:ind w:left="2268" w:hanging="1134"/>
      </w:pPr>
      <w:r w:rsidRPr="00E07570">
        <w:t>2.27</w:t>
      </w:r>
      <w:r w:rsidRPr="00E07570">
        <w:tab/>
        <w:t>« </w:t>
      </w:r>
      <w:r w:rsidRPr="00E07570">
        <w:rPr>
          <w:i/>
        </w:rPr>
        <w:t>Module de commande</w:t>
      </w:r>
      <w:r w:rsidRPr="00E07570">
        <w:t> », un élément d</w:t>
      </w:r>
      <w:r w:rsidR="00145E4B">
        <w:t>’</w:t>
      </w:r>
      <w:r w:rsidRPr="00E07570">
        <w:t>un AECD destiné à garantir le fonctionnement combiné de tous ses éléments.</w:t>
      </w:r>
    </w:p>
    <w:p w:rsidR="00964DB7" w:rsidRPr="00E07570" w:rsidRDefault="00964DB7" w:rsidP="002C48CA">
      <w:pPr>
        <w:pStyle w:val="HChG"/>
        <w:ind w:left="2495" w:hanging="1361"/>
      </w:pPr>
      <w:r w:rsidRPr="00E07570">
        <w:t>Partie </w:t>
      </w:r>
      <w:proofErr w:type="spellStart"/>
      <w:r w:rsidRPr="00E07570">
        <w:t>Ia</w:t>
      </w:r>
      <w:proofErr w:type="spellEnd"/>
      <w:r w:rsidRPr="00E07570">
        <w:t xml:space="preserve"> </w:t>
      </w:r>
      <w:r w:rsidR="002C48CA" w:rsidRPr="00E07570">
        <w:t>−</w:t>
      </w:r>
      <w:r w:rsidRPr="00E07570">
        <w:t xml:space="preserve"> Homologation des éléments destinés à être incorporés dans un dispositif automatique </w:t>
      </w:r>
      <w:r w:rsidR="002C48CA" w:rsidRPr="00E07570">
        <w:br/>
      </w:r>
      <w:r w:rsidRPr="00E07570">
        <w:t>d</w:t>
      </w:r>
      <w:r w:rsidR="00145E4B">
        <w:t>’</w:t>
      </w:r>
      <w:r w:rsidRPr="00E07570">
        <w:t>appel d</w:t>
      </w:r>
      <w:r w:rsidR="00145E4B">
        <w:t>’</w:t>
      </w:r>
      <w:r w:rsidRPr="00E07570">
        <w:t>urgence (AECD)</w:t>
      </w:r>
    </w:p>
    <w:p w:rsidR="00964DB7" w:rsidRPr="00E07570" w:rsidRDefault="00964DB7" w:rsidP="002C48CA">
      <w:pPr>
        <w:pStyle w:val="HChG"/>
        <w:ind w:left="2268"/>
      </w:pPr>
      <w:r w:rsidRPr="00E07570">
        <w:t>3.</w:t>
      </w:r>
      <w:r w:rsidRPr="00E07570">
        <w:tab/>
        <w:t>Définitions</w:t>
      </w:r>
    </w:p>
    <w:p w:rsidR="00964DB7" w:rsidRPr="00E07570" w:rsidRDefault="00964DB7" w:rsidP="0022406E">
      <w:pPr>
        <w:pStyle w:val="SingleTxtG"/>
        <w:ind w:left="2268" w:hanging="1134"/>
        <w:rPr>
          <w:b/>
        </w:rPr>
      </w:pPr>
      <w:r w:rsidRPr="00E07570">
        <w:rPr>
          <w:b/>
        </w:rPr>
        <w:t>3.1</w:t>
      </w:r>
      <w:r w:rsidRPr="00E07570">
        <w:rPr>
          <w:b/>
        </w:rPr>
        <w:tab/>
        <w:t>«</w:t>
      </w:r>
      <w:r w:rsidR="00FB1703" w:rsidRPr="00E07570">
        <w:rPr>
          <w:b/>
        </w:rPr>
        <w:t> </w:t>
      </w:r>
      <w:r w:rsidRPr="00E07570">
        <w:rPr>
          <w:b/>
          <w:i/>
        </w:rPr>
        <w:t>AECC</w:t>
      </w:r>
      <w:r w:rsidRPr="00E07570">
        <w:rPr>
          <w:b/>
        </w:rPr>
        <w:t xml:space="preserve"> (</w:t>
      </w:r>
      <w:r w:rsidRPr="00E07570">
        <w:rPr>
          <w:b/>
          <w:i/>
        </w:rPr>
        <w:t>Élément d</w:t>
      </w:r>
      <w:r w:rsidR="00145E4B">
        <w:rPr>
          <w:b/>
          <w:i/>
        </w:rPr>
        <w:t>’</w:t>
      </w:r>
      <w:r w:rsidRPr="00E07570">
        <w:rPr>
          <w:b/>
          <w:i/>
        </w:rPr>
        <w:t>un dispositif automatique d</w:t>
      </w:r>
      <w:r w:rsidR="00145E4B">
        <w:rPr>
          <w:b/>
          <w:i/>
        </w:rPr>
        <w:t>’</w:t>
      </w:r>
      <w:r w:rsidRPr="00E07570">
        <w:rPr>
          <w:b/>
          <w:i/>
        </w:rPr>
        <w:t>appel d</w:t>
      </w:r>
      <w:r w:rsidR="00145E4B">
        <w:rPr>
          <w:b/>
          <w:i/>
        </w:rPr>
        <w:t>’</w:t>
      </w:r>
      <w:r w:rsidRPr="00E07570">
        <w:rPr>
          <w:b/>
          <w:i/>
        </w:rPr>
        <w:t>urgence)</w:t>
      </w:r>
      <w:r w:rsidR="0022406E" w:rsidRPr="00E07570">
        <w:rPr>
          <w:b/>
          <w:i/>
        </w:rPr>
        <w:t> </w:t>
      </w:r>
      <w:r w:rsidRPr="00E07570">
        <w:rPr>
          <w:b/>
        </w:rPr>
        <w:t>»</w:t>
      </w:r>
      <w:r w:rsidR="0022406E" w:rsidRPr="00E07570">
        <w:rPr>
          <w:b/>
          <w:i/>
        </w:rPr>
        <w:t> </w:t>
      </w:r>
      <w:r w:rsidRPr="00E07570">
        <w:rPr>
          <w:b/>
        </w:rPr>
        <w:t>: un élément ou un ensemble d</w:t>
      </w:r>
      <w:r w:rsidR="00145E4B">
        <w:rPr>
          <w:b/>
        </w:rPr>
        <w:t>’</w:t>
      </w:r>
      <w:r w:rsidRPr="00E07570">
        <w:rPr>
          <w:b/>
        </w:rPr>
        <w:t>éléments parmi les suivants</w:t>
      </w:r>
      <w:r w:rsidR="0022406E" w:rsidRPr="00E07570">
        <w:rPr>
          <w:b/>
        </w:rPr>
        <w:t> </w:t>
      </w:r>
      <w:r w:rsidRPr="00E07570">
        <w:rPr>
          <w:b/>
        </w:rPr>
        <w:t>:</w:t>
      </w:r>
    </w:p>
    <w:p w:rsidR="00964DB7" w:rsidRPr="00E07570" w:rsidRDefault="00964DB7" w:rsidP="0022406E">
      <w:pPr>
        <w:pStyle w:val="SingleTxtG"/>
        <w:ind w:left="2835" w:hanging="567"/>
        <w:rPr>
          <w:b/>
        </w:rPr>
      </w:pPr>
      <w:r w:rsidRPr="00E07570">
        <w:rPr>
          <w:b/>
        </w:rPr>
        <w:t>a)</w:t>
      </w:r>
      <w:r w:rsidRPr="00E07570">
        <w:rPr>
          <w:b/>
        </w:rPr>
        <w:tab/>
        <w:t>Module de commande et son (ses) connecteur(s)</w:t>
      </w:r>
      <w:r w:rsidRPr="00E07570">
        <w:rPr>
          <w:rStyle w:val="FootnoteReference"/>
          <w:b/>
        </w:rPr>
        <w:footnoteReference w:id="4"/>
      </w:r>
      <w:r w:rsidR="0022406E" w:rsidRPr="00E07570">
        <w:rPr>
          <w:b/>
        </w:rPr>
        <w:t> </w:t>
      </w:r>
      <w:r w:rsidRPr="00E07570">
        <w:rPr>
          <w:b/>
        </w:rPr>
        <w:t>;</w:t>
      </w:r>
    </w:p>
    <w:p w:rsidR="00964DB7" w:rsidRPr="00E07570" w:rsidRDefault="00964DB7" w:rsidP="0022406E">
      <w:pPr>
        <w:pStyle w:val="SingleTxtG"/>
        <w:ind w:left="2835" w:hanging="567"/>
        <w:rPr>
          <w:b/>
        </w:rPr>
      </w:pPr>
      <w:r w:rsidRPr="00E07570">
        <w:rPr>
          <w:b/>
        </w:rPr>
        <w:t>b)</w:t>
      </w:r>
      <w:r w:rsidRPr="00E07570">
        <w:rPr>
          <w:b/>
        </w:rPr>
        <w:tab/>
        <w:t>Module de communication et son (ses) connecteur(s)</w:t>
      </w:r>
      <w:r w:rsidRPr="00E07570">
        <w:rPr>
          <w:rStyle w:val="FootnoteReference"/>
          <w:b/>
        </w:rPr>
        <w:t>2</w:t>
      </w:r>
      <w:r w:rsidRPr="00E07570">
        <w:rPr>
          <w:b/>
        </w:rPr>
        <w:t>, à l</w:t>
      </w:r>
      <w:r w:rsidR="00145E4B">
        <w:rPr>
          <w:b/>
        </w:rPr>
        <w:t>’</w:t>
      </w:r>
      <w:r w:rsidRPr="00E07570">
        <w:rPr>
          <w:b/>
        </w:rPr>
        <w:t>exclusion des microphones, haut-parleurs et connecteurs correspondants</w:t>
      </w:r>
      <w:r w:rsidR="0022406E" w:rsidRPr="00E07570">
        <w:rPr>
          <w:b/>
        </w:rPr>
        <w:t> </w:t>
      </w:r>
      <w:r w:rsidRPr="00E07570">
        <w:rPr>
          <w:b/>
        </w:rPr>
        <w:t>;</w:t>
      </w:r>
    </w:p>
    <w:p w:rsidR="00964DB7" w:rsidRPr="00E07570" w:rsidRDefault="00964DB7" w:rsidP="0022406E">
      <w:pPr>
        <w:pStyle w:val="SingleTxtG"/>
        <w:ind w:left="2835" w:hanging="567"/>
        <w:rPr>
          <w:b/>
        </w:rPr>
      </w:pPr>
      <w:r w:rsidRPr="00E07570">
        <w:rPr>
          <w:b/>
        </w:rPr>
        <w:t>c)</w:t>
      </w:r>
      <w:r w:rsidRPr="00E07570">
        <w:rPr>
          <w:b/>
        </w:rPr>
        <w:tab/>
        <w:t>Alimentation électrique de secours (s</w:t>
      </w:r>
      <w:r w:rsidR="00145E4B">
        <w:rPr>
          <w:b/>
        </w:rPr>
        <w:t>’</w:t>
      </w:r>
      <w:r w:rsidRPr="00E07570">
        <w:rPr>
          <w:b/>
        </w:rPr>
        <w:t>il en existe une) et connecteur(s) correspondant(s)</w:t>
      </w:r>
      <w:r w:rsidR="00D2561F" w:rsidRPr="00E07570">
        <w:rPr>
          <w:rStyle w:val="FootnoteReference"/>
          <w:b/>
        </w:rPr>
        <w:t>2</w:t>
      </w:r>
      <w:r w:rsidR="0022406E" w:rsidRPr="00E07570">
        <w:rPr>
          <w:b/>
        </w:rPr>
        <w:t> </w:t>
      </w:r>
      <w:r w:rsidRPr="00E07570">
        <w:rPr>
          <w:b/>
        </w:rPr>
        <w:t>;</w:t>
      </w:r>
    </w:p>
    <w:p w:rsidR="00964DB7" w:rsidRPr="00E07570" w:rsidRDefault="00964DB7" w:rsidP="0022406E">
      <w:pPr>
        <w:pStyle w:val="SingleTxtG"/>
        <w:ind w:left="2835" w:hanging="567"/>
        <w:rPr>
          <w:b/>
        </w:rPr>
      </w:pPr>
      <w:r w:rsidRPr="00E07570">
        <w:rPr>
          <w:b/>
        </w:rPr>
        <w:t>d)</w:t>
      </w:r>
      <w:r w:rsidRPr="00E07570">
        <w:rPr>
          <w:b/>
        </w:rPr>
        <w:tab/>
        <w:t>Alimentation électrique et connecteur(s) correspondant(s)</w:t>
      </w:r>
      <w:r w:rsidR="00D2561F" w:rsidRPr="00E07570">
        <w:rPr>
          <w:rStyle w:val="FootnoteReference"/>
          <w:b/>
        </w:rPr>
        <w:t>2</w:t>
      </w:r>
      <w:r w:rsidR="00D2561F" w:rsidRPr="00E07570">
        <w:rPr>
          <w:b/>
        </w:rPr>
        <w:t> </w:t>
      </w:r>
      <w:r w:rsidRPr="00E07570">
        <w:rPr>
          <w:b/>
        </w:rPr>
        <w:t>;</w:t>
      </w:r>
    </w:p>
    <w:p w:rsidR="00964DB7" w:rsidRPr="00E07570" w:rsidRDefault="00964DB7" w:rsidP="0022406E">
      <w:pPr>
        <w:pStyle w:val="SingleTxtG"/>
        <w:ind w:left="2835" w:hanging="567"/>
        <w:rPr>
          <w:b/>
        </w:rPr>
      </w:pPr>
      <w:r w:rsidRPr="00E07570">
        <w:rPr>
          <w:b/>
        </w:rPr>
        <w:t>e)</w:t>
      </w:r>
      <w:r w:rsidRPr="00E07570">
        <w:rPr>
          <w:b/>
        </w:rPr>
        <w:tab/>
        <w:t>Antenne d</w:t>
      </w:r>
      <w:r w:rsidR="00145E4B">
        <w:rPr>
          <w:b/>
        </w:rPr>
        <w:t>’</w:t>
      </w:r>
      <w:r w:rsidRPr="00E07570">
        <w:rPr>
          <w:b/>
        </w:rPr>
        <w:t>accès au réseau et connecteur(s) correspondant(s)</w:t>
      </w:r>
      <w:r w:rsidR="00D2561F" w:rsidRPr="00E07570">
        <w:rPr>
          <w:rStyle w:val="FootnoteReference"/>
          <w:b/>
        </w:rPr>
        <w:t>2</w:t>
      </w:r>
      <w:r w:rsidR="00D2561F" w:rsidRPr="00E07570">
        <w:rPr>
          <w:b/>
        </w:rPr>
        <w:t> </w:t>
      </w:r>
      <w:r w:rsidRPr="00E07570">
        <w:rPr>
          <w:b/>
        </w:rPr>
        <w:t>;</w:t>
      </w:r>
    </w:p>
    <w:p w:rsidR="00964DB7" w:rsidRPr="00E07570" w:rsidRDefault="00964DB7" w:rsidP="0022406E">
      <w:pPr>
        <w:pStyle w:val="SingleTxtG"/>
        <w:ind w:left="2835" w:hanging="567"/>
        <w:rPr>
          <w:b/>
        </w:rPr>
      </w:pPr>
      <w:r w:rsidRPr="00E07570">
        <w:rPr>
          <w:b/>
        </w:rPr>
        <w:t>f)</w:t>
      </w:r>
      <w:r w:rsidRPr="00E07570">
        <w:rPr>
          <w:b/>
        </w:rPr>
        <w:tab/>
        <w:t>Récepteur GNSS et connecteur(s) correspondant(s)</w:t>
      </w:r>
      <w:r w:rsidR="00D2561F" w:rsidRPr="00E07570">
        <w:rPr>
          <w:rStyle w:val="FootnoteReference"/>
          <w:b/>
        </w:rPr>
        <w:t>2</w:t>
      </w:r>
      <w:r w:rsidR="00D2561F" w:rsidRPr="00E07570">
        <w:rPr>
          <w:b/>
        </w:rPr>
        <w:t> </w:t>
      </w:r>
      <w:r w:rsidRPr="00E07570">
        <w:rPr>
          <w:b/>
        </w:rPr>
        <w:t>;</w:t>
      </w:r>
    </w:p>
    <w:p w:rsidR="00964DB7" w:rsidRPr="00E07570" w:rsidRDefault="00964DB7" w:rsidP="0022406E">
      <w:pPr>
        <w:pStyle w:val="SingleTxtG"/>
        <w:ind w:left="2835" w:hanging="567"/>
        <w:rPr>
          <w:b/>
        </w:rPr>
      </w:pPr>
      <w:r w:rsidRPr="00E07570">
        <w:rPr>
          <w:b/>
        </w:rPr>
        <w:t>g)</w:t>
      </w:r>
      <w:r w:rsidRPr="00E07570">
        <w:rPr>
          <w:b/>
        </w:rPr>
        <w:tab/>
        <w:t>Antenne GNSS et connecteur(s) correspondant(s)</w:t>
      </w:r>
      <w:r w:rsidR="00D2561F" w:rsidRPr="00E07570">
        <w:rPr>
          <w:rStyle w:val="FootnoteReference"/>
          <w:b/>
        </w:rPr>
        <w:t>2</w:t>
      </w:r>
      <w:r w:rsidR="00D2561F" w:rsidRPr="00E07570">
        <w:rPr>
          <w:b/>
        </w:rPr>
        <w:t> </w:t>
      </w:r>
      <w:r w:rsidRPr="00E07570">
        <w:rPr>
          <w:b/>
        </w:rPr>
        <w:t>;</w:t>
      </w:r>
    </w:p>
    <w:p w:rsidR="00964DB7" w:rsidRPr="00E07570" w:rsidRDefault="00964DB7" w:rsidP="0022406E">
      <w:pPr>
        <w:pStyle w:val="SingleTxtG"/>
        <w:ind w:left="2835" w:hanging="567"/>
        <w:rPr>
          <w:b/>
        </w:rPr>
      </w:pPr>
      <w:r w:rsidRPr="00E07570">
        <w:rPr>
          <w:b/>
        </w:rPr>
        <w:t>h)</w:t>
      </w:r>
      <w:r w:rsidRPr="00E07570">
        <w:rPr>
          <w:b/>
        </w:rPr>
        <w:tab/>
        <w:t>Dispositif de signal d</w:t>
      </w:r>
      <w:r w:rsidR="00145E4B">
        <w:rPr>
          <w:b/>
        </w:rPr>
        <w:t>’</w:t>
      </w:r>
      <w:r w:rsidRPr="00E07570">
        <w:rPr>
          <w:b/>
        </w:rPr>
        <w:t>avertissement</w:t>
      </w:r>
      <w:r w:rsidR="00D2561F" w:rsidRPr="00E07570">
        <w:rPr>
          <w:rStyle w:val="FootnoteReference"/>
          <w:b/>
        </w:rPr>
        <w:t>2</w:t>
      </w:r>
      <w:r w:rsidR="00D2561F" w:rsidRPr="00E07570">
        <w:rPr>
          <w:b/>
        </w:rPr>
        <w:t> </w:t>
      </w:r>
      <w:r w:rsidRPr="00E07570">
        <w:rPr>
          <w:b/>
        </w:rPr>
        <w:t>;</w:t>
      </w:r>
    </w:p>
    <w:p w:rsidR="00964DB7" w:rsidRPr="00E07570" w:rsidRDefault="00964DB7" w:rsidP="0022406E">
      <w:pPr>
        <w:pStyle w:val="SingleTxtG"/>
        <w:ind w:left="2835" w:hanging="567"/>
        <w:rPr>
          <w:b/>
        </w:rPr>
      </w:pPr>
      <w:r w:rsidRPr="00E07570">
        <w:rPr>
          <w:b/>
        </w:rPr>
        <w:t>i)</w:t>
      </w:r>
      <w:r w:rsidRPr="00E07570">
        <w:rPr>
          <w:b/>
        </w:rPr>
        <w:tab/>
        <w:t>Dispositif de signal d</w:t>
      </w:r>
      <w:r w:rsidR="00145E4B">
        <w:rPr>
          <w:b/>
        </w:rPr>
        <w:t>’</w:t>
      </w:r>
      <w:r w:rsidRPr="00E07570">
        <w:rPr>
          <w:b/>
        </w:rPr>
        <w:t>information</w:t>
      </w:r>
      <w:r w:rsidR="00D2561F" w:rsidRPr="00E07570">
        <w:rPr>
          <w:rStyle w:val="FootnoteReference"/>
          <w:b/>
        </w:rPr>
        <w:t>2</w:t>
      </w:r>
      <w:r w:rsidRPr="00E07570">
        <w:rPr>
          <w:b/>
        </w:rPr>
        <w:t>.</w:t>
      </w:r>
    </w:p>
    <w:p w:rsidR="00964DB7" w:rsidRPr="00E07570" w:rsidRDefault="00964DB7" w:rsidP="00D2561F">
      <w:pPr>
        <w:pStyle w:val="SingleTxtG"/>
        <w:ind w:left="2268" w:hanging="1134"/>
        <w:rPr>
          <w:b/>
        </w:rPr>
      </w:pPr>
      <w:r w:rsidRPr="00E07570">
        <w:rPr>
          <w:b/>
        </w:rPr>
        <w:t>3.2</w:t>
      </w:r>
      <w:r w:rsidRPr="00E07570">
        <w:rPr>
          <w:b/>
        </w:rPr>
        <w:tab/>
        <w:t>«</w:t>
      </w:r>
      <w:r w:rsidR="00D2561F" w:rsidRPr="00E07570">
        <w:rPr>
          <w:b/>
        </w:rPr>
        <w:t> </w:t>
      </w:r>
      <w:r w:rsidRPr="00E07570">
        <w:rPr>
          <w:b/>
          <w:i/>
        </w:rPr>
        <w:t>Récepteur de système mondial de navigation par satellite (récepteur GNSS)</w:t>
      </w:r>
      <w:r w:rsidR="00D2561F" w:rsidRPr="00E07570">
        <w:rPr>
          <w:b/>
          <w:i/>
        </w:rPr>
        <w:t> </w:t>
      </w:r>
      <w:r w:rsidRPr="00E07570">
        <w:rPr>
          <w:b/>
        </w:rPr>
        <w:t>»</w:t>
      </w:r>
      <w:r w:rsidR="00D2561F" w:rsidRPr="00E07570">
        <w:rPr>
          <w:b/>
        </w:rPr>
        <w:t> </w:t>
      </w:r>
      <w:r w:rsidRPr="00E07570">
        <w:rPr>
          <w:b/>
        </w:rPr>
        <w:t>:</w:t>
      </w:r>
      <w:r w:rsidRPr="00E07570">
        <w:rPr>
          <w:b/>
          <w:i/>
        </w:rPr>
        <w:t xml:space="preserve"> </w:t>
      </w:r>
      <w:r w:rsidRPr="00E07570">
        <w:rPr>
          <w:b/>
        </w:rPr>
        <w:t>l</w:t>
      </w:r>
      <w:r w:rsidR="00145E4B">
        <w:rPr>
          <w:b/>
        </w:rPr>
        <w:t>’</w:t>
      </w:r>
      <w:r w:rsidRPr="00E07570">
        <w:rPr>
          <w:b/>
        </w:rPr>
        <w:t>élément d</w:t>
      </w:r>
      <w:r w:rsidR="00145E4B">
        <w:rPr>
          <w:b/>
        </w:rPr>
        <w:t>’</w:t>
      </w:r>
      <w:r w:rsidRPr="00E07570">
        <w:rPr>
          <w:b/>
        </w:rPr>
        <w:t>un AECC/AECD/AECS servant à déterminer la position du véhicule et le temps, au moyen de signaux émis par les systèmes mondiaux de navigation par satellite</w:t>
      </w:r>
      <w:r w:rsidR="00D2561F" w:rsidRPr="00E07570">
        <w:rPr>
          <w:b/>
        </w:rPr>
        <w:t> </w:t>
      </w:r>
      <w:r w:rsidRPr="00E07570">
        <w:rPr>
          <w:b/>
        </w:rPr>
        <w:t>; il peut faire partie d</w:t>
      </w:r>
      <w:r w:rsidR="00145E4B">
        <w:rPr>
          <w:b/>
        </w:rPr>
        <w:t>’</w:t>
      </w:r>
      <w:r w:rsidRPr="00E07570">
        <w:rPr>
          <w:b/>
        </w:rPr>
        <w:t>un AECC ou d</w:t>
      </w:r>
      <w:r w:rsidR="00145E4B">
        <w:rPr>
          <w:b/>
        </w:rPr>
        <w:t>’</w:t>
      </w:r>
      <w:r w:rsidRPr="00E07570">
        <w:rPr>
          <w:b/>
        </w:rPr>
        <w:t>un AECD, ou d</w:t>
      </w:r>
      <w:r w:rsidR="00145E4B">
        <w:rPr>
          <w:b/>
        </w:rPr>
        <w:t>’</w:t>
      </w:r>
      <w:r w:rsidRPr="00E07570">
        <w:rPr>
          <w:b/>
        </w:rPr>
        <w:t>un autre module de commande extérieur, aussi longtemps que l</w:t>
      </w:r>
      <w:r w:rsidR="00145E4B">
        <w:rPr>
          <w:b/>
        </w:rPr>
        <w:t>’</w:t>
      </w:r>
      <w:r w:rsidRPr="00E07570">
        <w:rPr>
          <w:b/>
        </w:rPr>
        <w:t>AECC ou l</w:t>
      </w:r>
      <w:r w:rsidR="00145E4B">
        <w:rPr>
          <w:b/>
        </w:rPr>
        <w:t>’</w:t>
      </w:r>
      <w:r w:rsidRPr="00E07570">
        <w:rPr>
          <w:b/>
        </w:rPr>
        <w:t>AECD est capable d</w:t>
      </w:r>
      <w:r w:rsidR="00145E4B">
        <w:rPr>
          <w:b/>
        </w:rPr>
        <w:t>’</w:t>
      </w:r>
      <w:r w:rsidRPr="00E07570">
        <w:rPr>
          <w:b/>
        </w:rPr>
        <w:t>indiquer la position du véhicule en cas d</w:t>
      </w:r>
      <w:r w:rsidR="00145E4B">
        <w:rPr>
          <w:b/>
        </w:rPr>
        <w:t>’</w:t>
      </w:r>
      <w:r w:rsidRPr="00E07570">
        <w:rPr>
          <w:b/>
        </w:rPr>
        <w:t>accident.</w:t>
      </w:r>
    </w:p>
    <w:p w:rsidR="00964DB7" w:rsidRPr="00E07570" w:rsidRDefault="00964DB7" w:rsidP="00B55774">
      <w:pPr>
        <w:pStyle w:val="SingleTxtG"/>
        <w:ind w:left="2268" w:hanging="1134"/>
        <w:rPr>
          <w:b/>
        </w:rPr>
      </w:pPr>
      <w:r w:rsidRPr="00E07570">
        <w:rPr>
          <w:b/>
        </w:rPr>
        <w:t>3.3</w:t>
      </w:r>
      <w:r w:rsidRPr="00E07570">
        <w:rPr>
          <w:b/>
        </w:rPr>
        <w:tab/>
        <w:t>«</w:t>
      </w:r>
      <w:r w:rsidR="00A22689" w:rsidRPr="00E07570">
        <w:rPr>
          <w:b/>
        </w:rPr>
        <w:t> </w:t>
      </w:r>
      <w:r w:rsidRPr="00E07570">
        <w:rPr>
          <w:b/>
          <w:i/>
        </w:rPr>
        <w:t>Module de commande</w:t>
      </w:r>
      <w:r w:rsidR="00A22689" w:rsidRPr="00E07570">
        <w:rPr>
          <w:b/>
          <w:i/>
        </w:rPr>
        <w:t> </w:t>
      </w:r>
      <w:r w:rsidRPr="00E07570">
        <w:rPr>
          <w:b/>
        </w:rPr>
        <w:t>»</w:t>
      </w:r>
      <w:r w:rsidR="00A22689" w:rsidRPr="00E07570">
        <w:rPr>
          <w:b/>
        </w:rPr>
        <w:t> </w:t>
      </w:r>
      <w:r w:rsidRPr="00E07570">
        <w:rPr>
          <w:b/>
        </w:rPr>
        <w:t>:</w:t>
      </w:r>
      <w:r w:rsidRPr="00E07570">
        <w:rPr>
          <w:b/>
          <w:i/>
        </w:rPr>
        <w:t xml:space="preserve"> </w:t>
      </w:r>
      <w:r w:rsidRPr="00E07570">
        <w:rPr>
          <w:b/>
        </w:rPr>
        <w:t>un élément d</w:t>
      </w:r>
      <w:r w:rsidR="00145E4B">
        <w:rPr>
          <w:b/>
        </w:rPr>
        <w:t>’</w:t>
      </w:r>
      <w:r w:rsidRPr="00E07570">
        <w:rPr>
          <w:b/>
        </w:rPr>
        <w:t>un AECC ou d</w:t>
      </w:r>
      <w:r w:rsidR="00145E4B">
        <w:rPr>
          <w:b/>
        </w:rPr>
        <w:t>’</w:t>
      </w:r>
      <w:r w:rsidRPr="00E07570">
        <w:rPr>
          <w:b/>
        </w:rPr>
        <w:t>un AECD destiné à garantir le fonctionnement combiné de tous les éléments de l</w:t>
      </w:r>
      <w:r w:rsidR="00145E4B">
        <w:rPr>
          <w:b/>
        </w:rPr>
        <w:t>’</w:t>
      </w:r>
      <w:r w:rsidRPr="00E07570">
        <w:rPr>
          <w:b/>
        </w:rPr>
        <w:t>AECD.</w:t>
      </w:r>
    </w:p>
    <w:p w:rsidR="00964DB7" w:rsidRPr="00E07570" w:rsidRDefault="00964DB7" w:rsidP="009E044E">
      <w:pPr>
        <w:pStyle w:val="SingleTxtG"/>
        <w:ind w:left="2268" w:hanging="1134"/>
        <w:rPr>
          <w:b/>
        </w:rPr>
      </w:pPr>
      <w:r w:rsidRPr="00E07570">
        <w:rPr>
          <w:b/>
        </w:rPr>
        <w:t>3.4</w:t>
      </w:r>
      <w:r w:rsidRPr="00E07570">
        <w:rPr>
          <w:b/>
        </w:rPr>
        <w:tab/>
        <w:t>«</w:t>
      </w:r>
      <w:r w:rsidR="000E33B9" w:rsidRPr="00E07570">
        <w:rPr>
          <w:b/>
        </w:rPr>
        <w:t> </w:t>
      </w:r>
      <w:r w:rsidRPr="00E07570">
        <w:rPr>
          <w:b/>
          <w:i/>
        </w:rPr>
        <w:t>Antenne de réseau mobile</w:t>
      </w:r>
      <w:r w:rsidR="000E33B9" w:rsidRPr="00E07570">
        <w:rPr>
          <w:b/>
          <w:i/>
        </w:rPr>
        <w:t> </w:t>
      </w:r>
      <w:r w:rsidRPr="00E07570">
        <w:rPr>
          <w:b/>
        </w:rPr>
        <w:t>»</w:t>
      </w:r>
      <w:r w:rsidR="000E33B9" w:rsidRPr="00E07570">
        <w:rPr>
          <w:b/>
        </w:rPr>
        <w:t> </w:t>
      </w:r>
      <w:r w:rsidRPr="00E07570">
        <w:rPr>
          <w:b/>
        </w:rPr>
        <w:t>: un élément qui permet la transmission de données et de signaux audio bidirectionnels pour la communication vocale.</w:t>
      </w:r>
    </w:p>
    <w:p w:rsidR="00964DB7" w:rsidRPr="00E07570" w:rsidRDefault="00964DB7" w:rsidP="009E044E">
      <w:pPr>
        <w:pStyle w:val="SingleTxtG"/>
        <w:ind w:left="2268" w:hanging="1134"/>
        <w:rPr>
          <w:b/>
        </w:rPr>
      </w:pPr>
      <w:r w:rsidRPr="00E07570">
        <w:rPr>
          <w:b/>
        </w:rPr>
        <w:t>3.5</w:t>
      </w:r>
      <w:r w:rsidRPr="00E07570">
        <w:rPr>
          <w:b/>
        </w:rPr>
        <w:tab/>
        <w:t>«</w:t>
      </w:r>
      <w:r w:rsidR="000E33B9" w:rsidRPr="00E07570">
        <w:rPr>
          <w:b/>
        </w:rPr>
        <w:t> </w:t>
      </w:r>
      <w:r w:rsidRPr="00E07570">
        <w:rPr>
          <w:b/>
          <w:i/>
        </w:rPr>
        <w:t>Type d</w:t>
      </w:r>
      <w:r w:rsidR="00145E4B">
        <w:rPr>
          <w:b/>
          <w:i/>
        </w:rPr>
        <w:t>’</w:t>
      </w:r>
      <w:r w:rsidRPr="00E07570">
        <w:rPr>
          <w:b/>
          <w:i/>
        </w:rPr>
        <w:t>AECC</w:t>
      </w:r>
      <w:r w:rsidR="000E33B9" w:rsidRPr="00E07570">
        <w:rPr>
          <w:b/>
          <w:i/>
        </w:rPr>
        <w:t> </w:t>
      </w:r>
      <w:r w:rsidRPr="00E07570">
        <w:rPr>
          <w:b/>
        </w:rPr>
        <w:t>»</w:t>
      </w:r>
      <w:r w:rsidR="000E33B9" w:rsidRPr="00E07570">
        <w:rPr>
          <w:b/>
        </w:rPr>
        <w:t> </w:t>
      </w:r>
      <w:r w:rsidRPr="00E07570">
        <w:rPr>
          <w:b/>
        </w:rPr>
        <w:t>: des AECC qui ne présentent pas entre eux de différences essentielles concernant</w:t>
      </w:r>
      <w:r w:rsidR="000E33B9" w:rsidRPr="00E07570">
        <w:rPr>
          <w:b/>
        </w:rPr>
        <w:t> </w:t>
      </w:r>
      <w:r w:rsidRPr="00E07570">
        <w:rPr>
          <w:b/>
        </w:rPr>
        <w:t>:</w:t>
      </w:r>
    </w:p>
    <w:p w:rsidR="00964DB7" w:rsidRPr="00E07570" w:rsidRDefault="00964DB7" w:rsidP="000E33B9">
      <w:pPr>
        <w:pStyle w:val="SingleTxtG"/>
        <w:ind w:left="2835" w:hanging="567"/>
        <w:rPr>
          <w:b/>
        </w:rPr>
      </w:pPr>
      <w:r w:rsidRPr="00E07570">
        <w:rPr>
          <w:b/>
        </w:rPr>
        <w:t>a)</w:t>
      </w:r>
      <w:r w:rsidRPr="00E07570">
        <w:rPr>
          <w:b/>
        </w:rPr>
        <w:tab/>
        <w:t>Le nom du fabricant ou la marque de fabrique</w:t>
      </w:r>
      <w:r w:rsidR="000E33B9" w:rsidRPr="00E07570">
        <w:rPr>
          <w:b/>
        </w:rPr>
        <w:t> </w:t>
      </w:r>
      <w:r w:rsidRPr="00E07570">
        <w:rPr>
          <w:b/>
        </w:rPr>
        <w:t>;</w:t>
      </w:r>
    </w:p>
    <w:p w:rsidR="00964DB7" w:rsidRPr="00E07570" w:rsidRDefault="00964DB7" w:rsidP="000E33B9">
      <w:pPr>
        <w:pStyle w:val="SingleTxtG"/>
        <w:ind w:left="2835" w:hanging="567"/>
        <w:rPr>
          <w:b/>
        </w:rPr>
      </w:pPr>
      <w:r w:rsidRPr="00E07570">
        <w:rPr>
          <w:b/>
        </w:rPr>
        <w:t>b)</w:t>
      </w:r>
      <w:r w:rsidRPr="00E07570">
        <w:rPr>
          <w:b/>
        </w:rPr>
        <w:tab/>
        <w:t>La construction.</w:t>
      </w:r>
    </w:p>
    <w:p w:rsidR="00964DB7" w:rsidRPr="00E07570" w:rsidRDefault="00964DB7" w:rsidP="002C74CB">
      <w:pPr>
        <w:pStyle w:val="HChG"/>
        <w:ind w:left="2268"/>
      </w:pPr>
      <w:r w:rsidRPr="00E07570">
        <w:t>4.</w:t>
      </w:r>
      <w:r w:rsidRPr="00E07570">
        <w:tab/>
        <w:t>Demande d</w:t>
      </w:r>
      <w:r w:rsidR="00145E4B">
        <w:t>’</w:t>
      </w:r>
      <w:r w:rsidRPr="00E07570">
        <w:t>homologation d</w:t>
      </w:r>
      <w:r w:rsidR="00145E4B">
        <w:t>’</w:t>
      </w:r>
      <w:r w:rsidRPr="00E07570">
        <w:t>un type d</w:t>
      </w:r>
      <w:r w:rsidR="00145E4B">
        <w:t>’</w:t>
      </w:r>
      <w:r w:rsidRPr="00E07570">
        <w:t>AECC</w:t>
      </w:r>
    </w:p>
    <w:p w:rsidR="00964DB7" w:rsidRPr="00E07570" w:rsidRDefault="00964DB7" w:rsidP="009E044E">
      <w:pPr>
        <w:pStyle w:val="SingleTxtG"/>
        <w:ind w:left="2268" w:hanging="1134"/>
        <w:rPr>
          <w:b/>
        </w:rPr>
      </w:pPr>
      <w:r w:rsidRPr="00E07570">
        <w:rPr>
          <w:b/>
        </w:rPr>
        <w:t>4.1</w:t>
      </w:r>
      <w:r w:rsidRPr="00E07570">
        <w:rPr>
          <w:b/>
        </w:rPr>
        <w:tab/>
        <w:t>La demande d</w:t>
      </w:r>
      <w:r w:rsidR="00145E4B">
        <w:rPr>
          <w:b/>
        </w:rPr>
        <w:t>’</w:t>
      </w:r>
      <w:r w:rsidRPr="00E07570">
        <w:rPr>
          <w:b/>
        </w:rPr>
        <w:t>homologation d</w:t>
      </w:r>
      <w:r w:rsidR="00145E4B">
        <w:rPr>
          <w:b/>
        </w:rPr>
        <w:t>’</w:t>
      </w:r>
      <w:r w:rsidRPr="00E07570">
        <w:rPr>
          <w:b/>
        </w:rPr>
        <w:t>un type d</w:t>
      </w:r>
      <w:r w:rsidR="00145E4B">
        <w:rPr>
          <w:b/>
        </w:rPr>
        <w:t>’</w:t>
      </w:r>
      <w:r w:rsidRPr="00E07570">
        <w:rPr>
          <w:b/>
        </w:rPr>
        <w:t>AECC doit être présentée par le détenteur de la marque de fabrique ou de commerce ou par son représentant dûment agréé.</w:t>
      </w:r>
    </w:p>
    <w:p w:rsidR="00964DB7" w:rsidRPr="00E07570" w:rsidRDefault="00964DB7" w:rsidP="009E044E">
      <w:pPr>
        <w:pStyle w:val="SingleTxtG"/>
        <w:ind w:left="2268" w:hanging="1134"/>
        <w:rPr>
          <w:b/>
        </w:rPr>
      </w:pPr>
      <w:r w:rsidRPr="00E07570">
        <w:rPr>
          <w:b/>
        </w:rPr>
        <w:t>4.2</w:t>
      </w:r>
      <w:r w:rsidRPr="00E07570">
        <w:rPr>
          <w:b/>
        </w:rPr>
        <w:tab/>
        <w:t>Un modèle de document d</w:t>
      </w:r>
      <w:r w:rsidR="00145E4B">
        <w:rPr>
          <w:b/>
        </w:rPr>
        <w:t>’</w:t>
      </w:r>
      <w:r w:rsidRPr="00E07570">
        <w:rPr>
          <w:b/>
        </w:rPr>
        <w:t>information est présenté à l</w:t>
      </w:r>
      <w:r w:rsidR="00145E4B">
        <w:rPr>
          <w:b/>
        </w:rPr>
        <w:t>’</w:t>
      </w:r>
      <w:r w:rsidRPr="00E07570">
        <w:rPr>
          <w:b/>
        </w:rPr>
        <w:t>annexe</w:t>
      </w:r>
      <w:r w:rsidR="000E33B9" w:rsidRPr="00E07570">
        <w:rPr>
          <w:b/>
        </w:rPr>
        <w:t> </w:t>
      </w:r>
      <w:r w:rsidRPr="00E07570">
        <w:rPr>
          <w:b/>
        </w:rPr>
        <w:t>5.</w:t>
      </w:r>
    </w:p>
    <w:p w:rsidR="00964DB7" w:rsidRPr="00E07570" w:rsidRDefault="00964DB7" w:rsidP="009E044E">
      <w:pPr>
        <w:pStyle w:val="SingleTxtG"/>
        <w:ind w:left="2268" w:hanging="1134"/>
        <w:rPr>
          <w:b/>
        </w:rPr>
      </w:pPr>
      <w:r w:rsidRPr="00E07570">
        <w:rPr>
          <w:b/>
        </w:rPr>
        <w:t>4.3</w:t>
      </w:r>
      <w:r w:rsidRPr="00E07570">
        <w:rPr>
          <w:b/>
        </w:rPr>
        <w:tab/>
        <w:t>Pour chaque type d</w:t>
      </w:r>
      <w:r w:rsidR="00145E4B">
        <w:rPr>
          <w:b/>
        </w:rPr>
        <w:t>’</w:t>
      </w:r>
      <w:r w:rsidRPr="00E07570">
        <w:rPr>
          <w:b/>
        </w:rPr>
        <w:t>AECC, la demande d</w:t>
      </w:r>
      <w:r w:rsidR="00145E4B">
        <w:rPr>
          <w:b/>
        </w:rPr>
        <w:t>’</w:t>
      </w:r>
      <w:r w:rsidRPr="00E07570">
        <w:rPr>
          <w:b/>
        </w:rPr>
        <w:t>homologation doit être accompagnée d</w:t>
      </w:r>
      <w:r w:rsidR="00145E4B">
        <w:rPr>
          <w:b/>
        </w:rPr>
        <w:t>’</w:t>
      </w:r>
      <w:r w:rsidRPr="00E07570">
        <w:rPr>
          <w:b/>
        </w:rPr>
        <w:t>échantillons d</w:t>
      </w:r>
      <w:r w:rsidR="00145E4B">
        <w:rPr>
          <w:b/>
        </w:rPr>
        <w:t>’</w:t>
      </w:r>
      <w:r w:rsidRPr="00E07570">
        <w:rPr>
          <w:b/>
        </w:rPr>
        <w:t>AECC complets représentatifs du type à homologuer, en quantités suffisantes pour les essais prescrits par le présent Règlement. Des échantillons supplémentaires peuvent être demandés par le service technique chargé d</w:t>
      </w:r>
      <w:r w:rsidR="00145E4B">
        <w:rPr>
          <w:b/>
        </w:rPr>
        <w:t>’</w:t>
      </w:r>
      <w:r w:rsidRPr="00E07570">
        <w:rPr>
          <w:b/>
        </w:rPr>
        <w:t>effectuer les essais.</w:t>
      </w:r>
    </w:p>
    <w:p w:rsidR="00964DB7" w:rsidRPr="00E07570" w:rsidRDefault="00964DB7" w:rsidP="002C74CB">
      <w:pPr>
        <w:pStyle w:val="HChG"/>
        <w:ind w:left="2268"/>
      </w:pPr>
      <w:r w:rsidRPr="00E07570">
        <w:t>5.</w:t>
      </w:r>
      <w:r w:rsidRPr="00E07570">
        <w:tab/>
        <w:t>Inscriptions</w:t>
      </w:r>
    </w:p>
    <w:p w:rsidR="00964DB7" w:rsidRPr="00E07570" w:rsidRDefault="00964DB7" w:rsidP="009E044E">
      <w:pPr>
        <w:pStyle w:val="SingleTxtG"/>
        <w:ind w:left="2268" w:hanging="1134"/>
        <w:rPr>
          <w:b/>
        </w:rPr>
      </w:pPr>
      <w:r w:rsidRPr="00E07570">
        <w:rPr>
          <w:b/>
        </w:rPr>
        <w:t>5.1</w:t>
      </w:r>
      <w:r w:rsidRPr="00E07570">
        <w:rPr>
          <w:b/>
        </w:rPr>
        <w:tab/>
        <w:t>Les échantillons d</w:t>
      </w:r>
      <w:r w:rsidR="00145E4B">
        <w:rPr>
          <w:b/>
        </w:rPr>
        <w:t>’</w:t>
      </w:r>
      <w:r w:rsidRPr="00E07570">
        <w:rPr>
          <w:b/>
        </w:rPr>
        <w:t>AECC présentés à l</w:t>
      </w:r>
      <w:r w:rsidR="00145E4B">
        <w:rPr>
          <w:b/>
        </w:rPr>
        <w:t>’</w:t>
      </w:r>
      <w:r w:rsidRPr="00E07570">
        <w:rPr>
          <w:b/>
        </w:rPr>
        <w:t>homologation doivent porter la marque de fabrique ou de commerce du fabricant. Cette marque doit être présente au moins sur l</w:t>
      </w:r>
      <w:r w:rsidR="00145E4B">
        <w:rPr>
          <w:b/>
        </w:rPr>
        <w:t>’</w:t>
      </w:r>
      <w:r w:rsidRPr="00E07570">
        <w:rPr>
          <w:b/>
        </w:rPr>
        <w:t>unité (ou les unités) renfermant le récepteur GNSS et le module de communication. Elle doit être clairement lis</w:t>
      </w:r>
      <w:r w:rsidR="00660CAA" w:rsidRPr="00E07570">
        <w:rPr>
          <w:b/>
        </w:rPr>
        <w:t>ibl</w:t>
      </w:r>
      <w:r w:rsidRPr="00E07570">
        <w:rPr>
          <w:b/>
        </w:rPr>
        <w:t>e et indélébile.</w:t>
      </w:r>
    </w:p>
    <w:p w:rsidR="00964DB7" w:rsidRPr="00E07570" w:rsidRDefault="00964DB7" w:rsidP="009E044E">
      <w:pPr>
        <w:pStyle w:val="SingleTxtG"/>
        <w:ind w:left="2268" w:hanging="1134"/>
        <w:rPr>
          <w:b/>
        </w:rPr>
      </w:pPr>
      <w:r w:rsidRPr="00E07570">
        <w:rPr>
          <w:b/>
        </w:rPr>
        <w:t>5.2</w:t>
      </w:r>
      <w:r w:rsidRPr="00E07570">
        <w:rPr>
          <w:b/>
        </w:rPr>
        <w:tab/>
        <w:t>Les dimensions de l</w:t>
      </w:r>
      <w:r w:rsidR="00145E4B">
        <w:rPr>
          <w:b/>
        </w:rPr>
        <w:t>’</w:t>
      </w:r>
      <w:r w:rsidRPr="00E07570">
        <w:rPr>
          <w:b/>
        </w:rPr>
        <w:t>unité (ou des unités) renfermant le récepteur GNSS et le module de communication doivent être suffisantes pour qu</w:t>
      </w:r>
      <w:r w:rsidR="00145E4B">
        <w:rPr>
          <w:b/>
        </w:rPr>
        <w:t>’</w:t>
      </w:r>
      <w:r w:rsidRPr="00E07570">
        <w:rPr>
          <w:b/>
        </w:rPr>
        <w:t>il soit poss</w:t>
      </w:r>
      <w:r w:rsidR="00660CAA" w:rsidRPr="00E07570">
        <w:rPr>
          <w:b/>
        </w:rPr>
        <w:t>ib</w:t>
      </w:r>
      <w:r w:rsidRPr="00E07570">
        <w:rPr>
          <w:b/>
        </w:rPr>
        <w:t>le d</w:t>
      </w:r>
      <w:r w:rsidR="00145E4B">
        <w:rPr>
          <w:b/>
        </w:rPr>
        <w:t>’</w:t>
      </w:r>
      <w:r w:rsidRPr="00E07570">
        <w:rPr>
          <w:b/>
        </w:rPr>
        <w:t>y placer la marque d</w:t>
      </w:r>
      <w:r w:rsidR="00145E4B">
        <w:rPr>
          <w:b/>
        </w:rPr>
        <w:t>’</w:t>
      </w:r>
      <w:r w:rsidRPr="00E07570">
        <w:rPr>
          <w:b/>
        </w:rPr>
        <w:t>homologation. L</w:t>
      </w:r>
      <w:r w:rsidR="00145E4B">
        <w:rPr>
          <w:b/>
        </w:rPr>
        <w:t>’</w:t>
      </w:r>
      <w:r w:rsidRPr="00E07570">
        <w:rPr>
          <w:b/>
        </w:rPr>
        <w:t>emplacement correspondant doit être indiqué sur les dessins visés à l</w:t>
      </w:r>
      <w:r w:rsidR="00145E4B">
        <w:rPr>
          <w:b/>
        </w:rPr>
        <w:t>’</w:t>
      </w:r>
      <w:r w:rsidRPr="00E07570">
        <w:rPr>
          <w:b/>
        </w:rPr>
        <w:t>annexe</w:t>
      </w:r>
      <w:r w:rsidR="001D1D2F" w:rsidRPr="00E07570">
        <w:rPr>
          <w:b/>
        </w:rPr>
        <w:t> </w:t>
      </w:r>
      <w:r w:rsidRPr="00E07570">
        <w:rPr>
          <w:b/>
        </w:rPr>
        <w:t>5.</w:t>
      </w:r>
    </w:p>
    <w:p w:rsidR="00964DB7" w:rsidRPr="00E07570" w:rsidRDefault="00964DB7" w:rsidP="002C74CB">
      <w:pPr>
        <w:pStyle w:val="HChG"/>
        <w:ind w:left="2268"/>
      </w:pPr>
      <w:r w:rsidRPr="00E07570">
        <w:t>6.</w:t>
      </w:r>
      <w:r w:rsidRPr="00E07570">
        <w:tab/>
        <w:t>Homologation</w:t>
      </w:r>
    </w:p>
    <w:p w:rsidR="00964DB7" w:rsidRPr="00E07570" w:rsidRDefault="00964DB7" w:rsidP="00905F4D">
      <w:pPr>
        <w:pStyle w:val="SingleTxtG"/>
        <w:ind w:left="2268"/>
        <w:rPr>
          <w:b/>
        </w:rPr>
      </w:pPr>
      <w:r w:rsidRPr="00E07570">
        <w:rPr>
          <w:b/>
        </w:rPr>
        <w:tab/>
        <w:t>Le fabricant doit fournir un dossier renseignant sur la conception de base de l</w:t>
      </w:r>
      <w:r w:rsidR="00145E4B">
        <w:rPr>
          <w:b/>
        </w:rPr>
        <w:t>’</w:t>
      </w:r>
      <w:r w:rsidRPr="00E07570">
        <w:rPr>
          <w:b/>
        </w:rPr>
        <w:t>AECC et la façon dont il est prévu de l</w:t>
      </w:r>
      <w:r w:rsidR="00145E4B">
        <w:rPr>
          <w:b/>
        </w:rPr>
        <w:t>’</w:t>
      </w:r>
      <w:r w:rsidRPr="00E07570">
        <w:rPr>
          <w:b/>
        </w:rPr>
        <w:t>associer (par un numéro d</w:t>
      </w:r>
      <w:r w:rsidR="00145E4B">
        <w:rPr>
          <w:b/>
        </w:rPr>
        <w:t>’</w:t>
      </w:r>
      <w:r w:rsidRPr="00E07570">
        <w:rPr>
          <w:b/>
        </w:rPr>
        <w:t>identification, par exemple) à d</w:t>
      </w:r>
      <w:r w:rsidR="00145E4B">
        <w:rPr>
          <w:b/>
        </w:rPr>
        <w:t>’</w:t>
      </w:r>
      <w:r w:rsidRPr="00E07570">
        <w:rPr>
          <w:b/>
        </w:rPr>
        <w:t>autres homologations ultérieures pour des AECD (parties</w:t>
      </w:r>
      <w:r w:rsidR="00905F4D" w:rsidRPr="00E07570">
        <w:rPr>
          <w:b/>
        </w:rPr>
        <w:t> </w:t>
      </w:r>
      <w:proofErr w:type="spellStart"/>
      <w:r w:rsidR="00A22689" w:rsidRPr="00E07570">
        <w:rPr>
          <w:b/>
        </w:rPr>
        <w:t>Ib</w:t>
      </w:r>
      <w:proofErr w:type="spellEnd"/>
      <w:r w:rsidRPr="00E07570">
        <w:rPr>
          <w:b/>
        </w:rPr>
        <w:t xml:space="preserve"> et II).</w:t>
      </w:r>
    </w:p>
    <w:p w:rsidR="00964DB7" w:rsidRPr="00E07570" w:rsidRDefault="00964DB7" w:rsidP="009E044E">
      <w:pPr>
        <w:pStyle w:val="SingleTxtG"/>
        <w:ind w:left="2268" w:hanging="1134"/>
        <w:rPr>
          <w:b/>
        </w:rPr>
      </w:pPr>
      <w:r w:rsidRPr="00E07570">
        <w:rPr>
          <w:b/>
        </w:rPr>
        <w:t>6.1</w:t>
      </w:r>
      <w:r w:rsidRPr="00E07570">
        <w:rPr>
          <w:b/>
        </w:rPr>
        <w:tab/>
        <w:t>Si les échantillons présentés à l</w:t>
      </w:r>
      <w:r w:rsidR="00145E4B">
        <w:rPr>
          <w:b/>
        </w:rPr>
        <w:t>’</w:t>
      </w:r>
      <w:r w:rsidRPr="00E07570">
        <w:rPr>
          <w:b/>
        </w:rPr>
        <w:t>homologation satisfont aux prescriptions du paragraphe</w:t>
      </w:r>
      <w:r w:rsidR="00905F4D" w:rsidRPr="00E07570">
        <w:rPr>
          <w:b/>
        </w:rPr>
        <w:t> </w:t>
      </w:r>
      <w:r w:rsidRPr="00E07570">
        <w:rPr>
          <w:b/>
        </w:rPr>
        <w:t>7 du présent Règlement, l</w:t>
      </w:r>
      <w:r w:rsidR="00145E4B">
        <w:rPr>
          <w:b/>
        </w:rPr>
        <w:t>’</w:t>
      </w:r>
      <w:r w:rsidRPr="00E07570">
        <w:rPr>
          <w:b/>
        </w:rPr>
        <w:t>homologation est accordée pour le type d</w:t>
      </w:r>
      <w:r w:rsidR="00145E4B">
        <w:rPr>
          <w:b/>
        </w:rPr>
        <w:t>’</w:t>
      </w:r>
      <w:r w:rsidRPr="00E07570">
        <w:rPr>
          <w:b/>
        </w:rPr>
        <w:t>AECC visé. Certaines dispositions du paragraphe</w:t>
      </w:r>
      <w:r w:rsidR="00905F4D" w:rsidRPr="00E07570">
        <w:rPr>
          <w:b/>
        </w:rPr>
        <w:t> </w:t>
      </w:r>
      <w:r w:rsidRPr="00E07570">
        <w:rPr>
          <w:b/>
        </w:rPr>
        <w:t>7 étant facultatives, l</w:t>
      </w:r>
      <w:r w:rsidR="00145E4B">
        <w:rPr>
          <w:b/>
        </w:rPr>
        <w:t>’</w:t>
      </w:r>
      <w:r w:rsidRPr="00E07570">
        <w:rPr>
          <w:b/>
        </w:rPr>
        <w:t>autorité compétente est priée d</w:t>
      </w:r>
      <w:r w:rsidR="00145E4B">
        <w:rPr>
          <w:b/>
        </w:rPr>
        <w:t>’</w:t>
      </w:r>
      <w:r w:rsidRPr="00E07570">
        <w:rPr>
          <w:b/>
        </w:rPr>
        <w:t>indiquer dans la fiche de communication (voir annexe</w:t>
      </w:r>
      <w:r w:rsidR="00905F4D" w:rsidRPr="00E07570">
        <w:rPr>
          <w:b/>
        </w:rPr>
        <w:t> </w:t>
      </w:r>
      <w:r w:rsidRPr="00E07570">
        <w:rPr>
          <w:b/>
        </w:rPr>
        <w:t>1) les vérifications qui ont été faites pour l</w:t>
      </w:r>
      <w:r w:rsidR="00145E4B">
        <w:rPr>
          <w:b/>
        </w:rPr>
        <w:t>’</w:t>
      </w:r>
      <w:r w:rsidRPr="00E07570">
        <w:rPr>
          <w:b/>
        </w:rPr>
        <w:t>AECC concerné.</w:t>
      </w:r>
    </w:p>
    <w:p w:rsidR="00964DB7" w:rsidRPr="00E07570" w:rsidRDefault="00964DB7" w:rsidP="009E044E">
      <w:pPr>
        <w:pStyle w:val="SingleTxtG"/>
        <w:ind w:left="2268" w:hanging="1134"/>
        <w:rPr>
          <w:b/>
        </w:rPr>
      </w:pPr>
      <w:r w:rsidRPr="00E07570">
        <w:rPr>
          <w:b/>
        </w:rPr>
        <w:t>6.2</w:t>
      </w:r>
      <w:r w:rsidRPr="00E07570">
        <w:rPr>
          <w:b/>
        </w:rPr>
        <w:tab/>
        <w:t>Chaque type homologué reçoit un numéro d</w:t>
      </w:r>
      <w:r w:rsidR="00145E4B">
        <w:rPr>
          <w:b/>
        </w:rPr>
        <w:t>’</w:t>
      </w:r>
      <w:r w:rsidRPr="00E07570">
        <w:rPr>
          <w:b/>
        </w:rPr>
        <w:t>homologation, dont les deux premiers chiffres (00</w:t>
      </w:r>
      <w:r w:rsidR="00905F4D" w:rsidRPr="00E07570">
        <w:rPr>
          <w:b/>
        </w:rPr>
        <w:t> </w:t>
      </w:r>
      <w:r w:rsidRPr="00E07570">
        <w:rPr>
          <w:b/>
        </w:rPr>
        <w:t>dans le cas présent) indiquent la série d</w:t>
      </w:r>
      <w:r w:rsidR="00145E4B">
        <w:rPr>
          <w:b/>
        </w:rPr>
        <w:t>’</w:t>
      </w:r>
      <w:r w:rsidRPr="00E07570">
        <w:rPr>
          <w:b/>
        </w:rPr>
        <w:t>amendements correspondant aux modifications techniques essentielles les plus récentes apportées au Règlement, à la date de délivrance de l</w:t>
      </w:r>
      <w:r w:rsidR="00145E4B">
        <w:rPr>
          <w:b/>
        </w:rPr>
        <w:t>’</w:t>
      </w:r>
      <w:r w:rsidRPr="00E07570">
        <w:rPr>
          <w:b/>
        </w:rPr>
        <w:t>homologation. La même Partie contractante ne peut pas attr</w:t>
      </w:r>
      <w:r w:rsidR="00660CAA" w:rsidRPr="00E07570">
        <w:rPr>
          <w:b/>
        </w:rPr>
        <w:t>ib</w:t>
      </w:r>
      <w:r w:rsidRPr="00E07570">
        <w:rPr>
          <w:b/>
        </w:rPr>
        <w:t>uer ce même numéro à un autre type d</w:t>
      </w:r>
      <w:r w:rsidR="00145E4B">
        <w:rPr>
          <w:b/>
        </w:rPr>
        <w:t>’</w:t>
      </w:r>
      <w:r w:rsidRPr="00E07570">
        <w:rPr>
          <w:b/>
        </w:rPr>
        <w:t>AECC.</w:t>
      </w:r>
    </w:p>
    <w:p w:rsidR="00964DB7" w:rsidRPr="00E07570" w:rsidRDefault="00964DB7" w:rsidP="002C74CB">
      <w:pPr>
        <w:pStyle w:val="SingleTxtG"/>
        <w:keepLines/>
        <w:ind w:left="2268" w:hanging="1134"/>
        <w:rPr>
          <w:b/>
        </w:rPr>
      </w:pPr>
      <w:r w:rsidRPr="00E07570">
        <w:rPr>
          <w:b/>
        </w:rPr>
        <w:t>6.3</w:t>
      </w:r>
      <w:r w:rsidRPr="00E07570">
        <w:rPr>
          <w:b/>
        </w:rPr>
        <w:tab/>
        <w:t>L</w:t>
      </w:r>
      <w:r w:rsidR="00145E4B">
        <w:rPr>
          <w:b/>
        </w:rPr>
        <w:t>’</w:t>
      </w:r>
      <w:r w:rsidRPr="00E07570">
        <w:rPr>
          <w:b/>
        </w:rPr>
        <w:t>homologation, le refus, l</w:t>
      </w:r>
      <w:r w:rsidR="00145E4B">
        <w:rPr>
          <w:b/>
        </w:rPr>
        <w:t>’</w:t>
      </w:r>
      <w:r w:rsidRPr="00E07570">
        <w:rPr>
          <w:b/>
        </w:rPr>
        <w:t>extension ou le retrait d</w:t>
      </w:r>
      <w:r w:rsidR="00145E4B">
        <w:rPr>
          <w:b/>
        </w:rPr>
        <w:t>’</w:t>
      </w:r>
      <w:r w:rsidRPr="00E07570">
        <w:rPr>
          <w:b/>
        </w:rPr>
        <w:t>homologation ou l</w:t>
      </w:r>
      <w:r w:rsidR="00145E4B">
        <w:rPr>
          <w:b/>
        </w:rPr>
        <w:t>’</w:t>
      </w:r>
      <w:r w:rsidRPr="00E07570">
        <w:rPr>
          <w:b/>
        </w:rPr>
        <w:t>arrêt définitif de la production d</w:t>
      </w:r>
      <w:r w:rsidR="00145E4B">
        <w:rPr>
          <w:b/>
        </w:rPr>
        <w:t>’</w:t>
      </w:r>
      <w:r w:rsidRPr="00E07570">
        <w:rPr>
          <w:b/>
        </w:rPr>
        <w:t>un type d</w:t>
      </w:r>
      <w:r w:rsidR="00145E4B">
        <w:rPr>
          <w:b/>
        </w:rPr>
        <w:t>’</w:t>
      </w:r>
      <w:r w:rsidRPr="00E07570">
        <w:rPr>
          <w:b/>
        </w:rPr>
        <w:t>AECC conformément au présent Règlement doivent être notifiés aux Parties à l</w:t>
      </w:r>
      <w:r w:rsidR="00145E4B">
        <w:rPr>
          <w:b/>
        </w:rPr>
        <w:t>’</w:t>
      </w:r>
      <w:r w:rsidRPr="00E07570">
        <w:rPr>
          <w:b/>
        </w:rPr>
        <w:t>Accord appliquant ledit Règlement, au moyen d</w:t>
      </w:r>
      <w:r w:rsidR="00145E4B">
        <w:rPr>
          <w:b/>
        </w:rPr>
        <w:t>’</w:t>
      </w:r>
      <w:r w:rsidRPr="00E07570">
        <w:rPr>
          <w:b/>
        </w:rPr>
        <w:t>une fiche conforme au modèle présenté à l</w:t>
      </w:r>
      <w:r w:rsidR="00145E4B">
        <w:rPr>
          <w:b/>
        </w:rPr>
        <w:t>’</w:t>
      </w:r>
      <w:r w:rsidRPr="00E07570">
        <w:rPr>
          <w:b/>
        </w:rPr>
        <w:t>annexe</w:t>
      </w:r>
      <w:r w:rsidR="0075263E" w:rsidRPr="00E07570">
        <w:rPr>
          <w:b/>
        </w:rPr>
        <w:t> </w:t>
      </w:r>
      <w:r w:rsidRPr="00E07570">
        <w:rPr>
          <w:b/>
        </w:rPr>
        <w:t>1 du Règlement.</w:t>
      </w:r>
    </w:p>
    <w:p w:rsidR="00964DB7" w:rsidRPr="00E07570" w:rsidRDefault="00964DB7" w:rsidP="009E044E">
      <w:pPr>
        <w:pStyle w:val="SingleTxtG"/>
        <w:ind w:left="2268" w:hanging="1134"/>
        <w:rPr>
          <w:b/>
        </w:rPr>
      </w:pPr>
      <w:r w:rsidRPr="00E07570">
        <w:rPr>
          <w:b/>
        </w:rPr>
        <w:t>6.4</w:t>
      </w:r>
      <w:r w:rsidRPr="00E07570">
        <w:rPr>
          <w:b/>
        </w:rPr>
        <w:tab/>
        <w:t>Sur tout AECC conforme à un type homologué en application du présent Règlement, il doit être apposé de manière vis</w:t>
      </w:r>
      <w:r w:rsidR="00660CAA" w:rsidRPr="00E07570">
        <w:rPr>
          <w:b/>
        </w:rPr>
        <w:t>ib</w:t>
      </w:r>
      <w:r w:rsidRPr="00E07570">
        <w:rPr>
          <w:b/>
        </w:rPr>
        <w:t>le, à l</w:t>
      </w:r>
      <w:r w:rsidR="00145E4B">
        <w:rPr>
          <w:b/>
        </w:rPr>
        <w:t>’</w:t>
      </w:r>
      <w:r w:rsidRPr="00E07570">
        <w:rPr>
          <w:b/>
        </w:rPr>
        <w:t>emplacement indiqué au paragraphe</w:t>
      </w:r>
      <w:r w:rsidR="002C74CB" w:rsidRPr="00E07570">
        <w:rPr>
          <w:b/>
        </w:rPr>
        <w:t> </w:t>
      </w:r>
      <w:r w:rsidRPr="00E07570">
        <w:rPr>
          <w:b/>
        </w:rPr>
        <w:t>5.2 ci-dessus, outre la marque prescrite au paragraphe</w:t>
      </w:r>
      <w:r w:rsidR="002C74CB" w:rsidRPr="00E07570">
        <w:rPr>
          <w:b/>
        </w:rPr>
        <w:t> </w:t>
      </w:r>
      <w:r w:rsidRPr="00E07570">
        <w:rPr>
          <w:b/>
        </w:rPr>
        <w:t>5.1, une marque d</w:t>
      </w:r>
      <w:r w:rsidR="00145E4B">
        <w:rPr>
          <w:b/>
        </w:rPr>
        <w:t>’</w:t>
      </w:r>
      <w:r w:rsidRPr="00E07570">
        <w:rPr>
          <w:b/>
        </w:rPr>
        <w:t>homologation internationale, conforme au modèle de l</w:t>
      </w:r>
      <w:r w:rsidR="00145E4B">
        <w:rPr>
          <w:b/>
        </w:rPr>
        <w:t>’</w:t>
      </w:r>
      <w:r w:rsidRPr="00E07570">
        <w:rPr>
          <w:b/>
        </w:rPr>
        <w:t>annexe</w:t>
      </w:r>
      <w:r w:rsidR="0075263E" w:rsidRPr="00E07570">
        <w:rPr>
          <w:b/>
        </w:rPr>
        <w:t> </w:t>
      </w:r>
      <w:r w:rsidRPr="00E07570">
        <w:rPr>
          <w:b/>
        </w:rPr>
        <w:t>1, composée</w:t>
      </w:r>
      <w:r w:rsidR="002C74CB" w:rsidRPr="00E07570">
        <w:rPr>
          <w:b/>
        </w:rPr>
        <w:t> </w:t>
      </w:r>
      <w:r w:rsidRPr="00E07570">
        <w:rPr>
          <w:b/>
        </w:rPr>
        <w:t>:</w:t>
      </w:r>
    </w:p>
    <w:p w:rsidR="00964DB7" w:rsidRPr="00E07570" w:rsidRDefault="00964DB7" w:rsidP="009E044E">
      <w:pPr>
        <w:pStyle w:val="SingleTxtG"/>
        <w:ind w:left="2268" w:hanging="1134"/>
        <w:rPr>
          <w:b/>
        </w:rPr>
      </w:pPr>
      <w:r w:rsidRPr="00E07570">
        <w:rPr>
          <w:b/>
        </w:rPr>
        <w:t>6.4.1</w:t>
      </w:r>
      <w:r w:rsidRPr="00E07570">
        <w:rPr>
          <w:b/>
        </w:rPr>
        <w:tab/>
        <w:t>D</w:t>
      </w:r>
      <w:r w:rsidR="00145E4B">
        <w:rPr>
          <w:b/>
        </w:rPr>
        <w:t>’</w:t>
      </w:r>
      <w:r w:rsidRPr="00E07570">
        <w:rPr>
          <w:b/>
        </w:rPr>
        <w:t>un cercle à l</w:t>
      </w:r>
      <w:r w:rsidR="00145E4B">
        <w:rPr>
          <w:b/>
        </w:rPr>
        <w:t>’</w:t>
      </w:r>
      <w:r w:rsidRPr="00E07570">
        <w:rPr>
          <w:b/>
        </w:rPr>
        <w:t>intérieur duquel est placée la lettre «</w:t>
      </w:r>
      <w:r w:rsidR="000B35C8" w:rsidRPr="00E07570">
        <w:rPr>
          <w:b/>
        </w:rPr>
        <w:t> </w:t>
      </w:r>
      <w:r w:rsidRPr="00E07570">
        <w:rPr>
          <w:b/>
        </w:rPr>
        <w:t>E</w:t>
      </w:r>
      <w:r w:rsidR="000B35C8" w:rsidRPr="00E07570">
        <w:rPr>
          <w:b/>
        </w:rPr>
        <w:t> </w:t>
      </w:r>
      <w:r w:rsidRPr="00E07570">
        <w:rPr>
          <w:b/>
        </w:rPr>
        <w:t>» suivie du numéro distinctif du pays qui a délivré l</w:t>
      </w:r>
      <w:r w:rsidR="00145E4B">
        <w:rPr>
          <w:b/>
        </w:rPr>
        <w:t>’</w:t>
      </w:r>
      <w:r w:rsidRPr="00E07570">
        <w:rPr>
          <w:b/>
        </w:rPr>
        <w:t>homologation;</w:t>
      </w:r>
    </w:p>
    <w:p w:rsidR="00964DB7" w:rsidRPr="00E07570" w:rsidRDefault="00964DB7" w:rsidP="009E044E">
      <w:pPr>
        <w:pStyle w:val="SingleTxtG"/>
        <w:ind w:left="2268" w:hanging="1134"/>
        <w:rPr>
          <w:b/>
        </w:rPr>
      </w:pPr>
      <w:r w:rsidRPr="00E07570">
        <w:rPr>
          <w:b/>
        </w:rPr>
        <w:t>6.4.2</w:t>
      </w:r>
      <w:r w:rsidRPr="00E07570">
        <w:rPr>
          <w:b/>
        </w:rPr>
        <w:tab/>
        <w:t>Du numéro du présent Règlement, suivi de la lettre «</w:t>
      </w:r>
      <w:r w:rsidR="000B35C8" w:rsidRPr="00E07570">
        <w:rPr>
          <w:b/>
        </w:rPr>
        <w:t> </w:t>
      </w:r>
      <w:r w:rsidRPr="00E07570">
        <w:rPr>
          <w:b/>
        </w:rPr>
        <w:t>R</w:t>
      </w:r>
      <w:r w:rsidR="000B35C8" w:rsidRPr="00E07570">
        <w:rPr>
          <w:b/>
        </w:rPr>
        <w:t> </w:t>
      </w:r>
      <w:r w:rsidRPr="00E07570">
        <w:rPr>
          <w:b/>
        </w:rPr>
        <w:t>», d</w:t>
      </w:r>
      <w:r w:rsidR="00145E4B">
        <w:rPr>
          <w:b/>
        </w:rPr>
        <w:t>’</w:t>
      </w:r>
      <w:r w:rsidRPr="00E07570">
        <w:rPr>
          <w:b/>
        </w:rPr>
        <w:t>un tiret et du numéro d</w:t>
      </w:r>
      <w:r w:rsidR="00145E4B">
        <w:rPr>
          <w:b/>
        </w:rPr>
        <w:t>’</w:t>
      </w:r>
      <w:r w:rsidRPr="00E07570">
        <w:rPr>
          <w:b/>
        </w:rPr>
        <w:t>homologation, placé à droite du cercle prévu au paragraphe</w:t>
      </w:r>
      <w:r w:rsidR="000B35C8" w:rsidRPr="00E07570">
        <w:rPr>
          <w:b/>
        </w:rPr>
        <w:t> </w:t>
      </w:r>
      <w:r w:rsidRPr="00E07570">
        <w:rPr>
          <w:b/>
        </w:rPr>
        <w:t>6.4.1.</w:t>
      </w:r>
    </w:p>
    <w:p w:rsidR="00964DB7" w:rsidRPr="00E07570" w:rsidRDefault="00964DB7" w:rsidP="009E044E">
      <w:pPr>
        <w:pStyle w:val="SingleTxtG"/>
        <w:ind w:left="2268" w:hanging="1134"/>
        <w:rPr>
          <w:b/>
        </w:rPr>
      </w:pPr>
      <w:r w:rsidRPr="00E07570">
        <w:rPr>
          <w:b/>
        </w:rPr>
        <w:t>6.5</w:t>
      </w:r>
      <w:r w:rsidRPr="00E07570">
        <w:rPr>
          <w:b/>
        </w:rPr>
        <w:tab/>
      </w:r>
      <w:r w:rsidRPr="00E07570">
        <w:rPr>
          <w:b/>
        </w:rPr>
        <w:tab/>
        <w:t>La marque d</w:t>
      </w:r>
      <w:r w:rsidR="00145E4B">
        <w:rPr>
          <w:b/>
        </w:rPr>
        <w:t>’</w:t>
      </w:r>
      <w:r w:rsidRPr="00E07570">
        <w:rPr>
          <w:b/>
        </w:rPr>
        <w:t>homo</w:t>
      </w:r>
      <w:r w:rsidR="000F41A5" w:rsidRPr="00E07570">
        <w:rPr>
          <w:b/>
        </w:rPr>
        <w:t>logation doit être nettement lisib</w:t>
      </w:r>
      <w:r w:rsidRPr="00E07570">
        <w:rPr>
          <w:b/>
        </w:rPr>
        <w:t>le et indélébile.</w:t>
      </w:r>
    </w:p>
    <w:p w:rsidR="00964DB7" w:rsidRPr="00E07570" w:rsidRDefault="007872E6" w:rsidP="007872E6">
      <w:pPr>
        <w:pStyle w:val="HChG"/>
        <w:ind w:left="2268"/>
      </w:pPr>
      <w:r w:rsidRPr="00E07570">
        <w:t>7.</w:t>
      </w:r>
      <w:r w:rsidRPr="00E07570">
        <w:tab/>
        <w:t>Prescriptions générales</w:t>
      </w:r>
    </w:p>
    <w:p w:rsidR="00964DB7" w:rsidRPr="00E07570" w:rsidRDefault="00964DB7" w:rsidP="009E044E">
      <w:pPr>
        <w:pStyle w:val="SingleTxtG"/>
        <w:ind w:left="2268" w:hanging="1134"/>
        <w:rPr>
          <w:b/>
        </w:rPr>
      </w:pPr>
      <w:r w:rsidRPr="00E07570">
        <w:rPr>
          <w:b/>
        </w:rPr>
        <w:t>7.1</w:t>
      </w:r>
      <w:r w:rsidRPr="00E07570">
        <w:rPr>
          <w:b/>
        </w:rPr>
        <w:tab/>
        <w:t>Si le demandeur de l</w:t>
      </w:r>
      <w:r w:rsidR="00145E4B">
        <w:rPr>
          <w:b/>
        </w:rPr>
        <w:t>’</w:t>
      </w:r>
      <w:r w:rsidRPr="00E07570">
        <w:rPr>
          <w:b/>
        </w:rPr>
        <w:t>homologation le demande, les dispositions de la présente section relatives à l</w:t>
      </w:r>
      <w:r w:rsidR="00145E4B">
        <w:rPr>
          <w:b/>
        </w:rPr>
        <w:t>’</w:t>
      </w:r>
      <w:r w:rsidRPr="00E07570">
        <w:rPr>
          <w:b/>
        </w:rPr>
        <w:t>envoi des données et à la liaison vocale peuvent faire partie de la procédure d</w:t>
      </w:r>
      <w:r w:rsidR="00145E4B">
        <w:rPr>
          <w:b/>
        </w:rPr>
        <w:t>’</w:t>
      </w:r>
      <w:r w:rsidRPr="00E07570">
        <w:rPr>
          <w:b/>
        </w:rPr>
        <w:t>homologation de type d</w:t>
      </w:r>
      <w:r w:rsidR="00145E4B">
        <w:rPr>
          <w:b/>
        </w:rPr>
        <w:t>’</w:t>
      </w:r>
      <w:r w:rsidRPr="00E07570">
        <w:rPr>
          <w:b/>
        </w:rPr>
        <w:t>un AECC. Dans ce cas, les prescriptions suivantes sont applicables.</w:t>
      </w:r>
    </w:p>
    <w:p w:rsidR="00964DB7" w:rsidRPr="00E07570" w:rsidRDefault="00964DB7" w:rsidP="000B35C8">
      <w:pPr>
        <w:pStyle w:val="SingleTxtG"/>
        <w:ind w:left="2268"/>
        <w:rPr>
          <w:b/>
        </w:rPr>
      </w:pPr>
      <w:r w:rsidRPr="00E07570">
        <w:rPr>
          <w:b/>
        </w:rPr>
        <w:tab/>
        <w:t>Dès réception du signal de déclenchement, l</w:t>
      </w:r>
      <w:r w:rsidR="00145E4B">
        <w:rPr>
          <w:b/>
        </w:rPr>
        <w:t>’</w:t>
      </w:r>
      <w:r w:rsidRPr="00E07570">
        <w:rPr>
          <w:b/>
        </w:rPr>
        <w:t>AECC doit envoyer des données et établir une liaison vocale avec le PSAP.</w:t>
      </w:r>
    </w:p>
    <w:p w:rsidR="00964DB7" w:rsidRPr="00E07570" w:rsidRDefault="00964DB7" w:rsidP="000B35C8">
      <w:pPr>
        <w:pStyle w:val="SingleTxtG"/>
        <w:ind w:left="2268"/>
        <w:rPr>
          <w:b/>
        </w:rPr>
      </w:pPr>
      <w:r w:rsidRPr="00E07570">
        <w:rPr>
          <w:b/>
        </w:rPr>
        <w:tab/>
        <w:t>Si la transmission de données échoue, l</w:t>
      </w:r>
      <w:r w:rsidR="00145E4B">
        <w:rPr>
          <w:b/>
        </w:rPr>
        <w:t>’</w:t>
      </w:r>
      <w:r w:rsidRPr="00E07570">
        <w:rPr>
          <w:b/>
        </w:rPr>
        <w:t>AECC doit réessayer d</w:t>
      </w:r>
      <w:r w:rsidR="00145E4B">
        <w:rPr>
          <w:b/>
        </w:rPr>
        <w:t>’</w:t>
      </w:r>
      <w:r w:rsidRPr="00E07570">
        <w:rPr>
          <w:b/>
        </w:rPr>
        <w:t>envoyer les données.</w:t>
      </w:r>
    </w:p>
    <w:p w:rsidR="00964DB7" w:rsidRPr="00E07570" w:rsidRDefault="00964DB7" w:rsidP="000B35C8">
      <w:pPr>
        <w:pStyle w:val="SingleTxtG"/>
        <w:ind w:left="2268"/>
        <w:rPr>
          <w:b/>
        </w:rPr>
      </w:pPr>
      <w:r w:rsidRPr="00E07570">
        <w:rPr>
          <w:b/>
        </w:rPr>
        <w:tab/>
        <w:t>Si l</w:t>
      </w:r>
      <w:r w:rsidR="00145E4B">
        <w:rPr>
          <w:b/>
        </w:rPr>
        <w:t>’</w:t>
      </w:r>
      <w:r w:rsidRPr="00E07570">
        <w:rPr>
          <w:b/>
        </w:rPr>
        <w:t>AECC réussit à envoyer des données mais perd ensuite la liaison vocale, il doit tenter de rétablir cette liaison.</w:t>
      </w:r>
    </w:p>
    <w:p w:rsidR="00964DB7" w:rsidRPr="00E07570" w:rsidRDefault="00964DB7" w:rsidP="000B35C8">
      <w:pPr>
        <w:pStyle w:val="SingleTxtG"/>
        <w:ind w:left="2268"/>
        <w:rPr>
          <w:b/>
        </w:rPr>
      </w:pPr>
      <w:r w:rsidRPr="00E07570">
        <w:rPr>
          <w:b/>
        </w:rPr>
        <w:tab/>
        <w:t>Si l</w:t>
      </w:r>
      <w:r w:rsidR="00145E4B">
        <w:rPr>
          <w:b/>
        </w:rPr>
        <w:t>’</w:t>
      </w:r>
      <w:r w:rsidRPr="00E07570">
        <w:rPr>
          <w:b/>
        </w:rPr>
        <w:t>AECC ne peut établir de liaison vocale et/ou envoyer des données sur le réseau mobile, il doit stocker les données dans une mémoire non volatile et tenter de retransmettre les données et d</w:t>
      </w:r>
      <w:r w:rsidR="00145E4B">
        <w:rPr>
          <w:b/>
        </w:rPr>
        <w:t>’</w:t>
      </w:r>
      <w:r w:rsidRPr="00E07570">
        <w:rPr>
          <w:b/>
        </w:rPr>
        <w:t>établir une liaison vocale.</w:t>
      </w:r>
    </w:p>
    <w:p w:rsidR="00964DB7" w:rsidRPr="00E07570" w:rsidRDefault="00964DB7" w:rsidP="009E044E">
      <w:pPr>
        <w:pStyle w:val="SingleTxtG"/>
        <w:ind w:left="2268" w:hanging="1134"/>
        <w:rPr>
          <w:b/>
        </w:rPr>
      </w:pPr>
      <w:r w:rsidRPr="00E07570">
        <w:rPr>
          <w:b/>
        </w:rPr>
        <w:t>7.2</w:t>
      </w:r>
      <w:r w:rsidRPr="00E07570">
        <w:rPr>
          <w:b/>
        </w:rPr>
        <w:tab/>
        <w:t>Si le demandeur de l</w:t>
      </w:r>
      <w:r w:rsidR="00145E4B">
        <w:rPr>
          <w:b/>
        </w:rPr>
        <w:t>’</w:t>
      </w:r>
      <w:r w:rsidRPr="00E07570">
        <w:rPr>
          <w:b/>
        </w:rPr>
        <w:t>homologation le demande, la compat</w:t>
      </w:r>
      <w:r w:rsidR="000F41A5" w:rsidRPr="00E07570">
        <w:rPr>
          <w:b/>
        </w:rPr>
        <w:t>ib</w:t>
      </w:r>
      <w:r w:rsidRPr="00E07570">
        <w:rPr>
          <w:b/>
        </w:rPr>
        <w:t>ilité électromagnétique peut faire partie de la procédure d</w:t>
      </w:r>
      <w:r w:rsidR="00145E4B">
        <w:rPr>
          <w:b/>
        </w:rPr>
        <w:t>’</w:t>
      </w:r>
      <w:r w:rsidRPr="00E07570">
        <w:rPr>
          <w:b/>
        </w:rPr>
        <w:t>homologation de type d</w:t>
      </w:r>
      <w:r w:rsidR="00145E4B">
        <w:rPr>
          <w:b/>
        </w:rPr>
        <w:t>’</w:t>
      </w:r>
      <w:r w:rsidRPr="00E07570">
        <w:rPr>
          <w:b/>
        </w:rPr>
        <w:t>un AECC. Dans ce cas, les prescriptions suivantes sont applicables.</w:t>
      </w:r>
    </w:p>
    <w:p w:rsidR="00964DB7" w:rsidRPr="00E07570" w:rsidRDefault="00964DB7" w:rsidP="00526716">
      <w:pPr>
        <w:pStyle w:val="SingleTxtG"/>
        <w:ind w:left="2268"/>
        <w:rPr>
          <w:b/>
        </w:rPr>
      </w:pPr>
      <w:r w:rsidRPr="00E07570">
        <w:rPr>
          <w:b/>
        </w:rPr>
        <w:tab/>
        <w:t>L</w:t>
      </w:r>
      <w:r w:rsidR="00145E4B">
        <w:rPr>
          <w:b/>
        </w:rPr>
        <w:t>’</w:t>
      </w:r>
      <w:r w:rsidRPr="00E07570">
        <w:rPr>
          <w:b/>
        </w:rPr>
        <w:t>efficacité de l</w:t>
      </w:r>
      <w:r w:rsidR="00145E4B">
        <w:rPr>
          <w:b/>
        </w:rPr>
        <w:t>’</w:t>
      </w:r>
      <w:r w:rsidRPr="00E07570">
        <w:rPr>
          <w:b/>
        </w:rPr>
        <w:t>AECC ne doit pas être perturbée par des champs magnétiques ou électriques. L</w:t>
      </w:r>
      <w:r w:rsidR="00145E4B">
        <w:rPr>
          <w:b/>
        </w:rPr>
        <w:t>’</w:t>
      </w:r>
      <w:r w:rsidRPr="00E07570">
        <w:rPr>
          <w:b/>
        </w:rPr>
        <w:t xml:space="preserve">AECC doit notamment être conforme aux </w:t>
      </w:r>
      <w:r w:rsidRPr="00E07570">
        <w:rPr>
          <w:b/>
          <w:spacing w:val="-4"/>
        </w:rPr>
        <w:t xml:space="preserve">prescriptions techniques et aux dispositions transitoires du Règlement </w:t>
      </w:r>
      <w:r w:rsidR="00526716" w:rsidRPr="00E07570">
        <w:rPr>
          <w:rFonts w:eastAsia="MS Mincho"/>
          <w:b/>
          <w:spacing w:val="-4"/>
          <w:szCs w:val="22"/>
        </w:rPr>
        <w:t>n</w:t>
      </w:r>
      <w:r w:rsidR="00526716" w:rsidRPr="00E07570">
        <w:rPr>
          <w:rFonts w:eastAsia="MS Mincho"/>
          <w:b/>
          <w:spacing w:val="-4"/>
          <w:szCs w:val="22"/>
          <w:vertAlign w:val="superscript"/>
        </w:rPr>
        <w:t>o</w:t>
      </w:r>
      <w:r w:rsidR="00526716" w:rsidRPr="00E07570">
        <w:rPr>
          <w:b/>
          <w:spacing w:val="-4"/>
        </w:rPr>
        <w:t> </w:t>
      </w:r>
      <w:r w:rsidRPr="00E07570">
        <w:rPr>
          <w:b/>
          <w:spacing w:val="-4"/>
        </w:rPr>
        <w:t>10,</w:t>
      </w:r>
      <w:r w:rsidRPr="00E07570">
        <w:rPr>
          <w:b/>
        </w:rPr>
        <w:t xml:space="preserve"> </w:t>
      </w:r>
      <w:r w:rsidRPr="00E07570">
        <w:rPr>
          <w:b/>
          <w:spacing w:val="-2"/>
        </w:rPr>
        <w:t>série</w:t>
      </w:r>
      <w:r w:rsidR="00526716" w:rsidRPr="00E07570">
        <w:rPr>
          <w:b/>
          <w:spacing w:val="-2"/>
        </w:rPr>
        <w:t> </w:t>
      </w:r>
      <w:r w:rsidRPr="00E07570">
        <w:rPr>
          <w:b/>
          <w:spacing w:val="-2"/>
        </w:rPr>
        <w:t>04 d</w:t>
      </w:r>
      <w:r w:rsidR="00145E4B">
        <w:rPr>
          <w:b/>
          <w:spacing w:val="-2"/>
        </w:rPr>
        <w:t>’</w:t>
      </w:r>
      <w:r w:rsidRPr="00E07570">
        <w:rPr>
          <w:b/>
          <w:spacing w:val="-2"/>
        </w:rPr>
        <w:t>amendements ou à toute autre série ultérieure d</w:t>
      </w:r>
      <w:r w:rsidR="00145E4B">
        <w:rPr>
          <w:b/>
          <w:spacing w:val="-2"/>
        </w:rPr>
        <w:t>’</w:t>
      </w:r>
      <w:r w:rsidRPr="00E07570">
        <w:rPr>
          <w:b/>
          <w:spacing w:val="-2"/>
        </w:rPr>
        <w:t>amendements.</w:t>
      </w:r>
    </w:p>
    <w:p w:rsidR="00964DB7" w:rsidRPr="00E07570" w:rsidRDefault="00964DB7" w:rsidP="009E044E">
      <w:pPr>
        <w:pStyle w:val="SingleTxtG"/>
        <w:ind w:left="2268" w:hanging="1134"/>
        <w:rPr>
          <w:b/>
        </w:rPr>
      </w:pPr>
      <w:r w:rsidRPr="00E07570">
        <w:rPr>
          <w:b/>
        </w:rPr>
        <w:t>7.3</w:t>
      </w:r>
      <w:r w:rsidRPr="00E07570">
        <w:rPr>
          <w:b/>
        </w:rPr>
        <w:tab/>
        <w:t>Détermination de la position</w:t>
      </w:r>
    </w:p>
    <w:p w:rsidR="00964DB7" w:rsidRPr="00E07570" w:rsidRDefault="00964DB7" w:rsidP="00526716">
      <w:pPr>
        <w:pStyle w:val="SingleTxtG"/>
        <w:ind w:left="2268"/>
        <w:rPr>
          <w:b/>
        </w:rPr>
      </w:pPr>
      <w:r w:rsidRPr="00E07570">
        <w:rPr>
          <w:b/>
        </w:rPr>
        <w:tab/>
        <w:t>Si le demandeur de l</w:t>
      </w:r>
      <w:r w:rsidR="00145E4B">
        <w:rPr>
          <w:b/>
        </w:rPr>
        <w:t>’</w:t>
      </w:r>
      <w:r w:rsidRPr="00E07570">
        <w:rPr>
          <w:b/>
        </w:rPr>
        <w:t>homologation le demande, la détermination de la position peut faire partie de la procédure d</w:t>
      </w:r>
      <w:r w:rsidR="00145E4B">
        <w:rPr>
          <w:b/>
        </w:rPr>
        <w:t>’</w:t>
      </w:r>
      <w:r w:rsidRPr="00E07570">
        <w:rPr>
          <w:b/>
        </w:rPr>
        <w:t>homologation de type d</w:t>
      </w:r>
      <w:r w:rsidR="00145E4B">
        <w:rPr>
          <w:b/>
        </w:rPr>
        <w:t>’</w:t>
      </w:r>
      <w:r w:rsidRPr="00E07570">
        <w:rPr>
          <w:b/>
        </w:rPr>
        <w:t>un AECC. Dans ce cas, les prescriptions suivantes sont applicables.</w:t>
      </w:r>
    </w:p>
    <w:p w:rsidR="00964DB7" w:rsidRPr="00E07570" w:rsidRDefault="00964DB7" w:rsidP="00526716">
      <w:pPr>
        <w:pStyle w:val="SingleTxtG"/>
        <w:ind w:left="2268"/>
        <w:rPr>
          <w:b/>
        </w:rPr>
      </w:pPr>
      <w:r w:rsidRPr="00E07570">
        <w:rPr>
          <w:b/>
        </w:rPr>
        <w:tab/>
        <w:t>Si l</w:t>
      </w:r>
      <w:r w:rsidR="00145E4B">
        <w:rPr>
          <w:b/>
        </w:rPr>
        <w:t>’</w:t>
      </w:r>
      <w:r w:rsidRPr="00E07570">
        <w:rPr>
          <w:b/>
        </w:rPr>
        <w:t>AECC est équipé, conformément au paragraphe</w:t>
      </w:r>
      <w:r w:rsidR="00526716" w:rsidRPr="00E07570">
        <w:rPr>
          <w:b/>
        </w:rPr>
        <w:t> </w:t>
      </w:r>
      <w:r w:rsidRPr="00E07570">
        <w:rPr>
          <w:b/>
        </w:rPr>
        <w:t>1.4, d</w:t>
      </w:r>
      <w:r w:rsidR="00145E4B">
        <w:rPr>
          <w:b/>
        </w:rPr>
        <w:t>’</w:t>
      </w:r>
      <w:r w:rsidRPr="00E07570">
        <w:rPr>
          <w:b/>
        </w:rPr>
        <w:t>un récepteur GNSS qui capte les signaux d</w:t>
      </w:r>
      <w:r w:rsidR="00145E4B">
        <w:rPr>
          <w:b/>
        </w:rPr>
        <w:t>’</w:t>
      </w:r>
      <w:r w:rsidRPr="00E07570">
        <w:rPr>
          <w:b/>
        </w:rPr>
        <w:t xml:space="preserve">au moins trois systèmes de navigation (GLONASS, </w:t>
      </w:r>
      <w:r w:rsidR="002B669D" w:rsidRPr="00E07570">
        <w:rPr>
          <w:b/>
        </w:rPr>
        <w:t>Galileo</w:t>
      </w:r>
      <w:r w:rsidRPr="00E07570">
        <w:rPr>
          <w:b/>
        </w:rPr>
        <w:t xml:space="preserve"> et GPS), et qu</w:t>
      </w:r>
      <w:r w:rsidR="00145E4B">
        <w:rPr>
          <w:b/>
        </w:rPr>
        <w:t>’</w:t>
      </w:r>
      <w:r w:rsidRPr="00E07570">
        <w:rPr>
          <w:b/>
        </w:rPr>
        <w:t>il est capable de recevoir et de traiter des signaux SBAS, il doit satisfaire aux prescriptions des paragraphes</w:t>
      </w:r>
      <w:r w:rsidR="00526716" w:rsidRPr="00E07570">
        <w:rPr>
          <w:b/>
        </w:rPr>
        <w:t> </w:t>
      </w:r>
      <w:r w:rsidRPr="00E07570">
        <w:rPr>
          <w:b/>
        </w:rPr>
        <w:t>7.3.1 à 7.3.11.</w:t>
      </w:r>
    </w:p>
    <w:p w:rsidR="00964DB7" w:rsidRPr="00E07570" w:rsidRDefault="00964DB7" w:rsidP="008275AC">
      <w:pPr>
        <w:pStyle w:val="SingleTxtG"/>
        <w:ind w:left="2268"/>
        <w:rPr>
          <w:b/>
        </w:rPr>
      </w:pPr>
      <w:r w:rsidRPr="00E07570">
        <w:rPr>
          <w:b/>
        </w:rPr>
        <w:tab/>
        <w:t>La capacité de positionnement de l</w:t>
      </w:r>
      <w:r w:rsidR="00145E4B">
        <w:rPr>
          <w:b/>
        </w:rPr>
        <w:t>’</w:t>
      </w:r>
      <w:r w:rsidRPr="00E07570">
        <w:rPr>
          <w:b/>
        </w:rPr>
        <w:t>AECC peut être démontrée au moyen des méthodes d</w:t>
      </w:r>
      <w:r w:rsidR="00145E4B">
        <w:rPr>
          <w:b/>
        </w:rPr>
        <w:t>’</w:t>
      </w:r>
      <w:r w:rsidRPr="00E07570">
        <w:rPr>
          <w:b/>
        </w:rPr>
        <w:t>essai décrites à l</w:t>
      </w:r>
      <w:r w:rsidR="00145E4B">
        <w:rPr>
          <w:b/>
        </w:rPr>
        <w:t>’</w:t>
      </w:r>
      <w:r w:rsidRPr="00E07570">
        <w:rPr>
          <w:b/>
        </w:rPr>
        <w:t>annexe</w:t>
      </w:r>
      <w:r w:rsidR="008275AC" w:rsidRPr="00E07570">
        <w:rPr>
          <w:b/>
        </w:rPr>
        <w:t> </w:t>
      </w:r>
      <w:r w:rsidRPr="00E07570">
        <w:rPr>
          <w:b/>
        </w:rPr>
        <w:t>10 (Méthodes d</w:t>
      </w:r>
      <w:r w:rsidR="00145E4B">
        <w:rPr>
          <w:b/>
        </w:rPr>
        <w:t>’</w:t>
      </w:r>
      <w:r w:rsidRPr="00E07570">
        <w:rPr>
          <w:b/>
        </w:rPr>
        <w:t>essai pour les solutions de navigation).</w:t>
      </w:r>
    </w:p>
    <w:p w:rsidR="00964DB7" w:rsidRPr="00E07570" w:rsidRDefault="00964DB7" w:rsidP="009E044E">
      <w:pPr>
        <w:pStyle w:val="SingleTxtG"/>
        <w:ind w:left="2268" w:hanging="1134"/>
        <w:rPr>
          <w:b/>
        </w:rPr>
      </w:pPr>
      <w:r w:rsidRPr="00E07570">
        <w:rPr>
          <w:b/>
        </w:rPr>
        <w:t>7.3.1</w:t>
      </w:r>
      <w:r w:rsidRPr="00E07570">
        <w:rPr>
          <w:b/>
        </w:rPr>
        <w:tab/>
        <w:t>Le récepteur GNSS doit être capable de produire la solution de navigation dans un format conforme au protocole</w:t>
      </w:r>
      <w:r w:rsidR="003B0BA2" w:rsidRPr="00E07570">
        <w:rPr>
          <w:b/>
        </w:rPr>
        <w:t> </w:t>
      </w:r>
      <w:r w:rsidRPr="00E07570">
        <w:rPr>
          <w:b/>
        </w:rPr>
        <w:t>NMEA-0183 (messages RMC, GGA, VTG, GSA ou GSV). La configuration de l</w:t>
      </w:r>
      <w:r w:rsidR="00145E4B">
        <w:rPr>
          <w:b/>
        </w:rPr>
        <w:t>’</w:t>
      </w:r>
      <w:r w:rsidRPr="00E07570">
        <w:rPr>
          <w:b/>
        </w:rPr>
        <w:t>AECC pour la production de messages NMEA-0183 doit être décrite dans le mode d</w:t>
      </w:r>
      <w:r w:rsidR="00145E4B">
        <w:rPr>
          <w:b/>
        </w:rPr>
        <w:t>’</w:t>
      </w:r>
      <w:r w:rsidRPr="00E07570">
        <w:rPr>
          <w:b/>
        </w:rPr>
        <w:t>emploi.</w:t>
      </w:r>
    </w:p>
    <w:p w:rsidR="00964DB7" w:rsidRPr="00E07570" w:rsidRDefault="00964DB7" w:rsidP="009E044E">
      <w:pPr>
        <w:pStyle w:val="SingleTxtG"/>
        <w:ind w:left="2268" w:hanging="1134"/>
        <w:rPr>
          <w:b/>
        </w:rPr>
      </w:pPr>
      <w:r w:rsidRPr="00E07570">
        <w:rPr>
          <w:b/>
        </w:rPr>
        <w:t>7.3.2</w:t>
      </w:r>
      <w:r w:rsidRPr="00E07570">
        <w:rPr>
          <w:b/>
        </w:rPr>
        <w:tab/>
        <w:t>Le récepteur GNSS faisant partie de l</w:t>
      </w:r>
      <w:r w:rsidR="00145E4B">
        <w:rPr>
          <w:b/>
        </w:rPr>
        <w:t>’</w:t>
      </w:r>
      <w:r w:rsidRPr="00E07570">
        <w:rPr>
          <w:b/>
        </w:rPr>
        <w:t>AECC doit être capable de recevoir et de traiter des signaux GNSS dans la bande</w:t>
      </w:r>
      <w:r w:rsidR="008275AC" w:rsidRPr="00E07570">
        <w:rPr>
          <w:b/>
        </w:rPr>
        <w:t> </w:t>
      </w:r>
      <w:r w:rsidRPr="00E07570">
        <w:rPr>
          <w:b/>
        </w:rPr>
        <w:t>L1/E1 provenant d</w:t>
      </w:r>
      <w:r w:rsidR="00145E4B">
        <w:rPr>
          <w:b/>
        </w:rPr>
        <w:t>’</w:t>
      </w:r>
      <w:r w:rsidRPr="00E07570">
        <w:rPr>
          <w:b/>
        </w:rPr>
        <w:t xml:space="preserve">au moins trois systèmes mondiaux de navigation par satellite, par exemple GLONASS, </w:t>
      </w:r>
      <w:r w:rsidR="002B669D" w:rsidRPr="00E07570">
        <w:rPr>
          <w:b/>
        </w:rPr>
        <w:t>Galileo</w:t>
      </w:r>
      <w:r w:rsidRPr="00E07570">
        <w:rPr>
          <w:b/>
        </w:rPr>
        <w:t xml:space="preserve"> et GPS.</w:t>
      </w:r>
    </w:p>
    <w:p w:rsidR="00964DB7" w:rsidRPr="00E07570" w:rsidRDefault="00964DB7" w:rsidP="009E044E">
      <w:pPr>
        <w:pStyle w:val="SingleTxtG"/>
        <w:ind w:left="2268" w:hanging="1134"/>
        <w:rPr>
          <w:b/>
        </w:rPr>
      </w:pPr>
      <w:r w:rsidRPr="00E07570">
        <w:rPr>
          <w:b/>
        </w:rPr>
        <w:t>7.3.3</w:t>
      </w:r>
      <w:r w:rsidRPr="00E07570">
        <w:rPr>
          <w:b/>
        </w:rPr>
        <w:tab/>
        <w:t>Le récepteur GNSS faisant partie d</w:t>
      </w:r>
      <w:r w:rsidR="00145E4B">
        <w:rPr>
          <w:b/>
        </w:rPr>
        <w:t>’</w:t>
      </w:r>
      <w:r w:rsidRPr="00E07570">
        <w:rPr>
          <w:b/>
        </w:rPr>
        <w:t>un AECC doit être capable de recevoir et de traiter des signaux GNSS combinés dans la bande</w:t>
      </w:r>
      <w:r w:rsidR="008275AC" w:rsidRPr="00E07570">
        <w:rPr>
          <w:b/>
        </w:rPr>
        <w:t> </w:t>
      </w:r>
      <w:r w:rsidRPr="00E07570">
        <w:rPr>
          <w:b/>
        </w:rPr>
        <w:t>L1/E1 provenant d</w:t>
      </w:r>
      <w:r w:rsidR="00145E4B">
        <w:rPr>
          <w:b/>
        </w:rPr>
        <w:t>’</w:t>
      </w:r>
      <w:r w:rsidRPr="00E07570">
        <w:rPr>
          <w:b/>
        </w:rPr>
        <w:t xml:space="preserve">au moins trois systèmes mondiaux de navigation par satellite, parmi lesquels GLONASS, </w:t>
      </w:r>
      <w:r w:rsidR="002B669D" w:rsidRPr="00E07570">
        <w:rPr>
          <w:b/>
        </w:rPr>
        <w:t>Galileo</w:t>
      </w:r>
      <w:r w:rsidRPr="00E07570">
        <w:rPr>
          <w:b/>
        </w:rPr>
        <w:t>, GPS et SBAS.</w:t>
      </w:r>
    </w:p>
    <w:p w:rsidR="00964DB7" w:rsidRPr="00E07570" w:rsidRDefault="00964DB7" w:rsidP="009E044E">
      <w:pPr>
        <w:pStyle w:val="SingleTxtG"/>
        <w:ind w:left="2268" w:hanging="1134"/>
        <w:rPr>
          <w:b/>
        </w:rPr>
      </w:pPr>
      <w:r w:rsidRPr="00E07570">
        <w:rPr>
          <w:b/>
        </w:rPr>
        <w:t>7.3.4</w:t>
      </w:r>
      <w:r w:rsidRPr="00E07570">
        <w:rPr>
          <w:b/>
        </w:rPr>
        <w:tab/>
        <w:t>Le récepteur GNSS faisant partie d</w:t>
      </w:r>
      <w:r w:rsidR="00145E4B">
        <w:rPr>
          <w:b/>
        </w:rPr>
        <w:t>’</w:t>
      </w:r>
      <w:r w:rsidRPr="00E07570">
        <w:rPr>
          <w:b/>
        </w:rPr>
        <w:t>un AECC doit être capable de fournir des renseignements concernant la position du véhicule dans le système de coordonnées WGS-84.</w:t>
      </w:r>
    </w:p>
    <w:p w:rsidR="00964DB7" w:rsidRPr="00E07570" w:rsidRDefault="00964DB7" w:rsidP="009E044E">
      <w:pPr>
        <w:pStyle w:val="SingleTxtG"/>
        <w:ind w:left="2268" w:hanging="1134"/>
        <w:rPr>
          <w:b/>
        </w:rPr>
      </w:pPr>
      <w:r w:rsidRPr="00E07570">
        <w:rPr>
          <w:b/>
        </w:rPr>
        <w:t>7.3.5</w:t>
      </w:r>
      <w:r w:rsidRPr="00E07570">
        <w:rPr>
          <w:b/>
        </w:rPr>
        <w:tab/>
        <w:t>L</w:t>
      </w:r>
      <w:r w:rsidR="00145E4B">
        <w:rPr>
          <w:b/>
        </w:rPr>
        <w:t>’</w:t>
      </w:r>
      <w:r w:rsidRPr="00E07570">
        <w:rPr>
          <w:b/>
        </w:rPr>
        <w:t>erreur de position dans le sens horizontal ne doit pas dépasser</w:t>
      </w:r>
      <w:r w:rsidR="0045151C" w:rsidRPr="00E07570">
        <w:rPr>
          <w:b/>
        </w:rPr>
        <w:t> </w:t>
      </w:r>
      <w:r w:rsidRPr="00E07570">
        <w:rPr>
          <w:b/>
        </w:rPr>
        <w:t>:</w:t>
      </w:r>
    </w:p>
    <w:p w:rsidR="00964DB7" w:rsidRPr="00E07570" w:rsidRDefault="00964DB7" w:rsidP="008275AC">
      <w:pPr>
        <w:pStyle w:val="SingleTxtG"/>
        <w:ind w:left="2835" w:hanging="567"/>
        <w:rPr>
          <w:b/>
        </w:rPr>
      </w:pPr>
      <w:r w:rsidRPr="00E07570">
        <w:rPr>
          <w:b/>
        </w:rPr>
        <w:t>a)</w:t>
      </w:r>
      <w:r w:rsidRPr="00E07570">
        <w:rPr>
          <w:b/>
        </w:rPr>
        <w:tab/>
      </w:r>
      <w:r w:rsidRPr="00E07570">
        <w:rPr>
          <w:b/>
        </w:rPr>
        <w:tab/>
        <w:t>En mode «</w:t>
      </w:r>
      <w:r w:rsidR="008275AC" w:rsidRPr="00E07570">
        <w:rPr>
          <w:b/>
        </w:rPr>
        <w:t> </w:t>
      </w:r>
      <w:r w:rsidRPr="00E07570">
        <w:rPr>
          <w:b/>
        </w:rPr>
        <w:t>ciel ouvert</w:t>
      </w:r>
      <w:r w:rsidR="008275AC" w:rsidRPr="00E07570">
        <w:rPr>
          <w:b/>
        </w:rPr>
        <w:t> </w:t>
      </w:r>
      <w:r w:rsidRPr="00E07570">
        <w:rPr>
          <w:b/>
        </w:rPr>
        <w:t>», 15</w:t>
      </w:r>
      <w:r w:rsidR="008275AC" w:rsidRPr="00E07570">
        <w:rPr>
          <w:b/>
        </w:rPr>
        <w:t> </w:t>
      </w:r>
      <w:r w:rsidRPr="00E07570">
        <w:rPr>
          <w:b/>
        </w:rPr>
        <w:t>m avec un taux de fiabilité de 0,95 et un PDOP compris entre 2 et 2,5</w:t>
      </w:r>
      <w:r w:rsidR="0045151C" w:rsidRPr="00E07570">
        <w:rPr>
          <w:b/>
        </w:rPr>
        <w:t> </w:t>
      </w:r>
      <w:r w:rsidRPr="00E07570">
        <w:rPr>
          <w:b/>
        </w:rPr>
        <w:t>;</w:t>
      </w:r>
    </w:p>
    <w:p w:rsidR="00964DB7" w:rsidRPr="00E07570" w:rsidRDefault="00964DB7" w:rsidP="008275AC">
      <w:pPr>
        <w:pStyle w:val="SingleTxtG"/>
        <w:ind w:left="2835" w:hanging="567"/>
        <w:rPr>
          <w:b/>
        </w:rPr>
      </w:pPr>
      <w:r w:rsidRPr="00E07570">
        <w:rPr>
          <w:b/>
        </w:rPr>
        <w:t>b)</w:t>
      </w:r>
      <w:r w:rsidRPr="00E07570">
        <w:rPr>
          <w:b/>
        </w:rPr>
        <w:tab/>
        <w:t>En mode «</w:t>
      </w:r>
      <w:r w:rsidR="008275AC" w:rsidRPr="00E07570">
        <w:rPr>
          <w:b/>
        </w:rPr>
        <w:t> </w:t>
      </w:r>
      <w:r w:rsidRPr="00E07570">
        <w:rPr>
          <w:b/>
        </w:rPr>
        <w:t>canyon urbain</w:t>
      </w:r>
      <w:r w:rsidR="008275AC" w:rsidRPr="00E07570">
        <w:rPr>
          <w:b/>
        </w:rPr>
        <w:t> </w:t>
      </w:r>
      <w:r w:rsidRPr="00E07570">
        <w:rPr>
          <w:b/>
        </w:rPr>
        <w:t>», 40</w:t>
      </w:r>
      <w:r w:rsidR="008275AC" w:rsidRPr="00E07570">
        <w:rPr>
          <w:b/>
        </w:rPr>
        <w:t> </w:t>
      </w:r>
      <w:r w:rsidRPr="00E07570">
        <w:rPr>
          <w:b/>
        </w:rPr>
        <w:t>m avec un taux de fiabilité de 0,95 et un PDOP compris entre 3,5 et 4.</w:t>
      </w:r>
    </w:p>
    <w:p w:rsidR="00964DB7" w:rsidRPr="00E07570" w:rsidRDefault="00964DB7" w:rsidP="00A55D9A">
      <w:pPr>
        <w:pStyle w:val="SingleTxtG"/>
        <w:ind w:left="2268" w:hanging="1134"/>
        <w:rPr>
          <w:b/>
        </w:rPr>
      </w:pPr>
      <w:r w:rsidRPr="00E07570">
        <w:rPr>
          <w:b/>
        </w:rPr>
        <w:t>7.3.6</w:t>
      </w:r>
      <w:r w:rsidRPr="00E07570">
        <w:rPr>
          <w:b/>
        </w:rPr>
        <w:tab/>
        <w:t>Les prescriptions de précision doivent être fournies</w:t>
      </w:r>
      <w:r w:rsidR="00A55D9A" w:rsidRPr="00E07570">
        <w:rPr>
          <w:b/>
        </w:rPr>
        <w:t> </w:t>
      </w:r>
      <w:r w:rsidRPr="00E07570">
        <w:rPr>
          <w:b/>
        </w:rPr>
        <w:t>:</w:t>
      </w:r>
    </w:p>
    <w:p w:rsidR="00964DB7" w:rsidRPr="00E07570" w:rsidRDefault="00964DB7" w:rsidP="008275AC">
      <w:pPr>
        <w:pStyle w:val="SingleTxtG"/>
        <w:ind w:left="2835" w:hanging="567"/>
        <w:rPr>
          <w:b/>
        </w:rPr>
      </w:pPr>
      <w:r w:rsidRPr="00E07570">
        <w:rPr>
          <w:b/>
        </w:rPr>
        <w:t>a)</w:t>
      </w:r>
      <w:r w:rsidRPr="00E07570">
        <w:rPr>
          <w:b/>
        </w:rPr>
        <w:tab/>
        <w:t>Pour une vitesse comprise entre 0 et 140</w:t>
      </w:r>
      <w:r w:rsidR="0045151C" w:rsidRPr="00E07570">
        <w:rPr>
          <w:b/>
        </w:rPr>
        <w:t> </w:t>
      </w:r>
      <w:r w:rsidRPr="00E07570">
        <w:rPr>
          <w:b/>
        </w:rPr>
        <w:t>km/h</w:t>
      </w:r>
      <w:r w:rsidR="0045151C" w:rsidRPr="00E07570">
        <w:rPr>
          <w:b/>
        </w:rPr>
        <w:t> </w:t>
      </w:r>
      <w:r w:rsidRPr="00E07570">
        <w:rPr>
          <w:b/>
        </w:rPr>
        <w:t>;</w:t>
      </w:r>
    </w:p>
    <w:p w:rsidR="00964DB7" w:rsidRPr="00E07570" w:rsidRDefault="00964DB7" w:rsidP="008275AC">
      <w:pPr>
        <w:pStyle w:val="SingleTxtG"/>
        <w:ind w:left="2835" w:hanging="567"/>
        <w:rPr>
          <w:b/>
        </w:rPr>
      </w:pPr>
      <w:r w:rsidRPr="00E07570">
        <w:rPr>
          <w:b/>
        </w:rPr>
        <w:t>b)</w:t>
      </w:r>
      <w:r w:rsidRPr="00E07570">
        <w:rPr>
          <w:b/>
        </w:rPr>
        <w:tab/>
        <w:t>Pour une accélération linéaire comprise entre 0 et 2</w:t>
      </w:r>
      <w:r w:rsidR="0045151C" w:rsidRPr="00E07570">
        <w:rPr>
          <w:b/>
        </w:rPr>
        <w:t> </w:t>
      </w:r>
      <w:r w:rsidRPr="00E07570">
        <w:rPr>
          <w:b/>
        </w:rPr>
        <w:t>g.</w:t>
      </w:r>
    </w:p>
    <w:p w:rsidR="00964DB7" w:rsidRPr="00E07570" w:rsidRDefault="00964DB7" w:rsidP="009E044E">
      <w:pPr>
        <w:pStyle w:val="SingleTxtG"/>
        <w:ind w:left="2268" w:hanging="1134"/>
        <w:rPr>
          <w:b/>
        </w:rPr>
      </w:pPr>
      <w:r w:rsidRPr="00E07570">
        <w:rPr>
          <w:b/>
        </w:rPr>
        <w:t>7.3.7</w:t>
      </w:r>
      <w:r w:rsidRPr="00E07570">
        <w:rPr>
          <w:b/>
        </w:rPr>
        <w:tab/>
      </w:r>
      <w:r w:rsidR="00305F8B" w:rsidRPr="00E07570">
        <w:rPr>
          <w:b/>
        </w:rPr>
        <w:t>Sensibilité</w:t>
      </w:r>
      <w:r w:rsidR="00DA623A" w:rsidRPr="00E07570">
        <w:rPr>
          <w:b/>
        </w:rPr>
        <w:t xml:space="preserve"> </w:t>
      </w:r>
      <w:r w:rsidRPr="00E07570">
        <w:rPr>
          <w:b/>
        </w:rPr>
        <w:t>à l</w:t>
      </w:r>
      <w:r w:rsidR="00145E4B">
        <w:rPr>
          <w:b/>
        </w:rPr>
        <w:t>’</w:t>
      </w:r>
      <w:r w:rsidRPr="00E07570">
        <w:rPr>
          <w:b/>
        </w:rPr>
        <w:t>entrée du récepteur</w:t>
      </w:r>
      <w:r w:rsidR="0045151C" w:rsidRPr="00E07570">
        <w:rPr>
          <w:b/>
        </w:rPr>
        <w:t> </w:t>
      </w:r>
      <w:r w:rsidRPr="00E07570">
        <w:rPr>
          <w:b/>
        </w:rPr>
        <w:t>:</w:t>
      </w:r>
    </w:p>
    <w:p w:rsidR="00964DB7" w:rsidRPr="00E07570" w:rsidRDefault="00964DB7" w:rsidP="008275AC">
      <w:pPr>
        <w:pStyle w:val="SingleTxtG"/>
        <w:ind w:left="2835" w:hanging="567"/>
        <w:rPr>
          <w:b/>
        </w:rPr>
      </w:pPr>
      <w:r w:rsidRPr="00E07570">
        <w:rPr>
          <w:b/>
        </w:rPr>
        <w:t>a)</w:t>
      </w:r>
      <w:r w:rsidRPr="00E07570">
        <w:rPr>
          <w:b/>
        </w:rPr>
        <w:tab/>
        <w:t>La détection des signaux GNSS (départ à froid) ne doit pas dépasser 3</w:t>
      </w:r>
      <w:r w:rsidR="00A55D9A" w:rsidRPr="00E07570">
        <w:rPr>
          <w:b/>
        </w:rPr>
        <w:t> </w:t>
      </w:r>
      <w:r w:rsidRPr="00E07570">
        <w:rPr>
          <w:b/>
        </w:rPr>
        <w:t>600</w:t>
      </w:r>
      <w:r w:rsidR="00A55D9A" w:rsidRPr="00E07570">
        <w:rPr>
          <w:b/>
        </w:rPr>
        <w:t> </w:t>
      </w:r>
      <w:r w:rsidRPr="00E07570">
        <w:rPr>
          <w:b/>
        </w:rPr>
        <w:t>s à un niveau de signal, en entrée d</w:t>
      </w:r>
      <w:r w:rsidR="00145E4B">
        <w:rPr>
          <w:b/>
        </w:rPr>
        <w:t>’</w:t>
      </w:r>
      <w:r w:rsidRPr="00E07570">
        <w:rPr>
          <w:b/>
        </w:rPr>
        <w:t xml:space="preserve">antenne, de </w:t>
      </w:r>
      <w:r w:rsidR="00CB37E1" w:rsidRPr="00E07570">
        <w:rPr>
          <w:b/>
        </w:rPr>
        <w:noBreakHyphen/>
      </w:r>
      <w:r w:rsidRPr="00E07570">
        <w:rPr>
          <w:b/>
        </w:rPr>
        <w:t>144</w:t>
      </w:r>
      <w:r w:rsidR="00A55D9A" w:rsidRPr="00E07570">
        <w:rPr>
          <w:b/>
        </w:rPr>
        <w:t> </w:t>
      </w:r>
      <w:r w:rsidRPr="00E07570">
        <w:rPr>
          <w:b/>
        </w:rPr>
        <w:t>dBm</w:t>
      </w:r>
      <w:r w:rsidR="00A55D9A" w:rsidRPr="00E07570">
        <w:rPr>
          <w:b/>
        </w:rPr>
        <w:t> </w:t>
      </w:r>
      <w:r w:rsidRPr="00E07570">
        <w:rPr>
          <w:b/>
        </w:rPr>
        <w:t>;</w:t>
      </w:r>
    </w:p>
    <w:p w:rsidR="00964DB7" w:rsidRPr="00E07570" w:rsidRDefault="00964DB7" w:rsidP="008275AC">
      <w:pPr>
        <w:pStyle w:val="SingleTxtG"/>
        <w:ind w:left="2835" w:hanging="567"/>
        <w:rPr>
          <w:b/>
        </w:rPr>
      </w:pPr>
      <w:r w:rsidRPr="00E07570">
        <w:rPr>
          <w:b/>
        </w:rPr>
        <w:t>b)</w:t>
      </w:r>
      <w:r w:rsidRPr="00E07570">
        <w:rPr>
          <w:b/>
        </w:rPr>
        <w:tab/>
        <w:t>La poursuite des signaux GNSS et le calcul de la solution de navigation sont dispon</w:t>
      </w:r>
      <w:r w:rsidR="00DA623A" w:rsidRPr="00E07570">
        <w:rPr>
          <w:b/>
        </w:rPr>
        <w:t>ibl</w:t>
      </w:r>
      <w:r w:rsidRPr="00E07570">
        <w:rPr>
          <w:b/>
        </w:rPr>
        <w:t>es pendant au moins 600</w:t>
      </w:r>
      <w:r w:rsidR="00A55D9A" w:rsidRPr="00E07570">
        <w:rPr>
          <w:b/>
        </w:rPr>
        <w:t> </w:t>
      </w:r>
      <w:r w:rsidRPr="00E07570">
        <w:rPr>
          <w:b/>
        </w:rPr>
        <w:t>s à un niveau de signal, en entrée d</w:t>
      </w:r>
      <w:r w:rsidR="00145E4B">
        <w:rPr>
          <w:b/>
        </w:rPr>
        <w:t>’</w:t>
      </w:r>
      <w:r w:rsidRPr="00E07570">
        <w:rPr>
          <w:b/>
        </w:rPr>
        <w:t xml:space="preserve">antenne, de </w:t>
      </w:r>
      <w:r w:rsidR="00DA623A" w:rsidRPr="00E07570">
        <w:rPr>
          <w:b/>
        </w:rPr>
        <w:t>-</w:t>
      </w:r>
      <w:r w:rsidRPr="00E07570">
        <w:rPr>
          <w:b/>
        </w:rPr>
        <w:t>155</w:t>
      </w:r>
      <w:r w:rsidR="00A55D9A" w:rsidRPr="00E07570">
        <w:rPr>
          <w:b/>
        </w:rPr>
        <w:t> </w:t>
      </w:r>
      <w:r w:rsidRPr="00E07570">
        <w:rPr>
          <w:b/>
        </w:rPr>
        <w:t>dBm</w:t>
      </w:r>
      <w:r w:rsidR="00A55D9A" w:rsidRPr="00E07570">
        <w:rPr>
          <w:b/>
        </w:rPr>
        <w:t> </w:t>
      </w:r>
      <w:r w:rsidRPr="00E07570">
        <w:rPr>
          <w:b/>
        </w:rPr>
        <w:t>;</w:t>
      </w:r>
    </w:p>
    <w:p w:rsidR="00964DB7" w:rsidRPr="00E07570" w:rsidRDefault="00964DB7" w:rsidP="008275AC">
      <w:pPr>
        <w:pStyle w:val="SingleTxtG"/>
        <w:ind w:left="2835" w:hanging="567"/>
        <w:rPr>
          <w:b/>
        </w:rPr>
      </w:pPr>
      <w:r w:rsidRPr="00E07570">
        <w:rPr>
          <w:b/>
        </w:rPr>
        <w:t>c)</w:t>
      </w:r>
      <w:r w:rsidRPr="00E07570">
        <w:rPr>
          <w:b/>
        </w:rPr>
        <w:tab/>
        <w:t>Le rétablissement des signaux GNSS et le calcul de la solution de navigation sont poss</w:t>
      </w:r>
      <w:r w:rsidR="00DA623A" w:rsidRPr="00E07570">
        <w:rPr>
          <w:b/>
        </w:rPr>
        <w:t>ibl</w:t>
      </w:r>
      <w:r w:rsidRPr="00E07570">
        <w:rPr>
          <w:b/>
        </w:rPr>
        <w:t>es en 60</w:t>
      </w:r>
      <w:r w:rsidR="00A55D9A" w:rsidRPr="00E07570">
        <w:rPr>
          <w:b/>
        </w:rPr>
        <w:t> </w:t>
      </w:r>
      <w:r w:rsidRPr="00E07570">
        <w:rPr>
          <w:b/>
        </w:rPr>
        <w:t>s maximum, à un niveau de signal, en entrée d</w:t>
      </w:r>
      <w:r w:rsidR="00145E4B">
        <w:rPr>
          <w:b/>
        </w:rPr>
        <w:t>’</w:t>
      </w:r>
      <w:r w:rsidRPr="00E07570">
        <w:rPr>
          <w:b/>
        </w:rPr>
        <w:t xml:space="preserve">antenne, de </w:t>
      </w:r>
      <w:r w:rsidR="00CB37E1" w:rsidRPr="00E07570">
        <w:rPr>
          <w:b/>
        </w:rPr>
        <w:t>-</w:t>
      </w:r>
      <w:r w:rsidRPr="00E07570">
        <w:rPr>
          <w:b/>
        </w:rPr>
        <w:t>150</w:t>
      </w:r>
      <w:r w:rsidR="00A55D9A" w:rsidRPr="00E07570">
        <w:rPr>
          <w:b/>
        </w:rPr>
        <w:t> </w:t>
      </w:r>
      <w:r w:rsidRPr="00E07570">
        <w:rPr>
          <w:b/>
        </w:rPr>
        <w:t>dBm.</w:t>
      </w:r>
    </w:p>
    <w:p w:rsidR="00964DB7" w:rsidRPr="00E07570" w:rsidRDefault="00964DB7" w:rsidP="009E044E">
      <w:pPr>
        <w:pStyle w:val="SingleTxtG"/>
        <w:ind w:left="2268" w:hanging="1134"/>
        <w:rPr>
          <w:b/>
        </w:rPr>
      </w:pPr>
      <w:r w:rsidRPr="00E07570">
        <w:rPr>
          <w:b/>
        </w:rPr>
        <w:t>7.3.8</w:t>
      </w:r>
      <w:r w:rsidRPr="00E07570">
        <w:rPr>
          <w:b/>
        </w:rPr>
        <w:tab/>
        <w:t>Le délai de premier positionnement à froid ne doit pas dépasser</w:t>
      </w:r>
      <w:r w:rsidR="00A55D9A" w:rsidRPr="00E07570">
        <w:rPr>
          <w:b/>
        </w:rPr>
        <w:t> </w:t>
      </w:r>
      <w:r w:rsidRPr="00E07570">
        <w:rPr>
          <w:b/>
        </w:rPr>
        <w:t>:</w:t>
      </w:r>
    </w:p>
    <w:p w:rsidR="00964DB7" w:rsidRPr="00E07570" w:rsidRDefault="00964DB7" w:rsidP="008275AC">
      <w:pPr>
        <w:pStyle w:val="SingleTxtG"/>
        <w:ind w:left="2835" w:hanging="567"/>
        <w:rPr>
          <w:b/>
        </w:rPr>
      </w:pPr>
      <w:r w:rsidRPr="00E07570">
        <w:rPr>
          <w:b/>
        </w:rPr>
        <w:t>a)</w:t>
      </w:r>
      <w:r w:rsidRPr="00E07570">
        <w:rPr>
          <w:b/>
        </w:rPr>
        <w:tab/>
        <w:t>60</w:t>
      </w:r>
      <w:r w:rsidR="00A55D9A" w:rsidRPr="00E07570">
        <w:rPr>
          <w:b/>
        </w:rPr>
        <w:t> </w:t>
      </w:r>
      <w:r w:rsidRPr="00E07570">
        <w:rPr>
          <w:b/>
        </w:rPr>
        <w:t>s pour un niveau de signal pouvant aller jusqu</w:t>
      </w:r>
      <w:r w:rsidR="00145E4B">
        <w:rPr>
          <w:b/>
        </w:rPr>
        <w:t>’</w:t>
      </w:r>
      <w:r w:rsidRPr="00E07570">
        <w:rPr>
          <w:b/>
        </w:rPr>
        <w:t xml:space="preserve">à </w:t>
      </w:r>
      <w:r w:rsidR="00CB37E1" w:rsidRPr="00E07570">
        <w:rPr>
          <w:b/>
        </w:rPr>
        <w:t>-</w:t>
      </w:r>
      <w:r w:rsidRPr="00E07570">
        <w:rPr>
          <w:b/>
        </w:rPr>
        <w:t>130</w:t>
      </w:r>
      <w:r w:rsidR="009F30AD" w:rsidRPr="00E07570">
        <w:rPr>
          <w:b/>
        </w:rPr>
        <w:t> </w:t>
      </w:r>
      <w:r w:rsidRPr="00E07570">
        <w:rPr>
          <w:b/>
        </w:rPr>
        <w:t>dBm</w:t>
      </w:r>
      <w:r w:rsidR="009F30AD" w:rsidRPr="00E07570">
        <w:rPr>
          <w:b/>
        </w:rPr>
        <w:t> </w:t>
      </w:r>
      <w:r w:rsidRPr="00E07570">
        <w:rPr>
          <w:b/>
        </w:rPr>
        <w:t>;</w:t>
      </w:r>
    </w:p>
    <w:p w:rsidR="00964DB7" w:rsidRPr="00E07570" w:rsidRDefault="00964DB7" w:rsidP="008275AC">
      <w:pPr>
        <w:pStyle w:val="SingleTxtG"/>
        <w:ind w:left="2835" w:hanging="567"/>
        <w:rPr>
          <w:b/>
        </w:rPr>
      </w:pPr>
      <w:r w:rsidRPr="00E07570">
        <w:rPr>
          <w:b/>
        </w:rPr>
        <w:t>b)</w:t>
      </w:r>
      <w:r w:rsidRPr="00E07570">
        <w:rPr>
          <w:b/>
        </w:rPr>
        <w:tab/>
        <w:t>300</w:t>
      </w:r>
      <w:r w:rsidR="009F30AD" w:rsidRPr="00E07570">
        <w:rPr>
          <w:b/>
        </w:rPr>
        <w:t> </w:t>
      </w:r>
      <w:r w:rsidRPr="00E07570">
        <w:rPr>
          <w:b/>
        </w:rPr>
        <w:t>s pour un niveau de signal pouvant aller jusqu</w:t>
      </w:r>
      <w:r w:rsidR="00145E4B">
        <w:rPr>
          <w:b/>
        </w:rPr>
        <w:t>’</w:t>
      </w:r>
      <w:r w:rsidRPr="00E07570">
        <w:rPr>
          <w:b/>
        </w:rPr>
        <w:t xml:space="preserve">à </w:t>
      </w:r>
      <w:r w:rsidR="00CB37E1" w:rsidRPr="00E07570">
        <w:rPr>
          <w:b/>
        </w:rPr>
        <w:t>-</w:t>
      </w:r>
      <w:r w:rsidRPr="00E07570">
        <w:rPr>
          <w:b/>
        </w:rPr>
        <w:t>140</w:t>
      </w:r>
      <w:r w:rsidR="009F30AD" w:rsidRPr="00E07570">
        <w:rPr>
          <w:b/>
        </w:rPr>
        <w:t> </w:t>
      </w:r>
      <w:r w:rsidRPr="00E07570">
        <w:rPr>
          <w:b/>
        </w:rPr>
        <w:t>dBm.</w:t>
      </w:r>
    </w:p>
    <w:p w:rsidR="00964DB7" w:rsidRPr="00E07570" w:rsidRDefault="00964DB7" w:rsidP="009E044E">
      <w:pPr>
        <w:pStyle w:val="SingleTxtG"/>
        <w:ind w:left="2268" w:hanging="1134"/>
        <w:rPr>
          <w:b/>
        </w:rPr>
      </w:pPr>
      <w:r w:rsidRPr="00E07570">
        <w:rPr>
          <w:b/>
        </w:rPr>
        <w:t>7.3.9</w:t>
      </w:r>
      <w:r w:rsidRPr="00E07570">
        <w:rPr>
          <w:b/>
        </w:rPr>
        <w:tab/>
        <w:t>Le délai de rétablissement d</w:t>
      </w:r>
      <w:r w:rsidR="00145E4B">
        <w:rPr>
          <w:b/>
        </w:rPr>
        <w:t>’</w:t>
      </w:r>
      <w:r w:rsidRPr="00E07570">
        <w:rPr>
          <w:b/>
        </w:rPr>
        <w:t>un signal GNSS après un blocage de 60</w:t>
      </w:r>
      <w:r w:rsidR="00E975CD" w:rsidRPr="00E07570">
        <w:rPr>
          <w:b/>
        </w:rPr>
        <w:t> </w:t>
      </w:r>
      <w:r w:rsidRPr="00E07570">
        <w:rPr>
          <w:b/>
        </w:rPr>
        <w:t xml:space="preserve">s à un niveau de signal pouvant aller </w:t>
      </w:r>
      <w:proofErr w:type="gramStart"/>
      <w:r w:rsidRPr="00E07570">
        <w:rPr>
          <w:b/>
        </w:rPr>
        <w:t>jusqu</w:t>
      </w:r>
      <w:r w:rsidR="00145E4B">
        <w:rPr>
          <w:b/>
        </w:rPr>
        <w:t>’</w:t>
      </w:r>
      <w:r w:rsidRPr="00E07570">
        <w:rPr>
          <w:b/>
        </w:rPr>
        <w:t>à</w:t>
      </w:r>
      <w:proofErr w:type="gramEnd"/>
      <w:r w:rsidRPr="00E07570">
        <w:rPr>
          <w:b/>
        </w:rPr>
        <w:t xml:space="preserve"> </w:t>
      </w:r>
      <w:r w:rsidR="00477EEF">
        <w:rPr>
          <w:b/>
        </w:rPr>
        <w:t>-</w:t>
      </w:r>
      <w:r w:rsidRPr="00E07570">
        <w:rPr>
          <w:b/>
        </w:rPr>
        <w:t>130</w:t>
      </w:r>
      <w:r w:rsidR="00A10E66" w:rsidRPr="00E07570">
        <w:rPr>
          <w:b/>
        </w:rPr>
        <w:t> </w:t>
      </w:r>
      <w:r w:rsidRPr="00E07570">
        <w:rPr>
          <w:b/>
        </w:rPr>
        <w:t>dBm ne doit pas dépasser 20</w:t>
      </w:r>
      <w:r w:rsidR="00E975CD" w:rsidRPr="00E07570">
        <w:rPr>
          <w:b/>
        </w:rPr>
        <w:t> </w:t>
      </w:r>
      <w:r w:rsidRPr="00E07570">
        <w:rPr>
          <w:b/>
        </w:rPr>
        <w:t xml:space="preserve">s après récupération de la </w:t>
      </w:r>
      <w:r w:rsidR="00305F8B" w:rsidRPr="00E07570">
        <w:rPr>
          <w:b/>
        </w:rPr>
        <w:t>visibilité</w:t>
      </w:r>
      <w:r w:rsidR="009F5B82" w:rsidRPr="00E07570">
        <w:rPr>
          <w:b/>
        </w:rPr>
        <w:t xml:space="preserve"> </w:t>
      </w:r>
      <w:r w:rsidR="00E51C57" w:rsidRPr="00E07570">
        <w:rPr>
          <w:b/>
        </w:rPr>
        <w:t>du satellite de navigation.</w:t>
      </w:r>
    </w:p>
    <w:p w:rsidR="00964DB7" w:rsidRPr="00E07570" w:rsidRDefault="00964DB7" w:rsidP="009E044E">
      <w:pPr>
        <w:pStyle w:val="SingleTxtG"/>
        <w:ind w:left="2268" w:hanging="1134"/>
        <w:rPr>
          <w:b/>
        </w:rPr>
      </w:pPr>
      <w:r w:rsidRPr="00E07570">
        <w:rPr>
          <w:b/>
        </w:rPr>
        <w:t>7.3.10</w:t>
      </w:r>
      <w:r w:rsidRPr="00E07570">
        <w:rPr>
          <w:b/>
        </w:rPr>
        <w:tab/>
        <w:t>Le récepteur GNSS doit être capable de se positionner au moins une fois par seconde.</w:t>
      </w:r>
    </w:p>
    <w:p w:rsidR="00964DB7" w:rsidRPr="00E07570" w:rsidRDefault="00964DB7" w:rsidP="00CB37E1">
      <w:pPr>
        <w:pStyle w:val="SingleTxtG"/>
        <w:keepLines/>
        <w:ind w:left="2268" w:hanging="1134"/>
        <w:rPr>
          <w:b/>
        </w:rPr>
      </w:pPr>
      <w:r w:rsidRPr="00E07570">
        <w:rPr>
          <w:b/>
        </w:rPr>
        <w:t>7.3.11</w:t>
      </w:r>
      <w:r w:rsidRPr="00E07570">
        <w:rPr>
          <w:b/>
        </w:rPr>
        <w:tab/>
        <w:t>Les procédures d</w:t>
      </w:r>
      <w:r w:rsidR="00145E4B">
        <w:rPr>
          <w:b/>
        </w:rPr>
        <w:t>’</w:t>
      </w:r>
      <w:r w:rsidRPr="00E07570">
        <w:rPr>
          <w:b/>
        </w:rPr>
        <w:t>essai prévues à l</w:t>
      </w:r>
      <w:r w:rsidR="00145E4B">
        <w:rPr>
          <w:b/>
        </w:rPr>
        <w:t>’</w:t>
      </w:r>
      <w:r w:rsidRPr="00E07570">
        <w:rPr>
          <w:b/>
        </w:rPr>
        <w:t>annexe</w:t>
      </w:r>
      <w:r w:rsidR="00E51C57" w:rsidRPr="00E07570">
        <w:rPr>
          <w:b/>
        </w:rPr>
        <w:t> </w:t>
      </w:r>
      <w:r w:rsidRPr="00E07570">
        <w:rPr>
          <w:b/>
        </w:rPr>
        <w:t>8 peuvent être effectuées soit sur le dispositif AECC, avec poss</w:t>
      </w:r>
      <w:r w:rsidR="000F41A5" w:rsidRPr="00E07570">
        <w:rPr>
          <w:b/>
        </w:rPr>
        <w:t>ib</w:t>
      </w:r>
      <w:r w:rsidRPr="00E07570">
        <w:rPr>
          <w:b/>
        </w:rPr>
        <w:t>ilité d</w:t>
      </w:r>
      <w:r w:rsidR="00145E4B">
        <w:rPr>
          <w:b/>
        </w:rPr>
        <w:t>’</w:t>
      </w:r>
      <w:r w:rsidRPr="00E07570">
        <w:rPr>
          <w:b/>
        </w:rPr>
        <w:t>évaluer la capacité de traitement aval, soit directement sur le récepteur GNSS faisant partie de l</w:t>
      </w:r>
      <w:r w:rsidR="00145E4B">
        <w:rPr>
          <w:b/>
        </w:rPr>
        <w:t>’</w:t>
      </w:r>
      <w:r w:rsidRPr="00E07570">
        <w:rPr>
          <w:b/>
        </w:rPr>
        <w:t>AECC.</w:t>
      </w:r>
    </w:p>
    <w:p w:rsidR="00964DB7" w:rsidRPr="00E07570" w:rsidRDefault="00964DB7" w:rsidP="00E975CD">
      <w:pPr>
        <w:pStyle w:val="SingleTxtG"/>
        <w:ind w:left="2268" w:hanging="1134"/>
        <w:rPr>
          <w:b/>
        </w:rPr>
      </w:pPr>
      <w:r w:rsidRPr="00E07570">
        <w:rPr>
          <w:b/>
        </w:rPr>
        <w:t>7.4</w:t>
      </w:r>
      <w:r w:rsidRPr="00E07570">
        <w:rPr>
          <w:b/>
        </w:rPr>
        <w:tab/>
        <w:t>Moyens d</w:t>
      </w:r>
      <w:r w:rsidR="00145E4B">
        <w:rPr>
          <w:b/>
        </w:rPr>
        <w:t>’</w:t>
      </w:r>
      <w:r w:rsidRPr="00E07570">
        <w:rPr>
          <w:b/>
        </w:rPr>
        <w:t>accès au PLMN</w:t>
      </w:r>
    </w:p>
    <w:p w:rsidR="00964DB7" w:rsidRPr="00E07570" w:rsidRDefault="00964DB7" w:rsidP="00E975CD">
      <w:pPr>
        <w:pStyle w:val="SingleTxtG"/>
        <w:ind w:left="2268"/>
        <w:rPr>
          <w:b/>
        </w:rPr>
      </w:pPr>
      <w:r w:rsidRPr="00E07570">
        <w:rPr>
          <w:b/>
        </w:rPr>
        <w:tab/>
        <w:t>Si le demandeur de l</w:t>
      </w:r>
      <w:r w:rsidR="00145E4B">
        <w:rPr>
          <w:b/>
        </w:rPr>
        <w:t>’</w:t>
      </w:r>
      <w:r w:rsidRPr="00E07570">
        <w:rPr>
          <w:b/>
        </w:rPr>
        <w:t>homologation le demande, les moyens d</w:t>
      </w:r>
      <w:r w:rsidR="00145E4B">
        <w:rPr>
          <w:b/>
        </w:rPr>
        <w:t>’</w:t>
      </w:r>
      <w:r w:rsidRPr="00E07570">
        <w:rPr>
          <w:b/>
        </w:rPr>
        <w:t>accès au PLMN peuvent faire partie de la procédure d</w:t>
      </w:r>
      <w:r w:rsidR="00145E4B">
        <w:rPr>
          <w:b/>
        </w:rPr>
        <w:t>’</w:t>
      </w:r>
      <w:r w:rsidRPr="00E07570">
        <w:rPr>
          <w:b/>
        </w:rPr>
        <w:t>homologation de type d</w:t>
      </w:r>
      <w:r w:rsidR="00145E4B">
        <w:rPr>
          <w:b/>
        </w:rPr>
        <w:t>’</w:t>
      </w:r>
      <w:r w:rsidRPr="00E07570">
        <w:rPr>
          <w:b/>
        </w:rPr>
        <w:t>un AECC.</w:t>
      </w:r>
    </w:p>
    <w:p w:rsidR="00964DB7" w:rsidRPr="00E07570" w:rsidRDefault="00964DB7" w:rsidP="00E975CD">
      <w:pPr>
        <w:pStyle w:val="SingleTxtG"/>
        <w:ind w:left="2268"/>
        <w:rPr>
          <w:b/>
        </w:rPr>
      </w:pPr>
      <w:r w:rsidRPr="00E07570">
        <w:rPr>
          <w:b/>
        </w:rPr>
        <w:tab/>
        <w:t>Dans ce cas, l</w:t>
      </w:r>
      <w:r w:rsidR="00145E4B">
        <w:rPr>
          <w:b/>
        </w:rPr>
        <w:t>’</w:t>
      </w:r>
      <w:r w:rsidRPr="00E07570">
        <w:rPr>
          <w:b/>
        </w:rPr>
        <w:t>AECC doit être équipé d</w:t>
      </w:r>
      <w:r w:rsidR="00145E4B">
        <w:rPr>
          <w:b/>
        </w:rPr>
        <w:t>’</w:t>
      </w:r>
      <w:r w:rsidRPr="00E07570">
        <w:rPr>
          <w:b/>
        </w:rPr>
        <w:t>un matériel intégré permettant l</w:t>
      </w:r>
      <w:r w:rsidR="00145E4B">
        <w:rPr>
          <w:b/>
        </w:rPr>
        <w:t>’</w:t>
      </w:r>
      <w:r w:rsidRPr="00E07570">
        <w:rPr>
          <w:b/>
        </w:rPr>
        <w:t>enregistrement et/ou l</w:t>
      </w:r>
      <w:r w:rsidR="00145E4B">
        <w:rPr>
          <w:b/>
        </w:rPr>
        <w:t>’</w:t>
      </w:r>
      <w:r w:rsidRPr="00E07570">
        <w:rPr>
          <w:b/>
        </w:rPr>
        <w:t>authentification du PLMN ainsi que l</w:t>
      </w:r>
      <w:r w:rsidR="00145E4B">
        <w:rPr>
          <w:b/>
        </w:rPr>
        <w:t>’</w:t>
      </w:r>
      <w:r w:rsidRPr="00E07570">
        <w:rPr>
          <w:b/>
        </w:rPr>
        <w:t>accès à celui-ci.</w:t>
      </w:r>
    </w:p>
    <w:p w:rsidR="00964DB7" w:rsidRPr="00E07570" w:rsidRDefault="00964DB7" w:rsidP="009E044E">
      <w:pPr>
        <w:pStyle w:val="SingleTxtG"/>
        <w:ind w:left="2268" w:hanging="1134"/>
        <w:rPr>
          <w:b/>
        </w:rPr>
      </w:pPr>
      <w:r w:rsidRPr="00E07570">
        <w:rPr>
          <w:b/>
        </w:rPr>
        <w:t>7.5</w:t>
      </w:r>
      <w:r w:rsidRPr="00E07570">
        <w:rPr>
          <w:b/>
        </w:rPr>
        <w:tab/>
        <w:t>Signaux d</w:t>
      </w:r>
      <w:r w:rsidR="00145E4B">
        <w:rPr>
          <w:b/>
        </w:rPr>
        <w:t>’</w:t>
      </w:r>
      <w:r w:rsidRPr="00E07570">
        <w:rPr>
          <w:b/>
        </w:rPr>
        <w:t>information et d</w:t>
      </w:r>
      <w:r w:rsidR="00145E4B">
        <w:rPr>
          <w:b/>
        </w:rPr>
        <w:t>’</w:t>
      </w:r>
      <w:r w:rsidRPr="00E07570">
        <w:rPr>
          <w:b/>
        </w:rPr>
        <w:t>avertissement</w:t>
      </w:r>
    </w:p>
    <w:p w:rsidR="00964DB7" w:rsidRPr="00E07570" w:rsidRDefault="00964DB7" w:rsidP="00E975CD">
      <w:pPr>
        <w:pStyle w:val="SingleTxtG"/>
        <w:ind w:left="2268"/>
        <w:rPr>
          <w:b/>
        </w:rPr>
      </w:pPr>
      <w:r w:rsidRPr="00E07570">
        <w:rPr>
          <w:b/>
        </w:rPr>
        <w:tab/>
        <w:t>Si le module de commande fait partie de l</w:t>
      </w:r>
      <w:r w:rsidR="00145E4B">
        <w:rPr>
          <w:b/>
        </w:rPr>
        <w:t>’</w:t>
      </w:r>
      <w:r w:rsidRPr="00E07570">
        <w:rPr>
          <w:b/>
        </w:rPr>
        <w:t>AECC et si le demandeur de l</w:t>
      </w:r>
      <w:r w:rsidR="00145E4B">
        <w:rPr>
          <w:b/>
        </w:rPr>
        <w:t>’</w:t>
      </w:r>
      <w:r w:rsidRPr="00E07570">
        <w:rPr>
          <w:b/>
        </w:rPr>
        <w:t>homologation le demande, la vérification des signaux d</w:t>
      </w:r>
      <w:r w:rsidR="00145E4B">
        <w:rPr>
          <w:b/>
        </w:rPr>
        <w:t>’</w:t>
      </w:r>
      <w:r w:rsidRPr="00E07570">
        <w:rPr>
          <w:b/>
        </w:rPr>
        <w:t>information et d</w:t>
      </w:r>
      <w:r w:rsidR="00145E4B">
        <w:rPr>
          <w:b/>
        </w:rPr>
        <w:t>’</w:t>
      </w:r>
      <w:r w:rsidRPr="00E07570">
        <w:rPr>
          <w:b/>
        </w:rPr>
        <w:t>avertissement peut faire partie de la procédure d</w:t>
      </w:r>
      <w:r w:rsidR="00145E4B">
        <w:rPr>
          <w:b/>
        </w:rPr>
        <w:t>’</w:t>
      </w:r>
      <w:r w:rsidRPr="00E07570">
        <w:rPr>
          <w:b/>
        </w:rPr>
        <w:t>homologation de type d</w:t>
      </w:r>
      <w:r w:rsidR="00145E4B">
        <w:rPr>
          <w:b/>
        </w:rPr>
        <w:t>’</w:t>
      </w:r>
      <w:r w:rsidRPr="00E07570">
        <w:rPr>
          <w:b/>
        </w:rPr>
        <w:t>un AECC. Dans ce cas, les dispositions suivantes sont applicables</w:t>
      </w:r>
      <w:r w:rsidR="00E975CD" w:rsidRPr="00E07570">
        <w:rPr>
          <w:b/>
        </w:rPr>
        <w:t> </w:t>
      </w:r>
      <w:r w:rsidRPr="00E07570">
        <w:rPr>
          <w:b/>
        </w:rPr>
        <w:t>:</w:t>
      </w:r>
    </w:p>
    <w:p w:rsidR="00964DB7" w:rsidRPr="00E07570" w:rsidRDefault="00964DB7" w:rsidP="009E044E">
      <w:pPr>
        <w:pStyle w:val="SingleTxtG"/>
        <w:ind w:left="2268" w:hanging="1134"/>
        <w:rPr>
          <w:b/>
        </w:rPr>
      </w:pPr>
      <w:r w:rsidRPr="00E07570">
        <w:rPr>
          <w:b/>
        </w:rPr>
        <w:t>7.5.1</w:t>
      </w:r>
      <w:r w:rsidRPr="00E07570">
        <w:rPr>
          <w:b/>
        </w:rPr>
        <w:tab/>
        <w:t>Les informations ci-dessous doivent être communiquées à propos du statut de la procédure d</w:t>
      </w:r>
      <w:r w:rsidR="00145E4B">
        <w:rPr>
          <w:b/>
        </w:rPr>
        <w:t>’</w:t>
      </w:r>
      <w:r w:rsidRPr="00E07570">
        <w:rPr>
          <w:b/>
        </w:rPr>
        <w:t>appel d</w:t>
      </w:r>
      <w:r w:rsidR="00145E4B">
        <w:rPr>
          <w:b/>
        </w:rPr>
        <w:t>’</w:t>
      </w:r>
      <w:r w:rsidRPr="00E07570">
        <w:rPr>
          <w:b/>
        </w:rPr>
        <w:t>urgence lorsque l</w:t>
      </w:r>
      <w:r w:rsidR="00145E4B">
        <w:rPr>
          <w:b/>
        </w:rPr>
        <w:t>’</w:t>
      </w:r>
      <w:r w:rsidRPr="00E07570">
        <w:rPr>
          <w:b/>
        </w:rPr>
        <w:t>AECC est déclenché de façon manuelle ou automatique</w:t>
      </w:r>
      <w:r w:rsidR="00E975CD" w:rsidRPr="00E07570">
        <w:rPr>
          <w:b/>
        </w:rPr>
        <w:t> </w:t>
      </w:r>
      <w:r w:rsidRPr="00E07570">
        <w:rPr>
          <w:b/>
        </w:rPr>
        <w:t>:</w:t>
      </w:r>
    </w:p>
    <w:p w:rsidR="00964DB7" w:rsidRPr="00E07570" w:rsidRDefault="00964DB7" w:rsidP="00E975CD">
      <w:pPr>
        <w:pStyle w:val="SingleTxtG"/>
        <w:ind w:left="2835" w:hanging="567"/>
        <w:rPr>
          <w:b/>
        </w:rPr>
      </w:pPr>
      <w:r w:rsidRPr="00E07570">
        <w:rPr>
          <w:b/>
        </w:rPr>
        <w:t>a)</w:t>
      </w:r>
      <w:r w:rsidRPr="00E07570">
        <w:rPr>
          <w:b/>
        </w:rPr>
        <w:tab/>
        <w:t>Le système est activé (déclenchement de l</w:t>
      </w:r>
      <w:r w:rsidR="00145E4B">
        <w:rPr>
          <w:b/>
        </w:rPr>
        <w:t>’</w:t>
      </w:r>
      <w:r w:rsidRPr="00E07570">
        <w:rPr>
          <w:b/>
        </w:rPr>
        <w:t>appel d</w:t>
      </w:r>
      <w:r w:rsidR="00145E4B">
        <w:rPr>
          <w:b/>
        </w:rPr>
        <w:t>’</w:t>
      </w:r>
      <w:r w:rsidRPr="00E07570">
        <w:rPr>
          <w:b/>
        </w:rPr>
        <w:t>urgence, établissement de la connexion ou transmission des données en cours)</w:t>
      </w:r>
      <w:r w:rsidR="00E975CD" w:rsidRPr="00E07570">
        <w:rPr>
          <w:b/>
        </w:rPr>
        <w:t> </w:t>
      </w:r>
      <w:r w:rsidRPr="00E07570">
        <w:rPr>
          <w:b/>
        </w:rPr>
        <w:t>;</w:t>
      </w:r>
    </w:p>
    <w:p w:rsidR="00964DB7" w:rsidRPr="00E07570" w:rsidRDefault="00964DB7" w:rsidP="00E975CD">
      <w:pPr>
        <w:pStyle w:val="SingleTxtG"/>
        <w:ind w:left="2835" w:hanging="567"/>
        <w:rPr>
          <w:b/>
        </w:rPr>
      </w:pPr>
      <w:r w:rsidRPr="00E07570">
        <w:rPr>
          <w:b/>
        </w:rPr>
        <w:t>b)</w:t>
      </w:r>
      <w:r w:rsidRPr="00E07570">
        <w:rPr>
          <w:b/>
        </w:rPr>
        <w:tab/>
        <w:t>Échec de la transmission (échec de la connexion ou échec de la transmission de données).</w:t>
      </w:r>
    </w:p>
    <w:p w:rsidR="00964DB7" w:rsidRPr="00E07570" w:rsidRDefault="00964DB7" w:rsidP="009E044E">
      <w:pPr>
        <w:pStyle w:val="SingleTxtG"/>
        <w:ind w:left="2268" w:hanging="1134"/>
        <w:rPr>
          <w:b/>
        </w:rPr>
      </w:pPr>
      <w:r w:rsidRPr="00E07570">
        <w:rPr>
          <w:b/>
        </w:rPr>
        <w:t>7.5.2</w:t>
      </w:r>
      <w:r w:rsidRPr="00E07570">
        <w:rPr>
          <w:b/>
        </w:rPr>
        <w:tab/>
        <w:t>Un signal d</w:t>
      </w:r>
      <w:r w:rsidR="00145E4B">
        <w:rPr>
          <w:b/>
        </w:rPr>
        <w:t>’</w:t>
      </w:r>
      <w:r w:rsidRPr="00E07570">
        <w:rPr>
          <w:b/>
        </w:rPr>
        <w:t>avertissement doit être émis en cas de défaillance interne de l</w:t>
      </w:r>
      <w:r w:rsidR="00145E4B">
        <w:rPr>
          <w:b/>
        </w:rPr>
        <w:t>’</w:t>
      </w:r>
      <w:r w:rsidRPr="00E07570">
        <w:rPr>
          <w:b/>
        </w:rPr>
        <w:t>AECC</w:t>
      </w:r>
      <w:r w:rsidR="00E975CD" w:rsidRPr="00E07570">
        <w:rPr>
          <w:b/>
        </w:rPr>
        <w:t> </w:t>
      </w:r>
      <w:r w:rsidRPr="00E07570">
        <w:rPr>
          <w:b/>
        </w:rPr>
        <w:t>; ce signal doit être affiché aussi longtemps que dure la défaillance. Il peut être effacé temporairement, mais doit se rallumer chaque fois que l</w:t>
      </w:r>
      <w:r w:rsidR="00145E4B">
        <w:rPr>
          <w:b/>
        </w:rPr>
        <w:t>’</w:t>
      </w:r>
      <w:r w:rsidRPr="00E07570">
        <w:rPr>
          <w:b/>
        </w:rPr>
        <w:t>allumage du véhicule ou le coupe-circuit principal sont activés (selon le cas).</w:t>
      </w:r>
    </w:p>
    <w:p w:rsidR="004A0AE0" w:rsidRPr="00E07570" w:rsidRDefault="00964DB7" w:rsidP="009E044E">
      <w:pPr>
        <w:pStyle w:val="SingleTxtG"/>
        <w:ind w:left="2268" w:hanging="1134"/>
        <w:rPr>
          <w:b/>
        </w:rPr>
      </w:pPr>
      <w:r w:rsidRPr="00E07570">
        <w:rPr>
          <w:b/>
        </w:rPr>
        <w:t>7.5.2.1</w:t>
      </w:r>
      <w:r w:rsidRPr="00E07570">
        <w:rPr>
          <w:b/>
        </w:rPr>
        <w:tab/>
        <w:t>Le constructeur doit fournir à l</w:t>
      </w:r>
      <w:r w:rsidR="00145E4B">
        <w:rPr>
          <w:b/>
        </w:rPr>
        <w:t>’</w:t>
      </w:r>
      <w:r w:rsidRPr="00E07570">
        <w:rPr>
          <w:b/>
        </w:rPr>
        <w:t>autorité d</w:t>
      </w:r>
      <w:r w:rsidR="00145E4B">
        <w:rPr>
          <w:b/>
        </w:rPr>
        <w:t>’</w:t>
      </w:r>
      <w:r w:rsidRPr="00E07570">
        <w:rPr>
          <w:b/>
        </w:rPr>
        <w:t>homologation une documentation technique pour lui expliquer, dans des termes généraux, comment sont signalées les défaillances. Cette documentation doit être mise à jour par le constructeur et doit pouvoir être consultée par le service technique au moment de l</w:t>
      </w:r>
      <w:r w:rsidR="00145E4B">
        <w:rPr>
          <w:b/>
        </w:rPr>
        <w:t>’</w:t>
      </w:r>
      <w:r w:rsidRPr="00E07570">
        <w:rPr>
          <w:b/>
        </w:rPr>
        <w:t>homologation de type (dans le cas où l</w:t>
      </w:r>
      <w:r w:rsidR="00145E4B">
        <w:rPr>
          <w:b/>
        </w:rPr>
        <w:t>’</w:t>
      </w:r>
      <w:r w:rsidRPr="00E07570">
        <w:rPr>
          <w:b/>
        </w:rPr>
        <w:t>AECC est équipé du composant ad hoc).</w:t>
      </w:r>
    </w:p>
    <w:p w:rsidR="00D325A4" w:rsidRPr="00E07570" w:rsidRDefault="00A02F5A" w:rsidP="00A02F5A">
      <w:pPr>
        <w:pStyle w:val="Heading1"/>
        <w:spacing w:after="120"/>
        <w:rPr>
          <w:b/>
        </w:rPr>
      </w:pPr>
      <w:r w:rsidRPr="00E07570">
        <w:t>Tableau 1</w:t>
      </w:r>
      <w:r w:rsidRPr="00E07570">
        <w:br/>
      </w:r>
      <w:r w:rsidRPr="00E07570">
        <w:rPr>
          <w:b/>
        </w:rPr>
        <w:t>Modèle d</w:t>
      </w:r>
      <w:r w:rsidR="00145E4B">
        <w:rPr>
          <w:b/>
        </w:rPr>
        <w:t>’</w:t>
      </w:r>
      <w:r w:rsidRPr="00E07570">
        <w:rPr>
          <w:b/>
        </w:rPr>
        <w:t>information de la fonction d</w:t>
      </w:r>
      <w:r w:rsidR="00145E4B">
        <w:rPr>
          <w:b/>
        </w:rPr>
        <w:t>’</w:t>
      </w:r>
      <w:r w:rsidRPr="00E07570">
        <w:rPr>
          <w:b/>
        </w:rPr>
        <w:t>autotest</w:t>
      </w:r>
    </w:p>
    <w:tbl>
      <w:tblPr>
        <w:tblW w:w="7371" w:type="dxa"/>
        <w:tblInd w:w="1134" w:type="dxa"/>
        <w:tblLayout w:type="fixed"/>
        <w:tblCellMar>
          <w:left w:w="29" w:type="dxa"/>
          <w:right w:w="29" w:type="dxa"/>
        </w:tblCellMar>
        <w:tblLook w:val="04A0" w:firstRow="1" w:lastRow="0" w:firstColumn="1" w:lastColumn="0" w:noHBand="0" w:noVBand="1"/>
      </w:tblPr>
      <w:tblGrid>
        <w:gridCol w:w="1808"/>
        <w:gridCol w:w="2365"/>
        <w:gridCol w:w="3198"/>
      </w:tblGrid>
      <w:tr w:rsidR="00A02F5A" w:rsidRPr="00E07570" w:rsidTr="0054564A">
        <w:trPr>
          <w:tblHeader/>
        </w:trPr>
        <w:tc>
          <w:tcPr>
            <w:tcW w:w="417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02F5A" w:rsidRPr="00E07570" w:rsidRDefault="00A02F5A" w:rsidP="00056001">
            <w:pPr>
              <w:spacing w:before="80" w:after="80" w:line="200" w:lineRule="exact"/>
              <w:jc w:val="center"/>
              <w:rPr>
                <w:b/>
                <w:i/>
                <w:sz w:val="16"/>
                <w:szCs w:val="16"/>
                <w:lang w:eastAsia="en-GB"/>
              </w:rPr>
            </w:pPr>
            <w:r w:rsidRPr="00E07570">
              <w:rPr>
                <w:b/>
                <w:i/>
                <w:sz w:val="16"/>
                <w:szCs w:val="16"/>
                <w:lang w:eastAsia="en-GB"/>
              </w:rPr>
              <w:t>Point</w:t>
            </w:r>
          </w:p>
        </w:tc>
        <w:tc>
          <w:tcPr>
            <w:tcW w:w="3198" w:type="dxa"/>
            <w:vMerge w:val="restart"/>
            <w:tcBorders>
              <w:top w:val="single" w:sz="4" w:space="0" w:color="auto"/>
              <w:left w:val="single" w:sz="4" w:space="0" w:color="auto"/>
              <w:bottom w:val="single" w:sz="12" w:space="0" w:color="auto"/>
              <w:right w:val="single" w:sz="4" w:space="0" w:color="auto"/>
            </w:tcBorders>
            <w:shd w:val="clear" w:color="auto" w:fill="FFFFFF"/>
            <w:vAlign w:val="center"/>
            <w:hideMark/>
          </w:tcPr>
          <w:p w:rsidR="00A02F5A" w:rsidRPr="00E07570" w:rsidRDefault="009E0E88" w:rsidP="00056001">
            <w:pPr>
              <w:spacing w:before="80" w:after="80" w:line="200" w:lineRule="exact"/>
              <w:jc w:val="center"/>
              <w:rPr>
                <w:b/>
                <w:bCs/>
                <w:i/>
                <w:sz w:val="16"/>
                <w:szCs w:val="16"/>
                <w:lang w:eastAsia="en-GB"/>
              </w:rPr>
            </w:pPr>
            <w:r w:rsidRPr="00E07570">
              <w:rPr>
                <w:b/>
                <w:bCs/>
                <w:i/>
                <w:sz w:val="16"/>
                <w:szCs w:val="16"/>
                <w:lang w:eastAsia="en-GB"/>
              </w:rPr>
              <w:t>Observations</w:t>
            </w:r>
          </w:p>
        </w:tc>
      </w:tr>
      <w:tr w:rsidR="00A02F5A" w:rsidRPr="00E07570" w:rsidTr="00205771">
        <w:trPr>
          <w:trHeight w:val="341"/>
          <w:tblHeader/>
        </w:trPr>
        <w:tc>
          <w:tcPr>
            <w:tcW w:w="1808" w:type="dxa"/>
            <w:tcBorders>
              <w:top w:val="single" w:sz="4" w:space="0" w:color="auto"/>
              <w:left w:val="single" w:sz="4" w:space="0" w:color="auto"/>
              <w:bottom w:val="single" w:sz="12" w:space="0" w:color="auto"/>
              <w:right w:val="single" w:sz="4" w:space="0" w:color="auto"/>
            </w:tcBorders>
            <w:shd w:val="clear" w:color="auto" w:fill="FFFFFF"/>
            <w:noWrap/>
            <w:vAlign w:val="center"/>
            <w:hideMark/>
          </w:tcPr>
          <w:p w:rsidR="00A02F5A" w:rsidRPr="00E07570" w:rsidRDefault="00A02F5A" w:rsidP="00056001">
            <w:pPr>
              <w:spacing w:before="80" w:after="80" w:line="200" w:lineRule="exact"/>
              <w:jc w:val="center"/>
              <w:rPr>
                <w:b/>
                <w:i/>
                <w:sz w:val="16"/>
                <w:szCs w:val="16"/>
                <w:lang w:eastAsia="en-GB"/>
              </w:rPr>
            </w:pPr>
            <w:r w:rsidRPr="00E07570">
              <w:rPr>
                <w:b/>
                <w:i/>
                <w:sz w:val="16"/>
                <w:szCs w:val="16"/>
                <w:lang w:eastAsia="en-GB"/>
              </w:rPr>
              <w:t>Élément</w:t>
            </w:r>
          </w:p>
        </w:tc>
        <w:tc>
          <w:tcPr>
            <w:tcW w:w="2365" w:type="dxa"/>
            <w:tcBorders>
              <w:top w:val="single" w:sz="4" w:space="0" w:color="auto"/>
              <w:left w:val="nil"/>
              <w:bottom w:val="single" w:sz="12" w:space="0" w:color="auto"/>
              <w:right w:val="single" w:sz="4" w:space="0" w:color="auto"/>
            </w:tcBorders>
            <w:shd w:val="clear" w:color="auto" w:fill="FFFFFF"/>
            <w:vAlign w:val="center"/>
            <w:hideMark/>
          </w:tcPr>
          <w:p w:rsidR="00A02F5A" w:rsidRPr="00E07570" w:rsidRDefault="00A02F5A" w:rsidP="00056001">
            <w:pPr>
              <w:spacing w:before="80" w:after="80" w:line="200" w:lineRule="exact"/>
              <w:jc w:val="center"/>
              <w:rPr>
                <w:b/>
                <w:i/>
                <w:sz w:val="16"/>
                <w:szCs w:val="16"/>
                <w:lang w:eastAsia="en-GB"/>
              </w:rPr>
            </w:pPr>
            <w:r w:rsidRPr="00E07570">
              <w:rPr>
                <w:b/>
                <w:i/>
                <w:sz w:val="16"/>
                <w:szCs w:val="16"/>
                <w:lang w:eastAsia="en-GB"/>
              </w:rPr>
              <w:t>Type de défaillance</w:t>
            </w:r>
          </w:p>
        </w:tc>
        <w:tc>
          <w:tcPr>
            <w:tcW w:w="3198" w:type="dxa"/>
            <w:vMerge/>
            <w:tcBorders>
              <w:top w:val="single" w:sz="4" w:space="0" w:color="auto"/>
              <w:left w:val="single" w:sz="4" w:space="0" w:color="auto"/>
              <w:bottom w:val="single" w:sz="12" w:space="0" w:color="auto"/>
              <w:right w:val="single" w:sz="4" w:space="0" w:color="auto"/>
            </w:tcBorders>
            <w:vAlign w:val="center"/>
            <w:hideMark/>
          </w:tcPr>
          <w:p w:rsidR="00A02F5A" w:rsidRPr="00E07570" w:rsidRDefault="00A02F5A" w:rsidP="00056001">
            <w:pPr>
              <w:spacing w:before="80" w:after="80" w:line="200" w:lineRule="exact"/>
              <w:rPr>
                <w:b/>
                <w:bCs/>
                <w:i/>
                <w:sz w:val="16"/>
                <w:szCs w:val="16"/>
                <w:lang w:eastAsia="en-GB"/>
              </w:rPr>
            </w:pPr>
          </w:p>
        </w:tc>
      </w:tr>
      <w:tr w:rsidR="00A02F5A" w:rsidRPr="00E07570" w:rsidTr="00467969">
        <w:trPr>
          <w:trHeight w:val="20"/>
        </w:trPr>
        <w:tc>
          <w:tcPr>
            <w:tcW w:w="1808"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02F5A" w:rsidRPr="00E07570" w:rsidRDefault="00A02F5A" w:rsidP="00AA64D6">
            <w:pPr>
              <w:spacing w:before="60" w:after="60"/>
              <w:ind w:left="57" w:right="57"/>
              <w:rPr>
                <w:b/>
                <w:lang w:eastAsia="en-GB"/>
              </w:rPr>
            </w:pPr>
            <w:r w:rsidRPr="00E07570">
              <w:rPr>
                <w:b/>
                <w:iCs/>
              </w:rPr>
              <w:t xml:space="preserve">Module </w:t>
            </w:r>
            <w:r w:rsidRPr="00E07570">
              <w:rPr>
                <w:b/>
                <w:iCs/>
              </w:rPr>
              <w:br/>
              <w:t xml:space="preserve">de commande </w:t>
            </w:r>
            <w:r w:rsidRPr="00E07570">
              <w:rPr>
                <w:b/>
                <w:iCs/>
              </w:rPr>
              <w:br/>
              <w:t>de l</w:t>
            </w:r>
            <w:r w:rsidR="00145E4B">
              <w:rPr>
                <w:b/>
                <w:iCs/>
              </w:rPr>
              <w:t>’</w:t>
            </w:r>
            <w:r w:rsidRPr="00E07570">
              <w:rPr>
                <w:b/>
                <w:iCs/>
              </w:rPr>
              <w:t>AEC</w:t>
            </w:r>
            <w:r w:rsidR="00AA64D6" w:rsidRPr="00E07570">
              <w:rPr>
                <w:b/>
                <w:iCs/>
              </w:rPr>
              <w:t>C</w:t>
            </w:r>
          </w:p>
        </w:tc>
        <w:tc>
          <w:tcPr>
            <w:tcW w:w="2365" w:type="dxa"/>
            <w:tcBorders>
              <w:top w:val="single" w:sz="12" w:space="0" w:color="auto"/>
              <w:left w:val="nil"/>
              <w:bottom w:val="single" w:sz="4" w:space="0" w:color="auto"/>
              <w:right w:val="single" w:sz="4" w:space="0" w:color="auto"/>
            </w:tcBorders>
            <w:shd w:val="clear" w:color="auto" w:fill="auto"/>
            <w:vAlign w:val="center"/>
            <w:hideMark/>
          </w:tcPr>
          <w:p w:rsidR="00A02F5A" w:rsidRPr="00E07570" w:rsidRDefault="00A02F5A" w:rsidP="00734DD9">
            <w:pPr>
              <w:spacing w:before="60" w:after="60"/>
              <w:ind w:left="57" w:right="57"/>
              <w:rPr>
                <w:b/>
                <w:lang w:eastAsia="en-GB"/>
              </w:rPr>
            </w:pPr>
            <w:r w:rsidRPr="00E07570">
              <w:rPr>
                <w:b/>
                <w:lang w:eastAsia="en-GB"/>
              </w:rPr>
              <w:t>Défaillance interne</w:t>
            </w:r>
          </w:p>
        </w:tc>
        <w:tc>
          <w:tcPr>
            <w:tcW w:w="3198" w:type="dxa"/>
            <w:tcBorders>
              <w:top w:val="single" w:sz="12" w:space="0" w:color="auto"/>
              <w:left w:val="nil"/>
              <w:bottom w:val="single" w:sz="4" w:space="0" w:color="auto"/>
              <w:right w:val="single" w:sz="4" w:space="0" w:color="auto"/>
            </w:tcBorders>
            <w:shd w:val="clear" w:color="auto" w:fill="auto"/>
            <w:vAlign w:val="center"/>
            <w:hideMark/>
          </w:tcPr>
          <w:p w:rsidR="00A02F5A" w:rsidRPr="00E07570" w:rsidRDefault="00AA64D6" w:rsidP="000E22C4">
            <w:pPr>
              <w:spacing w:before="60" w:after="60"/>
              <w:ind w:left="57" w:right="57"/>
              <w:rPr>
                <w:b/>
                <w:lang w:eastAsia="en-GB"/>
              </w:rPr>
            </w:pPr>
            <w:r w:rsidRPr="00E07570">
              <w:rPr>
                <w:b/>
                <w:lang w:eastAsia="en-GB"/>
              </w:rPr>
              <w:t>Par exemple : défaillance du matériel, chien de garde, checksum, ou encore intégrité de l</w:t>
            </w:r>
            <w:r w:rsidR="00145E4B">
              <w:rPr>
                <w:b/>
                <w:lang w:eastAsia="en-GB"/>
              </w:rPr>
              <w:t>’</w:t>
            </w:r>
            <w:r w:rsidRPr="00E07570">
              <w:rPr>
                <w:b/>
                <w:lang w:eastAsia="en-GB"/>
              </w:rPr>
              <w:t>image du logiciel</w:t>
            </w:r>
          </w:p>
        </w:tc>
      </w:tr>
      <w:tr w:rsidR="00205771" w:rsidRPr="00E07570" w:rsidTr="00467969">
        <w:trPr>
          <w:trHeight w:val="20"/>
        </w:trPr>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771" w:rsidRPr="00E07570" w:rsidRDefault="00205771" w:rsidP="00AA64D6">
            <w:pPr>
              <w:spacing w:before="60" w:after="60"/>
              <w:ind w:left="57" w:right="57"/>
              <w:rPr>
                <w:b/>
                <w:iCs/>
              </w:rPr>
            </w:pPr>
            <w:r w:rsidRPr="00E07570">
              <w:rPr>
                <w:b/>
                <w:bCs/>
                <w:lang w:eastAsia="en-GB"/>
              </w:rPr>
              <w:t xml:space="preserve">Dispositif </w:t>
            </w:r>
            <w:r w:rsidRPr="00E07570">
              <w:rPr>
                <w:b/>
                <w:bCs/>
                <w:lang w:eastAsia="en-GB"/>
              </w:rPr>
              <w:br/>
              <w:t>de</w:t>
            </w:r>
            <w:r w:rsidRPr="00E07570">
              <w:rPr>
                <w:b/>
                <w:lang w:eastAsia="en-GB"/>
              </w:rPr>
              <w:t xml:space="preserve"> communication par réseau mobile</w:t>
            </w:r>
          </w:p>
        </w:tc>
        <w:tc>
          <w:tcPr>
            <w:tcW w:w="2365" w:type="dxa"/>
            <w:tcBorders>
              <w:top w:val="single" w:sz="4" w:space="0" w:color="auto"/>
              <w:left w:val="nil"/>
              <w:bottom w:val="single" w:sz="4" w:space="0" w:color="auto"/>
              <w:right w:val="single" w:sz="4" w:space="0" w:color="auto"/>
            </w:tcBorders>
            <w:shd w:val="clear" w:color="auto" w:fill="auto"/>
            <w:vAlign w:val="center"/>
          </w:tcPr>
          <w:p w:rsidR="00205771" w:rsidRPr="00E07570" w:rsidRDefault="00205771" w:rsidP="00734DD9">
            <w:pPr>
              <w:spacing w:before="60" w:after="60"/>
              <w:ind w:left="57" w:right="57"/>
              <w:rPr>
                <w:b/>
                <w:lang w:eastAsia="en-GB"/>
              </w:rPr>
            </w:pPr>
            <w:r w:rsidRPr="00E07570">
              <w:rPr>
                <w:b/>
                <w:lang w:eastAsia="en-GB"/>
              </w:rPr>
              <w:t xml:space="preserve">Défaillance </w:t>
            </w:r>
            <w:r w:rsidRPr="00E07570">
              <w:rPr>
                <w:b/>
                <w:lang w:eastAsia="en-GB"/>
              </w:rPr>
              <w:br/>
              <w:t>du branchement électrique/ou du module de communication</w:t>
            </w:r>
          </w:p>
        </w:tc>
        <w:tc>
          <w:tcPr>
            <w:tcW w:w="3198" w:type="dxa"/>
            <w:tcBorders>
              <w:top w:val="single" w:sz="4" w:space="0" w:color="auto"/>
              <w:left w:val="nil"/>
              <w:bottom w:val="single" w:sz="4" w:space="0" w:color="auto"/>
              <w:right w:val="single" w:sz="4" w:space="0" w:color="auto"/>
            </w:tcBorders>
            <w:shd w:val="clear" w:color="auto" w:fill="auto"/>
            <w:vAlign w:val="center"/>
          </w:tcPr>
          <w:p w:rsidR="00205771" w:rsidRPr="00E07570" w:rsidRDefault="00205771" w:rsidP="00AA64D6">
            <w:pPr>
              <w:spacing w:before="60" w:after="60"/>
              <w:ind w:left="57" w:right="57"/>
              <w:rPr>
                <w:b/>
                <w:lang w:eastAsia="en-GB"/>
              </w:rPr>
            </w:pPr>
            <w:r w:rsidRPr="00E07570">
              <w:rPr>
                <w:b/>
                <w:bCs/>
                <w:lang w:eastAsia="en-GB"/>
              </w:rPr>
              <w:t xml:space="preserve">Une défaillance du module </w:t>
            </w:r>
            <w:r w:rsidRPr="00E07570">
              <w:rPr>
                <w:b/>
                <w:bCs/>
                <w:lang w:eastAsia="en-GB"/>
              </w:rPr>
              <w:br/>
              <w:t>de communication peut être détectée par l</w:t>
            </w:r>
            <w:r w:rsidR="00145E4B">
              <w:rPr>
                <w:b/>
                <w:bCs/>
                <w:lang w:eastAsia="en-GB"/>
              </w:rPr>
              <w:t>’</w:t>
            </w:r>
            <w:r w:rsidRPr="00E07570">
              <w:rPr>
                <w:b/>
                <w:bCs/>
                <w:lang w:eastAsia="en-GB"/>
              </w:rPr>
              <w:t>absence de communication numérique entre le module de commande de l</w:t>
            </w:r>
            <w:r w:rsidR="00145E4B">
              <w:rPr>
                <w:b/>
                <w:bCs/>
                <w:lang w:eastAsia="en-GB"/>
              </w:rPr>
              <w:t>’</w:t>
            </w:r>
            <w:r w:rsidRPr="00E07570">
              <w:rPr>
                <w:b/>
                <w:bCs/>
                <w:lang w:eastAsia="en-GB"/>
              </w:rPr>
              <w:t>AECD et le module de communication.</w:t>
            </w:r>
          </w:p>
        </w:tc>
      </w:tr>
      <w:tr w:rsidR="00205771" w:rsidRPr="00E07570" w:rsidTr="00467969">
        <w:trPr>
          <w:trHeight w:val="20"/>
        </w:trPr>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5771" w:rsidRPr="00E07570" w:rsidRDefault="00205771" w:rsidP="00734DD9">
            <w:pPr>
              <w:spacing w:before="60" w:after="60"/>
              <w:ind w:left="57" w:right="57"/>
              <w:rPr>
                <w:b/>
                <w:lang w:eastAsia="en-GB"/>
              </w:rPr>
            </w:pPr>
            <w:r w:rsidRPr="00E07570">
              <w:rPr>
                <w:b/>
                <w:bCs/>
                <w:lang w:eastAsia="en-GB"/>
              </w:rPr>
              <w:t xml:space="preserve">Dispositif </w:t>
            </w:r>
            <w:r w:rsidRPr="00E07570">
              <w:rPr>
                <w:b/>
                <w:bCs/>
                <w:lang w:eastAsia="en-GB"/>
              </w:rPr>
              <w:br/>
              <w:t>de</w:t>
            </w:r>
            <w:r w:rsidRPr="00E07570">
              <w:rPr>
                <w:b/>
                <w:lang w:eastAsia="en-GB"/>
              </w:rPr>
              <w:t xml:space="preserve"> communication par réseau mobile</w:t>
            </w:r>
          </w:p>
        </w:tc>
        <w:tc>
          <w:tcPr>
            <w:tcW w:w="2365" w:type="dxa"/>
            <w:tcBorders>
              <w:top w:val="single" w:sz="4" w:space="0" w:color="auto"/>
              <w:left w:val="nil"/>
              <w:bottom w:val="single" w:sz="4" w:space="0" w:color="auto"/>
              <w:right w:val="single" w:sz="4" w:space="0" w:color="auto"/>
            </w:tcBorders>
            <w:shd w:val="clear" w:color="auto" w:fill="auto"/>
            <w:vAlign w:val="center"/>
            <w:hideMark/>
          </w:tcPr>
          <w:p w:rsidR="00205771" w:rsidRPr="00E07570" w:rsidRDefault="00205771" w:rsidP="00734DD9">
            <w:pPr>
              <w:spacing w:before="60" w:after="60"/>
              <w:ind w:left="57" w:right="57"/>
              <w:rPr>
                <w:b/>
                <w:lang w:eastAsia="en-GB"/>
              </w:rPr>
            </w:pPr>
            <w:r w:rsidRPr="00E07570">
              <w:rPr>
                <w:b/>
                <w:bCs/>
                <w:lang w:eastAsia="en-GB"/>
              </w:rPr>
              <w:t>Défaillance interne</w:t>
            </w:r>
          </w:p>
        </w:tc>
        <w:tc>
          <w:tcPr>
            <w:tcW w:w="3198" w:type="dxa"/>
            <w:tcBorders>
              <w:top w:val="single" w:sz="4" w:space="0" w:color="auto"/>
              <w:left w:val="nil"/>
              <w:bottom w:val="single" w:sz="4" w:space="0" w:color="auto"/>
              <w:right w:val="single" w:sz="4" w:space="0" w:color="auto"/>
            </w:tcBorders>
            <w:shd w:val="clear" w:color="auto" w:fill="auto"/>
            <w:vAlign w:val="center"/>
            <w:hideMark/>
          </w:tcPr>
          <w:p w:rsidR="00205771" w:rsidRPr="00E07570" w:rsidRDefault="00205771" w:rsidP="00734DD9">
            <w:pPr>
              <w:spacing w:before="60" w:after="60"/>
              <w:ind w:left="57" w:right="57"/>
              <w:rPr>
                <w:b/>
                <w:bCs/>
                <w:lang w:eastAsia="en-GB"/>
              </w:rPr>
            </w:pPr>
            <w:r w:rsidRPr="00E07570">
              <w:rPr>
                <w:b/>
                <w:bCs/>
                <w:lang w:eastAsia="en-GB"/>
              </w:rPr>
              <w:t>Ce point concerne une fonction indispensable : en cas de défaillance, l</w:t>
            </w:r>
            <w:r w:rsidR="00145E4B">
              <w:rPr>
                <w:b/>
                <w:bCs/>
                <w:lang w:eastAsia="en-GB"/>
              </w:rPr>
              <w:t>’</w:t>
            </w:r>
            <w:r w:rsidRPr="00E07570">
              <w:rPr>
                <w:b/>
                <w:bCs/>
                <w:lang w:eastAsia="en-GB"/>
              </w:rPr>
              <w:t>AECS est paralysé.</w:t>
            </w:r>
          </w:p>
        </w:tc>
      </w:tr>
      <w:tr w:rsidR="00A02F5A" w:rsidRPr="00E07570" w:rsidTr="00467969">
        <w:trPr>
          <w:trHeight w:val="20"/>
        </w:trPr>
        <w:tc>
          <w:tcPr>
            <w:tcW w:w="1808" w:type="dxa"/>
            <w:vMerge w:val="restart"/>
            <w:tcBorders>
              <w:top w:val="single" w:sz="4" w:space="0" w:color="auto"/>
              <w:left w:val="single" w:sz="4" w:space="0" w:color="auto"/>
              <w:right w:val="single" w:sz="4" w:space="0" w:color="auto"/>
            </w:tcBorders>
            <w:shd w:val="clear" w:color="auto" w:fill="auto"/>
            <w:noWrap/>
            <w:vAlign w:val="center"/>
            <w:hideMark/>
          </w:tcPr>
          <w:p w:rsidR="00A02F5A" w:rsidRPr="00E07570" w:rsidRDefault="00A02F5A" w:rsidP="00734DD9">
            <w:pPr>
              <w:keepNext/>
              <w:spacing w:before="60" w:after="60"/>
              <w:ind w:left="57" w:right="57"/>
              <w:rPr>
                <w:b/>
                <w:lang w:eastAsia="en-GB"/>
              </w:rPr>
            </w:pPr>
            <w:r w:rsidRPr="00E07570">
              <w:rPr>
                <w:b/>
                <w:lang w:eastAsia="en-GB"/>
              </w:rPr>
              <w:t>Récepteur GNSS</w:t>
            </w:r>
          </w:p>
        </w:tc>
        <w:tc>
          <w:tcPr>
            <w:tcW w:w="2365" w:type="dxa"/>
            <w:tcBorders>
              <w:top w:val="single" w:sz="4" w:space="0" w:color="auto"/>
              <w:left w:val="nil"/>
              <w:bottom w:val="single" w:sz="4" w:space="0" w:color="auto"/>
              <w:right w:val="single" w:sz="4" w:space="0" w:color="auto"/>
            </w:tcBorders>
            <w:shd w:val="clear" w:color="auto" w:fill="auto"/>
            <w:vAlign w:val="center"/>
            <w:hideMark/>
          </w:tcPr>
          <w:p w:rsidR="00A02F5A" w:rsidRPr="00E07570" w:rsidRDefault="00A02F5A" w:rsidP="00734DD9">
            <w:pPr>
              <w:keepNext/>
              <w:spacing w:before="60" w:after="60"/>
              <w:ind w:left="57" w:right="57"/>
              <w:rPr>
                <w:b/>
                <w:lang w:eastAsia="en-GB"/>
              </w:rPr>
            </w:pPr>
            <w:r w:rsidRPr="00E07570">
              <w:rPr>
                <w:b/>
                <w:lang w:eastAsia="en-GB"/>
              </w:rPr>
              <w:t xml:space="preserve">Défaillance du branchement électrique et/ou du module </w:t>
            </w:r>
            <w:r w:rsidRPr="00E07570">
              <w:rPr>
                <w:b/>
                <w:lang w:eastAsia="en-GB"/>
              </w:rPr>
              <w:br/>
              <w:t>de communication</w:t>
            </w:r>
          </w:p>
        </w:tc>
        <w:tc>
          <w:tcPr>
            <w:tcW w:w="3198" w:type="dxa"/>
            <w:tcBorders>
              <w:top w:val="single" w:sz="4" w:space="0" w:color="auto"/>
              <w:left w:val="nil"/>
              <w:bottom w:val="single" w:sz="4" w:space="0" w:color="auto"/>
              <w:right w:val="single" w:sz="4" w:space="0" w:color="auto"/>
            </w:tcBorders>
            <w:shd w:val="clear" w:color="auto" w:fill="auto"/>
            <w:vAlign w:val="center"/>
          </w:tcPr>
          <w:p w:rsidR="00A02F5A" w:rsidRPr="00E07570" w:rsidRDefault="00A02F5A" w:rsidP="00734DD9">
            <w:pPr>
              <w:keepNext/>
              <w:spacing w:before="60" w:after="60"/>
              <w:ind w:left="57" w:right="57"/>
              <w:rPr>
                <w:lang w:eastAsia="en-GB"/>
              </w:rPr>
            </w:pPr>
          </w:p>
        </w:tc>
      </w:tr>
      <w:tr w:rsidR="00A02F5A" w:rsidRPr="00E07570" w:rsidTr="00467969">
        <w:trPr>
          <w:trHeight w:val="20"/>
        </w:trPr>
        <w:tc>
          <w:tcPr>
            <w:tcW w:w="1808" w:type="dxa"/>
            <w:vMerge/>
            <w:tcBorders>
              <w:left w:val="single" w:sz="4" w:space="0" w:color="auto"/>
              <w:bottom w:val="single" w:sz="4" w:space="0" w:color="auto"/>
              <w:right w:val="single" w:sz="4" w:space="0" w:color="auto"/>
            </w:tcBorders>
            <w:shd w:val="clear" w:color="auto" w:fill="auto"/>
            <w:noWrap/>
            <w:vAlign w:val="center"/>
            <w:hideMark/>
          </w:tcPr>
          <w:p w:rsidR="00A02F5A" w:rsidRPr="00E07570" w:rsidRDefault="00A02F5A" w:rsidP="00734DD9">
            <w:pPr>
              <w:keepNext/>
              <w:spacing w:before="60" w:after="60"/>
              <w:ind w:left="57" w:right="57"/>
              <w:rPr>
                <w:b/>
                <w:lang w:eastAsia="en-GB"/>
              </w:rPr>
            </w:pPr>
          </w:p>
        </w:tc>
        <w:tc>
          <w:tcPr>
            <w:tcW w:w="2365" w:type="dxa"/>
            <w:tcBorders>
              <w:top w:val="nil"/>
              <w:left w:val="nil"/>
              <w:bottom w:val="single" w:sz="4" w:space="0" w:color="auto"/>
              <w:right w:val="single" w:sz="4" w:space="0" w:color="auto"/>
            </w:tcBorders>
            <w:shd w:val="clear" w:color="auto" w:fill="auto"/>
            <w:vAlign w:val="center"/>
            <w:hideMark/>
          </w:tcPr>
          <w:p w:rsidR="00A02F5A" w:rsidRPr="00E07570" w:rsidRDefault="00A02F5A" w:rsidP="00734DD9">
            <w:pPr>
              <w:keepNext/>
              <w:spacing w:before="60" w:after="60"/>
              <w:ind w:left="57" w:right="57"/>
              <w:rPr>
                <w:b/>
                <w:bCs/>
                <w:lang w:eastAsia="en-GB"/>
              </w:rPr>
            </w:pPr>
            <w:r w:rsidRPr="00E07570">
              <w:rPr>
                <w:b/>
                <w:lang w:eastAsia="en-GB"/>
              </w:rPr>
              <w:t>Défaillance interne</w:t>
            </w:r>
          </w:p>
        </w:tc>
        <w:tc>
          <w:tcPr>
            <w:tcW w:w="3198" w:type="dxa"/>
            <w:tcBorders>
              <w:top w:val="nil"/>
              <w:left w:val="nil"/>
              <w:bottom w:val="single" w:sz="4" w:space="0" w:color="auto"/>
              <w:right w:val="single" w:sz="4" w:space="0" w:color="auto"/>
            </w:tcBorders>
            <w:shd w:val="clear" w:color="auto" w:fill="auto"/>
            <w:vAlign w:val="center"/>
          </w:tcPr>
          <w:p w:rsidR="00A02F5A" w:rsidRPr="00E07570" w:rsidRDefault="00A02F5A" w:rsidP="00734DD9">
            <w:pPr>
              <w:keepNext/>
              <w:spacing w:before="60" w:after="60"/>
              <w:ind w:left="57" w:right="57"/>
              <w:rPr>
                <w:lang w:eastAsia="en-GB"/>
              </w:rPr>
            </w:pPr>
          </w:p>
        </w:tc>
      </w:tr>
      <w:tr w:rsidR="00A02F5A" w:rsidRPr="00E07570" w:rsidTr="00467969">
        <w:trPr>
          <w:trHeight w:val="20"/>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A02F5A" w:rsidRPr="00E07570" w:rsidRDefault="00A02F5A" w:rsidP="00734DD9">
            <w:pPr>
              <w:keepNext/>
              <w:spacing w:before="60" w:after="60"/>
              <w:ind w:left="57" w:right="57"/>
              <w:rPr>
                <w:b/>
                <w:lang w:eastAsia="en-GB"/>
              </w:rPr>
            </w:pPr>
            <w:r w:rsidRPr="00E07570">
              <w:rPr>
                <w:b/>
              </w:rPr>
              <w:t xml:space="preserve">Antenne </w:t>
            </w:r>
            <w:r w:rsidRPr="00E07570">
              <w:rPr>
                <w:b/>
              </w:rPr>
              <w:br/>
              <w:t xml:space="preserve">de communication </w:t>
            </w:r>
            <w:r w:rsidR="004C27E0" w:rsidRPr="00E07570">
              <w:rPr>
                <w:b/>
                <w:szCs w:val="24"/>
                <w:lang w:eastAsia="en-GB"/>
              </w:rPr>
              <w:t>par réseau mobile</w:t>
            </w:r>
          </w:p>
        </w:tc>
        <w:tc>
          <w:tcPr>
            <w:tcW w:w="2365" w:type="dxa"/>
            <w:tcBorders>
              <w:top w:val="nil"/>
              <w:left w:val="nil"/>
              <w:bottom w:val="single" w:sz="4" w:space="0" w:color="auto"/>
              <w:right w:val="single" w:sz="4" w:space="0" w:color="auto"/>
            </w:tcBorders>
            <w:shd w:val="clear" w:color="auto" w:fill="auto"/>
            <w:vAlign w:val="center"/>
            <w:hideMark/>
          </w:tcPr>
          <w:p w:rsidR="00A02F5A" w:rsidRPr="00E07570" w:rsidRDefault="00A02F5A" w:rsidP="00734DD9">
            <w:pPr>
              <w:spacing w:before="60" w:after="60"/>
              <w:ind w:left="57" w:right="57"/>
              <w:rPr>
                <w:b/>
                <w:lang w:eastAsia="en-GB"/>
              </w:rPr>
            </w:pPr>
            <w:r w:rsidRPr="00E07570">
              <w:rPr>
                <w:b/>
                <w:lang w:eastAsia="en-GB"/>
              </w:rPr>
              <w:t>Branchement électrique</w:t>
            </w:r>
          </w:p>
        </w:tc>
        <w:tc>
          <w:tcPr>
            <w:tcW w:w="3198" w:type="dxa"/>
            <w:tcBorders>
              <w:top w:val="nil"/>
              <w:left w:val="nil"/>
              <w:bottom w:val="single" w:sz="4" w:space="0" w:color="auto"/>
              <w:right w:val="single" w:sz="4" w:space="0" w:color="auto"/>
            </w:tcBorders>
            <w:shd w:val="clear" w:color="auto" w:fill="auto"/>
            <w:vAlign w:val="center"/>
          </w:tcPr>
          <w:p w:rsidR="00A02F5A" w:rsidRPr="00E07570" w:rsidRDefault="00A02F5A" w:rsidP="00734DD9">
            <w:pPr>
              <w:spacing w:before="60" w:after="60"/>
              <w:ind w:left="57" w:right="57"/>
              <w:rPr>
                <w:lang w:eastAsia="en-GB"/>
              </w:rPr>
            </w:pPr>
          </w:p>
        </w:tc>
      </w:tr>
      <w:tr w:rsidR="00A02F5A" w:rsidRPr="00E07570" w:rsidTr="00467969">
        <w:trPr>
          <w:trHeight w:val="20"/>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A02F5A" w:rsidRPr="00E07570" w:rsidRDefault="00A02F5A" w:rsidP="00734DD9">
            <w:pPr>
              <w:spacing w:before="60" w:after="60"/>
              <w:ind w:left="57" w:right="57"/>
              <w:rPr>
                <w:b/>
                <w:lang w:eastAsia="en-GB"/>
              </w:rPr>
            </w:pPr>
            <w:r w:rsidRPr="00E07570">
              <w:rPr>
                <w:b/>
              </w:rPr>
              <w:t>Antenne GNSS</w:t>
            </w:r>
          </w:p>
        </w:tc>
        <w:tc>
          <w:tcPr>
            <w:tcW w:w="2365" w:type="dxa"/>
            <w:tcBorders>
              <w:top w:val="nil"/>
              <w:left w:val="nil"/>
              <w:bottom w:val="single" w:sz="4" w:space="0" w:color="auto"/>
              <w:right w:val="single" w:sz="4" w:space="0" w:color="auto"/>
            </w:tcBorders>
            <w:shd w:val="clear" w:color="auto" w:fill="auto"/>
            <w:vAlign w:val="center"/>
            <w:hideMark/>
          </w:tcPr>
          <w:p w:rsidR="00A02F5A" w:rsidRPr="00E07570" w:rsidRDefault="00A02F5A" w:rsidP="00734DD9">
            <w:pPr>
              <w:spacing w:before="60" w:after="60"/>
              <w:ind w:left="57" w:right="57"/>
              <w:rPr>
                <w:b/>
                <w:lang w:eastAsia="en-GB"/>
              </w:rPr>
            </w:pPr>
            <w:r w:rsidRPr="00E07570">
              <w:rPr>
                <w:b/>
                <w:lang w:eastAsia="en-GB"/>
              </w:rPr>
              <w:t>Branchement électrique</w:t>
            </w:r>
          </w:p>
        </w:tc>
        <w:tc>
          <w:tcPr>
            <w:tcW w:w="3198" w:type="dxa"/>
            <w:tcBorders>
              <w:top w:val="nil"/>
              <w:left w:val="nil"/>
              <w:bottom w:val="single" w:sz="4" w:space="0" w:color="auto"/>
              <w:right w:val="single" w:sz="4" w:space="0" w:color="auto"/>
            </w:tcBorders>
            <w:shd w:val="clear" w:color="auto" w:fill="auto"/>
            <w:vAlign w:val="center"/>
          </w:tcPr>
          <w:p w:rsidR="00A02F5A" w:rsidRPr="00E07570" w:rsidRDefault="00A02F5A" w:rsidP="00734DD9">
            <w:pPr>
              <w:spacing w:before="60" w:after="60"/>
              <w:ind w:left="57" w:right="57"/>
              <w:rPr>
                <w:lang w:eastAsia="en-GB"/>
              </w:rPr>
            </w:pPr>
          </w:p>
        </w:tc>
      </w:tr>
      <w:tr w:rsidR="00C63166" w:rsidRPr="00E07570" w:rsidTr="00467969">
        <w:trPr>
          <w:trHeight w:val="20"/>
        </w:trPr>
        <w:tc>
          <w:tcPr>
            <w:tcW w:w="1808" w:type="dxa"/>
            <w:tcBorders>
              <w:top w:val="nil"/>
              <w:left w:val="single" w:sz="4" w:space="0" w:color="auto"/>
              <w:bottom w:val="single" w:sz="4" w:space="0" w:color="auto"/>
              <w:right w:val="single" w:sz="4" w:space="0" w:color="auto"/>
            </w:tcBorders>
            <w:shd w:val="clear" w:color="auto" w:fill="auto"/>
            <w:noWrap/>
            <w:vAlign w:val="center"/>
          </w:tcPr>
          <w:p w:rsidR="00C63166" w:rsidRPr="00E07570" w:rsidRDefault="00C63166" w:rsidP="00734DD9">
            <w:pPr>
              <w:spacing w:before="60" w:after="60"/>
              <w:ind w:left="57" w:right="57"/>
              <w:rPr>
                <w:b/>
              </w:rPr>
            </w:pPr>
            <w:r w:rsidRPr="00E07570">
              <w:rPr>
                <w:b/>
                <w:lang w:eastAsia="en-GB"/>
              </w:rPr>
              <w:t>Unité de détection des chocs</w:t>
            </w:r>
          </w:p>
        </w:tc>
        <w:tc>
          <w:tcPr>
            <w:tcW w:w="2365" w:type="dxa"/>
            <w:tcBorders>
              <w:top w:val="nil"/>
              <w:left w:val="nil"/>
              <w:bottom w:val="single" w:sz="4" w:space="0" w:color="auto"/>
              <w:right w:val="single" w:sz="4" w:space="0" w:color="auto"/>
            </w:tcBorders>
            <w:shd w:val="clear" w:color="auto" w:fill="auto"/>
            <w:vAlign w:val="center"/>
          </w:tcPr>
          <w:p w:rsidR="00C63166" w:rsidRPr="00E07570" w:rsidRDefault="00C63166" w:rsidP="00734DD9">
            <w:pPr>
              <w:spacing w:before="60" w:after="60"/>
              <w:ind w:left="57" w:right="57"/>
              <w:rPr>
                <w:b/>
                <w:lang w:eastAsia="en-GB"/>
              </w:rPr>
            </w:pPr>
            <w:r w:rsidRPr="00E07570">
              <w:rPr>
                <w:b/>
                <w:lang w:eastAsia="en-GB"/>
              </w:rPr>
              <w:t>Branchement électrique</w:t>
            </w:r>
          </w:p>
        </w:tc>
        <w:tc>
          <w:tcPr>
            <w:tcW w:w="3198" w:type="dxa"/>
            <w:tcBorders>
              <w:top w:val="nil"/>
              <w:left w:val="nil"/>
              <w:bottom w:val="single" w:sz="4" w:space="0" w:color="auto"/>
              <w:right w:val="single" w:sz="4" w:space="0" w:color="auto"/>
            </w:tcBorders>
            <w:shd w:val="clear" w:color="auto" w:fill="auto"/>
            <w:vAlign w:val="center"/>
          </w:tcPr>
          <w:p w:rsidR="00C63166" w:rsidRPr="00E07570" w:rsidRDefault="00C63166" w:rsidP="00734DD9">
            <w:pPr>
              <w:spacing w:before="60" w:after="60"/>
              <w:ind w:left="57" w:right="57"/>
              <w:rPr>
                <w:lang w:eastAsia="en-GB"/>
              </w:rPr>
            </w:pPr>
            <w:r w:rsidRPr="00E07570">
              <w:rPr>
                <w:b/>
                <w:lang w:eastAsia="en-GB"/>
              </w:rPr>
              <w:t xml:space="preserve">Système de détection des chocs </w:t>
            </w:r>
            <w:r w:rsidRPr="00E07570">
              <w:rPr>
                <w:b/>
                <w:lang w:eastAsia="en-GB"/>
              </w:rPr>
              <w:br/>
              <w:t xml:space="preserve">ou dispositif de déclenchement, </w:t>
            </w:r>
            <w:r w:rsidRPr="00E07570">
              <w:rPr>
                <w:b/>
                <w:lang w:eastAsia="en-GB"/>
              </w:rPr>
              <w:br/>
              <w:t>par exemple.</w:t>
            </w:r>
          </w:p>
        </w:tc>
      </w:tr>
      <w:tr w:rsidR="0054564A" w:rsidRPr="00E07570" w:rsidTr="00467969">
        <w:trPr>
          <w:trHeight w:val="20"/>
        </w:trPr>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64A" w:rsidRPr="00E07570" w:rsidRDefault="0054564A" w:rsidP="004C27E0">
            <w:pPr>
              <w:spacing w:before="60" w:after="60"/>
              <w:ind w:left="57" w:right="57"/>
              <w:rPr>
                <w:b/>
                <w:lang w:eastAsia="en-GB"/>
              </w:rPr>
            </w:pPr>
            <w:r w:rsidRPr="00E07570">
              <w:rPr>
                <w:b/>
                <w:lang w:eastAsia="en-GB"/>
              </w:rPr>
              <w:t>Unité de détection des chocs</w:t>
            </w:r>
          </w:p>
        </w:tc>
        <w:tc>
          <w:tcPr>
            <w:tcW w:w="2365" w:type="dxa"/>
            <w:tcBorders>
              <w:top w:val="single" w:sz="4" w:space="0" w:color="auto"/>
              <w:left w:val="nil"/>
              <w:bottom w:val="single" w:sz="4" w:space="0" w:color="auto"/>
              <w:right w:val="single" w:sz="4" w:space="0" w:color="auto"/>
            </w:tcBorders>
            <w:shd w:val="clear" w:color="auto" w:fill="auto"/>
            <w:vAlign w:val="center"/>
            <w:hideMark/>
          </w:tcPr>
          <w:p w:rsidR="0054564A" w:rsidRPr="00E07570" w:rsidRDefault="0054564A" w:rsidP="00734DD9">
            <w:pPr>
              <w:spacing w:before="60" w:after="60"/>
              <w:ind w:left="57" w:right="57"/>
              <w:rPr>
                <w:b/>
                <w:lang w:eastAsia="en-GB"/>
              </w:rPr>
            </w:pPr>
            <w:r w:rsidRPr="00E07570">
              <w:rPr>
                <w:b/>
                <w:lang w:eastAsia="en-GB"/>
              </w:rPr>
              <w:t>Défaillance interne</w:t>
            </w:r>
          </w:p>
        </w:tc>
        <w:tc>
          <w:tcPr>
            <w:tcW w:w="3198" w:type="dxa"/>
            <w:tcBorders>
              <w:top w:val="single" w:sz="4" w:space="0" w:color="auto"/>
              <w:left w:val="nil"/>
              <w:bottom w:val="single" w:sz="4" w:space="0" w:color="auto"/>
              <w:right w:val="single" w:sz="4" w:space="0" w:color="auto"/>
            </w:tcBorders>
            <w:shd w:val="clear" w:color="auto" w:fill="auto"/>
            <w:vAlign w:val="center"/>
            <w:hideMark/>
          </w:tcPr>
          <w:p w:rsidR="0054564A" w:rsidRPr="00E07570" w:rsidRDefault="0054564A" w:rsidP="000F41A5">
            <w:pPr>
              <w:spacing w:before="60" w:after="60"/>
              <w:ind w:left="57" w:right="57"/>
              <w:rPr>
                <w:b/>
                <w:lang w:eastAsia="en-GB"/>
              </w:rPr>
            </w:pPr>
            <w:r w:rsidRPr="00E07570">
              <w:rPr>
                <w:b/>
                <w:bCs/>
                <w:lang w:eastAsia="en-GB"/>
              </w:rPr>
              <w:t>Si le système de détection n</w:t>
            </w:r>
            <w:r w:rsidR="00145E4B">
              <w:rPr>
                <w:b/>
                <w:bCs/>
                <w:lang w:eastAsia="en-GB"/>
              </w:rPr>
              <w:t>’</w:t>
            </w:r>
            <w:r w:rsidRPr="00E07570">
              <w:rPr>
                <w:b/>
                <w:bCs/>
                <w:lang w:eastAsia="en-GB"/>
              </w:rPr>
              <w:t>est pas en bon état l</w:t>
            </w:r>
            <w:r w:rsidR="00145E4B">
              <w:rPr>
                <w:b/>
                <w:bCs/>
                <w:lang w:eastAsia="en-GB"/>
              </w:rPr>
              <w:t>’</w:t>
            </w:r>
            <w:r w:rsidRPr="00E07570">
              <w:rPr>
                <w:b/>
                <w:bCs/>
                <w:lang w:eastAsia="en-GB"/>
              </w:rPr>
              <w:t>appel d</w:t>
            </w:r>
            <w:r w:rsidR="00145E4B">
              <w:rPr>
                <w:b/>
                <w:bCs/>
                <w:lang w:eastAsia="en-GB"/>
              </w:rPr>
              <w:t>’</w:t>
            </w:r>
            <w:r w:rsidRPr="00E07570">
              <w:rPr>
                <w:b/>
                <w:bCs/>
                <w:lang w:eastAsia="en-GB"/>
              </w:rPr>
              <w:t>urgence est imposs</w:t>
            </w:r>
            <w:r w:rsidR="000F41A5" w:rsidRPr="00E07570">
              <w:rPr>
                <w:b/>
                <w:bCs/>
                <w:lang w:eastAsia="en-GB"/>
              </w:rPr>
              <w:t>ib</w:t>
            </w:r>
            <w:r w:rsidRPr="00E07570">
              <w:rPr>
                <w:b/>
                <w:bCs/>
                <w:lang w:eastAsia="en-GB"/>
              </w:rPr>
              <w:t>le. Si ce type de défaillance ne fait pas partie des critères d</w:t>
            </w:r>
            <w:r w:rsidR="00145E4B">
              <w:rPr>
                <w:b/>
                <w:bCs/>
                <w:lang w:eastAsia="en-GB"/>
              </w:rPr>
              <w:t>’</w:t>
            </w:r>
            <w:r w:rsidRPr="00E07570">
              <w:rPr>
                <w:b/>
                <w:bCs/>
                <w:lang w:eastAsia="en-GB"/>
              </w:rPr>
              <w:t>homologation de type de l</w:t>
            </w:r>
            <w:r w:rsidR="00145E4B">
              <w:rPr>
                <w:b/>
                <w:bCs/>
                <w:lang w:eastAsia="en-GB"/>
              </w:rPr>
              <w:t>’</w:t>
            </w:r>
            <w:r w:rsidRPr="00E07570">
              <w:rPr>
                <w:b/>
                <w:bCs/>
                <w:lang w:eastAsia="en-GB"/>
              </w:rPr>
              <w:t>AECC (partie </w:t>
            </w:r>
            <w:proofErr w:type="spellStart"/>
            <w:r w:rsidRPr="00E07570">
              <w:rPr>
                <w:b/>
                <w:bCs/>
                <w:lang w:eastAsia="en-GB"/>
              </w:rPr>
              <w:t>Ia</w:t>
            </w:r>
            <w:proofErr w:type="spellEnd"/>
            <w:r w:rsidRPr="00E07570">
              <w:rPr>
                <w:b/>
                <w:bCs/>
                <w:lang w:eastAsia="en-GB"/>
              </w:rPr>
              <w:t>), il doit faire partie de l</w:t>
            </w:r>
            <w:r w:rsidR="00145E4B">
              <w:rPr>
                <w:b/>
                <w:bCs/>
                <w:lang w:eastAsia="en-GB"/>
              </w:rPr>
              <w:t>’</w:t>
            </w:r>
            <w:r w:rsidRPr="00E07570">
              <w:rPr>
                <w:b/>
                <w:bCs/>
                <w:lang w:eastAsia="en-GB"/>
              </w:rPr>
              <w:t>homologation de type de l</w:t>
            </w:r>
            <w:r w:rsidR="00145E4B">
              <w:rPr>
                <w:b/>
                <w:bCs/>
                <w:lang w:eastAsia="en-GB"/>
              </w:rPr>
              <w:t>’</w:t>
            </w:r>
            <w:r w:rsidRPr="00E07570">
              <w:rPr>
                <w:b/>
                <w:bCs/>
                <w:lang w:eastAsia="en-GB"/>
              </w:rPr>
              <w:t>AECD (partie </w:t>
            </w:r>
            <w:proofErr w:type="spellStart"/>
            <w:r w:rsidR="00A22689" w:rsidRPr="00E07570">
              <w:rPr>
                <w:b/>
                <w:bCs/>
                <w:lang w:eastAsia="en-GB"/>
              </w:rPr>
              <w:t>Ib</w:t>
            </w:r>
            <w:proofErr w:type="spellEnd"/>
            <w:r w:rsidRPr="00E07570">
              <w:rPr>
                <w:b/>
                <w:bCs/>
                <w:lang w:eastAsia="en-GB"/>
              </w:rPr>
              <w:t>) ou de l</w:t>
            </w:r>
            <w:r w:rsidR="00145E4B">
              <w:rPr>
                <w:b/>
                <w:bCs/>
                <w:lang w:eastAsia="en-GB"/>
              </w:rPr>
              <w:t>’</w:t>
            </w:r>
            <w:r w:rsidRPr="00E07570">
              <w:rPr>
                <w:b/>
                <w:bCs/>
                <w:lang w:eastAsia="en-GB"/>
              </w:rPr>
              <w:t>AECS (partie II).</w:t>
            </w:r>
          </w:p>
        </w:tc>
      </w:tr>
      <w:tr w:rsidR="00A02F5A" w:rsidRPr="00E07570" w:rsidTr="00467969">
        <w:trPr>
          <w:trHeight w:val="20"/>
        </w:trPr>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F5A" w:rsidRPr="00E07570" w:rsidRDefault="00A02F5A" w:rsidP="00734DD9">
            <w:pPr>
              <w:spacing w:before="60" w:after="60"/>
              <w:ind w:left="57" w:right="57"/>
              <w:rPr>
                <w:b/>
                <w:lang w:eastAsia="en-GB"/>
              </w:rPr>
            </w:pPr>
            <w:r w:rsidRPr="00E07570">
              <w:rPr>
                <w:b/>
                <w:lang w:eastAsia="en-GB"/>
              </w:rPr>
              <w:t>Alimentation électrique</w:t>
            </w:r>
          </w:p>
        </w:tc>
        <w:tc>
          <w:tcPr>
            <w:tcW w:w="2365" w:type="dxa"/>
            <w:tcBorders>
              <w:top w:val="single" w:sz="4" w:space="0" w:color="auto"/>
              <w:left w:val="nil"/>
              <w:bottom w:val="single" w:sz="4" w:space="0" w:color="auto"/>
              <w:right w:val="single" w:sz="4" w:space="0" w:color="auto"/>
            </w:tcBorders>
            <w:shd w:val="clear" w:color="auto" w:fill="auto"/>
            <w:vAlign w:val="center"/>
            <w:hideMark/>
          </w:tcPr>
          <w:p w:rsidR="00A02F5A" w:rsidRPr="00E07570" w:rsidRDefault="00A02F5A" w:rsidP="00734DD9">
            <w:pPr>
              <w:spacing w:before="60" w:after="60"/>
              <w:ind w:left="57" w:right="57"/>
              <w:rPr>
                <w:b/>
                <w:lang w:eastAsia="en-GB"/>
              </w:rPr>
            </w:pPr>
            <w:r w:rsidRPr="00E07570">
              <w:rPr>
                <w:b/>
                <w:lang w:eastAsia="en-GB"/>
              </w:rPr>
              <w:t>Raccordement électrique</w:t>
            </w:r>
          </w:p>
        </w:tc>
        <w:tc>
          <w:tcPr>
            <w:tcW w:w="3198" w:type="dxa"/>
            <w:tcBorders>
              <w:top w:val="single" w:sz="4" w:space="0" w:color="auto"/>
              <w:left w:val="nil"/>
              <w:bottom w:val="single" w:sz="4" w:space="0" w:color="auto"/>
              <w:right w:val="single" w:sz="4" w:space="0" w:color="auto"/>
            </w:tcBorders>
            <w:shd w:val="clear" w:color="auto" w:fill="auto"/>
            <w:vAlign w:val="center"/>
            <w:hideMark/>
          </w:tcPr>
          <w:p w:rsidR="00A02F5A" w:rsidRPr="00E07570" w:rsidRDefault="00A02F5A" w:rsidP="00734DD9">
            <w:pPr>
              <w:spacing w:before="60" w:after="60"/>
              <w:ind w:left="57" w:right="57"/>
              <w:rPr>
                <w:b/>
                <w:lang w:eastAsia="en-GB"/>
              </w:rPr>
            </w:pPr>
            <w:r w:rsidRPr="00E07570">
              <w:rPr>
                <w:b/>
                <w:lang w:eastAsia="en-GB"/>
              </w:rPr>
              <w:t>Branchement d</w:t>
            </w:r>
            <w:r w:rsidR="00145E4B">
              <w:rPr>
                <w:b/>
                <w:lang w:eastAsia="en-GB"/>
              </w:rPr>
              <w:t>’</w:t>
            </w:r>
            <w:r w:rsidRPr="00E07570">
              <w:rPr>
                <w:b/>
                <w:lang w:eastAsia="en-GB"/>
              </w:rPr>
              <w:t>une batterie spéciale.</w:t>
            </w:r>
          </w:p>
        </w:tc>
      </w:tr>
      <w:tr w:rsidR="00A02F5A" w:rsidRPr="00E07570" w:rsidTr="00467969">
        <w:trPr>
          <w:trHeight w:val="20"/>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A02F5A" w:rsidRPr="00E07570" w:rsidRDefault="00A02F5A" w:rsidP="00734DD9">
            <w:pPr>
              <w:spacing w:before="60" w:after="60"/>
              <w:ind w:left="57" w:right="57"/>
              <w:rPr>
                <w:b/>
                <w:lang w:eastAsia="en-GB"/>
              </w:rPr>
            </w:pPr>
            <w:r w:rsidRPr="00E07570">
              <w:rPr>
                <w:b/>
                <w:lang w:eastAsia="en-GB"/>
              </w:rPr>
              <w:t>Module d</w:t>
            </w:r>
            <w:r w:rsidR="00145E4B">
              <w:rPr>
                <w:b/>
                <w:lang w:eastAsia="en-GB"/>
              </w:rPr>
              <w:t>’</w:t>
            </w:r>
            <w:r w:rsidRPr="00E07570">
              <w:rPr>
                <w:b/>
                <w:lang w:eastAsia="en-GB"/>
              </w:rPr>
              <w:t>identification d</w:t>
            </w:r>
            <w:r w:rsidR="00145E4B">
              <w:rPr>
                <w:b/>
                <w:lang w:eastAsia="en-GB"/>
              </w:rPr>
              <w:t>’</w:t>
            </w:r>
            <w:r w:rsidRPr="00E07570">
              <w:rPr>
                <w:b/>
                <w:lang w:eastAsia="en-GB"/>
              </w:rPr>
              <w:t>abonné (SIM)</w:t>
            </w:r>
          </w:p>
        </w:tc>
        <w:tc>
          <w:tcPr>
            <w:tcW w:w="2365" w:type="dxa"/>
            <w:tcBorders>
              <w:top w:val="nil"/>
              <w:left w:val="nil"/>
              <w:bottom w:val="single" w:sz="4" w:space="0" w:color="auto"/>
              <w:right w:val="single" w:sz="4" w:space="0" w:color="auto"/>
            </w:tcBorders>
            <w:shd w:val="clear" w:color="auto" w:fill="auto"/>
            <w:vAlign w:val="center"/>
            <w:hideMark/>
          </w:tcPr>
          <w:p w:rsidR="00A02F5A" w:rsidRPr="00E07570" w:rsidRDefault="00A02F5A" w:rsidP="00734DD9">
            <w:pPr>
              <w:spacing w:before="60" w:after="60"/>
              <w:ind w:left="57" w:right="57"/>
              <w:rPr>
                <w:b/>
                <w:lang w:eastAsia="en-GB"/>
              </w:rPr>
            </w:pPr>
            <w:r w:rsidRPr="00E07570">
              <w:rPr>
                <w:b/>
                <w:lang w:eastAsia="en-GB"/>
              </w:rPr>
              <w:t>Néant</w:t>
            </w:r>
          </w:p>
        </w:tc>
        <w:tc>
          <w:tcPr>
            <w:tcW w:w="3198" w:type="dxa"/>
            <w:tcBorders>
              <w:top w:val="nil"/>
              <w:left w:val="nil"/>
              <w:bottom w:val="single" w:sz="4" w:space="0" w:color="auto"/>
              <w:right w:val="single" w:sz="4" w:space="0" w:color="auto"/>
            </w:tcBorders>
            <w:shd w:val="clear" w:color="auto" w:fill="auto"/>
            <w:vAlign w:val="center"/>
            <w:hideMark/>
          </w:tcPr>
          <w:p w:rsidR="00A02F5A" w:rsidRPr="00E07570" w:rsidRDefault="00A02F5A" w:rsidP="000F41A5">
            <w:pPr>
              <w:spacing w:before="60" w:after="60"/>
              <w:ind w:left="57" w:right="57"/>
              <w:rPr>
                <w:b/>
                <w:bCs/>
                <w:lang w:eastAsia="en-GB"/>
              </w:rPr>
            </w:pPr>
            <w:r w:rsidRPr="00E07570">
              <w:rPr>
                <w:b/>
                <w:bCs/>
                <w:lang w:eastAsia="en-GB"/>
              </w:rPr>
              <w:t>Seulement en cas d</w:t>
            </w:r>
            <w:r w:rsidR="00145E4B">
              <w:rPr>
                <w:b/>
                <w:bCs/>
                <w:lang w:eastAsia="en-GB"/>
              </w:rPr>
              <w:t>’</w:t>
            </w:r>
            <w:r w:rsidRPr="00E07570">
              <w:rPr>
                <w:b/>
                <w:bCs/>
                <w:lang w:eastAsia="en-GB"/>
              </w:rPr>
              <w:t>utilisation d</w:t>
            </w:r>
            <w:r w:rsidR="00145E4B">
              <w:rPr>
                <w:b/>
                <w:bCs/>
                <w:lang w:eastAsia="en-GB"/>
              </w:rPr>
              <w:t>’</w:t>
            </w:r>
            <w:r w:rsidRPr="00E07570">
              <w:rPr>
                <w:b/>
                <w:bCs/>
                <w:lang w:eastAsia="en-GB"/>
              </w:rPr>
              <w:t>une carte SIM extract</w:t>
            </w:r>
            <w:r w:rsidR="000F41A5" w:rsidRPr="00E07570">
              <w:rPr>
                <w:b/>
                <w:bCs/>
                <w:lang w:eastAsia="en-GB"/>
              </w:rPr>
              <w:t>ib</w:t>
            </w:r>
            <w:r w:rsidRPr="00E07570">
              <w:rPr>
                <w:b/>
                <w:bCs/>
                <w:lang w:eastAsia="en-GB"/>
              </w:rPr>
              <w:t>le.</w:t>
            </w:r>
          </w:p>
        </w:tc>
      </w:tr>
      <w:tr w:rsidR="00A02F5A" w:rsidRPr="00E07570" w:rsidTr="00467969">
        <w:trPr>
          <w:trHeight w:val="20"/>
        </w:trPr>
        <w:tc>
          <w:tcPr>
            <w:tcW w:w="1808" w:type="dxa"/>
            <w:tcBorders>
              <w:top w:val="single" w:sz="4" w:space="0" w:color="auto"/>
              <w:left w:val="single" w:sz="4" w:space="0" w:color="auto"/>
              <w:bottom w:val="single" w:sz="12" w:space="0" w:color="auto"/>
              <w:right w:val="single" w:sz="6" w:space="0" w:color="auto"/>
            </w:tcBorders>
            <w:shd w:val="clear" w:color="auto" w:fill="auto"/>
            <w:noWrap/>
            <w:vAlign w:val="center"/>
            <w:hideMark/>
          </w:tcPr>
          <w:p w:rsidR="00A02F5A" w:rsidRPr="00E07570" w:rsidRDefault="00A02F5A" w:rsidP="00734DD9">
            <w:pPr>
              <w:spacing w:before="60" w:after="60"/>
              <w:ind w:left="57" w:right="57"/>
              <w:rPr>
                <w:b/>
                <w:iCs/>
                <w:lang w:eastAsia="en-GB"/>
              </w:rPr>
            </w:pPr>
            <w:r w:rsidRPr="00E07570">
              <w:rPr>
                <w:b/>
                <w:iCs/>
              </w:rPr>
              <w:t xml:space="preserve">Alimentation électrique </w:t>
            </w:r>
            <w:r w:rsidR="0054564A" w:rsidRPr="00E07570">
              <w:rPr>
                <w:b/>
                <w:iCs/>
              </w:rPr>
              <w:br/>
            </w:r>
            <w:r w:rsidRPr="00E07570">
              <w:rPr>
                <w:b/>
                <w:iCs/>
              </w:rPr>
              <w:t>de secours</w:t>
            </w:r>
            <w:r w:rsidR="0054564A" w:rsidRPr="00E07570">
              <w:rPr>
                <w:b/>
                <w:iCs/>
              </w:rPr>
              <w:t xml:space="preserve"> </w:t>
            </w:r>
            <w:r w:rsidR="0054564A" w:rsidRPr="00E07570">
              <w:rPr>
                <w:b/>
                <w:iCs/>
              </w:rPr>
              <w:br/>
            </w:r>
            <w:r w:rsidR="0054564A" w:rsidRPr="00E07570">
              <w:rPr>
                <w:b/>
                <w:szCs w:val="24"/>
                <w:lang w:eastAsia="en-GB"/>
              </w:rPr>
              <w:t>(s</w:t>
            </w:r>
            <w:r w:rsidR="00145E4B">
              <w:rPr>
                <w:b/>
                <w:szCs w:val="24"/>
                <w:lang w:eastAsia="en-GB"/>
              </w:rPr>
              <w:t>’</w:t>
            </w:r>
            <w:r w:rsidR="0054564A" w:rsidRPr="00E07570">
              <w:rPr>
                <w:b/>
                <w:szCs w:val="24"/>
                <w:lang w:eastAsia="en-GB"/>
              </w:rPr>
              <w:t>il en existe une)</w:t>
            </w:r>
          </w:p>
        </w:tc>
        <w:tc>
          <w:tcPr>
            <w:tcW w:w="2365" w:type="dxa"/>
            <w:tcBorders>
              <w:top w:val="single" w:sz="4" w:space="0" w:color="auto"/>
              <w:left w:val="single" w:sz="6" w:space="0" w:color="auto"/>
              <w:bottom w:val="single" w:sz="12" w:space="0" w:color="auto"/>
              <w:right w:val="single" w:sz="6" w:space="0" w:color="auto"/>
            </w:tcBorders>
            <w:shd w:val="clear" w:color="auto" w:fill="auto"/>
            <w:vAlign w:val="center"/>
            <w:hideMark/>
          </w:tcPr>
          <w:p w:rsidR="00A02F5A" w:rsidRPr="00E07570" w:rsidRDefault="00A02F5A" w:rsidP="00734DD9">
            <w:pPr>
              <w:spacing w:before="60" w:after="60"/>
              <w:ind w:left="57" w:right="57"/>
              <w:rPr>
                <w:b/>
                <w:bCs/>
                <w:lang w:eastAsia="en-GB"/>
              </w:rPr>
            </w:pPr>
            <w:r w:rsidRPr="00E07570">
              <w:rPr>
                <w:b/>
                <w:bCs/>
                <w:lang w:eastAsia="en-GB"/>
              </w:rPr>
              <w:t>État de charge critique (seuil fixé par le constructeur)</w:t>
            </w:r>
          </w:p>
        </w:tc>
        <w:tc>
          <w:tcPr>
            <w:tcW w:w="3198" w:type="dxa"/>
            <w:tcBorders>
              <w:top w:val="single" w:sz="4" w:space="0" w:color="auto"/>
              <w:left w:val="single" w:sz="6" w:space="0" w:color="auto"/>
              <w:bottom w:val="single" w:sz="12" w:space="0" w:color="auto"/>
              <w:right w:val="single" w:sz="4" w:space="0" w:color="auto"/>
            </w:tcBorders>
            <w:shd w:val="clear" w:color="auto" w:fill="auto"/>
            <w:vAlign w:val="center"/>
            <w:hideMark/>
          </w:tcPr>
          <w:p w:rsidR="00A02F5A" w:rsidRPr="00E07570" w:rsidRDefault="00A02F5A" w:rsidP="00734DD9">
            <w:pPr>
              <w:spacing w:before="60" w:after="60"/>
              <w:ind w:left="57" w:right="57"/>
              <w:rPr>
                <w:b/>
                <w:bCs/>
                <w:lang w:eastAsia="en-GB"/>
              </w:rPr>
            </w:pPr>
            <w:r w:rsidRPr="00E07570">
              <w:rPr>
                <w:b/>
                <w:bCs/>
                <w:lang w:eastAsia="en-GB"/>
              </w:rPr>
              <w:t>Défaillance en cas d</w:t>
            </w:r>
            <w:r w:rsidR="00145E4B">
              <w:rPr>
                <w:b/>
                <w:bCs/>
                <w:lang w:eastAsia="en-GB"/>
              </w:rPr>
              <w:t>’</w:t>
            </w:r>
            <w:r w:rsidRPr="00E07570">
              <w:rPr>
                <w:b/>
                <w:bCs/>
                <w:lang w:eastAsia="en-GB"/>
              </w:rPr>
              <w:t xml:space="preserve">état de charge critique dont le niveau est </w:t>
            </w:r>
            <w:proofErr w:type="gramStart"/>
            <w:r w:rsidRPr="00E07570">
              <w:rPr>
                <w:b/>
                <w:bCs/>
                <w:lang w:eastAsia="en-GB"/>
              </w:rPr>
              <w:t>fixé</w:t>
            </w:r>
            <w:proofErr w:type="gramEnd"/>
            <w:r w:rsidRPr="00E07570">
              <w:rPr>
                <w:b/>
                <w:bCs/>
                <w:lang w:eastAsia="en-GB"/>
              </w:rPr>
              <w:t xml:space="preserve"> </w:t>
            </w:r>
            <w:r w:rsidRPr="00E07570">
              <w:rPr>
                <w:b/>
                <w:bCs/>
                <w:lang w:eastAsia="en-GB"/>
              </w:rPr>
              <w:br/>
              <w:t>par le constructeur.</w:t>
            </w:r>
          </w:p>
        </w:tc>
      </w:tr>
    </w:tbl>
    <w:p w:rsidR="00953834" w:rsidRPr="00E07570" w:rsidRDefault="00953834" w:rsidP="00953834">
      <w:pPr>
        <w:pStyle w:val="SingleTxtG"/>
        <w:spacing w:before="240"/>
        <w:ind w:left="2268"/>
        <w:rPr>
          <w:b/>
        </w:rPr>
      </w:pPr>
      <w:r w:rsidRPr="00E07570">
        <w:rPr>
          <w:b/>
        </w:rPr>
        <w:t>La vérification du fonctionnement de l</w:t>
      </w:r>
      <w:r w:rsidR="00145E4B">
        <w:rPr>
          <w:b/>
        </w:rPr>
        <w:t>’</w:t>
      </w:r>
      <w:r w:rsidRPr="00E07570">
        <w:rPr>
          <w:b/>
        </w:rPr>
        <w:t>AECC s</w:t>
      </w:r>
      <w:r w:rsidR="00145E4B">
        <w:rPr>
          <w:b/>
        </w:rPr>
        <w:t>’</w:t>
      </w:r>
      <w:r w:rsidRPr="00E07570">
        <w:rPr>
          <w:b/>
        </w:rPr>
        <w:t>effectue selon les spécifications du constructeur. Il peut s</w:t>
      </w:r>
      <w:r w:rsidR="00145E4B">
        <w:rPr>
          <w:b/>
        </w:rPr>
        <w:t>’</w:t>
      </w:r>
      <w:r w:rsidRPr="00E07570">
        <w:rPr>
          <w:b/>
        </w:rPr>
        <w:t>agir d</w:t>
      </w:r>
      <w:r w:rsidR="00145E4B">
        <w:rPr>
          <w:b/>
        </w:rPr>
        <w:t>’</w:t>
      </w:r>
      <w:r w:rsidRPr="00E07570">
        <w:rPr>
          <w:b/>
        </w:rPr>
        <w:t>un essai réel ou d</w:t>
      </w:r>
      <w:r w:rsidR="00145E4B">
        <w:rPr>
          <w:b/>
        </w:rPr>
        <w:t>’</w:t>
      </w:r>
      <w:r w:rsidRPr="00E07570">
        <w:rPr>
          <w:b/>
        </w:rPr>
        <w:t>une simulation.</w:t>
      </w:r>
    </w:p>
    <w:p w:rsidR="00953834" w:rsidRPr="00E07570" w:rsidRDefault="00953834" w:rsidP="00953834">
      <w:pPr>
        <w:pStyle w:val="SingleTxtG"/>
        <w:ind w:left="2268" w:hanging="1134"/>
        <w:rPr>
          <w:b/>
        </w:rPr>
      </w:pPr>
      <w:r w:rsidRPr="00E07570">
        <w:rPr>
          <w:b/>
        </w:rPr>
        <w:t>7.5.2.2</w:t>
      </w:r>
      <w:r w:rsidRPr="00E07570">
        <w:rPr>
          <w:b/>
        </w:rPr>
        <w:tab/>
        <w:t>Procédure d</w:t>
      </w:r>
      <w:r w:rsidR="00145E4B">
        <w:rPr>
          <w:b/>
        </w:rPr>
        <w:t>’</w:t>
      </w:r>
      <w:r w:rsidRPr="00E07570">
        <w:rPr>
          <w:b/>
        </w:rPr>
        <w:t>essai</w:t>
      </w:r>
    </w:p>
    <w:p w:rsidR="00953834" w:rsidRPr="00E07570" w:rsidRDefault="00953834" w:rsidP="007A6D13">
      <w:pPr>
        <w:pStyle w:val="SingleTxtG"/>
        <w:ind w:left="2268"/>
        <w:rPr>
          <w:b/>
        </w:rPr>
      </w:pPr>
      <w:r w:rsidRPr="00E07570">
        <w:rPr>
          <w:b/>
        </w:rPr>
        <w:tab/>
        <w:t>Essai de vérification de la fonction d</w:t>
      </w:r>
      <w:r w:rsidR="00145E4B">
        <w:rPr>
          <w:b/>
        </w:rPr>
        <w:t>’</w:t>
      </w:r>
      <w:r w:rsidRPr="00E07570">
        <w:rPr>
          <w:b/>
        </w:rPr>
        <w:t>autotest</w:t>
      </w:r>
      <w:r w:rsidR="007A6D13" w:rsidRPr="00E07570">
        <w:rPr>
          <w:b/>
        </w:rPr>
        <w:t> </w:t>
      </w:r>
      <w:r w:rsidRPr="00E07570">
        <w:rPr>
          <w:b/>
        </w:rPr>
        <w:t>:</w:t>
      </w:r>
    </w:p>
    <w:p w:rsidR="00953834" w:rsidRPr="00E07570" w:rsidRDefault="00953834" w:rsidP="00953834">
      <w:pPr>
        <w:pStyle w:val="SingleTxtG"/>
        <w:ind w:left="2268" w:hanging="1134"/>
        <w:rPr>
          <w:b/>
        </w:rPr>
      </w:pPr>
      <w:r w:rsidRPr="00E07570">
        <w:rPr>
          <w:b/>
        </w:rPr>
        <w:t>7.5.2.2.1</w:t>
      </w:r>
      <w:r w:rsidRPr="00E07570">
        <w:rPr>
          <w:b/>
        </w:rPr>
        <w:tab/>
        <w:t>L</w:t>
      </w:r>
      <w:r w:rsidR="00145E4B">
        <w:rPr>
          <w:b/>
        </w:rPr>
        <w:t>’</w:t>
      </w:r>
      <w:r w:rsidRPr="00E07570">
        <w:rPr>
          <w:b/>
        </w:rPr>
        <w:t>essai ci-dessous doit être effectué sur un AECC dont les éléments sont disposés de façon représentative.</w:t>
      </w:r>
    </w:p>
    <w:p w:rsidR="00953834" w:rsidRPr="00E07570" w:rsidRDefault="00953834" w:rsidP="00953834">
      <w:pPr>
        <w:pStyle w:val="SingleTxtG"/>
        <w:ind w:left="2268" w:hanging="1134"/>
        <w:rPr>
          <w:b/>
        </w:rPr>
      </w:pPr>
      <w:r w:rsidRPr="00E07570">
        <w:rPr>
          <w:b/>
        </w:rPr>
        <w:t>7.5.2.2.2</w:t>
      </w:r>
      <w:r w:rsidRPr="00E07570">
        <w:rPr>
          <w:b/>
        </w:rPr>
        <w:tab/>
        <w:t>Simuler une défaillance de l</w:t>
      </w:r>
      <w:r w:rsidR="00145E4B">
        <w:rPr>
          <w:b/>
        </w:rPr>
        <w:t>’</w:t>
      </w:r>
      <w:r w:rsidRPr="00E07570">
        <w:rPr>
          <w:b/>
        </w:rPr>
        <w:t>AECC en introduisant une défaillance critique dans l</w:t>
      </w:r>
      <w:r w:rsidR="00145E4B">
        <w:rPr>
          <w:b/>
        </w:rPr>
        <w:t>’</w:t>
      </w:r>
      <w:r w:rsidRPr="00E07570">
        <w:rPr>
          <w:b/>
        </w:rPr>
        <w:t>un ou plusieurs des éléments surveillés par la fonction d</w:t>
      </w:r>
      <w:r w:rsidR="00145E4B">
        <w:rPr>
          <w:b/>
        </w:rPr>
        <w:t>’</w:t>
      </w:r>
      <w:r w:rsidRPr="00E07570">
        <w:rPr>
          <w:b/>
        </w:rPr>
        <w:t>autotest, conformément à la documentation technique fournie par le constructeur. Le ou les éléments doivent être choisis par le service technique.</w:t>
      </w:r>
    </w:p>
    <w:p w:rsidR="00953834" w:rsidRPr="00E07570" w:rsidRDefault="00953834" w:rsidP="00953834">
      <w:pPr>
        <w:pStyle w:val="SingleTxtG"/>
        <w:ind w:left="2268" w:hanging="1134"/>
        <w:rPr>
          <w:b/>
        </w:rPr>
      </w:pPr>
      <w:r w:rsidRPr="00E07570">
        <w:rPr>
          <w:b/>
        </w:rPr>
        <w:t>7.5.2.2.3</w:t>
      </w:r>
      <w:r w:rsidRPr="00E07570">
        <w:rPr>
          <w:b/>
        </w:rPr>
        <w:tab/>
        <w:t>Mettre l</w:t>
      </w:r>
      <w:r w:rsidR="00145E4B">
        <w:rPr>
          <w:b/>
        </w:rPr>
        <w:t>’</w:t>
      </w:r>
      <w:r w:rsidRPr="00E07570">
        <w:rPr>
          <w:b/>
        </w:rPr>
        <w:t>AECC sous tension et vérifier que le signal d</w:t>
      </w:r>
      <w:r w:rsidR="00145E4B">
        <w:rPr>
          <w:b/>
        </w:rPr>
        <w:t>’</w:t>
      </w:r>
      <w:r w:rsidRPr="00E07570">
        <w:rPr>
          <w:b/>
        </w:rPr>
        <w:t>avertissement s</w:t>
      </w:r>
      <w:r w:rsidR="00145E4B">
        <w:rPr>
          <w:b/>
        </w:rPr>
        <w:t>’</w:t>
      </w:r>
      <w:r w:rsidRPr="00E07570">
        <w:rPr>
          <w:b/>
        </w:rPr>
        <w:t>allume dans un bref délai ou qu</w:t>
      </w:r>
      <w:r w:rsidR="00145E4B">
        <w:rPr>
          <w:b/>
        </w:rPr>
        <w:t>’</w:t>
      </w:r>
      <w:r w:rsidRPr="00E07570">
        <w:rPr>
          <w:b/>
        </w:rPr>
        <w:t>un signal électrique est émis dans un bref délai, selon le cas.</w:t>
      </w:r>
    </w:p>
    <w:p w:rsidR="00953834" w:rsidRPr="00E07570" w:rsidRDefault="00953834" w:rsidP="00953834">
      <w:pPr>
        <w:pStyle w:val="SingleTxtG"/>
        <w:ind w:left="2268" w:hanging="1134"/>
        <w:rPr>
          <w:b/>
        </w:rPr>
      </w:pPr>
      <w:r w:rsidRPr="00E07570">
        <w:rPr>
          <w:b/>
        </w:rPr>
        <w:t>7.5.2.2.4</w:t>
      </w:r>
      <w:r w:rsidRPr="00E07570">
        <w:rPr>
          <w:b/>
        </w:rPr>
        <w:tab/>
        <w:t>Mettre l</w:t>
      </w:r>
      <w:r w:rsidR="00145E4B">
        <w:rPr>
          <w:b/>
        </w:rPr>
        <w:t>’</w:t>
      </w:r>
      <w:r w:rsidRPr="00E07570">
        <w:rPr>
          <w:b/>
        </w:rPr>
        <w:t>AECC hors tension et le remettre en fonctionnement normal.</w:t>
      </w:r>
    </w:p>
    <w:p w:rsidR="00953834" w:rsidRPr="00E07570" w:rsidRDefault="00953834" w:rsidP="00953834">
      <w:pPr>
        <w:pStyle w:val="SingleTxtG"/>
        <w:ind w:left="2268" w:hanging="1134"/>
        <w:rPr>
          <w:b/>
        </w:rPr>
      </w:pPr>
      <w:r w:rsidRPr="00E07570">
        <w:rPr>
          <w:b/>
        </w:rPr>
        <w:t>7.5.2.2.5</w:t>
      </w:r>
      <w:r w:rsidRPr="00E07570">
        <w:rPr>
          <w:b/>
        </w:rPr>
        <w:tab/>
        <w:t>Mettre l</w:t>
      </w:r>
      <w:r w:rsidR="00145E4B">
        <w:rPr>
          <w:b/>
        </w:rPr>
        <w:t>’</w:t>
      </w:r>
      <w:r w:rsidRPr="00E07570">
        <w:rPr>
          <w:b/>
        </w:rPr>
        <w:t>AECC sous tension et vérifier que le signal d</w:t>
      </w:r>
      <w:r w:rsidR="00145E4B">
        <w:rPr>
          <w:b/>
        </w:rPr>
        <w:t>’</w:t>
      </w:r>
      <w:r w:rsidRPr="00E07570">
        <w:rPr>
          <w:b/>
        </w:rPr>
        <w:t>avertissement ne s</w:t>
      </w:r>
      <w:r w:rsidR="00145E4B">
        <w:rPr>
          <w:b/>
        </w:rPr>
        <w:t>’</w:t>
      </w:r>
      <w:r w:rsidRPr="00E07570">
        <w:rPr>
          <w:b/>
        </w:rPr>
        <w:t>allume pas, ou qu</w:t>
      </w:r>
      <w:r w:rsidR="00145E4B">
        <w:rPr>
          <w:b/>
        </w:rPr>
        <w:t>’</w:t>
      </w:r>
      <w:r w:rsidRPr="00E07570">
        <w:rPr>
          <w:b/>
        </w:rPr>
        <w:t>il s</w:t>
      </w:r>
      <w:r w:rsidR="00145E4B">
        <w:rPr>
          <w:b/>
        </w:rPr>
        <w:t>’</w:t>
      </w:r>
      <w:r w:rsidRPr="00E07570">
        <w:rPr>
          <w:b/>
        </w:rPr>
        <w:t>éteint peu de temps après s</w:t>
      </w:r>
      <w:r w:rsidR="00145E4B">
        <w:rPr>
          <w:b/>
        </w:rPr>
        <w:t>’</w:t>
      </w:r>
      <w:r w:rsidRPr="00E07570">
        <w:rPr>
          <w:b/>
        </w:rPr>
        <w:t>être allumé, ou que le signal électrique n</w:t>
      </w:r>
      <w:r w:rsidR="00145E4B">
        <w:rPr>
          <w:b/>
        </w:rPr>
        <w:t>’</w:t>
      </w:r>
      <w:r w:rsidRPr="00E07570">
        <w:rPr>
          <w:b/>
        </w:rPr>
        <w:t>est pas émis peu de temps après ou qu</w:t>
      </w:r>
      <w:r w:rsidR="00145E4B">
        <w:rPr>
          <w:b/>
        </w:rPr>
        <w:t>’</w:t>
      </w:r>
      <w:r w:rsidRPr="00E07570">
        <w:rPr>
          <w:b/>
        </w:rPr>
        <w:t>il est effacé après avoir été émis initialement, selon le cas.</w:t>
      </w:r>
    </w:p>
    <w:p w:rsidR="00953834" w:rsidRPr="00E07570" w:rsidRDefault="00953834" w:rsidP="00953834">
      <w:pPr>
        <w:pStyle w:val="SingleTxtG"/>
        <w:ind w:left="2268" w:hanging="1134"/>
        <w:rPr>
          <w:b/>
        </w:rPr>
      </w:pPr>
      <w:r w:rsidRPr="00E07570">
        <w:rPr>
          <w:b/>
        </w:rPr>
        <w:t>7.5.3</w:t>
      </w:r>
      <w:r w:rsidRPr="00E07570">
        <w:rPr>
          <w:b/>
        </w:rPr>
        <w:tab/>
        <w:t>Au lieu de fournir des informations ou un signal d</w:t>
      </w:r>
      <w:r w:rsidR="00145E4B">
        <w:rPr>
          <w:b/>
        </w:rPr>
        <w:t>’</w:t>
      </w:r>
      <w:r w:rsidRPr="00E07570">
        <w:rPr>
          <w:b/>
        </w:rPr>
        <w:t>avertissement, l</w:t>
      </w:r>
      <w:r w:rsidR="00145E4B">
        <w:rPr>
          <w:b/>
        </w:rPr>
        <w:t>’</w:t>
      </w:r>
      <w:r w:rsidRPr="00E07570">
        <w:rPr>
          <w:b/>
        </w:rPr>
        <w:t>AECC peut émettre un signal électrique à destination d</w:t>
      </w:r>
      <w:r w:rsidR="00145E4B">
        <w:rPr>
          <w:b/>
        </w:rPr>
        <w:t>’</w:t>
      </w:r>
      <w:r w:rsidRPr="00E07570">
        <w:rPr>
          <w:b/>
        </w:rPr>
        <w:t>autres éléments du véhicule, par exemple le tableau de bord, suscept</w:t>
      </w:r>
      <w:r w:rsidR="000F41A5" w:rsidRPr="00E07570">
        <w:rPr>
          <w:b/>
        </w:rPr>
        <w:t>ib</w:t>
      </w:r>
      <w:r w:rsidRPr="00E07570">
        <w:rPr>
          <w:b/>
        </w:rPr>
        <w:t>les de fournir les informations ou le signal d</w:t>
      </w:r>
      <w:r w:rsidR="00145E4B">
        <w:rPr>
          <w:b/>
        </w:rPr>
        <w:t>’</w:t>
      </w:r>
      <w:r w:rsidRPr="00E07570">
        <w:rPr>
          <w:b/>
        </w:rPr>
        <w:t>avertissement.</w:t>
      </w:r>
    </w:p>
    <w:p w:rsidR="00953834" w:rsidRPr="00E07570" w:rsidRDefault="00953834" w:rsidP="00953834">
      <w:pPr>
        <w:pStyle w:val="SingleTxtG"/>
        <w:ind w:left="2268" w:hanging="1134"/>
        <w:rPr>
          <w:b/>
        </w:rPr>
      </w:pPr>
      <w:r w:rsidRPr="00E07570">
        <w:rPr>
          <w:b/>
        </w:rPr>
        <w:t>[7.6</w:t>
      </w:r>
      <w:r w:rsidRPr="00E07570">
        <w:rPr>
          <w:b/>
        </w:rPr>
        <w:tab/>
        <w:t>Alimentation électrique</w:t>
      </w:r>
    </w:p>
    <w:p w:rsidR="00953834" w:rsidRPr="00E07570" w:rsidRDefault="00953834" w:rsidP="007A6D13">
      <w:pPr>
        <w:pStyle w:val="SingleTxtG"/>
        <w:ind w:left="2268"/>
        <w:rPr>
          <w:b/>
        </w:rPr>
      </w:pPr>
      <w:r w:rsidRPr="00E07570">
        <w:rPr>
          <w:b/>
        </w:rPr>
        <w:tab/>
        <w:t>Si le demandeur de l</w:t>
      </w:r>
      <w:r w:rsidR="00145E4B">
        <w:rPr>
          <w:b/>
        </w:rPr>
        <w:t>’</w:t>
      </w:r>
      <w:r w:rsidRPr="00E07570">
        <w:rPr>
          <w:b/>
        </w:rPr>
        <w:t>homologation le demande, l</w:t>
      </w:r>
      <w:r w:rsidR="00145E4B">
        <w:rPr>
          <w:b/>
        </w:rPr>
        <w:t>’</w:t>
      </w:r>
      <w:r w:rsidRPr="00E07570">
        <w:rPr>
          <w:b/>
        </w:rPr>
        <w:t>alimentation électrique peut faire partie de la procédure d</w:t>
      </w:r>
      <w:r w:rsidR="00145E4B">
        <w:rPr>
          <w:b/>
        </w:rPr>
        <w:t>’</w:t>
      </w:r>
      <w:r w:rsidRPr="00E07570">
        <w:rPr>
          <w:b/>
        </w:rPr>
        <w:t>homologation de type d</w:t>
      </w:r>
      <w:r w:rsidR="00145E4B">
        <w:rPr>
          <w:b/>
        </w:rPr>
        <w:t>’</w:t>
      </w:r>
      <w:r w:rsidRPr="00E07570">
        <w:rPr>
          <w:b/>
        </w:rPr>
        <w:t>un AECC.</w:t>
      </w:r>
    </w:p>
    <w:p w:rsidR="00953834" w:rsidRPr="00E07570" w:rsidRDefault="00953834" w:rsidP="007A6D13">
      <w:pPr>
        <w:pStyle w:val="SingleTxtG"/>
        <w:ind w:left="2268"/>
        <w:rPr>
          <w:b/>
        </w:rPr>
      </w:pPr>
      <w:r w:rsidRPr="00E07570">
        <w:rPr>
          <w:b/>
        </w:rPr>
        <w:tab/>
        <w:t>Dans ce cas, les dispositions suivantes sont applicables</w:t>
      </w:r>
      <w:r w:rsidR="007A6D13" w:rsidRPr="00E07570">
        <w:rPr>
          <w:b/>
        </w:rPr>
        <w:t> </w:t>
      </w:r>
      <w:r w:rsidRPr="00E07570">
        <w:rPr>
          <w:b/>
        </w:rPr>
        <w:t>:</w:t>
      </w:r>
    </w:p>
    <w:p w:rsidR="00953834" w:rsidRPr="00E07570" w:rsidRDefault="00953834" w:rsidP="00953834">
      <w:pPr>
        <w:pStyle w:val="SingleTxtG"/>
        <w:ind w:left="2268" w:hanging="1134"/>
        <w:rPr>
          <w:b/>
        </w:rPr>
      </w:pPr>
      <w:r w:rsidRPr="00E07570">
        <w:rPr>
          <w:b/>
        </w:rPr>
        <w:t>7.6.1</w:t>
      </w:r>
      <w:r w:rsidRPr="00E07570">
        <w:rPr>
          <w:b/>
        </w:rPr>
        <w:tab/>
        <w:t>Si l</w:t>
      </w:r>
      <w:r w:rsidR="00145E4B">
        <w:rPr>
          <w:b/>
        </w:rPr>
        <w:t>’</w:t>
      </w:r>
      <w:r w:rsidRPr="00E07570">
        <w:rPr>
          <w:b/>
        </w:rPr>
        <w:t>AECC est équipé d</w:t>
      </w:r>
      <w:r w:rsidR="00145E4B">
        <w:rPr>
          <w:b/>
        </w:rPr>
        <w:t>’</w:t>
      </w:r>
      <w:r w:rsidRPr="00E07570">
        <w:rPr>
          <w:b/>
        </w:rPr>
        <w:t>une alimentation électrique de secours, il convient de vérifier, à la demande du demandeur de l</w:t>
      </w:r>
      <w:r w:rsidR="00145E4B">
        <w:rPr>
          <w:b/>
        </w:rPr>
        <w:t>’</w:t>
      </w:r>
      <w:r w:rsidRPr="00E07570">
        <w:rPr>
          <w:b/>
        </w:rPr>
        <w:t>homologation, que l</w:t>
      </w:r>
      <w:r w:rsidR="00145E4B">
        <w:rPr>
          <w:b/>
        </w:rPr>
        <w:t>’</w:t>
      </w:r>
      <w:r w:rsidRPr="00E07570">
        <w:rPr>
          <w:b/>
        </w:rPr>
        <w:t>AECC peut fonctionner de façon autonome pendant au moins 5</w:t>
      </w:r>
      <w:r w:rsidR="00C059E9" w:rsidRPr="00E07570">
        <w:rPr>
          <w:b/>
        </w:rPr>
        <w:t> </w:t>
      </w:r>
      <w:r w:rsidRPr="00E07570">
        <w:rPr>
          <w:b/>
        </w:rPr>
        <w:t>minutes dans un premier temps, en mode communication vocale, puis pendant 60</w:t>
      </w:r>
      <w:r w:rsidR="00C059E9" w:rsidRPr="00E07570">
        <w:rPr>
          <w:b/>
        </w:rPr>
        <w:t> </w:t>
      </w:r>
      <w:r w:rsidRPr="00E07570">
        <w:rPr>
          <w:b/>
        </w:rPr>
        <w:t>minutes en mode rappel (mode inactif enregistré dans un réseau) et enfin au moins pendant 5</w:t>
      </w:r>
      <w:r w:rsidR="00C059E9" w:rsidRPr="00E07570">
        <w:rPr>
          <w:b/>
        </w:rPr>
        <w:t> </w:t>
      </w:r>
      <w:r w:rsidRPr="00E07570">
        <w:rPr>
          <w:b/>
        </w:rPr>
        <w:t>minutes en mode communication vocale.</w:t>
      </w:r>
    </w:p>
    <w:p w:rsidR="00953834" w:rsidRPr="00E07570" w:rsidRDefault="00953834" w:rsidP="00953834">
      <w:pPr>
        <w:pStyle w:val="SingleTxtG"/>
        <w:ind w:left="2268" w:hanging="1134"/>
        <w:rPr>
          <w:b/>
        </w:rPr>
      </w:pPr>
      <w:r w:rsidRPr="00E07570">
        <w:rPr>
          <w:b/>
        </w:rPr>
        <w:t>7.6.2</w:t>
      </w:r>
      <w:r w:rsidRPr="00E07570">
        <w:rPr>
          <w:b/>
        </w:rPr>
        <w:tab/>
        <w:t>Si l</w:t>
      </w:r>
      <w:r w:rsidR="00145E4B">
        <w:rPr>
          <w:b/>
        </w:rPr>
        <w:t>’</w:t>
      </w:r>
      <w:r w:rsidRPr="00E07570">
        <w:rPr>
          <w:b/>
        </w:rPr>
        <w:t>AECC n</w:t>
      </w:r>
      <w:r w:rsidR="00145E4B">
        <w:rPr>
          <w:b/>
        </w:rPr>
        <w:t>’</w:t>
      </w:r>
      <w:r w:rsidRPr="00E07570">
        <w:rPr>
          <w:b/>
        </w:rPr>
        <w:t>est pas équipé d</w:t>
      </w:r>
      <w:r w:rsidR="00145E4B">
        <w:rPr>
          <w:b/>
        </w:rPr>
        <w:t>’</w:t>
      </w:r>
      <w:r w:rsidRPr="00E07570">
        <w:rPr>
          <w:b/>
        </w:rPr>
        <w:t>une alimentation électrique de secours, il convient de l</w:t>
      </w:r>
      <w:r w:rsidR="00145E4B">
        <w:rPr>
          <w:b/>
        </w:rPr>
        <w:t>’</w:t>
      </w:r>
      <w:r w:rsidRPr="00E07570">
        <w:rPr>
          <w:b/>
        </w:rPr>
        <w:t>indiquer clairement dans le document d</w:t>
      </w:r>
      <w:r w:rsidR="00145E4B">
        <w:rPr>
          <w:b/>
        </w:rPr>
        <w:t>’</w:t>
      </w:r>
      <w:r w:rsidRPr="00E07570">
        <w:rPr>
          <w:b/>
        </w:rPr>
        <w:t>information présenté à l</w:t>
      </w:r>
      <w:r w:rsidR="00145E4B">
        <w:rPr>
          <w:b/>
        </w:rPr>
        <w:t>’</w:t>
      </w:r>
      <w:r w:rsidRPr="00E07570">
        <w:rPr>
          <w:b/>
        </w:rPr>
        <w:t>annexe</w:t>
      </w:r>
      <w:r w:rsidR="00C059E9" w:rsidRPr="00E07570">
        <w:rPr>
          <w:b/>
        </w:rPr>
        <w:t> </w:t>
      </w:r>
      <w:r w:rsidRPr="00E07570">
        <w:rPr>
          <w:b/>
        </w:rPr>
        <w:t>5.]</w:t>
      </w:r>
    </w:p>
    <w:p w:rsidR="00953834" w:rsidRPr="00E07570" w:rsidRDefault="00953834" w:rsidP="00953834">
      <w:pPr>
        <w:pStyle w:val="SingleTxtG"/>
        <w:ind w:left="2268" w:hanging="1134"/>
        <w:rPr>
          <w:b/>
        </w:rPr>
      </w:pPr>
      <w:r w:rsidRPr="00E07570">
        <w:rPr>
          <w:b/>
        </w:rPr>
        <w:t>7.7</w:t>
      </w:r>
      <w:r w:rsidRPr="00E07570">
        <w:rPr>
          <w:b/>
        </w:rPr>
        <w:tab/>
        <w:t>Résistance au choc</w:t>
      </w:r>
    </w:p>
    <w:p w:rsidR="00953834" w:rsidRPr="00E07570" w:rsidRDefault="00953834" w:rsidP="00C059E9">
      <w:pPr>
        <w:pStyle w:val="SingleTxtG"/>
        <w:ind w:left="2268"/>
        <w:rPr>
          <w:b/>
        </w:rPr>
      </w:pPr>
      <w:r w:rsidRPr="00E07570">
        <w:rPr>
          <w:b/>
        </w:rPr>
        <w:tab/>
        <w:t>La résistance au choc doit être éprouvée pour chaque AECC, sauf pour le récepteur GNSS et l</w:t>
      </w:r>
      <w:r w:rsidR="00145E4B">
        <w:rPr>
          <w:b/>
        </w:rPr>
        <w:t>’</w:t>
      </w:r>
      <w:r w:rsidRPr="00E07570">
        <w:rPr>
          <w:b/>
        </w:rPr>
        <w:t>antenne GNSS.</w:t>
      </w:r>
    </w:p>
    <w:p w:rsidR="00953834" w:rsidRPr="00E07570" w:rsidRDefault="00953834" w:rsidP="00C059E9">
      <w:pPr>
        <w:pStyle w:val="SingleTxtG"/>
        <w:ind w:left="2268"/>
        <w:rPr>
          <w:b/>
        </w:rPr>
      </w:pPr>
      <w:r w:rsidRPr="00E07570">
        <w:rPr>
          <w:b/>
        </w:rPr>
        <w:tab/>
        <w:t>Si le demandeur de l</w:t>
      </w:r>
      <w:r w:rsidR="00145E4B">
        <w:rPr>
          <w:b/>
        </w:rPr>
        <w:t>’</w:t>
      </w:r>
      <w:r w:rsidRPr="00E07570">
        <w:rPr>
          <w:b/>
        </w:rPr>
        <w:t>homologation le demande, la résistance au choc peut faire partie de la procédure d</w:t>
      </w:r>
      <w:r w:rsidR="00145E4B">
        <w:rPr>
          <w:b/>
        </w:rPr>
        <w:t>’</w:t>
      </w:r>
      <w:r w:rsidRPr="00E07570">
        <w:rPr>
          <w:b/>
        </w:rPr>
        <w:t>homologation de type d</w:t>
      </w:r>
      <w:r w:rsidR="00145E4B">
        <w:rPr>
          <w:b/>
        </w:rPr>
        <w:t>’</w:t>
      </w:r>
      <w:r w:rsidRPr="00E07570">
        <w:rPr>
          <w:b/>
        </w:rPr>
        <w:t>un AECC.</w:t>
      </w:r>
    </w:p>
    <w:p w:rsidR="00953834" w:rsidRPr="00E07570" w:rsidRDefault="00953834" w:rsidP="00C059E9">
      <w:pPr>
        <w:pStyle w:val="SingleTxtG"/>
        <w:ind w:left="2268"/>
        <w:rPr>
          <w:b/>
        </w:rPr>
      </w:pPr>
      <w:r w:rsidRPr="00E07570">
        <w:rPr>
          <w:b/>
        </w:rPr>
        <w:tab/>
        <w:t>Dans ce cas, les dispositions suivantes sont applicables</w:t>
      </w:r>
      <w:r w:rsidR="00C059E9" w:rsidRPr="00E07570">
        <w:rPr>
          <w:b/>
        </w:rPr>
        <w:t> </w:t>
      </w:r>
      <w:r w:rsidRPr="00E07570">
        <w:rPr>
          <w:b/>
        </w:rPr>
        <w:t>:</w:t>
      </w:r>
    </w:p>
    <w:p w:rsidR="00953834" w:rsidRPr="00E07570" w:rsidRDefault="00953834" w:rsidP="00953834">
      <w:pPr>
        <w:pStyle w:val="SingleTxtG"/>
        <w:ind w:left="2268" w:hanging="1134"/>
        <w:rPr>
          <w:b/>
        </w:rPr>
      </w:pPr>
      <w:r w:rsidRPr="00E07570">
        <w:rPr>
          <w:b/>
        </w:rPr>
        <w:t>7.7.1</w:t>
      </w:r>
      <w:r w:rsidRPr="00E07570">
        <w:rPr>
          <w:b/>
        </w:rPr>
        <w:tab/>
        <w:t>L</w:t>
      </w:r>
      <w:r w:rsidR="00145E4B">
        <w:rPr>
          <w:b/>
        </w:rPr>
        <w:t>’</w:t>
      </w:r>
      <w:r w:rsidRPr="00E07570">
        <w:rPr>
          <w:b/>
        </w:rPr>
        <w:t>AECC doit rester en état de fonctionnement après un choc. On le vérifie conformément aux dispositions de l</w:t>
      </w:r>
      <w:r w:rsidR="00145E4B">
        <w:rPr>
          <w:b/>
        </w:rPr>
        <w:t>’</w:t>
      </w:r>
      <w:r w:rsidRPr="00E07570">
        <w:rPr>
          <w:b/>
        </w:rPr>
        <w:t>annexe</w:t>
      </w:r>
      <w:r w:rsidR="00C059E9" w:rsidRPr="00E07570">
        <w:rPr>
          <w:b/>
        </w:rPr>
        <w:t> </w:t>
      </w:r>
      <w:r w:rsidRPr="00E07570">
        <w:rPr>
          <w:b/>
        </w:rPr>
        <w:t>9.</w:t>
      </w:r>
    </w:p>
    <w:p w:rsidR="00953834" w:rsidRPr="00E07570" w:rsidRDefault="00953834" w:rsidP="00953834">
      <w:pPr>
        <w:pStyle w:val="SingleTxtG"/>
        <w:ind w:left="2268" w:hanging="1134"/>
        <w:rPr>
          <w:b/>
        </w:rPr>
      </w:pPr>
      <w:r w:rsidRPr="00E07570">
        <w:rPr>
          <w:b/>
        </w:rPr>
        <w:t>7.7.2</w:t>
      </w:r>
      <w:r w:rsidRPr="00E07570">
        <w:rPr>
          <w:b/>
        </w:rPr>
        <w:tab/>
        <w:t>Pour un module de commande, un module de communication et, s</w:t>
      </w:r>
      <w:r w:rsidR="00145E4B">
        <w:rPr>
          <w:b/>
        </w:rPr>
        <w:t>’</w:t>
      </w:r>
      <w:r w:rsidRPr="00E07570">
        <w:rPr>
          <w:b/>
        </w:rPr>
        <w:t>il y a lieu, un récepteur GNSS, la vérification de la résistance au choc consiste à vérifier les fonctions MSD et IHM conformément aux dispositions des paragraphes</w:t>
      </w:r>
      <w:r w:rsidR="00C059E9" w:rsidRPr="00E07570">
        <w:rPr>
          <w:b/>
        </w:rPr>
        <w:t> </w:t>
      </w:r>
      <w:r w:rsidRPr="00E07570">
        <w:rPr>
          <w:b/>
        </w:rPr>
        <w:t>2.1 et 2.3 de l</w:t>
      </w:r>
      <w:r w:rsidR="00145E4B">
        <w:rPr>
          <w:b/>
        </w:rPr>
        <w:t>’</w:t>
      </w:r>
      <w:r w:rsidRPr="00E07570">
        <w:rPr>
          <w:b/>
        </w:rPr>
        <w:t>annexe</w:t>
      </w:r>
      <w:r w:rsidR="00C059E9" w:rsidRPr="00E07570">
        <w:rPr>
          <w:b/>
        </w:rPr>
        <w:t> </w:t>
      </w:r>
      <w:r w:rsidRPr="00E07570">
        <w:rPr>
          <w:b/>
        </w:rPr>
        <w:t>11. À cette fin, immédiatement après l</w:t>
      </w:r>
      <w:r w:rsidR="00145E4B">
        <w:rPr>
          <w:b/>
        </w:rPr>
        <w:t>’</w:t>
      </w:r>
      <w:r w:rsidRPr="00E07570">
        <w:rPr>
          <w:b/>
        </w:rPr>
        <w:t>essai sur catapulte, on peut installer l</w:t>
      </w:r>
      <w:r w:rsidR="00145E4B">
        <w:rPr>
          <w:b/>
        </w:rPr>
        <w:t>’</w:t>
      </w:r>
      <w:r w:rsidRPr="00E07570">
        <w:rPr>
          <w:b/>
        </w:rPr>
        <w:t>AECC sur un banc d</w:t>
      </w:r>
      <w:r w:rsidR="00145E4B">
        <w:rPr>
          <w:b/>
        </w:rPr>
        <w:t>’</w:t>
      </w:r>
      <w:r w:rsidRPr="00E07570">
        <w:rPr>
          <w:b/>
        </w:rPr>
        <w:t>essai permettant de simuler un signal de déclenchement de façon à émettre le MSD et à fournir l</w:t>
      </w:r>
      <w:r w:rsidR="00145E4B">
        <w:rPr>
          <w:b/>
        </w:rPr>
        <w:t>’</w:t>
      </w:r>
      <w:r w:rsidRPr="00E07570">
        <w:rPr>
          <w:b/>
        </w:rPr>
        <w:t>information sur l</w:t>
      </w:r>
      <w:r w:rsidR="00145E4B">
        <w:rPr>
          <w:b/>
        </w:rPr>
        <w:t>’</w:t>
      </w:r>
      <w:r w:rsidRPr="00E07570">
        <w:rPr>
          <w:b/>
        </w:rPr>
        <w:t>IHM.</w:t>
      </w:r>
    </w:p>
    <w:p w:rsidR="00953834" w:rsidRPr="00E07570" w:rsidRDefault="00953834" w:rsidP="00953834">
      <w:pPr>
        <w:pStyle w:val="SingleTxtG"/>
        <w:ind w:left="2268" w:hanging="1134"/>
        <w:rPr>
          <w:b/>
        </w:rPr>
      </w:pPr>
      <w:r w:rsidRPr="00E07570">
        <w:rPr>
          <w:b/>
        </w:rPr>
        <w:t>7.7.3</w:t>
      </w:r>
      <w:r w:rsidRPr="00E07570">
        <w:rPr>
          <w:b/>
        </w:rPr>
        <w:tab/>
        <w:t>Pour une antenne de réseau mobile, la vérification s</w:t>
      </w:r>
      <w:r w:rsidR="00145E4B">
        <w:rPr>
          <w:b/>
        </w:rPr>
        <w:t>’</w:t>
      </w:r>
      <w:r w:rsidRPr="00E07570">
        <w:rPr>
          <w:b/>
        </w:rPr>
        <w:t xml:space="preserve">effectue en mesurant le VSWR (Voltage Standing </w:t>
      </w:r>
      <w:proofErr w:type="spellStart"/>
      <w:r w:rsidRPr="00E07570">
        <w:rPr>
          <w:b/>
        </w:rPr>
        <w:t>Wave</w:t>
      </w:r>
      <w:proofErr w:type="spellEnd"/>
      <w:r w:rsidRPr="00E07570">
        <w:rPr>
          <w:b/>
        </w:rPr>
        <w:t xml:space="preserve"> Ratio </w:t>
      </w:r>
      <w:r w:rsidR="00C059E9" w:rsidRPr="00E07570">
        <w:rPr>
          <w:b/>
        </w:rPr>
        <w:t>−</w:t>
      </w:r>
      <w:r w:rsidRPr="00E07570">
        <w:rPr>
          <w:b/>
        </w:rPr>
        <w:t xml:space="preserve"> rapport d</w:t>
      </w:r>
      <w:r w:rsidR="00145E4B">
        <w:rPr>
          <w:b/>
        </w:rPr>
        <w:t>’</w:t>
      </w:r>
      <w:r w:rsidRPr="00E07570">
        <w:rPr>
          <w:b/>
        </w:rPr>
        <w:t>ondes stationnaire en tension) et en s</w:t>
      </w:r>
      <w:r w:rsidR="00145E4B">
        <w:rPr>
          <w:b/>
        </w:rPr>
        <w:t>’</w:t>
      </w:r>
      <w:r w:rsidRPr="00E07570">
        <w:rPr>
          <w:b/>
        </w:rPr>
        <w:t>assurant que ce dernier satisfait aux prescriptions du constructeur pour cette antenne après un accident.</w:t>
      </w:r>
    </w:p>
    <w:p w:rsidR="00953834" w:rsidRPr="00E07570" w:rsidRDefault="00953834" w:rsidP="00953834">
      <w:pPr>
        <w:pStyle w:val="SingleTxtG"/>
        <w:ind w:left="2268" w:hanging="1134"/>
        <w:rPr>
          <w:b/>
        </w:rPr>
      </w:pPr>
      <w:r w:rsidRPr="00E07570">
        <w:rPr>
          <w:b/>
        </w:rPr>
        <w:t>7.7.4</w:t>
      </w:r>
      <w:r w:rsidRPr="00E07570">
        <w:rPr>
          <w:b/>
        </w:rPr>
        <w:tab/>
        <w:t>Pour une alimentation électrique (si l</w:t>
      </w:r>
      <w:r w:rsidR="00145E4B">
        <w:rPr>
          <w:b/>
        </w:rPr>
        <w:t>’</w:t>
      </w:r>
      <w:r w:rsidRPr="00E07570">
        <w:rPr>
          <w:b/>
        </w:rPr>
        <w:t>AECC en a une), la vérification s</w:t>
      </w:r>
      <w:r w:rsidR="00145E4B">
        <w:rPr>
          <w:b/>
        </w:rPr>
        <w:t>’</w:t>
      </w:r>
      <w:r w:rsidRPr="00E07570">
        <w:rPr>
          <w:b/>
        </w:rPr>
        <w:t>effectue en testant la batterie:</w:t>
      </w:r>
    </w:p>
    <w:p w:rsidR="00953834" w:rsidRPr="00E07570" w:rsidRDefault="00953834" w:rsidP="00C059E9">
      <w:pPr>
        <w:pStyle w:val="SingleTxtG"/>
        <w:ind w:left="2835" w:hanging="567"/>
        <w:rPr>
          <w:b/>
        </w:rPr>
      </w:pPr>
      <w:r w:rsidRPr="00E07570">
        <w:rPr>
          <w:b/>
        </w:rPr>
        <w:t>a)</w:t>
      </w:r>
      <w:r w:rsidRPr="00E07570">
        <w:rPr>
          <w:b/>
        </w:rPr>
        <w:tab/>
        <w:t>S</w:t>
      </w:r>
      <w:r w:rsidR="00145E4B">
        <w:rPr>
          <w:b/>
        </w:rPr>
        <w:t>’</w:t>
      </w:r>
      <w:r w:rsidRPr="00E07570">
        <w:rPr>
          <w:b/>
        </w:rPr>
        <w:t>assurer qu</w:t>
      </w:r>
      <w:r w:rsidR="00145E4B">
        <w:rPr>
          <w:b/>
        </w:rPr>
        <w:t>’</w:t>
      </w:r>
      <w:r w:rsidRPr="00E07570">
        <w:rPr>
          <w:b/>
        </w:rPr>
        <w:t>aucun câble n</w:t>
      </w:r>
      <w:r w:rsidR="00145E4B">
        <w:rPr>
          <w:b/>
        </w:rPr>
        <w:t>’</w:t>
      </w:r>
      <w:r w:rsidRPr="00E07570">
        <w:rPr>
          <w:b/>
        </w:rPr>
        <w:t>est débranché durant l</w:t>
      </w:r>
      <w:r w:rsidR="00145E4B">
        <w:rPr>
          <w:b/>
        </w:rPr>
        <w:t>’</w:t>
      </w:r>
      <w:r w:rsidRPr="00E07570">
        <w:rPr>
          <w:b/>
        </w:rPr>
        <w:t>essai</w:t>
      </w:r>
      <w:r w:rsidR="00C059E9" w:rsidRPr="00E07570">
        <w:rPr>
          <w:b/>
        </w:rPr>
        <w:t> </w:t>
      </w:r>
      <w:r w:rsidRPr="00E07570">
        <w:rPr>
          <w:b/>
        </w:rPr>
        <w:t>;</w:t>
      </w:r>
    </w:p>
    <w:p w:rsidR="00953834" w:rsidRPr="00E07570" w:rsidRDefault="00953834" w:rsidP="00C059E9">
      <w:pPr>
        <w:pStyle w:val="SingleTxtG"/>
        <w:ind w:left="2835" w:hanging="567"/>
        <w:rPr>
          <w:b/>
        </w:rPr>
      </w:pPr>
      <w:r w:rsidRPr="00E07570">
        <w:rPr>
          <w:b/>
        </w:rPr>
        <w:t>b)</w:t>
      </w:r>
      <w:r w:rsidRPr="00E07570">
        <w:rPr>
          <w:b/>
        </w:rPr>
        <w:tab/>
        <w:t>Vérifier si la tension et la capacité correspondent aux spécifications du constructeur.</w:t>
      </w:r>
    </w:p>
    <w:p w:rsidR="00953834" w:rsidRPr="00E07570" w:rsidRDefault="00953834" w:rsidP="00715CBF">
      <w:pPr>
        <w:pStyle w:val="HChG"/>
        <w:ind w:left="2268"/>
      </w:pPr>
      <w:r w:rsidRPr="00E07570">
        <w:t>8.</w:t>
      </w:r>
      <w:r w:rsidRPr="00E07570">
        <w:tab/>
        <w:t>Modification d</w:t>
      </w:r>
      <w:r w:rsidR="00145E4B">
        <w:t>’</w:t>
      </w:r>
      <w:r w:rsidRPr="00E07570">
        <w:t>un type d</w:t>
      </w:r>
      <w:r w:rsidR="00145E4B">
        <w:t>’</w:t>
      </w:r>
      <w:r w:rsidRPr="00E07570">
        <w:t xml:space="preserve">AECC et extension </w:t>
      </w:r>
      <w:r w:rsidR="00715CBF" w:rsidRPr="00E07570">
        <w:br/>
      </w:r>
      <w:r w:rsidRPr="00E07570">
        <w:t>de l</w:t>
      </w:r>
      <w:r w:rsidR="00145E4B">
        <w:t>’</w:t>
      </w:r>
      <w:r w:rsidRPr="00E07570">
        <w:t>homologation</w:t>
      </w:r>
    </w:p>
    <w:p w:rsidR="00953834" w:rsidRPr="00E07570" w:rsidRDefault="00953834" w:rsidP="00953834">
      <w:pPr>
        <w:pStyle w:val="SingleTxtG"/>
        <w:ind w:left="2268" w:hanging="1134"/>
        <w:rPr>
          <w:b/>
        </w:rPr>
      </w:pPr>
      <w:r w:rsidRPr="00E07570">
        <w:rPr>
          <w:b/>
        </w:rPr>
        <w:t>8.1</w:t>
      </w:r>
      <w:r w:rsidRPr="00E07570">
        <w:rPr>
          <w:b/>
        </w:rPr>
        <w:tab/>
        <w:t>Toute modification d</w:t>
      </w:r>
      <w:r w:rsidR="00145E4B">
        <w:rPr>
          <w:b/>
        </w:rPr>
        <w:t>’</w:t>
      </w:r>
      <w:r w:rsidRPr="00E07570">
        <w:rPr>
          <w:b/>
        </w:rPr>
        <w:t>un type d</w:t>
      </w:r>
      <w:r w:rsidR="00145E4B">
        <w:rPr>
          <w:b/>
        </w:rPr>
        <w:t>’</w:t>
      </w:r>
      <w:r w:rsidRPr="00E07570">
        <w:rPr>
          <w:b/>
        </w:rPr>
        <w:t>AECC doit être communiquée à l</w:t>
      </w:r>
      <w:r w:rsidR="00145E4B">
        <w:rPr>
          <w:b/>
        </w:rPr>
        <w:t>’</w:t>
      </w:r>
      <w:r w:rsidRPr="00E07570">
        <w:rPr>
          <w:b/>
        </w:rPr>
        <w:t>autorité d</w:t>
      </w:r>
      <w:r w:rsidR="00145E4B">
        <w:rPr>
          <w:b/>
        </w:rPr>
        <w:t>’</w:t>
      </w:r>
      <w:r w:rsidRPr="00E07570">
        <w:rPr>
          <w:b/>
        </w:rPr>
        <w:t>homologation qui avait approuvé le type en question. L</w:t>
      </w:r>
      <w:r w:rsidR="00145E4B">
        <w:rPr>
          <w:b/>
        </w:rPr>
        <w:t>’</w:t>
      </w:r>
      <w:r w:rsidRPr="00E07570">
        <w:rPr>
          <w:b/>
        </w:rPr>
        <w:t>autorité d</w:t>
      </w:r>
      <w:r w:rsidR="00145E4B">
        <w:rPr>
          <w:b/>
        </w:rPr>
        <w:t>’</w:t>
      </w:r>
      <w:r w:rsidRPr="00E07570">
        <w:rPr>
          <w:b/>
        </w:rPr>
        <w:t>homologation peut alors</w:t>
      </w:r>
      <w:r w:rsidR="00715CBF" w:rsidRPr="00E07570">
        <w:rPr>
          <w:b/>
        </w:rPr>
        <w:t> </w:t>
      </w:r>
      <w:r w:rsidRPr="00E07570">
        <w:rPr>
          <w:b/>
        </w:rPr>
        <w:t>:</w:t>
      </w:r>
    </w:p>
    <w:p w:rsidR="00953834" w:rsidRPr="00E07570" w:rsidRDefault="00953834" w:rsidP="00953834">
      <w:pPr>
        <w:pStyle w:val="SingleTxtG"/>
        <w:ind w:left="2268" w:hanging="1134"/>
        <w:rPr>
          <w:b/>
        </w:rPr>
      </w:pPr>
      <w:r w:rsidRPr="00E07570">
        <w:rPr>
          <w:b/>
        </w:rPr>
        <w:t>8.1.1</w:t>
      </w:r>
      <w:r w:rsidRPr="00E07570">
        <w:rPr>
          <w:b/>
        </w:rPr>
        <w:tab/>
        <w:t>Soit considérer que les modifications apportées ne risquent pas d</w:t>
      </w:r>
      <w:r w:rsidR="00145E4B">
        <w:rPr>
          <w:b/>
        </w:rPr>
        <w:t>’</w:t>
      </w:r>
      <w:r w:rsidRPr="00E07570">
        <w:rPr>
          <w:b/>
        </w:rPr>
        <w:t>avoir une influence défavorable sens</w:t>
      </w:r>
      <w:r w:rsidR="000F41A5" w:rsidRPr="00E07570">
        <w:rPr>
          <w:b/>
        </w:rPr>
        <w:t>ib</w:t>
      </w:r>
      <w:r w:rsidRPr="00E07570">
        <w:rPr>
          <w:b/>
        </w:rPr>
        <w:t>le et que l</w:t>
      </w:r>
      <w:r w:rsidR="00145E4B">
        <w:rPr>
          <w:b/>
        </w:rPr>
        <w:t>’</w:t>
      </w:r>
      <w:r w:rsidRPr="00E07570">
        <w:rPr>
          <w:b/>
        </w:rPr>
        <w:t>AECC satisfait encore aux prescriptions</w:t>
      </w:r>
      <w:r w:rsidR="00715CBF" w:rsidRPr="00E07570">
        <w:rPr>
          <w:b/>
        </w:rPr>
        <w:t> </w:t>
      </w:r>
      <w:r w:rsidRPr="00E07570">
        <w:rPr>
          <w:b/>
        </w:rPr>
        <w:t>;</w:t>
      </w:r>
    </w:p>
    <w:p w:rsidR="00953834" w:rsidRPr="00E07570" w:rsidRDefault="00953834" w:rsidP="00953834">
      <w:pPr>
        <w:pStyle w:val="SingleTxtG"/>
        <w:ind w:left="2268" w:hanging="1134"/>
        <w:rPr>
          <w:b/>
        </w:rPr>
      </w:pPr>
      <w:r w:rsidRPr="00E07570">
        <w:rPr>
          <w:b/>
        </w:rPr>
        <w:t>8.1.2</w:t>
      </w:r>
      <w:r w:rsidRPr="00E07570">
        <w:rPr>
          <w:b/>
        </w:rPr>
        <w:tab/>
        <w:t xml:space="preserve">Soit </w:t>
      </w:r>
      <w:proofErr w:type="gramStart"/>
      <w:r w:rsidRPr="00E07570">
        <w:rPr>
          <w:b/>
        </w:rPr>
        <w:t>demander</w:t>
      </w:r>
      <w:proofErr w:type="gramEnd"/>
      <w:r w:rsidRPr="00E07570">
        <w:rPr>
          <w:b/>
        </w:rPr>
        <w:t xml:space="preserve"> un nouveau procès-verbal d</w:t>
      </w:r>
      <w:r w:rsidR="00145E4B">
        <w:rPr>
          <w:b/>
        </w:rPr>
        <w:t>’</w:t>
      </w:r>
      <w:r w:rsidRPr="00E07570">
        <w:rPr>
          <w:b/>
        </w:rPr>
        <w:t>essai au service technique chargé des essais.</w:t>
      </w:r>
    </w:p>
    <w:p w:rsidR="00953834" w:rsidRPr="00E07570" w:rsidRDefault="00953834" w:rsidP="00953834">
      <w:pPr>
        <w:pStyle w:val="SingleTxtG"/>
        <w:ind w:left="2268" w:hanging="1134"/>
        <w:rPr>
          <w:b/>
        </w:rPr>
      </w:pPr>
      <w:r w:rsidRPr="00E07570">
        <w:rPr>
          <w:b/>
        </w:rPr>
        <w:t>8.2</w:t>
      </w:r>
      <w:r w:rsidRPr="00E07570">
        <w:rPr>
          <w:b/>
        </w:rPr>
        <w:tab/>
        <w:t>La confirmation de l</w:t>
      </w:r>
      <w:r w:rsidR="00145E4B">
        <w:rPr>
          <w:b/>
        </w:rPr>
        <w:t>’</w:t>
      </w:r>
      <w:r w:rsidRPr="00E07570">
        <w:rPr>
          <w:b/>
        </w:rPr>
        <w:t>homologation, avec l</w:t>
      </w:r>
      <w:r w:rsidR="00145E4B">
        <w:rPr>
          <w:b/>
        </w:rPr>
        <w:t>’</w:t>
      </w:r>
      <w:r w:rsidRPr="00E07570">
        <w:rPr>
          <w:b/>
        </w:rPr>
        <w:t>indication des modifications apportées, ou le refus de l</w:t>
      </w:r>
      <w:r w:rsidR="00145E4B">
        <w:rPr>
          <w:b/>
        </w:rPr>
        <w:t>’</w:t>
      </w:r>
      <w:r w:rsidRPr="00E07570">
        <w:rPr>
          <w:b/>
        </w:rPr>
        <w:t>homologation doivent être notifiés aux Parties contractantes à l</w:t>
      </w:r>
      <w:r w:rsidR="00145E4B">
        <w:rPr>
          <w:b/>
        </w:rPr>
        <w:t>’</w:t>
      </w:r>
      <w:r w:rsidRPr="00E07570">
        <w:rPr>
          <w:b/>
        </w:rPr>
        <w:t>Accord qui appliquent le présent Règlement, au moyen d</w:t>
      </w:r>
      <w:r w:rsidR="00145E4B">
        <w:rPr>
          <w:b/>
        </w:rPr>
        <w:t>’</w:t>
      </w:r>
      <w:r w:rsidRPr="00E07570">
        <w:rPr>
          <w:b/>
        </w:rPr>
        <w:t>un formulaire conforme au modèle présenté à l</w:t>
      </w:r>
      <w:r w:rsidR="00145E4B">
        <w:rPr>
          <w:b/>
        </w:rPr>
        <w:t>’</w:t>
      </w:r>
      <w:r w:rsidRPr="00E07570">
        <w:rPr>
          <w:b/>
        </w:rPr>
        <w:t>annexe</w:t>
      </w:r>
      <w:r w:rsidR="00715CBF" w:rsidRPr="00E07570">
        <w:rPr>
          <w:b/>
        </w:rPr>
        <w:t> </w:t>
      </w:r>
      <w:r w:rsidRPr="00E07570">
        <w:rPr>
          <w:b/>
        </w:rPr>
        <w:t>1 du Règlement.</w:t>
      </w:r>
    </w:p>
    <w:p w:rsidR="00953834" w:rsidRPr="00E07570" w:rsidRDefault="00953834" w:rsidP="00953834">
      <w:pPr>
        <w:pStyle w:val="SingleTxtG"/>
        <w:ind w:left="2268" w:hanging="1134"/>
        <w:rPr>
          <w:b/>
        </w:rPr>
      </w:pPr>
      <w:r w:rsidRPr="00E07570">
        <w:rPr>
          <w:b/>
        </w:rPr>
        <w:t>8.3</w:t>
      </w:r>
      <w:r w:rsidRPr="00E07570">
        <w:rPr>
          <w:b/>
        </w:rPr>
        <w:tab/>
        <w:t>L</w:t>
      </w:r>
      <w:r w:rsidR="00145E4B">
        <w:rPr>
          <w:b/>
        </w:rPr>
        <w:t>’</w:t>
      </w:r>
      <w:r w:rsidRPr="00E07570">
        <w:rPr>
          <w:b/>
        </w:rPr>
        <w:t>autorité d</w:t>
      </w:r>
      <w:r w:rsidR="00145E4B">
        <w:rPr>
          <w:b/>
        </w:rPr>
        <w:t>’</w:t>
      </w:r>
      <w:r w:rsidRPr="00E07570">
        <w:rPr>
          <w:b/>
        </w:rPr>
        <w:t>homologation de type qui délivre l</w:t>
      </w:r>
      <w:r w:rsidR="00145E4B">
        <w:rPr>
          <w:b/>
        </w:rPr>
        <w:t>’</w:t>
      </w:r>
      <w:r w:rsidRPr="00E07570">
        <w:rPr>
          <w:b/>
        </w:rPr>
        <w:t>extension d</w:t>
      </w:r>
      <w:r w:rsidR="00145E4B">
        <w:rPr>
          <w:b/>
        </w:rPr>
        <w:t>’</w:t>
      </w:r>
      <w:r w:rsidRPr="00E07570">
        <w:rPr>
          <w:b/>
        </w:rPr>
        <w:t>homologation doit attr</w:t>
      </w:r>
      <w:r w:rsidR="000F41A5" w:rsidRPr="00E07570">
        <w:rPr>
          <w:b/>
        </w:rPr>
        <w:t>ib</w:t>
      </w:r>
      <w:r w:rsidRPr="00E07570">
        <w:rPr>
          <w:b/>
        </w:rPr>
        <w:t>uer un numéro de série à chaque fiche de communication établie pour ladite extension.</w:t>
      </w:r>
    </w:p>
    <w:p w:rsidR="00953834" w:rsidRPr="00E07570" w:rsidRDefault="00953834" w:rsidP="00715CBF">
      <w:pPr>
        <w:pStyle w:val="HChG"/>
        <w:ind w:left="2268"/>
      </w:pPr>
      <w:r w:rsidRPr="00E07570">
        <w:t>9.</w:t>
      </w:r>
      <w:r w:rsidRPr="00E07570">
        <w:tab/>
        <w:t>Conformité de la production</w:t>
      </w:r>
    </w:p>
    <w:p w:rsidR="00953834" w:rsidRPr="00E07570" w:rsidRDefault="00953834" w:rsidP="00953834">
      <w:pPr>
        <w:pStyle w:val="SingleTxtG"/>
        <w:ind w:left="2268" w:hanging="1134"/>
        <w:rPr>
          <w:b/>
        </w:rPr>
      </w:pPr>
      <w:r w:rsidRPr="00E07570">
        <w:rPr>
          <w:b/>
        </w:rPr>
        <w:t>9.1</w:t>
      </w:r>
      <w:r w:rsidRPr="00E07570">
        <w:rPr>
          <w:b/>
        </w:rPr>
        <w:tab/>
        <w:t>Les procédures de contrôle de la conformité de la production doivent être conformes à celles qui figurent dans l</w:t>
      </w:r>
      <w:r w:rsidR="00145E4B">
        <w:rPr>
          <w:b/>
        </w:rPr>
        <w:t>’</w:t>
      </w:r>
      <w:r w:rsidRPr="00E07570">
        <w:rPr>
          <w:b/>
        </w:rPr>
        <w:t>appendice</w:t>
      </w:r>
      <w:r w:rsidR="00715CBF" w:rsidRPr="00E07570">
        <w:rPr>
          <w:b/>
        </w:rPr>
        <w:t> </w:t>
      </w:r>
      <w:r w:rsidRPr="00E07570">
        <w:rPr>
          <w:b/>
        </w:rPr>
        <w:t>2 de l</w:t>
      </w:r>
      <w:r w:rsidR="00145E4B">
        <w:rPr>
          <w:b/>
        </w:rPr>
        <w:t>’</w:t>
      </w:r>
      <w:r w:rsidRPr="00E07570">
        <w:rPr>
          <w:b/>
        </w:rPr>
        <w:t>Accord (E/ECE/324-E/ECE/TRANS/505/Rev.2).</w:t>
      </w:r>
    </w:p>
    <w:p w:rsidR="00953834" w:rsidRPr="00E07570" w:rsidRDefault="00953834" w:rsidP="00953834">
      <w:pPr>
        <w:pStyle w:val="SingleTxtG"/>
        <w:ind w:left="2268" w:hanging="1134"/>
        <w:rPr>
          <w:b/>
        </w:rPr>
      </w:pPr>
      <w:r w:rsidRPr="00E07570">
        <w:rPr>
          <w:b/>
        </w:rPr>
        <w:t>9.2</w:t>
      </w:r>
      <w:r w:rsidRPr="00E07570">
        <w:rPr>
          <w:b/>
        </w:rPr>
        <w:tab/>
        <w:t>Tout AECC homologué en application du présent Règlement doit être construit de façon à être conforme au type homologué en satisfaisant aux prescriptions spécifiées au paragraphe</w:t>
      </w:r>
      <w:r w:rsidR="00715CBF" w:rsidRPr="00E07570">
        <w:rPr>
          <w:b/>
        </w:rPr>
        <w:t> </w:t>
      </w:r>
      <w:r w:rsidRPr="00E07570">
        <w:rPr>
          <w:b/>
        </w:rPr>
        <w:t>7 ci-dessus.</w:t>
      </w:r>
    </w:p>
    <w:p w:rsidR="00953834" w:rsidRPr="00E07570" w:rsidRDefault="00953834" w:rsidP="00B950F1">
      <w:pPr>
        <w:pStyle w:val="HChG"/>
        <w:ind w:left="2268"/>
      </w:pPr>
      <w:r w:rsidRPr="00E07570">
        <w:t>10.</w:t>
      </w:r>
      <w:r w:rsidRPr="00E07570">
        <w:tab/>
      </w:r>
      <w:r w:rsidRPr="00E07570">
        <w:tab/>
        <w:t>Sanctions pour non-conformité de la production</w:t>
      </w:r>
    </w:p>
    <w:p w:rsidR="00953834" w:rsidRPr="00E07570" w:rsidRDefault="00953834" w:rsidP="00953834">
      <w:pPr>
        <w:pStyle w:val="SingleTxtG"/>
        <w:ind w:left="2268" w:hanging="1134"/>
        <w:rPr>
          <w:b/>
        </w:rPr>
      </w:pPr>
      <w:r w:rsidRPr="00E07570">
        <w:rPr>
          <w:b/>
        </w:rPr>
        <w:t>10.1</w:t>
      </w:r>
      <w:r w:rsidRPr="00E07570">
        <w:rPr>
          <w:b/>
        </w:rPr>
        <w:tab/>
        <w:t>L</w:t>
      </w:r>
      <w:r w:rsidR="00145E4B">
        <w:rPr>
          <w:b/>
        </w:rPr>
        <w:t>’</w:t>
      </w:r>
      <w:r w:rsidRPr="00E07570">
        <w:rPr>
          <w:b/>
        </w:rPr>
        <w:t>homologation délivrée pour un type d</w:t>
      </w:r>
      <w:r w:rsidR="00145E4B">
        <w:rPr>
          <w:b/>
        </w:rPr>
        <w:t>’</w:t>
      </w:r>
      <w:r w:rsidRPr="00E07570">
        <w:rPr>
          <w:b/>
        </w:rPr>
        <w:t>AECC en application du présent Règlement peut être retirée si les prescriptions énoncées au 9.1 ci-dessus ne sont pas respectées ou si l</w:t>
      </w:r>
      <w:r w:rsidR="00145E4B">
        <w:rPr>
          <w:b/>
        </w:rPr>
        <w:t>’</w:t>
      </w:r>
      <w:r w:rsidRPr="00E07570">
        <w:rPr>
          <w:b/>
        </w:rPr>
        <w:t>AECC ne réussit pas les contrôles prescrits au paragraphe</w:t>
      </w:r>
      <w:r w:rsidR="00B6271E" w:rsidRPr="00E07570">
        <w:rPr>
          <w:b/>
        </w:rPr>
        <w:t> </w:t>
      </w:r>
      <w:r w:rsidRPr="00E07570">
        <w:rPr>
          <w:b/>
        </w:rPr>
        <w:t>9.2 ci</w:t>
      </w:r>
      <w:r w:rsidR="00B6271E" w:rsidRPr="00E07570">
        <w:rPr>
          <w:b/>
        </w:rPr>
        <w:t>-</w:t>
      </w:r>
      <w:r w:rsidRPr="00E07570">
        <w:rPr>
          <w:b/>
        </w:rPr>
        <w:t>dessus.</w:t>
      </w:r>
    </w:p>
    <w:p w:rsidR="00953834" w:rsidRPr="00E07570" w:rsidRDefault="00953834" w:rsidP="00953834">
      <w:pPr>
        <w:pStyle w:val="SingleTxtG"/>
        <w:ind w:left="2268" w:hanging="1134"/>
        <w:rPr>
          <w:b/>
        </w:rPr>
      </w:pPr>
      <w:r w:rsidRPr="00E07570">
        <w:rPr>
          <w:b/>
        </w:rPr>
        <w:t>10.2</w:t>
      </w:r>
      <w:r w:rsidRPr="00E07570">
        <w:rPr>
          <w:b/>
        </w:rPr>
        <w:tab/>
        <w:t>Si une Partie contractante à l</w:t>
      </w:r>
      <w:r w:rsidR="00145E4B">
        <w:rPr>
          <w:b/>
        </w:rPr>
        <w:t>’</w:t>
      </w:r>
      <w:r w:rsidRPr="00E07570">
        <w:rPr>
          <w:b/>
        </w:rPr>
        <w:t>Accord appliquant le présent Règlement retire une homologation qu</w:t>
      </w:r>
      <w:r w:rsidR="00145E4B">
        <w:rPr>
          <w:b/>
        </w:rPr>
        <w:t>’</w:t>
      </w:r>
      <w:r w:rsidRPr="00E07570">
        <w:rPr>
          <w:b/>
        </w:rPr>
        <w:t>elle avait préalablement accordée, elle est tenue d</w:t>
      </w:r>
      <w:r w:rsidR="00145E4B">
        <w:rPr>
          <w:b/>
        </w:rPr>
        <w:t>’</w:t>
      </w:r>
      <w:r w:rsidRPr="00E07570">
        <w:rPr>
          <w:b/>
        </w:rPr>
        <w:t>en aviser immédiatement les autres Parties à l</w:t>
      </w:r>
      <w:r w:rsidR="00145E4B">
        <w:rPr>
          <w:b/>
        </w:rPr>
        <w:t>’</w:t>
      </w:r>
      <w:r w:rsidRPr="00E07570">
        <w:rPr>
          <w:b/>
        </w:rPr>
        <w:t>Accord appliquant le présent Règlement, au moyen d</w:t>
      </w:r>
      <w:r w:rsidR="00145E4B">
        <w:rPr>
          <w:b/>
        </w:rPr>
        <w:t>’</w:t>
      </w:r>
      <w:r w:rsidRPr="00E07570">
        <w:rPr>
          <w:b/>
        </w:rPr>
        <w:t>un exemplaire du certificat d</w:t>
      </w:r>
      <w:r w:rsidR="00145E4B">
        <w:rPr>
          <w:b/>
        </w:rPr>
        <w:t>’</w:t>
      </w:r>
      <w:r w:rsidRPr="00E07570">
        <w:rPr>
          <w:b/>
        </w:rPr>
        <w:t>homologation se terminant par la mention, en lettres majuscules, signée et datée, «</w:t>
      </w:r>
      <w:r w:rsidR="00B6271E" w:rsidRPr="00E07570">
        <w:rPr>
          <w:b/>
        </w:rPr>
        <w:t> </w:t>
      </w:r>
      <w:r w:rsidRPr="00E07570">
        <w:rPr>
          <w:b/>
        </w:rPr>
        <w:t>HOMOLOGATION RETIRÉE</w:t>
      </w:r>
      <w:r w:rsidR="00B6271E" w:rsidRPr="00E07570">
        <w:rPr>
          <w:b/>
        </w:rPr>
        <w:t> </w:t>
      </w:r>
      <w:r w:rsidRPr="00E07570">
        <w:rPr>
          <w:b/>
        </w:rPr>
        <w:t>».</w:t>
      </w:r>
    </w:p>
    <w:p w:rsidR="00953834" w:rsidRPr="00E07570" w:rsidRDefault="00953834" w:rsidP="00B950F1">
      <w:pPr>
        <w:pStyle w:val="HChG"/>
        <w:ind w:left="2268"/>
      </w:pPr>
      <w:r w:rsidRPr="00E07570">
        <w:t>11.</w:t>
      </w:r>
      <w:r w:rsidRPr="00E07570">
        <w:tab/>
      </w:r>
      <w:r w:rsidRPr="00E07570">
        <w:tab/>
        <w:t>Arrêt définitif de la production</w:t>
      </w:r>
    </w:p>
    <w:p w:rsidR="00953834" w:rsidRPr="00E07570" w:rsidRDefault="00953834" w:rsidP="00B950F1">
      <w:pPr>
        <w:pStyle w:val="SingleTxtG"/>
        <w:ind w:left="2268"/>
        <w:rPr>
          <w:b/>
        </w:rPr>
      </w:pPr>
      <w:r w:rsidRPr="00E07570">
        <w:rPr>
          <w:b/>
        </w:rPr>
        <w:tab/>
        <w:t>Si le titulaire de l</w:t>
      </w:r>
      <w:r w:rsidR="00145E4B">
        <w:rPr>
          <w:b/>
        </w:rPr>
        <w:t>’</w:t>
      </w:r>
      <w:r w:rsidRPr="00E07570">
        <w:rPr>
          <w:b/>
        </w:rPr>
        <w:t>homologation arrête définitivement la fabrication d</w:t>
      </w:r>
      <w:r w:rsidR="00145E4B">
        <w:rPr>
          <w:b/>
        </w:rPr>
        <w:t>’</w:t>
      </w:r>
      <w:r w:rsidRPr="00E07570">
        <w:rPr>
          <w:b/>
        </w:rPr>
        <w:t>un type d</w:t>
      </w:r>
      <w:r w:rsidR="00145E4B">
        <w:rPr>
          <w:b/>
        </w:rPr>
        <w:t>’</w:t>
      </w:r>
      <w:r w:rsidRPr="00E07570">
        <w:rPr>
          <w:b/>
        </w:rPr>
        <w:t>AECC homologué en vertu du présent Règlement, il doit en informer l</w:t>
      </w:r>
      <w:r w:rsidR="00145E4B">
        <w:rPr>
          <w:b/>
        </w:rPr>
        <w:t>’</w:t>
      </w:r>
      <w:r w:rsidRPr="00E07570">
        <w:rPr>
          <w:b/>
        </w:rPr>
        <w:t>autorité qui a délivré l</w:t>
      </w:r>
      <w:r w:rsidR="00145E4B">
        <w:rPr>
          <w:b/>
        </w:rPr>
        <w:t>’</w:t>
      </w:r>
      <w:r w:rsidRPr="00E07570">
        <w:rPr>
          <w:b/>
        </w:rPr>
        <w:t>homologation, laquelle doit à son tour en aviser les autres Parties contractantes à l</w:t>
      </w:r>
      <w:r w:rsidR="00145E4B">
        <w:rPr>
          <w:b/>
        </w:rPr>
        <w:t>’</w:t>
      </w:r>
      <w:r w:rsidRPr="00E07570">
        <w:rPr>
          <w:b/>
        </w:rPr>
        <w:t>Accord appliquant le présent Règlement, au moyen d</w:t>
      </w:r>
      <w:r w:rsidR="00145E4B">
        <w:rPr>
          <w:b/>
        </w:rPr>
        <w:t>’</w:t>
      </w:r>
      <w:r w:rsidRPr="00E07570">
        <w:rPr>
          <w:b/>
        </w:rPr>
        <w:t>un exemplaire du certificat d</w:t>
      </w:r>
      <w:r w:rsidR="00145E4B">
        <w:rPr>
          <w:b/>
        </w:rPr>
        <w:t>’</w:t>
      </w:r>
      <w:r w:rsidRPr="00E07570">
        <w:rPr>
          <w:b/>
        </w:rPr>
        <w:t>homologation se terminant par la mention, en lettres majuscules, signée et datée, «</w:t>
      </w:r>
      <w:r w:rsidR="00B950F1" w:rsidRPr="00E07570">
        <w:rPr>
          <w:b/>
        </w:rPr>
        <w:t> </w:t>
      </w:r>
      <w:r w:rsidRPr="00E07570">
        <w:rPr>
          <w:b/>
        </w:rPr>
        <w:t>PRODUCTION ARRÊTÉE</w:t>
      </w:r>
      <w:r w:rsidR="00B950F1" w:rsidRPr="00E07570">
        <w:rPr>
          <w:b/>
        </w:rPr>
        <w:t> </w:t>
      </w:r>
      <w:r w:rsidRPr="00E07570">
        <w:rPr>
          <w:b/>
        </w:rPr>
        <w:t>».</w:t>
      </w:r>
    </w:p>
    <w:p w:rsidR="00953834" w:rsidRPr="00E07570" w:rsidRDefault="00953834" w:rsidP="00B950F1">
      <w:pPr>
        <w:pStyle w:val="HChG"/>
        <w:ind w:left="2268"/>
      </w:pPr>
      <w:r w:rsidRPr="00E07570">
        <w:t>12.</w:t>
      </w:r>
      <w:r w:rsidRPr="00E07570">
        <w:tab/>
        <w:t>Noms et adresses des services techniques chargés des essais d</w:t>
      </w:r>
      <w:r w:rsidR="00145E4B">
        <w:t>’</w:t>
      </w:r>
      <w:r w:rsidRPr="00E07570">
        <w:t>homologation et des autorités d</w:t>
      </w:r>
      <w:r w:rsidR="00145E4B">
        <w:t>’</w:t>
      </w:r>
      <w:r w:rsidRPr="00E07570">
        <w:t>homologation de type</w:t>
      </w:r>
    </w:p>
    <w:p w:rsidR="00953834" w:rsidRPr="00E07570" w:rsidRDefault="00953834" w:rsidP="00B950F1">
      <w:pPr>
        <w:pStyle w:val="SingleTxtG"/>
        <w:ind w:left="2268"/>
        <w:rPr>
          <w:b/>
        </w:rPr>
      </w:pPr>
      <w:r w:rsidRPr="00E07570">
        <w:rPr>
          <w:b/>
        </w:rPr>
        <w:tab/>
        <w:t>Les Parties contractantes à l</w:t>
      </w:r>
      <w:r w:rsidR="00145E4B">
        <w:rPr>
          <w:b/>
        </w:rPr>
        <w:t>’</w:t>
      </w:r>
      <w:r w:rsidRPr="00E07570">
        <w:rPr>
          <w:b/>
        </w:rPr>
        <w:t>Accord appliquant le présent Règlement doivent communiquer au Secrétariat de l</w:t>
      </w:r>
      <w:r w:rsidR="00145E4B">
        <w:rPr>
          <w:b/>
        </w:rPr>
        <w:t>’</w:t>
      </w:r>
      <w:r w:rsidRPr="00E07570">
        <w:rPr>
          <w:b/>
        </w:rPr>
        <w:t>Organisation des Nations Unies les noms et adresses des services techniques chargés des essais d</w:t>
      </w:r>
      <w:r w:rsidR="00145E4B">
        <w:rPr>
          <w:b/>
        </w:rPr>
        <w:t>’</w:t>
      </w:r>
      <w:r w:rsidRPr="00E07570">
        <w:rPr>
          <w:b/>
        </w:rPr>
        <w:t>homologation et des autorités d</w:t>
      </w:r>
      <w:r w:rsidR="00145E4B">
        <w:rPr>
          <w:b/>
        </w:rPr>
        <w:t>’</w:t>
      </w:r>
      <w:r w:rsidRPr="00E07570">
        <w:rPr>
          <w:b/>
        </w:rPr>
        <w:t>homologation de type auxquelles doivent être envoyées les fiches d</w:t>
      </w:r>
      <w:r w:rsidR="00145E4B">
        <w:rPr>
          <w:b/>
        </w:rPr>
        <w:t>’</w:t>
      </w:r>
      <w:r w:rsidRPr="00E07570">
        <w:rPr>
          <w:b/>
        </w:rPr>
        <w:t>homologation ou d</w:t>
      </w:r>
      <w:r w:rsidR="00145E4B">
        <w:rPr>
          <w:b/>
        </w:rPr>
        <w:t>’</w:t>
      </w:r>
      <w:r w:rsidRPr="00E07570">
        <w:rPr>
          <w:b/>
        </w:rPr>
        <w:t>extension, de refus ou de retrait d</w:t>
      </w:r>
      <w:r w:rsidR="00145E4B">
        <w:rPr>
          <w:b/>
        </w:rPr>
        <w:t>’</w:t>
      </w:r>
      <w:r w:rsidRPr="00E07570">
        <w:rPr>
          <w:b/>
        </w:rPr>
        <w:t>homologation émises dans d</w:t>
      </w:r>
      <w:r w:rsidR="00145E4B">
        <w:rPr>
          <w:b/>
        </w:rPr>
        <w:t>’</w:t>
      </w:r>
      <w:r w:rsidRPr="00E07570">
        <w:rPr>
          <w:b/>
        </w:rPr>
        <w:t>autres pays.</w:t>
      </w:r>
    </w:p>
    <w:p w:rsidR="00953834" w:rsidRPr="00E07570" w:rsidRDefault="00953834" w:rsidP="00B950F1">
      <w:pPr>
        <w:pStyle w:val="HChG"/>
        <w:ind w:left="2495" w:hanging="1361"/>
      </w:pPr>
      <w:r w:rsidRPr="00E07570">
        <w:t xml:space="preserve">Partie </w:t>
      </w:r>
      <w:proofErr w:type="spellStart"/>
      <w:r w:rsidR="00A22689" w:rsidRPr="00E07570">
        <w:t>Ib</w:t>
      </w:r>
      <w:proofErr w:type="spellEnd"/>
      <w:r w:rsidRPr="00E07570">
        <w:t xml:space="preserve"> </w:t>
      </w:r>
      <w:r w:rsidR="00B950F1" w:rsidRPr="00E07570">
        <w:t xml:space="preserve">− </w:t>
      </w:r>
      <w:r w:rsidRPr="00E07570">
        <w:rPr>
          <w:spacing w:val="-2"/>
        </w:rPr>
        <w:t>Homologation des dispositifs automatiques d</w:t>
      </w:r>
      <w:r w:rsidR="00145E4B">
        <w:rPr>
          <w:spacing w:val="-2"/>
        </w:rPr>
        <w:t>’</w:t>
      </w:r>
      <w:r w:rsidRPr="00E07570">
        <w:rPr>
          <w:spacing w:val="-2"/>
        </w:rPr>
        <w:t>appel</w:t>
      </w:r>
      <w:r w:rsidRPr="00E07570">
        <w:t xml:space="preserve"> d</w:t>
      </w:r>
      <w:r w:rsidR="00145E4B">
        <w:t>’</w:t>
      </w:r>
      <w:r w:rsidRPr="00E07570">
        <w:t xml:space="preserve">urgence (AECD), destinés à être installés </w:t>
      </w:r>
      <w:r w:rsidR="00B950F1" w:rsidRPr="00E07570">
        <w:br/>
      </w:r>
      <w:r w:rsidRPr="00E07570">
        <w:t>sur les véhicules des catégories M</w:t>
      </w:r>
      <w:r w:rsidRPr="00E07570">
        <w:rPr>
          <w:vertAlign w:val="subscript"/>
        </w:rPr>
        <w:t>1</w:t>
      </w:r>
      <w:r w:rsidRPr="00E07570">
        <w:t xml:space="preserve"> et N</w:t>
      </w:r>
      <w:r w:rsidRPr="00E07570">
        <w:rPr>
          <w:vertAlign w:val="subscript"/>
        </w:rPr>
        <w:t>1</w:t>
      </w:r>
    </w:p>
    <w:p w:rsidR="00953834" w:rsidRPr="00E07570" w:rsidRDefault="00953834" w:rsidP="00D818F4">
      <w:pPr>
        <w:pStyle w:val="HChG"/>
        <w:ind w:left="2268"/>
      </w:pPr>
      <w:r w:rsidRPr="00E07570">
        <w:t>13.</w:t>
      </w:r>
      <w:r w:rsidRPr="00E07570">
        <w:tab/>
        <w:t>Définitions</w:t>
      </w:r>
    </w:p>
    <w:p w:rsidR="00953834" w:rsidRPr="00E07570" w:rsidRDefault="00953834" w:rsidP="00D818F4">
      <w:pPr>
        <w:pStyle w:val="SingleTxtG"/>
        <w:ind w:left="2268"/>
      </w:pPr>
      <w:r w:rsidRPr="00E07570">
        <w:t>Aux fins de la partie </w:t>
      </w:r>
      <w:proofErr w:type="spellStart"/>
      <w:r w:rsidR="00A22689" w:rsidRPr="00E07570">
        <w:rPr>
          <w:b/>
        </w:rPr>
        <w:t>Ib</w:t>
      </w:r>
      <w:proofErr w:type="spellEnd"/>
      <w:r w:rsidRPr="00E07570">
        <w:t xml:space="preserve"> du présent Règlement, on entend par :</w:t>
      </w:r>
    </w:p>
    <w:p w:rsidR="00953834" w:rsidRPr="00E07570" w:rsidRDefault="00953834" w:rsidP="00D818F4">
      <w:pPr>
        <w:pStyle w:val="SingleTxtG"/>
        <w:ind w:left="2268" w:hanging="1134"/>
      </w:pPr>
      <w:r w:rsidRPr="00E07570">
        <w:rPr>
          <w:b/>
        </w:rPr>
        <w:t>13.1</w:t>
      </w:r>
      <w:r w:rsidRPr="00E07570">
        <w:tab/>
        <w:t>« </w:t>
      </w:r>
      <w:r w:rsidRPr="00E07570">
        <w:rPr>
          <w:i/>
        </w:rPr>
        <w:t>Type d</w:t>
      </w:r>
      <w:r w:rsidR="00145E4B">
        <w:rPr>
          <w:i/>
        </w:rPr>
        <w:t>’</w:t>
      </w:r>
      <w:r w:rsidRPr="00E07570">
        <w:rPr>
          <w:i/>
        </w:rPr>
        <w:t>AECD</w:t>
      </w:r>
      <w:r w:rsidRPr="00E07570">
        <w:t> », des dispositifs qui ne diffèrent pas entre eux sur des aspects essentiels comme :</w:t>
      </w:r>
    </w:p>
    <w:p w:rsidR="00953834" w:rsidRPr="00E07570" w:rsidRDefault="00953834" w:rsidP="00D818F4">
      <w:pPr>
        <w:pStyle w:val="SingleTxtG"/>
        <w:ind w:left="2835" w:hanging="567"/>
      </w:pPr>
      <w:r w:rsidRPr="00E07570">
        <w:t>a)</w:t>
      </w:r>
      <w:r w:rsidRPr="00E07570">
        <w:tab/>
        <w:t>Le nom du fabricant ou la marque de fabrique ;</w:t>
      </w:r>
    </w:p>
    <w:p w:rsidR="00953834" w:rsidRPr="00E07570" w:rsidRDefault="00953834" w:rsidP="007D3356">
      <w:pPr>
        <w:pStyle w:val="SingleTxtG"/>
        <w:ind w:left="2835" w:hanging="567"/>
      </w:pPr>
      <w:r w:rsidRPr="00E07570">
        <w:t>b)</w:t>
      </w:r>
      <w:r w:rsidRPr="00E07570">
        <w:tab/>
        <w:t>Leur construction.</w:t>
      </w:r>
    </w:p>
    <w:p w:rsidR="00953834" w:rsidRPr="00E07570" w:rsidRDefault="00953834" w:rsidP="00D818F4">
      <w:pPr>
        <w:pStyle w:val="SingleTxtG"/>
        <w:ind w:left="2268" w:hanging="1134"/>
      </w:pPr>
      <w:r w:rsidRPr="00E07570">
        <w:rPr>
          <w:b/>
        </w:rPr>
        <w:t>13.2</w:t>
      </w:r>
      <w:r w:rsidRPr="00E07570">
        <w:tab/>
        <w:t>« </w:t>
      </w:r>
      <w:r w:rsidRPr="00E07570">
        <w:rPr>
          <w:i/>
        </w:rPr>
        <w:t>Dispositif de signal d</w:t>
      </w:r>
      <w:r w:rsidR="00145E4B">
        <w:rPr>
          <w:i/>
        </w:rPr>
        <w:t>’</w:t>
      </w:r>
      <w:r w:rsidRPr="00E07570">
        <w:rPr>
          <w:i/>
        </w:rPr>
        <w:t>information AECD</w:t>
      </w:r>
      <w:r w:rsidRPr="00E07570">
        <w:t> », un dispositif qui donne des informations sur le statut de la procédure d</w:t>
      </w:r>
      <w:r w:rsidR="00145E4B">
        <w:t>’</w:t>
      </w:r>
      <w:r w:rsidRPr="00E07570">
        <w:t>appel d</w:t>
      </w:r>
      <w:r w:rsidR="00145E4B">
        <w:t>’</w:t>
      </w:r>
      <w:r w:rsidRPr="00E07570">
        <w:t>urgence.</w:t>
      </w:r>
    </w:p>
    <w:p w:rsidR="00953834" w:rsidRPr="00E07570" w:rsidRDefault="00953834" w:rsidP="00D818F4">
      <w:pPr>
        <w:pStyle w:val="SingleTxtG"/>
        <w:ind w:left="2268" w:hanging="1134"/>
      </w:pPr>
      <w:r w:rsidRPr="00E07570">
        <w:rPr>
          <w:b/>
        </w:rPr>
        <w:t>13.3</w:t>
      </w:r>
      <w:r w:rsidRPr="00E07570">
        <w:tab/>
        <w:t>« </w:t>
      </w:r>
      <w:r w:rsidRPr="00E07570">
        <w:rPr>
          <w:i/>
        </w:rPr>
        <w:t>Dispositif de signal d</w:t>
      </w:r>
      <w:r w:rsidR="00145E4B">
        <w:rPr>
          <w:i/>
        </w:rPr>
        <w:t>’</w:t>
      </w:r>
      <w:r w:rsidRPr="00E07570">
        <w:rPr>
          <w:i/>
        </w:rPr>
        <w:t>avertissement AECD</w:t>
      </w:r>
      <w:r w:rsidRPr="00E07570">
        <w:t> », un témoin qui indique une défaillance de l</w:t>
      </w:r>
      <w:r w:rsidR="00145E4B">
        <w:t>’</w:t>
      </w:r>
      <w:r w:rsidRPr="00E07570">
        <w:t>AECD.</w:t>
      </w:r>
    </w:p>
    <w:p w:rsidR="00953834" w:rsidRPr="00E07570" w:rsidRDefault="00953834" w:rsidP="00D818F4">
      <w:pPr>
        <w:pStyle w:val="HChG"/>
        <w:ind w:left="2268"/>
      </w:pPr>
      <w:r w:rsidRPr="00E07570">
        <w:t>14.</w:t>
      </w:r>
      <w:r w:rsidRPr="00E07570">
        <w:tab/>
        <w:t>Demande d</w:t>
      </w:r>
      <w:r w:rsidR="00145E4B">
        <w:t>’</w:t>
      </w:r>
      <w:r w:rsidRPr="00E07570">
        <w:t>homologation d</w:t>
      </w:r>
      <w:r w:rsidR="00145E4B">
        <w:t>’</w:t>
      </w:r>
      <w:r w:rsidRPr="00E07570">
        <w:t>un AECD</w:t>
      </w:r>
    </w:p>
    <w:p w:rsidR="00953834" w:rsidRPr="00E07570" w:rsidRDefault="00953834" w:rsidP="007D3356">
      <w:pPr>
        <w:pStyle w:val="SingleTxtG"/>
        <w:ind w:left="2268" w:hanging="1134"/>
      </w:pPr>
      <w:r w:rsidRPr="00E07570">
        <w:rPr>
          <w:b/>
        </w:rPr>
        <w:t>14.1</w:t>
      </w:r>
      <w:r w:rsidRPr="00E07570">
        <w:tab/>
        <w:t>La demande d</w:t>
      </w:r>
      <w:r w:rsidR="00145E4B">
        <w:t>’</w:t>
      </w:r>
      <w:r w:rsidRPr="00E07570">
        <w:t>homologation de type d</w:t>
      </w:r>
      <w:r w:rsidR="00145E4B">
        <w:t>’</w:t>
      </w:r>
      <w:r w:rsidRPr="00E07570">
        <w:t>un AECD doit être présentée par le titulaire du nom de marque ou de la marque de fabrique ou par son représentant dûment agréé.</w:t>
      </w:r>
    </w:p>
    <w:p w:rsidR="00953834" w:rsidRPr="00E07570" w:rsidRDefault="00953834" w:rsidP="007D3356">
      <w:pPr>
        <w:pStyle w:val="SingleTxtG"/>
        <w:ind w:left="2268" w:hanging="1134"/>
      </w:pPr>
      <w:r w:rsidRPr="00E07570">
        <w:rPr>
          <w:b/>
        </w:rPr>
        <w:t>14.2</w:t>
      </w:r>
      <w:r w:rsidRPr="00E07570">
        <w:tab/>
        <w:t>Un modèle de document d</w:t>
      </w:r>
      <w:r w:rsidR="00145E4B">
        <w:t>’</w:t>
      </w:r>
      <w:r w:rsidRPr="00E07570">
        <w:t>information est reproduit à l</w:t>
      </w:r>
      <w:r w:rsidR="00145E4B">
        <w:t>’</w:t>
      </w:r>
      <w:r w:rsidRPr="00E07570">
        <w:t>annexe </w:t>
      </w:r>
      <w:r w:rsidRPr="00E07570">
        <w:rPr>
          <w:b/>
        </w:rPr>
        <w:t>6</w:t>
      </w:r>
      <w:r w:rsidRPr="00E07570">
        <w:t>.</w:t>
      </w:r>
    </w:p>
    <w:p w:rsidR="00953834" w:rsidRPr="00E07570" w:rsidRDefault="00953834" w:rsidP="007D3356">
      <w:pPr>
        <w:pStyle w:val="SingleTxtG"/>
        <w:ind w:left="2268" w:hanging="1134"/>
      </w:pPr>
      <w:r w:rsidRPr="00E07570">
        <w:rPr>
          <w:b/>
        </w:rPr>
        <w:t>14.3</w:t>
      </w:r>
      <w:r w:rsidRPr="00E07570">
        <w:tab/>
        <w:t>Pour chaque type d</w:t>
      </w:r>
      <w:r w:rsidR="00145E4B">
        <w:t>’</w:t>
      </w:r>
      <w:r w:rsidRPr="00E07570">
        <w:t>AECD, la demande d</w:t>
      </w:r>
      <w:r w:rsidR="00145E4B">
        <w:t>’</w:t>
      </w:r>
      <w:r w:rsidRPr="00E07570">
        <w:t>homologation doit être accompagnée d</w:t>
      </w:r>
      <w:r w:rsidR="00145E4B">
        <w:t>’</w:t>
      </w:r>
      <w:r w:rsidRPr="00E07570">
        <w:t>échantillons d</w:t>
      </w:r>
      <w:r w:rsidR="00145E4B">
        <w:t>’</w:t>
      </w:r>
      <w:r w:rsidRPr="00E07570">
        <w:t>ensembles complets d</w:t>
      </w:r>
      <w:r w:rsidR="00145E4B">
        <w:t>’</w:t>
      </w:r>
      <w:r w:rsidRPr="00E07570">
        <w:t>AECD représentatifs du type à homologuer, en quantités suffisantes pour les essais prescrits par le présent Règlement. Des échantillons supplémentaires peuvent être demandés par le service technique chargé d</w:t>
      </w:r>
      <w:r w:rsidR="00145E4B">
        <w:t>’</w:t>
      </w:r>
      <w:r w:rsidRPr="00E07570">
        <w:t>effectuer les essais.</w:t>
      </w:r>
    </w:p>
    <w:p w:rsidR="00953834" w:rsidRPr="00E07570" w:rsidRDefault="00953834" w:rsidP="00D818F4">
      <w:pPr>
        <w:pStyle w:val="HChG"/>
        <w:ind w:left="2268"/>
      </w:pPr>
      <w:r w:rsidRPr="00E07570">
        <w:t>15.</w:t>
      </w:r>
      <w:r w:rsidRPr="00E07570">
        <w:tab/>
        <w:t>Inscriptions</w:t>
      </w:r>
    </w:p>
    <w:p w:rsidR="00953834" w:rsidRPr="00E07570" w:rsidRDefault="00953834" w:rsidP="007D3356">
      <w:pPr>
        <w:pStyle w:val="SingleTxtG"/>
        <w:ind w:left="2268" w:hanging="1134"/>
      </w:pPr>
      <w:r w:rsidRPr="00E07570">
        <w:rPr>
          <w:b/>
        </w:rPr>
        <w:t>15.1</w:t>
      </w:r>
      <w:r w:rsidRPr="00E07570">
        <w:tab/>
        <w:t>Les échantillons d</w:t>
      </w:r>
      <w:r w:rsidR="00145E4B">
        <w:t>’</w:t>
      </w:r>
      <w:r w:rsidRPr="00E07570">
        <w:t>AECD présentés à l</w:t>
      </w:r>
      <w:r w:rsidR="00145E4B">
        <w:t>’</w:t>
      </w:r>
      <w:r w:rsidRPr="00E07570">
        <w:t>homologation doivent porter le nom de marque ou la marque de fabrique du fabricant. Ces indications doivent figurer au moins sur l</w:t>
      </w:r>
      <w:r w:rsidR="00145E4B">
        <w:t>’</w:t>
      </w:r>
      <w:r w:rsidRPr="00E07570">
        <w:t>unité ou les unités comprenant le récepteur GNSS et le module de communication (le cas échéant). Elles doivent être clairement lis</w:t>
      </w:r>
      <w:r w:rsidR="00816872" w:rsidRPr="00E07570">
        <w:t>ibl</w:t>
      </w:r>
      <w:r w:rsidRPr="00E07570">
        <w:t>es et indélébiles.</w:t>
      </w:r>
    </w:p>
    <w:p w:rsidR="00953834" w:rsidRPr="00E07570" w:rsidRDefault="00953834" w:rsidP="007D3356">
      <w:pPr>
        <w:pStyle w:val="SingleTxtG"/>
        <w:ind w:left="2268" w:hanging="1134"/>
      </w:pPr>
      <w:r w:rsidRPr="00E07570">
        <w:rPr>
          <w:b/>
        </w:rPr>
        <w:t>15.2</w:t>
      </w:r>
      <w:r w:rsidRPr="00E07570">
        <w:tab/>
        <w:t>La ou les unités contenant le récepteur GNSS et le module de communication doivent être d</w:t>
      </w:r>
      <w:r w:rsidR="00145E4B">
        <w:t>’</w:t>
      </w:r>
      <w:r w:rsidRPr="00E07570">
        <w:t>une taille suffisante pour accueillir la marque d</w:t>
      </w:r>
      <w:r w:rsidR="00145E4B">
        <w:t>’</w:t>
      </w:r>
      <w:r w:rsidRPr="00E07570">
        <w:t>homologation. Cet espace doit être indiqué sur les dessins visés à l</w:t>
      </w:r>
      <w:r w:rsidR="00145E4B">
        <w:t>’</w:t>
      </w:r>
      <w:r w:rsidRPr="00E07570">
        <w:t>annexe </w:t>
      </w:r>
      <w:r w:rsidRPr="00E07570">
        <w:rPr>
          <w:b/>
        </w:rPr>
        <w:t>6</w:t>
      </w:r>
      <w:r w:rsidRPr="00E07570">
        <w:t>.</w:t>
      </w:r>
    </w:p>
    <w:p w:rsidR="00953834" w:rsidRPr="00E07570" w:rsidRDefault="00953834" w:rsidP="00D818F4">
      <w:pPr>
        <w:pStyle w:val="HChG"/>
        <w:ind w:left="2268"/>
      </w:pPr>
      <w:r w:rsidRPr="00E07570">
        <w:t>16.</w:t>
      </w:r>
      <w:r w:rsidRPr="00E07570">
        <w:tab/>
        <w:t>Homologation</w:t>
      </w:r>
    </w:p>
    <w:p w:rsidR="00953834" w:rsidRPr="00E07570" w:rsidRDefault="00953834" w:rsidP="007D3356">
      <w:pPr>
        <w:pStyle w:val="SingleTxtG"/>
        <w:ind w:left="2268" w:hanging="1134"/>
      </w:pPr>
      <w:r w:rsidRPr="00E07570">
        <w:rPr>
          <w:b/>
        </w:rPr>
        <w:t>16.1</w:t>
      </w:r>
      <w:r w:rsidRPr="00E07570">
        <w:tab/>
        <w:t>Si les échantillons présentés à l</w:t>
      </w:r>
      <w:r w:rsidR="00145E4B">
        <w:t>’</w:t>
      </w:r>
      <w:r w:rsidRPr="00E07570">
        <w:t>homologation satisfont aux prescriptions du paragraphe </w:t>
      </w:r>
      <w:r w:rsidRPr="00E07570">
        <w:rPr>
          <w:b/>
        </w:rPr>
        <w:t>17</w:t>
      </w:r>
      <w:r w:rsidRPr="00E07570">
        <w:t xml:space="preserve"> du présent Règlement, le type d</w:t>
      </w:r>
      <w:r w:rsidR="00145E4B">
        <w:t>’</w:t>
      </w:r>
      <w:r w:rsidRPr="00E07570">
        <w:t>AECD considéré est homologué.</w:t>
      </w:r>
    </w:p>
    <w:p w:rsidR="00953834" w:rsidRPr="00E07570" w:rsidRDefault="00953834" w:rsidP="007D3356">
      <w:pPr>
        <w:pStyle w:val="SingleTxtG"/>
        <w:ind w:left="2268"/>
        <w:rPr>
          <w:b/>
        </w:rPr>
      </w:pPr>
      <w:r w:rsidRPr="00E07570">
        <w:rPr>
          <w:b/>
        </w:rPr>
        <w:tab/>
        <w:t>Si la demande d</w:t>
      </w:r>
      <w:r w:rsidR="00145E4B">
        <w:rPr>
          <w:b/>
        </w:rPr>
        <w:t>’</w:t>
      </w:r>
      <w:r w:rsidRPr="00E07570">
        <w:rPr>
          <w:b/>
        </w:rPr>
        <w:t>homologation d</w:t>
      </w:r>
      <w:r w:rsidR="00145E4B">
        <w:rPr>
          <w:b/>
        </w:rPr>
        <w:t>’</w:t>
      </w:r>
      <w:r w:rsidRPr="00E07570">
        <w:rPr>
          <w:b/>
        </w:rPr>
        <w:t>un type d</w:t>
      </w:r>
      <w:r w:rsidR="00145E4B">
        <w:rPr>
          <w:b/>
        </w:rPr>
        <w:t>’</w:t>
      </w:r>
      <w:r w:rsidRPr="00E07570">
        <w:rPr>
          <w:b/>
        </w:rPr>
        <w:t>AECD soumise conformément à la présente partie du Règlement renvoie à une ou plusieurs homologations d</w:t>
      </w:r>
      <w:r w:rsidR="00145E4B">
        <w:rPr>
          <w:b/>
        </w:rPr>
        <w:t>’</w:t>
      </w:r>
      <w:r w:rsidRPr="00E07570">
        <w:rPr>
          <w:b/>
        </w:rPr>
        <w:t>AECC obtenues conformément à la partie</w:t>
      </w:r>
      <w:r w:rsidR="00BD2930" w:rsidRPr="00E07570">
        <w:rPr>
          <w:b/>
        </w:rPr>
        <w:t> </w:t>
      </w:r>
      <w:proofErr w:type="spellStart"/>
      <w:r w:rsidRPr="00E07570">
        <w:rPr>
          <w:b/>
        </w:rPr>
        <w:t>Ia</w:t>
      </w:r>
      <w:proofErr w:type="spellEnd"/>
      <w:r w:rsidRPr="00E07570">
        <w:rPr>
          <w:b/>
        </w:rPr>
        <w:t>, le constructeur doit fournir un dossier renseignant sur la conception de base de l</w:t>
      </w:r>
      <w:r w:rsidR="00145E4B">
        <w:rPr>
          <w:b/>
        </w:rPr>
        <w:t>’</w:t>
      </w:r>
      <w:r w:rsidRPr="00E07570">
        <w:rPr>
          <w:b/>
        </w:rPr>
        <w:t>AECD et la façon dont il est prévu de l</w:t>
      </w:r>
      <w:r w:rsidR="00145E4B">
        <w:rPr>
          <w:b/>
        </w:rPr>
        <w:t>’</w:t>
      </w:r>
      <w:r w:rsidRPr="00E07570">
        <w:rPr>
          <w:b/>
        </w:rPr>
        <w:t>associer (par un numéro d</w:t>
      </w:r>
      <w:r w:rsidR="00145E4B">
        <w:rPr>
          <w:b/>
        </w:rPr>
        <w:t>’</w:t>
      </w:r>
      <w:r w:rsidRPr="00E07570">
        <w:rPr>
          <w:b/>
        </w:rPr>
        <w:t>identification, par exemple) à l</w:t>
      </w:r>
      <w:r w:rsidR="00145E4B">
        <w:rPr>
          <w:b/>
        </w:rPr>
        <w:t>’</w:t>
      </w:r>
      <w:r w:rsidRPr="00E07570">
        <w:rPr>
          <w:b/>
        </w:rPr>
        <w:t>AECC (ou aux AECC) de la partie</w:t>
      </w:r>
      <w:r w:rsidR="00BD2930" w:rsidRPr="00E07570">
        <w:rPr>
          <w:b/>
        </w:rPr>
        <w:t> </w:t>
      </w:r>
      <w:proofErr w:type="spellStart"/>
      <w:r w:rsidRPr="00E07570">
        <w:rPr>
          <w:b/>
        </w:rPr>
        <w:t>Ia</w:t>
      </w:r>
      <w:proofErr w:type="spellEnd"/>
      <w:r w:rsidRPr="00E07570">
        <w:rPr>
          <w:b/>
        </w:rPr>
        <w:t>.</w:t>
      </w:r>
    </w:p>
    <w:p w:rsidR="00953834" w:rsidRPr="00E07570" w:rsidRDefault="00953834" w:rsidP="00BD2930">
      <w:pPr>
        <w:pStyle w:val="SingleTxtG"/>
        <w:ind w:left="2268"/>
        <w:rPr>
          <w:b/>
        </w:rPr>
      </w:pPr>
      <w:r w:rsidRPr="00E07570">
        <w:rPr>
          <w:b/>
        </w:rPr>
        <w:tab/>
        <w:t>Le constructeur doit fournir un dossier renseignant sur la conception de base de l</w:t>
      </w:r>
      <w:r w:rsidR="00145E4B">
        <w:rPr>
          <w:b/>
        </w:rPr>
        <w:t>’</w:t>
      </w:r>
      <w:r w:rsidRPr="00E07570">
        <w:rPr>
          <w:b/>
        </w:rPr>
        <w:t>AECD et la façon dont il est prévu de l</w:t>
      </w:r>
      <w:r w:rsidR="00145E4B">
        <w:rPr>
          <w:b/>
        </w:rPr>
        <w:t>’</w:t>
      </w:r>
      <w:r w:rsidRPr="00E07570">
        <w:rPr>
          <w:b/>
        </w:rPr>
        <w:t>associer (par un numéro d</w:t>
      </w:r>
      <w:r w:rsidR="00145E4B">
        <w:rPr>
          <w:b/>
        </w:rPr>
        <w:t>’</w:t>
      </w:r>
      <w:r w:rsidRPr="00E07570">
        <w:rPr>
          <w:b/>
        </w:rPr>
        <w:t>identification, par exemple) à une installation ultérieure d</w:t>
      </w:r>
      <w:r w:rsidR="00145E4B">
        <w:rPr>
          <w:b/>
        </w:rPr>
        <w:t>’</w:t>
      </w:r>
      <w:r w:rsidRPr="00E07570">
        <w:rPr>
          <w:b/>
        </w:rPr>
        <w:t>AECD homologuée conformément à la partie</w:t>
      </w:r>
      <w:r w:rsidR="00BD2930" w:rsidRPr="00E07570">
        <w:rPr>
          <w:b/>
        </w:rPr>
        <w:t> </w:t>
      </w:r>
      <w:r w:rsidRPr="00E07570">
        <w:rPr>
          <w:b/>
        </w:rPr>
        <w:t>II.</w:t>
      </w:r>
    </w:p>
    <w:p w:rsidR="00953834" w:rsidRPr="00E07570" w:rsidRDefault="00953834" w:rsidP="00BD2930">
      <w:pPr>
        <w:pStyle w:val="SingleTxtG"/>
        <w:ind w:left="2268"/>
        <w:rPr>
          <w:b/>
        </w:rPr>
      </w:pPr>
      <w:r w:rsidRPr="00E07570">
        <w:rPr>
          <w:b/>
        </w:rPr>
        <w:tab/>
        <w:t>Si la demande d</w:t>
      </w:r>
      <w:r w:rsidR="00145E4B">
        <w:rPr>
          <w:b/>
        </w:rPr>
        <w:t>’</w:t>
      </w:r>
      <w:r w:rsidRPr="00E07570">
        <w:rPr>
          <w:b/>
        </w:rPr>
        <w:t>homologation d</w:t>
      </w:r>
      <w:r w:rsidR="00145E4B">
        <w:rPr>
          <w:b/>
        </w:rPr>
        <w:t>’</w:t>
      </w:r>
      <w:r w:rsidRPr="00E07570">
        <w:rPr>
          <w:b/>
        </w:rPr>
        <w:t>un type d</w:t>
      </w:r>
      <w:r w:rsidR="00145E4B">
        <w:rPr>
          <w:b/>
        </w:rPr>
        <w:t>’</w:t>
      </w:r>
      <w:r w:rsidRPr="00E07570">
        <w:rPr>
          <w:b/>
        </w:rPr>
        <w:t>AECD renvoie à une ou plusieurs homologations d</w:t>
      </w:r>
      <w:r w:rsidR="00145E4B">
        <w:rPr>
          <w:b/>
        </w:rPr>
        <w:t>’</w:t>
      </w:r>
      <w:r w:rsidRPr="00E07570">
        <w:rPr>
          <w:b/>
        </w:rPr>
        <w:t xml:space="preserve">AECC obtenues conformément à la partie </w:t>
      </w:r>
      <w:proofErr w:type="spellStart"/>
      <w:r w:rsidRPr="00E07570">
        <w:rPr>
          <w:b/>
        </w:rPr>
        <w:t>Ia</w:t>
      </w:r>
      <w:proofErr w:type="spellEnd"/>
      <w:r w:rsidRPr="00E07570">
        <w:rPr>
          <w:b/>
        </w:rPr>
        <w:t>, l</w:t>
      </w:r>
      <w:r w:rsidR="00145E4B">
        <w:rPr>
          <w:b/>
        </w:rPr>
        <w:t>’</w:t>
      </w:r>
      <w:r w:rsidRPr="00E07570">
        <w:rPr>
          <w:b/>
        </w:rPr>
        <w:t>autorité compétente doit se renseigner sur les prescriptions et les éléments d</w:t>
      </w:r>
      <w:r w:rsidR="00145E4B">
        <w:rPr>
          <w:b/>
        </w:rPr>
        <w:t>’</w:t>
      </w:r>
      <w:r w:rsidRPr="00E07570">
        <w:rPr>
          <w:b/>
        </w:rPr>
        <w:t>AECC déjà pris en compte dans l</w:t>
      </w:r>
      <w:r w:rsidR="00145E4B">
        <w:rPr>
          <w:b/>
        </w:rPr>
        <w:t>’</w:t>
      </w:r>
      <w:r w:rsidRPr="00E07570">
        <w:rPr>
          <w:b/>
        </w:rPr>
        <w:t>homologation (ou les homologations) d</w:t>
      </w:r>
      <w:r w:rsidR="00145E4B">
        <w:rPr>
          <w:b/>
        </w:rPr>
        <w:t>’</w:t>
      </w:r>
      <w:r w:rsidRPr="00E07570">
        <w:rPr>
          <w:b/>
        </w:rPr>
        <w:t>AECC, de façon à éviter de refaire les mêmes vérifications.</w:t>
      </w:r>
    </w:p>
    <w:p w:rsidR="00953834" w:rsidRPr="00E07570" w:rsidRDefault="00953834" w:rsidP="00BD2930">
      <w:pPr>
        <w:pStyle w:val="SingleTxtG"/>
        <w:ind w:left="2268" w:hanging="1134"/>
      </w:pPr>
      <w:r w:rsidRPr="00E07570">
        <w:rPr>
          <w:b/>
        </w:rPr>
        <w:t>16.2</w:t>
      </w:r>
      <w:r w:rsidRPr="00E07570">
        <w:tab/>
        <w:t>Chaque type homologué reçoit un numéro d</w:t>
      </w:r>
      <w:r w:rsidR="00145E4B">
        <w:t>’</w:t>
      </w:r>
      <w:r w:rsidRPr="00E07570">
        <w:t>homologation, dont les deux premiers chiffres (dans le cas présent 00) indiquent la série d</w:t>
      </w:r>
      <w:r w:rsidR="00145E4B">
        <w:t>’</w:t>
      </w:r>
      <w:r w:rsidRPr="00E07570">
        <w:t>amendements correspondant aux modifications techniques essentielles les plus récentes apportées au Règlement, à la date de délivrance de l</w:t>
      </w:r>
      <w:r w:rsidR="00145E4B">
        <w:t>’</w:t>
      </w:r>
      <w:r w:rsidRPr="00E07570">
        <w:t>homologation. La même Partie contractante ne peut pas att</w:t>
      </w:r>
      <w:r w:rsidR="00816872" w:rsidRPr="00E07570">
        <w:t>rib</w:t>
      </w:r>
      <w:r w:rsidRPr="00E07570">
        <w:t>uer ce même numéro à un autre type d</w:t>
      </w:r>
      <w:r w:rsidR="00145E4B">
        <w:t>’</w:t>
      </w:r>
      <w:r w:rsidRPr="00E07570">
        <w:t>AECD.</w:t>
      </w:r>
    </w:p>
    <w:p w:rsidR="00953834" w:rsidRPr="00E07570" w:rsidRDefault="00953834" w:rsidP="00BD2930">
      <w:pPr>
        <w:pStyle w:val="SingleTxtG"/>
        <w:ind w:left="2268" w:hanging="1134"/>
      </w:pPr>
      <w:r w:rsidRPr="00E07570">
        <w:rPr>
          <w:b/>
        </w:rPr>
        <w:t>16.3</w:t>
      </w:r>
      <w:r w:rsidRPr="00E07570">
        <w:tab/>
        <w:t>L</w:t>
      </w:r>
      <w:r w:rsidR="00145E4B">
        <w:t>’</w:t>
      </w:r>
      <w:r w:rsidRPr="00E07570">
        <w:t>homologation, le refus, l</w:t>
      </w:r>
      <w:r w:rsidR="00145E4B">
        <w:t>’</w:t>
      </w:r>
      <w:r w:rsidRPr="00E07570">
        <w:t>extension ou le retrait d</w:t>
      </w:r>
      <w:r w:rsidR="00145E4B">
        <w:t>’</w:t>
      </w:r>
      <w:r w:rsidRPr="00E07570">
        <w:t>homologation ou l</w:t>
      </w:r>
      <w:r w:rsidR="00145E4B">
        <w:t>’</w:t>
      </w:r>
      <w:r w:rsidRPr="00E07570">
        <w:t>arrêt définitif de la production d</w:t>
      </w:r>
      <w:r w:rsidR="00145E4B">
        <w:t>’</w:t>
      </w:r>
      <w:r w:rsidRPr="00E07570">
        <w:t>un type d</w:t>
      </w:r>
      <w:r w:rsidR="00145E4B">
        <w:t>’</w:t>
      </w:r>
      <w:r w:rsidRPr="00E07570">
        <w:t>AECD conformément au présent Règlement doivent être notifiés aux Parties à l</w:t>
      </w:r>
      <w:r w:rsidR="00145E4B">
        <w:t>’</w:t>
      </w:r>
      <w:r w:rsidRPr="00E07570">
        <w:t>Accord appliquant le présent Règlement, au moyen d</w:t>
      </w:r>
      <w:r w:rsidR="00145E4B">
        <w:t>’</w:t>
      </w:r>
      <w:r w:rsidRPr="00E07570">
        <w:t>une fiche conforme au modèle visé à l</w:t>
      </w:r>
      <w:r w:rsidR="00145E4B">
        <w:t>’</w:t>
      </w:r>
      <w:r w:rsidRPr="00E07570">
        <w:t>annexe </w:t>
      </w:r>
      <w:r w:rsidRPr="00E07570">
        <w:rPr>
          <w:b/>
        </w:rPr>
        <w:t>2</w:t>
      </w:r>
      <w:r w:rsidRPr="00E07570">
        <w:t xml:space="preserve"> du présent Règlement.</w:t>
      </w:r>
    </w:p>
    <w:p w:rsidR="00953834" w:rsidRPr="00E07570" w:rsidRDefault="00953834" w:rsidP="00BD2930">
      <w:pPr>
        <w:pStyle w:val="SingleTxtG"/>
        <w:ind w:left="2268" w:hanging="1134"/>
      </w:pPr>
      <w:r w:rsidRPr="00E07570">
        <w:rPr>
          <w:b/>
        </w:rPr>
        <w:t>16.4</w:t>
      </w:r>
      <w:r w:rsidRPr="00E07570">
        <w:tab/>
        <w:t>Sur tout AECD conforme à un type homologué en application du présent Règlement, il doit être apposé de manière vi</w:t>
      </w:r>
      <w:r w:rsidR="00816872" w:rsidRPr="00E07570">
        <w:t>sib</w:t>
      </w:r>
      <w:r w:rsidRPr="00E07570">
        <w:t>le, à l</w:t>
      </w:r>
      <w:r w:rsidR="00145E4B">
        <w:t>’</w:t>
      </w:r>
      <w:r w:rsidRPr="00E07570">
        <w:t>endroit indiqué au paragraphe </w:t>
      </w:r>
      <w:r w:rsidRPr="00E07570">
        <w:rPr>
          <w:b/>
        </w:rPr>
        <w:t>15.2</w:t>
      </w:r>
      <w:r w:rsidRPr="00E07570">
        <w:t xml:space="preserve"> ci-dessus, outre la marque prescrite au paragraphe </w:t>
      </w:r>
      <w:r w:rsidRPr="00E07570">
        <w:rPr>
          <w:b/>
        </w:rPr>
        <w:t>15.1</w:t>
      </w:r>
      <w:r w:rsidRPr="00E07570">
        <w:t>, une marque d</w:t>
      </w:r>
      <w:r w:rsidR="00145E4B">
        <w:t>’</w:t>
      </w:r>
      <w:r w:rsidRPr="00E07570">
        <w:t>homologation internationale, conforme au modèle de l</w:t>
      </w:r>
      <w:r w:rsidR="00145E4B">
        <w:t>’</w:t>
      </w:r>
      <w:r w:rsidRPr="00E07570">
        <w:t>annexe </w:t>
      </w:r>
      <w:r w:rsidRPr="00E07570">
        <w:rPr>
          <w:b/>
        </w:rPr>
        <w:t>2</w:t>
      </w:r>
      <w:r w:rsidRPr="00E07570">
        <w:t>, composée :</w:t>
      </w:r>
    </w:p>
    <w:p w:rsidR="00953834" w:rsidRPr="00E07570" w:rsidRDefault="00953834" w:rsidP="00BD2930">
      <w:pPr>
        <w:pStyle w:val="SingleTxtG"/>
        <w:ind w:left="2268" w:hanging="1134"/>
      </w:pPr>
      <w:r w:rsidRPr="00E07570">
        <w:rPr>
          <w:b/>
        </w:rPr>
        <w:t>16.4.1</w:t>
      </w:r>
      <w:r w:rsidRPr="00E07570">
        <w:tab/>
        <w:t>D</w:t>
      </w:r>
      <w:r w:rsidR="00145E4B">
        <w:t>’</w:t>
      </w:r>
      <w:r w:rsidRPr="00E07570">
        <w:t>un cercle à l</w:t>
      </w:r>
      <w:r w:rsidR="00145E4B">
        <w:t>’</w:t>
      </w:r>
      <w:r w:rsidRPr="00E07570">
        <w:t>intérieur duquel est placée la lettre « E » suivie du numéro distinctif du pays qui a délivré l</w:t>
      </w:r>
      <w:r w:rsidR="00145E4B">
        <w:t>’</w:t>
      </w:r>
      <w:r w:rsidRPr="00E07570">
        <w:t>homologation ;</w:t>
      </w:r>
    </w:p>
    <w:p w:rsidR="00953834" w:rsidRPr="00E07570" w:rsidRDefault="00953834" w:rsidP="00BD2930">
      <w:pPr>
        <w:pStyle w:val="SingleTxtG"/>
        <w:ind w:left="2268" w:hanging="1134"/>
      </w:pPr>
      <w:r w:rsidRPr="00E07570">
        <w:rPr>
          <w:b/>
        </w:rPr>
        <w:t>16.4.2</w:t>
      </w:r>
      <w:r w:rsidRPr="00E07570">
        <w:tab/>
        <w:t>Du numéro du présent Règlement, suivi de la lettre « R », d</w:t>
      </w:r>
      <w:r w:rsidR="00145E4B">
        <w:t>’</w:t>
      </w:r>
      <w:r w:rsidRPr="00E07570">
        <w:t>un tiret et du numéro d</w:t>
      </w:r>
      <w:r w:rsidR="00145E4B">
        <w:t>’</w:t>
      </w:r>
      <w:r w:rsidRPr="00E07570">
        <w:t xml:space="preserve">homologation, placé à droite du cercle prévu au paragraphe </w:t>
      </w:r>
      <w:r w:rsidRPr="00E07570">
        <w:rPr>
          <w:b/>
        </w:rPr>
        <w:t>16.4.1</w:t>
      </w:r>
      <w:r w:rsidRPr="00E07570">
        <w:t>.</w:t>
      </w:r>
    </w:p>
    <w:p w:rsidR="00953834" w:rsidRPr="00E07570" w:rsidRDefault="00953834" w:rsidP="00BD2930">
      <w:pPr>
        <w:pStyle w:val="SingleTxtG"/>
        <w:ind w:left="2268" w:hanging="1134"/>
      </w:pPr>
      <w:r w:rsidRPr="00E07570">
        <w:rPr>
          <w:b/>
        </w:rPr>
        <w:t>16.5</w:t>
      </w:r>
      <w:r w:rsidRPr="00E07570">
        <w:tab/>
      </w:r>
      <w:r w:rsidRPr="00E07570">
        <w:tab/>
        <w:t>La marque d</w:t>
      </w:r>
      <w:r w:rsidR="00145E4B">
        <w:t>’</w:t>
      </w:r>
      <w:r w:rsidRPr="00E07570">
        <w:t>homologation doit être nettement li</w:t>
      </w:r>
      <w:r w:rsidR="00816872" w:rsidRPr="00E07570">
        <w:t>sib</w:t>
      </w:r>
      <w:r w:rsidRPr="00E07570">
        <w:t>le et indélébile.</w:t>
      </w:r>
    </w:p>
    <w:p w:rsidR="00953834" w:rsidRPr="00E07570" w:rsidRDefault="00953834" w:rsidP="00D818F4">
      <w:pPr>
        <w:pStyle w:val="HChG"/>
        <w:ind w:left="2268"/>
      </w:pPr>
      <w:r w:rsidRPr="00E07570">
        <w:t>17.</w:t>
      </w:r>
      <w:r w:rsidRPr="00E07570">
        <w:tab/>
        <w:t>Prescriptions</w:t>
      </w:r>
    </w:p>
    <w:p w:rsidR="00953834" w:rsidRPr="00E07570" w:rsidRDefault="00953834" w:rsidP="00BD2930">
      <w:pPr>
        <w:pStyle w:val="SingleTxtG"/>
        <w:ind w:left="2268" w:hanging="1134"/>
      </w:pPr>
      <w:r w:rsidRPr="00E07570">
        <w:rPr>
          <w:b/>
        </w:rPr>
        <w:t>17.1</w:t>
      </w:r>
      <w:r w:rsidRPr="00E07570">
        <w:tab/>
        <w:t>Généralités</w:t>
      </w:r>
    </w:p>
    <w:p w:rsidR="00953834" w:rsidRPr="00E07570" w:rsidRDefault="00953834" w:rsidP="00BD2930">
      <w:pPr>
        <w:pStyle w:val="SingleTxtG"/>
        <w:ind w:left="2268"/>
      </w:pPr>
      <w:r w:rsidRPr="00E07570">
        <w:t>Dès réception du signal de déclenchement, l</w:t>
      </w:r>
      <w:r w:rsidR="00145E4B">
        <w:t>’</w:t>
      </w:r>
      <w:r w:rsidRPr="00E07570">
        <w:t>AECD doit envoyer des données et établir une liaison vocale avec le PSAP.</w:t>
      </w:r>
    </w:p>
    <w:p w:rsidR="00953834" w:rsidRPr="00E07570" w:rsidRDefault="00953834" w:rsidP="00BD2930">
      <w:pPr>
        <w:pStyle w:val="SingleTxtG"/>
        <w:ind w:left="2268"/>
      </w:pPr>
      <w:r w:rsidRPr="00E07570">
        <w:t>Si la transmission de données échoue, l</w:t>
      </w:r>
      <w:r w:rsidR="00145E4B">
        <w:t>’</w:t>
      </w:r>
      <w:r w:rsidRPr="00E07570">
        <w:t>AECD doit essayer à nouveau d</w:t>
      </w:r>
      <w:r w:rsidR="00145E4B">
        <w:t>’</w:t>
      </w:r>
      <w:r w:rsidRPr="00E07570">
        <w:t>envoyer les données.</w:t>
      </w:r>
    </w:p>
    <w:p w:rsidR="00953834" w:rsidRPr="00E07570" w:rsidRDefault="00953834" w:rsidP="00BD2930">
      <w:pPr>
        <w:pStyle w:val="SingleTxtG"/>
        <w:ind w:left="2268"/>
      </w:pPr>
      <w:r w:rsidRPr="00E07570">
        <w:t>Si l</w:t>
      </w:r>
      <w:r w:rsidR="00145E4B">
        <w:t>’</w:t>
      </w:r>
      <w:r w:rsidRPr="00E07570">
        <w:t>AECD réussit à envoyer des données et perd ensuite la liaison vocale, il doit s</w:t>
      </w:r>
      <w:r w:rsidR="00145E4B">
        <w:t>’</w:t>
      </w:r>
      <w:r w:rsidRPr="00E07570">
        <w:t>efforcer de rétablir cette liaison.</w:t>
      </w:r>
    </w:p>
    <w:p w:rsidR="00953834" w:rsidRPr="00E07570" w:rsidRDefault="00953834" w:rsidP="00E6493D">
      <w:pPr>
        <w:pStyle w:val="SingleTxtG"/>
        <w:ind w:left="2268"/>
      </w:pPr>
      <w:r w:rsidRPr="00E07570">
        <w:t>Si l</w:t>
      </w:r>
      <w:r w:rsidR="00145E4B">
        <w:t>’</w:t>
      </w:r>
      <w:r w:rsidRPr="00E07570">
        <w:t>AECD ne peut établir de liaison vocale et/ou envoyer des données sur le réseau mobile terrestre public, il doit stocker les données dans une mémoire non volatile et s</w:t>
      </w:r>
      <w:r w:rsidR="00145E4B">
        <w:t>’</w:t>
      </w:r>
      <w:r w:rsidRPr="00E07570">
        <w:t>efforcer de retransmettre les données et d</w:t>
      </w:r>
      <w:r w:rsidR="00145E4B">
        <w:t>’</w:t>
      </w:r>
      <w:r w:rsidRPr="00E07570">
        <w:t>établir une liaison vocale.</w:t>
      </w:r>
    </w:p>
    <w:p w:rsidR="00953834" w:rsidRPr="00E07570" w:rsidRDefault="00953834" w:rsidP="00E6493D">
      <w:pPr>
        <w:pStyle w:val="SingleTxtG"/>
        <w:ind w:left="2268" w:hanging="1134"/>
      </w:pPr>
      <w:r w:rsidRPr="00E07570">
        <w:rPr>
          <w:b/>
        </w:rPr>
        <w:t>17.2</w:t>
      </w:r>
      <w:r w:rsidRPr="00E07570">
        <w:tab/>
        <w:t>L</w:t>
      </w:r>
      <w:r w:rsidR="00145E4B">
        <w:t>’</w:t>
      </w:r>
      <w:r w:rsidRPr="00E07570">
        <w:t>efficacité de l</w:t>
      </w:r>
      <w:r w:rsidR="00145E4B">
        <w:t>’</w:t>
      </w:r>
      <w:r w:rsidRPr="00E07570">
        <w:t>AECD ne doit pas être perturbée par des champs magnétiques ou électriques. Il doit notamment être conforme aux prescriptions techniques et aux dispositions transitoires du Règlement n</w:t>
      </w:r>
      <w:r w:rsidRPr="00E07570">
        <w:rPr>
          <w:vertAlign w:val="superscript"/>
        </w:rPr>
        <w:t>o</w:t>
      </w:r>
      <w:r w:rsidRPr="00E07570">
        <w:t> 10, série 04 d</w:t>
      </w:r>
      <w:r w:rsidR="00145E4B">
        <w:t>’</w:t>
      </w:r>
      <w:r w:rsidRPr="00E07570">
        <w:t>amendements ou à toute autre série ultérieure d</w:t>
      </w:r>
      <w:r w:rsidR="00145E4B">
        <w:t>’</w:t>
      </w:r>
      <w:r w:rsidRPr="00E07570">
        <w:t>amendements.</w:t>
      </w:r>
    </w:p>
    <w:p w:rsidR="00953834" w:rsidRPr="00E07570" w:rsidRDefault="00953834" w:rsidP="00E6493D">
      <w:pPr>
        <w:pStyle w:val="SingleTxtG"/>
        <w:ind w:left="2268" w:hanging="1134"/>
      </w:pPr>
      <w:r w:rsidRPr="00E07570">
        <w:rPr>
          <w:b/>
        </w:rPr>
        <w:t>17.3</w:t>
      </w:r>
      <w:r w:rsidRPr="00E07570">
        <w:tab/>
        <w:t>Détermination de la position</w:t>
      </w:r>
    </w:p>
    <w:p w:rsidR="00953834" w:rsidRPr="00E07570" w:rsidRDefault="00953834" w:rsidP="00E6493D">
      <w:pPr>
        <w:pStyle w:val="SingleTxtG"/>
        <w:ind w:left="2268"/>
      </w:pPr>
      <w:r w:rsidRPr="00E07570">
        <w:t>Si l</w:t>
      </w:r>
      <w:r w:rsidR="00145E4B">
        <w:t>’</w:t>
      </w:r>
      <w:r w:rsidRPr="00E07570">
        <w:t>AECD est équipé, conformément au paragraphe 1.4, d</w:t>
      </w:r>
      <w:r w:rsidR="00145E4B">
        <w:t>’</w:t>
      </w:r>
      <w:r w:rsidRPr="00E07570">
        <w:t>un récepteur GNSS qui capte les signaux d</w:t>
      </w:r>
      <w:r w:rsidR="00145E4B">
        <w:t>’</w:t>
      </w:r>
      <w:r w:rsidRPr="00E07570">
        <w:t xml:space="preserve">au moins trois systèmes de navigation (GLONASS, </w:t>
      </w:r>
      <w:r w:rsidR="002B669D" w:rsidRPr="00E07570">
        <w:t>Galileo</w:t>
      </w:r>
      <w:r w:rsidRPr="00E07570">
        <w:t xml:space="preserve"> et GPS), et qu</w:t>
      </w:r>
      <w:r w:rsidR="00145E4B">
        <w:t>’</w:t>
      </w:r>
      <w:r w:rsidRPr="00E07570">
        <w:t>il est capable de recevoir et de traiter des signaux SBAS, il doit satisfaire aux prescriptions des paragraphes </w:t>
      </w:r>
      <w:r w:rsidRPr="00E07570">
        <w:rPr>
          <w:b/>
        </w:rPr>
        <w:t>17.3.1</w:t>
      </w:r>
      <w:r w:rsidRPr="00E07570">
        <w:t xml:space="preserve"> à </w:t>
      </w:r>
      <w:r w:rsidRPr="00E07570">
        <w:rPr>
          <w:b/>
        </w:rPr>
        <w:t>17.3.11</w:t>
      </w:r>
      <w:r w:rsidRPr="00E07570">
        <w:t>.</w:t>
      </w:r>
    </w:p>
    <w:p w:rsidR="00953834" w:rsidRPr="00E07570" w:rsidRDefault="00953834" w:rsidP="00E6493D">
      <w:pPr>
        <w:pStyle w:val="SingleTxtG"/>
        <w:ind w:left="2268"/>
      </w:pPr>
      <w:r w:rsidRPr="00E07570">
        <w:t>La capacité de positionnement de l</w:t>
      </w:r>
      <w:r w:rsidR="00145E4B">
        <w:t>’</w:t>
      </w:r>
      <w:r w:rsidRPr="00E07570">
        <w:t>AECD peut être démontrée au moyen des méthodes d</w:t>
      </w:r>
      <w:r w:rsidR="00145E4B">
        <w:t>’</w:t>
      </w:r>
      <w:r w:rsidRPr="00E07570">
        <w:t>essai décrites à l</w:t>
      </w:r>
      <w:r w:rsidR="00145E4B">
        <w:t>’</w:t>
      </w:r>
      <w:r w:rsidRPr="00E07570">
        <w:t>annexe </w:t>
      </w:r>
      <w:r w:rsidRPr="00E07570">
        <w:rPr>
          <w:b/>
        </w:rPr>
        <w:t>10</w:t>
      </w:r>
      <w:r w:rsidRPr="00E07570">
        <w:t xml:space="preserve"> (Méthodes d</w:t>
      </w:r>
      <w:r w:rsidR="00145E4B">
        <w:t>’</w:t>
      </w:r>
      <w:r w:rsidRPr="00E07570">
        <w:t>essai pour les solutions de navigation). L</w:t>
      </w:r>
      <w:r w:rsidR="00145E4B">
        <w:t>’</w:t>
      </w:r>
      <w:r w:rsidRPr="00E07570">
        <w:t>information correspondante doit figurer dans le document de communication visé à l</w:t>
      </w:r>
      <w:r w:rsidR="00145E4B">
        <w:t>’</w:t>
      </w:r>
      <w:r w:rsidRPr="00E07570">
        <w:t>annexe </w:t>
      </w:r>
      <w:r w:rsidRPr="00E07570">
        <w:rPr>
          <w:b/>
        </w:rPr>
        <w:t>2</w:t>
      </w:r>
      <w:r w:rsidRPr="00E07570">
        <w:t>, point 11.</w:t>
      </w:r>
    </w:p>
    <w:p w:rsidR="00953834" w:rsidRPr="00E07570" w:rsidRDefault="00953834" w:rsidP="00E6493D">
      <w:pPr>
        <w:pStyle w:val="SingleTxtG"/>
        <w:ind w:left="2268" w:hanging="1134"/>
      </w:pPr>
      <w:r w:rsidRPr="00E07570">
        <w:rPr>
          <w:b/>
        </w:rPr>
        <w:t>17.3.1</w:t>
      </w:r>
      <w:r w:rsidRPr="00E07570">
        <w:tab/>
        <w:t>Le récepteur GNSS doit être capable de produire la solution de navigation dans un format conforme au protocole</w:t>
      </w:r>
      <w:r w:rsidR="003B0BA2" w:rsidRPr="00E07570">
        <w:t> </w:t>
      </w:r>
      <w:r w:rsidRPr="00E07570">
        <w:t>NMEA-0183 (messages RMC, GGA, VTG, GSA ou GSV). La configuration de l</w:t>
      </w:r>
      <w:r w:rsidR="00145E4B">
        <w:t>’</w:t>
      </w:r>
      <w:r w:rsidRPr="00E07570">
        <w:t>AECD pour la production de messages NMEA-0183 doit être décrite dans le mode d</w:t>
      </w:r>
      <w:r w:rsidR="00145E4B">
        <w:t>’</w:t>
      </w:r>
      <w:r w:rsidRPr="00E07570">
        <w:t>emploi.</w:t>
      </w:r>
    </w:p>
    <w:p w:rsidR="00953834" w:rsidRPr="00E07570" w:rsidRDefault="00953834" w:rsidP="00E6493D">
      <w:pPr>
        <w:pStyle w:val="SingleTxtG"/>
        <w:ind w:left="2268" w:hanging="1134"/>
      </w:pPr>
      <w:r w:rsidRPr="00E07570">
        <w:rPr>
          <w:b/>
        </w:rPr>
        <w:t>17.3.2</w:t>
      </w:r>
      <w:r w:rsidRPr="00E07570">
        <w:tab/>
        <w:t>Le récepteur GNSS faisant partie de l</w:t>
      </w:r>
      <w:r w:rsidR="00145E4B">
        <w:t>’</w:t>
      </w:r>
      <w:r w:rsidRPr="00E07570">
        <w:t>AECD doit être capable de recevoir et de traiter des signaux GNSS dans la bande L1/E1 provenant d</w:t>
      </w:r>
      <w:r w:rsidR="00145E4B">
        <w:t>’</w:t>
      </w:r>
      <w:r w:rsidRPr="00E07570">
        <w:t xml:space="preserve">au moins trois systèmes mondiaux de navigation par satellite, par exemple GLONASS, </w:t>
      </w:r>
      <w:r w:rsidR="002B669D" w:rsidRPr="00E07570">
        <w:t>Galileo</w:t>
      </w:r>
      <w:r w:rsidRPr="00E07570">
        <w:t xml:space="preserve"> et GPS.</w:t>
      </w:r>
    </w:p>
    <w:p w:rsidR="00953834" w:rsidRPr="00E07570" w:rsidRDefault="00953834" w:rsidP="00E6493D">
      <w:pPr>
        <w:pStyle w:val="SingleTxtG"/>
        <w:ind w:left="2268" w:hanging="1134"/>
      </w:pPr>
      <w:r w:rsidRPr="00E07570">
        <w:rPr>
          <w:b/>
        </w:rPr>
        <w:t>17.3.3</w:t>
      </w:r>
      <w:r w:rsidRPr="00E07570">
        <w:tab/>
        <w:t>Le récepteur GNSS faisant partie de l</w:t>
      </w:r>
      <w:r w:rsidR="00145E4B">
        <w:t>’</w:t>
      </w:r>
      <w:r w:rsidRPr="00E07570">
        <w:t>AECD doit être capable de recevoir et de traiter des signaux GNSS combinés dans la bande L1/E1 provenant d</w:t>
      </w:r>
      <w:r w:rsidR="00145E4B">
        <w:t>’</w:t>
      </w:r>
      <w:r w:rsidRPr="00E07570">
        <w:t xml:space="preserve">au moins trois systèmes mondiaux de navigation par satellite, parmi lesquels GLONASS, </w:t>
      </w:r>
      <w:r w:rsidR="002B669D" w:rsidRPr="00E07570">
        <w:t>Galileo</w:t>
      </w:r>
      <w:r w:rsidRPr="00E07570">
        <w:t>, GPS et SBAS.</w:t>
      </w:r>
    </w:p>
    <w:p w:rsidR="00953834" w:rsidRPr="00E07570" w:rsidRDefault="00953834" w:rsidP="00E6493D">
      <w:pPr>
        <w:pStyle w:val="SingleTxtG"/>
        <w:ind w:left="2268" w:hanging="1134"/>
      </w:pPr>
      <w:r w:rsidRPr="00E07570">
        <w:rPr>
          <w:b/>
        </w:rPr>
        <w:t>17.3.4</w:t>
      </w:r>
      <w:r w:rsidRPr="00E07570">
        <w:tab/>
        <w:t>Le récepteur GNSS faisant partie de l</w:t>
      </w:r>
      <w:r w:rsidR="00145E4B">
        <w:t>’</w:t>
      </w:r>
      <w:r w:rsidRPr="00E07570">
        <w:t>AECD doit être capable de fournir des renseignements concernant la position du véhicule dans le système de coordonnées WGS-84.</w:t>
      </w:r>
    </w:p>
    <w:p w:rsidR="00953834" w:rsidRPr="00E07570" w:rsidRDefault="00953834" w:rsidP="00E6493D">
      <w:pPr>
        <w:pStyle w:val="SingleTxtG"/>
        <w:ind w:left="2268" w:hanging="1134"/>
      </w:pPr>
      <w:r w:rsidRPr="00E07570">
        <w:rPr>
          <w:b/>
        </w:rPr>
        <w:t>17.3.5</w:t>
      </w:r>
      <w:r w:rsidRPr="00E07570">
        <w:tab/>
        <w:t>Le récepteur GNSS doit être capable de se positionner au moins une fois par seconde.</w:t>
      </w:r>
    </w:p>
    <w:p w:rsidR="00953834" w:rsidRPr="00E07570" w:rsidRDefault="00953834" w:rsidP="00E6493D">
      <w:pPr>
        <w:pStyle w:val="SingleTxtG"/>
        <w:ind w:left="2268" w:hanging="1134"/>
      </w:pPr>
      <w:r w:rsidRPr="00E07570">
        <w:rPr>
          <w:b/>
        </w:rPr>
        <w:t>17.3.6</w:t>
      </w:r>
      <w:r w:rsidRPr="00E07570">
        <w:tab/>
        <w:t>L</w:t>
      </w:r>
      <w:r w:rsidR="00145E4B">
        <w:t>’</w:t>
      </w:r>
      <w:r w:rsidRPr="00E07570">
        <w:t>erreur de position dans le sens horizontal ne doit pas dépasser :</w:t>
      </w:r>
    </w:p>
    <w:p w:rsidR="00953834" w:rsidRPr="00E07570" w:rsidRDefault="00953834" w:rsidP="00C356AD">
      <w:pPr>
        <w:pStyle w:val="SingleTxtG"/>
        <w:ind w:left="2835" w:hanging="567"/>
      </w:pPr>
      <w:r w:rsidRPr="00E07570">
        <w:t>a)</w:t>
      </w:r>
      <w:r w:rsidRPr="00E07570">
        <w:tab/>
        <w:t>En mode « ciel ouvert », 15 m avec un taux de fiabilité de 0,95 et un PDOP compris entre 2 et 2,5 ;</w:t>
      </w:r>
    </w:p>
    <w:p w:rsidR="00953834" w:rsidRPr="00E07570" w:rsidRDefault="00953834" w:rsidP="0082478A">
      <w:pPr>
        <w:pStyle w:val="SingleTxtG"/>
        <w:ind w:left="2835" w:hanging="567"/>
      </w:pPr>
      <w:r w:rsidRPr="00E07570">
        <w:t>b)</w:t>
      </w:r>
      <w:r w:rsidRPr="00E07570">
        <w:tab/>
        <w:t>En mode « canyon urbain », 40 m avec un taux de fiabilité de 0,95 et un PDOP compris entre 3,5 et 4.</w:t>
      </w:r>
    </w:p>
    <w:p w:rsidR="00953834" w:rsidRPr="00E07570" w:rsidRDefault="00953834" w:rsidP="00E6493D">
      <w:pPr>
        <w:pStyle w:val="SingleTxtG"/>
        <w:ind w:left="2268" w:hanging="1134"/>
      </w:pPr>
      <w:r w:rsidRPr="00E07570">
        <w:rPr>
          <w:b/>
        </w:rPr>
        <w:t>17.3.7</w:t>
      </w:r>
      <w:r w:rsidRPr="00E07570">
        <w:tab/>
        <w:t>Les prescriptions de précision doivent être fournies :</w:t>
      </w:r>
    </w:p>
    <w:p w:rsidR="00953834" w:rsidRPr="00E07570" w:rsidRDefault="00953834" w:rsidP="0082478A">
      <w:pPr>
        <w:pStyle w:val="SingleTxtG"/>
        <w:ind w:left="2835" w:hanging="567"/>
      </w:pPr>
      <w:r w:rsidRPr="00E07570">
        <w:t>a)</w:t>
      </w:r>
      <w:r w:rsidRPr="00E07570">
        <w:tab/>
        <w:t>Pour une vitesse comprise entre 0 et 140 km/h ; et</w:t>
      </w:r>
    </w:p>
    <w:p w:rsidR="00953834" w:rsidRPr="00E07570" w:rsidRDefault="00953834" w:rsidP="0082478A">
      <w:pPr>
        <w:pStyle w:val="SingleTxtG"/>
        <w:ind w:left="2835" w:hanging="567"/>
      </w:pPr>
      <w:r w:rsidRPr="00E07570">
        <w:t>b)</w:t>
      </w:r>
      <w:r w:rsidRPr="00E07570">
        <w:tab/>
        <w:t>Pour une accélération linéaire comprise entre 0 et 2 g.</w:t>
      </w:r>
    </w:p>
    <w:p w:rsidR="00953834" w:rsidRPr="00E07570" w:rsidRDefault="00953834" w:rsidP="00E6493D">
      <w:pPr>
        <w:pStyle w:val="SingleTxtG"/>
        <w:ind w:left="2268" w:hanging="1134"/>
      </w:pPr>
      <w:r w:rsidRPr="00E07570">
        <w:rPr>
          <w:b/>
        </w:rPr>
        <w:t>17.3.8</w:t>
      </w:r>
      <w:r w:rsidRPr="00E07570">
        <w:tab/>
        <w:t>Le délai de premier positionnement à froid ne doit pas dépasser :</w:t>
      </w:r>
    </w:p>
    <w:p w:rsidR="00953834" w:rsidRPr="00E07570" w:rsidRDefault="00953834" w:rsidP="0082478A">
      <w:pPr>
        <w:pStyle w:val="SingleTxtG"/>
        <w:ind w:left="2835" w:hanging="567"/>
      </w:pPr>
      <w:r w:rsidRPr="00E07570">
        <w:t>a)</w:t>
      </w:r>
      <w:r w:rsidRPr="00E07570">
        <w:tab/>
        <w:t>60 s pour un niveau de signal pouvant aller jusqu</w:t>
      </w:r>
      <w:r w:rsidR="00145E4B">
        <w:t>’</w:t>
      </w:r>
      <w:r w:rsidRPr="00E07570">
        <w:t xml:space="preserve">à </w:t>
      </w:r>
      <w:r w:rsidR="00477EEF">
        <w:t>-</w:t>
      </w:r>
      <w:r w:rsidRPr="00E07570">
        <w:t>130 dBm ;</w:t>
      </w:r>
    </w:p>
    <w:p w:rsidR="00953834" w:rsidRPr="00E07570" w:rsidRDefault="00953834" w:rsidP="0082478A">
      <w:pPr>
        <w:pStyle w:val="SingleTxtG"/>
        <w:ind w:left="2835" w:hanging="567"/>
      </w:pPr>
      <w:r w:rsidRPr="00E07570">
        <w:t>b)</w:t>
      </w:r>
      <w:r w:rsidRPr="00E07570">
        <w:tab/>
        <w:t>300 s pour un niveau de signal pouvant aller jusqu</w:t>
      </w:r>
      <w:r w:rsidR="00145E4B">
        <w:t>’</w:t>
      </w:r>
      <w:r w:rsidRPr="00E07570">
        <w:t xml:space="preserve">à </w:t>
      </w:r>
      <w:r w:rsidR="00477EEF">
        <w:t>-</w:t>
      </w:r>
      <w:r w:rsidRPr="00E07570">
        <w:t>140 dBm.</w:t>
      </w:r>
    </w:p>
    <w:p w:rsidR="00953834" w:rsidRPr="00E07570" w:rsidRDefault="00953834" w:rsidP="00E6493D">
      <w:pPr>
        <w:pStyle w:val="SingleTxtG"/>
        <w:ind w:left="2268" w:hanging="1134"/>
      </w:pPr>
      <w:r w:rsidRPr="00E07570">
        <w:rPr>
          <w:b/>
        </w:rPr>
        <w:t>17.3.9</w:t>
      </w:r>
      <w:r w:rsidRPr="00E07570">
        <w:tab/>
        <w:t>Le délai de rétablissement d</w:t>
      </w:r>
      <w:r w:rsidR="00145E4B">
        <w:t>’</w:t>
      </w:r>
      <w:r w:rsidRPr="00E07570">
        <w:t xml:space="preserve">un signal GNSS après un blocage de 60 s à un niveau de signal pouvant aller </w:t>
      </w:r>
      <w:proofErr w:type="gramStart"/>
      <w:r w:rsidRPr="00E07570">
        <w:t>jusqu</w:t>
      </w:r>
      <w:r w:rsidR="00145E4B">
        <w:t>’</w:t>
      </w:r>
      <w:r w:rsidRPr="00E07570">
        <w:t>à</w:t>
      </w:r>
      <w:proofErr w:type="gramEnd"/>
      <w:r w:rsidRPr="00E07570">
        <w:t xml:space="preserve"> </w:t>
      </w:r>
      <w:r w:rsidR="00477EEF">
        <w:t>-</w:t>
      </w:r>
      <w:r w:rsidRPr="00E07570">
        <w:t xml:space="preserve">130 dBm ne doit pas dépasser 20 s après récupération de la </w:t>
      </w:r>
      <w:r w:rsidR="00305F8B" w:rsidRPr="00E07570">
        <w:t>visibilité</w:t>
      </w:r>
      <w:r w:rsidR="009F5B82" w:rsidRPr="00E07570">
        <w:t xml:space="preserve"> </w:t>
      </w:r>
      <w:r w:rsidRPr="00E07570">
        <w:t>du satellite de navigation.</w:t>
      </w:r>
    </w:p>
    <w:p w:rsidR="00953834" w:rsidRPr="00E07570" w:rsidRDefault="00953834" w:rsidP="00E6493D">
      <w:pPr>
        <w:pStyle w:val="SingleTxtG"/>
        <w:ind w:left="2268" w:hanging="1134"/>
      </w:pPr>
      <w:r w:rsidRPr="00E07570">
        <w:rPr>
          <w:b/>
        </w:rPr>
        <w:t>17.3.10</w:t>
      </w:r>
      <w:r w:rsidRPr="00E07570">
        <w:tab/>
      </w:r>
      <w:r w:rsidR="00305F8B" w:rsidRPr="00E07570">
        <w:t>Sensibilité</w:t>
      </w:r>
      <w:r w:rsidR="00FB78C7" w:rsidRPr="00E07570">
        <w:t xml:space="preserve"> </w:t>
      </w:r>
      <w:r w:rsidRPr="00E07570">
        <w:t>à l</w:t>
      </w:r>
      <w:r w:rsidR="00145E4B">
        <w:t>’</w:t>
      </w:r>
      <w:r w:rsidRPr="00E07570">
        <w:t>entrée du récepteur :</w:t>
      </w:r>
    </w:p>
    <w:p w:rsidR="00953834" w:rsidRPr="00E07570" w:rsidRDefault="00953834" w:rsidP="000F2A08">
      <w:pPr>
        <w:pStyle w:val="SingleTxtG"/>
        <w:ind w:left="2835" w:hanging="567"/>
      </w:pPr>
      <w:r w:rsidRPr="00E07570">
        <w:t>a)</w:t>
      </w:r>
      <w:r w:rsidRPr="00E07570">
        <w:tab/>
        <w:t>La détection des signaux GNSS (départ à froid) ne doit pas dépasser 3 600 s à un niveau de signal, en entrée d</w:t>
      </w:r>
      <w:r w:rsidR="00145E4B">
        <w:t>’</w:t>
      </w:r>
      <w:r w:rsidRPr="00E07570">
        <w:t xml:space="preserve">antenne, de </w:t>
      </w:r>
      <w:r w:rsidR="003A5076" w:rsidRPr="00E07570">
        <w:t>-</w:t>
      </w:r>
      <w:r w:rsidRPr="00E07570">
        <w:t>144 dBm ;</w:t>
      </w:r>
    </w:p>
    <w:p w:rsidR="00953834" w:rsidRPr="00E07570" w:rsidRDefault="00953834" w:rsidP="000F2A08">
      <w:pPr>
        <w:pStyle w:val="SingleTxtG"/>
        <w:ind w:left="2835" w:hanging="567"/>
      </w:pPr>
      <w:r w:rsidRPr="00E07570">
        <w:t>b)</w:t>
      </w:r>
      <w:r w:rsidRPr="00E07570">
        <w:tab/>
        <w:t>La poursuite des signaux GNSS et le calcul de la solution de navigation sont dispo</w:t>
      </w:r>
      <w:r w:rsidR="003A5076" w:rsidRPr="00E07570">
        <w:t>nibl</w:t>
      </w:r>
      <w:r w:rsidRPr="00E07570">
        <w:t>es pendant au moins 600 s à un niveau de signal, en entrée d</w:t>
      </w:r>
      <w:r w:rsidR="00145E4B">
        <w:t>’</w:t>
      </w:r>
      <w:r w:rsidRPr="00E07570">
        <w:t xml:space="preserve">antenne, de </w:t>
      </w:r>
      <w:r w:rsidR="00DA623A" w:rsidRPr="00E07570">
        <w:t>-</w:t>
      </w:r>
      <w:r w:rsidRPr="00E07570">
        <w:t>155 dBm ;</w:t>
      </w:r>
    </w:p>
    <w:p w:rsidR="00953834" w:rsidRPr="00E07570" w:rsidRDefault="00953834" w:rsidP="000F2A08">
      <w:pPr>
        <w:pStyle w:val="SingleTxtG"/>
        <w:ind w:left="2835" w:hanging="567"/>
      </w:pPr>
      <w:r w:rsidRPr="00E07570">
        <w:t>c)</w:t>
      </w:r>
      <w:r w:rsidRPr="00E07570">
        <w:tab/>
        <w:t>Le rétablissement des signaux GNSS et le calcul de la solution de navigation sont pos</w:t>
      </w:r>
      <w:r w:rsidR="00DA623A" w:rsidRPr="00E07570">
        <w:t>sibl</w:t>
      </w:r>
      <w:r w:rsidRPr="00E07570">
        <w:t>es en 60 s maximum, à un niveau de signal, en entrée d</w:t>
      </w:r>
      <w:r w:rsidR="00145E4B">
        <w:t>’</w:t>
      </w:r>
      <w:r w:rsidRPr="00E07570">
        <w:t xml:space="preserve">antenne, de </w:t>
      </w:r>
      <w:r w:rsidR="00DA623A" w:rsidRPr="00E07570">
        <w:t>-</w:t>
      </w:r>
      <w:r w:rsidRPr="00E07570">
        <w:t>150 dBm.</w:t>
      </w:r>
    </w:p>
    <w:p w:rsidR="00953834" w:rsidRPr="00E07570" w:rsidRDefault="00953834" w:rsidP="00E6493D">
      <w:pPr>
        <w:pStyle w:val="SingleTxtG"/>
        <w:ind w:left="2268" w:hanging="1134"/>
      </w:pPr>
      <w:r w:rsidRPr="00E07570">
        <w:rPr>
          <w:b/>
        </w:rPr>
        <w:t>17.3.11</w:t>
      </w:r>
      <w:r w:rsidRPr="00E07570">
        <w:tab/>
        <w:t>Les procédures d</w:t>
      </w:r>
      <w:r w:rsidR="00145E4B">
        <w:t>’</w:t>
      </w:r>
      <w:r w:rsidRPr="00E07570">
        <w:t>essai prévues à l</w:t>
      </w:r>
      <w:r w:rsidR="00145E4B">
        <w:t>’</w:t>
      </w:r>
      <w:r w:rsidRPr="00E07570">
        <w:t>annexe </w:t>
      </w:r>
      <w:r w:rsidRPr="00E07570">
        <w:rPr>
          <w:b/>
        </w:rPr>
        <w:t>10</w:t>
      </w:r>
      <w:r w:rsidRPr="00E07570">
        <w:t xml:space="preserve"> peuvent être effectuées soit sur le dispositif AECD, avec pos</w:t>
      </w:r>
      <w:r w:rsidR="00DA623A" w:rsidRPr="00E07570">
        <w:t>sibi</w:t>
      </w:r>
      <w:r w:rsidRPr="00E07570">
        <w:t>lité d</w:t>
      </w:r>
      <w:r w:rsidR="00145E4B">
        <w:t>’</w:t>
      </w:r>
      <w:r w:rsidRPr="00E07570">
        <w:t>évaluer la capacité de traitement aval, soit directement sur le récepteur GNSS faisant partie de l</w:t>
      </w:r>
      <w:r w:rsidR="00145E4B">
        <w:t>’</w:t>
      </w:r>
      <w:r w:rsidRPr="00E07570">
        <w:t>AECD.</w:t>
      </w:r>
    </w:p>
    <w:p w:rsidR="00953834" w:rsidRPr="00E07570" w:rsidRDefault="00953834" w:rsidP="00E6493D">
      <w:pPr>
        <w:pStyle w:val="SingleTxtG"/>
        <w:ind w:left="2268" w:hanging="1134"/>
      </w:pPr>
      <w:r w:rsidRPr="00E07570">
        <w:rPr>
          <w:b/>
        </w:rPr>
        <w:t>17.4</w:t>
      </w:r>
      <w:r w:rsidRPr="00E07570">
        <w:tab/>
        <w:t>Moyens d</w:t>
      </w:r>
      <w:r w:rsidR="00145E4B">
        <w:t>’</w:t>
      </w:r>
      <w:r w:rsidRPr="00E07570">
        <w:t>accès au PLMN</w:t>
      </w:r>
    </w:p>
    <w:p w:rsidR="00953834" w:rsidRPr="00E07570" w:rsidRDefault="00953834" w:rsidP="000F2A08">
      <w:pPr>
        <w:pStyle w:val="SingleTxtG"/>
        <w:ind w:left="2268"/>
      </w:pPr>
      <w:r w:rsidRPr="00E07570">
        <w:t>L</w:t>
      </w:r>
      <w:r w:rsidR="00145E4B">
        <w:t>’</w:t>
      </w:r>
      <w:r w:rsidRPr="00E07570">
        <w:t>AECD doit être équipé d</w:t>
      </w:r>
      <w:r w:rsidR="00145E4B">
        <w:t>’</w:t>
      </w:r>
      <w:r w:rsidRPr="00E07570">
        <w:t>un matériel intégré permettant l</w:t>
      </w:r>
      <w:r w:rsidR="00145E4B">
        <w:t>’</w:t>
      </w:r>
      <w:r w:rsidRPr="00E07570">
        <w:t>enregistrement et/ou l</w:t>
      </w:r>
      <w:r w:rsidR="00145E4B">
        <w:t>’</w:t>
      </w:r>
      <w:r w:rsidRPr="00E07570">
        <w:t>authentification du PLMN ainsi que l</w:t>
      </w:r>
      <w:r w:rsidR="00145E4B">
        <w:t>’</w:t>
      </w:r>
      <w:r w:rsidRPr="00E07570">
        <w:t>accès à celui-ci.</w:t>
      </w:r>
    </w:p>
    <w:p w:rsidR="00953834" w:rsidRPr="00E07570" w:rsidRDefault="00953834" w:rsidP="00E6493D">
      <w:pPr>
        <w:pStyle w:val="SingleTxtG"/>
        <w:ind w:left="2268" w:hanging="1134"/>
      </w:pPr>
      <w:r w:rsidRPr="00E07570">
        <w:rPr>
          <w:b/>
        </w:rPr>
        <w:t>17.5</w:t>
      </w:r>
      <w:r w:rsidRPr="00E07570">
        <w:tab/>
        <w:t>Signaux d</w:t>
      </w:r>
      <w:r w:rsidR="00145E4B">
        <w:t>’</w:t>
      </w:r>
      <w:r w:rsidRPr="00E07570">
        <w:t>information et d</w:t>
      </w:r>
      <w:r w:rsidR="00145E4B">
        <w:t>’</w:t>
      </w:r>
      <w:r w:rsidRPr="00E07570">
        <w:t>avertissement</w:t>
      </w:r>
    </w:p>
    <w:p w:rsidR="00953834" w:rsidRPr="00E07570" w:rsidRDefault="00953834" w:rsidP="000F2A08">
      <w:pPr>
        <w:pStyle w:val="SingleTxtG"/>
        <w:ind w:left="2268"/>
      </w:pPr>
      <w:r w:rsidRPr="00E07570">
        <w:t>Si le demandeur de l</w:t>
      </w:r>
      <w:r w:rsidR="00145E4B">
        <w:t>’</w:t>
      </w:r>
      <w:r w:rsidRPr="00E07570">
        <w:t>homologation le demande, la vérification des signaux d</w:t>
      </w:r>
      <w:r w:rsidR="00145E4B">
        <w:t>’</w:t>
      </w:r>
      <w:r w:rsidRPr="00E07570">
        <w:t>information et d</w:t>
      </w:r>
      <w:r w:rsidR="00145E4B">
        <w:t>’</w:t>
      </w:r>
      <w:r w:rsidRPr="00E07570">
        <w:t>avertissement peut faire partie de la procédure d</w:t>
      </w:r>
      <w:r w:rsidR="00145E4B">
        <w:t>’</w:t>
      </w:r>
      <w:r w:rsidRPr="00E07570">
        <w:t>homologation de type d</w:t>
      </w:r>
      <w:r w:rsidR="00145E4B">
        <w:t>’</w:t>
      </w:r>
      <w:r w:rsidRPr="00E07570">
        <w:t>un AECD. Dans ce cas, les dispositions des paragraphes </w:t>
      </w:r>
      <w:r w:rsidRPr="00E07570">
        <w:rPr>
          <w:b/>
        </w:rPr>
        <w:t>17.5.1</w:t>
      </w:r>
      <w:r w:rsidRPr="00E07570">
        <w:t xml:space="preserve"> à </w:t>
      </w:r>
      <w:r w:rsidRPr="00E07570">
        <w:rPr>
          <w:b/>
        </w:rPr>
        <w:t>17.5.3</w:t>
      </w:r>
      <w:r w:rsidRPr="00E07570">
        <w:t xml:space="preserve"> s</w:t>
      </w:r>
      <w:r w:rsidR="00145E4B">
        <w:t>’</w:t>
      </w:r>
      <w:r w:rsidRPr="00E07570">
        <w:t>appliquent. Cette information doit figurer dans le document de communication de l</w:t>
      </w:r>
      <w:r w:rsidR="00145E4B">
        <w:t>’</w:t>
      </w:r>
      <w:r w:rsidRPr="00E07570">
        <w:t>annexe </w:t>
      </w:r>
      <w:r w:rsidRPr="00E07570">
        <w:rPr>
          <w:b/>
        </w:rPr>
        <w:t>2</w:t>
      </w:r>
      <w:r w:rsidRPr="00E07570">
        <w:t>, point 12. Si la vérification des signaux d</w:t>
      </w:r>
      <w:r w:rsidR="00145E4B">
        <w:t>’</w:t>
      </w:r>
      <w:r w:rsidRPr="00E07570">
        <w:t>information et d</w:t>
      </w:r>
      <w:r w:rsidR="00145E4B">
        <w:t>’</w:t>
      </w:r>
      <w:r w:rsidRPr="00E07570">
        <w:t>avertissement ne fait pas partie de la procédure d</w:t>
      </w:r>
      <w:r w:rsidR="00145E4B">
        <w:t>’</w:t>
      </w:r>
      <w:r w:rsidRPr="00E07570">
        <w:t>homologation d</w:t>
      </w:r>
      <w:r w:rsidR="00145E4B">
        <w:t>’</w:t>
      </w:r>
      <w:r w:rsidRPr="00E07570">
        <w:t>un AECD en application de la partie </w:t>
      </w:r>
      <w:proofErr w:type="spellStart"/>
      <w:r w:rsidR="00A22689" w:rsidRPr="00E07570">
        <w:rPr>
          <w:b/>
        </w:rPr>
        <w:t>Ib</w:t>
      </w:r>
      <w:proofErr w:type="spellEnd"/>
      <w:r w:rsidRPr="00E07570">
        <w:t>, elle doit faire partie de la procédure d</w:t>
      </w:r>
      <w:r w:rsidR="00145E4B">
        <w:t>’</w:t>
      </w:r>
      <w:r w:rsidRPr="00E07570">
        <w:t>homologation en application de la partie II.</w:t>
      </w:r>
    </w:p>
    <w:p w:rsidR="00953834" w:rsidRPr="00E07570" w:rsidRDefault="00953834" w:rsidP="00E6493D">
      <w:pPr>
        <w:pStyle w:val="SingleTxtG"/>
        <w:ind w:left="2268" w:hanging="1134"/>
      </w:pPr>
      <w:r w:rsidRPr="00E07570">
        <w:rPr>
          <w:b/>
        </w:rPr>
        <w:t>17.5.1</w:t>
      </w:r>
      <w:r w:rsidRPr="00E07570">
        <w:tab/>
        <w:t>Les informations ci-dessous doivent être communiquées à propos du statut de la procédure d</w:t>
      </w:r>
      <w:r w:rsidR="00145E4B">
        <w:t>’</w:t>
      </w:r>
      <w:r w:rsidRPr="00E07570">
        <w:t>appel d</w:t>
      </w:r>
      <w:r w:rsidR="00145E4B">
        <w:t>’</w:t>
      </w:r>
      <w:r w:rsidRPr="00E07570">
        <w:t>urgence lorsque l</w:t>
      </w:r>
      <w:r w:rsidR="00145E4B">
        <w:t>’</w:t>
      </w:r>
      <w:r w:rsidRPr="00E07570">
        <w:t>AECD est déclenché de façon manuelle ou automatique :</w:t>
      </w:r>
    </w:p>
    <w:p w:rsidR="00953834" w:rsidRPr="00E07570" w:rsidRDefault="00953834" w:rsidP="000F2A08">
      <w:pPr>
        <w:pStyle w:val="SingleTxtG"/>
        <w:ind w:left="2835" w:hanging="567"/>
      </w:pPr>
      <w:r w:rsidRPr="00E07570">
        <w:t>a)</w:t>
      </w:r>
      <w:r w:rsidRPr="00E07570">
        <w:tab/>
        <w:t>Le système est activé (déclenchement de l</w:t>
      </w:r>
      <w:r w:rsidR="00145E4B">
        <w:t>’</w:t>
      </w:r>
      <w:r w:rsidRPr="00E07570">
        <w:t>appel d</w:t>
      </w:r>
      <w:r w:rsidR="00145E4B">
        <w:t>’</w:t>
      </w:r>
      <w:r w:rsidRPr="00E07570">
        <w:t>urgence, établissement de la connexion ou transmission des données en cours ou achevée) ;</w:t>
      </w:r>
    </w:p>
    <w:p w:rsidR="00953834" w:rsidRPr="00E07570" w:rsidRDefault="00953834" w:rsidP="000F2A08">
      <w:pPr>
        <w:pStyle w:val="SingleTxtG"/>
        <w:ind w:left="2835" w:hanging="567"/>
      </w:pPr>
      <w:r w:rsidRPr="00E07570">
        <w:t>b)</w:t>
      </w:r>
      <w:r w:rsidRPr="00E07570">
        <w:tab/>
        <w:t>Échec de la transmission (échec de la connexion ou échec de la transmission de données).</w:t>
      </w:r>
    </w:p>
    <w:p w:rsidR="00953834" w:rsidRPr="00E07570" w:rsidRDefault="00953834" w:rsidP="00E6493D">
      <w:pPr>
        <w:pStyle w:val="SingleTxtG"/>
        <w:ind w:left="2268" w:hanging="1134"/>
      </w:pPr>
      <w:r w:rsidRPr="00E07570">
        <w:rPr>
          <w:b/>
        </w:rPr>
        <w:t>17.5.2</w:t>
      </w:r>
      <w:r w:rsidRPr="00E07570">
        <w:tab/>
        <w:t>Un signal d</w:t>
      </w:r>
      <w:r w:rsidR="00145E4B">
        <w:t>’</w:t>
      </w:r>
      <w:r w:rsidRPr="00E07570">
        <w:t>avertissement doit être émis en cas de défaillance interne de l</w:t>
      </w:r>
      <w:r w:rsidR="00145E4B">
        <w:t>’</w:t>
      </w:r>
      <w:r w:rsidRPr="00E07570">
        <w:t>AECD ; ce signal doit être affiché aussi longtemps que dure la défaillance. Il peut être effacé temporairement, mais il doit se rallumer chaque fois que l</w:t>
      </w:r>
      <w:r w:rsidR="00145E4B">
        <w:t>’</w:t>
      </w:r>
      <w:r w:rsidRPr="00E07570">
        <w:t>allumage du véhicule ou le coupe-circuit principal sont activés (selon le cas).</w:t>
      </w:r>
    </w:p>
    <w:p w:rsidR="00953834" w:rsidRPr="00E07570" w:rsidRDefault="00953834" w:rsidP="00E6493D">
      <w:pPr>
        <w:pStyle w:val="SingleTxtG"/>
        <w:ind w:left="2268" w:hanging="1134"/>
      </w:pPr>
      <w:r w:rsidRPr="00E07570">
        <w:rPr>
          <w:b/>
        </w:rPr>
        <w:t>17.5.2.1</w:t>
      </w:r>
      <w:r w:rsidRPr="00E07570">
        <w:tab/>
        <w:t>Le constructeur doit fournir à l</w:t>
      </w:r>
      <w:r w:rsidR="00145E4B">
        <w:t>’</w:t>
      </w:r>
      <w:r w:rsidRPr="00E07570">
        <w:t>autorité d</w:t>
      </w:r>
      <w:r w:rsidR="00145E4B">
        <w:t>’</w:t>
      </w:r>
      <w:r w:rsidRPr="00E07570">
        <w:t>homologation une documentation technique pour lui expliquer, dans des termes généraux, comment sont signalées les défaillances. Cette documentation doit être mise à jour par le constructeur et doit pouvoir être consultée par le service technique au moment de l</w:t>
      </w:r>
      <w:r w:rsidR="00145E4B">
        <w:t>’</w:t>
      </w:r>
      <w:r w:rsidRPr="00E07570">
        <w:t>homologation de type.</w:t>
      </w:r>
    </w:p>
    <w:p w:rsidR="00483D8B" w:rsidRPr="00E07570" w:rsidRDefault="00953834" w:rsidP="00331A8A">
      <w:pPr>
        <w:pStyle w:val="SingleTxtG"/>
        <w:ind w:left="2268"/>
      </w:pPr>
      <w:r w:rsidRPr="00E07570">
        <w:t>La documentation ci-dessus doit porter au moins sur les points suivants :</w:t>
      </w:r>
    </w:p>
    <w:p w:rsidR="00331A8A" w:rsidRPr="00E07570" w:rsidRDefault="00483D8B" w:rsidP="00483D8B">
      <w:pPr>
        <w:pStyle w:val="Heading1"/>
        <w:spacing w:after="120"/>
      </w:pPr>
      <w:r w:rsidRPr="00E07570">
        <w:br w:type="page"/>
      </w:r>
      <w:r w:rsidR="00331A8A" w:rsidRPr="00E07570">
        <w:t xml:space="preserve">Tableau </w:t>
      </w:r>
      <w:r w:rsidR="00331A8A" w:rsidRPr="00E07570">
        <w:rPr>
          <w:b/>
        </w:rPr>
        <w:t>2</w:t>
      </w:r>
      <w:r w:rsidR="00331A8A" w:rsidRPr="00E07570">
        <w:br/>
      </w:r>
      <w:r w:rsidR="00331A8A" w:rsidRPr="00E07570">
        <w:rPr>
          <w:b/>
        </w:rPr>
        <w:t>Modèle d</w:t>
      </w:r>
      <w:r w:rsidR="00145E4B">
        <w:rPr>
          <w:b/>
        </w:rPr>
        <w:t>’</w:t>
      </w:r>
      <w:r w:rsidR="00331A8A" w:rsidRPr="00E07570">
        <w:rPr>
          <w:b/>
        </w:rPr>
        <w:t>information de la fonction d</w:t>
      </w:r>
      <w:r w:rsidR="00145E4B">
        <w:rPr>
          <w:b/>
        </w:rPr>
        <w:t>’</w:t>
      </w:r>
      <w:r w:rsidR="00331A8A" w:rsidRPr="00E07570">
        <w:rPr>
          <w:b/>
        </w:rPr>
        <w:t>autotest</w:t>
      </w:r>
    </w:p>
    <w:tbl>
      <w:tblPr>
        <w:tblW w:w="7371" w:type="dxa"/>
        <w:tblInd w:w="1134" w:type="dxa"/>
        <w:tblLayout w:type="fixed"/>
        <w:tblCellMar>
          <w:left w:w="29" w:type="dxa"/>
          <w:right w:w="29" w:type="dxa"/>
        </w:tblCellMar>
        <w:tblLook w:val="04A0" w:firstRow="1" w:lastRow="0" w:firstColumn="1" w:lastColumn="0" w:noHBand="0" w:noVBand="1"/>
      </w:tblPr>
      <w:tblGrid>
        <w:gridCol w:w="1808"/>
        <w:gridCol w:w="2365"/>
        <w:gridCol w:w="3198"/>
      </w:tblGrid>
      <w:tr w:rsidR="00483D8B" w:rsidRPr="00E07570" w:rsidTr="008F4EFF">
        <w:trPr>
          <w:tblHeader/>
        </w:trPr>
        <w:tc>
          <w:tcPr>
            <w:tcW w:w="417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83D8B" w:rsidRPr="00E07570" w:rsidRDefault="00483D8B" w:rsidP="008F4EFF">
            <w:pPr>
              <w:spacing w:before="80" w:after="80" w:line="200" w:lineRule="exact"/>
              <w:jc w:val="center"/>
              <w:rPr>
                <w:i/>
                <w:sz w:val="16"/>
                <w:szCs w:val="16"/>
                <w:lang w:eastAsia="en-GB"/>
              </w:rPr>
            </w:pPr>
            <w:r w:rsidRPr="00E07570">
              <w:rPr>
                <w:i/>
                <w:sz w:val="16"/>
                <w:szCs w:val="16"/>
                <w:lang w:eastAsia="en-GB"/>
              </w:rPr>
              <w:t>Point</w:t>
            </w:r>
          </w:p>
        </w:tc>
        <w:tc>
          <w:tcPr>
            <w:tcW w:w="3198" w:type="dxa"/>
            <w:vMerge w:val="restart"/>
            <w:tcBorders>
              <w:top w:val="single" w:sz="4" w:space="0" w:color="auto"/>
              <w:left w:val="single" w:sz="4" w:space="0" w:color="auto"/>
              <w:bottom w:val="single" w:sz="12" w:space="0" w:color="auto"/>
              <w:right w:val="single" w:sz="4" w:space="0" w:color="auto"/>
            </w:tcBorders>
            <w:shd w:val="clear" w:color="auto" w:fill="FFFFFF"/>
            <w:vAlign w:val="center"/>
            <w:hideMark/>
          </w:tcPr>
          <w:p w:rsidR="00483D8B" w:rsidRPr="00E07570" w:rsidRDefault="00483D8B" w:rsidP="008F4EFF">
            <w:pPr>
              <w:spacing w:before="80" w:after="80" w:line="200" w:lineRule="exact"/>
              <w:jc w:val="center"/>
              <w:rPr>
                <w:bCs/>
                <w:i/>
                <w:sz w:val="16"/>
                <w:szCs w:val="16"/>
                <w:lang w:eastAsia="en-GB"/>
              </w:rPr>
            </w:pPr>
            <w:r w:rsidRPr="00E07570">
              <w:rPr>
                <w:bCs/>
                <w:i/>
                <w:sz w:val="16"/>
                <w:szCs w:val="16"/>
                <w:lang w:eastAsia="en-GB"/>
              </w:rPr>
              <w:t>Note</w:t>
            </w:r>
          </w:p>
        </w:tc>
      </w:tr>
      <w:tr w:rsidR="00483D8B" w:rsidRPr="00E07570" w:rsidTr="008F4EFF">
        <w:trPr>
          <w:trHeight w:val="341"/>
          <w:tblHeader/>
        </w:trPr>
        <w:tc>
          <w:tcPr>
            <w:tcW w:w="1808" w:type="dxa"/>
            <w:tcBorders>
              <w:top w:val="single" w:sz="4" w:space="0" w:color="auto"/>
              <w:left w:val="single" w:sz="4" w:space="0" w:color="auto"/>
              <w:bottom w:val="single" w:sz="12" w:space="0" w:color="auto"/>
              <w:right w:val="single" w:sz="4" w:space="0" w:color="auto"/>
            </w:tcBorders>
            <w:shd w:val="clear" w:color="auto" w:fill="FFFFFF"/>
            <w:noWrap/>
            <w:vAlign w:val="center"/>
            <w:hideMark/>
          </w:tcPr>
          <w:p w:rsidR="00483D8B" w:rsidRPr="00E07570" w:rsidRDefault="00483D8B" w:rsidP="008F4EFF">
            <w:pPr>
              <w:spacing w:before="80" w:after="80" w:line="200" w:lineRule="exact"/>
              <w:jc w:val="center"/>
              <w:rPr>
                <w:i/>
                <w:sz w:val="16"/>
                <w:szCs w:val="16"/>
                <w:lang w:eastAsia="en-GB"/>
              </w:rPr>
            </w:pPr>
            <w:r w:rsidRPr="00E07570">
              <w:rPr>
                <w:i/>
                <w:sz w:val="16"/>
                <w:szCs w:val="16"/>
                <w:lang w:eastAsia="en-GB"/>
              </w:rPr>
              <w:t>Élément</w:t>
            </w:r>
          </w:p>
        </w:tc>
        <w:tc>
          <w:tcPr>
            <w:tcW w:w="2365" w:type="dxa"/>
            <w:tcBorders>
              <w:top w:val="single" w:sz="4" w:space="0" w:color="auto"/>
              <w:left w:val="nil"/>
              <w:bottom w:val="single" w:sz="12" w:space="0" w:color="auto"/>
              <w:right w:val="single" w:sz="4" w:space="0" w:color="auto"/>
            </w:tcBorders>
            <w:shd w:val="clear" w:color="auto" w:fill="FFFFFF"/>
            <w:vAlign w:val="center"/>
            <w:hideMark/>
          </w:tcPr>
          <w:p w:rsidR="00483D8B" w:rsidRPr="00E07570" w:rsidRDefault="00483D8B" w:rsidP="008F4EFF">
            <w:pPr>
              <w:spacing w:before="80" w:after="80" w:line="200" w:lineRule="exact"/>
              <w:jc w:val="center"/>
              <w:rPr>
                <w:i/>
                <w:sz w:val="16"/>
                <w:szCs w:val="16"/>
                <w:lang w:eastAsia="en-GB"/>
              </w:rPr>
            </w:pPr>
            <w:r w:rsidRPr="00E07570">
              <w:rPr>
                <w:i/>
                <w:sz w:val="16"/>
                <w:szCs w:val="16"/>
                <w:lang w:eastAsia="en-GB"/>
              </w:rPr>
              <w:t>Type de défaillance</w:t>
            </w:r>
          </w:p>
        </w:tc>
        <w:tc>
          <w:tcPr>
            <w:tcW w:w="3198" w:type="dxa"/>
            <w:vMerge/>
            <w:tcBorders>
              <w:top w:val="single" w:sz="4" w:space="0" w:color="auto"/>
              <w:left w:val="single" w:sz="4" w:space="0" w:color="auto"/>
              <w:bottom w:val="single" w:sz="12" w:space="0" w:color="auto"/>
              <w:right w:val="single" w:sz="4" w:space="0" w:color="auto"/>
            </w:tcBorders>
            <w:vAlign w:val="center"/>
            <w:hideMark/>
          </w:tcPr>
          <w:p w:rsidR="00483D8B" w:rsidRPr="00E07570" w:rsidRDefault="00483D8B" w:rsidP="008F4EFF">
            <w:pPr>
              <w:spacing w:line="240" w:lineRule="auto"/>
              <w:rPr>
                <w:bCs/>
                <w:i/>
                <w:sz w:val="16"/>
                <w:szCs w:val="16"/>
                <w:lang w:eastAsia="en-GB"/>
              </w:rPr>
            </w:pPr>
          </w:p>
        </w:tc>
      </w:tr>
      <w:tr w:rsidR="00483D8B" w:rsidRPr="00E07570" w:rsidTr="00483D8B">
        <w:trPr>
          <w:trHeight w:val="20"/>
        </w:trPr>
        <w:tc>
          <w:tcPr>
            <w:tcW w:w="1808"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483D8B" w:rsidRPr="00E07570" w:rsidRDefault="00483D8B" w:rsidP="00483D8B">
            <w:pPr>
              <w:spacing w:before="60" w:after="60"/>
              <w:ind w:left="57" w:right="57"/>
              <w:rPr>
                <w:lang w:eastAsia="en-GB"/>
              </w:rPr>
            </w:pPr>
            <w:r w:rsidRPr="00E07570">
              <w:rPr>
                <w:iCs/>
              </w:rPr>
              <w:t xml:space="preserve">Module </w:t>
            </w:r>
            <w:r w:rsidRPr="00E07570">
              <w:rPr>
                <w:iCs/>
              </w:rPr>
              <w:br/>
              <w:t xml:space="preserve">de commande </w:t>
            </w:r>
            <w:r w:rsidRPr="00E07570">
              <w:rPr>
                <w:iCs/>
              </w:rPr>
              <w:br/>
              <w:t>de l</w:t>
            </w:r>
            <w:r w:rsidR="00145E4B">
              <w:rPr>
                <w:iCs/>
              </w:rPr>
              <w:t>’</w:t>
            </w:r>
            <w:r w:rsidRPr="00E07570">
              <w:rPr>
                <w:iCs/>
              </w:rPr>
              <w:t>AECD</w:t>
            </w:r>
          </w:p>
        </w:tc>
        <w:tc>
          <w:tcPr>
            <w:tcW w:w="2365" w:type="dxa"/>
            <w:tcBorders>
              <w:top w:val="single" w:sz="12" w:space="0" w:color="auto"/>
              <w:left w:val="nil"/>
              <w:bottom w:val="single" w:sz="4" w:space="0" w:color="auto"/>
              <w:right w:val="single" w:sz="4" w:space="0" w:color="auto"/>
            </w:tcBorders>
            <w:shd w:val="clear" w:color="auto" w:fill="auto"/>
            <w:vAlign w:val="center"/>
            <w:hideMark/>
          </w:tcPr>
          <w:p w:rsidR="00483D8B" w:rsidRPr="00E07570" w:rsidRDefault="00483D8B" w:rsidP="00483D8B">
            <w:pPr>
              <w:spacing w:before="60" w:after="60"/>
              <w:ind w:left="57" w:right="57"/>
              <w:rPr>
                <w:lang w:eastAsia="en-GB"/>
              </w:rPr>
            </w:pPr>
            <w:r w:rsidRPr="00E07570">
              <w:rPr>
                <w:lang w:eastAsia="en-GB"/>
              </w:rPr>
              <w:t>Défaillance interne</w:t>
            </w:r>
          </w:p>
        </w:tc>
        <w:tc>
          <w:tcPr>
            <w:tcW w:w="3198" w:type="dxa"/>
            <w:tcBorders>
              <w:top w:val="single" w:sz="12" w:space="0" w:color="auto"/>
              <w:left w:val="nil"/>
              <w:bottom w:val="single" w:sz="4" w:space="0" w:color="auto"/>
              <w:right w:val="single" w:sz="4" w:space="0" w:color="auto"/>
            </w:tcBorders>
            <w:shd w:val="clear" w:color="auto" w:fill="auto"/>
            <w:vAlign w:val="center"/>
            <w:hideMark/>
          </w:tcPr>
          <w:p w:rsidR="00483D8B" w:rsidRPr="00E07570" w:rsidRDefault="00483D8B" w:rsidP="00483D8B">
            <w:pPr>
              <w:spacing w:before="60" w:after="60"/>
              <w:ind w:left="57" w:right="57"/>
              <w:rPr>
                <w:lang w:eastAsia="en-GB"/>
              </w:rPr>
            </w:pPr>
            <w:r w:rsidRPr="00E07570">
              <w:rPr>
                <w:lang w:eastAsia="en-GB"/>
              </w:rPr>
              <w:t>Par exemple défaillance du matériel, chien de garde, checksum, ou encore intégrité de l</w:t>
            </w:r>
            <w:r w:rsidR="00145E4B">
              <w:rPr>
                <w:lang w:eastAsia="en-GB"/>
              </w:rPr>
              <w:t>’</w:t>
            </w:r>
            <w:r w:rsidRPr="00E07570">
              <w:rPr>
                <w:lang w:eastAsia="en-GB"/>
              </w:rPr>
              <w:t>image du logiciel.</w:t>
            </w:r>
          </w:p>
        </w:tc>
      </w:tr>
      <w:tr w:rsidR="00483D8B" w:rsidRPr="00E07570" w:rsidTr="00483D8B">
        <w:trPr>
          <w:trHeight w:val="20"/>
        </w:trPr>
        <w:tc>
          <w:tcPr>
            <w:tcW w:w="1808" w:type="dxa"/>
            <w:vMerge w:val="restart"/>
            <w:tcBorders>
              <w:top w:val="nil"/>
              <w:left w:val="single" w:sz="4" w:space="0" w:color="auto"/>
              <w:right w:val="single" w:sz="4" w:space="0" w:color="auto"/>
            </w:tcBorders>
            <w:shd w:val="clear" w:color="auto" w:fill="auto"/>
            <w:noWrap/>
            <w:vAlign w:val="center"/>
            <w:hideMark/>
          </w:tcPr>
          <w:p w:rsidR="00483D8B" w:rsidRPr="00E07570" w:rsidRDefault="00483D8B" w:rsidP="00483D8B">
            <w:pPr>
              <w:spacing w:before="60" w:after="60"/>
              <w:ind w:left="57" w:right="57"/>
              <w:rPr>
                <w:lang w:eastAsia="en-GB"/>
              </w:rPr>
            </w:pPr>
            <w:r w:rsidRPr="00E07570">
              <w:rPr>
                <w:lang w:eastAsia="en-GB"/>
              </w:rPr>
              <w:t xml:space="preserve">Dispositif </w:t>
            </w:r>
            <w:r w:rsidRPr="00E07570">
              <w:rPr>
                <w:lang w:eastAsia="en-GB"/>
              </w:rPr>
              <w:br/>
              <w:t xml:space="preserve">de communication </w:t>
            </w:r>
            <w:r w:rsidRPr="00E07570">
              <w:rPr>
                <w:lang w:eastAsia="en-GB"/>
              </w:rPr>
              <w:br/>
              <w:t>du PLMN</w:t>
            </w:r>
          </w:p>
        </w:tc>
        <w:tc>
          <w:tcPr>
            <w:tcW w:w="2365" w:type="dxa"/>
            <w:tcBorders>
              <w:top w:val="nil"/>
              <w:left w:val="nil"/>
              <w:bottom w:val="single" w:sz="4" w:space="0" w:color="auto"/>
              <w:right w:val="single" w:sz="4" w:space="0" w:color="auto"/>
            </w:tcBorders>
            <w:shd w:val="clear" w:color="auto" w:fill="auto"/>
            <w:vAlign w:val="center"/>
            <w:hideMark/>
          </w:tcPr>
          <w:p w:rsidR="00483D8B" w:rsidRPr="00E07570" w:rsidRDefault="00483D8B" w:rsidP="00483D8B">
            <w:pPr>
              <w:spacing w:before="60" w:after="60"/>
              <w:ind w:left="57" w:right="57"/>
              <w:rPr>
                <w:lang w:eastAsia="en-GB"/>
              </w:rPr>
            </w:pPr>
            <w:r w:rsidRPr="00E07570">
              <w:rPr>
                <w:lang w:eastAsia="en-GB"/>
              </w:rPr>
              <w:t xml:space="preserve">Défaillance </w:t>
            </w:r>
            <w:r w:rsidRPr="00E07570">
              <w:rPr>
                <w:lang w:eastAsia="en-GB"/>
              </w:rPr>
              <w:br/>
              <w:t xml:space="preserve">du branchement électrique/ou du module </w:t>
            </w:r>
            <w:r w:rsidR="00FB78C7" w:rsidRPr="00E07570">
              <w:rPr>
                <w:lang w:eastAsia="en-GB"/>
              </w:rPr>
              <w:br/>
            </w:r>
            <w:r w:rsidRPr="00E07570">
              <w:rPr>
                <w:lang w:eastAsia="en-GB"/>
              </w:rPr>
              <w:t>de communication</w:t>
            </w:r>
          </w:p>
        </w:tc>
        <w:tc>
          <w:tcPr>
            <w:tcW w:w="3198" w:type="dxa"/>
            <w:tcBorders>
              <w:top w:val="nil"/>
              <w:left w:val="nil"/>
              <w:bottom w:val="single" w:sz="4" w:space="0" w:color="auto"/>
              <w:right w:val="single" w:sz="4" w:space="0" w:color="auto"/>
            </w:tcBorders>
            <w:shd w:val="clear" w:color="auto" w:fill="auto"/>
            <w:vAlign w:val="center"/>
            <w:hideMark/>
          </w:tcPr>
          <w:p w:rsidR="00483D8B" w:rsidRPr="00E07570" w:rsidRDefault="00483D8B" w:rsidP="00483D8B">
            <w:pPr>
              <w:spacing w:before="60" w:after="60"/>
              <w:ind w:left="57" w:right="57"/>
              <w:rPr>
                <w:bCs/>
                <w:lang w:eastAsia="en-GB"/>
              </w:rPr>
            </w:pPr>
            <w:r w:rsidRPr="00E07570">
              <w:rPr>
                <w:bCs/>
                <w:lang w:eastAsia="en-GB"/>
              </w:rPr>
              <w:t xml:space="preserve">Une défaillance du module </w:t>
            </w:r>
            <w:r w:rsidRPr="00E07570">
              <w:rPr>
                <w:bCs/>
                <w:lang w:eastAsia="en-GB"/>
              </w:rPr>
              <w:br/>
              <w:t>de communication peut être détectée par l</w:t>
            </w:r>
            <w:r w:rsidR="00145E4B">
              <w:rPr>
                <w:bCs/>
                <w:lang w:eastAsia="en-GB"/>
              </w:rPr>
              <w:t>’</w:t>
            </w:r>
            <w:r w:rsidRPr="00E07570">
              <w:rPr>
                <w:bCs/>
                <w:lang w:eastAsia="en-GB"/>
              </w:rPr>
              <w:t xml:space="preserve">absence de communication numérique entre le module </w:t>
            </w:r>
            <w:r w:rsidRPr="00E07570">
              <w:rPr>
                <w:bCs/>
                <w:lang w:eastAsia="en-GB"/>
              </w:rPr>
              <w:br/>
              <w:t>de commande de l</w:t>
            </w:r>
            <w:r w:rsidR="00145E4B">
              <w:rPr>
                <w:bCs/>
                <w:lang w:eastAsia="en-GB"/>
              </w:rPr>
              <w:t>’</w:t>
            </w:r>
            <w:r w:rsidRPr="00E07570">
              <w:rPr>
                <w:bCs/>
                <w:lang w:eastAsia="en-GB"/>
              </w:rPr>
              <w:t xml:space="preserve">AECD </w:t>
            </w:r>
            <w:r w:rsidRPr="00E07570">
              <w:rPr>
                <w:bCs/>
                <w:lang w:eastAsia="en-GB"/>
              </w:rPr>
              <w:br/>
              <w:t>et le module de communication.</w:t>
            </w:r>
          </w:p>
        </w:tc>
      </w:tr>
      <w:tr w:rsidR="00483D8B" w:rsidRPr="00E07570" w:rsidTr="00483D8B">
        <w:trPr>
          <w:trHeight w:val="20"/>
        </w:trPr>
        <w:tc>
          <w:tcPr>
            <w:tcW w:w="1808" w:type="dxa"/>
            <w:vMerge/>
            <w:tcBorders>
              <w:left w:val="single" w:sz="4" w:space="0" w:color="auto"/>
              <w:bottom w:val="single" w:sz="4" w:space="0" w:color="auto"/>
              <w:right w:val="single" w:sz="4" w:space="0" w:color="auto"/>
            </w:tcBorders>
            <w:shd w:val="clear" w:color="auto" w:fill="auto"/>
            <w:noWrap/>
            <w:vAlign w:val="center"/>
            <w:hideMark/>
          </w:tcPr>
          <w:p w:rsidR="00483D8B" w:rsidRPr="00E07570" w:rsidRDefault="00483D8B" w:rsidP="00483D8B">
            <w:pPr>
              <w:spacing w:before="60" w:after="60"/>
              <w:ind w:left="57" w:right="57"/>
              <w:rPr>
                <w:bCs/>
                <w:lang w:eastAsia="en-GB"/>
              </w:rPr>
            </w:pPr>
          </w:p>
        </w:tc>
        <w:tc>
          <w:tcPr>
            <w:tcW w:w="2365" w:type="dxa"/>
            <w:tcBorders>
              <w:top w:val="nil"/>
              <w:left w:val="nil"/>
              <w:bottom w:val="single" w:sz="4" w:space="0" w:color="auto"/>
              <w:right w:val="single" w:sz="4" w:space="0" w:color="auto"/>
            </w:tcBorders>
            <w:shd w:val="clear" w:color="auto" w:fill="auto"/>
            <w:vAlign w:val="center"/>
            <w:hideMark/>
          </w:tcPr>
          <w:p w:rsidR="00483D8B" w:rsidRPr="00E07570" w:rsidRDefault="00483D8B" w:rsidP="00483D8B">
            <w:pPr>
              <w:spacing w:before="60" w:after="60"/>
              <w:ind w:left="57" w:right="57"/>
              <w:rPr>
                <w:bCs/>
                <w:lang w:eastAsia="en-GB"/>
              </w:rPr>
            </w:pPr>
            <w:r w:rsidRPr="00E07570">
              <w:rPr>
                <w:lang w:eastAsia="en-GB"/>
              </w:rPr>
              <w:t xml:space="preserve">Défaillance </w:t>
            </w:r>
            <w:r w:rsidRPr="00E07570">
              <w:rPr>
                <w:bCs/>
                <w:lang w:eastAsia="en-GB"/>
              </w:rPr>
              <w:t>interne</w:t>
            </w:r>
          </w:p>
        </w:tc>
        <w:tc>
          <w:tcPr>
            <w:tcW w:w="3198" w:type="dxa"/>
            <w:tcBorders>
              <w:top w:val="nil"/>
              <w:left w:val="nil"/>
              <w:bottom w:val="single" w:sz="4" w:space="0" w:color="auto"/>
              <w:right w:val="single" w:sz="4" w:space="0" w:color="auto"/>
            </w:tcBorders>
            <w:shd w:val="clear" w:color="auto" w:fill="auto"/>
            <w:vAlign w:val="center"/>
            <w:hideMark/>
          </w:tcPr>
          <w:p w:rsidR="00483D8B" w:rsidRPr="00E07570" w:rsidRDefault="00483D8B" w:rsidP="00483D8B">
            <w:pPr>
              <w:spacing w:before="60" w:after="60"/>
              <w:ind w:left="57" w:right="57"/>
              <w:rPr>
                <w:bCs/>
                <w:lang w:eastAsia="en-GB"/>
              </w:rPr>
            </w:pPr>
            <w:r w:rsidRPr="00E07570">
              <w:rPr>
                <w:bCs/>
                <w:lang w:eastAsia="en-GB"/>
              </w:rPr>
              <w:t>Ce point concerne une fonction indispensable : en cas de défaillance, l</w:t>
            </w:r>
            <w:r w:rsidR="00145E4B">
              <w:rPr>
                <w:bCs/>
                <w:lang w:eastAsia="en-GB"/>
              </w:rPr>
              <w:t>’</w:t>
            </w:r>
            <w:r w:rsidRPr="00E07570">
              <w:rPr>
                <w:bCs/>
                <w:lang w:eastAsia="en-GB"/>
              </w:rPr>
              <w:t>AECS est paralysé.</w:t>
            </w:r>
          </w:p>
        </w:tc>
      </w:tr>
      <w:tr w:rsidR="00483D8B" w:rsidRPr="00E07570" w:rsidTr="00483D8B">
        <w:trPr>
          <w:trHeight w:val="20"/>
        </w:trPr>
        <w:tc>
          <w:tcPr>
            <w:tcW w:w="1808" w:type="dxa"/>
            <w:vMerge w:val="restart"/>
            <w:tcBorders>
              <w:top w:val="nil"/>
              <w:left w:val="single" w:sz="4" w:space="0" w:color="auto"/>
              <w:right w:val="single" w:sz="4" w:space="0" w:color="auto"/>
            </w:tcBorders>
            <w:shd w:val="clear" w:color="auto" w:fill="auto"/>
            <w:noWrap/>
            <w:vAlign w:val="center"/>
            <w:hideMark/>
          </w:tcPr>
          <w:p w:rsidR="00483D8B" w:rsidRPr="00E07570" w:rsidRDefault="00483D8B" w:rsidP="00483D8B">
            <w:pPr>
              <w:keepNext/>
              <w:spacing w:before="60" w:after="60"/>
              <w:ind w:left="57" w:right="57"/>
              <w:rPr>
                <w:lang w:eastAsia="en-GB"/>
              </w:rPr>
            </w:pPr>
            <w:r w:rsidRPr="00E07570">
              <w:rPr>
                <w:lang w:eastAsia="en-GB"/>
              </w:rPr>
              <w:t>Récepteur GNSS</w:t>
            </w:r>
          </w:p>
        </w:tc>
        <w:tc>
          <w:tcPr>
            <w:tcW w:w="2365" w:type="dxa"/>
            <w:tcBorders>
              <w:top w:val="nil"/>
              <w:left w:val="nil"/>
              <w:bottom w:val="single" w:sz="4" w:space="0" w:color="auto"/>
              <w:right w:val="single" w:sz="4" w:space="0" w:color="auto"/>
            </w:tcBorders>
            <w:shd w:val="clear" w:color="auto" w:fill="auto"/>
            <w:vAlign w:val="center"/>
            <w:hideMark/>
          </w:tcPr>
          <w:p w:rsidR="00483D8B" w:rsidRPr="00E07570" w:rsidRDefault="00483D8B" w:rsidP="00483D8B">
            <w:pPr>
              <w:keepNext/>
              <w:spacing w:before="60" w:after="60"/>
              <w:ind w:left="57" w:right="57"/>
              <w:rPr>
                <w:lang w:eastAsia="en-GB"/>
              </w:rPr>
            </w:pPr>
            <w:r w:rsidRPr="00E07570">
              <w:rPr>
                <w:lang w:eastAsia="en-GB"/>
              </w:rPr>
              <w:t xml:space="preserve">Défaillance </w:t>
            </w:r>
            <w:r w:rsidRPr="00E07570">
              <w:rPr>
                <w:lang w:eastAsia="en-GB"/>
              </w:rPr>
              <w:br/>
              <w:t xml:space="preserve">du branchement électrique et/ou du module </w:t>
            </w:r>
            <w:r w:rsidRPr="00E07570">
              <w:rPr>
                <w:lang w:eastAsia="en-GB"/>
              </w:rPr>
              <w:br/>
              <w:t>de communication</w:t>
            </w:r>
          </w:p>
        </w:tc>
        <w:tc>
          <w:tcPr>
            <w:tcW w:w="3198" w:type="dxa"/>
            <w:tcBorders>
              <w:top w:val="nil"/>
              <w:left w:val="nil"/>
              <w:bottom w:val="single" w:sz="4" w:space="0" w:color="auto"/>
              <w:right w:val="single" w:sz="4" w:space="0" w:color="auto"/>
            </w:tcBorders>
            <w:shd w:val="clear" w:color="auto" w:fill="auto"/>
            <w:vAlign w:val="center"/>
          </w:tcPr>
          <w:p w:rsidR="00483D8B" w:rsidRPr="00E07570" w:rsidRDefault="00483D8B" w:rsidP="00483D8B">
            <w:pPr>
              <w:keepNext/>
              <w:spacing w:before="60" w:after="60"/>
              <w:ind w:left="57" w:right="57"/>
              <w:rPr>
                <w:lang w:eastAsia="en-GB"/>
              </w:rPr>
            </w:pPr>
          </w:p>
        </w:tc>
      </w:tr>
      <w:tr w:rsidR="00483D8B" w:rsidRPr="00E07570" w:rsidTr="00483D8B">
        <w:trPr>
          <w:trHeight w:val="20"/>
        </w:trPr>
        <w:tc>
          <w:tcPr>
            <w:tcW w:w="1808" w:type="dxa"/>
            <w:vMerge/>
            <w:tcBorders>
              <w:left w:val="single" w:sz="4" w:space="0" w:color="auto"/>
              <w:bottom w:val="single" w:sz="4" w:space="0" w:color="auto"/>
              <w:right w:val="single" w:sz="4" w:space="0" w:color="auto"/>
            </w:tcBorders>
            <w:shd w:val="clear" w:color="auto" w:fill="auto"/>
            <w:noWrap/>
            <w:vAlign w:val="center"/>
            <w:hideMark/>
          </w:tcPr>
          <w:p w:rsidR="00483D8B" w:rsidRPr="00E07570" w:rsidRDefault="00483D8B" w:rsidP="00483D8B">
            <w:pPr>
              <w:keepNext/>
              <w:spacing w:before="60" w:after="60"/>
              <w:ind w:left="57" w:right="57"/>
              <w:rPr>
                <w:lang w:eastAsia="en-GB"/>
              </w:rPr>
            </w:pPr>
          </w:p>
        </w:tc>
        <w:tc>
          <w:tcPr>
            <w:tcW w:w="2365" w:type="dxa"/>
            <w:tcBorders>
              <w:top w:val="nil"/>
              <w:left w:val="nil"/>
              <w:bottom w:val="single" w:sz="4" w:space="0" w:color="auto"/>
              <w:right w:val="single" w:sz="4" w:space="0" w:color="auto"/>
            </w:tcBorders>
            <w:shd w:val="clear" w:color="auto" w:fill="auto"/>
            <w:vAlign w:val="center"/>
            <w:hideMark/>
          </w:tcPr>
          <w:p w:rsidR="00483D8B" w:rsidRPr="00E07570" w:rsidRDefault="00483D8B" w:rsidP="00483D8B">
            <w:pPr>
              <w:keepNext/>
              <w:spacing w:before="60" w:after="60"/>
              <w:ind w:left="57" w:right="57"/>
              <w:rPr>
                <w:bCs/>
                <w:lang w:eastAsia="en-GB"/>
              </w:rPr>
            </w:pPr>
            <w:r w:rsidRPr="00E07570">
              <w:rPr>
                <w:lang w:eastAsia="en-GB"/>
              </w:rPr>
              <w:t>Défaillance interne</w:t>
            </w:r>
          </w:p>
        </w:tc>
        <w:tc>
          <w:tcPr>
            <w:tcW w:w="3198" w:type="dxa"/>
            <w:tcBorders>
              <w:top w:val="nil"/>
              <w:left w:val="nil"/>
              <w:bottom w:val="single" w:sz="4" w:space="0" w:color="auto"/>
              <w:right w:val="single" w:sz="4" w:space="0" w:color="auto"/>
            </w:tcBorders>
            <w:shd w:val="clear" w:color="auto" w:fill="auto"/>
            <w:vAlign w:val="center"/>
          </w:tcPr>
          <w:p w:rsidR="00483D8B" w:rsidRPr="00E07570" w:rsidRDefault="00483D8B" w:rsidP="00483D8B">
            <w:pPr>
              <w:keepNext/>
              <w:spacing w:before="60" w:after="60"/>
              <w:ind w:left="57" w:right="57"/>
              <w:rPr>
                <w:lang w:eastAsia="en-GB"/>
              </w:rPr>
            </w:pPr>
          </w:p>
        </w:tc>
      </w:tr>
      <w:tr w:rsidR="00483D8B" w:rsidRPr="00E07570" w:rsidTr="00483D8B">
        <w:trPr>
          <w:trHeight w:val="20"/>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483D8B" w:rsidRPr="00E07570" w:rsidRDefault="00483D8B" w:rsidP="00483D8B">
            <w:pPr>
              <w:keepNext/>
              <w:spacing w:before="60" w:after="60"/>
              <w:ind w:left="57" w:right="57"/>
              <w:rPr>
                <w:lang w:eastAsia="en-GB"/>
              </w:rPr>
            </w:pPr>
            <w:r w:rsidRPr="00E07570">
              <w:t xml:space="preserve">Antenne </w:t>
            </w:r>
            <w:r w:rsidRPr="00E07570">
              <w:br/>
              <w:t>de communication PLMN</w:t>
            </w:r>
          </w:p>
        </w:tc>
        <w:tc>
          <w:tcPr>
            <w:tcW w:w="2365" w:type="dxa"/>
            <w:tcBorders>
              <w:top w:val="nil"/>
              <w:left w:val="nil"/>
              <w:bottom w:val="single" w:sz="4" w:space="0" w:color="auto"/>
              <w:right w:val="single" w:sz="4" w:space="0" w:color="auto"/>
            </w:tcBorders>
            <w:shd w:val="clear" w:color="auto" w:fill="auto"/>
            <w:vAlign w:val="center"/>
            <w:hideMark/>
          </w:tcPr>
          <w:p w:rsidR="00483D8B" w:rsidRPr="00E07570" w:rsidRDefault="00483D8B" w:rsidP="00483D8B">
            <w:pPr>
              <w:spacing w:before="60" w:after="60"/>
              <w:ind w:left="57" w:right="57"/>
              <w:rPr>
                <w:lang w:eastAsia="en-GB"/>
              </w:rPr>
            </w:pPr>
            <w:r w:rsidRPr="00E07570">
              <w:rPr>
                <w:lang w:eastAsia="en-GB"/>
              </w:rPr>
              <w:t>Branchement électrique</w:t>
            </w:r>
          </w:p>
        </w:tc>
        <w:tc>
          <w:tcPr>
            <w:tcW w:w="3198" w:type="dxa"/>
            <w:tcBorders>
              <w:top w:val="nil"/>
              <w:left w:val="nil"/>
              <w:bottom w:val="single" w:sz="4" w:space="0" w:color="auto"/>
              <w:right w:val="single" w:sz="4" w:space="0" w:color="auto"/>
            </w:tcBorders>
            <w:shd w:val="clear" w:color="auto" w:fill="auto"/>
            <w:vAlign w:val="center"/>
          </w:tcPr>
          <w:p w:rsidR="00483D8B" w:rsidRPr="00E07570" w:rsidRDefault="00483D8B" w:rsidP="00483D8B">
            <w:pPr>
              <w:spacing w:before="60" w:after="60"/>
              <w:ind w:left="57" w:right="57"/>
              <w:rPr>
                <w:lang w:eastAsia="en-GB"/>
              </w:rPr>
            </w:pPr>
          </w:p>
        </w:tc>
      </w:tr>
      <w:tr w:rsidR="00483D8B" w:rsidRPr="00E07570" w:rsidTr="00483D8B">
        <w:trPr>
          <w:trHeight w:val="20"/>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483D8B" w:rsidRPr="00E07570" w:rsidRDefault="00483D8B" w:rsidP="00483D8B">
            <w:pPr>
              <w:spacing w:before="60" w:after="60"/>
              <w:ind w:left="57" w:right="57"/>
              <w:rPr>
                <w:lang w:eastAsia="en-GB"/>
              </w:rPr>
            </w:pPr>
            <w:r w:rsidRPr="00E07570">
              <w:t>Antenne GNSS</w:t>
            </w:r>
          </w:p>
        </w:tc>
        <w:tc>
          <w:tcPr>
            <w:tcW w:w="2365" w:type="dxa"/>
            <w:tcBorders>
              <w:top w:val="nil"/>
              <w:left w:val="nil"/>
              <w:bottom w:val="single" w:sz="4" w:space="0" w:color="auto"/>
              <w:right w:val="single" w:sz="4" w:space="0" w:color="auto"/>
            </w:tcBorders>
            <w:shd w:val="clear" w:color="auto" w:fill="auto"/>
            <w:vAlign w:val="center"/>
            <w:hideMark/>
          </w:tcPr>
          <w:p w:rsidR="00483D8B" w:rsidRPr="00E07570" w:rsidRDefault="00483D8B" w:rsidP="00483D8B">
            <w:pPr>
              <w:spacing w:before="60" w:after="60"/>
              <w:ind w:left="57" w:right="57"/>
              <w:rPr>
                <w:lang w:eastAsia="en-GB"/>
              </w:rPr>
            </w:pPr>
            <w:r w:rsidRPr="00E07570">
              <w:rPr>
                <w:lang w:eastAsia="en-GB"/>
              </w:rPr>
              <w:t>Branchement électrique</w:t>
            </w:r>
          </w:p>
        </w:tc>
        <w:tc>
          <w:tcPr>
            <w:tcW w:w="3198" w:type="dxa"/>
            <w:tcBorders>
              <w:top w:val="nil"/>
              <w:left w:val="nil"/>
              <w:bottom w:val="single" w:sz="4" w:space="0" w:color="auto"/>
              <w:right w:val="single" w:sz="4" w:space="0" w:color="auto"/>
            </w:tcBorders>
            <w:shd w:val="clear" w:color="auto" w:fill="auto"/>
            <w:vAlign w:val="center"/>
          </w:tcPr>
          <w:p w:rsidR="00483D8B" w:rsidRPr="00E07570" w:rsidRDefault="00483D8B" w:rsidP="00483D8B">
            <w:pPr>
              <w:spacing w:before="60" w:after="60"/>
              <w:ind w:left="57" w:right="57"/>
              <w:rPr>
                <w:lang w:eastAsia="en-GB"/>
              </w:rPr>
            </w:pPr>
          </w:p>
        </w:tc>
      </w:tr>
      <w:tr w:rsidR="00483D8B" w:rsidRPr="00E07570" w:rsidTr="00483D8B">
        <w:trPr>
          <w:trHeight w:val="20"/>
        </w:trPr>
        <w:tc>
          <w:tcPr>
            <w:tcW w:w="1808" w:type="dxa"/>
            <w:vMerge w:val="restart"/>
            <w:tcBorders>
              <w:top w:val="nil"/>
              <w:left w:val="single" w:sz="4" w:space="0" w:color="auto"/>
              <w:right w:val="single" w:sz="4" w:space="0" w:color="auto"/>
            </w:tcBorders>
            <w:shd w:val="clear" w:color="auto" w:fill="auto"/>
            <w:noWrap/>
            <w:vAlign w:val="center"/>
          </w:tcPr>
          <w:p w:rsidR="00483D8B" w:rsidRPr="00E07570" w:rsidRDefault="00483D8B" w:rsidP="00483D8B">
            <w:pPr>
              <w:spacing w:before="60" w:after="60"/>
              <w:ind w:left="57" w:right="57"/>
            </w:pPr>
            <w:r w:rsidRPr="00E07570">
              <w:rPr>
                <w:lang w:eastAsia="en-GB"/>
              </w:rPr>
              <w:t>Unité de détection des chocs (CCU)</w:t>
            </w:r>
          </w:p>
        </w:tc>
        <w:tc>
          <w:tcPr>
            <w:tcW w:w="2365" w:type="dxa"/>
            <w:tcBorders>
              <w:top w:val="nil"/>
              <w:left w:val="nil"/>
              <w:bottom w:val="single" w:sz="4" w:space="0" w:color="auto"/>
              <w:right w:val="single" w:sz="4" w:space="0" w:color="auto"/>
            </w:tcBorders>
            <w:shd w:val="clear" w:color="auto" w:fill="auto"/>
            <w:vAlign w:val="center"/>
          </w:tcPr>
          <w:p w:rsidR="00483D8B" w:rsidRPr="00E07570" w:rsidRDefault="00483D8B" w:rsidP="00483D8B">
            <w:pPr>
              <w:spacing w:before="60" w:after="60"/>
              <w:ind w:left="57" w:right="57"/>
              <w:rPr>
                <w:lang w:eastAsia="en-GB"/>
              </w:rPr>
            </w:pPr>
            <w:r w:rsidRPr="00E07570">
              <w:rPr>
                <w:lang w:eastAsia="en-GB"/>
              </w:rPr>
              <w:t>Branchement électrique</w:t>
            </w:r>
          </w:p>
        </w:tc>
        <w:tc>
          <w:tcPr>
            <w:tcW w:w="3198" w:type="dxa"/>
            <w:tcBorders>
              <w:top w:val="nil"/>
              <w:left w:val="nil"/>
              <w:bottom w:val="single" w:sz="4" w:space="0" w:color="auto"/>
              <w:right w:val="single" w:sz="4" w:space="0" w:color="auto"/>
            </w:tcBorders>
            <w:shd w:val="clear" w:color="auto" w:fill="auto"/>
            <w:vAlign w:val="center"/>
          </w:tcPr>
          <w:p w:rsidR="00483D8B" w:rsidRPr="00E07570" w:rsidRDefault="006E75B4" w:rsidP="00483D8B">
            <w:pPr>
              <w:spacing w:before="60" w:after="60"/>
              <w:ind w:left="57" w:right="57"/>
              <w:rPr>
                <w:lang w:eastAsia="en-GB"/>
              </w:rPr>
            </w:pPr>
            <w:r w:rsidRPr="00E07570">
              <w:rPr>
                <w:lang w:eastAsia="en-GB"/>
              </w:rPr>
              <w:t xml:space="preserve">Système de détection des chocs ou dispositif de déclenchement, </w:t>
            </w:r>
            <w:r w:rsidRPr="00E07570">
              <w:rPr>
                <w:lang w:eastAsia="en-GB"/>
              </w:rPr>
              <w:br/>
              <w:t>par exemple.</w:t>
            </w:r>
          </w:p>
        </w:tc>
      </w:tr>
      <w:tr w:rsidR="00483D8B" w:rsidRPr="00E07570" w:rsidTr="00483D8B">
        <w:trPr>
          <w:trHeight w:val="20"/>
        </w:trPr>
        <w:tc>
          <w:tcPr>
            <w:tcW w:w="1808" w:type="dxa"/>
            <w:vMerge/>
            <w:tcBorders>
              <w:left w:val="single" w:sz="4" w:space="0" w:color="auto"/>
              <w:bottom w:val="single" w:sz="4" w:space="0" w:color="auto"/>
              <w:right w:val="single" w:sz="4" w:space="0" w:color="auto"/>
            </w:tcBorders>
            <w:shd w:val="clear" w:color="auto" w:fill="auto"/>
            <w:noWrap/>
            <w:vAlign w:val="center"/>
          </w:tcPr>
          <w:p w:rsidR="00483D8B" w:rsidRPr="00E07570" w:rsidRDefault="00483D8B" w:rsidP="00483D8B">
            <w:pPr>
              <w:spacing w:before="60" w:after="60"/>
              <w:ind w:left="57" w:right="57"/>
              <w:rPr>
                <w:lang w:eastAsia="en-GB"/>
              </w:rPr>
            </w:pPr>
          </w:p>
        </w:tc>
        <w:tc>
          <w:tcPr>
            <w:tcW w:w="2365" w:type="dxa"/>
            <w:tcBorders>
              <w:top w:val="nil"/>
              <w:left w:val="nil"/>
              <w:bottom w:val="single" w:sz="4" w:space="0" w:color="auto"/>
              <w:right w:val="single" w:sz="4" w:space="0" w:color="auto"/>
            </w:tcBorders>
            <w:shd w:val="clear" w:color="auto" w:fill="auto"/>
            <w:vAlign w:val="center"/>
          </w:tcPr>
          <w:p w:rsidR="00483D8B" w:rsidRPr="00E07570" w:rsidRDefault="00483D8B" w:rsidP="00483D8B">
            <w:pPr>
              <w:spacing w:before="60" w:after="60"/>
              <w:ind w:left="57" w:right="57"/>
              <w:rPr>
                <w:lang w:eastAsia="en-GB"/>
              </w:rPr>
            </w:pPr>
            <w:r w:rsidRPr="00E07570">
              <w:rPr>
                <w:lang w:eastAsia="en-GB"/>
              </w:rPr>
              <w:t>Défaillance interne</w:t>
            </w:r>
          </w:p>
        </w:tc>
        <w:tc>
          <w:tcPr>
            <w:tcW w:w="3198" w:type="dxa"/>
            <w:tcBorders>
              <w:top w:val="nil"/>
              <w:left w:val="nil"/>
              <w:bottom w:val="single" w:sz="4" w:space="0" w:color="auto"/>
              <w:right w:val="single" w:sz="4" w:space="0" w:color="auto"/>
            </w:tcBorders>
            <w:shd w:val="clear" w:color="auto" w:fill="auto"/>
            <w:vAlign w:val="center"/>
          </w:tcPr>
          <w:p w:rsidR="00483D8B" w:rsidRPr="00E07570" w:rsidRDefault="006E75B4" w:rsidP="00FB78C7">
            <w:pPr>
              <w:spacing w:before="60" w:after="60"/>
              <w:ind w:left="57" w:right="57"/>
              <w:rPr>
                <w:lang w:eastAsia="en-GB"/>
              </w:rPr>
            </w:pPr>
            <w:r w:rsidRPr="00E07570">
              <w:rPr>
                <w:bCs/>
                <w:lang w:eastAsia="en-GB"/>
              </w:rPr>
              <w:t>Si le système de détection n</w:t>
            </w:r>
            <w:r w:rsidR="00145E4B">
              <w:rPr>
                <w:bCs/>
                <w:lang w:eastAsia="en-GB"/>
              </w:rPr>
              <w:t>’</w:t>
            </w:r>
            <w:r w:rsidRPr="00E07570">
              <w:rPr>
                <w:bCs/>
                <w:lang w:eastAsia="en-GB"/>
              </w:rPr>
              <w:t>est pas en bon état l</w:t>
            </w:r>
            <w:r w:rsidR="00145E4B">
              <w:rPr>
                <w:bCs/>
                <w:lang w:eastAsia="en-GB"/>
              </w:rPr>
              <w:t>’</w:t>
            </w:r>
            <w:r w:rsidRPr="00E07570">
              <w:rPr>
                <w:bCs/>
                <w:lang w:eastAsia="en-GB"/>
              </w:rPr>
              <w:t>appel d</w:t>
            </w:r>
            <w:r w:rsidR="00145E4B">
              <w:rPr>
                <w:bCs/>
                <w:lang w:eastAsia="en-GB"/>
              </w:rPr>
              <w:t>’</w:t>
            </w:r>
            <w:r w:rsidRPr="00E07570">
              <w:rPr>
                <w:bCs/>
                <w:lang w:eastAsia="en-GB"/>
              </w:rPr>
              <w:t>urgence est imposs</w:t>
            </w:r>
            <w:r w:rsidR="00FB78C7" w:rsidRPr="00E07570">
              <w:rPr>
                <w:bCs/>
                <w:lang w:eastAsia="en-GB"/>
              </w:rPr>
              <w:t>ibl</w:t>
            </w:r>
            <w:r w:rsidRPr="00E07570">
              <w:rPr>
                <w:bCs/>
                <w:lang w:eastAsia="en-GB"/>
              </w:rPr>
              <w:t>e.</w:t>
            </w:r>
          </w:p>
        </w:tc>
      </w:tr>
      <w:tr w:rsidR="00483D8B" w:rsidRPr="00E07570" w:rsidTr="00483D8B">
        <w:trPr>
          <w:trHeight w:val="20"/>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483D8B" w:rsidRPr="00E07570" w:rsidRDefault="00483D8B" w:rsidP="00483D8B">
            <w:pPr>
              <w:spacing w:before="60" w:after="60"/>
              <w:ind w:left="57" w:right="57"/>
              <w:rPr>
                <w:lang w:eastAsia="en-GB"/>
              </w:rPr>
            </w:pPr>
            <w:r w:rsidRPr="00E07570">
              <w:rPr>
                <w:lang w:eastAsia="en-GB"/>
              </w:rPr>
              <w:t>Alimentation électrique</w:t>
            </w:r>
          </w:p>
        </w:tc>
        <w:tc>
          <w:tcPr>
            <w:tcW w:w="2365" w:type="dxa"/>
            <w:tcBorders>
              <w:top w:val="nil"/>
              <w:left w:val="nil"/>
              <w:bottom w:val="single" w:sz="4" w:space="0" w:color="auto"/>
              <w:right w:val="single" w:sz="4" w:space="0" w:color="auto"/>
            </w:tcBorders>
            <w:shd w:val="clear" w:color="auto" w:fill="auto"/>
            <w:vAlign w:val="center"/>
            <w:hideMark/>
          </w:tcPr>
          <w:p w:rsidR="00483D8B" w:rsidRPr="00E07570" w:rsidRDefault="00483D8B" w:rsidP="00483D8B">
            <w:pPr>
              <w:spacing w:before="60" w:after="60"/>
              <w:ind w:left="57" w:right="57"/>
              <w:rPr>
                <w:lang w:eastAsia="en-GB"/>
              </w:rPr>
            </w:pPr>
            <w:r w:rsidRPr="00E07570">
              <w:rPr>
                <w:lang w:eastAsia="en-GB"/>
              </w:rPr>
              <w:t>Raccordement électrique</w:t>
            </w:r>
          </w:p>
        </w:tc>
        <w:tc>
          <w:tcPr>
            <w:tcW w:w="3198" w:type="dxa"/>
            <w:tcBorders>
              <w:top w:val="nil"/>
              <w:left w:val="nil"/>
              <w:bottom w:val="single" w:sz="4" w:space="0" w:color="auto"/>
              <w:right w:val="single" w:sz="4" w:space="0" w:color="auto"/>
            </w:tcBorders>
            <w:shd w:val="clear" w:color="auto" w:fill="auto"/>
            <w:vAlign w:val="center"/>
            <w:hideMark/>
          </w:tcPr>
          <w:p w:rsidR="00483D8B" w:rsidRPr="00E07570" w:rsidRDefault="00483D8B" w:rsidP="00483D8B">
            <w:pPr>
              <w:spacing w:before="60" w:after="60"/>
              <w:ind w:left="57" w:right="57"/>
              <w:rPr>
                <w:lang w:eastAsia="en-GB"/>
              </w:rPr>
            </w:pPr>
            <w:r w:rsidRPr="00E07570">
              <w:rPr>
                <w:lang w:eastAsia="en-GB"/>
              </w:rPr>
              <w:t>Branchement d</w:t>
            </w:r>
            <w:r w:rsidR="00145E4B">
              <w:rPr>
                <w:lang w:eastAsia="en-GB"/>
              </w:rPr>
              <w:t>’</w:t>
            </w:r>
            <w:r w:rsidRPr="00E07570">
              <w:rPr>
                <w:lang w:eastAsia="en-GB"/>
              </w:rPr>
              <w:t>une batterie spéciale.</w:t>
            </w:r>
          </w:p>
        </w:tc>
      </w:tr>
      <w:tr w:rsidR="00483D8B" w:rsidRPr="00E07570" w:rsidTr="00483D8B">
        <w:trPr>
          <w:trHeight w:val="20"/>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483D8B" w:rsidRPr="00E07570" w:rsidRDefault="00483D8B" w:rsidP="00483D8B">
            <w:pPr>
              <w:spacing w:before="60" w:after="60"/>
              <w:ind w:left="57" w:right="57"/>
              <w:rPr>
                <w:lang w:eastAsia="en-GB"/>
              </w:rPr>
            </w:pPr>
            <w:r w:rsidRPr="00E07570">
              <w:rPr>
                <w:lang w:eastAsia="en-GB"/>
              </w:rPr>
              <w:t>Module d</w:t>
            </w:r>
            <w:r w:rsidR="00145E4B">
              <w:rPr>
                <w:lang w:eastAsia="en-GB"/>
              </w:rPr>
              <w:t>’</w:t>
            </w:r>
            <w:r w:rsidRPr="00E07570">
              <w:rPr>
                <w:lang w:eastAsia="en-GB"/>
              </w:rPr>
              <w:t>identification d</w:t>
            </w:r>
            <w:r w:rsidR="00145E4B">
              <w:rPr>
                <w:lang w:eastAsia="en-GB"/>
              </w:rPr>
              <w:t>’</w:t>
            </w:r>
            <w:r w:rsidRPr="00E07570">
              <w:rPr>
                <w:lang w:eastAsia="en-GB"/>
              </w:rPr>
              <w:t>abonné (SIM)</w:t>
            </w:r>
          </w:p>
        </w:tc>
        <w:tc>
          <w:tcPr>
            <w:tcW w:w="2365" w:type="dxa"/>
            <w:tcBorders>
              <w:top w:val="nil"/>
              <w:left w:val="nil"/>
              <w:bottom w:val="single" w:sz="4" w:space="0" w:color="auto"/>
              <w:right w:val="single" w:sz="4" w:space="0" w:color="auto"/>
            </w:tcBorders>
            <w:shd w:val="clear" w:color="auto" w:fill="auto"/>
            <w:vAlign w:val="center"/>
            <w:hideMark/>
          </w:tcPr>
          <w:p w:rsidR="00483D8B" w:rsidRPr="00E07570" w:rsidRDefault="00483D8B" w:rsidP="00483D8B">
            <w:pPr>
              <w:spacing w:before="60" w:after="60"/>
              <w:ind w:left="57" w:right="57"/>
              <w:rPr>
                <w:lang w:eastAsia="en-GB"/>
              </w:rPr>
            </w:pPr>
            <w:r w:rsidRPr="00E07570">
              <w:rPr>
                <w:lang w:eastAsia="en-GB"/>
              </w:rPr>
              <w:t>Néant</w:t>
            </w:r>
          </w:p>
        </w:tc>
        <w:tc>
          <w:tcPr>
            <w:tcW w:w="3198" w:type="dxa"/>
            <w:tcBorders>
              <w:top w:val="nil"/>
              <w:left w:val="nil"/>
              <w:bottom w:val="single" w:sz="4" w:space="0" w:color="auto"/>
              <w:right w:val="single" w:sz="4" w:space="0" w:color="auto"/>
            </w:tcBorders>
            <w:shd w:val="clear" w:color="auto" w:fill="auto"/>
            <w:vAlign w:val="center"/>
            <w:hideMark/>
          </w:tcPr>
          <w:p w:rsidR="00483D8B" w:rsidRPr="00E07570" w:rsidRDefault="00483D8B" w:rsidP="00FB78C7">
            <w:pPr>
              <w:spacing w:before="60" w:after="60"/>
              <w:ind w:left="57" w:right="57"/>
              <w:rPr>
                <w:bCs/>
                <w:lang w:eastAsia="en-GB"/>
              </w:rPr>
            </w:pPr>
            <w:r w:rsidRPr="00E07570">
              <w:rPr>
                <w:bCs/>
                <w:lang w:eastAsia="en-GB"/>
              </w:rPr>
              <w:t>Seulement en cas d</w:t>
            </w:r>
            <w:r w:rsidR="00145E4B">
              <w:rPr>
                <w:bCs/>
                <w:lang w:eastAsia="en-GB"/>
              </w:rPr>
              <w:t>’</w:t>
            </w:r>
            <w:r w:rsidRPr="00E07570">
              <w:rPr>
                <w:bCs/>
                <w:lang w:eastAsia="en-GB"/>
              </w:rPr>
              <w:t>utilisation d</w:t>
            </w:r>
            <w:r w:rsidR="00145E4B">
              <w:rPr>
                <w:bCs/>
                <w:lang w:eastAsia="en-GB"/>
              </w:rPr>
              <w:t>’</w:t>
            </w:r>
            <w:r w:rsidRPr="00E07570">
              <w:rPr>
                <w:bCs/>
                <w:lang w:eastAsia="en-GB"/>
              </w:rPr>
              <w:t>une carte SIM extrac</w:t>
            </w:r>
            <w:r w:rsidR="00FB78C7" w:rsidRPr="00E07570">
              <w:rPr>
                <w:bCs/>
                <w:lang w:eastAsia="en-GB"/>
              </w:rPr>
              <w:t>tibl</w:t>
            </w:r>
            <w:r w:rsidRPr="00E07570">
              <w:rPr>
                <w:bCs/>
                <w:lang w:eastAsia="en-GB"/>
              </w:rPr>
              <w:t>e.</w:t>
            </w:r>
          </w:p>
        </w:tc>
      </w:tr>
      <w:tr w:rsidR="00483D8B" w:rsidRPr="00E07570" w:rsidTr="00483D8B">
        <w:trPr>
          <w:trHeight w:val="20"/>
        </w:trPr>
        <w:tc>
          <w:tcPr>
            <w:tcW w:w="1808" w:type="dxa"/>
            <w:tcBorders>
              <w:top w:val="single" w:sz="4" w:space="0" w:color="auto"/>
              <w:left w:val="single" w:sz="4" w:space="0" w:color="auto"/>
              <w:bottom w:val="single" w:sz="12" w:space="0" w:color="auto"/>
              <w:right w:val="single" w:sz="6" w:space="0" w:color="auto"/>
            </w:tcBorders>
            <w:shd w:val="clear" w:color="auto" w:fill="auto"/>
            <w:noWrap/>
            <w:vAlign w:val="center"/>
            <w:hideMark/>
          </w:tcPr>
          <w:p w:rsidR="00483D8B" w:rsidRPr="00E07570" w:rsidRDefault="00483D8B" w:rsidP="00483D8B">
            <w:pPr>
              <w:spacing w:before="60" w:after="60"/>
              <w:ind w:left="57" w:right="57"/>
              <w:rPr>
                <w:iCs/>
                <w:lang w:eastAsia="en-GB"/>
              </w:rPr>
            </w:pPr>
            <w:r w:rsidRPr="00E07570">
              <w:rPr>
                <w:iCs/>
              </w:rPr>
              <w:t xml:space="preserve">Alimentation électrique </w:t>
            </w:r>
            <w:r w:rsidRPr="00E07570">
              <w:rPr>
                <w:iCs/>
              </w:rPr>
              <w:br/>
              <w:t>de secours</w:t>
            </w:r>
          </w:p>
        </w:tc>
        <w:tc>
          <w:tcPr>
            <w:tcW w:w="2365" w:type="dxa"/>
            <w:tcBorders>
              <w:top w:val="single" w:sz="4" w:space="0" w:color="auto"/>
              <w:left w:val="single" w:sz="6" w:space="0" w:color="auto"/>
              <w:bottom w:val="single" w:sz="12" w:space="0" w:color="auto"/>
              <w:right w:val="single" w:sz="6" w:space="0" w:color="auto"/>
            </w:tcBorders>
            <w:shd w:val="clear" w:color="auto" w:fill="auto"/>
            <w:vAlign w:val="center"/>
            <w:hideMark/>
          </w:tcPr>
          <w:p w:rsidR="00483D8B" w:rsidRPr="00E07570" w:rsidRDefault="00483D8B" w:rsidP="00483D8B">
            <w:pPr>
              <w:spacing w:before="60" w:after="60"/>
              <w:ind w:left="57" w:right="57"/>
              <w:rPr>
                <w:bCs/>
                <w:lang w:eastAsia="en-GB"/>
              </w:rPr>
            </w:pPr>
            <w:r w:rsidRPr="00E07570">
              <w:rPr>
                <w:bCs/>
                <w:lang w:eastAsia="en-GB"/>
              </w:rPr>
              <w:t xml:space="preserve">État de charge critique (seuil fixé par </w:t>
            </w:r>
            <w:r w:rsidRPr="00E07570">
              <w:rPr>
                <w:bCs/>
                <w:lang w:eastAsia="en-GB"/>
              </w:rPr>
              <w:br/>
              <w:t>le constructeur)</w:t>
            </w:r>
          </w:p>
        </w:tc>
        <w:tc>
          <w:tcPr>
            <w:tcW w:w="3198" w:type="dxa"/>
            <w:tcBorders>
              <w:top w:val="single" w:sz="4" w:space="0" w:color="auto"/>
              <w:left w:val="single" w:sz="6" w:space="0" w:color="auto"/>
              <w:bottom w:val="single" w:sz="12" w:space="0" w:color="auto"/>
              <w:right w:val="single" w:sz="4" w:space="0" w:color="auto"/>
            </w:tcBorders>
            <w:shd w:val="clear" w:color="auto" w:fill="auto"/>
            <w:vAlign w:val="center"/>
            <w:hideMark/>
          </w:tcPr>
          <w:p w:rsidR="00483D8B" w:rsidRPr="00E07570" w:rsidRDefault="00483D8B" w:rsidP="00483D8B">
            <w:pPr>
              <w:spacing w:before="60" w:after="60"/>
              <w:ind w:left="57" w:right="57"/>
              <w:rPr>
                <w:bCs/>
                <w:lang w:eastAsia="en-GB"/>
              </w:rPr>
            </w:pPr>
            <w:r w:rsidRPr="00E07570">
              <w:rPr>
                <w:bCs/>
                <w:lang w:eastAsia="en-GB"/>
              </w:rPr>
              <w:t>Défaillance en cas d</w:t>
            </w:r>
            <w:r w:rsidR="00145E4B">
              <w:rPr>
                <w:bCs/>
                <w:lang w:eastAsia="en-GB"/>
              </w:rPr>
              <w:t>’</w:t>
            </w:r>
            <w:r w:rsidRPr="00E07570">
              <w:rPr>
                <w:bCs/>
                <w:lang w:eastAsia="en-GB"/>
              </w:rPr>
              <w:t xml:space="preserve">état de charge critique dont le niveau est </w:t>
            </w:r>
            <w:proofErr w:type="gramStart"/>
            <w:r w:rsidRPr="00E07570">
              <w:rPr>
                <w:bCs/>
                <w:lang w:eastAsia="en-GB"/>
              </w:rPr>
              <w:t>fixé</w:t>
            </w:r>
            <w:proofErr w:type="gramEnd"/>
            <w:r w:rsidRPr="00E07570">
              <w:rPr>
                <w:bCs/>
                <w:lang w:eastAsia="en-GB"/>
              </w:rPr>
              <w:t xml:space="preserve"> </w:t>
            </w:r>
            <w:r w:rsidRPr="00E07570">
              <w:rPr>
                <w:bCs/>
                <w:lang w:eastAsia="en-GB"/>
              </w:rPr>
              <w:br/>
              <w:t>par le constructeur.</w:t>
            </w:r>
          </w:p>
        </w:tc>
      </w:tr>
    </w:tbl>
    <w:p w:rsidR="004F55F4" w:rsidRPr="00E07570" w:rsidRDefault="004F55F4" w:rsidP="0098780E">
      <w:pPr>
        <w:pStyle w:val="SingleTxtG"/>
        <w:keepNext/>
        <w:spacing w:before="240"/>
        <w:ind w:left="2268" w:hanging="1134"/>
      </w:pPr>
      <w:r w:rsidRPr="00E07570">
        <w:rPr>
          <w:b/>
        </w:rPr>
        <w:t>17.5.2.2</w:t>
      </w:r>
      <w:r w:rsidRPr="00E07570">
        <w:tab/>
      </w:r>
      <w:r w:rsidRPr="00E07570">
        <w:tab/>
        <w:t>Procédure d</w:t>
      </w:r>
      <w:r w:rsidR="00145E4B">
        <w:t>’</w:t>
      </w:r>
      <w:r w:rsidRPr="00E07570">
        <w:t>essai</w:t>
      </w:r>
    </w:p>
    <w:p w:rsidR="004F55F4" w:rsidRPr="00E07570" w:rsidRDefault="004F55F4" w:rsidP="00FB78C7">
      <w:pPr>
        <w:pStyle w:val="SingleTxtG"/>
        <w:ind w:left="2268"/>
      </w:pPr>
      <w:r w:rsidRPr="00E07570">
        <w:t>Essai de vérification de la fonction d</w:t>
      </w:r>
      <w:r w:rsidR="00145E4B">
        <w:t>’</w:t>
      </w:r>
      <w:r w:rsidRPr="00E07570">
        <w:t>autotest</w:t>
      </w:r>
    </w:p>
    <w:p w:rsidR="004F55F4" w:rsidRPr="00E07570" w:rsidRDefault="004F55F4" w:rsidP="004F55F4">
      <w:pPr>
        <w:pStyle w:val="SingleTxtG"/>
        <w:ind w:left="2268" w:hanging="1134"/>
      </w:pPr>
      <w:r w:rsidRPr="00E07570">
        <w:rPr>
          <w:b/>
        </w:rPr>
        <w:t>17.5.2.2.1</w:t>
      </w:r>
      <w:r w:rsidRPr="00E07570">
        <w:tab/>
        <w:t>L</w:t>
      </w:r>
      <w:r w:rsidR="00145E4B">
        <w:t>’</w:t>
      </w:r>
      <w:r w:rsidRPr="00E07570">
        <w:t>essai ci-dessous doit être effectué sur un AECD dont les éléments sont disposés de façon représentative.</w:t>
      </w:r>
    </w:p>
    <w:p w:rsidR="00331A8A" w:rsidRPr="00E07570" w:rsidRDefault="004F55F4" w:rsidP="004F55F4">
      <w:pPr>
        <w:pStyle w:val="SingleTxtG"/>
        <w:ind w:left="2268" w:hanging="1134"/>
      </w:pPr>
      <w:r w:rsidRPr="00E07570">
        <w:rPr>
          <w:b/>
        </w:rPr>
        <w:t>17.5.2.2.2</w:t>
      </w:r>
      <w:r w:rsidRPr="00E07570">
        <w:tab/>
        <w:t>Simuler une défaillance de l</w:t>
      </w:r>
      <w:r w:rsidR="00145E4B">
        <w:t>’</w:t>
      </w:r>
      <w:r w:rsidRPr="00E07570">
        <w:t>AECD en introduisant une défaillance critique dans l</w:t>
      </w:r>
      <w:r w:rsidR="00145E4B">
        <w:t>’</w:t>
      </w:r>
      <w:r w:rsidRPr="00E07570">
        <w:t>un ou plusieurs des éléments surveillés par la fonction d</w:t>
      </w:r>
      <w:r w:rsidR="00145E4B">
        <w:t>’</w:t>
      </w:r>
      <w:r w:rsidRPr="00E07570">
        <w:t>autotest, conformément à la documentation technique fournie par le constructeur. Le ou les éléments doivent être choisis par le service technique.</w:t>
      </w:r>
    </w:p>
    <w:p w:rsidR="009D0037" w:rsidRPr="00E07570" w:rsidRDefault="009D0037" w:rsidP="009D0037">
      <w:pPr>
        <w:pStyle w:val="SingleTxtG"/>
        <w:ind w:left="2268" w:hanging="1134"/>
      </w:pPr>
      <w:r w:rsidRPr="00E07570">
        <w:rPr>
          <w:b/>
        </w:rPr>
        <w:t>17.5.2.2.3</w:t>
      </w:r>
      <w:r w:rsidRPr="00E07570">
        <w:tab/>
        <w:t>Mettre l</w:t>
      </w:r>
      <w:r w:rsidR="00145E4B">
        <w:t>’</w:t>
      </w:r>
      <w:r w:rsidRPr="00E07570">
        <w:t>AECD sous tension et vérifier que le signal d</w:t>
      </w:r>
      <w:r w:rsidR="00145E4B">
        <w:t>’</w:t>
      </w:r>
      <w:r w:rsidRPr="00E07570">
        <w:t>avertissement s</w:t>
      </w:r>
      <w:r w:rsidR="00145E4B">
        <w:t>’</w:t>
      </w:r>
      <w:r w:rsidRPr="00E07570">
        <w:t>allume ou qu</w:t>
      </w:r>
      <w:r w:rsidR="00145E4B">
        <w:t>’</w:t>
      </w:r>
      <w:r w:rsidRPr="00E07570">
        <w:t>un signal électrique est émis, selon le cas.</w:t>
      </w:r>
    </w:p>
    <w:p w:rsidR="009D0037" w:rsidRPr="00E07570" w:rsidRDefault="009D0037" w:rsidP="009D0037">
      <w:pPr>
        <w:pStyle w:val="SingleTxtG"/>
        <w:ind w:left="2268" w:hanging="1134"/>
      </w:pPr>
      <w:r w:rsidRPr="00E07570">
        <w:rPr>
          <w:b/>
        </w:rPr>
        <w:t>17.5.2.2.4</w:t>
      </w:r>
      <w:r w:rsidRPr="00E07570">
        <w:tab/>
        <w:t>Mettre l</w:t>
      </w:r>
      <w:r w:rsidR="00145E4B">
        <w:t>’</w:t>
      </w:r>
      <w:r w:rsidRPr="00E07570">
        <w:t>AECD hors tension et le remettre en fonctionnement normal.</w:t>
      </w:r>
    </w:p>
    <w:p w:rsidR="009D0037" w:rsidRPr="00E07570" w:rsidRDefault="009D0037" w:rsidP="009D0037">
      <w:pPr>
        <w:pStyle w:val="SingleTxtG"/>
        <w:ind w:left="2268" w:hanging="1134"/>
      </w:pPr>
      <w:r w:rsidRPr="00E07570">
        <w:rPr>
          <w:b/>
        </w:rPr>
        <w:t>17.5.2.2.5</w:t>
      </w:r>
      <w:r w:rsidRPr="00E07570">
        <w:tab/>
        <w:t>Mettre l</w:t>
      </w:r>
      <w:r w:rsidR="00145E4B">
        <w:t>’</w:t>
      </w:r>
      <w:r w:rsidRPr="00E07570">
        <w:t>AECD sous tension et vérifier que le signal d</w:t>
      </w:r>
      <w:r w:rsidR="00145E4B">
        <w:t>’</w:t>
      </w:r>
      <w:r w:rsidRPr="00E07570">
        <w:t>avertissement ne s</w:t>
      </w:r>
      <w:r w:rsidR="00145E4B">
        <w:t>’</w:t>
      </w:r>
      <w:r w:rsidRPr="00E07570">
        <w:t>allume pas, ou s</w:t>
      </w:r>
      <w:r w:rsidR="00145E4B">
        <w:t>’</w:t>
      </w:r>
      <w:r w:rsidRPr="00E07570">
        <w:t>éteint peu de temps après s</w:t>
      </w:r>
      <w:r w:rsidR="00145E4B">
        <w:t>’</w:t>
      </w:r>
      <w:r w:rsidRPr="00E07570">
        <w:t>être allumé initialement, ou que le signal électrique n</w:t>
      </w:r>
      <w:r w:rsidR="00145E4B">
        <w:t>’</w:t>
      </w:r>
      <w:r w:rsidRPr="00E07570">
        <w:t>est pas émis peu de temps après ou est effacé après avoir été émis initialement, selon le cas.</w:t>
      </w:r>
    </w:p>
    <w:p w:rsidR="009D0037" w:rsidRPr="00E07570" w:rsidRDefault="009D0037" w:rsidP="009D0037">
      <w:pPr>
        <w:pStyle w:val="SingleTxtG"/>
        <w:ind w:left="2268" w:hanging="1134"/>
      </w:pPr>
      <w:r w:rsidRPr="00E07570">
        <w:rPr>
          <w:b/>
        </w:rPr>
        <w:t>17.5.3</w:t>
      </w:r>
      <w:r w:rsidRPr="00E07570">
        <w:tab/>
        <w:t>Au lieu de fournir des informations ou un signal d</w:t>
      </w:r>
      <w:r w:rsidR="00145E4B">
        <w:t>’</w:t>
      </w:r>
      <w:r w:rsidRPr="00E07570">
        <w:t>avertissement, l</w:t>
      </w:r>
      <w:r w:rsidR="00145E4B">
        <w:t>’</w:t>
      </w:r>
      <w:r w:rsidRPr="00E07570">
        <w:t>AECD peut émettre un signal électrique à destination d</w:t>
      </w:r>
      <w:r w:rsidR="00145E4B">
        <w:t>’</w:t>
      </w:r>
      <w:r w:rsidRPr="00E07570">
        <w:t>autres éléments du véhicule, par exemple le tableau de bord, suscep</w:t>
      </w:r>
      <w:r w:rsidR="007F2BDC" w:rsidRPr="00E07570">
        <w:t>tibl</w:t>
      </w:r>
      <w:r w:rsidRPr="00E07570">
        <w:t>es de fournir les informations ou le signal d</w:t>
      </w:r>
      <w:r w:rsidR="00145E4B">
        <w:t>’</w:t>
      </w:r>
      <w:r w:rsidRPr="00E07570">
        <w:t xml:space="preserve">avertissement. </w:t>
      </w:r>
    </w:p>
    <w:p w:rsidR="009D0037" w:rsidRPr="00E07570" w:rsidRDefault="009D0037" w:rsidP="009D0037">
      <w:pPr>
        <w:pStyle w:val="SingleTxtG"/>
        <w:ind w:left="2268" w:hanging="1134"/>
      </w:pPr>
      <w:r w:rsidRPr="00E07570">
        <w:rPr>
          <w:b/>
        </w:rPr>
        <w:t>17.6</w:t>
      </w:r>
      <w:r w:rsidRPr="00E07570">
        <w:tab/>
        <w:t>Alimentation électrique</w:t>
      </w:r>
    </w:p>
    <w:p w:rsidR="009D0037" w:rsidRPr="00E07570" w:rsidRDefault="009D0037" w:rsidP="009D0037">
      <w:pPr>
        <w:pStyle w:val="SingleTxtG"/>
        <w:ind w:left="2268" w:hanging="1134"/>
      </w:pPr>
      <w:r w:rsidRPr="00E07570">
        <w:rPr>
          <w:b/>
        </w:rPr>
        <w:t>17.6.1</w:t>
      </w:r>
      <w:r w:rsidRPr="00E07570">
        <w:tab/>
        <w:t>Effectuer l</w:t>
      </w:r>
      <w:r w:rsidR="00145E4B">
        <w:t>’</w:t>
      </w:r>
      <w:r w:rsidRPr="00E07570">
        <w:t>essai sur catapulte décrit à l</w:t>
      </w:r>
      <w:r w:rsidR="00145E4B">
        <w:t>’</w:t>
      </w:r>
      <w:r w:rsidRPr="00E07570">
        <w:t>annexe </w:t>
      </w:r>
      <w:r w:rsidRPr="00E07570">
        <w:rPr>
          <w:b/>
        </w:rPr>
        <w:t>9</w:t>
      </w:r>
      <w:r w:rsidRPr="00E07570">
        <w:t>.</w:t>
      </w:r>
    </w:p>
    <w:p w:rsidR="009D0037" w:rsidRPr="00E07570" w:rsidRDefault="009D0037" w:rsidP="009D0037">
      <w:pPr>
        <w:pStyle w:val="SingleTxtG"/>
        <w:ind w:left="2268" w:hanging="1134"/>
      </w:pPr>
      <w:r w:rsidRPr="00E07570">
        <w:rPr>
          <w:b/>
        </w:rPr>
        <w:t>17.6.2</w:t>
      </w:r>
      <w:r w:rsidRPr="00E07570">
        <w:tab/>
        <w:t>Immédiatement après l</w:t>
      </w:r>
      <w:r w:rsidR="00145E4B">
        <w:t>’</w:t>
      </w:r>
      <w:r w:rsidRPr="00E07570">
        <w:t>essai sur catapulte, simuler un déclenchemen</w:t>
      </w:r>
      <w:r w:rsidR="00D668A1" w:rsidRPr="00E07570">
        <w:t>t de façon à émettre un MSD.</w:t>
      </w:r>
    </w:p>
    <w:p w:rsidR="009D0037" w:rsidRPr="00E07570" w:rsidRDefault="009D0037" w:rsidP="009D0037">
      <w:pPr>
        <w:pStyle w:val="SingleTxtG"/>
        <w:ind w:left="2268" w:hanging="1134"/>
      </w:pPr>
      <w:r w:rsidRPr="00E07570">
        <w:rPr>
          <w:b/>
        </w:rPr>
        <w:t>17.6.3</w:t>
      </w:r>
      <w:r w:rsidRPr="00E07570">
        <w:tab/>
        <w:t>L</w:t>
      </w:r>
      <w:r w:rsidR="00145E4B">
        <w:t>’</w:t>
      </w:r>
      <w:r w:rsidRPr="00E07570">
        <w:t>AECD doit émettre le MSD et fournir l</w:t>
      </w:r>
      <w:r w:rsidR="00145E4B">
        <w:t>’</w:t>
      </w:r>
      <w:r w:rsidRPr="00E07570">
        <w:t>indication de statut (le cas échéant), dès le déclenchement. Pour le vérifier, il faut appliquer une des méthodes décrites au paragraphe 2 de l</w:t>
      </w:r>
      <w:r w:rsidR="00145E4B">
        <w:t>’</w:t>
      </w:r>
      <w:r w:rsidRPr="00E07570">
        <w:t>annexe </w:t>
      </w:r>
      <w:r w:rsidRPr="00E07570">
        <w:rPr>
          <w:b/>
        </w:rPr>
        <w:t>11</w:t>
      </w:r>
      <w:r w:rsidRPr="00E07570">
        <w:t>.</w:t>
      </w:r>
    </w:p>
    <w:p w:rsidR="009D0037" w:rsidRPr="00E07570" w:rsidRDefault="009D0037" w:rsidP="009D0037">
      <w:pPr>
        <w:pStyle w:val="SingleTxtG"/>
        <w:ind w:left="2268" w:hanging="1134"/>
      </w:pPr>
      <w:r w:rsidRPr="00E07570">
        <w:rPr>
          <w:b/>
        </w:rPr>
        <w:t>17.6.2.1</w:t>
      </w:r>
      <w:r w:rsidRPr="00E07570">
        <w:tab/>
      </w:r>
      <w:r w:rsidRPr="00E07570">
        <w:tab/>
        <w:t>Si l</w:t>
      </w:r>
      <w:r w:rsidR="00145E4B">
        <w:t>’</w:t>
      </w:r>
      <w:r w:rsidRPr="00E07570">
        <w:t>AECD est équipé d</w:t>
      </w:r>
      <w:r w:rsidR="00145E4B">
        <w:t>’</w:t>
      </w:r>
      <w:r w:rsidRPr="00E07570">
        <w:t>une alimentation électrique de secours, il convient de vérifier, à la demande du demandeur de l</w:t>
      </w:r>
      <w:r w:rsidR="00145E4B">
        <w:t>’</w:t>
      </w:r>
      <w:r w:rsidRPr="00E07570">
        <w:t>homologation, qu</w:t>
      </w:r>
      <w:r w:rsidR="00145E4B">
        <w:t>’</w:t>
      </w:r>
      <w:r w:rsidRPr="00E07570">
        <w:t>il peut fonctionner de façon autonome pendant au moins 5 minutes dans un premier temps, en mode communication vocale, puis pendant 60 minutes en mode rappel (mode inactif enregistré dans un réseau) et enfin au moins pendant 5 minutes en mode communication vocale. Cette information doit figurer dans le document de communication défini à l</w:t>
      </w:r>
      <w:r w:rsidR="00145E4B">
        <w:t>’</w:t>
      </w:r>
      <w:r w:rsidRPr="00E07570">
        <w:t>annexe </w:t>
      </w:r>
      <w:r w:rsidRPr="00E07570">
        <w:rPr>
          <w:b/>
        </w:rPr>
        <w:t>2</w:t>
      </w:r>
      <w:r w:rsidRPr="00E07570">
        <w:t>, point 10.</w:t>
      </w:r>
    </w:p>
    <w:p w:rsidR="009D0037" w:rsidRPr="00E07570" w:rsidRDefault="009D0037" w:rsidP="009D0037">
      <w:pPr>
        <w:pStyle w:val="SingleTxtG"/>
        <w:ind w:left="2268" w:hanging="1134"/>
      </w:pPr>
      <w:r w:rsidRPr="00E07570">
        <w:rPr>
          <w:b/>
        </w:rPr>
        <w:t>17.6.3</w:t>
      </w:r>
      <w:r w:rsidRPr="00E07570">
        <w:tab/>
        <w:t>La présence d</w:t>
      </w:r>
      <w:r w:rsidR="00145E4B">
        <w:t>’</w:t>
      </w:r>
      <w:r w:rsidRPr="00E07570">
        <w:t>une alimentation électrique de secours doit être clairement indiquée dans le document d</w:t>
      </w:r>
      <w:r w:rsidR="00145E4B">
        <w:t>’</w:t>
      </w:r>
      <w:r w:rsidRPr="00E07570">
        <w:t>information de l</w:t>
      </w:r>
      <w:r w:rsidR="00145E4B">
        <w:t>’</w:t>
      </w:r>
      <w:r w:rsidRPr="00E07570">
        <w:t>annexe </w:t>
      </w:r>
      <w:r w:rsidRPr="00E07570">
        <w:rPr>
          <w:b/>
        </w:rPr>
        <w:t>6</w:t>
      </w:r>
      <w:r w:rsidRPr="00E07570">
        <w:t>, point 10.</w:t>
      </w:r>
    </w:p>
    <w:p w:rsidR="009D0037" w:rsidRPr="00E07570" w:rsidRDefault="009D0037" w:rsidP="009D0037">
      <w:pPr>
        <w:pStyle w:val="SingleTxtG"/>
        <w:ind w:left="2268" w:hanging="1134"/>
      </w:pPr>
      <w:r w:rsidRPr="00E07570">
        <w:rPr>
          <w:b/>
        </w:rPr>
        <w:t>17.7</w:t>
      </w:r>
      <w:r w:rsidRPr="00E07570">
        <w:tab/>
        <w:t>Résistance au choc</w:t>
      </w:r>
    </w:p>
    <w:p w:rsidR="009D0037" w:rsidRPr="00E07570" w:rsidRDefault="009D0037" w:rsidP="009D0037">
      <w:pPr>
        <w:pStyle w:val="SingleTxtG"/>
        <w:ind w:left="2268"/>
      </w:pPr>
      <w:r w:rsidRPr="00E07570">
        <w:t>L</w:t>
      </w:r>
      <w:r w:rsidR="00145E4B">
        <w:t>’</w:t>
      </w:r>
      <w:r w:rsidRPr="00E07570">
        <w:t>AECD doit rester en état de fonctionnement après un choc. On le vérifie conformément à l</w:t>
      </w:r>
      <w:r w:rsidR="00145E4B">
        <w:t>’</w:t>
      </w:r>
      <w:r w:rsidRPr="00E07570">
        <w:t>annexe </w:t>
      </w:r>
      <w:r w:rsidRPr="00E07570">
        <w:rPr>
          <w:b/>
        </w:rPr>
        <w:t>9</w:t>
      </w:r>
      <w:r w:rsidRPr="00E07570">
        <w:t xml:space="preserve"> et on vérifie aussi l</w:t>
      </w:r>
      <w:r w:rsidR="00145E4B">
        <w:t>’</w:t>
      </w:r>
      <w:r w:rsidRPr="00E07570">
        <w:t>état de fonctionnement du MSD et de la fonction IHM conformément au paragraphe 2 de l</w:t>
      </w:r>
      <w:r w:rsidR="00145E4B">
        <w:t>’</w:t>
      </w:r>
      <w:r w:rsidRPr="00E07570">
        <w:t>annexe </w:t>
      </w:r>
      <w:r w:rsidRPr="00E07570">
        <w:rPr>
          <w:b/>
        </w:rPr>
        <w:t>11</w:t>
      </w:r>
      <w:r w:rsidRPr="00E07570">
        <w:t>.</w:t>
      </w:r>
    </w:p>
    <w:p w:rsidR="009D0037" w:rsidRPr="00E07570" w:rsidRDefault="009D0037" w:rsidP="009D0037">
      <w:pPr>
        <w:pStyle w:val="SingleTxtG"/>
        <w:ind w:left="2268" w:hanging="1134"/>
      </w:pPr>
      <w:r w:rsidRPr="00E07570">
        <w:rPr>
          <w:b/>
        </w:rPr>
        <w:t>17.7.1</w:t>
      </w:r>
      <w:r w:rsidRPr="00E07570">
        <w:tab/>
      </w:r>
      <w:r w:rsidRPr="00E07570">
        <w:tab/>
        <w:t>Les éléments suivants de l</w:t>
      </w:r>
      <w:r w:rsidR="00145E4B">
        <w:t>’</w:t>
      </w:r>
      <w:r w:rsidRPr="00E07570">
        <w:t>AECD doivent être éprouvés conformément à l</w:t>
      </w:r>
      <w:r w:rsidR="00145E4B">
        <w:t>’</w:t>
      </w:r>
      <w:r w:rsidRPr="00E07570">
        <w:t>annexe </w:t>
      </w:r>
      <w:r w:rsidRPr="00E07570">
        <w:rPr>
          <w:b/>
        </w:rPr>
        <w:t>9</w:t>
      </w:r>
      <w:r w:rsidRPr="00E07570">
        <w:t> :</w:t>
      </w:r>
    </w:p>
    <w:p w:rsidR="009D0037" w:rsidRPr="00E07570" w:rsidRDefault="009D0037" w:rsidP="008F4EFF">
      <w:pPr>
        <w:pStyle w:val="SingleTxtG"/>
        <w:ind w:left="2835" w:hanging="567"/>
      </w:pPr>
      <w:r w:rsidRPr="00E07570">
        <w:t>a)</w:t>
      </w:r>
      <w:r w:rsidRPr="00E07570">
        <w:tab/>
        <w:t>Module de commande ;</w:t>
      </w:r>
    </w:p>
    <w:p w:rsidR="009D0037" w:rsidRPr="00E07570" w:rsidRDefault="009D0037" w:rsidP="008F4EFF">
      <w:pPr>
        <w:pStyle w:val="SingleTxtG"/>
        <w:ind w:left="2835" w:hanging="567"/>
      </w:pPr>
      <w:r w:rsidRPr="00E07570">
        <w:t>b)</w:t>
      </w:r>
      <w:r w:rsidRPr="00E07570">
        <w:tab/>
        <w:t>Module de communication, à l</w:t>
      </w:r>
      <w:r w:rsidR="00145E4B">
        <w:t>’</w:t>
      </w:r>
      <w:r w:rsidRPr="00E07570">
        <w:t>exclusion des microphones et des haut</w:t>
      </w:r>
      <w:r w:rsidR="008F4EFF" w:rsidRPr="00E07570">
        <w:noBreakHyphen/>
      </w:r>
      <w:r w:rsidRPr="00E07570">
        <w:t>parleurs ;</w:t>
      </w:r>
    </w:p>
    <w:p w:rsidR="009D0037" w:rsidRPr="00E07570" w:rsidRDefault="009D0037" w:rsidP="008F4EFF">
      <w:pPr>
        <w:pStyle w:val="SingleTxtG"/>
        <w:ind w:left="2835" w:hanging="567"/>
      </w:pPr>
      <w:r w:rsidRPr="00E07570">
        <w:t>c)</w:t>
      </w:r>
      <w:r w:rsidRPr="00E07570">
        <w:tab/>
        <w:t>Alimentation électrique de secours (le cas échéant) ;</w:t>
      </w:r>
    </w:p>
    <w:p w:rsidR="009D0037" w:rsidRPr="00E07570" w:rsidRDefault="009D0037" w:rsidP="008F4EFF">
      <w:pPr>
        <w:pStyle w:val="SingleTxtG"/>
        <w:ind w:left="2835" w:hanging="567"/>
      </w:pPr>
      <w:r w:rsidRPr="00E07570">
        <w:t>d)</w:t>
      </w:r>
      <w:r w:rsidRPr="00E07570">
        <w:tab/>
        <w:t>Raccords</w:t>
      </w:r>
      <w:r w:rsidRPr="00E07570">
        <w:rPr>
          <w:rStyle w:val="FootnoteReference"/>
        </w:rPr>
        <w:footnoteReference w:id="5"/>
      </w:r>
      <w:r w:rsidRPr="00E07570">
        <w:t> ;</w:t>
      </w:r>
    </w:p>
    <w:p w:rsidR="009D0037" w:rsidRPr="00E07570" w:rsidRDefault="009D0037" w:rsidP="00454B91">
      <w:pPr>
        <w:pStyle w:val="SingleTxtG"/>
        <w:ind w:left="2835" w:hanging="567"/>
      </w:pPr>
      <w:r w:rsidRPr="00E07570">
        <w:t>e)</w:t>
      </w:r>
      <w:r w:rsidRPr="00E07570">
        <w:tab/>
        <w:t>Antenne d</w:t>
      </w:r>
      <w:r w:rsidR="00145E4B">
        <w:t>’</w:t>
      </w:r>
      <w:r w:rsidRPr="00E07570">
        <w:t>accès au réseau.</w:t>
      </w:r>
    </w:p>
    <w:p w:rsidR="009D0037" w:rsidRPr="00E07570" w:rsidRDefault="009D0037" w:rsidP="00454B91">
      <w:pPr>
        <w:pStyle w:val="SingleTxtG"/>
        <w:ind w:left="2268" w:hanging="1134"/>
      </w:pPr>
      <w:r w:rsidRPr="00E07570">
        <w:rPr>
          <w:b/>
        </w:rPr>
        <w:t>17.7.2</w:t>
      </w:r>
      <w:r w:rsidRPr="00E07570">
        <w:tab/>
        <w:t>Si le demandeur de l</w:t>
      </w:r>
      <w:r w:rsidR="00145E4B">
        <w:t>’</w:t>
      </w:r>
      <w:r w:rsidRPr="00E07570">
        <w:t>homologation en fait la demande, les éléments suivants de l</w:t>
      </w:r>
      <w:r w:rsidR="00145E4B">
        <w:t>’</w:t>
      </w:r>
      <w:r w:rsidRPr="00E07570">
        <w:t>AECD peuvent être éprouvés conformément à l</w:t>
      </w:r>
      <w:r w:rsidR="00145E4B">
        <w:t>’</w:t>
      </w:r>
      <w:r w:rsidRPr="00E07570">
        <w:t>annexe </w:t>
      </w:r>
      <w:r w:rsidRPr="00E07570">
        <w:rPr>
          <w:b/>
        </w:rPr>
        <w:t>9</w:t>
      </w:r>
      <w:r w:rsidRPr="00E07570">
        <w:t xml:space="preserve"> : </w:t>
      </w:r>
    </w:p>
    <w:p w:rsidR="009D0037" w:rsidRPr="00E07570" w:rsidRDefault="009D0037" w:rsidP="00454B91">
      <w:pPr>
        <w:pStyle w:val="SingleTxtG"/>
        <w:ind w:left="2835" w:hanging="567"/>
      </w:pPr>
      <w:r w:rsidRPr="00E07570">
        <w:t>a)</w:t>
      </w:r>
      <w:r w:rsidRPr="00E07570">
        <w:tab/>
        <w:t>Signal d</w:t>
      </w:r>
      <w:r w:rsidR="00145E4B">
        <w:t>’</w:t>
      </w:r>
      <w:r w:rsidRPr="00E07570">
        <w:t>avertissement AECD ;</w:t>
      </w:r>
    </w:p>
    <w:p w:rsidR="009D0037" w:rsidRPr="00E07570" w:rsidRDefault="009D0037" w:rsidP="00454B91">
      <w:pPr>
        <w:pStyle w:val="SingleTxtG"/>
        <w:ind w:left="2835" w:hanging="567"/>
      </w:pPr>
      <w:r w:rsidRPr="00E07570">
        <w:t>b)</w:t>
      </w:r>
      <w:r w:rsidRPr="00E07570">
        <w:tab/>
        <w:t xml:space="preserve">Équipement audio mains </w:t>
      </w:r>
      <w:r w:rsidR="00305F8B" w:rsidRPr="00E07570">
        <w:t>libres</w:t>
      </w:r>
      <w:r w:rsidRPr="00E07570">
        <w:t xml:space="preserve"> (microphones et haut-parleurs) ;</w:t>
      </w:r>
    </w:p>
    <w:p w:rsidR="009D0037" w:rsidRPr="00E07570" w:rsidRDefault="009D0037" w:rsidP="00454B91">
      <w:pPr>
        <w:pStyle w:val="SingleTxtG"/>
        <w:ind w:left="2835" w:hanging="567"/>
      </w:pPr>
      <w:r w:rsidRPr="00E07570">
        <w:t>c)</w:t>
      </w:r>
      <w:r w:rsidRPr="00E07570">
        <w:tab/>
        <w:t>Signal d</w:t>
      </w:r>
      <w:r w:rsidR="00145E4B">
        <w:t>’</w:t>
      </w:r>
      <w:r w:rsidRPr="00E07570">
        <w:t>information AECD ;</w:t>
      </w:r>
    </w:p>
    <w:p w:rsidR="009D0037" w:rsidRPr="00E07570" w:rsidRDefault="009D0037" w:rsidP="00454B91">
      <w:pPr>
        <w:pStyle w:val="SingleTxtG"/>
        <w:ind w:left="2835" w:hanging="567"/>
      </w:pPr>
      <w:r w:rsidRPr="00E07570">
        <w:t>d)</w:t>
      </w:r>
      <w:r w:rsidRPr="00E07570">
        <w:tab/>
        <w:t>Alimentation électrique autre que l</w:t>
      </w:r>
      <w:r w:rsidR="00145E4B">
        <w:t>’</w:t>
      </w:r>
      <w:r w:rsidRPr="00E07570">
        <w:t xml:space="preserve">alimentation électrique de secours mentionnée au paragraphe </w:t>
      </w:r>
      <w:r w:rsidRPr="00E07570">
        <w:rPr>
          <w:b/>
        </w:rPr>
        <w:t>17.7.1</w:t>
      </w:r>
      <w:r w:rsidRPr="00E07570">
        <w:t> ;</w:t>
      </w:r>
    </w:p>
    <w:p w:rsidR="009D0037" w:rsidRPr="00E07570" w:rsidRDefault="009D0037" w:rsidP="00454B91">
      <w:pPr>
        <w:pStyle w:val="SingleTxtG"/>
        <w:ind w:left="2835" w:hanging="567"/>
      </w:pPr>
      <w:r w:rsidRPr="00E07570">
        <w:t>e)</w:t>
      </w:r>
      <w:r w:rsidRPr="00E07570">
        <w:tab/>
        <w:t>Antenne GNSS ;</w:t>
      </w:r>
    </w:p>
    <w:p w:rsidR="009D0037" w:rsidRPr="00E07570" w:rsidRDefault="009D0037" w:rsidP="00454B91">
      <w:pPr>
        <w:pStyle w:val="SingleTxtG"/>
        <w:ind w:left="2835" w:hanging="567"/>
      </w:pPr>
      <w:r w:rsidRPr="00E07570">
        <w:t>f)</w:t>
      </w:r>
      <w:r w:rsidRPr="00E07570">
        <w:tab/>
        <w:t>Récepteur GNSS.</w:t>
      </w:r>
    </w:p>
    <w:p w:rsidR="009D0037" w:rsidRPr="00E07570" w:rsidRDefault="009D0037" w:rsidP="00454B91">
      <w:pPr>
        <w:pStyle w:val="HChG"/>
        <w:ind w:left="2268"/>
      </w:pPr>
      <w:r w:rsidRPr="00E07570">
        <w:t>18.</w:t>
      </w:r>
      <w:r w:rsidRPr="00E07570">
        <w:tab/>
        <w:t>Modification d</w:t>
      </w:r>
      <w:r w:rsidR="00145E4B">
        <w:t>’</w:t>
      </w:r>
      <w:r w:rsidRPr="00E07570">
        <w:t>un type d</w:t>
      </w:r>
      <w:r w:rsidR="00145E4B">
        <w:t>’</w:t>
      </w:r>
      <w:r w:rsidRPr="00E07570">
        <w:t xml:space="preserve">AECD et extension </w:t>
      </w:r>
      <w:r w:rsidRPr="00E07570">
        <w:br/>
        <w:t>de l</w:t>
      </w:r>
      <w:r w:rsidR="00145E4B">
        <w:t>’</w:t>
      </w:r>
      <w:r w:rsidRPr="00E07570">
        <w:t>homologation</w:t>
      </w:r>
    </w:p>
    <w:p w:rsidR="009D0037" w:rsidRPr="00E07570" w:rsidRDefault="009D0037" w:rsidP="00454B91">
      <w:pPr>
        <w:pStyle w:val="SingleTxtG"/>
        <w:ind w:left="2268" w:hanging="1134"/>
      </w:pPr>
      <w:r w:rsidRPr="00E07570">
        <w:rPr>
          <w:b/>
        </w:rPr>
        <w:t>18.1</w:t>
      </w:r>
      <w:r w:rsidRPr="00E07570">
        <w:tab/>
        <w:t>Toute modification d</w:t>
      </w:r>
      <w:r w:rsidR="00145E4B">
        <w:t>’</w:t>
      </w:r>
      <w:r w:rsidRPr="00E07570">
        <w:t>un type d</w:t>
      </w:r>
      <w:r w:rsidR="00145E4B">
        <w:t>’</w:t>
      </w:r>
      <w:r w:rsidRPr="00E07570">
        <w:t>AECD doit être communiquée à l</w:t>
      </w:r>
      <w:r w:rsidR="00145E4B">
        <w:t>’</w:t>
      </w:r>
      <w:r w:rsidRPr="00E07570">
        <w:t>autorité d</w:t>
      </w:r>
      <w:r w:rsidR="00145E4B">
        <w:t>’</w:t>
      </w:r>
      <w:r w:rsidRPr="00E07570">
        <w:t>homologation qui avait approuvé le type en question. L</w:t>
      </w:r>
      <w:r w:rsidR="00145E4B">
        <w:t>’</w:t>
      </w:r>
      <w:r w:rsidRPr="00E07570">
        <w:t>autorité d</w:t>
      </w:r>
      <w:r w:rsidR="00145E4B">
        <w:t>’</w:t>
      </w:r>
      <w:r w:rsidRPr="00E07570">
        <w:t>homologation peut alors :</w:t>
      </w:r>
    </w:p>
    <w:p w:rsidR="009D0037" w:rsidRPr="00E07570" w:rsidRDefault="009D0037" w:rsidP="00454B91">
      <w:pPr>
        <w:pStyle w:val="SingleTxtG"/>
        <w:ind w:left="2835" w:hanging="567"/>
      </w:pPr>
      <w:r w:rsidRPr="00E07570">
        <w:t>a)</w:t>
      </w:r>
      <w:r w:rsidRPr="00E07570">
        <w:tab/>
        <w:t>Soit décider, de concert avec le constructeur, d</w:t>
      </w:r>
      <w:r w:rsidR="00145E4B">
        <w:t>’</w:t>
      </w:r>
      <w:r w:rsidRPr="00E07570">
        <w:t>homologuer un nouveau type d</w:t>
      </w:r>
      <w:r w:rsidR="00145E4B">
        <w:t>’</w:t>
      </w:r>
      <w:r w:rsidRPr="00E07570">
        <w:t>AECD ;</w:t>
      </w:r>
    </w:p>
    <w:p w:rsidR="009D0037" w:rsidRPr="00E07570" w:rsidRDefault="009D0037" w:rsidP="00454B91">
      <w:pPr>
        <w:pStyle w:val="SingleTxtG"/>
        <w:ind w:left="2835" w:hanging="567"/>
      </w:pPr>
      <w:r w:rsidRPr="00E07570">
        <w:t>b)</w:t>
      </w:r>
      <w:r w:rsidRPr="00E07570">
        <w:tab/>
        <w:t>Soit appliquer la procédure énoncée au paragraphe </w:t>
      </w:r>
      <w:r w:rsidRPr="00E07570">
        <w:rPr>
          <w:b/>
        </w:rPr>
        <w:t>18.1.1</w:t>
      </w:r>
      <w:r w:rsidRPr="00E07570">
        <w:t xml:space="preserve"> (Révision) et, le cas échéant, la procédure prévue au paragraphe </w:t>
      </w:r>
      <w:r w:rsidRPr="00E07570">
        <w:rPr>
          <w:b/>
        </w:rPr>
        <w:t>18.1.2</w:t>
      </w:r>
      <w:r w:rsidRPr="00E07570">
        <w:t xml:space="preserve"> (Extension).</w:t>
      </w:r>
    </w:p>
    <w:p w:rsidR="009D0037" w:rsidRPr="00E07570" w:rsidRDefault="009D0037" w:rsidP="00454B91">
      <w:pPr>
        <w:pStyle w:val="SingleTxtG"/>
        <w:ind w:left="2268" w:hanging="1134"/>
      </w:pPr>
      <w:r w:rsidRPr="00E07570">
        <w:rPr>
          <w:b/>
        </w:rPr>
        <w:t>18.1.1</w:t>
      </w:r>
      <w:r w:rsidRPr="00E07570">
        <w:tab/>
        <w:t>Révision</w:t>
      </w:r>
    </w:p>
    <w:p w:rsidR="009D0037" w:rsidRPr="00E07570" w:rsidRDefault="009D0037" w:rsidP="00454B91">
      <w:pPr>
        <w:pStyle w:val="SingleTxtG"/>
        <w:ind w:left="2268"/>
      </w:pPr>
      <w:r w:rsidRPr="00E07570">
        <w:t>Lorsque les éléments contenus dans les documents d</w:t>
      </w:r>
      <w:r w:rsidR="00145E4B">
        <w:t>’</w:t>
      </w:r>
      <w:r w:rsidRPr="00E07570">
        <w:t>information visés à l</w:t>
      </w:r>
      <w:r w:rsidR="00145E4B">
        <w:t>’</w:t>
      </w:r>
      <w:r w:rsidRPr="00E07570">
        <w:t>annexe </w:t>
      </w:r>
      <w:r w:rsidRPr="00E07570">
        <w:rPr>
          <w:b/>
        </w:rPr>
        <w:t>6</w:t>
      </w:r>
      <w:r w:rsidRPr="00E07570">
        <w:t xml:space="preserve"> ont changé et que l</w:t>
      </w:r>
      <w:r w:rsidR="00145E4B">
        <w:t>’</w:t>
      </w:r>
      <w:r w:rsidRPr="00E07570">
        <w:t>autorité d</w:t>
      </w:r>
      <w:r w:rsidR="00145E4B">
        <w:t>’</w:t>
      </w:r>
      <w:r w:rsidRPr="00E07570">
        <w:t>homologation estime que les modifications apportées ne devraient pas avoir de conséquences néfastes notables, et que dans tous les cas le véhicule est toujours conforme aux prescriptions, la modification est qualifiée de « révision ».</w:t>
      </w:r>
    </w:p>
    <w:p w:rsidR="009D0037" w:rsidRPr="00E07570" w:rsidRDefault="009D0037" w:rsidP="00FD3A79">
      <w:pPr>
        <w:pStyle w:val="SingleTxtG"/>
        <w:ind w:left="2268"/>
      </w:pPr>
      <w:r w:rsidRPr="00E07570">
        <w:tab/>
        <w:t>Dans ce cas, l</w:t>
      </w:r>
      <w:r w:rsidR="00145E4B">
        <w:t>’</w:t>
      </w:r>
      <w:r w:rsidRPr="00E07570">
        <w:t>autorité d</w:t>
      </w:r>
      <w:r w:rsidR="00145E4B">
        <w:t>’</w:t>
      </w:r>
      <w:r w:rsidRPr="00E07570">
        <w:t>homologation doit publier la version révisée des pages des documents d</w:t>
      </w:r>
      <w:r w:rsidR="00145E4B">
        <w:t>’</w:t>
      </w:r>
      <w:r w:rsidRPr="00E07570">
        <w:t>information visés à l</w:t>
      </w:r>
      <w:r w:rsidR="00145E4B">
        <w:t>’</w:t>
      </w:r>
      <w:r w:rsidRPr="00E07570">
        <w:t>annexe </w:t>
      </w:r>
      <w:r w:rsidRPr="00E07570">
        <w:rPr>
          <w:b/>
        </w:rPr>
        <w:t>6</w:t>
      </w:r>
      <w:r w:rsidRPr="00E07570">
        <w:t>, en indiquant sur chacune d</w:t>
      </w:r>
      <w:r w:rsidR="00145E4B">
        <w:t>’</w:t>
      </w:r>
      <w:r w:rsidRPr="00E07570">
        <w:t>elles la nature des modifications apportées et la date à laquelle elle sera republiée. Une version consolidée et mise à jour des documents d</w:t>
      </w:r>
      <w:r w:rsidR="00145E4B">
        <w:t>’</w:t>
      </w:r>
      <w:r w:rsidRPr="00E07570">
        <w:t>information visés à l</w:t>
      </w:r>
      <w:r w:rsidR="00145E4B">
        <w:t>’</w:t>
      </w:r>
      <w:r w:rsidRPr="00E07570">
        <w:t>annexe </w:t>
      </w:r>
      <w:r w:rsidRPr="00E07570">
        <w:rPr>
          <w:b/>
        </w:rPr>
        <w:t>6</w:t>
      </w:r>
      <w:r w:rsidRPr="00E07570">
        <w:t>, accompagnée d</w:t>
      </w:r>
      <w:r w:rsidR="00145E4B">
        <w:t>’</w:t>
      </w:r>
      <w:r w:rsidRPr="00E07570">
        <w:t>une description détaillée des modifications apportées, sera considérée comme satisfaisant à la présente prescription.</w:t>
      </w:r>
    </w:p>
    <w:p w:rsidR="009D0037" w:rsidRPr="00E07570" w:rsidRDefault="009D0037" w:rsidP="00454B91">
      <w:pPr>
        <w:pStyle w:val="SingleTxtG"/>
        <w:ind w:left="2268" w:hanging="1134"/>
      </w:pPr>
      <w:r w:rsidRPr="00E07570">
        <w:rPr>
          <w:b/>
        </w:rPr>
        <w:t>18.1.2</w:t>
      </w:r>
      <w:r w:rsidRPr="00E07570">
        <w:tab/>
        <w:t>Extension</w:t>
      </w:r>
    </w:p>
    <w:p w:rsidR="009D0037" w:rsidRPr="00E07570" w:rsidRDefault="009D0037" w:rsidP="00FD3A79">
      <w:pPr>
        <w:pStyle w:val="SingleTxtG"/>
        <w:ind w:left="2268"/>
      </w:pPr>
      <w:r w:rsidRPr="00E07570">
        <w:tab/>
        <w:t>La modification est qualifiée d</w:t>
      </w:r>
      <w:r w:rsidR="00145E4B">
        <w:t>’</w:t>
      </w:r>
      <w:r w:rsidRPr="00E07570">
        <w:t>extension si, outre la modification des informations figurant dans le document d</w:t>
      </w:r>
      <w:r w:rsidR="00145E4B">
        <w:t>’</w:t>
      </w:r>
      <w:r w:rsidRPr="00E07570">
        <w:t>information :</w:t>
      </w:r>
    </w:p>
    <w:p w:rsidR="009D0037" w:rsidRPr="00E07570" w:rsidRDefault="009D0037" w:rsidP="00454B91">
      <w:pPr>
        <w:pStyle w:val="SingleTxtG"/>
        <w:ind w:left="2835" w:hanging="567"/>
      </w:pPr>
      <w:r w:rsidRPr="00E07570">
        <w:t>a)</w:t>
      </w:r>
      <w:r w:rsidRPr="00E07570">
        <w:tab/>
        <w:t>D</w:t>
      </w:r>
      <w:r w:rsidR="00145E4B">
        <w:t>’</w:t>
      </w:r>
      <w:r w:rsidRPr="00E07570">
        <w:t>autres visites ou d</w:t>
      </w:r>
      <w:r w:rsidR="00145E4B">
        <w:t>’</w:t>
      </w:r>
      <w:r w:rsidRPr="00E07570">
        <w:t>autres essais sont requis ; ou</w:t>
      </w:r>
    </w:p>
    <w:p w:rsidR="009D0037" w:rsidRPr="00E07570" w:rsidRDefault="009D0037" w:rsidP="00454B91">
      <w:pPr>
        <w:pStyle w:val="SingleTxtG"/>
        <w:ind w:left="2835" w:hanging="567"/>
      </w:pPr>
      <w:r w:rsidRPr="00E07570">
        <w:t>b)</w:t>
      </w:r>
      <w:r w:rsidRPr="00E07570">
        <w:tab/>
        <w:t>Les informations contenues dans le document de communication, à l</w:t>
      </w:r>
      <w:r w:rsidR="00145E4B">
        <w:t>’</w:t>
      </w:r>
      <w:r w:rsidRPr="00E07570">
        <w:t xml:space="preserve">exception de ses annexes, ont changé ; ou </w:t>
      </w:r>
    </w:p>
    <w:p w:rsidR="009D0037" w:rsidRPr="00E07570" w:rsidRDefault="009D0037" w:rsidP="00454B91">
      <w:pPr>
        <w:pStyle w:val="SingleTxtG"/>
        <w:ind w:left="2835" w:hanging="567"/>
      </w:pPr>
      <w:r w:rsidRPr="00E07570">
        <w:t>c)</w:t>
      </w:r>
      <w:r w:rsidRPr="00E07570">
        <w:tab/>
        <w:t>L</w:t>
      </w:r>
      <w:r w:rsidR="00145E4B">
        <w:t>’</w:t>
      </w:r>
      <w:r w:rsidRPr="00E07570">
        <w:t>homologation en vertu d</w:t>
      </w:r>
      <w:r w:rsidR="00145E4B">
        <w:t>’</w:t>
      </w:r>
      <w:r w:rsidRPr="00E07570">
        <w:t>une série ultérieure d</w:t>
      </w:r>
      <w:r w:rsidR="00145E4B">
        <w:t>’</w:t>
      </w:r>
      <w:r w:rsidRPr="00E07570">
        <w:t>amendements est demandée après l</w:t>
      </w:r>
      <w:r w:rsidR="00145E4B">
        <w:t>’</w:t>
      </w:r>
      <w:r w:rsidRPr="00E07570">
        <w:t>entrée en vigueur de l</w:t>
      </w:r>
      <w:r w:rsidR="00145E4B">
        <w:t>’</w:t>
      </w:r>
      <w:r w:rsidRPr="00E07570">
        <w:t>homologation.</w:t>
      </w:r>
    </w:p>
    <w:p w:rsidR="009D0037" w:rsidRPr="00E07570" w:rsidRDefault="009D0037" w:rsidP="00454B91">
      <w:pPr>
        <w:pStyle w:val="SingleTxtG"/>
        <w:ind w:left="2268" w:hanging="1134"/>
      </w:pPr>
      <w:r w:rsidRPr="00E07570">
        <w:rPr>
          <w:b/>
        </w:rPr>
        <w:t>18.2</w:t>
      </w:r>
      <w:r w:rsidRPr="00E07570">
        <w:tab/>
        <w:t>La confirmation, l</w:t>
      </w:r>
      <w:r w:rsidR="00145E4B">
        <w:t>’</w:t>
      </w:r>
      <w:r w:rsidRPr="00E07570">
        <w:t>extension ou le refus d</w:t>
      </w:r>
      <w:r w:rsidR="00145E4B">
        <w:t>’</w:t>
      </w:r>
      <w:r w:rsidRPr="00E07570">
        <w:t>homologation doivent être adressés aux Parties contractantes à l</w:t>
      </w:r>
      <w:r w:rsidR="00145E4B">
        <w:t>’</w:t>
      </w:r>
      <w:r w:rsidRPr="00E07570">
        <w:t>Accord qui appliquent le présent Règlement conformément à la procédure prescrite au paragraphe </w:t>
      </w:r>
      <w:r w:rsidRPr="00E07570">
        <w:rPr>
          <w:b/>
        </w:rPr>
        <w:t>16.3</w:t>
      </w:r>
      <w:r w:rsidRPr="00E07570">
        <w:t xml:space="preserve"> ci-dessus. En</w:t>
      </w:r>
      <w:r w:rsidR="00FD3A79" w:rsidRPr="00E07570">
        <w:t> </w:t>
      </w:r>
      <w:r w:rsidRPr="00E07570">
        <w:t>outre, l</w:t>
      </w:r>
      <w:r w:rsidR="00145E4B">
        <w:t>’</w:t>
      </w:r>
      <w:r w:rsidRPr="00E07570">
        <w:t>index des documents d</w:t>
      </w:r>
      <w:r w:rsidR="00145E4B">
        <w:t>’</w:t>
      </w:r>
      <w:r w:rsidRPr="00E07570">
        <w:t>information et des procès-verbaux d</w:t>
      </w:r>
      <w:r w:rsidR="00145E4B">
        <w:t>’</w:t>
      </w:r>
      <w:r w:rsidRPr="00E07570">
        <w:t>essai, joint au document d</w:t>
      </w:r>
      <w:r w:rsidR="00145E4B">
        <w:t>’</w:t>
      </w:r>
      <w:r w:rsidRPr="00E07570">
        <w:t>information visé à l</w:t>
      </w:r>
      <w:r w:rsidR="00145E4B">
        <w:t>’</w:t>
      </w:r>
      <w:r w:rsidRPr="00E07570">
        <w:t>annexe </w:t>
      </w:r>
      <w:r w:rsidRPr="00E07570">
        <w:rPr>
          <w:b/>
        </w:rPr>
        <w:t>2</w:t>
      </w:r>
      <w:r w:rsidRPr="00E07570">
        <w:t>, doit être modifié en conséquence pour indiquer la date de la révision ou extension la plus récente.</w:t>
      </w:r>
    </w:p>
    <w:p w:rsidR="009D0037" w:rsidRPr="00E07570" w:rsidRDefault="009D0037" w:rsidP="00454B91">
      <w:pPr>
        <w:pStyle w:val="SingleTxtG"/>
        <w:ind w:left="2268" w:hanging="1134"/>
      </w:pPr>
      <w:r w:rsidRPr="00E07570">
        <w:rPr>
          <w:b/>
        </w:rPr>
        <w:t>18.3</w:t>
      </w:r>
      <w:r w:rsidRPr="00E07570">
        <w:tab/>
        <w:t>L</w:t>
      </w:r>
      <w:r w:rsidR="00145E4B">
        <w:t>’</w:t>
      </w:r>
      <w:r w:rsidRPr="00E07570">
        <w:t>autorité d</w:t>
      </w:r>
      <w:r w:rsidR="00145E4B">
        <w:t>’</w:t>
      </w:r>
      <w:r w:rsidRPr="00E07570">
        <w:t>homologation de type qui délivre l</w:t>
      </w:r>
      <w:r w:rsidR="00145E4B">
        <w:t>’</w:t>
      </w:r>
      <w:r w:rsidRPr="00E07570">
        <w:t>extension d</w:t>
      </w:r>
      <w:r w:rsidR="00145E4B">
        <w:t>’</w:t>
      </w:r>
      <w:r w:rsidRPr="00E07570">
        <w:t>homologation doit attr</w:t>
      </w:r>
      <w:r w:rsidR="007F2BDC" w:rsidRPr="00E07570">
        <w:t>ibu</w:t>
      </w:r>
      <w:r w:rsidRPr="00E07570">
        <w:t>er un numéro de série à chaque fiche de communication établie pour cette extension.</w:t>
      </w:r>
    </w:p>
    <w:p w:rsidR="009D0037" w:rsidRPr="00E07570" w:rsidRDefault="009D0037" w:rsidP="00FD3A79">
      <w:pPr>
        <w:pStyle w:val="HChG"/>
        <w:ind w:left="2268"/>
      </w:pPr>
      <w:bookmarkStart w:id="1" w:name="_Toc405992129"/>
      <w:r w:rsidRPr="00E07570">
        <w:t>19.</w:t>
      </w:r>
      <w:r w:rsidRPr="00E07570">
        <w:tab/>
      </w:r>
      <w:r w:rsidRPr="00E07570">
        <w:tab/>
        <w:t>Conformité de la production</w:t>
      </w:r>
      <w:bookmarkEnd w:id="1"/>
    </w:p>
    <w:p w:rsidR="009D0037" w:rsidRPr="00E07570" w:rsidRDefault="009D0037" w:rsidP="00454B91">
      <w:pPr>
        <w:pStyle w:val="SingleTxtG"/>
        <w:ind w:left="2268" w:hanging="1134"/>
      </w:pPr>
      <w:r w:rsidRPr="00E07570">
        <w:rPr>
          <w:b/>
        </w:rPr>
        <w:t>19.1</w:t>
      </w:r>
      <w:r w:rsidRPr="00E07570">
        <w:tab/>
        <w:t>Les procédures de contrôle de la conformité de la production doivent être conformes à celles qui figurent dans l</w:t>
      </w:r>
      <w:r w:rsidR="00145E4B">
        <w:t>’</w:t>
      </w:r>
      <w:r w:rsidRPr="00E07570">
        <w:t>appendice</w:t>
      </w:r>
      <w:r w:rsidR="00FD3A79" w:rsidRPr="00E07570">
        <w:t> </w:t>
      </w:r>
      <w:r w:rsidRPr="00E07570">
        <w:t>2 de l</w:t>
      </w:r>
      <w:r w:rsidR="00145E4B">
        <w:t>’</w:t>
      </w:r>
      <w:r w:rsidRPr="00E07570">
        <w:t>Accord (E/ECE/324-E/ECE/TRANS/505/Rev.2).</w:t>
      </w:r>
    </w:p>
    <w:p w:rsidR="009D0037" w:rsidRPr="00E07570" w:rsidRDefault="009D0037" w:rsidP="00454B91">
      <w:pPr>
        <w:pStyle w:val="SingleTxtG"/>
        <w:ind w:left="2268" w:hanging="1134"/>
      </w:pPr>
      <w:r w:rsidRPr="00E07570">
        <w:rPr>
          <w:b/>
        </w:rPr>
        <w:t>19.2</w:t>
      </w:r>
      <w:r w:rsidRPr="00E07570">
        <w:tab/>
        <w:t>Tout AECD homologué en application du présent Règlement doit être construit de façon à être conforme au type homologué en satisfaisant aux prescriptions spécifiées au paragraphe </w:t>
      </w:r>
      <w:r w:rsidRPr="00E07570">
        <w:rPr>
          <w:b/>
        </w:rPr>
        <w:t>17</w:t>
      </w:r>
      <w:r w:rsidRPr="00E07570">
        <w:t xml:space="preserve"> ci-dessus.</w:t>
      </w:r>
    </w:p>
    <w:p w:rsidR="009D0037" w:rsidRPr="00E07570" w:rsidRDefault="009D0037" w:rsidP="00FD3A79">
      <w:pPr>
        <w:pStyle w:val="HChG"/>
        <w:ind w:left="2268"/>
      </w:pPr>
      <w:bookmarkStart w:id="2" w:name="_Toc405992130"/>
      <w:r w:rsidRPr="00E07570">
        <w:t>20.</w:t>
      </w:r>
      <w:r w:rsidRPr="00E07570">
        <w:tab/>
      </w:r>
      <w:r w:rsidRPr="00E07570">
        <w:tab/>
        <w:t>Sanctions pour non-conformité de la production</w:t>
      </w:r>
      <w:bookmarkEnd w:id="2"/>
    </w:p>
    <w:p w:rsidR="009D0037" w:rsidRPr="00E07570" w:rsidRDefault="009D0037" w:rsidP="00454B91">
      <w:pPr>
        <w:pStyle w:val="SingleTxtG"/>
        <w:ind w:left="2268" w:hanging="1134"/>
      </w:pPr>
      <w:r w:rsidRPr="00E07570">
        <w:rPr>
          <w:b/>
        </w:rPr>
        <w:t>20.1</w:t>
      </w:r>
      <w:r w:rsidRPr="00E07570">
        <w:tab/>
        <w:t>L</w:t>
      </w:r>
      <w:r w:rsidR="00145E4B">
        <w:t>’</w:t>
      </w:r>
      <w:r w:rsidRPr="00E07570">
        <w:t>homologation délivrée pour un type d</w:t>
      </w:r>
      <w:r w:rsidR="00145E4B">
        <w:t>’</w:t>
      </w:r>
      <w:r w:rsidRPr="00E07570">
        <w:t xml:space="preserve">AECD en application du présent Règlement peut être retirée si les prescriptions énoncées au </w:t>
      </w:r>
      <w:r w:rsidRPr="00E07570">
        <w:rPr>
          <w:b/>
        </w:rPr>
        <w:t>19.1</w:t>
      </w:r>
      <w:r w:rsidRPr="00E07570">
        <w:t xml:space="preserve"> ci-dessus ne sont pas respectées ou si l</w:t>
      </w:r>
      <w:r w:rsidR="00145E4B">
        <w:t>’</w:t>
      </w:r>
      <w:r w:rsidRPr="00E07570">
        <w:t>AECD ne réussit pas les contrôles prescrits au paragraphe </w:t>
      </w:r>
      <w:r w:rsidRPr="00E07570">
        <w:rPr>
          <w:b/>
        </w:rPr>
        <w:t>19.2</w:t>
      </w:r>
      <w:r w:rsidRPr="00E07570">
        <w:t xml:space="preserve"> ci</w:t>
      </w:r>
      <w:r w:rsidRPr="00E07570">
        <w:noBreakHyphen/>
        <w:t>dessus.</w:t>
      </w:r>
    </w:p>
    <w:p w:rsidR="009D0037" w:rsidRPr="00E07570" w:rsidRDefault="009D0037" w:rsidP="00454B91">
      <w:pPr>
        <w:pStyle w:val="SingleTxtG"/>
        <w:ind w:left="2268" w:hanging="1134"/>
      </w:pPr>
      <w:r w:rsidRPr="00E07570">
        <w:rPr>
          <w:b/>
        </w:rPr>
        <w:t>20.2</w:t>
      </w:r>
      <w:r w:rsidRPr="00E07570">
        <w:tab/>
        <w:t>Si une Partie contractante à l</w:t>
      </w:r>
      <w:r w:rsidR="00145E4B">
        <w:t>’</w:t>
      </w:r>
      <w:r w:rsidRPr="00E07570">
        <w:t>Accord appliquant le présent Règlement retire une homologation qu</w:t>
      </w:r>
      <w:r w:rsidR="00145E4B">
        <w:t>’</w:t>
      </w:r>
      <w:r w:rsidRPr="00E07570">
        <w:t>elle avait préalablement accordée, elle est tenue d</w:t>
      </w:r>
      <w:r w:rsidR="00145E4B">
        <w:t>’</w:t>
      </w:r>
      <w:r w:rsidRPr="00E07570">
        <w:t>en aviser immédiatement les autres Parties à l</w:t>
      </w:r>
      <w:r w:rsidR="00145E4B">
        <w:t>’</w:t>
      </w:r>
      <w:r w:rsidRPr="00E07570">
        <w:t>Accord appliquant le présent Règlement, au moyen d</w:t>
      </w:r>
      <w:r w:rsidR="00145E4B">
        <w:t>’</w:t>
      </w:r>
      <w:r w:rsidRPr="00E07570">
        <w:t>un exemplaire du certificat d</w:t>
      </w:r>
      <w:r w:rsidR="00145E4B">
        <w:t>’</w:t>
      </w:r>
      <w:r w:rsidRPr="00E07570">
        <w:t>homologation se terminant par la mention, en lettres majuscules, signée et datée, « HOMOLOGATION RETIRÉE ».</w:t>
      </w:r>
    </w:p>
    <w:p w:rsidR="009D0037" w:rsidRPr="00E07570" w:rsidRDefault="009D0037" w:rsidP="00FD3A79">
      <w:pPr>
        <w:pStyle w:val="HChG"/>
        <w:ind w:left="2268"/>
      </w:pPr>
      <w:bookmarkStart w:id="3" w:name="_Toc405992131"/>
      <w:r w:rsidRPr="00E07570">
        <w:t>21.</w:t>
      </w:r>
      <w:r w:rsidRPr="00E07570">
        <w:tab/>
      </w:r>
      <w:r w:rsidRPr="00E07570">
        <w:tab/>
        <w:t>Arrêt définitif de la production</w:t>
      </w:r>
      <w:bookmarkEnd w:id="3"/>
    </w:p>
    <w:p w:rsidR="009D0037" w:rsidRPr="00E07570" w:rsidRDefault="009D0037" w:rsidP="00FD3A79">
      <w:pPr>
        <w:pStyle w:val="SingleTxtG"/>
        <w:ind w:left="2268"/>
      </w:pPr>
      <w:r w:rsidRPr="00E07570">
        <w:tab/>
        <w:t>Si le titulaire de l</w:t>
      </w:r>
      <w:r w:rsidR="00145E4B">
        <w:t>’</w:t>
      </w:r>
      <w:r w:rsidRPr="00E07570">
        <w:t>homologation arrête définitivement la fabrication d</w:t>
      </w:r>
      <w:r w:rsidR="00145E4B">
        <w:t>’</w:t>
      </w:r>
      <w:r w:rsidRPr="00E07570">
        <w:t>un type de véhicule homologué en vertu du présent Règlement, il doit en informer l</w:t>
      </w:r>
      <w:r w:rsidR="00145E4B">
        <w:t>’</w:t>
      </w:r>
      <w:r w:rsidRPr="00E07570">
        <w:t>autorité qui a délivré l</w:t>
      </w:r>
      <w:r w:rsidR="00145E4B">
        <w:t>’</w:t>
      </w:r>
      <w:r w:rsidRPr="00E07570">
        <w:t>homologation, laquelle doit à son tour en aviser les autres Parties contractantes à l</w:t>
      </w:r>
      <w:r w:rsidR="00145E4B">
        <w:t>’</w:t>
      </w:r>
      <w:r w:rsidRPr="00E07570">
        <w:t>Accord appliquant le présent Règlement, au moyen d</w:t>
      </w:r>
      <w:r w:rsidR="00145E4B">
        <w:t>’</w:t>
      </w:r>
      <w:r w:rsidRPr="00E07570">
        <w:t>un exemplaire du certificat d</w:t>
      </w:r>
      <w:r w:rsidR="00145E4B">
        <w:t>’</w:t>
      </w:r>
      <w:r w:rsidRPr="00E07570">
        <w:t>homologation se terminant par la mention, en lettres majuscules, signée et datée, « PRODUCTION ARRÊTÉE ».</w:t>
      </w:r>
    </w:p>
    <w:p w:rsidR="009D0037" w:rsidRPr="00E07570" w:rsidRDefault="009D0037" w:rsidP="00FD3A79">
      <w:pPr>
        <w:pStyle w:val="HChG"/>
        <w:ind w:left="2268"/>
      </w:pPr>
      <w:bookmarkStart w:id="4" w:name="_Toc405992132"/>
      <w:r w:rsidRPr="00E07570">
        <w:t>22.</w:t>
      </w:r>
      <w:r w:rsidRPr="00E07570">
        <w:tab/>
      </w:r>
      <w:r w:rsidRPr="00E07570">
        <w:tab/>
        <w:t>Noms et adresses des services techniques chargés des essais d</w:t>
      </w:r>
      <w:r w:rsidR="00145E4B">
        <w:t>’</w:t>
      </w:r>
      <w:r w:rsidRPr="00E07570">
        <w:t>homologation et des autorités d</w:t>
      </w:r>
      <w:r w:rsidR="00145E4B">
        <w:t>’</w:t>
      </w:r>
      <w:r w:rsidRPr="00E07570">
        <w:t>homologation</w:t>
      </w:r>
      <w:bookmarkEnd w:id="4"/>
      <w:r w:rsidRPr="00E07570">
        <w:t xml:space="preserve"> de type</w:t>
      </w:r>
    </w:p>
    <w:p w:rsidR="003C54FB" w:rsidRPr="00E07570" w:rsidRDefault="009D0037" w:rsidP="00FD3A79">
      <w:pPr>
        <w:pStyle w:val="SingleTxtG"/>
        <w:ind w:left="2268"/>
      </w:pPr>
      <w:r w:rsidRPr="00E07570">
        <w:t>Les Parties contractantes à l</w:t>
      </w:r>
      <w:r w:rsidR="00145E4B">
        <w:t>’</w:t>
      </w:r>
      <w:r w:rsidRPr="00E07570">
        <w:t>Accord appliquant le présent Règlement doivent communiquer au Secrétariat de l</w:t>
      </w:r>
      <w:r w:rsidR="00145E4B">
        <w:t>’</w:t>
      </w:r>
      <w:r w:rsidRPr="00E07570">
        <w:t>Organisation des Nations Unies les noms et adresses des services techniques chargés des essais d</w:t>
      </w:r>
      <w:r w:rsidR="00145E4B">
        <w:t>’</w:t>
      </w:r>
      <w:r w:rsidRPr="00E07570">
        <w:t>homologation et des autorités d</w:t>
      </w:r>
      <w:r w:rsidR="00145E4B">
        <w:t>’</w:t>
      </w:r>
      <w:r w:rsidRPr="00E07570">
        <w:t>homologation de type auxquelles doivent être envoyées les fiches d</w:t>
      </w:r>
      <w:r w:rsidR="00145E4B">
        <w:t>’</w:t>
      </w:r>
      <w:r w:rsidRPr="00E07570">
        <w:t>homologation ou d</w:t>
      </w:r>
      <w:r w:rsidR="00145E4B">
        <w:t>’</w:t>
      </w:r>
      <w:r w:rsidRPr="00E07570">
        <w:t>extension, de refus ou de retrait d</w:t>
      </w:r>
      <w:r w:rsidR="00145E4B">
        <w:t>’</w:t>
      </w:r>
      <w:r w:rsidRPr="00E07570">
        <w:t>homologation émises dans d</w:t>
      </w:r>
      <w:r w:rsidR="00145E4B">
        <w:t>’</w:t>
      </w:r>
      <w:r w:rsidRPr="00E07570">
        <w:t>autres pays.</w:t>
      </w:r>
    </w:p>
    <w:p w:rsidR="003C54FB" w:rsidRPr="00E07570" w:rsidRDefault="003C54FB" w:rsidP="003C54FB">
      <w:pPr>
        <w:pStyle w:val="HChG"/>
        <w:ind w:left="2495" w:hanging="1361"/>
      </w:pPr>
      <w:r w:rsidRPr="00E07570">
        <w:br w:type="page"/>
        <w:t xml:space="preserve">Partie II − Homologation des véhicules en ce qui concerne </w:t>
      </w:r>
      <w:r w:rsidRPr="00E07570">
        <w:br/>
        <w:t>le montage d</w:t>
      </w:r>
      <w:r w:rsidR="00145E4B">
        <w:t>’</w:t>
      </w:r>
      <w:r w:rsidRPr="00E07570">
        <w:t>un dispositif automatique d</w:t>
      </w:r>
      <w:r w:rsidR="00145E4B">
        <w:t>’</w:t>
      </w:r>
      <w:r w:rsidRPr="00E07570">
        <w:t>appel d</w:t>
      </w:r>
      <w:r w:rsidR="00145E4B">
        <w:t>’</w:t>
      </w:r>
      <w:r w:rsidRPr="00E07570">
        <w:t>urgence d</w:t>
      </w:r>
      <w:r w:rsidR="00145E4B">
        <w:t>’</w:t>
      </w:r>
      <w:r w:rsidRPr="00E07570">
        <w:t>un type homologué</w:t>
      </w:r>
    </w:p>
    <w:p w:rsidR="003C54FB" w:rsidRPr="00E07570" w:rsidRDefault="003C54FB" w:rsidP="003C54FB">
      <w:pPr>
        <w:pStyle w:val="HChG"/>
        <w:ind w:left="2268"/>
      </w:pPr>
      <w:r w:rsidRPr="00E07570">
        <w:t>23.</w:t>
      </w:r>
      <w:r w:rsidRPr="00E07570">
        <w:tab/>
        <w:t>Définitions</w:t>
      </w:r>
    </w:p>
    <w:p w:rsidR="003C54FB" w:rsidRPr="00E07570" w:rsidRDefault="007F2BDC" w:rsidP="003C54FB">
      <w:pPr>
        <w:pStyle w:val="SingleTxtG"/>
        <w:ind w:left="2268"/>
      </w:pPr>
      <w:r w:rsidRPr="00E07570">
        <w:t>Aux fins de la partie II du présent Règlement, o</w:t>
      </w:r>
      <w:r w:rsidR="003C54FB" w:rsidRPr="00E07570">
        <w:t>n entend par :</w:t>
      </w:r>
    </w:p>
    <w:p w:rsidR="003C54FB" w:rsidRPr="00E07570" w:rsidRDefault="003C54FB" w:rsidP="003C54FB">
      <w:pPr>
        <w:pStyle w:val="SingleTxtG"/>
        <w:ind w:left="2268" w:hanging="1134"/>
      </w:pPr>
      <w:r w:rsidRPr="00E07570">
        <w:rPr>
          <w:b/>
        </w:rPr>
        <w:t>23.1</w:t>
      </w:r>
      <w:r w:rsidRPr="00E07570">
        <w:tab/>
        <w:t>« </w:t>
      </w:r>
      <w:r w:rsidRPr="00E07570">
        <w:rPr>
          <w:i/>
        </w:rPr>
        <w:t>Type de véhicule </w:t>
      </w:r>
      <w:r w:rsidRPr="00E07570">
        <w:t>», en ce qui concerne l</w:t>
      </w:r>
      <w:r w:rsidR="00145E4B">
        <w:t>’</w:t>
      </w:r>
      <w:r w:rsidRPr="00E07570">
        <w:t>AECD, des véhicules qui ne diffèrent pas entre eux sur des aspects essentiels tels que :</w:t>
      </w:r>
    </w:p>
    <w:p w:rsidR="003C54FB" w:rsidRPr="00E07570" w:rsidRDefault="003C54FB" w:rsidP="003C54FB">
      <w:pPr>
        <w:pStyle w:val="SingleTxtG"/>
        <w:ind w:left="2835" w:hanging="567"/>
      </w:pPr>
      <w:r w:rsidRPr="00E07570">
        <w:t>a)</w:t>
      </w:r>
      <w:r w:rsidRPr="00E07570">
        <w:tab/>
        <w:t>Leur constructeur ;</w:t>
      </w:r>
    </w:p>
    <w:p w:rsidR="003C54FB" w:rsidRPr="00E07570" w:rsidRDefault="003C54FB" w:rsidP="003C54FB">
      <w:pPr>
        <w:pStyle w:val="SingleTxtG"/>
        <w:ind w:left="2835" w:hanging="567"/>
      </w:pPr>
      <w:r w:rsidRPr="00E07570">
        <w:t>b)</w:t>
      </w:r>
      <w:r w:rsidRPr="00E07570">
        <w:tab/>
        <w:t>Le type de leur AECD ; ou</w:t>
      </w:r>
    </w:p>
    <w:p w:rsidR="003C54FB" w:rsidRPr="00E07570" w:rsidRDefault="003C54FB" w:rsidP="003C54FB">
      <w:pPr>
        <w:pStyle w:val="SingleTxtG"/>
        <w:ind w:left="2835" w:hanging="567"/>
      </w:pPr>
      <w:r w:rsidRPr="00E07570">
        <w:t>c)</w:t>
      </w:r>
      <w:r w:rsidRPr="00E07570">
        <w:tab/>
        <w:t>Des caractéristiques du véhicule qui influencent sens</w:t>
      </w:r>
      <w:r w:rsidR="00A128E7" w:rsidRPr="00E07570">
        <w:t>ibl</w:t>
      </w:r>
      <w:r w:rsidRPr="00E07570">
        <w:t>ement le fonctionnement de l</w:t>
      </w:r>
      <w:r w:rsidR="00145E4B">
        <w:t>’</w:t>
      </w:r>
      <w:r w:rsidRPr="00E07570">
        <w:t>AECD.</w:t>
      </w:r>
    </w:p>
    <w:p w:rsidR="003C54FB" w:rsidRPr="00E07570" w:rsidRDefault="003C54FB" w:rsidP="003C54FB">
      <w:pPr>
        <w:pStyle w:val="SingleTxtG"/>
        <w:ind w:left="2268" w:hanging="1134"/>
      </w:pPr>
      <w:r w:rsidRPr="00E07570">
        <w:rPr>
          <w:b/>
        </w:rPr>
        <w:t>23.2</w:t>
      </w:r>
      <w:r w:rsidRPr="00E07570">
        <w:tab/>
        <w:t>« </w:t>
      </w:r>
      <w:r w:rsidRPr="00E07570">
        <w:rPr>
          <w:i/>
        </w:rPr>
        <w:t>Masse autorisée totale </w:t>
      </w:r>
      <w:r w:rsidRPr="00E07570">
        <w:t>»,</w:t>
      </w:r>
      <w:r w:rsidRPr="00E07570">
        <w:rPr>
          <w:i/>
        </w:rPr>
        <w:t xml:space="preserve"> </w:t>
      </w:r>
      <w:r w:rsidRPr="00E07570">
        <w:t xml:space="preserve">la masse maximale techniquement </w:t>
      </w:r>
      <w:r w:rsidR="00305F8B" w:rsidRPr="00E07570">
        <w:t>admissible</w:t>
      </w:r>
      <w:r w:rsidRPr="00E07570">
        <w:t xml:space="preserve"> du véhicule définie par le constructeur.</w:t>
      </w:r>
    </w:p>
    <w:p w:rsidR="003C54FB" w:rsidRPr="00E07570" w:rsidRDefault="003C54FB" w:rsidP="003C54FB">
      <w:pPr>
        <w:pStyle w:val="SingleTxtG"/>
        <w:ind w:left="2268" w:hanging="1134"/>
      </w:pPr>
      <w:r w:rsidRPr="00E07570">
        <w:rPr>
          <w:b/>
        </w:rPr>
        <w:t>23.3</w:t>
      </w:r>
      <w:r w:rsidRPr="00E07570">
        <w:tab/>
        <w:t>«</w:t>
      </w:r>
      <w:r w:rsidRPr="00E07570">
        <w:rPr>
          <w:i/>
        </w:rPr>
        <w:t> Point R </w:t>
      </w:r>
      <w:r w:rsidRPr="00E07570">
        <w:t>», un point de référence défini pour chaque place assise par le constructeur par rapport à la structure du véhicule, tel qu</w:t>
      </w:r>
      <w:r w:rsidR="00145E4B">
        <w:t>’</w:t>
      </w:r>
      <w:r w:rsidRPr="00E07570">
        <w:t>il est défini à l</w:t>
      </w:r>
      <w:r w:rsidR="00145E4B">
        <w:t>’</w:t>
      </w:r>
      <w:r w:rsidRPr="00E07570">
        <w:t>annexe </w:t>
      </w:r>
      <w:r w:rsidRPr="00E07570">
        <w:rPr>
          <w:b/>
        </w:rPr>
        <w:t>8</w:t>
      </w:r>
      <w:r w:rsidRPr="00E07570">
        <w:t xml:space="preserve"> du Règlement </w:t>
      </w:r>
      <w:r w:rsidRPr="00E07570">
        <w:rPr>
          <w:rFonts w:eastAsia="MS Mincho"/>
        </w:rPr>
        <w:t>n</w:t>
      </w:r>
      <w:r w:rsidRPr="00E07570">
        <w:rPr>
          <w:rFonts w:eastAsia="MS Mincho"/>
          <w:vertAlign w:val="superscript"/>
        </w:rPr>
        <w:t>o</w:t>
      </w:r>
      <w:r w:rsidRPr="00E07570">
        <w:t> 94.</w:t>
      </w:r>
    </w:p>
    <w:p w:rsidR="003C54FB" w:rsidRPr="00E07570" w:rsidRDefault="003C54FB" w:rsidP="003C54FB">
      <w:pPr>
        <w:pStyle w:val="SingleTxtG"/>
        <w:ind w:left="2268" w:hanging="1134"/>
      </w:pPr>
      <w:r w:rsidRPr="00E07570">
        <w:rPr>
          <w:b/>
        </w:rPr>
        <w:t>23.4</w:t>
      </w:r>
      <w:r w:rsidRPr="00E07570">
        <w:tab/>
        <w:t>«</w:t>
      </w:r>
      <w:r w:rsidRPr="00E07570">
        <w:rPr>
          <w:i/>
        </w:rPr>
        <w:t> AECS (système automatique d</w:t>
      </w:r>
      <w:r w:rsidR="00145E4B">
        <w:rPr>
          <w:i/>
        </w:rPr>
        <w:t>’</w:t>
      </w:r>
      <w:r w:rsidRPr="00E07570">
        <w:rPr>
          <w:i/>
        </w:rPr>
        <w:t>appel d</w:t>
      </w:r>
      <w:r w:rsidR="00145E4B">
        <w:rPr>
          <w:i/>
        </w:rPr>
        <w:t>’</w:t>
      </w:r>
      <w:r w:rsidRPr="00E07570">
        <w:rPr>
          <w:i/>
        </w:rPr>
        <w:t>urgence) </w:t>
      </w:r>
      <w:r w:rsidRPr="00E07570">
        <w:t>», un AECD homologué en vertu de la partie</w:t>
      </w:r>
      <w:r w:rsidR="00232AC5" w:rsidRPr="00E07570">
        <w:t> </w:t>
      </w:r>
      <w:proofErr w:type="spellStart"/>
      <w:r w:rsidR="00A22689" w:rsidRPr="00E07570">
        <w:rPr>
          <w:b/>
        </w:rPr>
        <w:t>Ib</w:t>
      </w:r>
      <w:proofErr w:type="spellEnd"/>
      <w:r w:rsidRPr="00E07570">
        <w:t>, lorsqu</w:t>
      </w:r>
      <w:r w:rsidR="00145E4B">
        <w:t>’</w:t>
      </w:r>
      <w:r w:rsidRPr="00E07570">
        <w:t>il est monté sur le véhicule.</w:t>
      </w:r>
    </w:p>
    <w:p w:rsidR="003C54FB" w:rsidRPr="00E07570" w:rsidRDefault="003C54FB" w:rsidP="003C54FB">
      <w:pPr>
        <w:pStyle w:val="SingleTxtG"/>
        <w:ind w:left="2268" w:hanging="1134"/>
      </w:pPr>
      <w:r w:rsidRPr="00E07570">
        <w:rPr>
          <w:b/>
        </w:rPr>
        <w:t>23.5</w:t>
      </w:r>
      <w:r w:rsidRPr="00E07570">
        <w:tab/>
        <w:t>«</w:t>
      </w:r>
      <w:r w:rsidRPr="00E07570">
        <w:rPr>
          <w:i/>
        </w:rPr>
        <w:t> Affichage multitâche </w:t>
      </w:r>
      <w:r w:rsidRPr="00E07570">
        <w:t>», un affichage permettant d</w:t>
      </w:r>
      <w:r w:rsidR="00145E4B">
        <w:t>’</w:t>
      </w:r>
      <w:r w:rsidRPr="00E07570">
        <w:t>afficher simultanément plus d</w:t>
      </w:r>
      <w:r w:rsidR="00145E4B">
        <w:t>’</w:t>
      </w:r>
      <w:r w:rsidRPr="00E07570">
        <w:t>un message.</w:t>
      </w:r>
    </w:p>
    <w:p w:rsidR="003C54FB" w:rsidRPr="00E07570" w:rsidRDefault="003C54FB" w:rsidP="003C54FB">
      <w:pPr>
        <w:pStyle w:val="SingleTxtG"/>
        <w:ind w:left="2268" w:hanging="1134"/>
      </w:pPr>
      <w:r w:rsidRPr="00E07570">
        <w:rPr>
          <w:b/>
        </w:rPr>
        <w:t>23.6</w:t>
      </w:r>
      <w:r w:rsidRPr="00E07570">
        <w:tab/>
        <w:t>«</w:t>
      </w:r>
      <w:r w:rsidRPr="00E07570">
        <w:rPr>
          <w:i/>
        </w:rPr>
        <w:t> Signal d</w:t>
      </w:r>
      <w:r w:rsidR="00145E4B">
        <w:rPr>
          <w:i/>
        </w:rPr>
        <w:t>’</w:t>
      </w:r>
      <w:r w:rsidRPr="00E07570">
        <w:rPr>
          <w:i/>
        </w:rPr>
        <w:t>information AECS </w:t>
      </w:r>
      <w:r w:rsidRPr="00E07570">
        <w:t>», un dispositif qui communique des informations sur le statut de la procédure de l</w:t>
      </w:r>
      <w:r w:rsidR="00145E4B">
        <w:t>’</w:t>
      </w:r>
      <w:r w:rsidRPr="00E07570">
        <w:t>appel d</w:t>
      </w:r>
      <w:r w:rsidR="00145E4B">
        <w:t>’</w:t>
      </w:r>
      <w:r w:rsidRPr="00E07570">
        <w:t>urgence.</w:t>
      </w:r>
    </w:p>
    <w:p w:rsidR="003C54FB" w:rsidRPr="00E07570" w:rsidRDefault="003C54FB" w:rsidP="003C54FB">
      <w:pPr>
        <w:pStyle w:val="SingleTxtG"/>
        <w:ind w:left="2268" w:hanging="1134"/>
      </w:pPr>
      <w:r w:rsidRPr="00E07570">
        <w:rPr>
          <w:b/>
        </w:rPr>
        <w:t>23.7</w:t>
      </w:r>
      <w:r w:rsidRPr="00E07570">
        <w:tab/>
        <w:t>«</w:t>
      </w:r>
      <w:r w:rsidRPr="00E07570">
        <w:rPr>
          <w:i/>
        </w:rPr>
        <w:t> Signal d</w:t>
      </w:r>
      <w:r w:rsidR="00145E4B">
        <w:rPr>
          <w:i/>
        </w:rPr>
        <w:t>’</w:t>
      </w:r>
      <w:r w:rsidRPr="00E07570">
        <w:rPr>
          <w:i/>
        </w:rPr>
        <w:t>avertissement AECS </w:t>
      </w:r>
      <w:r w:rsidRPr="00E07570">
        <w:t>», un témoin qui sert à indiquer les défaillances de l</w:t>
      </w:r>
      <w:r w:rsidR="00145E4B">
        <w:t>’</w:t>
      </w:r>
      <w:r w:rsidRPr="00E07570">
        <w:t>AECS.</w:t>
      </w:r>
    </w:p>
    <w:p w:rsidR="003C54FB" w:rsidRPr="00E07570" w:rsidRDefault="003C54FB" w:rsidP="003C54FB">
      <w:pPr>
        <w:pStyle w:val="HChG"/>
        <w:ind w:left="2268"/>
      </w:pPr>
      <w:r w:rsidRPr="00E07570">
        <w:t>24.</w:t>
      </w:r>
      <w:r w:rsidRPr="00E07570">
        <w:tab/>
        <w:t>Demande d</w:t>
      </w:r>
      <w:r w:rsidR="00145E4B">
        <w:t>’</w:t>
      </w:r>
      <w:r w:rsidRPr="00E07570">
        <w:t>homologation</w:t>
      </w:r>
    </w:p>
    <w:p w:rsidR="003C54FB" w:rsidRPr="00E07570" w:rsidRDefault="003C54FB" w:rsidP="00232AC5">
      <w:pPr>
        <w:pStyle w:val="SingleTxtG"/>
        <w:ind w:left="2268" w:hanging="1134"/>
      </w:pPr>
      <w:r w:rsidRPr="00E07570">
        <w:rPr>
          <w:b/>
        </w:rPr>
        <w:t>24.1</w:t>
      </w:r>
      <w:r w:rsidRPr="00E07570">
        <w:tab/>
        <w:t>La demande d</w:t>
      </w:r>
      <w:r w:rsidR="00145E4B">
        <w:t>’</w:t>
      </w:r>
      <w:r w:rsidRPr="00E07570">
        <w:t>homologation de type d</w:t>
      </w:r>
      <w:r w:rsidR="00145E4B">
        <w:t>’</w:t>
      </w:r>
      <w:r w:rsidRPr="00E07570">
        <w:t>un AECD doit être présentée par le titulaire du nom de marque ou de la marque de fabrique ou par son représentant dûment agréé.</w:t>
      </w:r>
    </w:p>
    <w:p w:rsidR="003C54FB" w:rsidRPr="00E07570" w:rsidRDefault="003C54FB" w:rsidP="00232AC5">
      <w:pPr>
        <w:pStyle w:val="SingleTxtG"/>
        <w:ind w:left="2268" w:hanging="1134"/>
      </w:pPr>
      <w:r w:rsidRPr="00E07570">
        <w:rPr>
          <w:b/>
        </w:rPr>
        <w:t>24.2</w:t>
      </w:r>
      <w:r w:rsidRPr="00E07570">
        <w:tab/>
        <w:t>Un modèle de document d</w:t>
      </w:r>
      <w:r w:rsidR="00145E4B">
        <w:t>’</w:t>
      </w:r>
      <w:r w:rsidRPr="00E07570">
        <w:t>information est reproduit à l</w:t>
      </w:r>
      <w:r w:rsidR="00145E4B">
        <w:t>’</w:t>
      </w:r>
      <w:r w:rsidRPr="00E07570">
        <w:t>annexe</w:t>
      </w:r>
      <w:r w:rsidR="00232AC5" w:rsidRPr="00E07570">
        <w:t> </w:t>
      </w:r>
      <w:r w:rsidRPr="00E07570">
        <w:rPr>
          <w:b/>
        </w:rPr>
        <w:t>7</w:t>
      </w:r>
      <w:r w:rsidRPr="00E07570">
        <w:t>.</w:t>
      </w:r>
    </w:p>
    <w:p w:rsidR="003C54FB" w:rsidRPr="00E07570" w:rsidRDefault="003C54FB" w:rsidP="00232AC5">
      <w:pPr>
        <w:pStyle w:val="SingleTxtG"/>
        <w:ind w:left="2268" w:hanging="1134"/>
      </w:pPr>
      <w:r w:rsidRPr="00E07570">
        <w:rPr>
          <w:b/>
        </w:rPr>
        <w:t>24.3</w:t>
      </w:r>
      <w:r w:rsidRPr="00E07570">
        <w:tab/>
        <w:t>Pour chaque type de véhicule équipé d</w:t>
      </w:r>
      <w:r w:rsidR="00145E4B">
        <w:t>’</w:t>
      </w:r>
      <w:r w:rsidRPr="00E07570">
        <w:t>un AECD, la demande d</w:t>
      </w:r>
      <w:r w:rsidR="00145E4B">
        <w:t>’</w:t>
      </w:r>
      <w:r w:rsidRPr="00E07570">
        <w:t>homologation doit être accompagnée d</w:t>
      </w:r>
      <w:r w:rsidR="00145E4B">
        <w:t>’</w:t>
      </w:r>
      <w:r w:rsidRPr="00E07570">
        <w:t>échantillons de véhicules représentatifs du type à homologuer et, le cas échéant, d</w:t>
      </w:r>
      <w:r w:rsidR="00145E4B">
        <w:t>’</w:t>
      </w:r>
      <w:r w:rsidRPr="00E07570">
        <w:t>échantillons d</w:t>
      </w:r>
      <w:r w:rsidR="00145E4B">
        <w:t>’</w:t>
      </w:r>
      <w:r w:rsidRPr="00E07570">
        <w:t>éléments, en quantités suffisantes pour les essais prescrits par le présent Règlement. Des échantillons supplémentaires peuvent être demandés par le service technique chargé d</w:t>
      </w:r>
      <w:r w:rsidR="00145E4B">
        <w:t>’</w:t>
      </w:r>
      <w:r w:rsidRPr="00E07570">
        <w:t>effectuer les essais.</w:t>
      </w:r>
    </w:p>
    <w:p w:rsidR="003C54FB" w:rsidRPr="00E07570" w:rsidRDefault="003C54FB" w:rsidP="003C54FB">
      <w:pPr>
        <w:pStyle w:val="HChG"/>
        <w:ind w:left="2268"/>
      </w:pPr>
      <w:r w:rsidRPr="00E07570">
        <w:t>25.</w:t>
      </w:r>
      <w:r w:rsidRPr="00E07570">
        <w:tab/>
        <w:t>Homologation</w:t>
      </w:r>
    </w:p>
    <w:p w:rsidR="003C54FB" w:rsidRPr="00E07570" w:rsidRDefault="003C54FB" w:rsidP="00232AC5">
      <w:pPr>
        <w:pStyle w:val="SingleTxtG"/>
        <w:ind w:left="2268"/>
        <w:rPr>
          <w:b/>
        </w:rPr>
      </w:pPr>
      <w:r w:rsidRPr="00E07570">
        <w:tab/>
      </w:r>
      <w:r w:rsidRPr="00E07570">
        <w:rPr>
          <w:b/>
        </w:rPr>
        <w:t>Si la demande d</w:t>
      </w:r>
      <w:r w:rsidR="00145E4B">
        <w:rPr>
          <w:b/>
        </w:rPr>
        <w:t>’</w:t>
      </w:r>
      <w:r w:rsidRPr="00E07570">
        <w:rPr>
          <w:b/>
        </w:rPr>
        <w:t>homologation pour le montage d</w:t>
      </w:r>
      <w:r w:rsidR="00145E4B">
        <w:rPr>
          <w:b/>
        </w:rPr>
        <w:t>’</w:t>
      </w:r>
      <w:r w:rsidRPr="00E07570">
        <w:rPr>
          <w:b/>
        </w:rPr>
        <w:t>un AECD soumise conformément à la partie</w:t>
      </w:r>
      <w:r w:rsidR="00190A2A" w:rsidRPr="00E07570">
        <w:rPr>
          <w:b/>
        </w:rPr>
        <w:t> </w:t>
      </w:r>
      <w:r w:rsidRPr="00E07570">
        <w:rPr>
          <w:b/>
        </w:rPr>
        <w:t>II du Règlement renvoie à une ou plusieurs homologations d</w:t>
      </w:r>
      <w:r w:rsidR="00145E4B">
        <w:rPr>
          <w:b/>
        </w:rPr>
        <w:t>’</w:t>
      </w:r>
      <w:r w:rsidRPr="00E07570">
        <w:rPr>
          <w:b/>
        </w:rPr>
        <w:t>AECD obtenues conformément à la partie</w:t>
      </w:r>
      <w:r w:rsidR="00190A2A" w:rsidRPr="00E07570">
        <w:rPr>
          <w:b/>
        </w:rPr>
        <w:t> </w:t>
      </w:r>
      <w:proofErr w:type="spellStart"/>
      <w:r w:rsidR="00A22689" w:rsidRPr="00E07570">
        <w:rPr>
          <w:b/>
        </w:rPr>
        <w:t>Ib</w:t>
      </w:r>
      <w:proofErr w:type="spellEnd"/>
      <w:r w:rsidRPr="00E07570">
        <w:rPr>
          <w:b/>
        </w:rPr>
        <w:t>, le constructeur doit fournir un dossier renseignant sur le montage de l</w:t>
      </w:r>
      <w:r w:rsidR="00145E4B">
        <w:rPr>
          <w:b/>
        </w:rPr>
        <w:t>’</w:t>
      </w:r>
      <w:r w:rsidRPr="00E07570">
        <w:rPr>
          <w:b/>
        </w:rPr>
        <w:t>AECD et la façon dont il est prévu de l</w:t>
      </w:r>
      <w:r w:rsidR="00145E4B">
        <w:rPr>
          <w:b/>
        </w:rPr>
        <w:t>’</w:t>
      </w:r>
      <w:r w:rsidRPr="00E07570">
        <w:rPr>
          <w:b/>
        </w:rPr>
        <w:t>associer (par un numéro d</w:t>
      </w:r>
      <w:r w:rsidR="00145E4B">
        <w:rPr>
          <w:b/>
        </w:rPr>
        <w:t>’</w:t>
      </w:r>
      <w:r w:rsidRPr="00E07570">
        <w:rPr>
          <w:b/>
        </w:rPr>
        <w:t>identification, par exemple) à l</w:t>
      </w:r>
      <w:r w:rsidR="00145E4B">
        <w:rPr>
          <w:b/>
        </w:rPr>
        <w:t>’</w:t>
      </w:r>
      <w:r w:rsidRPr="00E07570">
        <w:rPr>
          <w:b/>
        </w:rPr>
        <w:t>AECD visé dans la partie</w:t>
      </w:r>
      <w:r w:rsidR="00190A2A" w:rsidRPr="00E07570">
        <w:rPr>
          <w:b/>
        </w:rPr>
        <w:t> </w:t>
      </w:r>
      <w:proofErr w:type="spellStart"/>
      <w:r w:rsidR="00A22689" w:rsidRPr="00E07570">
        <w:rPr>
          <w:b/>
        </w:rPr>
        <w:t>Ib</w:t>
      </w:r>
      <w:proofErr w:type="spellEnd"/>
      <w:r w:rsidRPr="00E07570">
        <w:rPr>
          <w:b/>
        </w:rPr>
        <w:t>.</w:t>
      </w:r>
    </w:p>
    <w:p w:rsidR="003C54FB" w:rsidRPr="00E07570" w:rsidRDefault="003C54FB" w:rsidP="00232AC5">
      <w:pPr>
        <w:pStyle w:val="SingleTxtG"/>
        <w:ind w:left="2268" w:hanging="1134"/>
      </w:pPr>
      <w:r w:rsidRPr="00E07570">
        <w:rPr>
          <w:b/>
        </w:rPr>
        <w:t>25.1</w:t>
      </w:r>
      <w:r w:rsidRPr="00E07570">
        <w:tab/>
        <w:t>Si le type de véhicule présenté à l</w:t>
      </w:r>
      <w:r w:rsidR="00145E4B">
        <w:t>’</w:t>
      </w:r>
      <w:r w:rsidRPr="00E07570">
        <w:t>homologation en vertu du présent Règlement satisfait aux prescriptions du paragraphe </w:t>
      </w:r>
      <w:r w:rsidRPr="00E07570">
        <w:rPr>
          <w:b/>
        </w:rPr>
        <w:t>26</w:t>
      </w:r>
      <w:r w:rsidRPr="00E07570">
        <w:t xml:space="preserve"> ci-dessous, le type de vé</w:t>
      </w:r>
      <w:r w:rsidR="00232AC5" w:rsidRPr="00E07570">
        <w:t>hicule considéré est homologué.</w:t>
      </w:r>
    </w:p>
    <w:p w:rsidR="003C54FB" w:rsidRPr="00E07570" w:rsidRDefault="003C54FB" w:rsidP="00232AC5">
      <w:pPr>
        <w:pStyle w:val="SingleTxtG"/>
        <w:ind w:left="2268"/>
      </w:pPr>
      <w:r w:rsidRPr="00E07570">
        <w:tab/>
        <w:t>Avant d</w:t>
      </w:r>
      <w:r w:rsidR="00145E4B">
        <w:t>’</w:t>
      </w:r>
      <w:r w:rsidRPr="00E07570">
        <w:t>accorder l</w:t>
      </w:r>
      <w:r w:rsidR="00145E4B">
        <w:t>’</w:t>
      </w:r>
      <w:r w:rsidRPr="00E07570">
        <w:t>homologation à un véhicule en ce qui concerne le montage d</w:t>
      </w:r>
      <w:r w:rsidR="00145E4B">
        <w:t>’</w:t>
      </w:r>
      <w:r w:rsidRPr="00E07570">
        <w:t>un AECD homologué en vertu de la partie</w:t>
      </w:r>
      <w:r w:rsidR="000E22C4" w:rsidRPr="00E07570">
        <w:t> </w:t>
      </w:r>
      <w:proofErr w:type="spellStart"/>
      <w:r w:rsidR="00A22689" w:rsidRPr="00E07570">
        <w:rPr>
          <w:b/>
        </w:rPr>
        <w:t>Ib</w:t>
      </w:r>
      <w:proofErr w:type="spellEnd"/>
      <w:r w:rsidRPr="00E07570">
        <w:t xml:space="preserve"> du présent Règlement, l</w:t>
      </w:r>
      <w:r w:rsidR="00145E4B">
        <w:t>’</w:t>
      </w:r>
      <w:r w:rsidRPr="00E07570">
        <w:t>autorité compétente doit s</w:t>
      </w:r>
      <w:r w:rsidR="00145E4B">
        <w:t>’</w:t>
      </w:r>
      <w:r w:rsidRPr="00E07570">
        <w:t>assurer que les vérifications non prescrites dans la partie </w:t>
      </w:r>
      <w:proofErr w:type="spellStart"/>
      <w:r w:rsidR="00A22689" w:rsidRPr="00E07570">
        <w:rPr>
          <w:b/>
        </w:rPr>
        <w:t>Ib</w:t>
      </w:r>
      <w:proofErr w:type="spellEnd"/>
      <w:r w:rsidRPr="00E07570">
        <w:t xml:space="preserve"> figurent dans la partie II. Si, dans ce cas, l</w:t>
      </w:r>
      <w:r w:rsidR="00145E4B">
        <w:t>’</w:t>
      </w:r>
      <w:r w:rsidRPr="00E07570">
        <w:t>alimentation électrique autre que l</w:t>
      </w:r>
      <w:r w:rsidR="00145E4B">
        <w:t>’</w:t>
      </w:r>
      <w:r w:rsidRPr="00E07570">
        <w:t xml:space="preserve">alimentation électrique de secours </w:t>
      </w:r>
      <w:r w:rsidRPr="00E07570">
        <w:rPr>
          <w:b/>
        </w:rPr>
        <w:t>est la seule alimentation dispon</w:t>
      </w:r>
      <w:r w:rsidR="00A128E7" w:rsidRPr="00E07570">
        <w:rPr>
          <w:b/>
        </w:rPr>
        <w:t>ib</w:t>
      </w:r>
      <w:r w:rsidRPr="00E07570">
        <w:rPr>
          <w:b/>
        </w:rPr>
        <w:t>le et si elle</w:t>
      </w:r>
      <w:r w:rsidRPr="00E07570">
        <w:t xml:space="preserve"> n</w:t>
      </w:r>
      <w:r w:rsidR="00145E4B">
        <w:t>’</w:t>
      </w:r>
      <w:r w:rsidRPr="00E07570">
        <w:t>est pas visée dans la partie </w:t>
      </w:r>
      <w:proofErr w:type="spellStart"/>
      <w:r w:rsidRPr="00E07570">
        <w:t>Ia</w:t>
      </w:r>
      <w:proofErr w:type="spellEnd"/>
      <w:r w:rsidRPr="00E07570">
        <w:t xml:space="preserve"> conformément au paragraphe 7.7</w:t>
      </w:r>
      <w:r w:rsidRPr="00E07570">
        <w:rPr>
          <w:b/>
        </w:rPr>
        <w:t>, ou dans la partie</w:t>
      </w:r>
      <w:r w:rsidR="000E22C4" w:rsidRPr="00E07570">
        <w:rPr>
          <w:b/>
        </w:rPr>
        <w:t> </w:t>
      </w:r>
      <w:proofErr w:type="spellStart"/>
      <w:r w:rsidR="00A22689" w:rsidRPr="00E07570">
        <w:rPr>
          <w:b/>
        </w:rPr>
        <w:t>Ib</w:t>
      </w:r>
      <w:proofErr w:type="spellEnd"/>
      <w:r w:rsidRPr="00E07570">
        <w:rPr>
          <w:b/>
        </w:rPr>
        <w:t xml:space="preserve"> conformément au paragraphe</w:t>
      </w:r>
      <w:r w:rsidR="000E22C4" w:rsidRPr="00E07570">
        <w:rPr>
          <w:b/>
        </w:rPr>
        <w:t> </w:t>
      </w:r>
      <w:r w:rsidRPr="00E07570">
        <w:rPr>
          <w:b/>
        </w:rPr>
        <w:t>17.7.2</w:t>
      </w:r>
      <w:r w:rsidRPr="00E07570">
        <w:t>, elle doit être soumise à un essai conformément à l</w:t>
      </w:r>
      <w:r w:rsidR="00145E4B">
        <w:t>’</w:t>
      </w:r>
      <w:r w:rsidRPr="00E07570">
        <w:t>annexe </w:t>
      </w:r>
      <w:r w:rsidRPr="00E07570">
        <w:rPr>
          <w:b/>
        </w:rPr>
        <w:t>9</w:t>
      </w:r>
      <w:r w:rsidRPr="00E07570">
        <w:t xml:space="preserve"> de la présente partie.</w:t>
      </w:r>
    </w:p>
    <w:p w:rsidR="003C54FB" w:rsidRPr="00E07570" w:rsidRDefault="003C54FB" w:rsidP="00232AC5">
      <w:pPr>
        <w:pStyle w:val="SingleTxtG"/>
        <w:ind w:left="2268" w:hanging="1134"/>
      </w:pPr>
      <w:r w:rsidRPr="00E07570">
        <w:rPr>
          <w:b/>
        </w:rPr>
        <w:t>25.2</w:t>
      </w:r>
      <w:r w:rsidRPr="00E07570">
        <w:tab/>
        <w:t>Chaque type homologué reçoit un numéro d</w:t>
      </w:r>
      <w:r w:rsidR="00145E4B">
        <w:t>’</w:t>
      </w:r>
      <w:r w:rsidRPr="00E07570">
        <w:t>homologation, dont les deux premiers chiffres (actuellement</w:t>
      </w:r>
      <w:r w:rsidR="000E22C4" w:rsidRPr="00E07570">
        <w:t> </w:t>
      </w:r>
      <w:r w:rsidRPr="00E07570">
        <w:t>00) indiquent la série d</w:t>
      </w:r>
      <w:r w:rsidR="00145E4B">
        <w:t>’</w:t>
      </w:r>
      <w:r w:rsidRPr="00E07570">
        <w:t>amendements correspondant aux modifications techniques essentielles les plus récentes apportées au Règlement à la date de délivrance de l</w:t>
      </w:r>
      <w:r w:rsidR="00145E4B">
        <w:t>’</w:t>
      </w:r>
      <w:r w:rsidRPr="00E07570">
        <w:t>homologation. La même Partie contractante ne peut att</w:t>
      </w:r>
      <w:r w:rsidR="00A128E7" w:rsidRPr="00E07570">
        <w:t>ribu</w:t>
      </w:r>
      <w:r w:rsidRPr="00E07570">
        <w:t>er ce même numéro à un autre type de véhicule.</w:t>
      </w:r>
    </w:p>
    <w:p w:rsidR="003C54FB" w:rsidRPr="00E07570" w:rsidRDefault="003C54FB" w:rsidP="00232AC5">
      <w:pPr>
        <w:pStyle w:val="SingleTxtG"/>
        <w:ind w:left="2268" w:hanging="1134"/>
      </w:pPr>
      <w:r w:rsidRPr="00E07570">
        <w:rPr>
          <w:b/>
        </w:rPr>
        <w:t>25.3</w:t>
      </w:r>
      <w:r w:rsidRPr="00E07570">
        <w:tab/>
        <w:t>L</w:t>
      </w:r>
      <w:r w:rsidR="00145E4B">
        <w:t>’</w:t>
      </w:r>
      <w:r w:rsidRPr="00E07570">
        <w:t>homologation, le refus d</w:t>
      </w:r>
      <w:r w:rsidR="00145E4B">
        <w:t>’</w:t>
      </w:r>
      <w:r w:rsidRPr="00E07570">
        <w:t>homologation, l</w:t>
      </w:r>
      <w:r w:rsidR="00145E4B">
        <w:t>’</w:t>
      </w:r>
      <w:r w:rsidRPr="00E07570">
        <w:t>extension ou le retrait de l</w:t>
      </w:r>
      <w:r w:rsidR="00145E4B">
        <w:t>’</w:t>
      </w:r>
      <w:r w:rsidRPr="00E07570">
        <w:t>homologation ou encore l</w:t>
      </w:r>
      <w:r w:rsidR="00145E4B">
        <w:t>’</w:t>
      </w:r>
      <w:r w:rsidRPr="00E07570">
        <w:t>arrêt définitif de la production d</w:t>
      </w:r>
      <w:r w:rsidR="00145E4B">
        <w:t>’</w:t>
      </w:r>
      <w:r w:rsidRPr="00E07570">
        <w:t>un type de véhicule conformément au présent Règlement doivent être notifiés aux Parties contractantes à l</w:t>
      </w:r>
      <w:r w:rsidR="00145E4B">
        <w:t>’</w:t>
      </w:r>
      <w:r w:rsidRPr="00E07570">
        <w:t>Accord appliquant le présent Règlement au moyen d</w:t>
      </w:r>
      <w:r w:rsidR="00145E4B">
        <w:t>’</w:t>
      </w:r>
      <w:r w:rsidRPr="00E07570">
        <w:t>une fiche conforme au modèle indiqué à l</w:t>
      </w:r>
      <w:r w:rsidR="00145E4B">
        <w:t>’</w:t>
      </w:r>
      <w:r w:rsidRPr="00E07570">
        <w:t>annexe</w:t>
      </w:r>
      <w:r w:rsidR="000E22C4" w:rsidRPr="00E07570">
        <w:t> </w:t>
      </w:r>
      <w:r w:rsidRPr="00E07570">
        <w:rPr>
          <w:b/>
        </w:rPr>
        <w:t>3</w:t>
      </w:r>
      <w:r w:rsidRPr="00E07570">
        <w:t xml:space="preserve"> du présent Règlement.</w:t>
      </w:r>
    </w:p>
    <w:p w:rsidR="003C54FB" w:rsidRPr="00E07570" w:rsidRDefault="003C54FB" w:rsidP="00232AC5">
      <w:pPr>
        <w:pStyle w:val="SingleTxtG"/>
        <w:ind w:left="2268" w:hanging="1134"/>
      </w:pPr>
      <w:r w:rsidRPr="00E07570">
        <w:rPr>
          <w:b/>
        </w:rPr>
        <w:t>25.4</w:t>
      </w:r>
      <w:r w:rsidRPr="00E07570">
        <w:tab/>
        <w:t>Sur tout véhicule conforme à un type de véhicule homologué en application du présent Règlement, il doit être apposé de manière vis</w:t>
      </w:r>
      <w:r w:rsidR="00A128E7" w:rsidRPr="00E07570">
        <w:t>ibl</w:t>
      </w:r>
      <w:r w:rsidRPr="00E07570">
        <w:t>e, en un endroit facilement acces</w:t>
      </w:r>
      <w:r w:rsidR="00A128E7" w:rsidRPr="00E07570">
        <w:t>sible</w:t>
      </w:r>
      <w:r w:rsidRPr="00E07570">
        <w:t xml:space="preserve"> et indiqué sur la fiche d</w:t>
      </w:r>
      <w:r w:rsidR="00145E4B">
        <w:t>’</w:t>
      </w:r>
      <w:r w:rsidRPr="00E07570">
        <w:t>homologation, une marque d</w:t>
      </w:r>
      <w:r w:rsidR="00145E4B">
        <w:t>’</w:t>
      </w:r>
      <w:r w:rsidRPr="00E07570">
        <w:t>homologation internationale conforme au modèle indiqué à l</w:t>
      </w:r>
      <w:r w:rsidR="00145E4B">
        <w:t>’</w:t>
      </w:r>
      <w:r w:rsidRPr="00E07570">
        <w:t>annexe </w:t>
      </w:r>
      <w:r w:rsidRPr="00E07570">
        <w:rPr>
          <w:b/>
        </w:rPr>
        <w:t>3</w:t>
      </w:r>
      <w:r w:rsidRPr="00E07570">
        <w:t>, composée :</w:t>
      </w:r>
    </w:p>
    <w:p w:rsidR="003C54FB" w:rsidRPr="00E07570" w:rsidRDefault="003C54FB" w:rsidP="00232AC5">
      <w:pPr>
        <w:pStyle w:val="SingleTxtG"/>
        <w:ind w:left="2268" w:hanging="1134"/>
      </w:pPr>
      <w:r w:rsidRPr="00E07570">
        <w:rPr>
          <w:b/>
        </w:rPr>
        <w:t>25.4.1</w:t>
      </w:r>
      <w:r w:rsidRPr="00E07570">
        <w:tab/>
        <w:t>D</w:t>
      </w:r>
      <w:r w:rsidR="00145E4B">
        <w:t>’</w:t>
      </w:r>
      <w:r w:rsidRPr="00E07570">
        <w:t>un cercle à l</w:t>
      </w:r>
      <w:r w:rsidR="00145E4B">
        <w:t>’</w:t>
      </w:r>
      <w:r w:rsidRPr="00E07570">
        <w:t>intérieur duquel est placée la lettre « E » suivie du numéro distinctif du pays qui a délivré l</w:t>
      </w:r>
      <w:r w:rsidR="00145E4B">
        <w:t>’</w:t>
      </w:r>
      <w:r w:rsidRPr="00E07570">
        <w:t>homologation ;</w:t>
      </w:r>
    </w:p>
    <w:p w:rsidR="003C54FB" w:rsidRPr="00E07570" w:rsidRDefault="003C54FB" w:rsidP="00232AC5">
      <w:pPr>
        <w:pStyle w:val="SingleTxtG"/>
        <w:ind w:left="2268" w:hanging="1134"/>
      </w:pPr>
      <w:r w:rsidRPr="00E07570">
        <w:rPr>
          <w:b/>
        </w:rPr>
        <w:t>25.4.2</w:t>
      </w:r>
      <w:r w:rsidRPr="00E07570">
        <w:tab/>
        <w:t>Du numéro du présent Règlement suivi de la lettre « R », d</w:t>
      </w:r>
      <w:r w:rsidR="00145E4B">
        <w:t>’</w:t>
      </w:r>
      <w:r w:rsidRPr="00E07570">
        <w:t>un tiret et du numéro d</w:t>
      </w:r>
      <w:r w:rsidR="00145E4B">
        <w:t>’</w:t>
      </w:r>
      <w:r w:rsidRPr="00E07570">
        <w:t>homologation, placé à droite du cercle prévu au paragraphe</w:t>
      </w:r>
      <w:r w:rsidR="000E22C4" w:rsidRPr="00E07570">
        <w:t> </w:t>
      </w:r>
      <w:r w:rsidRPr="00E07570">
        <w:rPr>
          <w:b/>
        </w:rPr>
        <w:t>25.4.1</w:t>
      </w:r>
      <w:r w:rsidRPr="00E07570">
        <w:t>.</w:t>
      </w:r>
    </w:p>
    <w:p w:rsidR="003C54FB" w:rsidRPr="00E07570" w:rsidRDefault="003C54FB" w:rsidP="00232AC5">
      <w:pPr>
        <w:pStyle w:val="SingleTxtG"/>
        <w:ind w:left="2268" w:hanging="1134"/>
      </w:pPr>
      <w:r w:rsidRPr="00E07570">
        <w:rPr>
          <w:b/>
        </w:rPr>
        <w:t>25.5</w:t>
      </w:r>
      <w:r w:rsidRPr="00E07570">
        <w:tab/>
        <w:t>La marque d</w:t>
      </w:r>
      <w:r w:rsidR="00145E4B">
        <w:t>’</w:t>
      </w:r>
      <w:r w:rsidRPr="00E07570">
        <w:t>homologation doit être clairement li</w:t>
      </w:r>
      <w:r w:rsidR="00A128E7" w:rsidRPr="00E07570">
        <w:t>sibl</w:t>
      </w:r>
      <w:r w:rsidRPr="00E07570">
        <w:t>e et indélébile.</w:t>
      </w:r>
    </w:p>
    <w:p w:rsidR="003C54FB" w:rsidRPr="00E07570" w:rsidRDefault="003C54FB" w:rsidP="003C54FB">
      <w:pPr>
        <w:pStyle w:val="HChG"/>
        <w:ind w:left="2268"/>
      </w:pPr>
      <w:r w:rsidRPr="00E07570">
        <w:t>26.</w:t>
      </w:r>
      <w:r w:rsidRPr="00E07570">
        <w:tab/>
        <w:t>Prescriptions</w:t>
      </w:r>
    </w:p>
    <w:p w:rsidR="003C54FB" w:rsidRPr="00E07570" w:rsidRDefault="003C54FB" w:rsidP="00232AC5">
      <w:pPr>
        <w:pStyle w:val="SingleTxtG"/>
        <w:ind w:left="2268" w:hanging="1134"/>
      </w:pPr>
      <w:r w:rsidRPr="00E07570">
        <w:rPr>
          <w:b/>
        </w:rPr>
        <w:t>26.1</w:t>
      </w:r>
      <w:r w:rsidRPr="00E07570">
        <w:tab/>
        <w:t>Généralités</w:t>
      </w:r>
    </w:p>
    <w:p w:rsidR="003C54FB" w:rsidRPr="00E07570" w:rsidRDefault="003C54FB" w:rsidP="00232AC5">
      <w:pPr>
        <w:pStyle w:val="SingleTxtG"/>
        <w:ind w:left="2268" w:hanging="1134"/>
      </w:pPr>
      <w:r w:rsidRPr="00E07570">
        <w:rPr>
          <w:b/>
        </w:rPr>
        <w:t>26.1.1</w:t>
      </w:r>
      <w:r w:rsidRPr="00E07570">
        <w:tab/>
        <w:t>L</w:t>
      </w:r>
      <w:r w:rsidR="00145E4B">
        <w:t>’</w:t>
      </w:r>
      <w:r w:rsidRPr="00E07570">
        <w:t>AECD installé dans le véhicule doit être d</w:t>
      </w:r>
      <w:r w:rsidR="00145E4B">
        <w:t>’</w:t>
      </w:r>
      <w:r w:rsidRPr="00E07570">
        <w:t xml:space="preserve">un type homologué en vertu de la partie </w:t>
      </w:r>
      <w:proofErr w:type="spellStart"/>
      <w:r w:rsidR="00A22689" w:rsidRPr="00E07570">
        <w:rPr>
          <w:b/>
        </w:rPr>
        <w:t>Ib</w:t>
      </w:r>
      <w:proofErr w:type="spellEnd"/>
      <w:r w:rsidRPr="00E07570">
        <w:t xml:space="preserve"> du présent Règlement.</w:t>
      </w:r>
    </w:p>
    <w:p w:rsidR="003C54FB" w:rsidRPr="00E07570" w:rsidRDefault="003C54FB" w:rsidP="00232AC5">
      <w:pPr>
        <w:pStyle w:val="SingleTxtG"/>
        <w:ind w:left="2268" w:hanging="1134"/>
      </w:pPr>
      <w:r w:rsidRPr="00E07570">
        <w:rPr>
          <w:b/>
        </w:rPr>
        <w:t>26.1.2</w:t>
      </w:r>
      <w:r w:rsidRPr="00E07570">
        <w:tab/>
        <w:t>L</w:t>
      </w:r>
      <w:r w:rsidR="00145E4B">
        <w:t>’</w:t>
      </w:r>
      <w:r w:rsidRPr="00E07570">
        <w:t>AECD doit être raccordé au réseau électrique embarqué du véhicule de telle sorte qu</w:t>
      </w:r>
      <w:r w:rsidR="00145E4B">
        <w:t>’</w:t>
      </w:r>
      <w:r w:rsidRPr="00E07570">
        <w:t>il fonctionne, dans tous les modes prescrits, et que la batterie de secours (le cas échéant) soit chargée.</w:t>
      </w:r>
    </w:p>
    <w:p w:rsidR="003C54FB" w:rsidRPr="00E07570" w:rsidRDefault="003C54FB" w:rsidP="00232AC5">
      <w:pPr>
        <w:pStyle w:val="SingleTxtG"/>
        <w:ind w:left="2268" w:hanging="1134"/>
      </w:pPr>
      <w:r w:rsidRPr="00E07570">
        <w:rPr>
          <w:b/>
        </w:rPr>
        <w:t>26.1.3</w:t>
      </w:r>
      <w:r w:rsidRPr="00E07570">
        <w:tab/>
        <w:t>L</w:t>
      </w:r>
      <w:r w:rsidR="00145E4B">
        <w:t>’</w:t>
      </w:r>
      <w:r w:rsidRPr="00E07570">
        <w:t>AECD doit être installé de telle sorte à permettre la réception du signal GNSS et l</w:t>
      </w:r>
      <w:r w:rsidR="00145E4B">
        <w:t>’</w:t>
      </w:r>
      <w:r w:rsidRPr="00E07570">
        <w:t>accès à un PLMN.</w:t>
      </w:r>
    </w:p>
    <w:p w:rsidR="003C54FB" w:rsidRPr="00E07570" w:rsidRDefault="003C54FB" w:rsidP="00232AC5">
      <w:pPr>
        <w:pStyle w:val="SingleTxtG"/>
        <w:ind w:left="2268"/>
      </w:pPr>
      <w:r w:rsidRPr="00E07570">
        <w:t>Le demandeur de l</w:t>
      </w:r>
      <w:r w:rsidR="00145E4B">
        <w:t>’</w:t>
      </w:r>
      <w:r w:rsidRPr="00E07570">
        <w:t>homologation doit indiquer avec quel PLMN et quel récepteur GNSS l</w:t>
      </w:r>
      <w:r w:rsidR="00145E4B">
        <w:t>’</w:t>
      </w:r>
      <w:r w:rsidRPr="00E07570">
        <w:t>AECS doit fonctionner.</w:t>
      </w:r>
    </w:p>
    <w:p w:rsidR="003C54FB" w:rsidRPr="00E07570" w:rsidRDefault="003C54FB" w:rsidP="00232AC5">
      <w:pPr>
        <w:pStyle w:val="SingleTxtG"/>
        <w:ind w:left="2268"/>
      </w:pPr>
      <w:r w:rsidRPr="00E07570">
        <w:t>L</w:t>
      </w:r>
      <w:r w:rsidR="00145E4B">
        <w:t>’</w:t>
      </w:r>
      <w:r w:rsidRPr="00E07570">
        <w:t>installation et l</w:t>
      </w:r>
      <w:r w:rsidR="00145E4B">
        <w:t>’</w:t>
      </w:r>
      <w:r w:rsidRPr="00E07570">
        <w:t>orientation de l</w:t>
      </w:r>
      <w:r w:rsidR="00145E4B">
        <w:t>’</w:t>
      </w:r>
      <w:r w:rsidRPr="00E07570">
        <w:t>AECD et de ses éléments doivent correspondre à l</w:t>
      </w:r>
      <w:r w:rsidR="00145E4B">
        <w:t>’</w:t>
      </w:r>
      <w:r w:rsidRPr="00E07570">
        <w:t>homologation de l</w:t>
      </w:r>
      <w:r w:rsidR="00145E4B">
        <w:t>’</w:t>
      </w:r>
      <w:r w:rsidRPr="00E07570">
        <w:t>AECD en cas de choc avant du véhicule.</w:t>
      </w:r>
    </w:p>
    <w:p w:rsidR="003C54FB" w:rsidRPr="00E07570" w:rsidRDefault="003C54FB" w:rsidP="00232AC5">
      <w:pPr>
        <w:pStyle w:val="SingleTxtG"/>
        <w:ind w:left="2268" w:hanging="1134"/>
      </w:pPr>
      <w:r w:rsidRPr="00E07570">
        <w:rPr>
          <w:b/>
        </w:rPr>
        <w:t>26.2</w:t>
      </w:r>
      <w:r w:rsidRPr="00E07570">
        <w:tab/>
        <w:t>L</w:t>
      </w:r>
      <w:r w:rsidR="00145E4B">
        <w:t>’</w:t>
      </w:r>
      <w:r w:rsidRPr="00E07570">
        <w:t>AECD doit être installé de façon à recevoir un signal de déclenchement en cas de choc grave du véhicule ; cette condition doit être vérifiée lors de l</w:t>
      </w:r>
      <w:r w:rsidR="00145E4B">
        <w:t>’</w:t>
      </w:r>
      <w:r w:rsidRPr="00E07570">
        <w:t>essai de choc décrit dans le présent paragraphe.</w:t>
      </w:r>
    </w:p>
    <w:p w:rsidR="003C54FB" w:rsidRPr="00E07570" w:rsidRDefault="003C54FB" w:rsidP="00232AC5">
      <w:pPr>
        <w:pStyle w:val="SingleTxtG"/>
        <w:ind w:left="2268"/>
      </w:pPr>
      <w:r w:rsidRPr="00E07570">
        <w:t>Dès réception d</w:t>
      </w:r>
      <w:r w:rsidR="00145E4B">
        <w:t>’</w:t>
      </w:r>
      <w:r w:rsidRPr="00E07570">
        <w:t>un signal de déclenchement, l</w:t>
      </w:r>
      <w:r w:rsidR="00145E4B">
        <w:t>’</w:t>
      </w:r>
      <w:r w:rsidRPr="00E07570">
        <w:t>AECS doit déclencher la procédure d</w:t>
      </w:r>
      <w:r w:rsidR="00145E4B">
        <w:t>’</w:t>
      </w:r>
      <w:r w:rsidRPr="00E07570">
        <w:t>appel d</w:t>
      </w:r>
      <w:r w:rsidR="00145E4B">
        <w:t>’</w:t>
      </w:r>
      <w:r w:rsidRPr="00E07570">
        <w:t>urgence ; cette condition doit être vérifiée au moyen d</w:t>
      </w:r>
      <w:r w:rsidR="00145E4B">
        <w:t>’</w:t>
      </w:r>
      <w:r w:rsidRPr="00E07570">
        <w:t>une des méthodes d</w:t>
      </w:r>
      <w:r w:rsidR="00145E4B">
        <w:t>’</w:t>
      </w:r>
      <w:r w:rsidRPr="00E07570">
        <w:t>essai décrites à l</w:t>
      </w:r>
      <w:r w:rsidR="00145E4B">
        <w:t>’</w:t>
      </w:r>
      <w:r w:rsidRPr="00E07570">
        <w:t>annexe</w:t>
      </w:r>
      <w:r w:rsidR="00D24B39" w:rsidRPr="00E07570">
        <w:t> </w:t>
      </w:r>
      <w:r w:rsidRPr="00E07570">
        <w:rPr>
          <w:b/>
        </w:rPr>
        <w:t>11</w:t>
      </w:r>
      <w:r w:rsidRPr="00E07570">
        <w:t>.</w:t>
      </w:r>
    </w:p>
    <w:p w:rsidR="003C54FB" w:rsidRPr="00E07570" w:rsidRDefault="003C54FB" w:rsidP="00232AC5">
      <w:pPr>
        <w:pStyle w:val="SingleTxtG"/>
        <w:ind w:left="2268" w:hanging="1134"/>
      </w:pPr>
      <w:r w:rsidRPr="00E07570">
        <w:rPr>
          <w:b/>
        </w:rPr>
        <w:t>26.2.1</w:t>
      </w:r>
      <w:r w:rsidRPr="00E07570">
        <w:tab/>
        <w:t>Les véhicules de la catégorie M</w:t>
      </w:r>
      <w:r w:rsidRPr="00E07570">
        <w:rPr>
          <w:vertAlign w:val="subscript"/>
        </w:rPr>
        <w:t>1</w:t>
      </w:r>
      <w:r w:rsidRPr="00E07570">
        <w:t xml:space="preserve"> sont soumis aux prescriptions suivantes :</w:t>
      </w:r>
    </w:p>
    <w:p w:rsidR="003C54FB" w:rsidRPr="00E07570" w:rsidRDefault="003C54FB" w:rsidP="00232AC5">
      <w:pPr>
        <w:pStyle w:val="SingleTxtG"/>
        <w:ind w:left="2268" w:hanging="1134"/>
      </w:pPr>
      <w:r w:rsidRPr="00E07570">
        <w:rPr>
          <w:b/>
        </w:rPr>
        <w:t>26.2.1.1</w:t>
      </w:r>
      <w:r w:rsidRPr="00E07570">
        <w:tab/>
        <w:t>Dans le cas des véhicules de la catégorie M</w:t>
      </w:r>
      <w:r w:rsidRPr="00E07570">
        <w:rPr>
          <w:vertAlign w:val="subscript"/>
        </w:rPr>
        <w:t>1</w:t>
      </w:r>
      <w:r w:rsidRPr="00E07570">
        <w:t xml:space="preserve"> dont la masse totale </w:t>
      </w:r>
      <w:r w:rsidR="00305F8B" w:rsidRPr="00E07570">
        <w:t>admissible</w:t>
      </w:r>
      <w:r w:rsidRPr="00E07570">
        <w:t xml:space="preserve"> est </w:t>
      </w:r>
      <w:r w:rsidRPr="00E07570">
        <w:rPr>
          <w:spacing w:val="-2"/>
        </w:rPr>
        <w:t>inférieure ou égale à 2,5 tonnes et sur lesquels la hauteur du point</w:t>
      </w:r>
      <w:r w:rsidR="00FD66A4" w:rsidRPr="00E07570">
        <w:rPr>
          <w:spacing w:val="-2"/>
        </w:rPr>
        <w:t> </w:t>
      </w:r>
      <w:r w:rsidRPr="00E07570">
        <w:rPr>
          <w:spacing w:val="-2"/>
        </w:rPr>
        <w:t>R est égale ou inférieure à 700 m</w:t>
      </w:r>
      <w:r w:rsidR="00FD66A4" w:rsidRPr="00E07570">
        <w:rPr>
          <w:spacing w:val="-2"/>
        </w:rPr>
        <w:t>m</w:t>
      </w:r>
      <w:r w:rsidRPr="00E07570">
        <w:rPr>
          <w:spacing w:val="-2"/>
        </w:rPr>
        <w:t>, le signal de déclenchement est vérifié comme suit :</w:t>
      </w:r>
    </w:p>
    <w:p w:rsidR="003C54FB" w:rsidRPr="00E07570" w:rsidRDefault="003C54FB" w:rsidP="00232AC5">
      <w:pPr>
        <w:pStyle w:val="SingleTxtG"/>
        <w:ind w:left="2268" w:hanging="1134"/>
      </w:pPr>
      <w:r w:rsidRPr="00E07570">
        <w:rPr>
          <w:b/>
        </w:rPr>
        <w:t>26.2.1.1.1</w:t>
      </w:r>
      <w:r w:rsidRPr="00E07570">
        <w:tab/>
        <w:t>En cas de collision du véhicule conformément à l</w:t>
      </w:r>
      <w:r w:rsidR="00145E4B">
        <w:t>’</w:t>
      </w:r>
      <w:r w:rsidRPr="00E07570">
        <w:t>annexe</w:t>
      </w:r>
      <w:r w:rsidR="00FD66A4" w:rsidRPr="00E07570">
        <w:t> </w:t>
      </w:r>
      <w:r w:rsidRPr="00E07570">
        <w:t xml:space="preserve">3 du Règlement </w:t>
      </w:r>
      <w:r w:rsidRPr="00E07570">
        <w:rPr>
          <w:rFonts w:eastAsia="MS Mincho"/>
        </w:rPr>
        <w:t>n</w:t>
      </w:r>
      <w:r w:rsidRPr="00E07570">
        <w:rPr>
          <w:rFonts w:eastAsia="MS Mincho"/>
          <w:vertAlign w:val="superscript"/>
        </w:rPr>
        <w:t>o</w:t>
      </w:r>
      <w:r w:rsidRPr="00E07570">
        <w:t> 94 (choc avant) et l</w:t>
      </w:r>
      <w:r w:rsidR="00145E4B">
        <w:t>’</w:t>
      </w:r>
      <w:r w:rsidRPr="00E07570">
        <w:t>annexe</w:t>
      </w:r>
      <w:r w:rsidR="00FD66A4" w:rsidRPr="00E07570">
        <w:t> </w:t>
      </w:r>
      <w:r w:rsidRPr="00E07570">
        <w:t xml:space="preserve">4 du Règlement </w:t>
      </w:r>
      <w:r w:rsidRPr="00E07570">
        <w:rPr>
          <w:rFonts w:eastAsia="MS Mincho"/>
        </w:rPr>
        <w:t>n</w:t>
      </w:r>
      <w:r w:rsidRPr="00E07570">
        <w:rPr>
          <w:rFonts w:eastAsia="MS Mincho"/>
          <w:vertAlign w:val="superscript"/>
        </w:rPr>
        <w:t>o</w:t>
      </w:r>
      <w:r w:rsidRPr="00E07570">
        <w:t> 95 (choc latéral) ; ou</w:t>
      </w:r>
    </w:p>
    <w:p w:rsidR="003C54FB" w:rsidRPr="00E07570" w:rsidRDefault="003C54FB" w:rsidP="00232AC5">
      <w:pPr>
        <w:pStyle w:val="SingleTxtG"/>
        <w:ind w:left="2268" w:hanging="1134"/>
      </w:pPr>
      <w:r w:rsidRPr="00E07570">
        <w:rPr>
          <w:b/>
        </w:rPr>
        <w:t>26.2.1.1.2</w:t>
      </w:r>
      <w:r w:rsidRPr="00E07570">
        <w:tab/>
        <w:t>Dans le cas de l</w:t>
      </w:r>
      <w:r w:rsidR="00145E4B">
        <w:t>’</w:t>
      </w:r>
      <w:r w:rsidRPr="00E07570">
        <w:t>extension d</w:t>
      </w:r>
      <w:r w:rsidR="00145E4B">
        <w:t>’</w:t>
      </w:r>
      <w:r w:rsidRPr="00E07570">
        <w:t>homologations de type en vertu du présent Règlement, ou dans le cas de l</w:t>
      </w:r>
      <w:r w:rsidR="00145E4B">
        <w:t>’</w:t>
      </w:r>
      <w:r w:rsidRPr="00E07570">
        <w:t xml:space="preserve">homologation de types de véhicules déjà accordée en vertu des Règlements </w:t>
      </w:r>
      <w:r w:rsidRPr="00E07570">
        <w:rPr>
          <w:rFonts w:eastAsia="MS Mincho"/>
        </w:rPr>
        <w:t>n</w:t>
      </w:r>
      <w:r w:rsidRPr="00E07570">
        <w:rPr>
          <w:rFonts w:eastAsia="MS Mincho"/>
          <w:vertAlign w:val="superscript"/>
        </w:rPr>
        <w:t>os</w:t>
      </w:r>
      <w:r w:rsidRPr="00E07570">
        <w:t> 94 ou 95 avant l</w:t>
      </w:r>
      <w:r w:rsidR="00145E4B">
        <w:t>’</w:t>
      </w:r>
      <w:r w:rsidRPr="00E07570">
        <w:t>entrée en vigueur du présent Règlement, lorsqu</w:t>
      </w:r>
      <w:r w:rsidR="00145E4B">
        <w:t>’</w:t>
      </w:r>
      <w:r w:rsidRPr="00E07570">
        <w:t>il est démontré, documentation existante à l</w:t>
      </w:r>
      <w:r w:rsidR="00145E4B">
        <w:t>’</w:t>
      </w:r>
      <w:r w:rsidRPr="00E07570">
        <w:t>appui (rapport, images, données de simulation ou éléments équivalents) que lors d</w:t>
      </w:r>
      <w:r w:rsidR="00145E4B">
        <w:t>’</w:t>
      </w:r>
      <w:r w:rsidRPr="00E07570">
        <w:t xml:space="preserve">un choc avant (Règlement </w:t>
      </w:r>
      <w:r w:rsidRPr="00E07570">
        <w:rPr>
          <w:rFonts w:eastAsia="MS Mincho"/>
        </w:rPr>
        <w:t>n</w:t>
      </w:r>
      <w:r w:rsidRPr="00E07570">
        <w:rPr>
          <w:rFonts w:eastAsia="MS Mincho"/>
          <w:vertAlign w:val="superscript"/>
        </w:rPr>
        <w:t>o</w:t>
      </w:r>
      <w:r w:rsidRPr="00E07570">
        <w:t> 94) ou d</w:t>
      </w:r>
      <w:r w:rsidR="00145E4B">
        <w:t>’</w:t>
      </w:r>
      <w:r w:rsidRPr="00E07570">
        <w:t xml:space="preserve">un choc latéral (Règlement </w:t>
      </w:r>
      <w:r w:rsidRPr="00E07570">
        <w:rPr>
          <w:rFonts w:eastAsia="MS Mincho"/>
        </w:rPr>
        <w:t>n</w:t>
      </w:r>
      <w:r w:rsidRPr="00E07570">
        <w:rPr>
          <w:rFonts w:eastAsia="MS Mincho"/>
          <w:vertAlign w:val="superscript"/>
        </w:rPr>
        <w:t>o</w:t>
      </w:r>
      <w:r w:rsidRPr="00E07570">
        <w:t> 95) :</w:t>
      </w:r>
    </w:p>
    <w:p w:rsidR="003C54FB" w:rsidRPr="00E07570" w:rsidRDefault="003C54FB" w:rsidP="008D5CE1">
      <w:pPr>
        <w:pStyle w:val="SingleTxtG"/>
        <w:ind w:left="2835" w:hanging="567"/>
      </w:pPr>
      <w:r w:rsidRPr="00E07570">
        <w:t>a)</w:t>
      </w:r>
      <w:r w:rsidRPr="00E07570">
        <w:tab/>
        <w:t>Un signal de déclenchement a été émis ;</w:t>
      </w:r>
    </w:p>
    <w:p w:rsidR="003C54FB" w:rsidRPr="00E07570" w:rsidRDefault="003C54FB" w:rsidP="008D5CE1">
      <w:pPr>
        <w:pStyle w:val="SingleTxtG"/>
        <w:ind w:left="2835" w:hanging="567"/>
      </w:pPr>
      <w:r w:rsidRPr="00E07570">
        <w:t>b)</w:t>
      </w:r>
      <w:r w:rsidRPr="00E07570">
        <w:tab/>
        <w:t>L</w:t>
      </w:r>
      <w:r w:rsidR="00145E4B">
        <w:t>’</w:t>
      </w:r>
      <w:r w:rsidRPr="00E07570">
        <w:t>installation de l</w:t>
      </w:r>
      <w:r w:rsidR="00145E4B">
        <w:t>’</w:t>
      </w:r>
      <w:r w:rsidRPr="00E07570">
        <w:t>AECD n</w:t>
      </w:r>
      <w:r w:rsidR="00145E4B">
        <w:t>’</w:t>
      </w:r>
      <w:r w:rsidRPr="00E07570">
        <w:t>est pas perturbée par le choc subi par le véhicule.</w:t>
      </w:r>
    </w:p>
    <w:p w:rsidR="003C54FB" w:rsidRPr="00E07570" w:rsidRDefault="003C54FB" w:rsidP="00232AC5">
      <w:pPr>
        <w:pStyle w:val="SingleTxtG"/>
        <w:ind w:left="2268" w:hanging="1134"/>
      </w:pPr>
      <w:r w:rsidRPr="00E07570">
        <w:rPr>
          <w:b/>
        </w:rPr>
        <w:t>26.2.1.2</w:t>
      </w:r>
      <w:r w:rsidRPr="00E07570">
        <w:tab/>
        <w:t>Dans le cas des véhicules de la catégorie M</w:t>
      </w:r>
      <w:r w:rsidRPr="00E07570">
        <w:rPr>
          <w:vertAlign w:val="subscript"/>
        </w:rPr>
        <w:t>1</w:t>
      </w:r>
      <w:r w:rsidRPr="00E07570">
        <w:t xml:space="preserve"> dont la masse totale </w:t>
      </w:r>
      <w:r w:rsidR="00305F8B" w:rsidRPr="00E07570">
        <w:t>admissible</w:t>
      </w:r>
      <w:r w:rsidRPr="00E07570">
        <w:t xml:space="preserve"> est inférieure ou égale à 2,5 tonnes et sur lesquels la hauteur du point R est supérieure à 700 m</w:t>
      </w:r>
      <w:r w:rsidR="005C5210" w:rsidRPr="00E07570">
        <w:t>m</w:t>
      </w:r>
      <w:r w:rsidRPr="00E07570">
        <w:t>, le signal de déclenchement est vérifié comme suit :</w:t>
      </w:r>
    </w:p>
    <w:p w:rsidR="003C54FB" w:rsidRPr="00E07570" w:rsidRDefault="003C54FB" w:rsidP="00232AC5">
      <w:pPr>
        <w:pStyle w:val="SingleTxtG"/>
        <w:ind w:left="2268" w:hanging="1134"/>
      </w:pPr>
      <w:r w:rsidRPr="00E07570">
        <w:rPr>
          <w:b/>
        </w:rPr>
        <w:t>26.2.1.2.1</w:t>
      </w:r>
      <w:r w:rsidRPr="00E07570">
        <w:tab/>
        <w:t>En cas de collision du véhicule conformément à l</w:t>
      </w:r>
      <w:r w:rsidR="00145E4B">
        <w:t>’</w:t>
      </w:r>
      <w:r w:rsidRPr="00E07570">
        <w:t>annexe</w:t>
      </w:r>
      <w:r w:rsidR="008D5CE1" w:rsidRPr="00E07570">
        <w:t> </w:t>
      </w:r>
      <w:r w:rsidRPr="00E07570">
        <w:t xml:space="preserve">3 du Règlement </w:t>
      </w:r>
      <w:r w:rsidRPr="00E07570">
        <w:rPr>
          <w:rFonts w:eastAsia="MS Mincho"/>
        </w:rPr>
        <w:t>n</w:t>
      </w:r>
      <w:r w:rsidRPr="00E07570">
        <w:rPr>
          <w:rFonts w:eastAsia="MS Mincho"/>
          <w:vertAlign w:val="superscript"/>
        </w:rPr>
        <w:t>o</w:t>
      </w:r>
      <w:r w:rsidRPr="00E07570">
        <w:t> 94 (choc avant) ; ou</w:t>
      </w:r>
    </w:p>
    <w:p w:rsidR="003C54FB" w:rsidRPr="00E07570" w:rsidRDefault="003C54FB" w:rsidP="00232AC5">
      <w:pPr>
        <w:pStyle w:val="SingleTxtG"/>
        <w:ind w:left="2268" w:hanging="1134"/>
      </w:pPr>
      <w:r w:rsidRPr="00E07570">
        <w:rPr>
          <w:b/>
        </w:rPr>
        <w:t>26.2.1.2.2</w:t>
      </w:r>
      <w:r w:rsidRPr="00E07570">
        <w:tab/>
        <w:t>Dans le cas de l</w:t>
      </w:r>
      <w:r w:rsidR="00145E4B">
        <w:t>’</w:t>
      </w:r>
      <w:r w:rsidRPr="00E07570">
        <w:t>extension d</w:t>
      </w:r>
      <w:r w:rsidR="00145E4B">
        <w:t>’</w:t>
      </w:r>
      <w:r w:rsidRPr="00E07570">
        <w:t>homologations de type en vertu du présent Règlement, ou dans le cas de l</w:t>
      </w:r>
      <w:r w:rsidR="00145E4B">
        <w:t>’</w:t>
      </w:r>
      <w:r w:rsidRPr="00E07570">
        <w:t xml:space="preserve">homologation de types de véhicules déjà accordée en vertu des Règlements </w:t>
      </w:r>
      <w:r w:rsidRPr="00E07570">
        <w:rPr>
          <w:rFonts w:eastAsia="MS Mincho"/>
        </w:rPr>
        <w:t>n</w:t>
      </w:r>
      <w:r w:rsidRPr="00E07570">
        <w:rPr>
          <w:rFonts w:eastAsia="MS Mincho"/>
          <w:vertAlign w:val="superscript"/>
        </w:rPr>
        <w:t>os</w:t>
      </w:r>
      <w:r w:rsidRPr="00E07570">
        <w:t> 94 ou 95 avant l</w:t>
      </w:r>
      <w:r w:rsidR="00145E4B">
        <w:t>’</w:t>
      </w:r>
      <w:r w:rsidRPr="00E07570">
        <w:t>entrée en vigueur du présent Règlement, lorsqu</w:t>
      </w:r>
      <w:r w:rsidR="00145E4B">
        <w:t>’</w:t>
      </w:r>
      <w:r w:rsidRPr="00E07570">
        <w:t>il est démontré, documentation existante à l</w:t>
      </w:r>
      <w:r w:rsidR="00145E4B">
        <w:t>’</w:t>
      </w:r>
      <w:r w:rsidRPr="00E07570">
        <w:t>appui (rapport, images, données de simulation ou éléments équivalents) que lors d</w:t>
      </w:r>
      <w:r w:rsidR="00145E4B">
        <w:t>’</w:t>
      </w:r>
      <w:r w:rsidRPr="00E07570">
        <w:t xml:space="preserve">un choc avant (Règlement </w:t>
      </w:r>
      <w:r w:rsidRPr="00E07570">
        <w:rPr>
          <w:rFonts w:eastAsia="MS Mincho"/>
        </w:rPr>
        <w:t>n</w:t>
      </w:r>
      <w:r w:rsidRPr="00E07570">
        <w:rPr>
          <w:rFonts w:eastAsia="MS Mincho"/>
          <w:vertAlign w:val="superscript"/>
        </w:rPr>
        <w:t>o</w:t>
      </w:r>
      <w:r w:rsidRPr="00E07570">
        <w:t> 94) :</w:t>
      </w:r>
    </w:p>
    <w:p w:rsidR="003C54FB" w:rsidRPr="00E07570" w:rsidRDefault="003C54FB" w:rsidP="008D5CE1">
      <w:pPr>
        <w:pStyle w:val="SingleTxtG"/>
        <w:ind w:left="2835" w:hanging="567"/>
      </w:pPr>
      <w:r w:rsidRPr="00E07570">
        <w:t>a)</w:t>
      </w:r>
      <w:r w:rsidRPr="00E07570">
        <w:tab/>
        <w:t>Un signal de déclenchement a été émis ;</w:t>
      </w:r>
    </w:p>
    <w:p w:rsidR="003C54FB" w:rsidRPr="00E07570" w:rsidRDefault="003C54FB" w:rsidP="008D5CE1">
      <w:pPr>
        <w:pStyle w:val="SingleTxtG"/>
        <w:ind w:left="2835" w:hanging="567"/>
      </w:pPr>
      <w:r w:rsidRPr="00E07570">
        <w:t>b)</w:t>
      </w:r>
      <w:r w:rsidRPr="00E07570">
        <w:tab/>
        <w:t>L</w:t>
      </w:r>
      <w:r w:rsidR="00145E4B">
        <w:t>’</w:t>
      </w:r>
      <w:r w:rsidRPr="00E07570">
        <w:t>installation de l</w:t>
      </w:r>
      <w:r w:rsidR="00145E4B">
        <w:t>’</w:t>
      </w:r>
      <w:r w:rsidRPr="00E07570">
        <w:t>AECD n</w:t>
      </w:r>
      <w:r w:rsidR="00145E4B">
        <w:t>’</w:t>
      </w:r>
      <w:r w:rsidRPr="00E07570">
        <w:t>est pas perturbée par le choc subi par le véhicule.</w:t>
      </w:r>
    </w:p>
    <w:p w:rsidR="003C54FB" w:rsidRPr="00E07570" w:rsidRDefault="003C54FB" w:rsidP="00232AC5">
      <w:pPr>
        <w:pStyle w:val="SingleTxtG"/>
        <w:ind w:left="2268" w:hanging="1134"/>
      </w:pPr>
      <w:r w:rsidRPr="00E07570">
        <w:rPr>
          <w:b/>
        </w:rPr>
        <w:t>26.2.1.3</w:t>
      </w:r>
      <w:r w:rsidRPr="00E07570">
        <w:tab/>
        <w:t>Dans le cas des véhicules de la catégorie M</w:t>
      </w:r>
      <w:r w:rsidRPr="00E07570">
        <w:rPr>
          <w:vertAlign w:val="subscript"/>
        </w:rPr>
        <w:t>1</w:t>
      </w:r>
      <w:r w:rsidRPr="00E07570">
        <w:t xml:space="preserve"> dont la masse totale </w:t>
      </w:r>
      <w:r w:rsidR="00305F8B" w:rsidRPr="00E07570">
        <w:t>admissible</w:t>
      </w:r>
      <w:r w:rsidRPr="00E07570">
        <w:t xml:space="preserve"> est supérieure à 2,5 tonnes et sur lesquels le point R est situé à une hauteur inférieure ou égale à 700 m</w:t>
      </w:r>
      <w:r w:rsidR="00C609FB" w:rsidRPr="00E07570">
        <w:t>m</w:t>
      </w:r>
      <w:r w:rsidRPr="00E07570">
        <w:t>, le signal de déclenchement est vérifié comme suit :</w:t>
      </w:r>
    </w:p>
    <w:p w:rsidR="003C54FB" w:rsidRPr="00E07570" w:rsidRDefault="003C54FB" w:rsidP="00232AC5">
      <w:pPr>
        <w:pStyle w:val="SingleTxtG"/>
        <w:ind w:left="2268" w:hanging="1134"/>
      </w:pPr>
      <w:r w:rsidRPr="00E07570">
        <w:rPr>
          <w:b/>
        </w:rPr>
        <w:t>26.2.1.3.1</w:t>
      </w:r>
      <w:r w:rsidRPr="00E07570">
        <w:tab/>
        <w:t>En cas de choc latéral conformément à l</w:t>
      </w:r>
      <w:r w:rsidR="00145E4B">
        <w:t>’</w:t>
      </w:r>
      <w:r w:rsidRPr="00E07570">
        <w:t>annexe</w:t>
      </w:r>
      <w:r w:rsidR="008D5CE1" w:rsidRPr="00E07570">
        <w:t> </w:t>
      </w:r>
      <w:r w:rsidRPr="00E07570">
        <w:t xml:space="preserve">4 du Règlement </w:t>
      </w:r>
      <w:r w:rsidRPr="00E07570">
        <w:rPr>
          <w:rFonts w:eastAsia="MS Mincho"/>
        </w:rPr>
        <w:t>n</w:t>
      </w:r>
      <w:r w:rsidRPr="00E07570">
        <w:rPr>
          <w:rFonts w:eastAsia="MS Mincho"/>
          <w:vertAlign w:val="superscript"/>
        </w:rPr>
        <w:t>o</w:t>
      </w:r>
      <w:r w:rsidRPr="00E07570">
        <w:t xml:space="preserve"> 95 ; ou </w:t>
      </w:r>
    </w:p>
    <w:p w:rsidR="003C54FB" w:rsidRPr="00E07570" w:rsidRDefault="003C54FB" w:rsidP="00232AC5">
      <w:pPr>
        <w:pStyle w:val="SingleTxtG"/>
        <w:ind w:left="2268" w:hanging="1134"/>
      </w:pPr>
      <w:r w:rsidRPr="00E07570">
        <w:rPr>
          <w:b/>
        </w:rPr>
        <w:t>26.2.1.3.2</w:t>
      </w:r>
      <w:r w:rsidRPr="00E07570">
        <w:tab/>
        <w:t>Dans le cas de l</w:t>
      </w:r>
      <w:r w:rsidR="00145E4B">
        <w:t>’</w:t>
      </w:r>
      <w:r w:rsidRPr="00E07570">
        <w:t>extension d</w:t>
      </w:r>
      <w:r w:rsidR="00145E4B">
        <w:t>’</w:t>
      </w:r>
      <w:r w:rsidRPr="00E07570">
        <w:t>homologations de type en vertu du présent Règlement, ou dans le cas de l</w:t>
      </w:r>
      <w:r w:rsidR="00145E4B">
        <w:t>’</w:t>
      </w:r>
      <w:r w:rsidRPr="00E07570">
        <w:t xml:space="preserve">homologation de types de véhicules déjà accordée en vertu des Règlements </w:t>
      </w:r>
      <w:r w:rsidRPr="00E07570">
        <w:rPr>
          <w:rFonts w:eastAsia="MS Mincho"/>
        </w:rPr>
        <w:t>n</w:t>
      </w:r>
      <w:r w:rsidRPr="00E07570">
        <w:rPr>
          <w:rFonts w:eastAsia="MS Mincho"/>
          <w:vertAlign w:val="superscript"/>
        </w:rPr>
        <w:t>os</w:t>
      </w:r>
      <w:r w:rsidRPr="00E07570">
        <w:t> 94 ou 95 avant l</w:t>
      </w:r>
      <w:r w:rsidR="00145E4B">
        <w:t>’</w:t>
      </w:r>
      <w:r w:rsidRPr="00E07570">
        <w:t>entrée en vigueur du présent Règlement, lorsqu</w:t>
      </w:r>
      <w:r w:rsidR="00145E4B">
        <w:t>’</w:t>
      </w:r>
      <w:r w:rsidRPr="00E07570">
        <w:t>il est démontré, documentation existante à l</w:t>
      </w:r>
      <w:r w:rsidR="00145E4B">
        <w:t>’</w:t>
      </w:r>
      <w:r w:rsidRPr="00E07570">
        <w:t>appui (rapport, images, données de simulation ou éléments équivalents) que lors d</w:t>
      </w:r>
      <w:r w:rsidR="00145E4B">
        <w:t>’</w:t>
      </w:r>
      <w:r w:rsidRPr="00E07570">
        <w:t xml:space="preserve">un choc latéral (Règlement </w:t>
      </w:r>
      <w:r w:rsidRPr="00E07570">
        <w:rPr>
          <w:rFonts w:eastAsia="MS Mincho"/>
        </w:rPr>
        <w:t>n</w:t>
      </w:r>
      <w:r w:rsidRPr="00E07570">
        <w:rPr>
          <w:rFonts w:eastAsia="MS Mincho"/>
          <w:vertAlign w:val="superscript"/>
        </w:rPr>
        <w:t>o</w:t>
      </w:r>
      <w:r w:rsidRPr="00E07570">
        <w:t> 95) :</w:t>
      </w:r>
    </w:p>
    <w:p w:rsidR="003C54FB" w:rsidRPr="00E07570" w:rsidRDefault="003C54FB" w:rsidP="008D5CE1">
      <w:pPr>
        <w:pStyle w:val="SingleTxtG"/>
        <w:ind w:left="2835" w:hanging="567"/>
      </w:pPr>
      <w:r w:rsidRPr="00E07570">
        <w:t>a)</w:t>
      </w:r>
      <w:r w:rsidRPr="00E07570">
        <w:tab/>
        <w:t>Un signal de déclenchement a été émis ;</w:t>
      </w:r>
    </w:p>
    <w:p w:rsidR="003C54FB" w:rsidRPr="00E07570" w:rsidRDefault="003C54FB" w:rsidP="008D5CE1">
      <w:pPr>
        <w:pStyle w:val="SingleTxtG"/>
        <w:ind w:left="2835" w:hanging="567"/>
      </w:pPr>
      <w:r w:rsidRPr="00E07570">
        <w:t>b)</w:t>
      </w:r>
      <w:r w:rsidRPr="00E07570">
        <w:tab/>
        <w:t>L</w:t>
      </w:r>
      <w:r w:rsidR="00145E4B">
        <w:t>’</w:t>
      </w:r>
      <w:r w:rsidRPr="00E07570">
        <w:t>installation de l</w:t>
      </w:r>
      <w:r w:rsidR="00145E4B">
        <w:t>’</w:t>
      </w:r>
      <w:r w:rsidRPr="00E07570">
        <w:t>AECD n</w:t>
      </w:r>
      <w:r w:rsidR="00145E4B">
        <w:t>’</w:t>
      </w:r>
      <w:r w:rsidRPr="00E07570">
        <w:t>est pas perturbée par le choc subi par le véhicule.</w:t>
      </w:r>
    </w:p>
    <w:p w:rsidR="003C54FB" w:rsidRPr="00E07570" w:rsidRDefault="003C54FB" w:rsidP="00D24954">
      <w:pPr>
        <w:pStyle w:val="SingleTxtG"/>
        <w:keepNext/>
        <w:ind w:left="2268" w:hanging="1134"/>
      </w:pPr>
      <w:r w:rsidRPr="00E07570">
        <w:rPr>
          <w:b/>
        </w:rPr>
        <w:t>26.2.1.4</w:t>
      </w:r>
      <w:r w:rsidRPr="00E07570">
        <w:tab/>
        <w:t>Dans le cas des véhicules de la catégorie M</w:t>
      </w:r>
      <w:r w:rsidRPr="00E07570">
        <w:rPr>
          <w:vertAlign w:val="subscript"/>
        </w:rPr>
        <w:t>1</w:t>
      </w:r>
      <w:r w:rsidRPr="00E07570">
        <w:t xml:space="preserve"> dont la masse </w:t>
      </w:r>
      <w:r w:rsidR="00305F8B" w:rsidRPr="00E07570">
        <w:t>admissible</w:t>
      </w:r>
      <w:r w:rsidRPr="00E07570">
        <w:t xml:space="preserve"> totale dépasse 2,5 tonnes et sur lesquels le point R est situé à une hauteur supérieure à 700 m</w:t>
      </w:r>
      <w:r w:rsidR="00C609FB" w:rsidRPr="00E07570">
        <w:t>m</w:t>
      </w:r>
      <w:r w:rsidRPr="00E07570">
        <w:t> :</w:t>
      </w:r>
    </w:p>
    <w:p w:rsidR="003C54FB" w:rsidRPr="00E07570" w:rsidRDefault="003C54FB" w:rsidP="00232AC5">
      <w:pPr>
        <w:pStyle w:val="SingleTxtG"/>
        <w:ind w:left="2268" w:hanging="1134"/>
      </w:pPr>
      <w:r w:rsidRPr="00E07570">
        <w:rPr>
          <w:b/>
        </w:rPr>
        <w:t>26.2.1.4.1</w:t>
      </w:r>
      <w:r w:rsidRPr="00E07570">
        <w:tab/>
        <w:t>Le constructeur doit démontrer, documentation à l</w:t>
      </w:r>
      <w:r w:rsidR="00145E4B">
        <w:t>’</w:t>
      </w:r>
      <w:r w:rsidRPr="00E07570">
        <w:t>appui (rapport, images, croquis ou preuves équivalentes) qu</w:t>
      </w:r>
      <w:r w:rsidR="00145E4B">
        <w:t>’</w:t>
      </w:r>
      <w:r w:rsidRPr="00E07570">
        <w:t>un signal de déclenchement existe pour l</w:t>
      </w:r>
      <w:r w:rsidR="00145E4B">
        <w:t>’</w:t>
      </w:r>
      <w:r w:rsidRPr="00E07570">
        <w:t>AECS.</w:t>
      </w:r>
    </w:p>
    <w:p w:rsidR="003C54FB" w:rsidRPr="00E07570" w:rsidRDefault="003C54FB" w:rsidP="00232AC5">
      <w:pPr>
        <w:pStyle w:val="SingleTxtG"/>
        <w:ind w:left="2268" w:hanging="1134"/>
      </w:pPr>
      <w:r w:rsidRPr="00E07570">
        <w:rPr>
          <w:b/>
        </w:rPr>
        <w:t>26.2.2</w:t>
      </w:r>
      <w:r w:rsidRPr="00E07570">
        <w:tab/>
        <w:t>Les véhicules de la catégorie N</w:t>
      </w:r>
      <w:r w:rsidRPr="00E07570">
        <w:rPr>
          <w:vertAlign w:val="subscript"/>
        </w:rPr>
        <w:t>1</w:t>
      </w:r>
      <w:r w:rsidRPr="00E07570">
        <w:t xml:space="preserve"> sont soumis aux prescriptions suivantes :</w:t>
      </w:r>
    </w:p>
    <w:p w:rsidR="003C54FB" w:rsidRPr="00E07570" w:rsidRDefault="003C54FB" w:rsidP="00232AC5">
      <w:pPr>
        <w:pStyle w:val="SingleTxtG"/>
        <w:ind w:left="2268" w:hanging="1134"/>
      </w:pPr>
      <w:r w:rsidRPr="00E07570">
        <w:rPr>
          <w:b/>
        </w:rPr>
        <w:t>26.2.2.1</w:t>
      </w:r>
      <w:r w:rsidRPr="00E07570">
        <w:tab/>
        <w:t>Dans le cas des véhicules de la catégorie N</w:t>
      </w:r>
      <w:r w:rsidRPr="00E07570">
        <w:rPr>
          <w:vertAlign w:val="subscript"/>
        </w:rPr>
        <w:t>1</w:t>
      </w:r>
      <w:r w:rsidRPr="00E07570">
        <w:t xml:space="preserve"> sur lesquels le point R est situé à une haut</w:t>
      </w:r>
      <w:r w:rsidR="00C609FB" w:rsidRPr="00E07570">
        <w:t>eur inférieure ou égale à 700 mm</w:t>
      </w:r>
      <w:r w:rsidRPr="00E07570">
        <w:t>, la vérification du signal de déclenchement s</w:t>
      </w:r>
      <w:r w:rsidR="00145E4B">
        <w:t>’</w:t>
      </w:r>
      <w:r w:rsidRPr="00E07570">
        <w:t>effectue comme suit :</w:t>
      </w:r>
    </w:p>
    <w:p w:rsidR="003C54FB" w:rsidRPr="00E07570" w:rsidRDefault="003C54FB" w:rsidP="00232AC5">
      <w:pPr>
        <w:pStyle w:val="SingleTxtG"/>
        <w:ind w:left="2268" w:hanging="1134"/>
      </w:pPr>
      <w:r w:rsidRPr="00E07570">
        <w:rPr>
          <w:b/>
        </w:rPr>
        <w:t>26.2.2.1.1</w:t>
      </w:r>
      <w:r w:rsidRPr="00E07570">
        <w:tab/>
        <w:t>Dans le cas d</w:t>
      </w:r>
      <w:r w:rsidR="00145E4B">
        <w:t>’</w:t>
      </w:r>
      <w:r w:rsidRPr="00E07570">
        <w:t xml:space="preserve">un choc latéral conformément au Règlement </w:t>
      </w:r>
      <w:r w:rsidRPr="00E07570">
        <w:rPr>
          <w:rFonts w:eastAsia="MS Mincho"/>
        </w:rPr>
        <w:t>n</w:t>
      </w:r>
      <w:r w:rsidRPr="00E07570">
        <w:rPr>
          <w:rFonts w:eastAsia="MS Mincho"/>
          <w:vertAlign w:val="superscript"/>
        </w:rPr>
        <w:t>o</w:t>
      </w:r>
      <w:r w:rsidRPr="00E07570">
        <w:t> 95 ; ou</w:t>
      </w:r>
    </w:p>
    <w:p w:rsidR="003C54FB" w:rsidRPr="00E07570" w:rsidRDefault="003C54FB" w:rsidP="00232AC5">
      <w:pPr>
        <w:pStyle w:val="SingleTxtG"/>
        <w:ind w:left="2268" w:hanging="1134"/>
      </w:pPr>
      <w:r w:rsidRPr="00E07570">
        <w:rPr>
          <w:b/>
        </w:rPr>
        <w:t>26.2.2.1.2</w:t>
      </w:r>
      <w:r w:rsidRPr="00E07570">
        <w:tab/>
        <w:t>Dans le cas de l</w:t>
      </w:r>
      <w:r w:rsidR="00145E4B">
        <w:t>’</w:t>
      </w:r>
      <w:r w:rsidRPr="00E07570">
        <w:t>extension d</w:t>
      </w:r>
      <w:r w:rsidR="00145E4B">
        <w:t>’</w:t>
      </w:r>
      <w:r w:rsidRPr="00E07570">
        <w:t>homologations de type en vertu du présent Règlement ou dans le cas de l</w:t>
      </w:r>
      <w:r w:rsidR="00145E4B">
        <w:t>’</w:t>
      </w:r>
      <w:r w:rsidRPr="00E07570">
        <w:t xml:space="preserve">homologation de types de véhicules déjà homologués en vertu des Règlements </w:t>
      </w:r>
      <w:r w:rsidRPr="00E07570">
        <w:rPr>
          <w:rFonts w:eastAsia="MS Mincho"/>
        </w:rPr>
        <w:t>n</w:t>
      </w:r>
      <w:r w:rsidRPr="00E07570">
        <w:rPr>
          <w:rFonts w:eastAsia="MS Mincho"/>
          <w:vertAlign w:val="superscript"/>
        </w:rPr>
        <w:t>os</w:t>
      </w:r>
      <w:r w:rsidRPr="00E07570">
        <w:t> 94 ou 95 avant l</w:t>
      </w:r>
      <w:r w:rsidR="00145E4B">
        <w:t>’</w:t>
      </w:r>
      <w:r w:rsidRPr="00E07570">
        <w:t>entrée en vigueur du présent Règlement, lorsqu</w:t>
      </w:r>
      <w:r w:rsidR="00145E4B">
        <w:t>’</w:t>
      </w:r>
      <w:r w:rsidRPr="00E07570">
        <w:t>il est démontré, documentation existante à l</w:t>
      </w:r>
      <w:r w:rsidR="00145E4B">
        <w:t>’</w:t>
      </w:r>
      <w:r w:rsidRPr="00E07570">
        <w:t>appui (rapport, images, données de simulation ou documents équivalents) que lors d</w:t>
      </w:r>
      <w:r w:rsidR="00145E4B">
        <w:t>’</w:t>
      </w:r>
      <w:r w:rsidRPr="00E07570">
        <w:t xml:space="preserve">un essai de choc latéral (Règlement </w:t>
      </w:r>
      <w:r w:rsidRPr="00E07570">
        <w:rPr>
          <w:rFonts w:eastAsia="MS Mincho"/>
        </w:rPr>
        <w:t>n</w:t>
      </w:r>
      <w:r w:rsidRPr="00E07570">
        <w:rPr>
          <w:rFonts w:eastAsia="MS Mincho"/>
          <w:vertAlign w:val="superscript"/>
        </w:rPr>
        <w:t>o</w:t>
      </w:r>
      <w:r w:rsidRPr="00E07570">
        <w:t> 95) :</w:t>
      </w:r>
    </w:p>
    <w:p w:rsidR="003C54FB" w:rsidRPr="00E07570" w:rsidRDefault="003C54FB" w:rsidP="00C609FB">
      <w:pPr>
        <w:pStyle w:val="SingleTxtG"/>
        <w:ind w:left="2835" w:hanging="567"/>
      </w:pPr>
      <w:r w:rsidRPr="00E07570">
        <w:t>a)</w:t>
      </w:r>
      <w:r w:rsidRPr="00E07570">
        <w:tab/>
        <w:t>Un signal de déclenchement a été émis ;</w:t>
      </w:r>
    </w:p>
    <w:p w:rsidR="003C54FB" w:rsidRPr="00E07570" w:rsidRDefault="003C54FB" w:rsidP="00C609FB">
      <w:pPr>
        <w:pStyle w:val="SingleTxtG"/>
        <w:ind w:left="2835" w:hanging="567"/>
      </w:pPr>
      <w:r w:rsidRPr="00E07570">
        <w:t>b)</w:t>
      </w:r>
      <w:r w:rsidRPr="00E07570">
        <w:tab/>
        <w:t>L</w:t>
      </w:r>
      <w:r w:rsidR="00145E4B">
        <w:t>’</w:t>
      </w:r>
      <w:r w:rsidRPr="00E07570">
        <w:t>installation de l</w:t>
      </w:r>
      <w:r w:rsidR="00145E4B">
        <w:t>’</w:t>
      </w:r>
      <w:r w:rsidRPr="00E07570">
        <w:t>AECD n</w:t>
      </w:r>
      <w:r w:rsidR="00145E4B">
        <w:t>’</w:t>
      </w:r>
      <w:r w:rsidRPr="00E07570">
        <w:t>est pas perturbée par le choc subi par le véhicule.</w:t>
      </w:r>
    </w:p>
    <w:p w:rsidR="003C54FB" w:rsidRPr="00E07570" w:rsidRDefault="003C54FB" w:rsidP="00232AC5">
      <w:pPr>
        <w:pStyle w:val="SingleTxtG"/>
        <w:ind w:left="2268" w:hanging="1134"/>
      </w:pPr>
      <w:r w:rsidRPr="00E07570">
        <w:rPr>
          <w:b/>
        </w:rPr>
        <w:t>26.2.2.2</w:t>
      </w:r>
      <w:r w:rsidRPr="00E07570">
        <w:tab/>
        <w:t>Dans le cas des véhicules de la catégorie N</w:t>
      </w:r>
      <w:r w:rsidRPr="00E07570">
        <w:rPr>
          <w:vertAlign w:val="subscript"/>
        </w:rPr>
        <w:t>1</w:t>
      </w:r>
      <w:r w:rsidRPr="00E07570">
        <w:t xml:space="preserve"> sur lesquels le point</w:t>
      </w:r>
      <w:r w:rsidR="00C609FB" w:rsidRPr="00E07570">
        <w:t> </w:t>
      </w:r>
      <w:r w:rsidRPr="00E07570">
        <w:t>R est situé à</w:t>
      </w:r>
      <w:r w:rsidR="00C609FB" w:rsidRPr="00E07570">
        <w:t xml:space="preserve"> une hauteur supérieure à 700 mm</w:t>
      </w:r>
      <w:r w:rsidRPr="00E07570">
        <w:t> :</w:t>
      </w:r>
    </w:p>
    <w:p w:rsidR="003C54FB" w:rsidRPr="00E07570" w:rsidRDefault="003C54FB" w:rsidP="00232AC5">
      <w:pPr>
        <w:pStyle w:val="SingleTxtG"/>
        <w:ind w:left="2268" w:hanging="1134"/>
      </w:pPr>
      <w:r w:rsidRPr="00E07570">
        <w:rPr>
          <w:b/>
        </w:rPr>
        <w:t>26.2.2.2.1</w:t>
      </w:r>
      <w:r w:rsidRPr="00E07570">
        <w:tab/>
        <w:t>Le constructeur doit apporter la preuve, documentation à l</w:t>
      </w:r>
      <w:r w:rsidR="00145E4B">
        <w:t>’</w:t>
      </w:r>
      <w:r w:rsidRPr="00E07570">
        <w:t>appui (rapport, images, croquis ou documents équivalents), qu</w:t>
      </w:r>
      <w:r w:rsidR="00145E4B">
        <w:t>’</w:t>
      </w:r>
      <w:r w:rsidRPr="00E07570">
        <w:t>un signal de déclenchement existe aux fins de l</w:t>
      </w:r>
      <w:r w:rsidR="00145E4B">
        <w:t>’</w:t>
      </w:r>
      <w:r w:rsidRPr="00E07570">
        <w:t>AECS.</w:t>
      </w:r>
    </w:p>
    <w:p w:rsidR="003C54FB" w:rsidRPr="00E07570" w:rsidRDefault="003C54FB" w:rsidP="00232AC5">
      <w:pPr>
        <w:pStyle w:val="SingleTxtG"/>
        <w:ind w:left="2268" w:hanging="1134"/>
      </w:pPr>
      <w:r w:rsidRPr="00E07570">
        <w:rPr>
          <w:b/>
        </w:rPr>
        <w:t>26.3</w:t>
      </w:r>
      <w:r w:rsidR="0022372D" w:rsidRPr="00E07570">
        <w:tab/>
        <w:t>Détermination de la position</w:t>
      </w:r>
    </w:p>
    <w:p w:rsidR="003C54FB" w:rsidRPr="00E07570" w:rsidRDefault="003C54FB" w:rsidP="0022372D">
      <w:pPr>
        <w:pStyle w:val="SingleTxtG"/>
        <w:ind w:left="2268"/>
      </w:pPr>
      <w:r w:rsidRPr="00E07570">
        <w:t>Si l</w:t>
      </w:r>
      <w:r w:rsidR="00145E4B">
        <w:t>’</w:t>
      </w:r>
      <w:r w:rsidRPr="00E07570">
        <w:t>AECS est équipé, conformément au paragraphe 1.4 mais pas encore conformément à la partie </w:t>
      </w:r>
      <w:proofErr w:type="spellStart"/>
      <w:r w:rsidR="00A22689" w:rsidRPr="00E07570">
        <w:rPr>
          <w:b/>
        </w:rPr>
        <w:t>Ib</w:t>
      </w:r>
      <w:proofErr w:type="spellEnd"/>
      <w:r w:rsidRPr="00E07570">
        <w:t xml:space="preserve"> du présent Règlement, d</w:t>
      </w:r>
      <w:r w:rsidR="00145E4B">
        <w:t>’</w:t>
      </w:r>
      <w:r w:rsidRPr="00E07570">
        <w:t>un récepteur GNSS qui capte les signaux d</w:t>
      </w:r>
      <w:r w:rsidR="00145E4B">
        <w:t>’</w:t>
      </w:r>
      <w:r w:rsidRPr="00E07570">
        <w:t xml:space="preserve">au moins trois systèmes de navigation (GLONASS, </w:t>
      </w:r>
      <w:r w:rsidR="002B669D" w:rsidRPr="00E07570">
        <w:t>Galileo</w:t>
      </w:r>
      <w:r w:rsidRPr="00E07570">
        <w:t xml:space="preserve"> et GPS) et qu</w:t>
      </w:r>
      <w:r w:rsidR="00145E4B">
        <w:t>’</w:t>
      </w:r>
      <w:r w:rsidRPr="00E07570">
        <w:t>il est capable de recevoir et de traiter des signaux SBAS, il doit satisfaire aux prescriptions des paragraphes </w:t>
      </w:r>
      <w:r w:rsidRPr="00E07570">
        <w:rPr>
          <w:b/>
        </w:rPr>
        <w:t>26.3.1</w:t>
      </w:r>
      <w:r w:rsidRPr="00E07570">
        <w:t xml:space="preserve"> à </w:t>
      </w:r>
      <w:r w:rsidRPr="00E07570">
        <w:rPr>
          <w:b/>
        </w:rPr>
        <w:t>26.3.11</w:t>
      </w:r>
      <w:r w:rsidRPr="00E07570">
        <w:t>.</w:t>
      </w:r>
    </w:p>
    <w:p w:rsidR="003C54FB" w:rsidRPr="00E07570" w:rsidRDefault="003C54FB" w:rsidP="00603A0C">
      <w:pPr>
        <w:pStyle w:val="SingleTxtG"/>
        <w:ind w:left="2268"/>
      </w:pPr>
      <w:r w:rsidRPr="00E07570">
        <w:t>La capacité de positionnement de l</w:t>
      </w:r>
      <w:r w:rsidR="00145E4B">
        <w:t>’</w:t>
      </w:r>
      <w:r w:rsidRPr="00E07570">
        <w:t>AECS peut être démontrée au moyen des méthodes d</w:t>
      </w:r>
      <w:r w:rsidR="00145E4B">
        <w:t>’</w:t>
      </w:r>
      <w:r w:rsidRPr="00E07570">
        <w:t>essai décrites à l</w:t>
      </w:r>
      <w:r w:rsidR="00145E4B">
        <w:t>’</w:t>
      </w:r>
      <w:r w:rsidRPr="00E07570">
        <w:t>annexe </w:t>
      </w:r>
      <w:r w:rsidRPr="00E07570">
        <w:rPr>
          <w:b/>
        </w:rPr>
        <w:t>10</w:t>
      </w:r>
      <w:r w:rsidRPr="00E07570">
        <w:t xml:space="preserve"> (Méthodes d</w:t>
      </w:r>
      <w:r w:rsidR="00145E4B">
        <w:t>’</w:t>
      </w:r>
      <w:r w:rsidRPr="00E07570">
        <w:t>essai pour les solutions de navigation). L</w:t>
      </w:r>
      <w:r w:rsidR="00145E4B">
        <w:t>’</w:t>
      </w:r>
      <w:r w:rsidRPr="00E07570">
        <w:t>information correspondante doit figurer dans le document de communication visé à l</w:t>
      </w:r>
      <w:r w:rsidR="00145E4B">
        <w:t>’</w:t>
      </w:r>
      <w:r w:rsidRPr="00E07570">
        <w:t>annexe </w:t>
      </w:r>
      <w:r w:rsidRPr="00E07570">
        <w:rPr>
          <w:b/>
        </w:rPr>
        <w:t>3</w:t>
      </w:r>
      <w:r w:rsidRPr="00E07570">
        <w:t>, point 11.</w:t>
      </w:r>
    </w:p>
    <w:p w:rsidR="003C54FB" w:rsidRPr="00E07570" w:rsidRDefault="003C54FB" w:rsidP="00232AC5">
      <w:pPr>
        <w:pStyle w:val="SingleTxtG"/>
        <w:ind w:left="2268" w:hanging="1134"/>
      </w:pPr>
      <w:r w:rsidRPr="00E07570">
        <w:rPr>
          <w:b/>
        </w:rPr>
        <w:t>26.3.1</w:t>
      </w:r>
      <w:r w:rsidRPr="00E07570">
        <w:tab/>
        <w:t>L</w:t>
      </w:r>
      <w:r w:rsidR="00145E4B">
        <w:t>’</w:t>
      </w:r>
      <w:r w:rsidRPr="00E07570">
        <w:t>AECS doit être capable de produire la solution de navigation dans un format conforme au protocole</w:t>
      </w:r>
      <w:r w:rsidR="003B0BA2" w:rsidRPr="00E07570">
        <w:t> </w:t>
      </w:r>
      <w:r w:rsidRPr="00E07570">
        <w:t>NMEA-0183 (messages RMC, GGA, VTG, GSA ou GSV). La configuration de l</w:t>
      </w:r>
      <w:r w:rsidR="00145E4B">
        <w:t>’</w:t>
      </w:r>
      <w:r w:rsidRPr="00E07570">
        <w:t>AECD pour la production de messages NMEA-0183 à destination de récepteurs extérieurs doit être décrite dans le mode d</w:t>
      </w:r>
      <w:r w:rsidR="00145E4B">
        <w:t>’</w:t>
      </w:r>
      <w:r w:rsidRPr="00E07570">
        <w:t>emploi.</w:t>
      </w:r>
    </w:p>
    <w:p w:rsidR="003C54FB" w:rsidRPr="00E07570" w:rsidRDefault="003C54FB" w:rsidP="00232AC5">
      <w:pPr>
        <w:pStyle w:val="SingleTxtG"/>
        <w:ind w:left="2268" w:hanging="1134"/>
      </w:pPr>
      <w:r w:rsidRPr="00E07570">
        <w:rPr>
          <w:b/>
        </w:rPr>
        <w:t>26.3.2</w:t>
      </w:r>
      <w:r w:rsidRPr="00E07570">
        <w:tab/>
        <w:t>L</w:t>
      </w:r>
      <w:r w:rsidR="00145E4B">
        <w:t>’</w:t>
      </w:r>
      <w:r w:rsidRPr="00E07570">
        <w:t>AECS doit être capable de recevoir et de traiter des signaux GNSS distincts d</w:t>
      </w:r>
      <w:r w:rsidR="00145E4B">
        <w:t>’</w:t>
      </w:r>
      <w:r w:rsidRPr="00E07570">
        <w:t>une précision normale, dans la bande L1/E1, provenant d</w:t>
      </w:r>
      <w:r w:rsidR="00145E4B">
        <w:t>’</w:t>
      </w:r>
      <w:r w:rsidRPr="00E07570">
        <w:t xml:space="preserve">au moins trois systèmes mondiaux de navigation par satellite, par exemple GLONASS, </w:t>
      </w:r>
      <w:r w:rsidR="002B669D" w:rsidRPr="00E07570">
        <w:t>Galileo</w:t>
      </w:r>
      <w:r w:rsidRPr="00E07570">
        <w:t xml:space="preserve"> et GPS.</w:t>
      </w:r>
    </w:p>
    <w:p w:rsidR="003C54FB" w:rsidRPr="00E07570" w:rsidRDefault="003C54FB" w:rsidP="00232AC5">
      <w:pPr>
        <w:pStyle w:val="SingleTxtG"/>
        <w:ind w:left="2268" w:hanging="1134"/>
      </w:pPr>
      <w:r w:rsidRPr="00E07570">
        <w:rPr>
          <w:b/>
        </w:rPr>
        <w:t>26.3.3</w:t>
      </w:r>
      <w:r w:rsidRPr="00E07570">
        <w:tab/>
        <w:t>L</w:t>
      </w:r>
      <w:r w:rsidR="00145E4B">
        <w:t>’</w:t>
      </w:r>
      <w:r w:rsidRPr="00E07570">
        <w:t>AECS doit être capable de recevoir et de traiter des signaux GNSS groupés d</w:t>
      </w:r>
      <w:r w:rsidR="00145E4B">
        <w:t>’</w:t>
      </w:r>
      <w:r w:rsidRPr="00E07570">
        <w:t>une précision normale, dans la bande L1/E1, provenant d</w:t>
      </w:r>
      <w:r w:rsidR="00145E4B">
        <w:t>’</w:t>
      </w:r>
      <w:r w:rsidRPr="00E07570">
        <w:t xml:space="preserve">au moins trois systèmes mondiaux de navigation par satellite, parmi lesquels GLONASS, </w:t>
      </w:r>
      <w:r w:rsidR="002B669D" w:rsidRPr="00E07570">
        <w:t>Galileo</w:t>
      </w:r>
      <w:r w:rsidRPr="00E07570">
        <w:t>, GPS et SBAS.</w:t>
      </w:r>
    </w:p>
    <w:p w:rsidR="003C54FB" w:rsidRPr="00E07570" w:rsidRDefault="003C54FB" w:rsidP="00232AC5">
      <w:pPr>
        <w:pStyle w:val="SingleTxtG"/>
        <w:ind w:left="2268" w:hanging="1134"/>
      </w:pPr>
      <w:r w:rsidRPr="00E07570">
        <w:rPr>
          <w:b/>
        </w:rPr>
        <w:t>26.3.4</w:t>
      </w:r>
      <w:r w:rsidRPr="00E07570">
        <w:tab/>
        <w:t>L</w:t>
      </w:r>
      <w:r w:rsidR="00145E4B">
        <w:t>’</w:t>
      </w:r>
      <w:r w:rsidRPr="00E07570">
        <w:t>AECS doit être capable de fournir des renseignements concernant la position du véhicule dans le système de coordonnées WGS-84.</w:t>
      </w:r>
    </w:p>
    <w:p w:rsidR="003C54FB" w:rsidRPr="00E07570" w:rsidRDefault="003C54FB" w:rsidP="00232AC5">
      <w:pPr>
        <w:pStyle w:val="SingleTxtG"/>
        <w:ind w:left="2268" w:hanging="1134"/>
      </w:pPr>
      <w:r w:rsidRPr="00E07570">
        <w:rPr>
          <w:b/>
        </w:rPr>
        <w:t>26.3.5</w:t>
      </w:r>
      <w:r w:rsidRPr="00E07570">
        <w:tab/>
        <w:t>Le récepteur GNSS doit être capable de se positionner au moins une fois par seconde.</w:t>
      </w:r>
    </w:p>
    <w:p w:rsidR="003C54FB" w:rsidRPr="00E07570" w:rsidRDefault="003C54FB" w:rsidP="00232AC5">
      <w:pPr>
        <w:pStyle w:val="SingleTxtG"/>
        <w:ind w:left="2268" w:hanging="1134"/>
      </w:pPr>
      <w:r w:rsidRPr="00E07570">
        <w:rPr>
          <w:b/>
        </w:rPr>
        <w:t>26.3.6</w:t>
      </w:r>
      <w:r w:rsidRPr="00E07570">
        <w:tab/>
        <w:t>L</w:t>
      </w:r>
      <w:r w:rsidR="00145E4B">
        <w:t>’</w:t>
      </w:r>
      <w:r w:rsidRPr="00E07570">
        <w:t>erreur de positionnement dans le sens horizontal ne doit pas dépasser :</w:t>
      </w:r>
    </w:p>
    <w:p w:rsidR="003C54FB" w:rsidRPr="00E07570" w:rsidRDefault="003C54FB" w:rsidP="00603A0C">
      <w:pPr>
        <w:pStyle w:val="SingleTxtG"/>
        <w:ind w:left="2835" w:hanging="567"/>
      </w:pPr>
      <w:r w:rsidRPr="00E07570">
        <w:t>a)</w:t>
      </w:r>
      <w:r w:rsidRPr="00E07570">
        <w:tab/>
        <w:t>En mode « ciel ouvert », 15 m avec un taux de fiabilité de 0,95 et un PDOP compris entre 2 et 2,5 ;</w:t>
      </w:r>
    </w:p>
    <w:p w:rsidR="003C54FB" w:rsidRPr="00E07570" w:rsidRDefault="003C54FB" w:rsidP="00603A0C">
      <w:pPr>
        <w:pStyle w:val="SingleTxtG"/>
        <w:ind w:left="2835" w:hanging="567"/>
      </w:pPr>
      <w:r w:rsidRPr="00E07570">
        <w:t>b)</w:t>
      </w:r>
      <w:r w:rsidRPr="00E07570">
        <w:tab/>
        <w:t>En mode « canyon urbain », 40 m avec un taux de fiabilité de 0,95 et un PDOP compris entre 3,5 et 4.</w:t>
      </w:r>
    </w:p>
    <w:p w:rsidR="003C54FB" w:rsidRPr="00E07570" w:rsidRDefault="003C54FB" w:rsidP="00232AC5">
      <w:pPr>
        <w:pStyle w:val="SingleTxtG"/>
        <w:ind w:left="2268" w:hanging="1134"/>
      </w:pPr>
      <w:r w:rsidRPr="00E07570">
        <w:rPr>
          <w:b/>
        </w:rPr>
        <w:t>26.3.7</w:t>
      </w:r>
      <w:r w:rsidRPr="00E07570">
        <w:tab/>
        <w:t>Les prescriptions d</w:t>
      </w:r>
      <w:r w:rsidR="00145E4B">
        <w:t>’</w:t>
      </w:r>
      <w:r w:rsidRPr="00E07570">
        <w:t>efficacité doivent être fournies :</w:t>
      </w:r>
    </w:p>
    <w:p w:rsidR="003C54FB" w:rsidRPr="00E07570" w:rsidRDefault="003C54FB" w:rsidP="00603A0C">
      <w:pPr>
        <w:pStyle w:val="SingleTxtG"/>
        <w:ind w:left="2835" w:hanging="567"/>
      </w:pPr>
      <w:r w:rsidRPr="00E07570">
        <w:t>a)</w:t>
      </w:r>
      <w:r w:rsidRPr="00E07570">
        <w:tab/>
        <w:t>Pour une vitesse comprise entre 0 et 140 km/h ;</w:t>
      </w:r>
    </w:p>
    <w:p w:rsidR="003C54FB" w:rsidRPr="00E07570" w:rsidRDefault="003C54FB" w:rsidP="00603A0C">
      <w:pPr>
        <w:pStyle w:val="SingleTxtG"/>
        <w:ind w:left="2835" w:hanging="567"/>
      </w:pPr>
      <w:r w:rsidRPr="00E07570">
        <w:t>b)</w:t>
      </w:r>
      <w:r w:rsidRPr="00E07570">
        <w:tab/>
        <w:t>Pour une accélération linéaire comprise entre 0 et 2</w:t>
      </w:r>
      <w:r w:rsidR="000E22C4" w:rsidRPr="00E07570">
        <w:t> </w:t>
      </w:r>
      <w:r w:rsidRPr="00E07570">
        <w:t>g.</w:t>
      </w:r>
    </w:p>
    <w:p w:rsidR="003C54FB" w:rsidRPr="00E07570" w:rsidRDefault="003C54FB" w:rsidP="00232AC5">
      <w:pPr>
        <w:pStyle w:val="SingleTxtG"/>
        <w:ind w:left="2268" w:hanging="1134"/>
      </w:pPr>
      <w:r w:rsidRPr="00E07570">
        <w:rPr>
          <w:b/>
        </w:rPr>
        <w:t>26.3.8</w:t>
      </w:r>
      <w:r w:rsidRPr="00E07570">
        <w:tab/>
        <w:t>Le délai de premier positionnement à froid ne doit pas dépasser :</w:t>
      </w:r>
    </w:p>
    <w:p w:rsidR="003C54FB" w:rsidRPr="00E07570" w:rsidRDefault="003C54FB" w:rsidP="00603A0C">
      <w:pPr>
        <w:pStyle w:val="SingleTxtG"/>
        <w:ind w:left="2835" w:hanging="567"/>
      </w:pPr>
      <w:r w:rsidRPr="00E07570">
        <w:t>a)</w:t>
      </w:r>
      <w:r w:rsidRPr="00E07570">
        <w:tab/>
        <w:t>60 s pour un niveau de signal pouvant aller jusqu</w:t>
      </w:r>
      <w:r w:rsidR="00145E4B">
        <w:t>’</w:t>
      </w:r>
      <w:r w:rsidRPr="00E07570">
        <w:t>à -130 dBm ;</w:t>
      </w:r>
    </w:p>
    <w:p w:rsidR="003C54FB" w:rsidRPr="00E07570" w:rsidRDefault="003C54FB" w:rsidP="00603A0C">
      <w:pPr>
        <w:pStyle w:val="SingleTxtG"/>
        <w:ind w:left="2835" w:hanging="567"/>
      </w:pPr>
      <w:r w:rsidRPr="00E07570">
        <w:t>b)</w:t>
      </w:r>
      <w:r w:rsidRPr="00E07570">
        <w:tab/>
        <w:t>300 s pour un niveau de signal pouvant aller jusqu</w:t>
      </w:r>
      <w:r w:rsidR="00145E4B">
        <w:t>’</w:t>
      </w:r>
      <w:r w:rsidRPr="00E07570">
        <w:t>à -140 dBm.</w:t>
      </w:r>
    </w:p>
    <w:p w:rsidR="003C54FB" w:rsidRPr="00E07570" w:rsidRDefault="003C54FB" w:rsidP="00232AC5">
      <w:pPr>
        <w:pStyle w:val="SingleTxtG"/>
        <w:ind w:left="2268" w:hanging="1134"/>
      </w:pPr>
      <w:r w:rsidRPr="00E07570">
        <w:rPr>
          <w:b/>
        </w:rPr>
        <w:t>26.3.9</w:t>
      </w:r>
      <w:r w:rsidRPr="00E07570">
        <w:tab/>
        <w:t>Le délai de rétablissement d</w:t>
      </w:r>
      <w:r w:rsidR="00145E4B">
        <w:t>’</w:t>
      </w:r>
      <w:r w:rsidRPr="00E07570">
        <w:t xml:space="preserve">un signal GNSS après un blocage de 60 s à un niveau de signal pouvant aller </w:t>
      </w:r>
      <w:proofErr w:type="gramStart"/>
      <w:r w:rsidRPr="00E07570">
        <w:t>jusqu</w:t>
      </w:r>
      <w:r w:rsidR="00145E4B">
        <w:t>’</w:t>
      </w:r>
      <w:r w:rsidRPr="00E07570">
        <w:t>à</w:t>
      </w:r>
      <w:proofErr w:type="gramEnd"/>
      <w:r w:rsidRPr="00E07570">
        <w:t xml:space="preserve"> -130 dBm ne doit pas dépasser 20 s après récupération de la </w:t>
      </w:r>
      <w:r w:rsidR="00305F8B" w:rsidRPr="00E07570">
        <w:t xml:space="preserve">visibilité </w:t>
      </w:r>
      <w:r w:rsidRPr="00E07570">
        <w:t>du satellite de navigation.</w:t>
      </w:r>
    </w:p>
    <w:p w:rsidR="003C54FB" w:rsidRPr="00E07570" w:rsidRDefault="003C54FB" w:rsidP="00232AC5">
      <w:pPr>
        <w:pStyle w:val="SingleTxtG"/>
        <w:ind w:left="2268" w:hanging="1134"/>
      </w:pPr>
      <w:r w:rsidRPr="00E07570">
        <w:rPr>
          <w:b/>
        </w:rPr>
        <w:t>26.3.10</w:t>
      </w:r>
      <w:r w:rsidRPr="00E07570">
        <w:tab/>
        <w:t>La sens</w:t>
      </w:r>
      <w:r w:rsidR="00305F8B" w:rsidRPr="00E07570">
        <w:t>ibi</w:t>
      </w:r>
      <w:r w:rsidRPr="00E07570">
        <w:t>lité à l</w:t>
      </w:r>
      <w:r w:rsidR="00145E4B">
        <w:t>’</w:t>
      </w:r>
      <w:r w:rsidRPr="00E07570">
        <w:t>entrée du récepteur doit être la suivante :</w:t>
      </w:r>
    </w:p>
    <w:p w:rsidR="003C54FB" w:rsidRPr="00E07570" w:rsidRDefault="003C54FB" w:rsidP="00603A0C">
      <w:pPr>
        <w:pStyle w:val="SingleTxtG"/>
        <w:ind w:left="2835" w:hanging="567"/>
      </w:pPr>
      <w:r w:rsidRPr="00E07570">
        <w:t>a)</w:t>
      </w:r>
      <w:r w:rsidRPr="00E07570">
        <w:tab/>
        <w:t>La détection des signaux GNSS (départ à froid) ne doit pas dépasser 3 600 s à un niveau de signal, en entrée d</w:t>
      </w:r>
      <w:r w:rsidR="00145E4B">
        <w:t>’</w:t>
      </w:r>
      <w:r w:rsidRPr="00E07570">
        <w:t>antenne, de -144 dBm ;</w:t>
      </w:r>
    </w:p>
    <w:p w:rsidR="003C54FB" w:rsidRPr="00E07570" w:rsidRDefault="003C54FB" w:rsidP="00603A0C">
      <w:pPr>
        <w:pStyle w:val="SingleTxtG"/>
        <w:ind w:left="2835" w:hanging="567"/>
      </w:pPr>
      <w:r w:rsidRPr="00E07570">
        <w:t>b)</w:t>
      </w:r>
      <w:r w:rsidRPr="00E07570">
        <w:tab/>
        <w:t>La recherche des signaux GNSS et le calcul de la solution de navigation sont dispon</w:t>
      </w:r>
      <w:r w:rsidR="00305F8B" w:rsidRPr="00E07570">
        <w:t>ib</w:t>
      </w:r>
      <w:r w:rsidRPr="00E07570">
        <w:t>les pendant au moins 600 s à un niveau de signal, en entrée d</w:t>
      </w:r>
      <w:r w:rsidR="00145E4B">
        <w:t>’</w:t>
      </w:r>
      <w:r w:rsidRPr="00E07570">
        <w:t>antenne, de -155 dBm ;</w:t>
      </w:r>
    </w:p>
    <w:p w:rsidR="003C54FB" w:rsidRPr="00E07570" w:rsidRDefault="003C54FB" w:rsidP="00603A0C">
      <w:pPr>
        <w:pStyle w:val="SingleTxtG"/>
        <w:ind w:left="2835" w:hanging="567"/>
      </w:pPr>
      <w:r w:rsidRPr="00E07570">
        <w:t>c)</w:t>
      </w:r>
      <w:r w:rsidRPr="00E07570">
        <w:tab/>
        <w:t>Le rétablissement des signaux GNSS et le calcul de la solution de navigation sont pos</w:t>
      </w:r>
      <w:r w:rsidR="00305F8B" w:rsidRPr="00E07570">
        <w:t>sibl</w:t>
      </w:r>
      <w:r w:rsidRPr="00E07570">
        <w:t>es et ne prennent pas plus de 60 s à un niveau de signal, en entrée d</w:t>
      </w:r>
      <w:r w:rsidR="00145E4B">
        <w:t>’</w:t>
      </w:r>
      <w:r w:rsidRPr="00E07570">
        <w:t>antenne, de -150 dBm.</w:t>
      </w:r>
    </w:p>
    <w:p w:rsidR="003C54FB" w:rsidRPr="00E07570" w:rsidRDefault="003C54FB" w:rsidP="00232AC5">
      <w:pPr>
        <w:pStyle w:val="SingleTxtG"/>
        <w:ind w:left="2268" w:hanging="1134"/>
      </w:pPr>
      <w:r w:rsidRPr="00E07570">
        <w:rPr>
          <w:b/>
        </w:rPr>
        <w:t>26.3.11</w:t>
      </w:r>
      <w:r w:rsidRPr="00E07570">
        <w:tab/>
        <w:t>Les procédures d</w:t>
      </w:r>
      <w:r w:rsidR="00145E4B">
        <w:t>’</w:t>
      </w:r>
      <w:r w:rsidRPr="00E07570">
        <w:t>essai prévues à l</w:t>
      </w:r>
      <w:r w:rsidR="00145E4B">
        <w:t>’</w:t>
      </w:r>
      <w:r w:rsidRPr="00E07570">
        <w:t>annexe</w:t>
      </w:r>
      <w:r w:rsidR="00305F8B" w:rsidRPr="00E07570">
        <w:t> </w:t>
      </w:r>
      <w:r w:rsidRPr="00E07570">
        <w:rPr>
          <w:b/>
        </w:rPr>
        <w:t>10</w:t>
      </w:r>
      <w:r w:rsidRPr="00E07570">
        <w:t xml:space="preserve"> peuvent être effectuées soit sur l</w:t>
      </w:r>
      <w:r w:rsidR="00145E4B">
        <w:t>’</w:t>
      </w:r>
      <w:r w:rsidR="00305F8B" w:rsidRPr="00E07570">
        <w:t>AECS, avec possibili</w:t>
      </w:r>
      <w:r w:rsidRPr="00E07570">
        <w:t>té d</w:t>
      </w:r>
      <w:r w:rsidR="00145E4B">
        <w:t>’</w:t>
      </w:r>
      <w:r w:rsidRPr="00E07570">
        <w:t>évaluer la capacité de traitement aval, soit directement sur le récepteur GNSS faisant partie de l</w:t>
      </w:r>
      <w:r w:rsidR="00145E4B">
        <w:t>’</w:t>
      </w:r>
      <w:r w:rsidRPr="00E07570">
        <w:t>AECS.</w:t>
      </w:r>
    </w:p>
    <w:p w:rsidR="003C54FB" w:rsidRPr="00E07570" w:rsidRDefault="003C54FB" w:rsidP="00232AC5">
      <w:pPr>
        <w:pStyle w:val="SingleTxtG"/>
        <w:ind w:left="2268" w:hanging="1134"/>
      </w:pPr>
      <w:r w:rsidRPr="00E07570">
        <w:rPr>
          <w:b/>
        </w:rPr>
        <w:t>26.4</w:t>
      </w:r>
      <w:r w:rsidRPr="00E07570">
        <w:tab/>
        <w:t>Commande de l</w:t>
      </w:r>
      <w:r w:rsidR="00145E4B">
        <w:t>’</w:t>
      </w:r>
      <w:r w:rsidRPr="00E07570">
        <w:t>AECS</w:t>
      </w:r>
    </w:p>
    <w:p w:rsidR="003C54FB" w:rsidRPr="00E07570" w:rsidRDefault="003C54FB" w:rsidP="005C5210">
      <w:pPr>
        <w:pStyle w:val="SingleTxtG"/>
        <w:ind w:left="2268"/>
      </w:pPr>
      <w:r w:rsidRPr="00E07570">
        <w:t>Le véhicule soumis à l</w:t>
      </w:r>
      <w:r w:rsidR="00145E4B">
        <w:t>’</w:t>
      </w:r>
      <w:r w:rsidRPr="00E07570">
        <w:t>essai d</w:t>
      </w:r>
      <w:r w:rsidR="00145E4B">
        <w:t>’</w:t>
      </w:r>
      <w:r w:rsidRPr="00E07570">
        <w:t>homologation doit être équipé d</w:t>
      </w:r>
      <w:r w:rsidR="00145E4B">
        <w:t>’</w:t>
      </w:r>
      <w:r w:rsidRPr="00E07570">
        <w:t>une commande d</w:t>
      </w:r>
      <w:r w:rsidR="00145E4B">
        <w:t>’</w:t>
      </w:r>
      <w:r w:rsidRPr="00E07570">
        <w:t>AECS.</w:t>
      </w:r>
    </w:p>
    <w:p w:rsidR="003C54FB" w:rsidRPr="00E07570" w:rsidRDefault="003C54FB" w:rsidP="00232AC5">
      <w:pPr>
        <w:pStyle w:val="SingleTxtG"/>
        <w:ind w:left="2268" w:hanging="1134"/>
      </w:pPr>
      <w:r w:rsidRPr="00E07570">
        <w:rPr>
          <w:b/>
        </w:rPr>
        <w:t>26.4.1</w:t>
      </w:r>
      <w:r w:rsidRPr="00E07570">
        <w:tab/>
        <w:t>La commande d</w:t>
      </w:r>
      <w:r w:rsidR="00145E4B">
        <w:t>’</w:t>
      </w:r>
      <w:r w:rsidRPr="00E07570">
        <w:t xml:space="preserve">AECS doit être installée de façon à satisfaire aux prescriptions en vigueur et aux dispositions transitoires du Règlement </w:t>
      </w:r>
      <w:r w:rsidRPr="00E07570">
        <w:rPr>
          <w:rFonts w:eastAsia="MS Mincho"/>
        </w:rPr>
        <w:t>n</w:t>
      </w:r>
      <w:r w:rsidRPr="00E07570">
        <w:rPr>
          <w:rFonts w:eastAsia="MS Mincho"/>
          <w:vertAlign w:val="superscript"/>
        </w:rPr>
        <w:t>o</w:t>
      </w:r>
      <w:r w:rsidRPr="00E07570">
        <w:t> 121, série 01 d</w:t>
      </w:r>
      <w:r w:rsidR="00145E4B">
        <w:t>’</w:t>
      </w:r>
      <w:r w:rsidRPr="00E07570">
        <w:t>amendements ou toute autre série ultérieure.</w:t>
      </w:r>
    </w:p>
    <w:p w:rsidR="003C54FB" w:rsidRPr="00E07570" w:rsidRDefault="003C54FB" w:rsidP="00232AC5">
      <w:pPr>
        <w:pStyle w:val="SingleTxtG"/>
        <w:ind w:left="2268" w:hanging="1134"/>
      </w:pPr>
      <w:r w:rsidRPr="00E07570">
        <w:rPr>
          <w:b/>
        </w:rPr>
        <w:t>26.4.2</w:t>
      </w:r>
      <w:r w:rsidRPr="00E07570">
        <w:tab/>
        <w:t>La commande d</w:t>
      </w:r>
      <w:r w:rsidR="00145E4B">
        <w:t>’</w:t>
      </w:r>
      <w:r w:rsidRPr="00E07570">
        <w:t>AECS doit être conçue et/ou placée de façon à réduire le risque d</w:t>
      </w:r>
      <w:r w:rsidR="00145E4B">
        <w:t>’</w:t>
      </w:r>
      <w:r w:rsidRPr="00E07570">
        <w:t>activation par inadvertance.</w:t>
      </w:r>
    </w:p>
    <w:p w:rsidR="003C54FB" w:rsidRPr="00E07570" w:rsidRDefault="003C54FB" w:rsidP="00232AC5">
      <w:pPr>
        <w:pStyle w:val="SingleTxtG"/>
        <w:ind w:left="2268" w:hanging="1134"/>
      </w:pPr>
      <w:r w:rsidRPr="00E07570">
        <w:rPr>
          <w:b/>
        </w:rPr>
        <w:t>26.4.3</w:t>
      </w:r>
      <w:r w:rsidRPr="00E07570">
        <w:tab/>
        <w:t>Si la commande d</w:t>
      </w:r>
      <w:r w:rsidR="00145E4B">
        <w:t>’</w:t>
      </w:r>
      <w:r w:rsidRPr="00E07570">
        <w:t>AECS fait partie d</w:t>
      </w:r>
      <w:r w:rsidR="00145E4B">
        <w:t>’</w:t>
      </w:r>
      <w:r w:rsidRPr="00E07570">
        <w:t>un affichage multitâche, son activation doit être poss</w:t>
      </w:r>
      <w:r w:rsidR="00305F8B" w:rsidRPr="00E07570">
        <w:t>ib</w:t>
      </w:r>
      <w:r w:rsidRPr="00E07570">
        <w:t>le au moyen de deux actions dél</w:t>
      </w:r>
      <w:r w:rsidR="00305F8B" w:rsidRPr="00E07570">
        <w:t>ib</w:t>
      </w:r>
      <w:r w:rsidRPr="00E07570">
        <w:t>érées au maximum.</w:t>
      </w:r>
    </w:p>
    <w:p w:rsidR="003C54FB" w:rsidRPr="00E07570" w:rsidRDefault="003C54FB" w:rsidP="00232AC5">
      <w:pPr>
        <w:pStyle w:val="SingleTxtG"/>
        <w:ind w:left="2268" w:hanging="1134"/>
      </w:pPr>
      <w:r w:rsidRPr="00E07570">
        <w:rPr>
          <w:b/>
        </w:rPr>
        <w:t>26.4.4</w:t>
      </w:r>
      <w:r w:rsidRPr="00E07570">
        <w:tab/>
        <w:t>Si l</w:t>
      </w:r>
      <w:r w:rsidR="00145E4B">
        <w:t>’</w:t>
      </w:r>
      <w:r w:rsidRPr="00E07570">
        <w:t>évaluation de la commande d</w:t>
      </w:r>
      <w:r w:rsidR="00145E4B">
        <w:t>’</w:t>
      </w:r>
      <w:r w:rsidRPr="00E07570">
        <w:t>AECS ne fait pas partie de la procédure d</w:t>
      </w:r>
      <w:r w:rsidR="00145E4B">
        <w:t>’</w:t>
      </w:r>
      <w:r w:rsidRPr="00E07570">
        <w:t>homologation de l</w:t>
      </w:r>
      <w:r w:rsidR="00145E4B">
        <w:t>’</w:t>
      </w:r>
      <w:r w:rsidRPr="00E07570">
        <w:t>AECD en vertu de la partie</w:t>
      </w:r>
      <w:r w:rsidR="00190A2A" w:rsidRPr="00E07570">
        <w:t> </w:t>
      </w:r>
      <w:proofErr w:type="spellStart"/>
      <w:r w:rsidR="00A22689" w:rsidRPr="00E07570">
        <w:rPr>
          <w:b/>
        </w:rPr>
        <w:t>Ib</w:t>
      </w:r>
      <w:proofErr w:type="spellEnd"/>
      <w:r w:rsidRPr="00E07570">
        <w:t xml:space="preserve"> du présent Règlement, le fonctionnement de la commande d</w:t>
      </w:r>
      <w:r w:rsidR="00145E4B">
        <w:t>’</w:t>
      </w:r>
      <w:r w:rsidRPr="00E07570">
        <w:t>AECS doit satisfaire aux prescriptions de l</w:t>
      </w:r>
      <w:r w:rsidR="00145E4B">
        <w:t>’</w:t>
      </w:r>
      <w:r w:rsidRPr="00E07570">
        <w:t>annexe </w:t>
      </w:r>
      <w:r w:rsidRPr="00E07570">
        <w:rPr>
          <w:b/>
        </w:rPr>
        <w:t>11</w:t>
      </w:r>
      <w:r w:rsidRPr="00E07570">
        <w:t>, paragraphe 1.</w:t>
      </w:r>
    </w:p>
    <w:p w:rsidR="003C54FB" w:rsidRPr="00E07570" w:rsidRDefault="003C54FB" w:rsidP="00232AC5">
      <w:pPr>
        <w:pStyle w:val="SingleTxtG"/>
        <w:ind w:left="2268" w:hanging="1134"/>
      </w:pPr>
      <w:r w:rsidRPr="00E07570">
        <w:rPr>
          <w:b/>
        </w:rPr>
        <w:t>26.4.5</w:t>
      </w:r>
      <w:r w:rsidRPr="00E07570">
        <w:tab/>
        <w:t>La désactivation de l</w:t>
      </w:r>
      <w:r w:rsidR="00145E4B">
        <w:t>’</w:t>
      </w:r>
      <w:r w:rsidRPr="00E07570">
        <w:t>AECS au moyen d</w:t>
      </w:r>
      <w:r w:rsidR="00145E4B">
        <w:t>’</w:t>
      </w:r>
      <w:r w:rsidRPr="00E07570">
        <w:t>une IHM ne doit pas être poss</w:t>
      </w:r>
      <w:r w:rsidR="00305F8B" w:rsidRPr="00E07570">
        <w:t>ibl</w:t>
      </w:r>
      <w:r w:rsidRPr="00E07570">
        <w:t>e. Une désactivation temporaire doit être autorisée pour les opérations d</w:t>
      </w:r>
      <w:r w:rsidR="00145E4B">
        <w:t>’</w:t>
      </w:r>
      <w:r w:rsidRPr="00E07570">
        <w:t>entretien et de réparation.</w:t>
      </w:r>
    </w:p>
    <w:p w:rsidR="003C54FB" w:rsidRPr="00E07570" w:rsidRDefault="003C54FB" w:rsidP="00D24954">
      <w:pPr>
        <w:pStyle w:val="SingleTxtG"/>
        <w:keepNext/>
        <w:ind w:left="2268" w:hanging="1134"/>
      </w:pPr>
      <w:r w:rsidRPr="00E07570">
        <w:rPr>
          <w:b/>
        </w:rPr>
        <w:t>26.5</w:t>
      </w:r>
      <w:r w:rsidRPr="00E07570">
        <w:tab/>
        <w:t>Informations concernant l</w:t>
      </w:r>
      <w:r w:rsidR="00145E4B">
        <w:t>’</w:t>
      </w:r>
      <w:r w:rsidRPr="00E07570">
        <w:t>AECS et signal d</w:t>
      </w:r>
      <w:r w:rsidR="00145E4B">
        <w:t>’</w:t>
      </w:r>
      <w:r w:rsidRPr="00E07570">
        <w:t>avertissement</w:t>
      </w:r>
    </w:p>
    <w:p w:rsidR="003C54FB" w:rsidRPr="00E07570" w:rsidRDefault="003C54FB" w:rsidP="005C5210">
      <w:pPr>
        <w:pStyle w:val="SingleTxtG"/>
        <w:ind w:left="2268"/>
      </w:pPr>
      <w:r w:rsidRPr="00E07570">
        <w:t>Les dispositions ci-dessous s</w:t>
      </w:r>
      <w:r w:rsidR="00145E4B">
        <w:t>’</w:t>
      </w:r>
      <w:r w:rsidRPr="00E07570">
        <w:t>appliquent si la vérification des informations AECS et du signal d</w:t>
      </w:r>
      <w:r w:rsidR="00145E4B">
        <w:t>’</w:t>
      </w:r>
      <w:r w:rsidRPr="00E07570">
        <w:t>avertissement ne font pas partie de la procédure d</w:t>
      </w:r>
      <w:r w:rsidR="00145E4B">
        <w:t>’</w:t>
      </w:r>
      <w:r w:rsidRPr="00E07570">
        <w:t>homologation d</w:t>
      </w:r>
      <w:r w:rsidR="00145E4B">
        <w:t>’</w:t>
      </w:r>
      <w:r w:rsidRPr="00E07570">
        <w:t>un AECD en vertu de la partie </w:t>
      </w:r>
      <w:proofErr w:type="spellStart"/>
      <w:r w:rsidR="00A22689" w:rsidRPr="00E07570">
        <w:rPr>
          <w:b/>
        </w:rPr>
        <w:t>Ib</w:t>
      </w:r>
      <w:proofErr w:type="spellEnd"/>
      <w:r w:rsidRPr="00E07570">
        <w:t xml:space="preserve"> du présent Règlement.</w:t>
      </w:r>
    </w:p>
    <w:p w:rsidR="003C54FB" w:rsidRPr="00E07570" w:rsidRDefault="003C54FB" w:rsidP="00232AC5">
      <w:pPr>
        <w:pStyle w:val="SingleTxtG"/>
        <w:ind w:left="2268" w:hanging="1134"/>
      </w:pPr>
      <w:r w:rsidRPr="00E07570">
        <w:rPr>
          <w:b/>
        </w:rPr>
        <w:t>26.5.1</w:t>
      </w:r>
      <w:r w:rsidRPr="00E07570">
        <w:tab/>
        <w:t>Les informations AECS et/ou le signal d</w:t>
      </w:r>
      <w:r w:rsidR="00145E4B">
        <w:t>’</w:t>
      </w:r>
      <w:r w:rsidRPr="00E07570">
        <w:t xml:space="preserve">avertissement doivent être installés de façon à satisfaire aux prescriptions du Règlement </w:t>
      </w:r>
      <w:r w:rsidRPr="00E07570">
        <w:rPr>
          <w:rFonts w:eastAsia="MS Mincho"/>
        </w:rPr>
        <w:t>n</w:t>
      </w:r>
      <w:r w:rsidRPr="00E07570">
        <w:rPr>
          <w:rFonts w:eastAsia="MS Mincho"/>
          <w:vertAlign w:val="superscript"/>
        </w:rPr>
        <w:t>o</w:t>
      </w:r>
      <w:r w:rsidRPr="00E07570">
        <w:t> 121, série 01 d</w:t>
      </w:r>
      <w:r w:rsidR="00145E4B">
        <w:t>’</w:t>
      </w:r>
      <w:r w:rsidRPr="00E07570">
        <w:t>amendements ou toute autre série ultérieure.</w:t>
      </w:r>
    </w:p>
    <w:p w:rsidR="003C54FB" w:rsidRPr="00E07570" w:rsidRDefault="003C54FB" w:rsidP="00232AC5">
      <w:pPr>
        <w:pStyle w:val="SingleTxtG"/>
        <w:ind w:left="2268" w:hanging="1134"/>
      </w:pPr>
      <w:r w:rsidRPr="00E07570">
        <w:rPr>
          <w:b/>
        </w:rPr>
        <w:t>26.5.2</w:t>
      </w:r>
      <w:r w:rsidRPr="00E07570">
        <w:tab/>
        <w:t>Les informations ci-dessous doivent être communiquées à propos du statut de la procédure d</w:t>
      </w:r>
      <w:r w:rsidR="00145E4B">
        <w:t>’</w:t>
      </w:r>
      <w:r w:rsidRPr="00E07570">
        <w:t>appel d</w:t>
      </w:r>
      <w:r w:rsidR="00145E4B">
        <w:t>’</w:t>
      </w:r>
      <w:r w:rsidRPr="00E07570">
        <w:t>urgence lorsque l</w:t>
      </w:r>
      <w:r w:rsidR="00145E4B">
        <w:t>’</w:t>
      </w:r>
      <w:r w:rsidRPr="00E07570">
        <w:t>AECS est déclenché de façon manuelle ou automatique :</w:t>
      </w:r>
    </w:p>
    <w:p w:rsidR="003C54FB" w:rsidRPr="00E07570" w:rsidRDefault="003C54FB" w:rsidP="00603A0C">
      <w:pPr>
        <w:pStyle w:val="SingleTxtG"/>
        <w:ind w:left="2835" w:hanging="567"/>
      </w:pPr>
      <w:r w:rsidRPr="00E07570">
        <w:t>a)</w:t>
      </w:r>
      <w:r w:rsidRPr="00E07570">
        <w:tab/>
        <w:t>Le système est activé (déclenchement de l</w:t>
      </w:r>
      <w:r w:rsidR="00145E4B">
        <w:t>’</w:t>
      </w:r>
      <w:r w:rsidRPr="00E07570">
        <w:t>appel d</w:t>
      </w:r>
      <w:r w:rsidR="00145E4B">
        <w:t>’</w:t>
      </w:r>
      <w:r w:rsidRPr="00E07570">
        <w:t>urgence, établissement de la connexion, transmission des données en cours ou achevée ou communication vocale en cours) ;</w:t>
      </w:r>
    </w:p>
    <w:p w:rsidR="003C54FB" w:rsidRPr="00E07570" w:rsidRDefault="003C54FB" w:rsidP="00603A0C">
      <w:pPr>
        <w:pStyle w:val="SingleTxtG"/>
        <w:ind w:left="2835" w:hanging="567"/>
      </w:pPr>
      <w:r w:rsidRPr="00E07570">
        <w:t>b)</w:t>
      </w:r>
      <w:r w:rsidRPr="00E07570">
        <w:tab/>
        <w:t>Échec de la transmission (échec de la connexion ou échec de la transmission de donné</w:t>
      </w:r>
      <w:r w:rsidR="005C5210" w:rsidRPr="00E07570">
        <w:t>es).</w:t>
      </w:r>
    </w:p>
    <w:p w:rsidR="003C54FB" w:rsidRPr="00E07570" w:rsidRDefault="003C54FB" w:rsidP="005C5210">
      <w:pPr>
        <w:pStyle w:val="SingleTxtG"/>
        <w:ind w:left="2268"/>
      </w:pPr>
      <w:r w:rsidRPr="00E07570">
        <w:t>Ces deux situations doivent être conformes aux dispositions de l</w:t>
      </w:r>
      <w:r w:rsidR="00145E4B">
        <w:t>’</w:t>
      </w:r>
      <w:r w:rsidRPr="00E07570">
        <w:t>annexe </w:t>
      </w:r>
      <w:r w:rsidRPr="00E07570">
        <w:rPr>
          <w:b/>
        </w:rPr>
        <w:t>11</w:t>
      </w:r>
      <w:r w:rsidRPr="00E07570">
        <w:t>, respectivement aux paragraphes 1 et 2.</w:t>
      </w:r>
    </w:p>
    <w:p w:rsidR="003C54FB" w:rsidRPr="00E07570" w:rsidRDefault="003C54FB" w:rsidP="00232AC5">
      <w:pPr>
        <w:pStyle w:val="SingleTxtG"/>
        <w:ind w:left="2268" w:hanging="1134"/>
      </w:pPr>
      <w:r w:rsidRPr="00E07570">
        <w:rPr>
          <w:b/>
        </w:rPr>
        <w:t>26.5.3</w:t>
      </w:r>
      <w:r w:rsidRPr="00E07570">
        <w:tab/>
        <w:t>Un signal d</w:t>
      </w:r>
      <w:r w:rsidR="00145E4B">
        <w:t>’</w:t>
      </w:r>
      <w:r w:rsidRPr="00E07570">
        <w:t>avertissement doit être émis en cas de défaillance interne de l</w:t>
      </w:r>
      <w:r w:rsidR="00145E4B">
        <w:t>’</w:t>
      </w:r>
      <w:r w:rsidRPr="00E07570">
        <w:t>AECD ; ce signal doit être affiché aussi longtemps que dure la défaillance. Le signal peut être effacé temporairement, mais doit se rallumer chaque fois que l</w:t>
      </w:r>
      <w:r w:rsidR="00145E4B">
        <w:t>’</w:t>
      </w:r>
      <w:r w:rsidRPr="00E07570">
        <w:t>allumage du véhicule ou le coupe-circuit principal sont activés (selon le cas).</w:t>
      </w:r>
    </w:p>
    <w:p w:rsidR="003C54FB" w:rsidRPr="00E07570" w:rsidRDefault="003C54FB" w:rsidP="00232AC5">
      <w:pPr>
        <w:pStyle w:val="SingleTxtG"/>
        <w:ind w:left="2268" w:hanging="1134"/>
      </w:pPr>
      <w:r w:rsidRPr="00E07570">
        <w:rPr>
          <w:b/>
        </w:rPr>
        <w:t>26.5.3.1</w:t>
      </w:r>
      <w:r w:rsidRPr="00E07570">
        <w:tab/>
        <w:t>Le constructeur doit fournir à l</w:t>
      </w:r>
      <w:r w:rsidR="00145E4B">
        <w:t>’</w:t>
      </w:r>
      <w:r w:rsidRPr="00E07570">
        <w:t>autorité d</w:t>
      </w:r>
      <w:r w:rsidR="00145E4B">
        <w:t>’</w:t>
      </w:r>
      <w:r w:rsidRPr="00E07570">
        <w:t>homologation une documentation technique pour lui expliquer, dans des termes généraux, comment sont signalées les défaillances. Cette documentation doit être mise à jour par le constructeur et doit pouvoir être consultée par le service technique au moment de l</w:t>
      </w:r>
      <w:r w:rsidR="00145E4B">
        <w:t>’</w:t>
      </w:r>
      <w:r w:rsidRPr="00E07570">
        <w:t>homologation de type.</w:t>
      </w:r>
    </w:p>
    <w:p w:rsidR="003C54FB" w:rsidRPr="00E07570" w:rsidRDefault="003C54FB" w:rsidP="005C5210">
      <w:pPr>
        <w:pStyle w:val="SingleTxtG"/>
        <w:ind w:left="2268"/>
      </w:pPr>
      <w:r w:rsidRPr="00E07570">
        <w:t>La documentation ci-dessus doit porter au moins sur les points suivants.</w:t>
      </w:r>
    </w:p>
    <w:p w:rsidR="009D0037" w:rsidRPr="00E07570" w:rsidRDefault="003C54FB" w:rsidP="00EA4196">
      <w:pPr>
        <w:pStyle w:val="Heading1"/>
        <w:spacing w:after="120"/>
        <w:rPr>
          <w:b/>
        </w:rPr>
      </w:pPr>
      <w:r w:rsidRPr="00E07570">
        <w:t xml:space="preserve">Tableau </w:t>
      </w:r>
      <w:r w:rsidRPr="00E07570">
        <w:rPr>
          <w:b/>
        </w:rPr>
        <w:t>3</w:t>
      </w:r>
      <w:r w:rsidR="00232AC5" w:rsidRPr="00E07570">
        <w:t xml:space="preserve"> </w:t>
      </w:r>
      <w:r w:rsidRPr="00E07570">
        <w:br/>
      </w:r>
      <w:r w:rsidRPr="00E07570">
        <w:rPr>
          <w:b/>
        </w:rPr>
        <w:t>Modèle d</w:t>
      </w:r>
      <w:r w:rsidR="00145E4B">
        <w:rPr>
          <w:b/>
        </w:rPr>
        <w:t>’</w:t>
      </w:r>
      <w:r w:rsidRPr="00E07570">
        <w:rPr>
          <w:b/>
        </w:rPr>
        <w:t>information de la fonction d</w:t>
      </w:r>
      <w:r w:rsidR="00145E4B">
        <w:rPr>
          <w:b/>
        </w:rPr>
        <w:t>’</w:t>
      </w:r>
      <w:r w:rsidRPr="00E07570">
        <w:rPr>
          <w:b/>
        </w:rPr>
        <w:t>autotest</w:t>
      </w:r>
    </w:p>
    <w:tbl>
      <w:tblPr>
        <w:tblW w:w="7371" w:type="dxa"/>
        <w:tblInd w:w="1134" w:type="dxa"/>
        <w:tblLayout w:type="fixed"/>
        <w:tblCellMar>
          <w:left w:w="29" w:type="dxa"/>
          <w:right w:w="29" w:type="dxa"/>
        </w:tblCellMar>
        <w:tblLook w:val="04A0" w:firstRow="1" w:lastRow="0" w:firstColumn="1" w:lastColumn="0" w:noHBand="0" w:noVBand="1"/>
      </w:tblPr>
      <w:tblGrid>
        <w:gridCol w:w="1808"/>
        <w:gridCol w:w="2365"/>
        <w:gridCol w:w="3198"/>
      </w:tblGrid>
      <w:tr w:rsidR="00EA4196" w:rsidRPr="00E07570" w:rsidTr="00DF48F0">
        <w:trPr>
          <w:tblHeader/>
        </w:trPr>
        <w:tc>
          <w:tcPr>
            <w:tcW w:w="417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A4196" w:rsidRPr="00E07570" w:rsidRDefault="00EA4196" w:rsidP="00DF48F0">
            <w:pPr>
              <w:spacing w:before="80" w:after="80" w:line="200" w:lineRule="exact"/>
              <w:jc w:val="center"/>
              <w:rPr>
                <w:i/>
                <w:sz w:val="16"/>
                <w:szCs w:val="16"/>
                <w:lang w:eastAsia="en-GB"/>
              </w:rPr>
            </w:pPr>
            <w:r w:rsidRPr="00E07570">
              <w:rPr>
                <w:i/>
                <w:sz w:val="16"/>
                <w:szCs w:val="16"/>
                <w:lang w:eastAsia="en-GB"/>
              </w:rPr>
              <w:t>Point</w:t>
            </w:r>
          </w:p>
        </w:tc>
        <w:tc>
          <w:tcPr>
            <w:tcW w:w="3198" w:type="dxa"/>
            <w:vMerge w:val="restart"/>
            <w:tcBorders>
              <w:top w:val="single" w:sz="4" w:space="0" w:color="auto"/>
              <w:left w:val="single" w:sz="4" w:space="0" w:color="auto"/>
              <w:bottom w:val="single" w:sz="12" w:space="0" w:color="auto"/>
              <w:right w:val="single" w:sz="4" w:space="0" w:color="auto"/>
            </w:tcBorders>
            <w:shd w:val="clear" w:color="auto" w:fill="FFFFFF"/>
            <w:vAlign w:val="center"/>
            <w:hideMark/>
          </w:tcPr>
          <w:p w:rsidR="00EA4196" w:rsidRPr="00E07570" w:rsidRDefault="00EA4196" w:rsidP="00DF48F0">
            <w:pPr>
              <w:spacing w:before="80" w:after="80" w:line="200" w:lineRule="exact"/>
              <w:jc w:val="center"/>
              <w:rPr>
                <w:bCs/>
                <w:i/>
                <w:sz w:val="16"/>
                <w:szCs w:val="16"/>
                <w:lang w:eastAsia="en-GB"/>
              </w:rPr>
            </w:pPr>
            <w:r w:rsidRPr="00E07570">
              <w:rPr>
                <w:bCs/>
                <w:i/>
                <w:sz w:val="16"/>
                <w:szCs w:val="16"/>
                <w:lang w:eastAsia="en-GB"/>
              </w:rPr>
              <w:t>Note</w:t>
            </w:r>
          </w:p>
        </w:tc>
      </w:tr>
      <w:tr w:rsidR="00EA4196" w:rsidRPr="00E07570" w:rsidTr="00DF48F0">
        <w:trPr>
          <w:trHeight w:val="341"/>
          <w:tblHeader/>
        </w:trPr>
        <w:tc>
          <w:tcPr>
            <w:tcW w:w="1808" w:type="dxa"/>
            <w:tcBorders>
              <w:top w:val="single" w:sz="4" w:space="0" w:color="auto"/>
              <w:left w:val="single" w:sz="4" w:space="0" w:color="auto"/>
              <w:bottom w:val="single" w:sz="12" w:space="0" w:color="auto"/>
              <w:right w:val="single" w:sz="4" w:space="0" w:color="auto"/>
            </w:tcBorders>
            <w:shd w:val="clear" w:color="auto" w:fill="FFFFFF"/>
            <w:noWrap/>
            <w:vAlign w:val="center"/>
            <w:hideMark/>
          </w:tcPr>
          <w:p w:rsidR="00EA4196" w:rsidRPr="00E07570" w:rsidRDefault="00EA4196" w:rsidP="00DF48F0">
            <w:pPr>
              <w:spacing w:before="80" w:after="80" w:line="200" w:lineRule="exact"/>
              <w:jc w:val="center"/>
              <w:rPr>
                <w:i/>
                <w:sz w:val="16"/>
                <w:szCs w:val="16"/>
                <w:lang w:eastAsia="en-GB"/>
              </w:rPr>
            </w:pPr>
            <w:r w:rsidRPr="00E07570">
              <w:rPr>
                <w:i/>
                <w:sz w:val="16"/>
                <w:szCs w:val="16"/>
                <w:lang w:eastAsia="en-GB"/>
              </w:rPr>
              <w:t>Élément</w:t>
            </w:r>
          </w:p>
        </w:tc>
        <w:tc>
          <w:tcPr>
            <w:tcW w:w="2365" w:type="dxa"/>
            <w:tcBorders>
              <w:top w:val="single" w:sz="4" w:space="0" w:color="auto"/>
              <w:left w:val="nil"/>
              <w:bottom w:val="single" w:sz="12" w:space="0" w:color="auto"/>
              <w:right w:val="single" w:sz="4" w:space="0" w:color="auto"/>
            </w:tcBorders>
            <w:shd w:val="clear" w:color="auto" w:fill="FFFFFF"/>
            <w:vAlign w:val="center"/>
            <w:hideMark/>
          </w:tcPr>
          <w:p w:rsidR="00EA4196" w:rsidRPr="00E07570" w:rsidRDefault="00EA4196" w:rsidP="00DF48F0">
            <w:pPr>
              <w:spacing w:before="80" w:after="80" w:line="200" w:lineRule="exact"/>
              <w:jc w:val="center"/>
              <w:rPr>
                <w:i/>
                <w:sz w:val="16"/>
                <w:szCs w:val="16"/>
                <w:lang w:eastAsia="en-GB"/>
              </w:rPr>
            </w:pPr>
            <w:r w:rsidRPr="00E07570">
              <w:rPr>
                <w:i/>
                <w:sz w:val="16"/>
                <w:szCs w:val="16"/>
                <w:lang w:eastAsia="en-GB"/>
              </w:rPr>
              <w:t>Type de défaillance</w:t>
            </w:r>
          </w:p>
        </w:tc>
        <w:tc>
          <w:tcPr>
            <w:tcW w:w="3198" w:type="dxa"/>
            <w:vMerge/>
            <w:tcBorders>
              <w:top w:val="single" w:sz="4" w:space="0" w:color="auto"/>
              <w:left w:val="single" w:sz="4" w:space="0" w:color="auto"/>
              <w:bottom w:val="single" w:sz="12" w:space="0" w:color="auto"/>
              <w:right w:val="single" w:sz="4" w:space="0" w:color="auto"/>
            </w:tcBorders>
            <w:vAlign w:val="center"/>
            <w:hideMark/>
          </w:tcPr>
          <w:p w:rsidR="00EA4196" w:rsidRPr="00E07570" w:rsidRDefault="00EA4196" w:rsidP="00DF48F0">
            <w:pPr>
              <w:spacing w:line="240" w:lineRule="auto"/>
              <w:rPr>
                <w:bCs/>
                <w:i/>
                <w:sz w:val="16"/>
                <w:szCs w:val="16"/>
                <w:lang w:eastAsia="en-GB"/>
              </w:rPr>
            </w:pPr>
          </w:p>
        </w:tc>
      </w:tr>
      <w:tr w:rsidR="00EA4196" w:rsidRPr="00E07570" w:rsidTr="00F93582">
        <w:tc>
          <w:tcPr>
            <w:tcW w:w="1808"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A4196" w:rsidRPr="00E07570" w:rsidRDefault="00EA4196" w:rsidP="00DF48F0">
            <w:pPr>
              <w:spacing w:before="60" w:after="60"/>
              <w:ind w:left="57" w:right="57"/>
              <w:rPr>
                <w:lang w:eastAsia="en-GB"/>
              </w:rPr>
            </w:pPr>
            <w:r w:rsidRPr="00E07570">
              <w:rPr>
                <w:iCs/>
              </w:rPr>
              <w:t xml:space="preserve">Module </w:t>
            </w:r>
            <w:r w:rsidRPr="00E07570">
              <w:rPr>
                <w:iCs/>
              </w:rPr>
              <w:br/>
              <w:t xml:space="preserve">de commande </w:t>
            </w:r>
            <w:r w:rsidRPr="00E07570">
              <w:rPr>
                <w:iCs/>
              </w:rPr>
              <w:br/>
              <w:t>de l</w:t>
            </w:r>
            <w:r w:rsidR="00145E4B">
              <w:rPr>
                <w:iCs/>
              </w:rPr>
              <w:t>’</w:t>
            </w:r>
            <w:r w:rsidRPr="00E07570">
              <w:rPr>
                <w:iCs/>
              </w:rPr>
              <w:t>AECD</w:t>
            </w:r>
          </w:p>
        </w:tc>
        <w:tc>
          <w:tcPr>
            <w:tcW w:w="2365" w:type="dxa"/>
            <w:tcBorders>
              <w:top w:val="single" w:sz="12" w:space="0" w:color="auto"/>
              <w:left w:val="nil"/>
              <w:bottom w:val="single" w:sz="4" w:space="0" w:color="auto"/>
              <w:right w:val="single" w:sz="4" w:space="0" w:color="auto"/>
            </w:tcBorders>
            <w:shd w:val="clear" w:color="auto" w:fill="auto"/>
            <w:vAlign w:val="center"/>
            <w:hideMark/>
          </w:tcPr>
          <w:p w:rsidR="00EA4196" w:rsidRPr="00E07570" w:rsidRDefault="00EA4196" w:rsidP="00DF48F0">
            <w:pPr>
              <w:spacing w:before="60" w:after="60"/>
              <w:ind w:left="57" w:right="57"/>
              <w:rPr>
                <w:lang w:eastAsia="en-GB"/>
              </w:rPr>
            </w:pPr>
            <w:r w:rsidRPr="00E07570">
              <w:rPr>
                <w:lang w:eastAsia="en-GB"/>
              </w:rPr>
              <w:t>Défaillance interne</w:t>
            </w:r>
          </w:p>
        </w:tc>
        <w:tc>
          <w:tcPr>
            <w:tcW w:w="3198" w:type="dxa"/>
            <w:tcBorders>
              <w:top w:val="single" w:sz="12" w:space="0" w:color="auto"/>
              <w:left w:val="nil"/>
              <w:bottom w:val="single" w:sz="4" w:space="0" w:color="auto"/>
              <w:right w:val="single" w:sz="4" w:space="0" w:color="auto"/>
            </w:tcBorders>
            <w:shd w:val="clear" w:color="auto" w:fill="auto"/>
            <w:vAlign w:val="center"/>
            <w:hideMark/>
          </w:tcPr>
          <w:p w:rsidR="00EA4196" w:rsidRPr="00E07570" w:rsidRDefault="00EA4196" w:rsidP="00DF48F0">
            <w:pPr>
              <w:spacing w:before="60" w:after="60"/>
              <w:ind w:left="57" w:right="57"/>
              <w:rPr>
                <w:lang w:eastAsia="en-GB"/>
              </w:rPr>
            </w:pPr>
            <w:r w:rsidRPr="00E07570">
              <w:rPr>
                <w:lang w:eastAsia="en-GB"/>
              </w:rPr>
              <w:t>Par exemple</w:t>
            </w:r>
            <w:r w:rsidR="0078245B" w:rsidRPr="00E07570">
              <w:rPr>
                <w:lang w:eastAsia="en-GB"/>
              </w:rPr>
              <w:t> :</w:t>
            </w:r>
            <w:r w:rsidRPr="00E07570">
              <w:rPr>
                <w:lang w:eastAsia="en-GB"/>
              </w:rPr>
              <w:t xml:space="preserve"> défaillance du matériel, chien de garde, checksum, ou encore intégrité de l</w:t>
            </w:r>
            <w:r w:rsidR="00145E4B">
              <w:rPr>
                <w:lang w:eastAsia="en-GB"/>
              </w:rPr>
              <w:t>’</w:t>
            </w:r>
            <w:r w:rsidR="00331B0C" w:rsidRPr="00E07570">
              <w:rPr>
                <w:lang w:eastAsia="en-GB"/>
              </w:rPr>
              <w:t>image du logiciel</w:t>
            </w:r>
          </w:p>
        </w:tc>
      </w:tr>
      <w:tr w:rsidR="00EA4196" w:rsidRPr="00E07570" w:rsidTr="00F93582">
        <w:tc>
          <w:tcPr>
            <w:tcW w:w="1808" w:type="dxa"/>
            <w:vMerge w:val="restart"/>
            <w:tcBorders>
              <w:top w:val="nil"/>
              <w:left w:val="single" w:sz="4" w:space="0" w:color="auto"/>
              <w:right w:val="single" w:sz="4" w:space="0" w:color="auto"/>
            </w:tcBorders>
            <w:shd w:val="clear" w:color="auto" w:fill="auto"/>
            <w:noWrap/>
            <w:vAlign w:val="center"/>
            <w:hideMark/>
          </w:tcPr>
          <w:p w:rsidR="00EA4196" w:rsidRPr="00E07570" w:rsidRDefault="00EA4196" w:rsidP="00DF48F0">
            <w:pPr>
              <w:spacing w:before="60" w:after="60"/>
              <w:ind w:left="57" w:right="57"/>
              <w:rPr>
                <w:lang w:eastAsia="en-GB"/>
              </w:rPr>
            </w:pPr>
            <w:r w:rsidRPr="00E07570">
              <w:rPr>
                <w:lang w:eastAsia="en-GB"/>
              </w:rPr>
              <w:t xml:space="preserve">Dispositif </w:t>
            </w:r>
            <w:r w:rsidRPr="00E07570">
              <w:rPr>
                <w:lang w:eastAsia="en-GB"/>
              </w:rPr>
              <w:br/>
              <w:t xml:space="preserve">de communication </w:t>
            </w:r>
            <w:r w:rsidRPr="00E07570">
              <w:rPr>
                <w:lang w:eastAsia="en-GB"/>
              </w:rPr>
              <w:br/>
              <w:t>du PLMN</w:t>
            </w:r>
          </w:p>
        </w:tc>
        <w:tc>
          <w:tcPr>
            <w:tcW w:w="2365" w:type="dxa"/>
            <w:tcBorders>
              <w:top w:val="nil"/>
              <w:left w:val="nil"/>
              <w:bottom w:val="single" w:sz="4" w:space="0" w:color="auto"/>
              <w:right w:val="single" w:sz="4" w:space="0" w:color="auto"/>
            </w:tcBorders>
            <w:shd w:val="clear" w:color="auto" w:fill="auto"/>
            <w:vAlign w:val="center"/>
            <w:hideMark/>
          </w:tcPr>
          <w:p w:rsidR="00EA4196" w:rsidRPr="00E07570" w:rsidRDefault="00EA4196" w:rsidP="00331B0C">
            <w:pPr>
              <w:spacing w:before="60" w:after="60"/>
              <w:ind w:left="57" w:right="57"/>
              <w:rPr>
                <w:lang w:eastAsia="en-GB"/>
              </w:rPr>
            </w:pPr>
            <w:r w:rsidRPr="00E07570">
              <w:rPr>
                <w:lang w:eastAsia="en-GB"/>
              </w:rPr>
              <w:t xml:space="preserve">Défaillance </w:t>
            </w:r>
            <w:r w:rsidRPr="00E07570">
              <w:rPr>
                <w:lang w:eastAsia="en-GB"/>
              </w:rPr>
              <w:br/>
              <w:t>du branchement électrique/ou du module de</w:t>
            </w:r>
            <w:r w:rsidR="00331B0C" w:rsidRPr="00E07570">
              <w:rPr>
                <w:lang w:eastAsia="en-GB"/>
              </w:rPr>
              <w:t> </w:t>
            </w:r>
            <w:r w:rsidRPr="00E07570">
              <w:rPr>
                <w:lang w:eastAsia="en-GB"/>
              </w:rPr>
              <w:t>communication</w:t>
            </w:r>
          </w:p>
        </w:tc>
        <w:tc>
          <w:tcPr>
            <w:tcW w:w="3198" w:type="dxa"/>
            <w:tcBorders>
              <w:top w:val="nil"/>
              <w:left w:val="nil"/>
              <w:bottom w:val="single" w:sz="4" w:space="0" w:color="auto"/>
              <w:right w:val="single" w:sz="4" w:space="0" w:color="auto"/>
            </w:tcBorders>
            <w:shd w:val="clear" w:color="auto" w:fill="auto"/>
            <w:vAlign w:val="center"/>
            <w:hideMark/>
          </w:tcPr>
          <w:p w:rsidR="00EA4196" w:rsidRPr="00E07570" w:rsidRDefault="00EA4196" w:rsidP="00DF48F0">
            <w:pPr>
              <w:spacing w:before="60" w:after="60"/>
              <w:ind w:left="57" w:right="57"/>
              <w:rPr>
                <w:bCs/>
                <w:lang w:eastAsia="en-GB"/>
              </w:rPr>
            </w:pPr>
            <w:r w:rsidRPr="00E07570">
              <w:rPr>
                <w:bCs/>
                <w:lang w:eastAsia="en-GB"/>
              </w:rPr>
              <w:t xml:space="preserve">Une défaillance du module </w:t>
            </w:r>
            <w:r w:rsidRPr="00E07570">
              <w:rPr>
                <w:bCs/>
                <w:lang w:eastAsia="en-GB"/>
              </w:rPr>
              <w:br/>
              <w:t>de communication peut être détectée par l</w:t>
            </w:r>
            <w:r w:rsidR="00145E4B">
              <w:rPr>
                <w:bCs/>
                <w:lang w:eastAsia="en-GB"/>
              </w:rPr>
              <w:t>’</w:t>
            </w:r>
            <w:r w:rsidRPr="00E07570">
              <w:rPr>
                <w:bCs/>
                <w:lang w:eastAsia="en-GB"/>
              </w:rPr>
              <w:t xml:space="preserve">absence de communication numérique entre le module </w:t>
            </w:r>
            <w:r w:rsidRPr="00E07570">
              <w:rPr>
                <w:bCs/>
                <w:lang w:eastAsia="en-GB"/>
              </w:rPr>
              <w:br/>
              <w:t>de commande de l</w:t>
            </w:r>
            <w:r w:rsidR="00145E4B">
              <w:rPr>
                <w:bCs/>
                <w:lang w:eastAsia="en-GB"/>
              </w:rPr>
              <w:t>’</w:t>
            </w:r>
            <w:r w:rsidRPr="00E07570">
              <w:rPr>
                <w:bCs/>
                <w:lang w:eastAsia="en-GB"/>
              </w:rPr>
              <w:t>AECD</w:t>
            </w:r>
            <w:r w:rsidR="00331B0C" w:rsidRPr="00E07570">
              <w:rPr>
                <w:bCs/>
                <w:lang w:eastAsia="en-GB"/>
              </w:rPr>
              <w:t xml:space="preserve"> </w:t>
            </w:r>
            <w:r w:rsidR="00331B0C" w:rsidRPr="00E07570">
              <w:rPr>
                <w:bCs/>
                <w:lang w:eastAsia="en-GB"/>
              </w:rPr>
              <w:br/>
              <w:t>et le module de communication</w:t>
            </w:r>
          </w:p>
        </w:tc>
      </w:tr>
      <w:tr w:rsidR="00EA4196" w:rsidRPr="00E07570" w:rsidTr="00F93582">
        <w:tc>
          <w:tcPr>
            <w:tcW w:w="1808" w:type="dxa"/>
            <w:vMerge/>
            <w:tcBorders>
              <w:left w:val="single" w:sz="4" w:space="0" w:color="auto"/>
              <w:bottom w:val="single" w:sz="4" w:space="0" w:color="auto"/>
              <w:right w:val="single" w:sz="4" w:space="0" w:color="auto"/>
            </w:tcBorders>
            <w:shd w:val="clear" w:color="auto" w:fill="auto"/>
            <w:noWrap/>
            <w:vAlign w:val="center"/>
            <w:hideMark/>
          </w:tcPr>
          <w:p w:rsidR="00EA4196" w:rsidRPr="00E07570" w:rsidRDefault="00EA4196" w:rsidP="00DF48F0">
            <w:pPr>
              <w:spacing w:before="60" w:after="60"/>
              <w:ind w:left="57" w:right="57"/>
              <w:rPr>
                <w:bCs/>
                <w:lang w:eastAsia="en-GB"/>
              </w:rPr>
            </w:pPr>
          </w:p>
        </w:tc>
        <w:tc>
          <w:tcPr>
            <w:tcW w:w="2365" w:type="dxa"/>
            <w:tcBorders>
              <w:top w:val="nil"/>
              <w:left w:val="nil"/>
              <w:bottom w:val="single" w:sz="4" w:space="0" w:color="auto"/>
              <w:right w:val="single" w:sz="4" w:space="0" w:color="auto"/>
            </w:tcBorders>
            <w:shd w:val="clear" w:color="auto" w:fill="auto"/>
            <w:vAlign w:val="center"/>
            <w:hideMark/>
          </w:tcPr>
          <w:p w:rsidR="00EA4196" w:rsidRPr="00E07570" w:rsidRDefault="00EA4196" w:rsidP="00DF48F0">
            <w:pPr>
              <w:spacing w:before="60" w:after="60"/>
              <w:ind w:left="57" w:right="57"/>
              <w:rPr>
                <w:bCs/>
                <w:lang w:eastAsia="en-GB"/>
              </w:rPr>
            </w:pPr>
            <w:r w:rsidRPr="00E07570">
              <w:rPr>
                <w:lang w:eastAsia="en-GB"/>
              </w:rPr>
              <w:t xml:space="preserve">Défaillance </w:t>
            </w:r>
            <w:r w:rsidRPr="00E07570">
              <w:rPr>
                <w:bCs/>
                <w:lang w:eastAsia="en-GB"/>
              </w:rPr>
              <w:t>interne</w:t>
            </w:r>
          </w:p>
        </w:tc>
        <w:tc>
          <w:tcPr>
            <w:tcW w:w="3198" w:type="dxa"/>
            <w:tcBorders>
              <w:top w:val="nil"/>
              <w:left w:val="nil"/>
              <w:bottom w:val="single" w:sz="4" w:space="0" w:color="auto"/>
              <w:right w:val="single" w:sz="4" w:space="0" w:color="auto"/>
            </w:tcBorders>
            <w:shd w:val="clear" w:color="auto" w:fill="auto"/>
            <w:vAlign w:val="center"/>
            <w:hideMark/>
          </w:tcPr>
          <w:p w:rsidR="00EA4196" w:rsidRPr="00E07570" w:rsidRDefault="00EA4196" w:rsidP="00DF48F0">
            <w:pPr>
              <w:spacing w:before="60" w:after="60"/>
              <w:ind w:left="57" w:right="57"/>
              <w:rPr>
                <w:bCs/>
                <w:lang w:eastAsia="en-GB"/>
              </w:rPr>
            </w:pPr>
            <w:r w:rsidRPr="00E07570">
              <w:rPr>
                <w:bCs/>
                <w:lang w:eastAsia="en-GB"/>
              </w:rPr>
              <w:t>Ce point concerne une fonction indispensable : en cas de défaillance, l</w:t>
            </w:r>
            <w:r w:rsidR="00145E4B">
              <w:rPr>
                <w:bCs/>
                <w:lang w:eastAsia="en-GB"/>
              </w:rPr>
              <w:t>’</w:t>
            </w:r>
            <w:r w:rsidR="00331B0C" w:rsidRPr="00E07570">
              <w:rPr>
                <w:bCs/>
                <w:lang w:eastAsia="en-GB"/>
              </w:rPr>
              <w:t>AECS est paralysé</w:t>
            </w:r>
          </w:p>
        </w:tc>
      </w:tr>
      <w:tr w:rsidR="00EA4196" w:rsidRPr="00E07570" w:rsidTr="00F93582">
        <w:tc>
          <w:tcPr>
            <w:tcW w:w="1808" w:type="dxa"/>
            <w:vMerge w:val="restart"/>
            <w:tcBorders>
              <w:top w:val="nil"/>
              <w:left w:val="single" w:sz="4" w:space="0" w:color="auto"/>
              <w:right w:val="single" w:sz="4" w:space="0" w:color="auto"/>
            </w:tcBorders>
            <w:shd w:val="clear" w:color="auto" w:fill="auto"/>
            <w:noWrap/>
            <w:vAlign w:val="center"/>
            <w:hideMark/>
          </w:tcPr>
          <w:p w:rsidR="00EA4196" w:rsidRPr="00E07570" w:rsidRDefault="00EA4196" w:rsidP="00192B6B">
            <w:pPr>
              <w:spacing w:before="60" w:after="60"/>
              <w:ind w:left="57" w:right="57"/>
              <w:rPr>
                <w:lang w:eastAsia="en-GB"/>
              </w:rPr>
            </w:pPr>
            <w:r w:rsidRPr="00E07570">
              <w:rPr>
                <w:lang w:eastAsia="en-GB"/>
              </w:rPr>
              <w:t>Récepteur GNSS</w:t>
            </w:r>
          </w:p>
        </w:tc>
        <w:tc>
          <w:tcPr>
            <w:tcW w:w="2365" w:type="dxa"/>
            <w:tcBorders>
              <w:top w:val="nil"/>
              <w:left w:val="nil"/>
              <w:bottom w:val="single" w:sz="4" w:space="0" w:color="auto"/>
              <w:right w:val="single" w:sz="4" w:space="0" w:color="auto"/>
            </w:tcBorders>
            <w:shd w:val="clear" w:color="auto" w:fill="auto"/>
            <w:vAlign w:val="center"/>
            <w:hideMark/>
          </w:tcPr>
          <w:p w:rsidR="00EA4196" w:rsidRPr="00E07570" w:rsidRDefault="00EA4196" w:rsidP="00192B6B">
            <w:pPr>
              <w:spacing w:before="60" w:after="60"/>
              <w:ind w:left="57" w:right="57"/>
              <w:rPr>
                <w:lang w:eastAsia="en-GB"/>
              </w:rPr>
            </w:pPr>
            <w:r w:rsidRPr="00E07570">
              <w:rPr>
                <w:lang w:eastAsia="en-GB"/>
              </w:rPr>
              <w:t xml:space="preserve">Défaillance </w:t>
            </w:r>
            <w:r w:rsidRPr="00E07570">
              <w:rPr>
                <w:lang w:eastAsia="en-GB"/>
              </w:rPr>
              <w:br/>
              <w:t xml:space="preserve">du branchement électrique et/ou du module </w:t>
            </w:r>
            <w:r w:rsidRPr="00E07570">
              <w:rPr>
                <w:lang w:eastAsia="en-GB"/>
              </w:rPr>
              <w:br/>
              <w:t>de communication</w:t>
            </w:r>
          </w:p>
        </w:tc>
        <w:tc>
          <w:tcPr>
            <w:tcW w:w="3198" w:type="dxa"/>
            <w:tcBorders>
              <w:top w:val="nil"/>
              <w:left w:val="nil"/>
              <w:bottom w:val="single" w:sz="4" w:space="0" w:color="auto"/>
              <w:right w:val="single" w:sz="4" w:space="0" w:color="auto"/>
            </w:tcBorders>
            <w:shd w:val="clear" w:color="auto" w:fill="auto"/>
            <w:vAlign w:val="center"/>
          </w:tcPr>
          <w:p w:rsidR="00EA4196" w:rsidRPr="00E07570" w:rsidRDefault="00EA4196" w:rsidP="00192B6B">
            <w:pPr>
              <w:spacing w:before="60" w:after="60"/>
              <w:ind w:left="57" w:right="57"/>
              <w:rPr>
                <w:lang w:eastAsia="en-GB"/>
              </w:rPr>
            </w:pPr>
          </w:p>
        </w:tc>
      </w:tr>
      <w:tr w:rsidR="00EA4196" w:rsidRPr="00E07570" w:rsidTr="00F93582">
        <w:tc>
          <w:tcPr>
            <w:tcW w:w="1808" w:type="dxa"/>
            <w:vMerge/>
            <w:tcBorders>
              <w:left w:val="single" w:sz="4" w:space="0" w:color="auto"/>
              <w:bottom w:val="single" w:sz="4" w:space="0" w:color="auto"/>
              <w:right w:val="single" w:sz="4" w:space="0" w:color="auto"/>
            </w:tcBorders>
            <w:shd w:val="clear" w:color="auto" w:fill="auto"/>
            <w:noWrap/>
            <w:vAlign w:val="center"/>
            <w:hideMark/>
          </w:tcPr>
          <w:p w:rsidR="00EA4196" w:rsidRPr="00E07570" w:rsidRDefault="00EA4196" w:rsidP="00192B6B">
            <w:pPr>
              <w:spacing w:before="60" w:after="60"/>
              <w:ind w:left="57" w:right="57"/>
              <w:rPr>
                <w:lang w:eastAsia="en-GB"/>
              </w:rPr>
            </w:pPr>
          </w:p>
        </w:tc>
        <w:tc>
          <w:tcPr>
            <w:tcW w:w="2365" w:type="dxa"/>
            <w:tcBorders>
              <w:top w:val="nil"/>
              <w:left w:val="nil"/>
              <w:bottom w:val="single" w:sz="4" w:space="0" w:color="auto"/>
              <w:right w:val="single" w:sz="4" w:space="0" w:color="auto"/>
            </w:tcBorders>
            <w:shd w:val="clear" w:color="auto" w:fill="auto"/>
            <w:vAlign w:val="center"/>
            <w:hideMark/>
          </w:tcPr>
          <w:p w:rsidR="00EA4196" w:rsidRPr="00E07570" w:rsidRDefault="00EA4196" w:rsidP="00192B6B">
            <w:pPr>
              <w:spacing w:before="60" w:after="60"/>
              <w:ind w:left="57" w:right="57"/>
              <w:rPr>
                <w:bCs/>
                <w:lang w:eastAsia="en-GB"/>
              </w:rPr>
            </w:pPr>
            <w:r w:rsidRPr="00E07570">
              <w:rPr>
                <w:lang w:eastAsia="en-GB"/>
              </w:rPr>
              <w:t>Défaillance interne</w:t>
            </w:r>
          </w:p>
        </w:tc>
        <w:tc>
          <w:tcPr>
            <w:tcW w:w="3198" w:type="dxa"/>
            <w:tcBorders>
              <w:top w:val="nil"/>
              <w:left w:val="nil"/>
              <w:bottom w:val="single" w:sz="4" w:space="0" w:color="auto"/>
              <w:right w:val="single" w:sz="4" w:space="0" w:color="auto"/>
            </w:tcBorders>
            <w:shd w:val="clear" w:color="auto" w:fill="auto"/>
            <w:vAlign w:val="center"/>
          </w:tcPr>
          <w:p w:rsidR="00EA4196" w:rsidRPr="00E07570" w:rsidRDefault="00EA4196" w:rsidP="00192B6B">
            <w:pPr>
              <w:spacing w:before="60" w:after="60"/>
              <w:ind w:left="57" w:right="57"/>
              <w:rPr>
                <w:lang w:eastAsia="en-GB"/>
              </w:rPr>
            </w:pPr>
          </w:p>
        </w:tc>
      </w:tr>
      <w:tr w:rsidR="00EA4196" w:rsidRPr="00E07570" w:rsidTr="00F93582">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EA4196" w:rsidRPr="00E07570" w:rsidRDefault="00EA4196" w:rsidP="00DF48F0">
            <w:pPr>
              <w:keepNext/>
              <w:spacing w:before="60" w:after="60"/>
              <w:ind w:left="57" w:right="57"/>
              <w:rPr>
                <w:lang w:eastAsia="en-GB"/>
              </w:rPr>
            </w:pPr>
            <w:r w:rsidRPr="00E07570">
              <w:t xml:space="preserve">Antenne </w:t>
            </w:r>
            <w:r w:rsidRPr="00E07570">
              <w:br/>
              <w:t>de communication PLMN</w:t>
            </w:r>
          </w:p>
        </w:tc>
        <w:tc>
          <w:tcPr>
            <w:tcW w:w="2365" w:type="dxa"/>
            <w:tcBorders>
              <w:top w:val="nil"/>
              <w:left w:val="nil"/>
              <w:bottom w:val="single" w:sz="4" w:space="0" w:color="auto"/>
              <w:right w:val="single" w:sz="4" w:space="0" w:color="auto"/>
            </w:tcBorders>
            <w:shd w:val="clear" w:color="auto" w:fill="auto"/>
            <w:vAlign w:val="center"/>
            <w:hideMark/>
          </w:tcPr>
          <w:p w:rsidR="00EA4196" w:rsidRPr="00E07570" w:rsidRDefault="00EA4196" w:rsidP="00DF48F0">
            <w:pPr>
              <w:spacing w:before="60" w:after="60"/>
              <w:ind w:left="57" w:right="57"/>
              <w:rPr>
                <w:lang w:eastAsia="en-GB"/>
              </w:rPr>
            </w:pPr>
            <w:r w:rsidRPr="00E07570">
              <w:rPr>
                <w:lang w:eastAsia="en-GB"/>
              </w:rPr>
              <w:t>Branchement électrique</w:t>
            </w:r>
          </w:p>
        </w:tc>
        <w:tc>
          <w:tcPr>
            <w:tcW w:w="3198" w:type="dxa"/>
            <w:tcBorders>
              <w:top w:val="nil"/>
              <w:left w:val="nil"/>
              <w:bottom w:val="single" w:sz="4" w:space="0" w:color="auto"/>
              <w:right w:val="single" w:sz="4" w:space="0" w:color="auto"/>
            </w:tcBorders>
            <w:shd w:val="clear" w:color="auto" w:fill="auto"/>
            <w:vAlign w:val="center"/>
          </w:tcPr>
          <w:p w:rsidR="00EA4196" w:rsidRPr="00E07570" w:rsidRDefault="00EA4196" w:rsidP="00DF48F0">
            <w:pPr>
              <w:spacing w:before="60" w:after="60"/>
              <w:ind w:left="57" w:right="57"/>
              <w:rPr>
                <w:lang w:eastAsia="en-GB"/>
              </w:rPr>
            </w:pPr>
          </w:p>
        </w:tc>
      </w:tr>
      <w:tr w:rsidR="00EA4196" w:rsidRPr="00E07570" w:rsidTr="00192B6B">
        <w:trPr>
          <w:cantSplit/>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EA4196" w:rsidRPr="00E07570" w:rsidRDefault="00EA4196" w:rsidP="00192B6B">
            <w:pPr>
              <w:keepNext/>
              <w:keepLines/>
              <w:spacing w:before="60" w:after="60"/>
              <w:ind w:left="57" w:right="57"/>
              <w:rPr>
                <w:lang w:eastAsia="en-GB"/>
              </w:rPr>
            </w:pPr>
            <w:r w:rsidRPr="00E07570">
              <w:t>Antenne GNSS</w:t>
            </w:r>
          </w:p>
        </w:tc>
        <w:tc>
          <w:tcPr>
            <w:tcW w:w="2365" w:type="dxa"/>
            <w:tcBorders>
              <w:top w:val="nil"/>
              <w:left w:val="nil"/>
              <w:bottom w:val="single" w:sz="4" w:space="0" w:color="auto"/>
              <w:right w:val="single" w:sz="4" w:space="0" w:color="auto"/>
            </w:tcBorders>
            <w:shd w:val="clear" w:color="auto" w:fill="auto"/>
            <w:vAlign w:val="center"/>
            <w:hideMark/>
          </w:tcPr>
          <w:p w:rsidR="00EA4196" w:rsidRPr="00E07570" w:rsidRDefault="00EA4196" w:rsidP="00192B6B">
            <w:pPr>
              <w:keepNext/>
              <w:keepLines/>
              <w:spacing w:before="60" w:after="60"/>
              <w:ind w:left="57" w:right="57"/>
              <w:rPr>
                <w:lang w:eastAsia="en-GB"/>
              </w:rPr>
            </w:pPr>
            <w:r w:rsidRPr="00E07570">
              <w:rPr>
                <w:lang w:eastAsia="en-GB"/>
              </w:rPr>
              <w:t>Branchement électrique</w:t>
            </w:r>
          </w:p>
        </w:tc>
        <w:tc>
          <w:tcPr>
            <w:tcW w:w="3198" w:type="dxa"/>
            <w:tcBorders>
              <w:top w:val="nil"/>
              <w:left w:val="nil"/>
              <w:bottom w:val="single" w:sz="4" w:space="0" w:color="auto"/>
              <w:right w:val="single" w:sz="4" w:space="0" w:color="auto"/>
            </w:tcBorders>
            <w:shd w:val="clear" w:color="auto" w:fill="auto"/>
            <w:vAlign w:val="center"/>
          </w:tcPr>
          <w:p w:rsidR="00EA4196" w:rsidRPr="00E07570" w:rsidRDefault="00EA4196" w:rsidP="00192B6B">
            <w:pPr>
              <w:keepNext/>
              <w:keepLines/>
              <w:spacing w:before="60" w:after="60"/>
              <w:ind w:left="57" w:right="57"/>
              <w:rPr>
                <w:lang w:eastAsia="en-GB"/>
              </w:rPr>
            </w:pPr>
          </w:p>
        </w:tc>
      </w:tr>
      <w:tr w:rsidR="00EA4196" w:rsidRPr="00E07570" w:rsidTr="00192B6B">
        <w:trPr>
          <w:cantSplit/>
        </w:trPr>
        <w:tc>
          <w:tcPr>
            <w:tcW w:w="1808" w:type="dxa"/>
            <w:vMerge w:val="restart"/>
            <w:tcBorders>
              <w:top w:val="nil"/>
              <w:left w:val="single" w:sz="4" w:space="0" w:color="auto"/>
              <w:right w:val="single" w:sz="4" w:space="0" w:color="auto"/>
            </w:tcBorders>
            <w:shd w:val="clear" w:color="auto" w:fill="auto"/>
            <w:noWrap/>
            <w:vAlign w:val="center"/>
          </w:tcPr>
          <w:p w:rsidR="00EA4196" w:rsidRPr="00E07570" w:rsidRDefault="00EA4196" w:rsidP="00192B6B">
            <w:pPr>
              <w:keepNext/>
              <w:keepLines/>
              <w:spacing w:before="60" w:after="60"/>
              <w:ind w:left="57" w:right="57"/>
            </w:pPr>
            <w:r w:rsidRPr="00E07570">
              <w:rPr>
                <w:lang w:eastAsia="en-GB"/>
              </w:rPr>
              <w:t>Unité de détection des chocs (CCU)</w:t>
            </w:r>
          </w:p>
        </w:tc>
        <w:tc>
          <w:tcPr>
            <w:tcW w:w="2365" w:type="dxa"/>
            <w:tcBorders>
              <w:top w:val="nil"/>
              <w:left w:val="nil"/>
              <w:bottom w:val="single" w:sz="4" w:space="0" w:color="auto"/>
              <w:right w:val="single" w:sz="4" w:space="0" w:color="auto"/>
            </w:tcBorders>
            <w:shd w:val="clear" w:color="auto" w:fill="auto"/>
            <w:vAlign w:val="center"/>
          </w:tcPr>
          <w:p w:rsidR="00EA4196" w:rsidRPr="00E07570" w:rsidRDefault="00EA4196" w:rsidP="00192B6B">
            <w:pPr>
              <w:keepNext/>
              <w:keepLines/>
              <w:spacing w:before="60" w:after="60"/>
              <w:ind w:left="57" w:right="57"/>
              <w:rPr>
                <w:lang w:eastAsia="en-GB"/>
              </w:rPr>
            </w:pPr>
            <w:r w:rsidRPr="00E07570">
              <w:rPr>
                <w:lang w:eastAsia="en-GB"/>
              </w:rPr>
              <w:t>Branchement électrique</w:t>
            </w:r>
          </w:p>
        </w:tc>
        <w:tc>
          <w:tcPr>
            <w:tcW w:w="3198" w:type="dxa"/>
            <w:tcBorders>
              <w:top w:val="nil"/>
              <w:left w:val="nil"/>
              <w:bottom w:val="single" w:sz="4" w:space="0" w:color="auto"/>
              <w:right w:val="single" w:sz="4" w:space="0" w:color="auto"/>
            </w:tcBorders>
            <w:shd w:val="clear" w:color="auto" w:fill="auto"/>
            <w:vAlign w:val="center"/>
          </w:tcPr>
          <w:p w:rsidR="00EA4196" w:rsidRPr="00E07570" w:rsidRDefault="00EA4196" w:rsidP="00192B6B">
            <w:pPr>
              <w:keepNext/>
              <w:keepLines/>
              <w:spacing w:before="60" w:after="60"/>
              <w:ind w:left="57" w:right="57"/>
              <w:rPr>
                <w:lang w:eastAsia="en-GB"/>
              </w:rPr>
            </w:pPr>
            <w:r w:rsidRPr="00E07570">
              <w:rPr>
                <w:lang w:eastAsia="en-GB"/>
              </w:rPr>
              <w:t xml:space="preserve">Système de détection des chocs ou dispositif </w:t>
            </w:r>
            <w:r w:rsidR="00331B0C" w:rsidRPr="00E07570">
              <w:rPr>
                <w:lang w:eastAsia="en-GB"/>
              </w:rPr>
              <w:t>de déclenchement, par exemple</w:t>
            </w:r>
          </w:p>
        </w:tc>
      </w:tr>
      <w:tr w:rsidR="00EA4196" w:rsidRPr="00E07570" w:rsidTr="00F93582">
        <w:tc>
          <w:tcPr>
            <w:tcW w:w="1808" w:type="dxa"/>
            <w:vMerge/>
            <w:tcBorders>
              <w:left w:val="single" w:sz="4" w:space="0" w:color="auto"/>
              <w:bottom w:val="single" w:sz="4" w:space="0" w:color="auto"/>
              <w:right w:val="single" w:sz="4" w:space="0" w:color="auto"/>
            </w:tcBorders>
            <w:shd w:val="clear" w:color="auto" w:fill="auto"/>
            <w:noWrap/>
            <w:vAlign w:val="center"/>
          </w:tcPr>
          <w:p w:rsidR="00EA4196" w:rsidRPr="00E07570" w:rsidRDefault="00EA4196" w:rsidP="00DF48F0">
            <w:pPr>
              <w:spacing w:before="60" w:after="60"/>
              <w:ind w:left="57" w:right="57"/>
              <w:rPr>
                <w:lang w:eastAsia="en-GB"/>
              </w:rPr>
            </w:pPr>
          </w:p>
        </w:tc>
        <w:tc>
          <w:tcPr>
            <w:tcW w:w="2365" w:type="dxa"/>
            <w:tcBorders>
              <w:top w:val="nil"/>
              <w:left w:val="nil"/>
              <w:bottom w:val="single" w:sz="4" w:space="0" w:color="auto"/>
              <w:right w:val="single" w:sz="4" w:space="0" w:color="auto"/>
            </w:tcBorders>
            <w:shd w:val="clear" w:color="auto" w:fill="auto"/>
            <w:vAlign w:val="center"/>
          </w:tcPr>
          <w:p w:rsidR="00EA4196" w:rsidRPr="00E07570" w:rsidRDefault="00EA4196" w:rsidP="00DF48F0">
            <w:pPr>
              <w:spacing w:before="60" w:after="60"/>
              <w:ind w:left="57" w:right="57"/>
              <w:rPr>
                <w:lang w:eastAsia="en-GB"/>
              </w:rPr>
            </w:pPr>
            <w:r w:rsidRPr="00E07570">
              <w:rPr>
                <w:lang w:eastAsia="en-GB"/>
              </w:rPr>
              <w:t>Défaillance interne</w:t>
            </w:r>
          </w:p>
        </w:tc>
        <w:tc>
          <w:tcPr>
            <w:tcW w:w="3198" w:type="dxa"/>
            <w:tcBorders>
              <w:top w:val="nil"/>
              <w:left w:val="nil"/>
              <w:bottom w:val="single" w:sz="4" w:space="0" w:color="auto"/>
              <w:right w:val="single" w:sz="4" w:space="0" w:color="auto"/>
            </w:tcBorders>
            <w:shd w:val="clear" w:color="auto" w:fill="auto"/>
            <w:vAlign w:val="center"/>
          </w:tcPr>
          <w:p w:rsidR="00EA4196" w:rsidRPr="00E07570" w:rsidRDefault="00EA4196" w:rsidP="00DF48F0">
            <w:pPr>
              <w:spacing w:before="60" w:after="60"/>
              <w:ind w:left="57" w:right="57"/>
              <w:rPr>
                <w:lang w:eastAsia="en-GB"/>
              </w:rPr>
            </w:pPr>
            <w:r w:rsidRPr="00E07570">
              <w:rPr>
                <w:lang w:eastAsia="en-GB"/>
              </w:rPr>
              <w:t>Si la vérification des défaillances internes ne relève pas de l</w:t>
            </w:r>
            <w:r w:rsidR="00145E4B">
              <w:rPr>
                <w:lang w:eastAsia="en-GB"/>
              </w:rPr>
              <w:t>’</w:t>
            </w:r>
            <w:r w:rsidRPr="00E07570">
              <w:rPr>
                <w:lang w:eastAsia="en-GB"/>
              </w:rPr>
              <w:t>homologation de l</w:t>
            </w:r>
            <w:r w:rsidR="00145E4B">
              <w:rPr>
                <w:lang w:eastAsia="en-GB"/>
              </w:rPr>
              <w:t>’</w:t>
            </w:r>
            <w:r w:rsidRPr="00E07570">
              <w:rPr>
                <w:lang w:eastAsia="en-GB"/>
              </w:rPr>
              <w:t>AECS (</w:t>
            </w:r>
            <w:r w:rsidR="00190A2A" w:rsidRPr="00E07570">
              <w:rPr>
                <w:lang w:eastAsia="en-GB"/>
              </w:rPr>
              <w:t>p</w:t>
            </w:r>
            <w:r w:rsidRPr="00E07570">
              <w:rPr>
                <w:lang w:eastAsia="en-GB"/>
              </w:rPr>
              <w:t>artie II) elle doit relever de l</w:t>
            </w:r>
            <w:r w:rsidR="00145E4B">
              <w:rPr>
                <w:lang w:eastAsia="en-GB"/>
              </w:rPr>
              <w:t>’</w:t>
            </w:r>
            <w:r w:rsidRPr="00E07570">
              <w:rPr>
                <w:lang w:eastAsia="en-GB"/>
              </w:rPr>
              <w:t>homologation de l</w:t>
            </w:r>
            <w:r w:rsidR="00145E4B">
              <w:rPr>
                <w:lang w:eastAsia="en-GB"/>
              </w:rPr>
              <w:t>’</w:t>
            </w:r>
            <w:r w:rsidRPr="00E07570">
              <w:rPr>
                <w:lang w:eastAsia="en-GB"/>
              </w:rPr>
              <w:t>AECD (Partie </w:t>
            </w:r>
            <w:proofErr w:type="spellStart"/>
            <w:r w:rsidR="00A22689" w:rsidRPr="00E07570">
              <w:rPr>
                <w:b/>
                <w:lang w:eastAsia="en-GB"/>
              </w:rPr>
              <w:t>Ib</w:t>
            </w:r>
            <w:proofErr w:type="spellEnd"/>
            <w:r w:rsidR="00331B0C" w:rsidRPr="00E07570">
              <w:rPr>
                <w:lang w:eastAsia="en-GB"/>
              </w:rPr>
              <w:t>)</w:t>
            </w:r>
          </w:p>
          <w:p w:rsidR="00EA4196" w:rsidRPr="00E07570" w:rsidRDefault="00EA4196" w:rsidP="00DF48F0">
            <w:pPr>
              <w:spacing w:before="60" w:after="60"/>
              <w:ind w:left="57" w:right="57"/>
              <w:rPr>
                <w:lang w:eastAsia="en-GB"/>
              </w:rPr>
            </w:pPr>
            <w:r w:rsidRPr="00E07570">
              <w:rPr>
                <w:lang w:eastAsia="en-GB"/>
              </w:rPr>
              <w:t>Lorsque la CCU ne fait pas partie de l</w:t>
            </w:r>
            <w:r w:rsidR="00145E4B">
              <w:rPr>
                <w:lang w:eastAsia="en-GB"/>
              </w:rPr>
              <w:t>’</w:t>
            </w:r>
            <w:r w:rsidRPr="00E07570">
              <w:rPr>
                <w:lang w:eastAsia="en-GB"/>
              </w:rPr>
              <w:t>AECD, cette prescription est considérée comme satisfaite si :</w:t>
            </w:r>
          </w:p>
          <w:p w:rsidR="00EA4196" w:rsidRPr="00E07570" w:rsidRDefault="00EA4196" w:rsidP="00DF48F0">
            <w:pPr>
              <w:spacing w:before="60" w:after="60"/>
              <w:ind w:left="57" w:right="57"/>
              <w:rPr>
                <w:lang w:eastAsia="en-GB"/>
              </w:rPr>
            </w:pPr>
            <w:r w:rsidRPr="00E07570">
              <w:rPr>
                <w:lang w:eastAsia="en-GB"/>
              </w:rPr>
              <w:t xml:space="preserve">a) </w:t>
            </w:r>
            <w:r w:rsidR="0078245B" w:rsidRPr="00E07570">
              <w:rPr>
                <w:lang w:eastAsia="en-GB"/>
              </w:rPr>
              <w:t>L</w:t>
            </w:r>
            <w:r w:rsidR="00145E4B">
              <w:rPr>
                <w:lang w:eastAsia="en-GB"/>
              </w:rPr>
              <w:t>’</w:t>
            </w:r>
            <w:r w:rsidRPr="00E07570">
              <w:rPr>
                <w:lang w:eastAsia="en-GB"/>
              </w:rPr>
              <w:t>indication d</w:t>
            </w:r>
            <w:r w:rsidR="00145E4B">
              <w:rPr>
                <w:lang w:eastAsia="en-GB"/>
              </w:rPr>
              <w:t>’</w:t>
            </w:r>
            <w:r w:rsidRPr="00E07570">
              <w:rPr>
                <w:lang w:eastAsia="en-GB"/>
              </w:rPr>
              <w:t>une défaillance interne est fournie par le véhicul</w:t>
            </w:r>
            <w:r w:rsidR="0078245B" w:rsidRPr="00E07570">
              <w:rPr>
                <w:lang w:eastAsia="en-GB"/>
              </w:rPr>
              <w:t>e ; et</w:t>
            </w:r>
          </w:p>
          <w:p w:rsidR="00EA4196" w:rsidRPr="00E07570" w:rsidRDefault="00EA4196" w:rsidP="0078245B">
            <w:pPr>
              <w:spacing w:before="60" w:after="60"/>
              <w:ind w:left="57" w:right="57"/>
              <w:rPr>
                <w:lang w:eastAsia="en-GB"/>
              </w:rPr>
            </w:pPr>
            <w:r w:rsidRPr="00E07570">
              <w:rPr>
                <w:lang w:eastAsia="en-GB"/>
              </w:rPr>
              <w:t xml:space="preserve">b) </w:t>
            </w:r>
            <w:r w:rsidR="0078245B" w:rsidRPr="00E07570">
              <w:rPr>
                <w:lang w:eastAsia="en-GB"/>
              </w:rPr>
              <w:t>L</w:t>
            </w:r>
            <w:r w:rsidRPr="00E07570">
              <w:rPr>
                <w:lang w:eastAsia="en-GB"/>
              </w:rPr>
              <w:t>e mécanisme d</w:t>
            </w:r>
            <w:r w:rsidR="00145E4B">
              <w:rPr>
                <w:lang w:eastAsia="en-GB"/>
              </w:rPr>
              <w:t>’</w:t>
            </w:r>
            <w:r w:rsidRPr="00E07570">
              <w:rPr>
                <w:lang w:eastAsia="en-GB"/>
              </w:rPr>
              <w:t>avertissement de l</w:t>
            </w:r>
            <w:r w:rsidR="00145E4B">
              <w:rPr>
                <w:lang w:eastAsia="en-GB"/>
              </w:rPr>
              <w:t>’</w:t>
            </w:r>
            <w:r w:rsidRPr="00E07570">
              <w:rPr>
                <w:lang w:eastAsia="en-GB"/>
              </w:rPr>
              <w:t>AECD est expliqué au conducteur.</w:t>
            </w:r>
          </w:p>
        </w:tc>
      </w:tr>
      <w:tr w:rsidR="00EA4196" w:rsidRPr="00E07570" w:rsidTr="00F93582">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EA4196" w:rsidRPr="00E07570" w:rsidRDefault="00EA4196" w:rsidP="00DF48F0">
            <w:pPr>
              <w:spacing w:before="60" w:after="60"/>
              <w:ind w:left="57" w:right="57"/>
              <w:rPr>
                <w:lang w:eastAsia="en-GB"/>
              </w:rPr>
            </w:pPr>
            <w:r w:rsidRPr="00E07570">
              <w:rPr>
                <w:lang w:eastAsia="en-GB"/>
              </w:rPr>
              <w:t>Alimentation électrique</w:t>
            </w:r>
          </w:p>
        </w:tc>
        <w:tc>
          <w:tcPr>
            <w:tcW w:w="2365" w:type="dxa"/>
            <w:tcBorders>
              <w:top w:val="nil"/>
              <w:left w:val="nil"/>
              <w:bottom w:val="single" w:sz="4" w:space="0" w:color="auto"/>
              <w:right w:val="single" w:sz="4" w:space="0" w:color="auto"/>
            </w:tcBorders>
            <w:shd w:val="clear" w:color="auto" w:fill="auto"/>
            <w:vAlign w:val="center"/>
            <w:hideMark/>
          </w:tcPr>
          <w:p w:rsidR="00EA4196" w:rsidRPr="00E07570" w:rsidRDefault="00EA4196" w:rsidP="00DF48F0">
            <w:pPr>
              <w:spacing w:before="60" w:after="60"/>
              <w:ind w:left="57" w:right="57"/>
              <w:rPr>
                <w:lang w:eastAsia="en-GB"/>
              </w:rPr>
            </w:pPr>
            <w:r w:rsidRPr="00E07570">
              <w:rPr>
                <w:lang w:eastAsia="en-GB"/>
              </w:rPr>
              <w:t>Raccordement électrique</w:t>
            </w:r>
          </w:p>
        </w:tc>
        <w:tc>
          <w:tcPr>
            <w:tcW w:w="3198" w:type="dxa"/>
            <w:tcBorders>
              <w:top w:val="nil"/>
              <w:left w:val="nil"/>
              <w:bottom w:val="single" w:sz="4" w:space="0" w:color="auto"/>
              <w:right w:val="single" w:sz="4" w:space="0" w:color="auto"/>
            </w:tcBorders>
            <w:shd w:val="clear" w:color="auto" w:fill="auto"/>
            <w:vAlign w:val="center"/>
            <w:hideMark/>
          </w:tcPr>
          <w:p w:rsidR="00EA4196" w:rsidRPr="00E07570" w:rsidRDefault="00EA4196" w:rsidP="00DF48F0">
            <w:pPr>
              <w:spacing w:before="60" w:after="60"/>
              <w:ind w:left="57" w:right="57"/>
              <w:rPr>
                <w:lang w:eastAsia="en-GB"/>
              </w:rPr>
            </w:pPr>
            <w:r w:rsidRPr="00E07570">
              <w:rPr>
                <w:lang w:eastAsia="en-GB"/>
              </w:rPr>
              <w:t>Branchement d</w:t>
            </w:r>
            <w:r w:rsidR="00145E4B">
              <w:rPr>
                <w:lang w:eastAsia="en-GB"/>
              </w:rPr>
              <w:t>’</w:t>
            </w:r>
            <w:r w:rsidRPr="00E07570">
              <w:rPr>
                <w:lang w:eastAsia="en-GB"/>
              </w:rPr>
              <w:t>une batterie spéciale.</w:t>
            </w:r>
          </w:p>
        </w:tc>
      </w:tr>
      <w:tr w:rsidR="00EA4196" w:rsidRPr="00E07570" w:rsidTr="00F93582">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EA4196" w:rsidRPr="00E07570" w:rsidRDefault="00EA4196" w:rsidP="00DF48F0">
            <w:pPr>
              <w:spacing w:before="60" w:after="60"/>
              <w:ind w:left="57" w:right="57"/>
              <w:rPr>
                <w:lang w:eastAsia="en-GB"/>
              </w:rPr>
            </w:pPr>
            <w:r w:rsidRPr="00E07570">
              <w:rPr>
                <w:lang w:eastAsia="en-GB"/>
              </w:rPr>
              <w:t>Module d</w:t>
            </w:r>
            <w:r w:rsidR="00145E4B">
              <w:rPr>
                <w:lang w:eastAsia="en-GB"/>
              </w:rPr>
              <w:t>’</w:t>
            </w:r>
            <w:r w:rsidRPr="00E07570">
              <w:rPr>
                <w:lang w:eastAsia="en-GB"/>
              </w:rPr>
              <w:t>identification d</w:t>
            </w:r>
            <w:r w:rsidR="00145E4B">
              <w:rPr>
                <w:lang w:eastAsia="en-GB"/>
              </w:rPr>
              <w:t>’</w:t>
            </w:r>
            <w:r w:rsidRPr="00E07570">
              <w:rPr>
                <w:lang w:eastAsia="en-GB"/>
              </w:rPr>
              <w:t>abonné (SIM)</w:t>
            </w:r>
          </w:p>
        </w:tc>
        <w:tc>
          <w:tcPr>
            <w:tcW w:w="2365" w:type="dxa"/>
            <w:tcBorders>
              <w:top w:val="nil"/>
              <w:left w:val="nil"/>
              <w:bottom w:val="single" w:sz="4" w:space="0" w:color="auto"/>
              <w:right w:val="single" w:sz="4" w:space="0" w:color="auto"/>
            </w:tcBorders>
            <w:shd w:val="clear" w:color="auto" w:fill="auto"/>
            <w:vAlign w:val="center"/>
            <w:hideMark/>
          </w:tcPr>
          <w:p w:rsidR="00EA4196" w:rsidRPr="00E07570" w:rsidRDefault="00EA4196" w:rsidP="00DF48F0">
            <w:pPr>
              <w:spacing w:before="60" w:after="60"/>
              <w:ind w:left="57" w:right="57"/>
              <w:rPr>
                <w:lang w:eastAsia="en-GB"/>
              </w:rPr>
            </w:pPr>
            <w:r w:rsidRPr="00E07570">
              <w:rPr>
                <w:lang w:eastAsia="en-GB"/>
              </w:rPr>
              <w:t>Néant</w:t>
            </w:r>
          </w:p>
        </w:tc>
        <w:tc>
          <w:tcPr>
            <w:tcW w:w="3198" w:type="dxa"/>
            <w:tcBorders>
              <w:top w:val="nil"/>
              <w:left w:val="nil"/>
              <w:bottom w:val="single" w:sz="4" w:space="0" w:color="auto"/>
              <w:right w:val="single" w:sz="4" w:space="0" w:color="auto"/>
            </w:tcBorders>
            <w:shd w:val="clear" w:color="auto" w:fill="auto"/>
            <w:vAlign w:val="center"/>
            <w:hideMark/>
          </w:tcPr>
          <w:p w:rsidR="00EA4196" w:rsidRPr="00E07570" w:rsidRDefault="00EA4196" w:rsidP="00331B0C">
            <w:pPr>
              <w:spacing w:before="60" w:after="60"/>
              <w:ind w:left="57" w:right="57"/>
              <w:rPr>
                <w:bCs/>
                <w:lang w:eastAsia="en-GB"/>
              </w:rPr>
            </w:pPr>
            <w:r w:rsidRPr="00E07570">
              <w:rPr>
                <w:bCs/>
                <w:lang w:eastAsia="en-GB"/>
              </w:rPr>
              <w:t>Seulement en cas d</w:t>
            </w:r>
            <w:r w:rsidR="00145E4B">
              <w:rPr>
                <w:bCs/>
                <w:lang w:eastAsia="en-GB"/>
              </w:rPr>
              <w:t>’</w:t>
            </w:r>
            <w:r w:rsidRPr="00E07570">
              <w:rPr>
                <w:bCs/>
                <w:lang w:eastAsia="en-GB"/>
              </w:rPr>
              <w:t>utilisation d</w:t>
            </w:r>
            <w:r w:rsidR="00145E4B">
              <w:rPr>
                <w:bCs/>
                <w:lang w:eastAsia="en-GB"/>
              </w:rPr>
              <w:t>’</w:t>
            </w:r>
            <w:r w:rsidRPr="00E07570">
              <w:rPr>
                <w:bCs/>
                <w:lang w:eastAsia="en-GB"/>
              </w:rPr>
              <w:t>une carte SIM extrac</w:t>
            </w:r>
            <w:r w:rsidR="00331B0C" w:rsidRPr="00E07570">
              <w:rPr>
                <w:bCs/>
                <w:lang w:eastAsia="en-GB"/>
              </w:rPr>
              <w:t>tibl</w:t>
            </w:r>
            <w:r w:rsidRPr="00E07570">
              <w:rPr>
                <w:bCs/>
                <w:lang w:eastAsia="en-GB"/>
              </w:rPr>
              <w:t>e.</w:t>
            </w:r>
          </w:p>
        </w:tc>
      </w:tr>
      <w:tr w:rsidR="00EA4196" w:rsidRPr="00E07570" w:rsidTr="00F93582">
        <w:tc>
          <w:tcPr>
            <w:tcW w:w="1808" w:type="dxa"/>
            <w:tcBorders>
              <w:top w:val="single" w:sz="4" w:space="0" w:color="auto"/>
              <w:left w:val="single" w:sz="4" w:space="0" w:color="auto"/>
              <w:bottom w:val="single" w:sz="12" w:space="0" w:color="auto"/>
              <w:right w:val="single" w:sz="6" w:space="0" w:color="auto"/>
            </w:tcBorders>
            <w:shd w:val="clear" w:color="auto" w:fill="auto"/>
            <w:noWrap/>
            <w:vAlign w:val="center"/>
            <w:hideMark/>
          </w:tcPr>
          <w:p w:rsidR="00EA4196" w:rsidRPr="00E07570" w:rsidRDefault="00EA4196" w:rsidP="00DF48F0">
            <w:pPr>
              <w:spacing w:before="60" w:after="60"/>
              <w:ind w:left="57" w:right="57"/>
              <w:rPr>
                <w:iCs/>
                <w:lang w:eastAsia="en-GB"/>
              </w:rPr>
            </w:pPr>
            <w:r w:rsidRPr="00E07570">
              <w:rPr>
                <w:iCs/>
              </w:rPr>
              <w:t xml:space="preserve">Alimentation électrique </w:t>
            </w:r>
            <w:r w:rsidRPr="00E07570">
              <w:rPr>
                <w:iCs/>
              </w:rPr>
              <w:br/>
              <w:t>de secours</w:t>
            </w:r>
          </w:p>
        </w:tc>
        <w:tc>
          <w:tcPr>
            <w:tcW w:w="2365" w:type="dxa"/>
            <w:tcBorders>
              <w:top w:val="single" w:sz="4" w:space="0" w:color="auto"/>
              <w:left w:val="single" w:sz="6" w:space="0" w:color="auto"/>
              <w:bottom w:val="single" w:sz="12" w:space="0" w:color="auto"/>
              <w:right w:val="single" w:sz="6" w:space="0" w:color="auto"/>
            </w:tcBorders>
            <w:shd w:val="clear" w:color="auto" w:fill="auto"/>
            <w:vAlign w:val="center"/>
            <w:hideMark/>
          </w:tcPr>
          <w:p w:rsidR="00EA4196" w:rsidRPr="00E07570" w:rsidRDefault="00EA4196" w:rsidP="00DF48F0">
            <w:pPr>
              <w:spacing w:before="60" w:after="60"/>
              <w:ind w:left="57" w:right="57"/>
              <w:rPr>
                <w:bCs/>
                <w:lang w:eastAsia="en-GB"/>
              </w:rPr>
            </w:pPr>
            <w:r w:rsidRPr="00E07570">
              <w:rPr>
                <w:bCs/>
                <w:lang w:eastAsia="en-GB"/>
              </w:rPr>
              <w:t xml:space="preserve">État de charge critique (seuil fixé par </w:t>
            </w:r>
            <w:r w:rsidRPr="00E07570">
              <w:rPr>
                <w:bCs/>
                <w:lang w:eastAsia="en-GB"/>
              </w:rPr>
              <w:br/>
              <w:t>le constructeur)</w:t>
            </w:r>
          </w:p>
        </w:tc>
        <w:tc>
          <w:tcPr>
            <w:tcW w:w="3198" w:type="dxa"/>
            <w:tcBorders>
              <w:top w:val="single" w:sz="4" w:space="0" w:color="auto"/>
              <w:left w:val="single" w:sz="6" w:space="0" w:color="auto"/>
              <w:bottom w:val="single" w:sz="12" w:space="0" w:color="auto"/>
              <w:right w:val="single" w:sz="4" w:space="0" w:color="auto"/>
            </w:tcBorders>
            <w:shd w:val="clear" w:color="auto" w:fill="auto"/>
            <w:vAlign w:val="center"/>
            <w:hideMark/>
          </w:tcPr>
          <w:p w:rsidR="00EA4196" w:rsidRPr="00E07570" w:rsidRDefault="00EA4196" w:rsidP="00DF48F0">
            <w:pPr>
              <w:spacing w:before="60" w:after="60"/>
              <w:ind w:left="57" w:right="57"/>
              <w:rPr>
                <w:bCs/>
                <w:lang w:eastAsia="en-GB"/>
              </w:rPr>
            </w:pPr>
            <w:r w:rsidRPr="00E07570">
              <w:rPr>
                <w:bCs/>
                <w:lang w:eastAsia="en-GB"/>
              </w:rPr>
              <w:t>Défaillance en cas d</w:t>
            </w:r>
            <w:r w:rsidR="00145E4B">
              <w:rPr>
                <w:bCs/>
                <w:lang w:eastAsia="en-GB"/>
              </w:rPr>
              <w:t>’</w:t>
            </w:r>
            <w:r w:rsidRPr="00E07570">
              <w:rPr>
                <w:bCs/>
                <w:lang w:eastAsia="en-GB"/>
              </w:rPr>
              <w:t xml:space="preserve">état de charge critique dont le niveau est </w:t>
            </w:r>
            <w:proofErr w:type="gramStart"/>
            <w:r w:rsidRPr="00E07570">
              <w:rPr>
                <w:bCs/>
                <w:lang w:eastAsia="en-GB"/>
              </w:rPr>
              <w:t>fixé</w:t>
            </w:r>
            <w:proofErr w:type="gramEnd"/>
            <w:r w:rsidRPr="00E07570">
              <w:rPr>
                <w:bCs/>
                <w:lang w:eastAsia="en-GB"/>
              </w:rPr>
              <w:t xml:space="preserve"> </w:t>
            </w:r>
            <w:r w:rsidRPr="00E07570">
              <w:rPr>
                <w:bCs/>
                <w:lang w:eastAsia="en-GB"/>
              </w:rPr>
              <w:br/>
              <w:t>par le constructeur.</w:t>
            </w:r>
          </w:p>
        </w:tc>
      </w:tr>
    </w:tbl>
    <w:p w:rsidR="0078245B" w:rsidRPr="00E07570" w:rsidRDefault="0078245B" w:rsidP="00192B6B">
      <w:pPr>
        <w:pStyle w:val="SingleTxtG"/>
        <w:spacing w:before="240"/>
        <w:ind w:left="2268" w:hanging="1134"/>
      </w:pPr>
      <w:r w:rsidRPr="00E07570">
        <w:rPr>
          <w:b/>
        </w:rPr>
        <w:t>26.5.3.2</w:t>
      </w:r>
      <w:r w:rsidRPr="00E07570">
        <w:tab/>
      </w:r>
      <w:r w:rsidRPr="00E07570">
        <w:tab/>
        <w:t>Procédure d</w:t>
      </w:r>
      <w:r w:rsidR="00145E4B">
        <w:t>’</w:t>
      </w:r>
      <w:r w:rsidRPr="00E07570">
        <w:t>essai</w:t>
      </w:r>
    </w:p>
    <w:p w:rsidR="0078245B" w:rsidRPr="00E07570" w:rsidRDefault="0078245B" w:rsidP="00192B6B">
      <w:pPr>
        <w:pStyle w:val="SingleTxtG"/>
        <w:ind w:left="2268"/>
      </w:pPr>
      <w:r w:rsidRPr="00E07570">
        <w:t>Essai de vérification de la fonction d</w:t>
      </w:r>
      <w:r w:rsidR="00145E4B">
        <w:t>’</w:t>
      </w:r>
      <w:r w:rsidRPr="00E07570">
        <w:t>autotest</w:t>
      </w:r>
    </w:p>
    <w:p w:rsidR="0078245B" w:rsidRPr="00E07570" w:rsidRDefault="0078245B" w:rsidP="00192B6B">
      <w:pPr>
        <w:pStyle w:val="SingleTxtG"/>
        <w:ind w:left="2268" w:hanging="1134"/>
      </w:pPr>
      <w:r w:rsidRPr="00E07570">
        <w:rPr>
          <w:b/>
        </w:rPr>
        <w:t>26.5.3.2.1</w:t>
      </w:r>
      <w:r w:rsidRPr="00E07570">
        <w:tab/>
        <w:t>L</w:t>
      </w:r>
      <w:r w:rsidR="00145E4B">
        <w:t>’</w:t>
      </w:r>
      <w:r w:rsidRPr="00E07570">
        <w:t>essai ci-dessous doit être effectué sur un AECS dont les éléments sont disposés de façon représentative.</w:t>
      </w:r>
    </w:p>
    <w:p w:rsidR="0078245B" w:rsidRPr="00E07570" w:rsidRDefault="0078245B" w:rsidP="00192B6B">
      <w:pPr>
        <w:pStyle w:val="SingleTxtG"/>
        <w:ind w:left="2268" w:hanging="1134"/>
      </w:pPr>
      <w:r w:rsidRPr="00E07570">
        <w:rPr>
          <w:b/>
        </w:rPr>
        <w:t>26.5.3.2.2</w:t>
      </w:r>
      <w:r w:rsidRPr="00E07570">
        <w:tab/>
        <w:t>Simuler une défaillance de l</w:t>
      </w:r>
      <w:r w:rsidR="00145E4B">
        <w:t>’</w:t>
      </w:r>
      <w:r w:rsidRPr="00E07570">
        <w:t>AECS en introduisant une défaillance critique dans l</w:t>
      </w:r>
      <w:r w:rsidR="00145E4B">
        <w:t>’</w:t>
      </w:r>
      <w:r w:rsidRPr="00E07570">
        <w:t>un ou plusieurs des éléments surveillés par la fonction d</w:t>
      </w:r>
      <w:r w:rsidR="00145E4B">
        <w:t>’</w:t>
      </w:r>
      <w:r w:rsidRPr="00E07570">
        <w:t>autotest, conformément à la documentation technique fournie par le constructeur. Le ou les éléments doivent être choisis par le service technique.</w:t>
      </w:r>
    </w:p>
    <w:p w:rsidR="0078245B" w:rsidRPr="00E07570" w:rsidRDefault="0078245B" w:rsidP="00192B6B">
      <w:pPr>
        <w:pStyle w:val="SingleTxtG"/>
        <w:ind w:left="2268" w:hanging="1134"/>
      </w:pPr>
      <w:r w:rsidRPr="00E07570">
        <w:rPr>
          <w:b/>
        </w:rPr>
        <w:t>26.5.3.2.3</w:t>
      </w:r>
      <w:r w:rsidRPr="00E07570">
        <w:tab/>
        <w:t>Mettre le coupe-circuit principal de l</w:t>
      </w:r>
      <w:r w:rsidR="00145E4B">
        <w:t>’</w:t>
      </w:r>
      <w:r w:rsidRPr="00E07570">
        <w:t>AECS sous tension, le cas échéant, et vérifier que le signal d</w:t>
      </w:r>
      <w:r w:rsidR="00145E4B">
        <w:t>’</w:t>
      </w:r>
      <w:r w:rsidRPr="00E07570">
        <w:t>avertissement s</w:t>
      </w:r>
      <w:r w:rsidR="00145E4B">
        <w:t>’</w:t>
      </w:r>
      <w:r w:rsidR="00192B6B" w:rsidRPr="00E07570">
        <w:t>allume.</w:t>
      </w:r>
    </w:p>
    <w:p w:rsidR="0078245B" w:rsidRPr="00E07570" w:rsidRDefault="0078245B" w:rsidP="00192B6B">
      <w:pPr>
        <w:pStyle w:val="SingleTxtG"/>
        <w:ind w:left="2268" w:hanging="1134"/>
      </w:pPr>
      <w:r w:rsidRPr="00E07570">
        <w:rPr>
          <w:b/>
        </w:rPr>
        <w:t>26.5.3.2.4</w:t>
      </w:r>
      <w:r w:rsidRPr="00E07570">
        <w:tab/>
        <w:t>Mettre l</w:t>
      </w:r>
      <w:r w:rsidR="00145E4B">
        <w:t>’</w:t>
      </w:r>
      <w:r w:rsidRPr="00E07570">
        <w:t>AECS hors tension (par exemple, en coupant le contact ou en débranchant le coupe-circuit principal, selon le cas) et le remettre en fonctionnement normal.</w:t>
      </w:r>
    </w:p>
    <w:p w:rsidR="0078245B" w:rsidRPr="00E07570" w:rsidRDefault="0078245B" w:rsidP="00192B6B">
      <w:pPr>
        <w:pStyle w:val="SingleTxtG"/>
        <w:ind w:left="2268" w:hanging="1134"/>
      </w:pPr>
      <w:r w:rsidRPr="00E07570">
        <w:rPr>
          <w:b/>
        </w:rPr>
        <w:t>26.5.3.2.5</w:t>
      </w:r>
      <w:r w:rsidRPr="00E07570">
        <w:tab/>
        <w:t>Mettre l</w:t>
      </w:r>
      <w:r w:rsidR="00145E4B">
        <w:t>’</w:t>
      </w:r>
      <w:r w:rsidRPr="00E07570">
        <w:t>AECS sous tension et vérifier que l</w:t>
      </w:r>
      <w:r w:rsidR="00145E4B">
        <w:t>’</w:t>
      </w:r>
      <w:r w:rsidRPr="00E07570">
        <w:t>indicateur de défaillance ne s</w:t>
      </w:r>
      <w:r w:rsidR="00145E4B">
        <w:t>’</w:t>
      </w:r>
      <w:r w:rsidRPr="00E07570">
        <w:t>allume pas ou s</w:t>
      </w:r>
      <w:r w:rsidR="00145E4B">
        <w:t>’</w:t>
      </w:r>
      <w:r w:rsidRPr="00E07570">
        <w:t>éteint peu de temps après s</w:t>
      </w:r>
      <w:r w:rsidR="00145E4B">
        <w:t>’</w:t>
      </w:r>
      <w:r w:rsidR="00192B6B" w:rsidRPr="00E07570">
        <w:t>être allumé.</w:t>
      </w:r>
    </w:p>
    <w:p w:rsidR="0078245B" w:rsidRPr="00E07570" w:rsidRDefault="0078245B" w:rsidP="00192B6B">
      <w:pPr>
        <w:pStyle w:val="SingleTxtG"/>
        <w:ind w:left="2268" w:hanging="1134"/>
      </w:pPr>
      <w:r w:rsidRPr="00E07570">
        <w:rPr>
          <w:b/>
        </w:rPr>
        <w:t>26.6</w:t>
      </w:r>
      <w:r w:rsidRPr="00E07570">
        <w:tab/>
      </w:r>
      <w:r w:rsidRPr="00E07570">
        <w:tab/>
        <w:t xml:space="preserve">Efficacité audio en mode mains </w:t>
      </w:r>
      <w:r w:rsidR="00305F8B" w:rsidRPr="00E07570">
        <w:t>libres</w:t>
      </w:r>
    </w:p>
    <w:p w:rsidR="0078245B" w:rsidRPr="00E07570" w:rsidRDefault="0078245B" w:rsidP="00192B6B">
      <w:pPr>
        <w:pStyle w:val="SingleTxtG"/>
        <w:ind w:left="2268"/>
      </w:pPr>
      <w:r w:rsidRPr="00E07570">
        <w:tab/>
        <w:t>Les messages vocaux émis par l</w:t>
      </w:r>
      <w:r w:rsidR="00145E4B">
        <w:t>’</w:t>
      </w:r>
      <w:r w:rsidRPr="00E07570">
        <w:t>AECS doivent être suffisamment intellig</w:t>
      </w:r>
      <w:r w:rsidR="00331B0C" w:rsidRPr="00E07570">
        <w:t>ibl</w:t>
      </w:r>
      <w:r w:rsidRPr="00E07570">
        <w:t xml:space="preserve">es </w:t>
      </w:r>
      <w:r w:rsidR="00192B6B" w:rsidRPr="00E07570">
        <w:t>pour le conducteur du véhicule.</w:t>
      </w:r>
    </w:p>
    <w:p w:rsidR="0078245B" w:rsidRPr="00E07570" w:rsidRDefault="0078245B" w:rsidP="00DF48F0">
      <w:pPr>
        <w:pStyle w:val="SingleTxtG"/>
        <w:ind w:left="2268" w:hanging="1134"/>
      </w:pPr>
      <w:r w:rsidRPr="00E07570">
        <w:rPr>
          <w:b/>
        </w:rPr>
        <w:t>26.6.1</w:t>
      </w:r>
      <w:r w:rsidRPr="00E07570">
        <w:tab/>
      </w:r>
      <w:r w:rsidRPr="00E07570">
        <w:tab/>
        <w:t>Sous réserve du paragraphe 1.5, l</w:t>
      </w:r>
      <w:r w:rsidR="00145E4B">
        <w:t>’</w:t>
      </w:r>
      <w:r w:rsidRPr="00E07570">
        <w:t>intelli</w:t>
      </w:r>
      <w:r w:rsidR="00331B0C" w:rsidRPr="00E07570">
        <w:t>gibil</w:t>
      </w:r>
      <w:r w:rsidRPr="00E07570">
        <w:t>ité des messages vocaux avant accident doit être conforme à la norme UIT-T P.1140 (06/2015) dans un véhicule, avant tout essai conforme aux Règlements n</w:t>
      </w:r>
      <w:r w:rsidRPr="00E07570">
        <w:rPr>
          <w:vertAlign w:val="superscript"/>
        </w:rPr>
        <w:t>os</w:t>
      </w:r>
      <w:r w:rsidR="00DF48F0" w:rsidRPr="00E07570">
        <w:t> 94 et/ou 95, selon le cas.</w:t>
      </w:r>
    </w:p>
    <w:p w:rsidR="0078245B" w:rsidRPr="00E07570" w:rsidRDefault="0078245B" w:rsidP="00DF48F0">
      <w:pPr>
        <w:pStyle w:val="SingleTxtG"/>
        <w:ind w:left="2268"/>
      </w:pPr>
      <w:r w:rsidRPr="00E07570">
        <w:t>La conformité de l</w:t>
      </w:r>
      <w:r w:rsidR="00145E4B">
        <w:t>’</w:t>
      </w:r>
      <w:r w:rsidRPr="00E07570">
        <w:t>AECS doit être vérifiée au moyen de la norme UIT</w:t>
      </w:r>
      <w:r w:rsidRPr="00E07570">
        <w:noBreakHyphen/>
        <w:t>T P.1140 (06/2015) en apportant les modifications ci-dessus aux paragraphes</w:t>
      </w:r>
      <w:r w:rsidR="00DF48F0" w:rsidRPr="00E07570">
        <w:t> </w:t>
      </w:r>
      <w:r w:rsidRPr="00E07570">
        <w:t>8.8.1 et 8.8.3 de ladite norme :</w:t>
      </w:r>
    </w:p>
    <w:p w:rsidR="0078245B" w:rsidRPr="00E07570" w:rsidRDefault="00331B0C" w:rsidP="00DF48F0">
      <w:pPr>
        <w:pStyle w:val="SingleTxtG"/>
        <w:ind w:left="2835" w:hanging="567"/>
      </w:pPr>
      <w:r w:rsidRPr="00E07570">
        <w:t>a)</w:t>
      </w:r>
      <w:r w:rsidRPr="00E07570">
        <w:tab/>
        <w:t xml:space="preserve">La </w:t>
      </w:r>
      <w:proofErr w:type="spellStart"/>
      <w:r w:rsidRPr="00E07570">
        <w:t>TCL</w:t>
      </w:r>
      <w:r w:rsidR="0078245B" w:rsidRPr="00E07570">
        <w:t>w</w:t>
      </w:r>
      <w:proofErr w:type="spellEnd"/>
      <w:r w:rsidR="0078245B" w:rsidRPr="00E07570">
        <w:rPr>
          <w:rStyle w:val="FootnoteReference"/>
        </w:rPr>
        <w:footnoteReference w:id="6"/>
      </w:r>
      <w:r w:rsidR="0078245B" w:rsidRPr="00E07570">
        <w:t xml:space="preserve"> devrait être au moins égale à 46 dB pour toutes les configurations de l</w:t>
      </w:r>
      <w:r w:rsidR="00145E4B">
        <w:t>’</w:t>
      </w:r>
      <w:r w:rsidR="0078245B" w:rsidRPr="00E07570">
        <w:t>AGC</w:t>
      </w:r>
      <w:r w:rsidR="0078245B" w:rsidRPr="00E07570">
        <w:rPr>
          <w:rStyle w:val="FootnoteReference"/>
        </w:rPr>
        <w:footnoteReference w:id="7"/>
      </w:r>
      <w:r w:rsidR="0078245B" w:rsidRPr="00E07570">
        <w:t>, ce qui devrait être vérifié par le constructeur du système IVS</w:t>
      </w:r>
      <w:r w:rsidR="0078245B" w:rsidRPr="00E07570">
        <w:rPr>
          <w:rStyle w:val="FootnoteReference"/>
        </w:rPr>
        <w:footnoteReference w:id="8"/>
      </w:r>
      <w:r w:rsidR="0078245B" w:rsidRPr="00E07570">
        <w:t>. Pendant les essais, le volume maximum ne peut être déterminé avec précision en raison de la commande automatique de gain. Les essais sont donc effectués alors que le système nominal est réglé en mode silence, comme indiqué au paragraphe</w:t>
      </w:r>
      <w:r w:rsidR="00DF48F0" w:rsidRPr="00E07570">
        <w:t> </w:t>
      </w:r>
      <w:r w:rsidR="0078245B" w:rsidRPr="00E07570">
        <w:t>8.8.1 de la norme de l</w:t>
      </w:r>
      <w:r w:rsidR="00145E4B">
        <w:t>’</w:t>
      </w:r>
      <w:r w:rsidR="0078245B" w:rsidRPr="00E07570">
        <w:t>UIT indiquée ci-dessus ;</w:t>
      </w:r>
    </w:p>
    <w:p w:rsidR="0078245B" w:rsidRPr="00E07570" w:rsidRDefault="0078245B" w:rsidP="00DF48F0">
      <w:pPr>
        <w:pStyle w:val="SingleTxtG"/>
        <w:ind w:left="2835" w:hanging="567"/>
      </w:pPr>
      <w:r w:rsidRPr="00E07570">
        <w:t>b)</w:t>
      </w:r>
      <w:r w:rsidRPr="00E07570">
        <w:tab/>
        <w:t>Efficacité de l</w:t>
      </w:r>
      <w:r w:rsidR="00145E4B">
        <w:t>’</w:t>
      </w:r>
      <w:r w:rsidRPr="00E07570">
        <w:t>écho avec indication du trajet de l</w:t>
      </w:r>
      <w:r w:rsidR="00145E4B">
        <w:t>’</w:t>
      </w:r>
      <w:r w:rsidRPr="00E07570">
        <w:t>écho et des paroles en fonction du temps : il faut noter que sur certains véhicules, l</w:t>
      </w:r>
      <w:r w:rsidR="00145E4B">
        <w:t>’</w:t>
      </w:r>
      <w:r w:rsidRPr="00E07570">
        <w:t>ouverture et la fermeture des portières peuvent émettre des signaux d</w:t>
      </w:r>
      <w:r w:rsidR="00145E4B">
        <w:t>’</w:t>
      </w:r>
      <w:r w:rsidRPr="00E07570">
        <w:t>avertissement acoustiques indésirables lors de la mesure, qui peuvent modifier les résultats des essais. Pour éviter cet inconvénient, une personne prend place sur le siège du passager avant, et il lui est demandé de déplacer lentement son bras gauche pour les véhicules à conduite à gauche (et inversement), de haut en bas, pendant les mesures (conformément au paragraphe 8.8.3 de la norme en question).</w:t>
      </w:r>
    </w:p>
    <w:p w:rsidR="0078245B" w:rsidRPr="00E07570" w:rsidRDefault="0078245B" w:rsidP="00DF48F0">
      <w:pPr>
        <w:pStyle w:val="SingleTxtG"/>
        <w:ind w:left="2268" w:hanging="1134"/>
      </w:pPr>
      <w:r w:rsidRPr="00E07570">
        <w:rPr>
          <w:b/>
        </w:rPr>
        <w:t>26.6.2</w:t>
      </w:r>
      <w:r w:rsidRPr="00E07570">
        <w:tab/>
        <w:t>L</w:t>
      </w:r>
      <w:r w:rsidR="00145E4B">
        <w:t>’</w:t>
      </w:r>
      <w:r w:rsidRPr="00E07570">
        <w:t>intelli</w:t>
      </w:r>
      <w:r w:rsidR="00331B0C" w:rsidRPr="00E07570">
        <w:t>gibil</w:t>
      </w:r>
      <w:r w:rsidRPr="00E07570">
        <w:t>ité des signaux vocaux après accident peut être évaluée au moyen d</w:t>
      </w:r>
      <w:r w:rsidR="00145E4B">
        <w:t>’</w:t>
      </w:r>
      <w:r w:rsidRPr="00E07570">
        <w:t>essais subjectifs conformément au paragraphe </w:t>
      </w:r>
      <w:r w:rsidRPr="00E07570">
        <w:rPr>
          <w:b/>
        </w:rPr>
        <w:t>26.6.3</w:t>
      </w:r>
      <w:r w:rsidRPr="00E07570">
        <w:t>, une fois effectués les essais prescrits par les Règlements n</w:t>
      </w:r>
      <w:r w:rsidRPr="00E07570">
        <w:rPr>
          <w:vertAlign w:val="superscript"/>
        </w:rPr>
        <w:t>os</w:t>
      </w:r>
      <w:r w:rsidRPr="00E07570">
        <w:t> 94 et/ou 95, selon l</w:t>
      </w:r>
      <w:r w:rsidR="00DF48F0" w:rsidRPr="00E07570">
        <w:t>e cas.</w:t>
      </w:r>
    </w:p>
    <w:p w:rsidR="0078245B" w:rsidRPr="00E07570" w:rsidRDefault="0078245B" w:rsidP="00DF48F0">
      <w:pPr>
        <w:pStyle w:val="SingleTxtG"/>
        <w:ind w:left="2268" w:hanging="1134"/>
      </w:pPr>
      <w:r w:rsidRPr="00E07570">
        <w:rPr>
          <w:b/>
        </w:rPr>
        <w:t>26.6.3</w:t>
      </w:r>
      <w:r w:rsidRPr="00E07570">
        <w:tab/>
        <w:t>Langues utilisées pendant les essais</w:t>
      </w:r>
    </w:p>
    <w:p w:rsidR="0078245B" w:rsidRPr="00E07570" w:rsidRDefault="0078245B" w:rsidP="00DF48F0">
      <w:pPr>
        <w:pStyle w:val="SingleTxtG"/>
        <w:ind w:left="2268" w:hanging="1134"/>
      </w:pPr>
      <w:r w:rsidRPr="00E07570">
        <w:rPr>
          <w:b/>
        </w:rPr>
        <w:t>26.6.3.1</w:t>
      </w:r>
      <w:r w:rsidRPr="00E07570">
        <w:tab/>
        <w:t>La langue utilisée lors des essais d</w:t>
      </w:r>
      <w:r w:rsidR="00145E4B">
        <w:t>’</w:t>
      </w:r>
      <w:r w:rsidRPr="00E07570">
        <w:t>intellig</w:t>
      </w:r>
      <w:r w:rsidR="002C21EE" w:rsidRPr="00E07570">
        <w:t>ibi</w:t>
      </w:r>
      <w:r w:rsidRPr="00E07570">
        <w:t xml:space="preserve">lité des messages audio en mode mains </w:t>
      </w:r>
      <w:r w:rsidR="00305F8B" w:rsidRPr="00E07570">
        <w:t>libres</w:t>
      </w:r>
      <w:r w:rsidRPr="00E07570">
        <w:t xml:space="preserve"> après accident doit être une des langues parlées dans les Parties contractantes, qui sont énumérées à l</w:t>
      </w:r>
      <w:r w:rsidR="00145E4B">
        <w:t>’</w:t>
      </w:r>
      <w:r w:rsidRPr="00E07570">
        <w:t>appendice de l</w:t>
      </w:r>
      <w:r w:rsidR="00145E4B">
        <w:t>’</w:t>
      </w:r>
      <w:r w:rsidRPr="00E07570">
        <w:t>annexe </w:t>
      </w:r>
      <w:r w:rsidRPr="00E07570">
        <w:rPr>
          <w:b/>
        </w:rPr>
        <w:t>11</w:t>
      </w:r>
      <w:r w:rsidRPr="00E07570">
        <w:t xml:space="preserve"> du présent Règlement, les phrases étant prononcées de façon correcte et claire. La langue utilisée pendant l</w:t>
      </w:r>
      <w:r w:rsidR="00145E4B">
        <w:t>’</w:t>
      </w:r>
      <w:r w:rsidRPr="00E07570">
        <w:t>essai doit être consignée dans le procès-verbal d</w:t>
      </w:r>
      <w:r w:rsidR="00145E4B">
        <w:t>’</w:t>
      </w:r>
      <w:r w:rsidR="00DF48F0" w:rsidRPr="00E07570">
        <w:t>essai.</w:t>
      </w:r>
    </w:p>
    <w:p w:rsidR="0078245B" w:rsidRPr="00E07570" w:rsidRDefault="0078245B" w:rsidP="00DF48F0">
      <w:pPr>
        <w:pStyle w:val="SingleTxtG"/>
        <w:ind w:left="2268" w:hanging="1134"/>
      </w:pPr>
      <w:r w:rsidRPr="00E07570">
        <w:rPr>
          <w:b/>
        </w:rPr>
        <w:t>26.6.3.2</w:t>
      </w:r>
      <w:r w:rsidRPr="00E07570">
        <w:tab/>
        <w:t>Le constructeur du véhicule doit apporter la preuve, documents à l</w:t>
      </w:r>
      <w:r w:rsidR="00145E4B">
        <w:t>’</w:t>
      </w:r>
      <w:r w:rsidRPr="00E07570">
        <w:t>appui, qu</w:t>
      </w:r>
      <w:r w:rsidR="00145E4B">
        <w:t>’</w:t>
      </w:r>
      <w:r w:rsidRPr="00E07570">
        <w:t>il satisfait à toutes les autres langues énumérées à l</w:t>
      </w:r>
      <w:r w:rsidR="00145E4B">
        <w:t>’</w:t>
      </w:r>
      <w:r w:rsidRPr="00E07570">
        <w:t>appendice de l</w:t>
      </w:r>
      <w:r w:rsidR="00145E4B">
        <w:t>’</w:t>
      </w:r>
      <w:r w:rsidRPr="00E07570">
        <w:t>annexe </w:t>
      </w:r>
      <w:r w:rsidRPr="00E07570">
        <w:rPr>
          <w:b/>
        </w:rPr>
        <w:t>11</w:t>
      </w:r>
      <w:r w:rsidRPr="00E07570">
        <w:t xml:space="preserve"> du présent Règlement. Les documents en question doivent être joints au procès-verbal d</w:t>
      </w:r>
      <w:r w:rsidR="00145E4B">
        <w:t>’</w:t>
      </w:r>
      <w:r w:rsidR="00DF48F0" w:rsidRPr="00E07570">
        <w:t>essai.</w:t>
      </w:r>
    </w:p>
    <w:p w:rsidR="0078245B" w:rsidRPr="00E07570" w:rsidRDefault="0078245B" w:rsidP="00DF48F0">
      <w:pPr>
        <w:pStyle w:val="SingleTxtG"/>
        <w:ind w:left="2268" w:hanging="1134"/>
      </w:pPr>
      <w:r w:rsidRPr="00E07570">
        <w:rPr>
          <w:b/>
        </w:rPr>
        <w:t>26.6.3.3</w:t>
      </w:r>
      <w:r w:rsidRPr="00E07570">
        <w:tab/>
        <w:t>Si le type de véhicule considéré est équipé de plusieurs variantes régionales de l</w:t>
      </w:r>
      <w:r w:rsidR="00145E4B">
        <w:t>’</w:t>
      </w:r>
      <w:r w:rsidRPr="00E07570">
        <w:t>AECS, le constructeur doit apporter la preuve, au moyen de documents, que toutes ces variantes satisfont aux prescriptions du présent Règlement.</w:t>
      </w:r>
    </w:p>
    <w:p w:rsidR="0078245B" w:rsidRPr="00E07570" w:rsidRDefault="0078245B" w:rsidP="00DF48F0">
      <w:pPr>
        <w:pStyle w:val="SingleTxtG"/>
        <w:ind w:left="2268" w:hanging="1134"/>
      </w:pPr>
      <w:r w:rsidRPr="00E07570">
        <w:rPr>
          <w:b/>
        </w:rPr>
        <w:t>26.7</w:t>
      </w:r>
      <w:r w:rsidRPr="00E07570">
        <w:tab/>
        <w:t>Vérification de l</w:t>
      </w:r>
      <w:r w:rsidR="00145E4B">
        <w:t>’</w:t>
      </w:r>
      <w:r w:rsidRPr="00E07570">
        <w:t>alimentation électrique de l</w:t>
      </w:r>
      <w:r w:rsidR="00145E4B">
        <w:t>’</w:t>
      </w:r>
      <w:r w:rsidRPr="00E07570">
        <w:t>AECS</w:t>
      </w:r>
    </w:p>
    <w:p w:rsidR="0078245B" w:rsidRPr="00E07570" w:rsidRDefault="0078245B" w:rsidP="00DF48F0">
      <w:pPr>
        <w:pStyle w:val="SingleTxtG"/>
        <w:ind w:left="2268"/>
      </w:pPr>
      <w:r w:rsidRPr="00E07570">
        <w:tab/>
        <w:t>Si la vérification de l</w:t>
      </w:r>
      <w:r w:rsidR="00145E4B">
        <w:t>’</w:t>
      </w:r>
      <w:r w:rsidRPr="00E07570">
        <w:t>alimentation électrique ne fait pas partie de la procédure d</w:t>
      </w:r>
      <w:r w:rsidR="00145E4B">
        <w:t>’</w:t>
      </w:r>
      <w:r w:rsidRPr="00E07570">
        <w:t>homologation de l</w:t>
      </w:r>
      <w:r w:rsidR="00145E4B">
        <w:t>’</w:t>
      </w:r>
      <w:r w:rsidRPr="00E07570">
        <w:t>AECD en vertu de la partie</w:t>
      </w:r>
      <w:r w:rsidR="00BB7489" w:rsidRPr="00E07570">
        <w:t> </w:t>
      </w:r>
      <w:proofErr w:type="spellStart"/>
      <w:r w:rsidR="00A22689" w:rsidRPr="00E07570">
        <w:rPr>
          <w:b/>
        </w:rPr>
        <w:t>Ib</w:t>
      </w:r>
      <w:proofErr w:type="spellEnd"/>
      <w:r w:rsidRPr="00E07570">
        <w:t xml:space="preserve"> du présent Règlement, les paragraphes ci-dessous s</w:t>
      </w:r>
      <w:r w:rsidR="00145E4B">
        <w:t>’</w:t>
      </w:r>
      <w:r w:rsidR="00BB7489" w:rsidRPr="00E07570">
        <w:t>appliquent.</w:t>
      </w:r>
    </w:p>
    <w:p w:rsidR="0078245B" w:rsidRPr="00E07570" w:rsidRDefault="0078245B" w:rsidP="00DF48F0">
      <w:pPr>
        <w:pStyle w:val="SingleTxtG"/>
        <w:ind w:left="2268" w:hanging="1134"/>
      </w:pPr>
      <w:r w:rsidRPr="00E07570">
        <w:rPr>
          <w:b/>
        </w:rPr>
        <w:t>26.7.1</w:t>
      </w:r>
      <w:r w:rsidRPr="00E07570">
        <w:tab/>
        <w:t>L</w:t>
      </w:r>
      <w:r w:rsidR="00145E4B">
        <w:t>’</w:t>
      </w:r>
      <w:r w:rsidRPr="00E07570">
        <w:t>AECS est équipé d</w:t>
      </w:r>
      <w:r w:rsidR="00145E4B">
        <w:t>’</w:t>
      </w:r>
      <w:r w:rsidRPr="00E07570">
        <w:t>une alimentation électrique de secours.</w:t>
      </w:r>
    </w:p>
    <w:p w:rsidR="0078245B" w:rsidRPr="00E07570" w:rsidRDefault="0078245B" w:rsidP="00DF48F0">
      <w:pPr>
        <w:pStyle w:val="SingleTxtG"/>
        <w:ind w:left="2268" w:hanging="1134"/>
      </w:pPr>
      <w:r w:rsidRPr="00E07570">
        <w:rPr>
          <w:b/>
        </w:rPr>
        <w:t>26.7.1.1</w:t>
      </w:r>
      <w:r w:rsidRPr="00E07570">
        <w:tab/>
        <w:t>Avant l</w:t>
      </w:r>
      <w:r w:rsidR="00145E4B">
        <w:t>’</w:t>
      </w:r>
      <w:r w:rsidRPr="00E07570">
        <w:t>essai de choc, conformément aux Règlements n</w:t>
      </w:r>
      <w:r w:rsidRPr="00E07570">
        <w:rPr>
          <w:vertAlign w:val="superscript"/>
        </w:rPr>
        <w:t>os</w:t>
      </w:r>
      <w:r w:rsidRPr="00E07570">
        <w:t> 94 et/ou 95, selon le cas, l</w:t>
      </w:r>
      <w:r w:rsidR="00145E4B">
        <w:t>’</w:t>
      </w:r>
      <w:r w:rsidRPr="00E07570">
        <w:t>AECS doit être fonctionnel dans un premier temps pendant au moins 5 minutes en mode de communication vocale puis pendant 60 minutes en mode rappel (mode inactif enregistré dans un réseau) et enfin pendant au moins 5 minutes en mode communication vocale. Tout ceci doit pouvoir être démontré par des essais en conditions réelles ou encore par d</w:t>
      </w:r>
      <w:r w:rsidR="00BB7489" w:rsidRPr="00E07570">
        <w:t>es calculs ou de la simulation.</w:t>
      </w:r>
    </w:p>
    <w:p w:rsidR="0078245B" w:rsidRPr="00E07570" w:rsidRDefault="0078245B" w:rsidP="00DF48F0">
      <w:pPr>
        <w:pStyle w:val="SingleTxtG"/>
        <w:ind w:left="2268"/>
      </w:pPr>
      <w:r w:rsidRPr="00E07570">
        <w:tab/>
        <w:t>Ce fonctionnement doit être démontré par le constructeur dans toutes les conditions d</w:t>
      </w:r>
      <w:r w:rsidR="00145E4B">
        <w:t>’</w:t>
      </w:r>
      <w:r w:rsidRPr="00E07570">
        <w:t>alimentation électrique postérieures à l</w:t>
      </w:r>
      <w:r w:rsidR="00145E4B">
        <w:t>’</w:t>
      </w:r>
      <w:r w:rsidRPr="00E07570">
        <w:t>accident lors des essais de choc (Règlements n</w:t>
      </w:r>
      <w:r w:rsidRPr="00E07570">
        <w:rPr>
          <w:vertAlign w:val="superscript"/>
        </w:rPr>
        <w:t>os</w:t>
      </w:r>
      <w:r w:rsidRPr="00E07570">
        <w:t> 94 et/ou 95, selon le cas), en tenant compte de la stratégie de la gestion électrique du véhicule.</w:t>
      </w:r>
    </w:p>
    <w:p w:rsidR="0078245B" w:rsidRPr="00E07570" w:rsidRDefault="0078245B" w:rsidP="00DF48F0">
      <w:pPr>
        <w:pStyle w:val="SingleTxtG"/>
        <w:ind w:left="2268" w:hanging="1134"/>
      </w:pPr>
      <w:r w:rsidRPr="00E07570">
        <w:rPr>
          <w:b/>
        </w:rPr>
        <w:t>26.7.1.2</w:t>
      </w:r>
      <w:r w:rsidRPr="00E07570">
        <w:tab/>
        <w:t>Après l</w:t>
      </w:r>
      <w:r w:rsidR="00145E4B">
        <w:t>’</w:t>
      </w:r>
      <w:r w:rsidRPr="00E07570">
        <w:t>essai de choc effectué conformément aux Règlements n</w:t>
      </w:r>
      <w:r w:rsidRPr="00E07570">
        <w:rPr>
          <w:vertAlign w:val="superscript"/>
        </w:rPr>
        <w:t>os</w:t>
      </w:r>
      <w:r w:rsidRPr="00E07570">
        <w:t> 94 et/ou 95, selon le cas, l</w:t>
      </w:r>
      <w:r w:rsidR="00145E4B">
        <w:t>’</w:t>
      </w:r>
      <w:r w:rsidRPr="00E07570">
        <w:t>alimentation électrique de secours doit être capable d</w:t>
      </w:r>
      <w:r w:rsidR="00145E4B">
        <w:t>’</w:t>
      </w:r>
      <w:r w:rsidRPr="00E07570">
        <w:t>alimenter en électricité l</w:t>
      </w:r>
      <w:r w:rsidR="00145E4B">
        <w:t>’</w:t>
      </w:r>
      <w:r w:rsidRPr="00E07570">
        <w:t>AECS. Cela peut être vérifié au moyen d</w:t>
      </w:r>
      <w:r w:rsidR="00145E4B">
        <w:t>’</w:t>
      </w:r>
      <w:r w:rsidRPr="00E07570">
        <w:t>une des méthodes décrites à l</w:t>
      </w:r>
      <w:r w:rsidR="00145E4B">
        <w:t>’</w:t>
      </w:r>
      <w:r w:rsidRPr="00E07570">
        <w:t>annexe </w:t>
      </w:r>
      <w:r w:rsidRPr="00E07570">
        <w:rPr>
          <w:b/>
        </w:rPr>
        <w:t>11</w:t>
      </w:r>
      <w:r w:rsidRPr="00E07570">
        <w:t xml:space="preserve"> </w:t>
      </w:r>
      <w:r w:rsidR="00DF48F0" w:rsidRPr="00E07570">
        <w:t>du présent Règlement.</w:t>
      </w:r>
    </w:p>
    <w:p w:rsidR="0078245B" w:rsidRPr="00E07570" w:rsidRDefault="0078245B" w:rsidP="00DF48F0">
      <w:pPr>
        <w:pStyle w:val="SingleTxtG"/>
        <w:ind w:left="2268" w:hanging="1134"/>
      </w:pPr>
      <w:r w:rsidRPr="00E07570">
        <w:rPr>
          <w:b/>
        </w:rPr>
        <w:t>26.7.2</w:t>
      </w:r>
      <w:r w:rsidRPr="00E07570">
        <w:tab/>
        <w:t>L</w:t>
      </w:r>
      <w:r w:rsidR="00145E4B">
        <w:t>’</w:t>
      </w:r>
      <w:r w:rsidRPr="00E07570">
        <w:t>AECS n</w:t>
      </w:r>
      <w:r w:rsidR="00145E4B">
        <w:t>’</w:t>
      </w:r>
      <w:r w:rsidRPr="00E07570">
        <w:t>est pas équipé d</w:t>
      </w:r>
      <w:r w:rsidR="00145E4B">
        <w:t>’</w:t>
      </w:r>
      <w:r w:rsidRPr="00E07570">
        <w:t xml:space="preserve">une alimentation électrique de secours. </w:t>
      </w:r>
    </w:p>
    <w:p w:rsidR="0078245B" w:rsidRPr="00E07570" w:rsidRDefault="0078245B" w:rsidP="00DF48F0">
      <w:pPr>
        <w:pStyle w:val="SingleTxtG"/>
        <w:ind w:left="2268" w:hanging="1134"/>
      </w:pPr>
      <w:r w:rsidRPr="00E07570">
        <w:rPr>
          <w:b/>
        </w:rPr>
        <w:t>26.7.2.1</w:t>
      </w:r>
      <w:r w:rsidRPr="00E07570">
        <w:tab/>
        <w:t>L</w:t>
      </w:r>
      <w:r w:rsidR="00145E4B">
        <w:t>’</w:t>
      </w:r>
      <w:r w:rsidRPr="00E07570">
        <w:t>absence d</w:t>
      </w:r>
      <w:r w:rsidR="00145E4B">
        <w:t>’</w:t>
      </w:r>
      <w:r w:rsidRPr="00E07570">
        <w:t>alimentation électrique de secours doit être clairement indiquée dans le document d</w:t>
      </w:r>
      <w:r w:rsidR="00145E4B">
        <w:t>’</w:t>
      </w:r>
      <w:r w:rsidRPr="00E07570">
        <w:t>information visé à l</w:t>
      </w:r>
      <w:r w:rsidR="00145E4B">
        <w:t>’</w:t>
      </w:r>
      <w:r w:rsidRPr="00E07570">
        <w:t>annexe</w:t>
      </w:r>
      <w:r w:rsidR="008077CB" w:rsidRPr="00E07570">
        <w:t> </w:t>
      </w:r>
      <w:r w:rsidRPr="00E07570">
        <w:rPr>
          <w:b/>
        </w:rPr>
        <w:t>7</w:t>
      </w:r>
      <w:r w:rsidRPr="00E07570">
        <w:t xml:space="preserve"> du présent Règlement. </w:t>
      </w:r>
    </w:p>
    <w:p w:rsidR="0078245B" w:rsidRPr="00E07570" w:rsidRDefault="0078245B" w:rsidP="00DF48F0">
      <w:pPr>
        <w:pStyle w:val="SingleTxtG"/>
        <w:ind w:left="2268" w:hanging="1134"/>
      </w:pPr>
      <w:r w:rsidRPr="00E07570">
        <w:rPr>
          <w:b/>
        </w:rPr>
        <w:t>26.7.2.2</w:t>
      </w:r>
      <w:r w:rsidRPr="00E07570">
        <w:tab/>
        <w:t>Avant l</w:t>
      </w:r>
      <w:r w:rsidR="00145E4B">
        <w:t>’</w:t>
      </w:r>
      <w:r w:rsidRPr="00E07570">
        <w:t>essai de choc, conformément aux Règlements n</w:t>
      </w:r>
      <w:r w:rsidRPr="00E07570">
        <w:rPr>
          <w:vertAlign w:val="superscript"/>
        </w:rPr>
        <w:t>os</w:t>
      </w:r>
      <w:r w:rsidRPr="00E07570">
        <w:t> 94 et/ou 95, selon le cas, l</w:t>
      </w:r>
      <w:r w:rsidR="00145E4B">
        <w:t>’</w:t>
      </w:r>
      <w:r w:rsidRPr="00E07570">
        <w:t>AECS doit être fonctionnel dans un premier temps pendant au moins 5 minutes en mode de communication vocale puis pendant 60 minutes en mode rappel (mode inactif enregistré dans un réseau) et enfin pendant 5 minutes en mode communication vocale. Tout ceci doit pouvoir être démontré par des essais en conditions réelles ou encore par des calculs ou de la simulation.</w:t>
      </w:r>
    </w:p>
    <w:p w:rsidR="0078245B" w:rsidRPr="00E07570" w:rsidRDefault="0078245B" w:rsidP="00DF48F0">
      <w:pPr>
        <w:pStyle w:val="SingleTxtG"/>
        <w:ind w:left="2268"/>
      </w:pPr>
      <w:r w:rsidRPr="00E07570">
        <w:t>Ce fonctionnement doit être démontré par le constructeur dans toutes les conditions d</w:t>
      </w:r>
      <w:r w:rsidR="00145E4B">
        <w:t>’</w:t>
      </w:r>
      <w:r w:rsidRPr="00E07570">
        <w:t>alimentation électrique postérieures à l</w:t>
      </w:r>
      <w:r w:rsidR="00145E4B">
        <w:t>’</w:t>
      </w:r>
      <w:r w:rsidRPr="00E07570">
        <w:t>accident lors des essais de choc (Règlements n</w:t>
      </w:r>
      <w:r w:rsidRPr="00E07570">
        <w:rPr>
          <w:vertAlign w:val="superscript"/>
        </w:rPr>
        <w:t>os</w:t>
      </w:r>
      <w:r w:rsidRPr="00E07570">
        <w:t> 94 et/ou 95, selon le cas), en tenant compte de la stratégie de gestion électrique du véhicule.</w:t>
      </w:r>
    </w:p>
    <w:p w:rsidR="0078245B" w:rsidRPr="00E07570" w:rsidRDefault="0078245B" w:rsidP="00DF48F0">
      <w:pPr>
        <w:pStyle w:val="SingleTxtG"/>
        <w:ind w:left="2268" w:hanging="1134"/>
      </w:pPr>
      <w:r w:rsidRPr="00E07570">
        <w:rPr>
          <w:b/>
        </w:rPr>
        <w:t>26.7.2.3</w:t>
      </w:r>
      <w:r w:rsidRPr="00E07570">
        <w:tab/>
        <w:t>Après l</w:t>
      </w:r>
      <w:r w:rsidR="00145E4B">
        <w:t>’</w:t>
      </w:r>
      <w:r w:rsidRPr="00E07570">
        <w:t>essai de choc effectué conformément aux Règlements n</w:t>
      </w:r>
      <w:r w:rsidRPr="00E07570">
        <w:rPr>
          <w:vertAlign w:val="superscript"/>
        </w:rPr>
        <w:t>os</w:t>
      </w:r>
      <w:r w:rsidRPr="00E07570">
        <w:t> 94 et/ou 95, selon le cas, l</w:t>
      </w:r>
      <w:r w:rsidR="00145E4B">
        <w:t>’</w:t>
      </w:r>
      <w:r w:rsidRPr="00E07570">
        <w:t>alimentation électrique de secours doit être capable d</w:t>
      </w:r>
      <w:r w:rsidR="00145E4B">
        <w:t>’</w:t>
      </w:r>
      <w:r w:rsidRPr="00E07570">
        <w:t>alimenter en électricité l</w:t>
      </w:r>
      <w:r w:rsidR="00145E4B">
        <w:t>’</w:t>
      </w:r>
      <w:r w:rsidRPr="00E07570">
        <w:t>AECS. Cela peut être vérifié au moyen d</w:t>
      </w:r>
      <w:r w:rsidR="00145E4B">
        <w:t>’</w:t>
      </w:r>
      <w:r w:rsidRPr="00E07570">
        <w:t>une des méthodes décrites à l</w:t>
      </w:r>
      <w:r w:rsidR="00145E4B">
        <w:t>’</w:t>
      </w:r>
      <w:r w:rsidRPr="00E07570">
        <w:t>annexe </w:t>
      </w:r>
      <w:r w:rsidRPr="00E07570">
        <w:rPr>
          <w:b/>
        </w:rPr>
        <w:t>11</w:t>
      </w:r>
      <w:r w:rsidRPr="00E07570">
        <w:t xml:space="preserve"> du présent Règlement.</w:t>
      </w:r>
    </w:p>
    <w:p w:rsidR="0078245B" w:rsidRPr="00E07570" w:rsidRDefault="0078245B" w:rsidP="00BB7489">
      <w:pPr>
        <w:pStyle w:val="HChG"/>
        <w:ind w:left="2268"/>
      </w:pPr>
      <w:r w:rsidRPr="00E07570">
        <w:t>27.</w:t>
      </w:r>
      <w:r w:rsidRPr="00E07570">
        <w:tab/>
        <w:t>Modification et extension de l</w:t>
      </w:r>
      <w:r w:rsidR="00145E4B">
        <w:t>’</w:t>
      </w:r>
      <w:r w:rsidRPr="00E07570">
        <w:t xml:space="preserve">homologation </w:t>
      </w:r>
      <w:r w:rsidRPr="00E07570">
        <w:br/>
        <w:t>d</w:t>
      </w:r>
      <w:r w:rsidR="00145E4B">
        <w:t>’</w:t>
      </w:r>
      <w:r w:rsidRPr="00E07570">
        <w:t>un type de véhicule équipé d</w:t>
      </w:r>
      <w:r w:rsidR="00145E4B">
        <w:t>’</w:t>
      </w:r>
      <w:r w:rsidRPr="00E07570">
        <w:t xml:space="preserve">un AECD </w:t>
      </w:r>
      <w:r w:rsidRPr="00E07570">
        <w:br/>
        <w:t>homologué en vertu de la partie </w:t>
      </w:r>
      <w:proofErr w:type="spellStart"/>
      <w:r w:rsidR="00A22689" w:rsidRPr="00E07570">
        <w:t>Ib</w:t>
      </w:r>
      <w:proofErr w:type="spellEnd"/>
      <w:r w:rsidRPr="00E07570">
        <w:t xml:space="preserve"> </w:t>
      </w:r>
      <w:r w:rsidRPr="00E07570">
        <w:br/>
        <w:t>du présent Règlement</w:t>
      </w:r>
    </w:p>
    <w:p w:rsidR="0078245B" w:rsidRPr="00E07570" w:rsidRDefault="0078245B" w:rsidP="00DF48F0">
      <w:pPr>
        <w:pStyle w:val="SingleTxtG"/>
        <w:ind w:left="2268" w:hanging="1134"/>
      </w:pPr>
      <w:r w:rsidRPr="00E07570">
        <w:rPr>
          <w:b/>
        </w:rPr>
        <w:t>27.1</w:t>
      </w:r>
      <w:r w:rsidRPr="00E07570">
        <w:tab/>
        <w:t>Toute modification d</w:t>
      </w:r>
      <w:r w:rsidR="00145E4B">
        <w:t>’</w:t>
      </w:r>
      <w:r w:rsidRPr="00E07570">
        <w:t>un type d</w:t>
      </w:r>
      <w:r w:rsidR="00145E4B">
        <w:t>’</w:t>
      </w:r>
      <w:r w:rsidRPr="00E07570">
        <w:t>AECD doit être communiquée à l</w:t>
      </w:r>
      <w:r w:rsidR="00145E4B">
        <w:t>’</w:t>
      </w:r>
      <w:r w:rsidRPr="00E07570">
        <w:t>autorité d</w:t>
      </w:r>
      <w:r w:rsidR="00145E4B">
        <w:t>’</w:t>
      </w:r>
      <w:r w:rsidRPr="00E07570">
        <w:t>homologation qui avait approuvé le type en question. L</w:t>
      </w:r>
      <w:r w:rsidR="00145E4B">
        <w:t>’</w:t>
      </w:r>
      <w:r w:rsidRPr="00E07570">
        <w:t>autorité d</w:t>
      </w:r>
      <w:r w:rsidR="00145E4B">
        <w:t>’</w:t>
      </w:r>
      <w:r w:rsidRPr="00E07570">
        <w:t>homologation peut alors :</w:t>
      </w:r>
    </w:p>
    <w:p w:rsidR="0078245B" w:rsidRPr="00E07570" w:rsidRDefault="0078245B" w:rsidP="00BB7489">
      <w:pPr>
        <w:pStyle w:val="SingleTxtG"/>
        <w:ind w:left="2835" w:hanging="567"/>
      </w:pPr>
      <w:r w:rsidRPr="00E07570">
        <w:t>a)</w:t>
      </w:r>
      <w:r w:rsidRPr="00E07570">
        <w:tab/>
        <w:t>Soit décider, de concert avec le constructeur, d</w:t>
      </w:r>
      <w:r w:rsidR="00145E4B">
        <w:t>’</w:t>
      </w:r>
      <w:r w:rsidRPr="00E07570">
        <w:t>homologuer un nouveau type d</w:t>
      </w:r>
      <w:r w:rsidR="00145E4B">
        <w:t>’</w:t>
      </w:r>
      <w:r w:rsidRPr="00E07570">
        <w:t>AECD ;</w:t>
      </w:r>
    </w:p>
    <w:p w:rsidR="0078245B" w:rsidRPr="00E07570" w:rsidRDefault="0078245B" w:rsidP="00BB7489">
      <w:pPr>
        <w:pStyle w:val="SingleTxtG"/>
        <w:ind w:left="2835" w:hanging="567"/>
      </w:pPr>
      <w:r w:rsidRPr="00E07570">
        <w:t>b)</w:t>
      </w:r>
      <w:r w:rsidRPr="00E07570">
        <w:tab/>
        <w:t>Soit appliquer la procédure énoncée au paragraphe </w:t>
      </w:r>
      <w:r w:rsidRPr="00E07570">
        <w:rPr>
          <w:b/>
        </w:rPr>
        <w:t>27.1.1</w:t>
      </w:r>
      <w:r w:rsidRPr="00E07570">
        <w:t xml:space="preserve"> (Révision) et, le cas échéant, la procédure prévue au paragraphe </w:t>
      </w:r>
      <w:r w:rsidRPr="00E07570">
        <w:rPr>
          <w:b/>
        </w:rPr>
        <w:t>27.1.2</w:t>
      </w:r>
      <w:r w:rsidRPr="00E07570">
        <w:t xml:space="preserve"> (Extension).</w:t>
      </w:r>
    </w:p>
    <w:p w:rsidR="0078245B" w:rsidRPr="00E07570" w:rsidRDefault="0078245B" w:rsidP="00BB7489">
      <w:pPr>
        <w:pStyle w:val="SingleTxtG"/>
        <w:ind w:left="2268" w:hanging="1134"/>
      </w:pPr>
      <w:r w:rsidRPr="00E07570">
        <w:rPr>
          <w:b/>
        </w:rPr>
        <w:t>27.1.1</w:t>
      </w:r>
      <w:r w:rsidRPr="00E07570">
        <w:tab/>
        <w:t>Révision</w:t>
      </w:r>
    </w:p>
    <w:p w:rsidR="0078245B" w:rsidRPr="00E07570" w:rsidRDefault="0078245B" w:rsidP="00271D3F">
      <w:pPr>
        <w:pStyle w:val="SingleTxtG"/>
        <w:ind w:left="2268"/>
      </w:pPr>
      <w:r w:rsidRPr="00E07570">
        <w:t>Lorsque les éléments contenus dans les documents d</w:t>
      </w:r>
      <w:r w:rsidR="00145E4B">
        <w:t>’</w:t>
      </w:r>
      <w:r w:rsidRPr="00E07570">
        <w:t>information visés à l</w:t>
      </w:r>
      <w:r w:rsidR="00145E4B">
        <w:t>’</w:t>
      </w:r>
      <w:r w:rsidRPr="00E07570">
        <w:t>annexe </w:t>
      </w:r>
      <w:r w:rsidRPr="00E07570">
        <w:rPr>
          <w:b/>
        </w:rPr>
        <w:t>7</w:t>
      </w:r>
      <w:r w:rsidRPr="00E07570">
        <w:t xml:space="preserve"> ont changé et que l</w:t>
      </w:r>
      <w:r w:rsidR="00145E4B">
        <w:t>’</w:t>
      </w:r>
      <w:r w:rsidRPr="00E07570">
        <w:t>autorité d</w:t>
      </w:r>
      <w:r w:rsidR="00145E4B">
        <w:t>’</w:t>
      </w:r>
      <w:r w:rsidRPr="00E07570">
        <w:t>homologation estime que les modifications apportées ne devraient pas avoir de conséquences néfastes notables, et que dans tous les cas le véhicule est toujours conforme aux prescriptions, la modification est qualifiée de « révision ».</w:t>
      </w:r>
    </w:p>
    <w:p w:rsidR="0078245B" w:rsidRPr="00E07570" w:rsidRDefault="0078245B" w:rsidP="00271D3F">
      <w:pPr>
        <w:pStyle w:val="SingleTxtG"/>
        <w:ind w:left="2268"/>
      </w:pPr>
      <w:r w:rsidRPr="00E07570">
        <w:tab/>
        <w:t>Dans ce cas, l</w:t>
      </w:r>
      <w:r w:rsidR="00145E4B">
        <w:t>’</w:t>
      </w:r>
      <w:r w:rsidRPr="00E07570">
        <w:t>autorité d</w:t>
      </w:r>
      <w:r w:rsidR="00145E4B">
        <w:t>’</w:t>
      </w:r>
      <w:r w:rsidRPr="00E07570">
        <w:t>homologation doit publier la version révisée des pages des documents d</w:t>
      </w:r>
      <w:r w:rsidR="00145E4B">
        <w:t>’</w:t>
      </w:r>
      <w:r w:rsidRPr="00E07570">
        <w:t>information visés à l</w:t>
      </w:r>
      <w:r w:rsidR="00145E4B">
        <w:t>’</w:t>
      </w:r>
      <w:r w:rsidRPr="00E07570">
        <w:t>annexe </w:t>
      </w:r>
      <w:r w:rsidRPr="00E07570">
        <w:rPr>
          <w:b/>
        </w:rPr>
        <w:t>11,</w:t>
      </w:r>
      <w:r w:rsidRPr="00E07570">
        <w:t xml:space="preserve"> en indiquant sur chacune d</w:t>
      </w:r>
      <w:r w:rsidR="00145E4B">
        <w:t>’</w:t>
      </w:r>
      <w:r w:rsidRPr="00E07570">
        <w:t>elles la nature des modifications apportées et la date à laquelle elle sera republiée. Une version consolidée et mise à jour des documents d</w:t>
      </w:r>
      <w:r w:rsidR="00145E4B">
        <w:t>’</w:t>
      </w:r>
      <w:r w:rsidRPr="00E07570">
        <w:t>information visés à l</w:t>
      </w:r>
      <w:r w:rsidR="00145E4B">
        <w:t>’</w:t>
      </w:r>
      <w:r w:rsidRPr="00E07570">
        <w:t>annexe </w:t>
      </w:r>
      <w:r w:rsidRPr="00E07570">
        <w:rPr>
          <w:b/>
        </w:rPr>
        <w:t>11</w:t>
      </w:r>
      <w:r w:rsidRPr="00E07570">
        <w:t>, accompagnée d</w:t>
      </w:r>
      <w:r w:rsidR="00145E4B">
        <w:t>’</w:t>
      </w:r>
      <w:r w:rsidRPr="00E07570">
        <w:t>une description détaillée des modifications apportées, sera considérée comme satisfaisant à la présente prescription.</w:t>
      </w:r>
    </w:p>
    <w:p w:rsidR="0078245B" w:rsidRPr="00E07570" w:rsidRDefault="0078245B" w:rsidP="00BB7489">
      <w:pPr>
        <w:pStyle w:val="SingleTxtG"/>
        <w:ind w:left="2268" w:hanging="1134"/>
      </w:pPr>
      <w:r w:rsidRPr="00E07570">
        <w:rPr>
          <w:b/>
        </w:rPr>
        <w:t>27.1.2</w:t>
      </w:r>
      <w:r w:rsidRPr="00E07570">
        <w:tab/>
        <w:t>Extension</w:t>
      </w:r>
    </w:p>
    <w:p w:rsidR="0078245B" w:rsidRPr="00E07570" w:rsidRDefault="0078245B" w:rsidP="00271D3F">
      <w:pPr>
        <w:pStyle w:val="SingleTxtG"/>
        <w:ind w:left="2268"/>
      </w:pPr>
      <w:r w:rsidRPr="00E07570">
        <w:tab/>
        <w:t>La modification est qualifiée d</w:t>
      </w:r>
      <w:r w:rsidR="00145E4B">
        <w:t>’</w:t>
      </w:r>
      <w:r w:rsidRPr="00E07570">
        <w:t>extension si, outre la modification des informations figurant dans le document d</w:t>
      </w:r>
      <w:r w:rsidR="00145E4B">
        <w:t>’</w:t>
      </w:r>
      <w:r w:rsidRPr="00E07570">
        <w:t>information :</w:t>
      </w:r>
    </w:p>
    <w:p w:rsidR="0078245B" w:rsidRPr="00E07570" w:rsidRDefault="0078245B" w:rsidP="00BB7489">
      <w:pPr>
        <w:pStyle w:val="SingleTxtG"/>
        <w:ind w:left="2835" w:hanging="567"/>
      </w:pPr>
      <w:r w:rsidRPr="00E07570">
        <w:t>a)</w:t>
      </w:r>
      <w:r w:rsidRPr="00E07570">
        <w:tab/>
        <w:t>D</w:t>
      </w:r>
      <w:r w:rsidR="00145E4B">
        <w:t>’</w:t>
      </w:r>
      <w:r w:rsidRPr="00E07570">
        <w:t>autres visites ou d</w:t>
      </w:r>
      <w:r w:rsidR="00145E4B">
        <w:t>’</w:t>
      </w:r>
      <w:r w:rsidRPr="00E07570">
        <w:t>autres essais sont requis ; ou</w:t>
      </w:r>
    </w:p>
    <w:p w:rsidR="0078245B" w:rsidRPr="00E07570" w:rsidRDefault="0078245B" w:rsidP="00BB7489">
      <w:pPr>
        <w:pStyle w:val="SingleTxtG"/>
        <w:ind w:left="2835" w:hanging="567"/>
      </w:pPr>
      <w:r w:rsidRPr="00E07570">
        <w:t>b)</w:t>
      </w:r>
      <w:r w:rsidRPr="00E07570">
        <w:tab/>
        <w:t>Les informations contenues dans le document de communication, à l</w:t>
      </w:r>
      <w:r w:rsidR="00145E4B">
        <w:t>’</w:t>
      </w:r>
      <w:r w:rsidRPr="00E07570">
        <w:t xml:space="preserve">exception de ses annexes, ont changé ; ou </w:t>
      </w:r>
    </w:p>
    <w:p w:rsidR="0078245B" w:rsidRPr="00E07570" w:rsidRDefault="0078245B" w:rsidP="00BB7489">
      <w:pPr>
        <w:pStyle w:val="SingleTxtG"/>
        <w:ind w:left="2835" w:hanging="567"/>
      </w:pPr>
      <w:r w:rsidRPr="00E07570">
        <w:t>c)</w:t>
      </w:r>
      <w:r w:rsidRPr="00E07570">
        <w:tab/>
        <w:t>L</w:t>
      </w:r>
      <w:r w:rsidR="00145E4B">
        <w:t>’</w:t>
      </w:r>
      <w:r w:rsidRPr="00E07570">
        <w:t>homologation en vertu d</w:t>
      </w:r>
      <w:r w:rsidR="00145E4B">
        <w:t>’</w:t>
      </w:r>
      <w:r w:rsidRPr="00E07570">
        <w:t>une série ultérieure d</w:t>
      </w:r>
      <w:r w:rsidR="00145E4B">
        <w:t>’</w:t>
      </w:r>
      <w:r w:rsidRPr="00E07570">
        <w:t>amendements est demandée après l</w:t>
      </w:r>
      <w:r w:rsidR="00145E4B">
        <w:t>’</w:t>
      </w:r>
      <w:r w:rsidRPr="00E07570">
        <w:t>entrée en vigueur de l</w:t>
      </w:r>
      <w:r w:rsidR="00145E4B">
        <w:t>’</w:t>
      </w:r>
      <w:r w:rsidRPr="00E07570">
        <w:t>homologation.</w:t>
      </w:r>
    </w:p>
    <w:p w:rsidR="0078245B" w:rsidRPr="00E07570" w:rsidRDefault="0078245B" w:rsidP="00BB7489">
      <w:pPr>
        <w:pStyle w:val="SingleTxtG"/>
        <w:ind w:left="2268" w:hanging="1134"/>
      </w:pPr>
      <w:r w:rsidRPr="00E07570">
        <w:rPr>
          <w:b/>
        </w:rPr>
        <w:t>27.2</w:t>
      </w:r>
      <w:r w:rsidRPr="00E07570">
        <w:tab/>
        <w:t>La confirmation, l</w:t>
      </w:r>
      <w:r w:rsidR="00145E4B">
        <w:t>’</w:t>
      </w:r>
      <w:r w:rsidRPr="00E07570">
        <w:t>extension ou le refus d</w:t>
      </w:r>
      <w:r w:rsidR="00145E4B">
        <w:t>’</w:t>
      </w:r>
      <w:r w:rsidRPr="00E07570">
        <w:t>homologation doivent être adressés aux Parties contractantes à l</w:t>
      </w:r>
      <w:r w:rsidR="00145E4B">
        <w:t>’</w:t>
      </w:r>
      <w:r w:rsidRPr="00E07570">
        <w:t>Accord qui appliquent le présent Règlement, conformément à la procédure prescrite au paragraphe </w:t>
      </w:r>
      <w:r w:rsidRPr="00E07570">
        <w:rPr>
          <w:b/>
        </w:rPr>
        <w:t>25.3</w:t>
      </w:r>
      <w:r w:rsidRPr="00E07570">
        <w:t xml:space="preserve"> ci-dessus. En outre, l</w:t>
      </w:r>
      <w:r w:rsidR="00145E4B">
        <w:t>’</w:t>
      </w:r>
      <w:r w:rsidRPr="00E07570">
        <w:t>index des documents d</w:t>
      </w:r>
      <w:r w:rsidR="00145E4B">
        <w:t>’</w:t>
      </w:r>
      <w:r w:rsidRPr="00E07570">
        <w:t>information et des procès-verbaux d</w:t>
      </w:r>
      <w:r w:rsidR="00145E4B">
        <w:t>’</w:t>
      </w:r>
      <w:r w:rsidRPr="00E07570">
        <w:t>essai, joint au document d</w:t>
      </w:r>
      <w:r w:rsidR="00145E4B">
        <w:t>’</w:t>
      </w:r>
      <w:r w:rsidRPr="00E07570">
        <w:t>information visé à l</w:t>
      </w:r>
      <w:r w:rsidR="00145E4B">
        <w:t>’</w:t>
      </w:r>
      <w:r w:rsidRPr="00E07570">
        <w:t>annexe </w:t>
      </w:r>
      <w:r w:rsidRPr="00E07570">
        <w:rPr>
          <w:b/>
        </w:rPr>
        <w:t>3</w:t>
      </w:r>
      <w:r w:rsidRPr="00E07570">
        <w:t>, doit être modifié en conséquence pour indiquer la date de la révision ou extension la plus récente.</w:t>
      </w:r>
    </w:p>
    <w:p w:rsidR="0078245B" w:rsidRPr="00E07570" w:rsidRDefault="0078245B" w:rsidP="00BB7489">
      <w:pPr>
        <w:pStyle w:val="SingleTxtG"/>
        <w:ind w:left="2268" w:hanging="1134"/>
      </w:pPr>
      <w:r w:rsidRPr="00E07570">
        <w:rPr>
          <w:b/>
        </w:rPr>
        <w:t>27.3</w:t>
      </w:r>
      <w:r w:rsidRPr="00E07570">
        <w:tab/>
        <w:t>L</w:t>
      </w:r>
      <w:r w:rsidR="00145E4B">
        <w:t>’</w:t>
      </w:r>
      <w:r w:rsidRPr="00E07570">
        <w:t>autorité d</w:t>
      </w:r>
      <w:r w:rsidR="00145E4B">
        <w:t>’</w:t>
      </w:r>
      <w:r w:rsidRPr="00E07570">
        <w:t>homologation de type qui délivre l</w:t>
      </w:r>
      <w:r w:rsidR="00145E4B">
        <w:t>’</w:t>
      </w:r>
      <w:r w:rsidRPr="00E07570">
        <w:t>extension d</w:t>
      </w:r>
      <w:r w:rsidR="00145E4B">
        <w:t>’</w:t>
      </w:r>
      <w:r w:rsidRPr="00E07570">
        <w:t>homologation doit att</w:t>
      </w:r>
      <w:r w:rsidR="00E72DCA" w:rsidRPr="00E07570">
        <w:t>ribu</w:t>
      </w:r>
      <w:r w:rsidRPr="00E07570">
        <w:t>er un numéro de série à chaque fiche de communication établie pour cette extension.</w:t>
      </w:r>
    </w:p>
    <w:p w:rsidR="0078245B" w:rsidRPr="00E07570" w:rsidRDefault="0078245B" w:rsidP="00B165D8">
      <w:pPr>
        <w:pStyle w:val="HChG"/>
        <w:ind w:left="2268"/>
      </w:pPr>
      <w:r w:rsidRPr="00E07570">
        <w:t>28.</w:t>
      </w:r>
      <w:r w:rsidRPr="00E07570">
        <w:tab/>
      </w:r>
      <w:r w:rsidRPr="00E07570">
        <w:tab/>
        <w:t>Conformité de la production</w:t>
      </w:r>
    </w:p>
    <w:p w:rsidR="0078245B" w:rsidRPr="00E07570" w:rsidRDefault="0078245B" w:rsidP="00BB7489">
      <w:pPr>
        <w:pStyle w:val="SingleTxtG"/>
        <w:ind w:left="2268" w:hanging="1134"/>
      </w:pPr>
      <w:r w:rsidRPr="00E07570">
        <w:rPr>
          <w:b/>
        </w:rPr>
        <w:t>28.1</w:t>
      </w:r>
      <w:r w:rsidRPr="00E07570">
        <w:tab/>
        <w:t>Les procédures de contrôle de la conformité de la production doivent être conformes à celles qui figurent dans l</w:t>
      </w:r>
      <w:r w:rsidR="00145E4B">
        <w:t>’</w:t>
      </w:r>
      <w:r w:rsidRPr="00E07570">
        <w:t>appendice 2 de l</w:t>
      </w:r>
      <w:r w:rsidR="00145E4B">
        <w:t>’</w:t>
      </w:r>
      <w:r w:rsidRPr="00E07570">
        <w:t>Accord (E/ECE/324-E/ECE/TRANS/505/Rev.2).</w:t>
      </w:r>
    </w:p>
    <w:p w:rsidR="0078245B" w:rsidRPr="00E07570" w:rsidRDefault="0078245B" w:rsidP="00BB7489">
      <w:pPr>
        <w:pStyle w:val="SingleTxtG"/>
        <w:ind w:left="2268" w:hanging="1134"/>
      </w:pPr>
      <w:r w:rsidRPr="00E07570">
        <w:rPr>
          <w:b/>
        </w:rPr>
        <w:t>28.2</w:t>
      </w:r>
      <w:r w:rsidRPr="00E07570">
        <w:tab/>
        <w:t>Tout véhicule homologué en application du présent Règlement doit être construit de façon à être conforme au type homologué en satisfaisant aux prescriptions spécifiées au paragraphe </w:t>
      </w:r>
      <w:r w:rsidRPr="00E07570">
        <w:rPr>
          <w:b/>
        </w:rPr>
        <w:t>26</w:t>
      </w:r>
      <w:r w:rsidRPr="00E07570">
        <w:t xml:space="preserve"> ci-dessus.</w:t>
      </w:r>
    </w:p>
    <w:p w:rsidR="0078245B" w:rsidRPr="00E07570" w:rsidRDefault="0078245B" w:rsidP="00B165D8">
      <w:pPr>
        <w:pStyle w:val="HChG"/>
        <w:ind w:left="2268"/>
      </w:pPr>
      <w:r w:rsidRPr="00E07570">
        <w:t>29.</w:t>
      </w:r>
      <w:r w:rsidRPr="00E07570">
        <w:tab/>
      </w:r>
      <w:r w:rsidRPr="00E07570">
        <w:tab/>
        <w:t>Sanctions pour non-conformité de la production</w:t>
      </w:r>
    </w:p>
    <w:p w:rsidR="0078245B" w:rsidRPr="00E07570" w:rsidRDefault="0078245B" w:rsidP="00BB7489">
      <w:pPr>
        <w:pStyle w:val="SingleTxtG"/>
        <w:ind w:left="2268" w:hanging="1134"/>
      </w:pPr>
      <w:r w:rsidRPr="00E07570">
        <w:rPr>
          <w:b/>
        </w:rPr>
        <w:t>29.1</w:t>
      </w:r>
      <w:r w:rsidRPr="00E07570">
        <w:tab/>
        <w:t>L</w:t>
      </w:r>
      <w:r w:rsidR="00145E4B">
        <w:t>’</w:t>
      </w:r>
      <w:r w:rsidRPr="00E07570">
        <w:t xml:space="preserve">homologation délivrée pour un type de véhicule en application du présent Règlement peut être retirée si les prescriptions énoncées au </w:t>
      </w:r>
      <w:r w:rsidRPr="00E07570">
        <w:rPr>
          <w:b/>
        </w:rPr>
        <w:t>28.1</w:t>
      </w:r>
      <w:r w:rsidRPr="00E07570">
        <w:t xml:space="preserve"> ci-dessus ne sont pas respectées ou si le véhicule ne réussit pas les contrôles prescrits au paragraphe </w:t>
      </w:r>
      <w:r w:rsidRPr="00E07570">
        <w:rPr>
          <w:b/>
        </w:rPr>
        <w:t>28.2</w:t>
      </w:r>
      <w:r w:rsidRPr="00E07570">
        <w:t xml:space="preserve"> ci-dessus.</w:t>
      </w:r>
    </w:p>
    <w:p w:rsidR="0078245B" w:rsidRPr="00E07570" w:rsidRDefault="0078245B" w:rsidP="00BB7489">
      <w:pPr>
        <w:pStyle w:val="SingleTxtG"/>
        <w:ind w:left="2268" w:hanging="1134"/>
      </w:pPr>
      <w:r w:rsidRPr="00E07570">
        <w:rPr>
          <w:b/>
        </w:rPr>
        <w:t>29.2</w:t>
      </w:r>
      <w:r w:rsidRPr="00E07570">
        <w:tab/>
        <w:t>Si une Partie contractante à l</w:t>
      </w:r>
      <w:r w:rsidR="00145E4B">
        <w:t>’</w:t>
      </w:r>
      <w:r w:rsidRPr="00E07570">
        <w:t>Accord appliquant le présent Règlement retire une homologation qu</w:t>
      </w:r>
      <w:r w:rsidR="00145E4B">
        <w:t>’</w:t>
      </w:r>
      <w:r w:rsidRPr="00E07570">
        <w:t>elle avait préalablement accordée, elle est tenue d</w:t>
      </w:r>
      <w:r w:rsidR="00145E4B">
        <w:t>’</w:t>
      </w:r>
      <w:r w:rsidRPr="00E07570">
        <w:t>en aviser immédiatement les autres Parties à l</w:t>
      </w:r>
      <w:r w:rsidR="00145E4B">
        <w:t>’</w:t>
      </w:r>
      <w:r w:rsidRPr="00E07570">
        <w:t>Accord appliquant le présent Règlement, au moyen d</w:t>
      </w:r>
      <w:r w:rsidR="00145E4B">
        <w:t>’</w:t>
      </w:r>
      <w:r w:rsidRPr="00E07570">
        <w:t>un exemplaire du certificat d</w:t>
      </w:r>
      <w:r w:rsidR="00145E4B">
        <w:t>’</w:t>
      </w:r>
      <w:r w:rsidRPr="00E07570">
        <w:t>homologation se terminant par la mention, en lettres majuscules, signée et datée, « HOMOLOGATION RETIRÉE ».</w:t>
      </w:r>
    </w:p>
    <w:p w:rsidR="0078245B" w:rsidRPr="00E07570" w:rsidRDefault="0078245B" w:rsidP="00B165D8">
      <w:pPr>
        <w:pStyle w:val="HChG"/>
        <w:ind w:left="2268"/>
      </w:pPr>
      <w:r w:rsidRPr="00E07570">
        <w:t>30.</w:t>
      </w:r>
      <w:r w:rsidRPr="00E07570">
        <w:tab/>
      </w:r>
      <w:r w:rsidRPr="00E07570">
        <w:tab/>
        <w:t>Arrêt définitif de la production</w:t>
      </w:r>
    </w:p>
    <w:p w:rsidR="0078245B" w:rsidRPr="00E07570" w:rsidRDefault="0078245B" w:rsidP="00271D3F">
      <w:pPr>
        <w:pStyle w:val="SingleTxtG"/>
        <w:ind w:left="2268"/>
      </w:pPr>
      <w:r w:rsidRPr="00E07570">
        <w:tab/>
        <w:t>Si le titulaire de l</w:t>
      </w:r>
      <w:r w:rsidR="00145E4B">
        <w:t>’</w:t>
      </w:r>
      <w:r w:rsidRPr="00E07570">
        <w:t>homologation arrête définitivement la fabrication d</w:t>
      </w:r>
      <w:r w:rsidR="00145E4B">
        <w:t>’</w:t>
      </w:r>
      <w:r w:rsidRPr="00E07570">
        <w:t>un type de véhicule homologué en vertu du présent Règlement, il doit en informer l</w:t>
      </w:r>
      <w:r w:rsidR="00145E4B">
        <w:t>’</w:t>
      </w:r>
      <w:r w:rsidRPr="00E07570">
        <w:t>autorité qui a délivré l</w:t>
      </w:r>
      <w:r w:rsidR="00145E4B">
        <w:t>’</w:t>
      </w:r>
      <w:r w:rsidRPr="00E07570">
        <w:t>homologation, laquelle doit à son tour en aviser les autres Parties à l</w:t>
      </w:r>
      <w:r w:rsidR="00145E4B">
        <w:t>’</w:t>
      </w:r>
      <w:r w:rsidRPr="00E07570">
        <w:t>Accord appliquant le présent Règlement, au moyen d</w:t>
      </w:r>
      <w:r w:rsidR="00145E4B">
        <w:t>’</w:t>
      </w:r>
      <w:r w:rsidRPr="00E07570">
        <w:t>un exemplaire du certificat d</w:t>
      </w:r>
      <w:r w:rsidR="00145E4B">
        <w:t>’</w:t>
      </w:r>
      <w:r w:rsidRPr="00E07570">
        <w:t>homologation se terminant par la mention, en lettres majuscules, signée et datée, « PRODUCTION ARRÊTÉE ».</w:t>
      </w:r>
    </w:p>
    <w:p w:rsidR="0078245B" w:rsidRPr="00E07570" w:rsidRDefault="0078245B" w:rsidP="00C43333">
      <w:pPr>
        <w:pStyle w:val="HChG"/>
        <w:ind w:left="2268"/>
      </w:pPr>
      <w:r w:rsidRPr="00E07570">
        <w:t>31.</w:t>
      </w:r>
      <w:r w:rsidRPr="00E07570">
        <w:tab/>
      </w:r>
      <w:r w:rsidRPr="00E07570">
        <w:tab/>
        <w:t>Noms et adresses des services techniques chargés des essais d</w:t>
      </w:r>
      <w:r w:rsidR="00145E4B">
        <w:t>’</w:t>
      </w:r>
      <w:r w:rsidRPr="00E07570">
        <w:t>homologation et des autorités d</w:t>
      </w:r>
      <w:r w:rsidR="00145E4B">
        <w:t>’</w:t>
      </w:r>
      <w:r w:rsidRPr="00E07570">
        <w:t>homologation de type</w:t>
      </w:r>
    </w:p>
    <w:p w:rsidR="0078245B" w:rsidRPr="00E07570" w:rsidRDefault="0078245B" w:rsidP="00271D3F">
      <w:pPr>
        <w:pStyle w:val="SingleTxtG"/>
        <w:ind w:left="2268"/>
      </w:pPr>
      <w:r w:rsidRPr="00E07570">
        <w:t>Les Parties contractantes à l</w:t>
      </w:r>
      <w:r w:rsidR="00145E4B">
        <w:t>’</w:t>
      </w:r>
      <w:r w:rsidRPr="00E07570">
        <w:t>Accord appliquant le présent Règlement doivent communiquer au Secrétariat d</w:t>
      </w:r>
      <w:r w:rsidR="002C21EE" w:rsidRPr="00E07570">
        <w:t xml:space="preserve">e </w:t>
      </w:r>
      <w:r w:rsidRPr="00E07570">
        <w:t>l</w:t>
      </w:r>
      <w:r w:rsidR="00145E4B">
        <w:t>’</w:t>
      </w:r>
      <w:r w:rsidRPr="00E07570">
        <w:t>Organisation des Nations Unies les noms et adresses des services techniques chargés des essais d</w:t>
      </w:r>
      <w:r w:rsidR="00145E4B">
        <w:t>’</w:t>
      </w:r>
      <w:r w:rsidRPr="00E07570">
        <w:t>homologation et des autorités d</w:t>
      </w:r>
      <w:r w:rsidR="00145E4B">
        <w:t>’</w:t>
      </w:r>
      <w:r w:rsidRPr="00E07570">
        <w:t>homologation de type auxquelles doivent être envoyées les fiches d</w:t>
      </w:r>
      <w:r w:rsidR="00145E4B">
        <w:t>’</w:t>
      </w:r>
      <w:r w:rsidRPr="00E07570">
        <w:t>homologation ou d</w:t>
      </w:r>
      <w:r w:rsidR="00145E4B">
        <w:t>’</w:t>
      </w:r>
      <w:r w:rsidRPr="00E07570">
        <w:t>extension, de refus ou de retrait d</w:t>
      </w:r>
      <w:r w:rsidR="00145E4B">
        <w:t>’</w:t>
      </w:r>
      <w:r w:rsidRPr="00E07570">
        <w:t>homologation émises dans d</w:t>
      </w:r>
      <w:r w:rsidR="00145E4B">
        <w:t>’</w:t>
      </w:r>
      <w:r w:rsidRPr="00E07570">
        <w:t>autres pays.</w:t>
      </w:r>
    </w:p>
    <w:p w:rsidR="0078245B" w:rsidRPr="00E07570" w:rsidRDefault="00B165D8" w:rsidP="00C43333">
      <w:pPr>
        <w:pStyle w:val="HChG"/>
        <w:ind w:left="2495" w:hanging="1361"/>
      </w:pPr>
      <w:r w:rsidRPr="00E07570">
        <w:br w:type="page"/>
      </w:r>
      <w:r w:rsidR="0078245B" w:rsidRPr="00E07570">
        <w:t>Partie III − Homologation des véhicules en ce qui concerne leur système automatique d</w:t>
      </w:r>
      <w:r w:rsidR="00145E4B">
        <w:t>’</w:t>
      </w:r>
      <w:r w:rsidR="0078245B" w:rsidRPr="00E07570">
        <w:t>appel d</w:t>
      </w:r>
      <w:r w:rsidR="00145E4B">
        <w:t>’</w:t>
      </w:r>
      <w:r w:rsidR="0078245B" w:rsidRPr="00E07570">
        <w:t>urgence lorsqu</w:t>
      </w:r>
      <w:r w:rsidR="00145E4B">
        <w:t>’</w:t>
      </w:r>
      <w:r w:rsidR="0078245B" w:rsidRPr="00E07570">
        <w:t>ils sont équipés d</w:t>
      </w:r>
      <w:r w:rsidR="00145E4B">
        <w:t>’</w:t>
      </w:r>
      <w:r w:rsidR="0078245B" w:rsidRPr="00E07570">
        <w:t xml:space="preserve">un AECC/AECD </w:t>
      </w:r>
      <w:r w:rsidR="00C43333" w:rsidRPr="00E07570">
        <w:br/>
      </w:r>
      <w:r w:rsidR="0078245B" w:rsidRPr="00E07570">
        <w:t>qui n</w:t>
      </w:r>
      <w:r w:rsidR="00145E4B">
        <w:t>’</w:t>
      </w:r>
      <w:r w:rsidR="0078245B" w:rsidRPr="00E07570">
        <w:t>a pas fait l</w:t>
      </w:r>
      <w:r w:rsidR="00145E4B">
        <w:t>’</w:t>
      </w:r>
      <w:r w:rsidR="0078245B" w:rsidRPr="00E07570">
        <w:t>objet d</w:t>
      </w:r>
      <w:r w:rsidR="00145E4B">
        <w:t>’</w:t>
      </w:r>
      <w:r w:rsidR="0078245B" w:rsidRPr="00E07570">
        <w:t>une homologation distincte en vertu de la partie </w:t>
      </w:r>
      <w:proofErr w:type="spellStart"/>
      <w:r w:rsidR="0078245B" w:rsidRPr="00E07570">
        <w:t>Ia</w:t>
      </w:r>
      <w:proofErr w:type="spellEnd"/>
      <w:r w:rsidR="0078245B" w:rsidRPr="00E07570">
        <w:t>/</w:t>
      </w:r>
      <w:proofErr w:type="spellStart"/>
      <w:r w:rsidR="00A22689" w:rsidRPr="00E07570">
        <w:t>Ib</w:t>
      </w:r>
      <w:proofErr w:type="spellEnd"/>
      <w:r w:rsidR="0078245B" w:rsidRPr="00E07570">
        <w:t xml:space="preserve"> </w:t>
      </w:r>
      <w:r w:rsidR="00C43333" w:rsidRPr="00E07570">
        <w:br/>
      </w:r>
      <w:r w:rsidR="0078245B" w:rsidRPr="00E07570">
        <w:t>du présent Règlement</w:t>
      </w:r>
    </w:p>
    <w:p w:rsidR="0078245B" w:rsidRPr="00E07570" w:rsidRDefault="0078245B" w:rsidP="00C43333">
      <w:pPr>
        <w:pStyle w:val="HChG"/>
        <w:ind w:left="2268"/>
      </w:pPr>
      <w:r w:rsidRPr="00E07570">
        <w:t>32.</w:t>
      </w:r>
      <w:r w:rsidRPr="00E07570">
        <w:tab/>
        <w:t>Définitions</w:t>
      </w:r>
    </w:p>
    <w:p w:rsidR="0078245B" w:rsidRPr="00E07570" w:rsidRDefault="0078245B" w:rsidP="00271D3F">
      <w:pPr>
        <w:pStyle w:val="SingleTxtG"/>
        <w:ind w:left="2268"/>
      </w:pPr>
      <w:r w:rsidRPr="00E07570">
        <w:t>Aux fins de la partie III du présent Règlement, on entend par :</w:t>
      </w:r>
    </w:p>
    <w:p w:rsidR="0078245B" w:rsidRPr="00E07570" w:rsidRDefault="0078245B" w:rsidP="00B165D8">
      <w:pPr>
        <w:pStyle w:val="SingleTxtG"/>
        <w:ind w:left="2268" w:hanging="1134"/>
      </w:pPr>
      <w:r w:rsidRPr="00E07570">
        <w:rPr>
          <w:b/>
        </w:rPr>
        <w:t>32.1</w:t>
      </w:r>
      <w:r w:rsidRPr="00E07570">
        <w:tab/>
        <w:t>« </w:t>
      </w:r>
      <w:r w:rsidRPr="00E07570">
        <w:rPr>
          <w:i/>
        </w:rPr>
        <w:t>Type de véhicule </w:t>
      </w:r>
      <w:r w:rsidRPr="00E07570">
        <w:t>», en ce qui concerne l</w:t>
      </w:r>
      <w:r w:rsidR="00145E4B">
        <w:t>’</w:t>
      </w:r>
      <w:r w:rsidRPr="00E07570">
        <w:t>AECS, des véhicules qui ne diffèrent pas entre eux sur des aspects essentiels tels que :</w:t>
      </w:r>
    </w:p>
    <w:p w:rsidR="0078245B" w:rsidRPr="00E07570" w:rsidRDefault="0078245B" w:rsidP="00BB7489">
      <w:pPr>
        <w:pStyle w:val="SingleTxtG"/>
        <w:ind w:left="2835" w:hanging="567"/>
      </w:pPr>
      <w:r w:rsidRPr="00E07570">
        <w:t>a)</w:t>
      </w:r>
      <w:r w:rsidRPr="00E07570">
        <w:tab/>
        <w:t>Leur constructeur ;</w:t>
      </w:r>
    </w:p>
    <w:p w:rsidR="0078245B" w:rsidRPr="00E07570" w:rsidRDefault="0078245B" w:rsidP="00BB7489">
      <w:pPr>
        <w:pStyle w:val="SingleTxtG"/>
        <w:ind w:left="2835" w:hanging="567"/>
      </w:pPr>
      <w:r w:rsidRPr="00E07570">
        <w:t>b)</w:t>
      </w:r>
      <w:r w:rsidRPr="00E07570">
        <w:tab/>
        <w:t>Le type de leur AECS ; ou</w:t>
      </w:r>
    </w:p>
    <w:p w:rsidR="0078245B" w:rsidRPr="00E07570" w:rsidRDefault="0078245B" w:rsidP="00BB7489">
      <w:pPr>
        <w:pStyle w:val="SingleTxtG"/>
        <w:ind w:left="2835" w:hanging="567"/>
      </w:pPr>
      <w:r w:rsidRPr="00E07570">
        <w:t>c)</w:t>
      </w:r>
      <w:r w:rsidRPr="00E07570">
        <w:tab/>
        <w:t>Des caractéristiques du véhicule qui influencent sens</w:t>
      </w:r>
      <w:r w:rsidR="00C0432E" w:rsidRPr="00E07570">
        <w:t>ib</w:t>
      </w:r>
      <w:r w:rsidRPr="00E07570">
        <w:t>lement le fonctionnement de l</w:t>
      </w:r>
      <w:r w:rsidR="00145E4B">
        <w:t>’</w:t>
      </w:r>
      <w:r w:rsidRPr="00E07570">
        <w:t>AECS.</w:t>
      </w:r>
    </w:p>
    <w:p w:rsidR="0078245B" w:rsidRPr="00E07570" w:rsidRDefault="0078245B" w:rsidP="00B165D8">
      <w:pPr>
        <w:pStyle w:val="SingleTxtG"/>
        <w:ind w:left="2268" w:hanging="1134"/>
      </w:pPr>
      <w:r w:rsidRPr="00E07570">
        <w:rPr>
          <w:b/>
        </w:rPr>
        <w:t>32.2</w:t>
      </w:r>
      <w:r w:rsidRPr="00E07570">
        <w:tab/>
        <w:t>«</w:t>
      </w:r>
      <w:r w:rsidRPr="00E07570">
        <w:rPr>
          <w:i/>
        </w:rPr>
        <w:t> AECS (système automatique d</w:t>
      </w:r>
      <w:r w:rsidR="00145E4B">
        <w:rPr>
          <w:i/>
        </w:rPr>
        <w:t>’</w:t>
      </w:r>
      <w:r w:rsidRPr="00E07570">
        <w:rPr>
          <w:i/>
        </w:rPr>
        <w:t>appel d</w:t>
      </w:r>
      <w:r w:rsidR="00145E4B">
        <w:rPr>
          <w:i/>
        </w:rPr>
        <w:t>’</w:t>
      </w:r>
      <w:r w:rsidRPr="00E07570">
        <w:rPr>
          <w:i/>
        </w:rPr>
        <w:t>urgence) </w:t>
      </w:r>
      <w:r w:rsidRPr="00E07570">
        <w:t>», un AECD non homologué en vertu de la partie </w:t>
      </w:r>
      <w:proofErr w:type="spellStart"/>
      <w:r w:rsidR="00A22689" w:rsidRPr="00E07570">
        <w:rPr>
          <w:b/>
        </w:rPr>
        <w:t>Ib</w:t>
      </w:r>
      <w:proofErr w:type="spellEnd"/>
      <w:r w:rsidRPr="00E07570">
        <w:t xml:space="preserve"> du présent Règlement, lorsqu</w:t>
      </w:r>
      <w:r w:rsidR="00145E4B">
        <w:t>’</w:t>
      </w:r>
      <w:r w:rsidRPr="00E07570">
        <w:t>il est installé sur un véhicule.</w:t>
      </w:r>
    </w:p>
    <w:p w:rsidR="0078245B" w:rsidRPr="00E07570" w:rsidRDefault="0078245B" w:rsidP="00B165D8">
      <w:pPr>
        <w:pStyle w:val="SingleTxtG"/>
        <w:ind w:left="2268" w:hanging="1134"/>
      </w:pPr>
      <w:r w:rsidRPr="00E07570">
        <w:rPr>
          <w:b/>
        </w:rPr>
        <w:t>32.3</w:t>
      </w:r>
      <w:r w:rsidRPr="00E07570">
        <w:tab/>
        <w:t>«</w:t>
      </w:r>
      <w:r w:rsidRPr="00E07570">
        <w:rPr>
          <w:i/>
        </w:rPr>
        <w:t> Affichage multitâche </w:t>
      </w:r>
      <w:r w:rsidRPr="00E07570">
        <w:t>», un affichage permettant d</w:t>
      </w:r>
      <w:r w:rsidR="00145E4B">
        <w:t>’</w:t>
      </w:r>
      <w:r w:rsidRPr="00E07570">
        <w:t>afficher simultanément plus d</w:t>
      </w:r>
      <w:r w:rsidR="00145E4B">
        <w:t>’</w:t>
      </w:r>
      <w:r w:rsidRPr="00E07570">
        <w:t>un message.</w:t>
      </w:r>
    </w:p>
    <w:p w:rsidR="0078245B" w:rsidRPr="00E07570" w:rsidRDefault="0078245B" w:rsidP="00B165D8">
      <w:pPr>
        <w:pStyle w:val="SingleTxtG"/>
        <w:ind w:left="2268" w:hanging="1134"/>
      </w:pPr>
      <w:r w:rsidRPr="00E07570">
        <w:rPr>
          <w:b/>
        </w:rPr>
        <w:t>32.4</w:t>
      </w:r>
      <w:r w:rsidRPr="00E07570">
        <w:tab/>
        <w:t>« </w:t>
      </w:r>
      <w:r w:rsidRPr="00E07570">
        <w:rPr>
          <w:i/>
        </w:rPr>
        <w:t>Masse autorisée totale </w:t>
      </w:r>
      <w:r w:rsidRPr="00E07570">
        <w:t>»,</w:t>
      </w:r>
      <w:r w:rsidRPr="00E07570">
        <w:rPr>
          <w:i/>
        </w:rPr>
        <w:t xml:space="preserve"> </w:t>
      </w:r>
      <w:r w:rsidRPr="00E07570">
        <w:t xml:space="preserve">la masse maximale techniquement </w:t>
      </w:r>
      <w:r w:rsidR="00305F8B" w:rsidRPr="00E07570">
        <w:t>admissible</w:t>
      </w:r>
      <w:r w:rsidRPr="00E07570">
        <w:t xml:space="preserve"> du véhicule définie par le constructeur.</w:t>
      </w:r>
    </w:p>
    <w:p w:rsidR="0078245B" w:rsidRPr="00E07570" w:rsidRDefault="0078245B" w:rsidP="00B165D8">
      <w:pPr>
        <w:pStyle w:val="SingleTxtG"/>
        <w:ind w:left="2268" w:hanging="1134"/>
      </w:pPr>
      <w:r w:rsidRPr="00E07570">
        <w:rPr>
          <w:b/>
        </w:rPr>
        <w:t>32.5</w:t>
      </w:r>
      <w:r w:rsidRPr="00E07570">
        <w:tab/>
        <w:t>«</w:t>
      </w:r>
      <w:r w:rsidRPr="00E07570">
        <w:rPr>
          <w:i/>
        </w:rPr>
        <w:t> Point R </w:t>
      </w:r>
      <w:r w:rsidRPr="00E07570">
        <w:t>», un point de référence défini pour chaque place assise par le constructeur par rapport à la structure du véhicule, tel qu</w:t>
      </w:r>
      <w:r w:rsidR="00145E4B">
        <w:t>’</w:t>
      </w:r>
      <w:r w:rsidRPr="00E07570">
        <w:t>il est défini à l</w:t>
      </w:r>
      <w:r w:rsidR="00145E4B">
        <w:t>’</w:t>
      </w:r>
      <w:r w:rsidRPr="00E07570">
        <w:t>annexe </w:t>
      </w:r>
      <w:r w:rsidRPr="00E07570">
        <w:rPr>
          <w:b/>
        </w:rPr>
        <w:t>8</w:t>
      </w:r>
      <w:r w:rsidRPr="00E07570">
        <w:t xml:space="preserve"> du Règlement n</w:t>
      </w:r>
      <w:r w:rsidRPr="00E07570">
        <w:rPr>
          <w:vertAlign w:val="superscript"/>
        </w:rPr>
        <w:t>o</w:t>
      </w:r>
      <w:r w:rsidRPr="00E07570">
        <w:t> 94.</w:t>
      </w:r>
    </w:p>
    <w:p w:rsidR="0078245B" w:rsidRPr="00E07570" w:rsidRDefault="0078245B" w:rsidP="00B165D8">
      <w:pPr>
        <w:pStyle w:val="SingleTxtG"/>
        <w:ind w:left="2268" w:hanging="1134"/>
      </w:pPr>
      <w:r w:rsidRPr="00E07570">
        <w:rPr>
          <w:b/>
        </w:rPr>
        <w:t>32.6</w:t>
      </w:r>
      <w:r w:rsidRPr="00E07570">
        <w:tab/>
        <w:t>«</w:t>
      </w:r>
      <w:r w:rsidRPr="00E07570">
        <w:rPr>
          <w:i/>
        </w:rPr>
        <w:t> Signal d</w:t>
      </w:r>
      <w:r w:rsidR="00145E4B">
        <w:rPr>
          <w:i/>
        </w:rPr>
        <w:t>’</w:t>
      </w:r>
      <w:r w:rsidRPr="00E07570">
        <w:rPr>
          <w:i/>
        </w:rPr>
        <w:t>information AECS </w:t>
      </w:r>
      <w:r w:rsidRPr="00E07570">
        <w:t>», un dispositif qui communique des informations sur le statut de la procédure de l</w:t>
      </w:r>
      <w:r w:rsidR="00145E4B">
        <w:t>’</w:t>
      </w:r>
      <w:r w:rsidRPr="00E07570">
        <w:t>appel d</w:t>
      </w:r>
      <w:r w:rsidR="00145E4B">
        <w:t>’</w:t>
      </w:r>
      <w:r w:rsidRPr="00E07570">
        <w:t>urgence.</w:t>
      </w:r>
    </w:p>
    <w:p w:rsidR="0078245B" w:rsidRPr="00E07570" w:rsidRDefault="0078245B" w:rsidP="00B165D8">
      <w:pPr>
        <w:pStyle w:val="SingleTxtG"/>
        <w:ind w:left="2268" w:hanging="1134"/>
      </w:pPr>
      <w:r w:rsidRPr="00E07570">
        <w:rPr>
          <w:b/>
        </w:rPr>
        <w:t>32.7</w:t>
      </w:r>
      <w:r w:rsidRPr="00E07570">
        <w:tab/>
        <w:t>«</w:t>
      </w:r>
      <w:r w:rsidRPr="00E07570">
        <w:rPr>
          <w:i/>
        </w:rPr>
        <w:t> Signal d</w:t>
      </w:r>
      <w:r w:rsidR="00145E4B">
        <w:rPr>
          <w:i/>
        </w:rPr>
        <w:t>’</w:t>
      </w:r>
      <w:r w:rsidRPr="00E07570">
        <w:rPr>
          <w:i/>
        </w:rPr>
        <w:t>avertissement AECS </w:t>
      </w:r>
      <w:r w:rsidRPr="00E07570">
        <w:t>», un témoin qui sert à indiquer les défaillances de l</w:t>
      </w:r>
      <w:r w:rsidR="00145E4B">
        <w:t>’</w:t>
      </w:r>
      <w:r w:rsidRPr="00E07570">
        <w:t>AECD.</w:t>
      </w:r>
    </w:p>
    <w:p w:rsidR="0078245B" w:rsidRPr="00E07570" w:rsidRDefault="0078245B" w:rsidP="00B165D8">
      <w:pPr>
        <w:pStyle w:val="SingleTxtG"/>
        <w:ind w:left="2268" w:hanging="1134"/>
      </w:pPr>
      <w:r w:rsidRPr="00E07570">
        <w:rPr>
          <w:b/>
        </w:rPr>
        <w:t>32.8</w:t>
      </w:r>
      <w:r w:rsidRPr="00E07570">
        <w:tab/>
        <w:t>« </w:t>
      </w:r>
      <w:r w:rsidRPr="00E07570">
        <w:rPr>
          <w:i/>
        </w:rPr>
        <w:t>Module de commande</w:t>
      </w:r>
      <w:r w:rsidRPr="00E07570">
        <w:t> », l</w:t>
      </w:r>
      <w:r w:rsidR="00145E4B">
        <w:t>’</w:t>
      </w:r>
      <w:r w:rsidRPr="00E07570">
        <w:t>élément d</w:t>
      </w:r>
      <w:r w:rsidR="00145E4B">
        <w:t>’</w:t>
      </w:r>
      <w:r w:rsidRPr="00E07570">
        <w:t>un AECS servant à garantir le fonctionnement combiné de tous ses éléments.</w:t>
      </w:r>
    </w:p>
    <w:p w:rsidR="0078245B" w:rsidRPr="00E07570" w:rsidRDefault="0078245B" w:rsidP="00B165D8">
      <w:pPr>
        <w:pStyle w:val="SingleTxtG"/>
        <w:ind w:left="2268" w:hanging="1134"/>
      </w:pPr>
      <w:r w:rsidRPr="00E07570">
        <w:rPr>
          <w:b/>
        </w:rPr>
        <w:t>32.9</w:t>
      </w:r>
      <w:r w:rsidRPr="00E07570">
        <w:tab/>
        <w:t>« </w:t>
      </w:r>
      <w:r w:rsidRPr="00E07570">
        <w:rPr>
          <w:i/>
        </w:rPr>
        <w:t>Commande AECS</w:t>
      </w:r>
      <w:r w:rsidRPr="00E07570">
        <w:t> », une partie de l</w:t>
      </w:r>
      <w:r w:rsidR="00145E4B">
        <w:t>’</w:t>
      </w:r>
      <w:r w:rsidRPr="00E07570">
        <w:t>AECS qui permet au conducteur d</w:t>
      </w:r>
      <w:r w:rsidR="00145E4B">
        <w:t>’</w:t>
      </w:r>
      <w:r w:rsidRPr="00E07570">
        <w:t>activer manuellement le signal de déclenchement.</w:t>
      </w:r>
    </w:p>
    <w:p w:rsidR="0078245B" w:rsidRPr="00E07570" w:rsidRDefault="0078245B" w:rsidP="00C43333">
      <w:pPr>
        <w:pStyle w:val="HChG"/>
        <w:ind w:left="2268"/>
      </w:pPr>
      <w:r w:rsidRPr="00E07570">
        <w:t>33.</w:t>
      </w:r>
      <w:r w:rsidRPr="00E07570">
        <w:tab/>
        <w:t>Demande d</w:t>
      </w:r>
      <w:r w:rsidR="00145E4B">
        <w:t>’</w:t>
      </w:r>
      <w:r w:rsidRPr="00E07570">
        <w:t>homologation d</w:t>
      </w:r>
      <w:r w:rsidR="00145E4B">
        <w:t>’</w:t>
      </w:r>
      <w:r w:rsidRPr="00E07570">
        <w:t>un type de véhicule équipé d</w:t>
      </w:r>
      <w:r w:rsidR="00145E4B">
        <w:t>’</w:t>
      </w:r>
      <w:r w:rsidRPr="00E07570">
        <w:t>un AECS</w:t>
      </w:r>
    </w:p>
    <w:p w:rsidR="0078245B" w:rsidRPr="00E07570" w:rsidRDefault="0078245B" w:rsidP="001001B9">
      <w:pPr>
        <w:pStyle w:val="SingleTxtG"/>
        <w:ind w:left="2268" w:hanging="1134"/>
      </w:pPr>
      <w:r w:rsidRPr="00E07570">
        <w:rPr>
          <w:b/>
        </w:rPr>
        <w:t>33.1</w:t>
      </w:r>
      <w:r w:rsidRPr="00E07570">
        <w:tab/>
        <w:t>La demande d</w:t>
      </w:r>
      <w:r w:rsidR="00145E4B">
        <w:t>’</w:t>
      </w:r>
      <w:r w:rsidRPr="00E07570">
        <w:t>homologation de type d</w:t>
      </w:r>
      <w:r w:rsidR="00145E4B">
        <w:t>’</w:t>
      </w:r>
      <w:r w:rsidRPr="00E07570">
        <w:t>un véhicule équipé d</w:t>
      </w:r>
      <w:r w:rsidR="00145E4B">
        <w:t>’</w:t>
      </w:r>
      <w:r w:rsidRPr="00E07570">
        <w:t>un AECS doit être présentée par le titulaire du nom de marque ou de la marque de fabrique ou par son représentant dûment agréé.</w:t>
      </w:r>
    </w:p>
    <w:p w:rsidR="0078245B" w:rsidRPr="00E07570" w:rsidRDefault="0078245B" w:rsidP="001001B9">
      <w:pPr>
        <w:pStyle w:val="SingleTxtG"/>
        <w:ind w:left="2268" w:hanging="1134"/>
      </w:pPr>
      <w:r w:rsidRPr="00E07570">
        <w:rPr>
          <w:b/>
        </w:rPr>
        <w:t>33.2</w:t>
      </w:r>
      <w:r w:rsidRPr="00E07570">
        <w:tab/>
        <w:t>Un modèle de document d</w:t>
      </w:r>
      <w:r w:rsidR="00145E4B">
        <w:t>’</w:t>
      </w:r>
      <w:r w:rsidRPr="00E07570">
        <w:t>information est reproduit à l</w:t>
      </w:r>
      <w:r w:rsidR="00145E4B">
        <w:t>’</w:t>
      </w:r>
      <w:r w:rsidRPr="00E07570">
        <w:t>annexe </w:t>
      </w:r>
      <w:r w:rsidRPr="00E07570">
        <w:rPr>
          <w:b/>
        </w:rPr>
        <w:t>8</w:t>
      </w:r>
      <w:r w:rsidRPr="00E07570">
        <w:t xml:space="preserve"> du présent Règlement.</w:t>
      </w:r>
    </w:p>
    <w:p w:rsidR="0078245B" w:rsidRPr="00E07570" w:rsidRDefault="0078245B" w:rsidP="001001B9">
      <w:pPr>
        <w:pStyle w:val="SingleTxtG"/>
        <w:ind w:left="2268" w:hanging="1134"/>
      </w:pPr>
      <w:r w:rsidRPr="00E07570">
        <w:rPr>
          <w:b/>
        </w:rPr>
        <w:t>33.3</w:t>
      </w:r>
      <w:r w:rsidRPr="00E07570">
        <w:tab/>
        <w:t>Pour chaque type de véhicule équipé d</w:t>
      </w:r>
      <w:r w:rsidR="00145E4B">
        <w:t>’</w:t>
      </w:r>
      <w:r w:rsidRPr="00E07570">
        <w:t>un AECS, la demande d</w:t>
      </w:r>
      <w:r w:rsidR="00145E4B">
        <w:t>’</w:t>
      </w:r>
      <w:r w:rsidRPr="00E07570">
        <w:t>homologation doit être accompagnée d</w:t>
      </w:r>
      <w:r w:rsidR="00145E4B">
        <w:t>’</w:t>
      </w:r>
      <w:r w:rsidRPr="00E07570">
        <w:t>échantillons de véhicules représentatifs du type à homologuer et, le cas échéant, d</w:t>
      </w:r>
      <w:r w:rsidR="00145E4B">
        <w:t>’</w:t>
      </w:r>
      <w:r w:rsidRPr="00E07570">
        <w:t>échantillons d</w:t>
      </w:r>
      <w:r w:rsidR="00145E4B">
        <w:t>’</w:t>
      </w:r>
      <w:r w:rsidRPr="00E07570">
        <w:t>éléments, en quantités suffisantes pour les essais prescrits par le présent Règlement. Des échantillons supplémentaires peuvent être demandés par le service technique chargé d</w:t>
      </w:r>
      <w:r w:rsidR="00145E4B">
        <w:t>’</w:t>
      </w:r>
      <w:r w:rsidRPr="00E07570">
        <w:t>effectuer les essais.</w:t>
      </w:r>
    </w:p>
    <w:p w:rsidR="0078245B" w:rsidRPr="00E07570" w:rsidRDefault="0078245B" w:rsidP="00C43333">
      <w:pPr>
        <w:pStyle w:val="HChG"/>
        <w:ind w:left="2268"/>
      </w:pPr>
      <w:r w:rsidRPr="00E07570">
        <w:t>34.</w:t>
      </w:r>
      <w:r w:rsidRPr="00E07570">
        <w:tab/>
        <w:t>Homologation</w:t>
      </w:r>
    </w:p>
    <w:p w:rsidR="0078245B" w:rsidRPr="00E07570" w:rsidRDefault="0078245B" w:rsidP="001001B9">
      <w:pPr>
        <w:pStyle w:val="SingleTxtG"/>
        <w:ind w:left="2268" w:hanging="1134"/>
      </w:pPr>
      <w:r w:rsidRPr="00E07570">
        <w:rPr>
          <w:b/>
        </w:rPr>
        <w:t>34.1</w:t>
      </w:r>
      <w:r w:rsidRPr="00E07570">
        <w:tab/>
        <w:t>Si le type de véhicule présenté à l</w:t>
      </w:r>
      <w:r w:rsidR="00145E4B">
        <w:t>’</w:t>
      </w:r>
      <w:r w:rsidRPr="00E07570">
        <w:t>homologation en vertu du paragraphe </w:t>
      </w:r>
      <w:r w:rsidRPr="00E07570">
        <w:rPr>
          <w:b/>
        </w:rPr>
        <w:t>33</w:t>
      </w:r>
      <w:r w:rsidRPr="00E07570">
        <w:t xml:space="preserve"> satisfait aux prescriptions du paragraphe </w:t>
      </w:r>
      <w:r w:rsidRPr="00E07570">
        <w:rPr>
          <w:b/>
        </w:rPr>
        <w:t>35</w:t>
      </w:r>
      <w:r w:rsidRPr="00E07570">
        <w:t xml:space="preserve"> du présent Règlement, l</w:t>
      </w:r>
      <w:r w:rsidR="00145E4B">
        <w:t>’</w:t>
      </w:r>
      <w:r w:rsidRPr="00E07570">
        <w:t>hom</w:t>
      </w:r>
      <w:r w:rsidR="001001B9" w:rsidRPr="00E07570">
        <w:t xml:space="preserve">ologation est </w:t>
      </w:r>
      <w:proofErr w:type="gramStart"/>
      <w:r w:rsidR="001001B9" w:rsidRPr="00E07570">
        <w:t>accordée</w:t>
      </w:r>
      <w:proofErr w:type="gramEnd"/>
      <w:r w:rsidR="001001B9" w:rsidRPr="00E07570">
        <w:t>.</w:t>
      </w:r>
    </w:p>
    <w:p w:rsidR="0078245B" w:rsidRPr="00E07570" w:rsidRDefault="0078245B" w:rsidP="00271D3F">
      <w:pPr>
        <w:pStyle w:val="SingleTxtG"/>
        <w:ind w:left="2268"/>
      </w:pPr>
      <w:r w:rsidRPr="00E07570">
        <w:tab/>
        <w:t>Avant d</w:t>
      </w:r>
      <w:r w:rsidR="00145E4B">
        <w:t>’</w:t>
      </w:r>
      <w:r w:rsidRPr="00E07570">
        <w:t>accorder l</w:t>
      </w:r>
      <w:r w:rsidR="00145E4B">
        <w:t>’</w:t>
      </w:r>
      <w:r w:rsidRPr="00E07570">
        <w:t>homologation à un type de véhicule, l</w:t>
      </w:r>
      <w:r w:rsidR="00145E4B">
        <w:t>’</w:t>
      </w:r>
      <w:r w:rsidRPr="00E07570">
        <w:t>autorité compétente doit s</w:t>
      </w:r>
      <w:r w:rsidR="00145E4B">
        <w:t>’</w:t>
      </w:r>
      <w:r w:rsidRPr="00E07570">
        <w:t>assurer que tous les éléments énumérés au paragraphe </w:t>
      </w:r>
      <w:r w:rsidRPr="00E07570">
        <w:rPr>
          <w:b/>
        </w:rPr>
        <w:t>17.6.1</w:t>
      </w:r>
      <w:r w:rsidRPr="00E07570">
        <w:t xml:space="preserve"> sont soumis à des essais conformément à l</w:t>
      </w:r>
      <w:r w:rsidR="00145E4B">
        <w:t>’</w:t>
      </w:r>
      <w:r w:rsidRPr="00E07570">
        <w:t>annexe </w:t>
      </w:r>
      <w:r w:rsidRPr="00E07570">
        <w:rPr>
          <w:b/>
        </w:rPr>
        <w:t>9</w:t>
      </w:r>
      <w:r w:rsidRPr="00E07570">
        <w:t>. Si l</w:t>
      </w:r>
      <w:r w:rsidR="00145E4B">
        <w:t>’</w:t>
      </w:r>
      <w:r w:rsidRPr="00E07570">
        <w:t>AECS est alimenté en électricité autrement que par l</w:t>
      </w:r>
      <w:r w:rsidR="00145E4B">
        <w:t>’</w:t>
      </w:r>
      <w:r w:rsidRPr="00E07570">
        <w:t>alimentation électrique de secours visée au paragraphe </w:t>
      </w:r>
      <w:r w:rsidRPr="00E07570">
        <w:rPr>
          <w:b/>
        </w:rPr>
        <w:t>17.6.2</w:t>
      </w:r>
      <w:r w:rsidRPr="00E07570">
        <w:t>, son alimentation électrique doit être soumise à des essais conformément à l</w:t>
      </w:r>
      <w:r w:rsidR="00145E4B">
        <w:t>’</w:t>
      </w:r>
      <w:r w:rsidRPr="00E07570">
        <w:t>annexe</w:t>
      </w:r>
      <w:r w:rsidR="00AA064D">
        <w:t> </w:t>
      </w:r>
      <w:r w:rsidRPr="00E07570">
        <w:rPr>
          <w:b/>
        </w:rPr>
        <w:t>9</w:t>
      </w:r>
      <w:r w:rsidRPr="00E07570">
        <w:t xml:space="preserve"> du présent règlement.</w:t>
      </w:r>
    </w:p>
    <w:p w:rsidR="0078245B" w:rsidRPr="00E07570" w:rsidRDefault="0078245B" w:rsidP="001001B9">
      <w:pPr>
        <w:pStyle w:val="SingleTxtG"/>
        <w:ind w:left="2268" w:hanging="1134"/>
      </w:pPr>
      <w:r w:rsidRPr="00E07570">
        <w:rPr>
          <w:b/>
        </w:rPr>
        <w:t>34.2</w:t>
      </w:r>
      <w:r w:rsidRPr="00E07570">
        <w:tab/>
        <w:t>Chaque type homologué reçoit un numéro d</w:t>
      </w:r>
      <w:r w:rsidR="00145E4B">
        <w:t>’</w:t>
      </w:r>
      <w:r w:rsidRPr="00E07570">
        <w:t>homologation, dont les deux premiers chiffres (actuellement</w:t>
      </w:r>
      <w:r w:rsidR="001001B9" w:rsidRPr="00E07570">
        <w:t> </w:t>
      </w:r>
      <w:r w:rsidRPr="00E07570">
        <w:t>00) indiquent la série d</w:t>
      </w:r>
      <w:r w:rsidR="00145E4B">
        <w:t>’</w:t>
      </w:r>
      <w:r w:rsidRPr="00E07570">
        <w:t>amendements correspondant aux modifications techniques essentielles les plus récentes apportées au Règlement à la date de délivrance de l</w:t>
      </w:r>
      <w:r w:rsidR="00145E4B">
        <w:t>’</w:t>
      </w:r>
      <w:r w:rsidRPr="00E07570">
        <w:t>homologation. La même Partie contractante ne peut att</w:t>
      </w:r>
      <w:r w:rsidR="00C0432E" w:rsidRPr="00E07570">
        <w:t>ribu</w:t>
      </w:r>
      <w:r w:rsidRPr="00E07570">
        <w:t>er ce même numéro à un autre type de véhicule.</w:t>
      </w:r>
    </w:p>
    <w:p w:rsidR="0078245B" w:rsidRPr="00E07570" w:rsidRDefault="0078245B" w:rsidP="001001B9">
      <w:pPr>
        <w:pStyle w:val="SingleTxtG"/>
        <w:ind w:left="2268" w:hanging="1134"/>
      </w:pPr>
      <w:r w:rsidRPr="00E07570">
        <w:rPr>
          <w:b/>
        </w:rPr>
        <w:t>34.3</w:t>
      </w:r>
      <w:r w:rsidRPr="00E07570">
        <w:tab/>
        <w:t>L</w:t>
      </w:r>
      <w:r w:rsidR="00145E4B">
        <w:t>’</w:t>
      </w:r>
      <w:r w:rsidRPr="00E07570">
        <w:t>homologation, le refus d</w:t>
      </w:r>
      <w:r w:rsidR="00145E4B">
        <w:t>’</w:t>
      </w:r>
      <w:r w:rsidRPr="00E07570">
        <w:t>homologation, l</w:t>
      </w:r>
      <w:r w:rsidR="00145E4B">
        <w:t>’</w:t>
      </w:r>
      <w:r w:rsidRPr="00E07570">
        <w:t>extension ou le retrait de l</w:t>
      </w:r>
      <w:r w:rsidR="00145E4B">
        <w:t>’</w:t>
      </w:r>
      <w:r w:rsidRPr="00E07570">
        <w:t>homologation ou encore l</w:t>
      </w:r>
      <w:r w:rsidR="00145E4B">
        <w:t>’</w:t>
      </w:r>
      <w:r w:rsidRPr="00E07570">
        <w:t>arrêt définitif de la production d</w:t>
      </w:r>
      <w:r w:rsidR="00145E4B">
        <w:t>’</w:t>
      </w:r>
      <w:r w:rsidRPr="00E07570">
        <w:t>un type de véhicule conformément au présent Règlement doivent être notifiés aux Parties contractantes à l</w:t>
      </w:r>
      <w:r w:rsidR="00145E4B">
        <w:t>’</w:t>
      </w:r>
      <w:r w:rsidRPr="00E07570">
        <w:t>Accord appliquant le présent Règlement au moyen d</w:t>
      </w:r>
      <w:r w:rsidR="00145E4B">
        <w:t>’</w:t>
      </w:r>
      <w:r w:rsidRPr="00E07570">
        <w:t>une fiche conforme au modèle indiqué à l</w:t>
      </w:r>
      <w:r w:rsidR="00145E4B">
        <w:t>’</w:t>
      </w:r>
      <w:r w:rsidRPr="00E07570">
        <w:t>annexe </w:t>
      </w:r>
      <w:r w:rsidRPr="00E07570">
        <w:rPr>
          <w:b/>
        </w:rPr>
        <w:t>4</w:t>
      </w:r>
      <w:r w:rsidRPr="00E07570">
        <w:t xml:space="preserve"> du présent Règlement.</w:t>
      </w:r>
    </w:p>
    <w:p w:rsidR="0078245B" w:rsidRPr="00E07570" w:rsidRDefault="0078245B" w:rsidP="001001B9">
      <w:pPr>
        <w:pStyle w:val="SingleTxtG"/>
        <w:ind w:left="2268" w:hanging="1134"/>
      </w:pPr>
      <w:r w:rsidRPr="00E07570">
        <w:rPr>
          <w:b/>
        </w:rPr>
        <w:t>34.4</w:t>
      </w:r>
      <w:r w:rsidRPr="00E07570">
        <w:tab/>
        <w:t>Sur tout véhicule conforme à un type de véhicule homologué en application du présent Règlement, il doit être apposé de manière vi</w:t>
      </w:r>
      <w:r w:rsidR="00C0432E" w:rsidRPr="00E07570">
        <w:t>sib</w:t>
      </w:r>
      <w:r w:rsidRPr="00E07570">
        <w:t>le,</w:t>
      </w:r>
      <w:r w:rsidR="00C0432E" w:rsidRPr="00E07570">
        <w:t xml:space="preserve"> en un endroit facilement accessibl</w:t>
      </w:r>
      <w:r w:rsidRPr="00E07570">
        <w:t>e et indiqué sur la fiche d</w:t>
      </w:r>
      <w:r w:rsidR="00145E4B">
        <w:t>’</w:t>
      </w:r>
      <w:r w:rsidRPr="00E07570">
        <w:t>homologation, une marque d</w:t>
      </w:r>
      <w:r w:rsidR="00145E4B">
        <w:t>’</w:t>
      </w:r>
      <w:r w:rsidRPr="00E07570">
        <w:t>homologation internationale conforme au modèle indiqué à l</w:t>
      </w:r>
      <w:r w:rsidR="00145E4B">
        <w:t>’</w:t>
      </w:r>
      <w:r w:rsidRPr="00E07570">
        <w:t>annexe </w:t>
      </w:r>
      <w:r w:rsidRPr="00E07570">
        <w:rPr>
          <w:b/>
        </w:rPr>
        <w:t>4</w:t>
      </w:r>
      <w:r w:rsidRPr="00E07570">
        <w:t>, composée :</w:t>
      </w:r>
    </w:p>
    <w:p w:rsidR="0078245B" w:rsidRPr="00E07570" w:rsidRDefault="0078245B" w:rsidP="001001B9">
      <w:pPr>
        <w:pStyle w:val="SingleTxtG"/>
        <w:ind w:left="2268" w:hanging="1134"/>
      </w:pPr>
      <w:r w:rsidRPr="00E07570">
        <w:rPr>
          <w:b/>
        </w:rPr>
        <w:t>34.4.1</w:t>
      </w:r>
      <w:r w:rsidRPr="00E07570">
        <w:tab/>
        <w:t>D</w:t>
      </w:r>
      <w:r w:rsidR="00145E4B">
        <w:t>’</w:t>
      </w:r>
      <w:r w:rsidRPr="00E07570">
        <w:t>un cercle à l</w:t>
      </w:r>
      <w:r w:rsidR="00145E4B">
        <w:t>’</w:t>
      </w:r>
      <w:r w:rsidRPr="00E07570">
        <w:t>intérieur duquel est placée la lettre « E » suivie du numéro distinctif du pays qui a délivré l</w:t>
      </w:r>
      <w:r w:rsidR="00145E4B">
        <w:t>’</w:t>
      </w:r>
      <w:r w:rsidRPr="00E07570">
        <w:t>homologation ;</w:t>
      </w:r>
    </w:p>
    <w:p w:rsidR="0078245B" w:rsidRPr="00E07570" w:rsidRDefault="0078245B" w:rsidP="001001B9">
      <w:pPr>
        <w:pStyle w:val="SingleTxtG"/>
        <w:ind w:left="2268" w:hanging="1134"/>
      </w:pPr>
      <w:r w:rsidRPr="00E07570">
        <w:rPr>
          <w:b/>
        </w:rPr>
        <w:t>34.4.2</w:t>
      </w:r>
      <w:r w:rsidRPr="00E07570">
        <w:tab/>
        <w:t>Du numéro du présent Règlement suivi de la lettre « R », d</w:t>
      </w:r>
      <w:r w:rsidR="00145E4B">
        <w:t>’</w:t>
      </w:r>
      <w:r w:rsidRPr="00E07570">
        <w:t>un tiret et du numéro d</w:t>
      </w:r>
      <w:r w:rsidR="00145E4B">
        <w:t>’</w:t>
      </w:r>
      <w:r w:rsidRPr="00E07570">
        <w:t>homologation, placé à droite du cercle prévu au paragraphe</w:t>
      </w:r>
      <w:r w:rsidR="001001B9" w:rsidRPr="00E07570">
        <w:t> </w:t>
      </w:r>
      <w:r w:rsidRPr="00E07570">
        <w:rPr>
          <w:b/>
        </w:rPr>
        <w:t>34.4.1</w:t>
      </w:r>
      <w:r w:rsidRPr="00E07570">
        <w:t>.</w:t>
      </w:r>
    </w:p>
    <w:p w:rsidR="0078245B" w:rsidRPr="00E07570" w:rsidRDefault="0078245B" w:rsidP="001001B9">
      <w:pPr>
        <w:pStyle w:val="SingleTxtG"/>
        <w:ind w:left="2268" w:hanging="1134"/>
      </w:pPr>
      <w:r w:rsidRPr="00E07570">
        <w:rPr>
          <w:b/>
        </w:rPr>
        <w:t>34.5</w:t>
      </w:r>
      <w:r w:rsidRPr="00E07570">
        <w:tab/>
        <w:t>La marque d</w:t>
      </w:r>
      <w:r w:rsidR="00145E4B">
        <w:t>’</w:t>
      </w:r>
      <w:r w:rsidRPr="00E07570">
        <w:t>homologation doit être clairement li</w:t>
      </w:r>
      <w:r w:rsidR="00C0432E" w:rsidRPr="00E07570">
        <w:t>sibl</w:t>
      </w:r>
      <w:r w:rsidRPr="00E07570">
        <w:t>e et indélébile.</w:t>
      </w:r>
    </w:p>
    <w:p w:rsidR="0078245B" w:rsidRPr="00E07570" w:rsidRDefault="0078245B" w:rsidP="00C43333">
      <w:pPr>
        <w:pStyle w:val="HChG"/>
        <w:ind w:left="2268"/>
      </w:pPr>
      <w:r w:rsidRPr="00E07570">
        <w:t>35.</w:t>
      </w:r>
      <w:r w:rsidRPr="00E07570">
        <w:tab/>
        <w:t>Prescriptions</w:t>
      </w:r>
    </w:p>
    <w:p w:rsidR="0078245B" w:rsidRPr="00E07570" w:rsidRDefault="0078245B" w:rsidP="001001B9">
      <w:pPr>
        <w:pStyle w:val="SingleTxtG"/>
        <w:ind w:left="2268" w:hanging="1134"/>
      </w:pPr>
      <w:r w:rsidRPr="00E07570">
        <w:rPr>
          <w:b/>
        </w:rPr>
        <w:t>35.1</w:t>
      </w:r>
      <w:r w:rsidRPr="00E07570">
        <w:tab/>
        <w:t>Généralités</w:t>
      </w:r>
    </w:p>
    <w:p w:rsidR="0078245B" w:rsidRPr="00E07570" w:rsidRDefault="0078245B" w:rsidP="001001B9">
      <w:pPr>
        <w:pStyle w:val="SingleTxtG"/>
        <w:ind w:left="2268" w:hanging="1134"/>
      </w:pPr>
      <w:r w:rsidRPr="00E07570">
        <w:rPr>
          <w:b/>
        </w:rPr>
        <w:t>35.1.1</w:t>
      </w:r>
      <w:r w:rsidRPr="00E07570">
        <w:tab/>
        <w:t>L</w:t>
      </w:r>
      <w:r w:rsidR="00145E4B">
        <w:t>’</w:t>
      </w:r>
      <w:r w:rsidRPr="00E07570">
        <w:t>AECD installé dans le véhicule ne doit pas être un AECD d</w:t>
      </w:r>
      <w:r w:rsidR="00145E4B">
        <w:t>’</w:t>
      </w:r>
      <w:r w:rsidRPr="00E07570">
        <w:t xml:space="preserve">un type homologué en vertu de la partie </w:t>
      </w:r>
      <w:proofErr w:type="spellStart"/>
      <w:r w:rsidR="00A22689" w:rsidRPr="00E07570">
        <w:rPr>
          <w:b/>
        </w:rPr>
        <w:t>Ib</w:t>
      </w:r>
      <w:proofErr w:type="spellEnd"/>
      <w:r w:rsidRPr="00E07570">
        <w:t xml:space="preserve"> du présent Règlement.</w:t>
      </w:r>
    </w:p>
    <w:p w:rsidR="0078245B" w:rsidRPr="00E07570" w:rsidRDefault="0078245B" w:rsidP="001001B9">
      <w:pPr>
        <w:pStyle w:val="SingleTxtG"/>
        <w:ind w:left="2268" w:hanging="1134"/>
      </w:pPr>
      <w:r w:rsidRPr="00E07570">
        <w:rPr>
          <w:b/>
        </w:rPr>
        <w:t>35.1.2</w:t>
      </w:r>
      <w:r w:rsidRPr="00E07570">
        <w:tab/>
        <w:t>L</w:t>
      </w:r>
      <w:r w:rsidR="00145E4B">
        <w:t>’</w:t>
      </w:r>
      <w:r w:rsidRPr="00E07570">
        <w:t>AECD doit être raccordé au réseau électrique embarqué du véhicule de telle sorte qu</w:t>
      </w:r>
      <w:r w:rsidR="00145E4B">
        <w:t>’</w:t>
      </w:r>
      <w:r w:rsidRPr="00E07570">
        <w:t>il fonctionne dans tous les modes prescrits, et que la batterie de secours (le cas échéant) soit chargée.</w:t>
      </w:r>
    </w:p>
    <w:p w:rsidR="0078245B" w:rsidRPr="00E07570" w:rsidRDefault="0078245B" w:rsidP="001001B9">
      <w:pPr>
        <w:pStyle w:val="SingleTxtG"/>
        <w:ind w:left="2268" w:hanging="1134"/>
      </w:pPr>
      <w:r w:rsidRPr="00E07570">
        <w:rPr>
          <w:b/>
        </w:rPr>
        <w:t>35.1.3</w:t>
      </w:r>
      <w:r w:rsidRPr="00E07570">
        <w:tab/>
        <w:t>L</w:t>
      </w:r>
      <w:r w:rsidR="00145E4B">
        <w:t>’</w:t>
      </w:r>
      <w:r w:rsidRPr="00E07570">
        <w:t>AECD doit être installé de telle sorte à permettre la réception du signal GNSS et l</w:t>
      </w:r>
      <w:r w:rsidR="00145E4B">
        <w:t>’</w:t>
      </w:r>
      <w:r w:rsidRPr="00E07570">
        <w:t>accès à un PLMN.</w:t>
      </w:r>
    </w:p>
    <w:p w:rsidR="0078245B" w:rsidRPr="00E07570" w:rsidRDefault="0078245B" w:rsidP="001001B9">
      <w:pPr>
        <w:pStyle w:val="SingleTxtG"/>
        <w:ind w:left="2268"/>
      </w:pPr>
      <w:r w:rsidRPr="00E07570">
        <w:t>Le demandeur de l</w:t>
      </w:r>
      <w:r w:rsidR="00145E4B">
        <w:t>’</w:t>
      </w:r>
      <w:r w:rsidRPr="00E07570">
        <w:t>homologation doit indiquer avec quel PLMN et quel récepteur GNSS l</w:t>
      </w:r>
      <w:r w:rsidR="00145E4B">
        <w:t>’</w:t>
      </w:r>
      <w:r w:rsidRPr="00E07570">
        <w:t>AECS doit fonctionner.</w:t>
      </w:r>
    </w:p>
    <w:p w:rsidR="0078245B" w:rsidRPr="00E07570" w:rsidRDefault="0078245B" w:rsidP="001001B9">
      <w:pPr>
        <w:pStyle w:val="SingleTxtG"/>
        <w:ind w:left="2268" w:hanging="1134"/>
      </w:pPr>
      <w:r w:rsidRPr="00E07570">
        <w:rPr>
          <w:b/>
        </w:rPr>
        <w:t>35.1.4</w:t>
      </w:r>
      <w:r w:rsidRPr="00E07570">
        <w:tab/>
        <w:t>Dès réception du signal de déclenchement, l</w:t>
      </w:r>
      <w:r w:rsidR="00145E4B">
        <w:t>’</w:t>
      </w:r>
      <w:r w:rsidRPr="00E07570">
        <w:t>AECS doit envoyer des données et établir une liaison vocale avec le PSAP.</w:t>
      </w:r>
    </w:p>
    <w:p w:rsidR="0078245B" w:rsidRPr="00E07570" w:rsidRDefault="0078245B" w:rsidP="001001B9">
      <w:pPr>
        <w:pStyle w:val="SingleTxtG"/>
        <w:ind w:left="2268"/>
      </w:pPr>
      <w:r w:rsidRPr="00E07570">
        <w:t>Si la transmission de données échoue, l</w:t>
      </w:r>
      <w:r w:rsidR="00145E4B">
        <w:t>’</w:t>
      </w:r>
      <w:r w:rsidRPr="00E07570">
        <w:t>AECS doit essayer à nouveau d</w:t>
      </w:r>
      <w:r w:rsidR="00145E4B">
        <w:t>’</w:t>
      </w:r>
      <w:r w:rsidRPr="00E07570">
        <w:t>envoyer les données.</w:t>
      </w:r>
    </w:p>
    <w:p w:rsidR="0078245B" w:rsidRPr="00E07570" w:rsidRDefault="0078245B" w:rsidP="001001B9">
      <w:pPr>
        <w:pStyle w:val="SingleTxtG"/>
        <w:ind w:left="2268"/>
      </w:pPr>
      <w:r w:rsidRPr="00E07570">
        <w:t>Si l</w:t>
      </w:r>
      <w:r w:rsidR="00145E4B">
        <w:t>’</w:t>
      </w:r>
      <w:r w:rsidRPr="00E07570">
        <w:t>AECS réussit à envoyer des données et perd ensuite la liaison vocale, il doit s</w:t>
      </w:r>
      <w:r w:rsidR="00145E4B">
        <w:t>’</w:t>
      </w:r>
      <w:r w:rsidRPr="00E07570">
        <w:t>efforcer de rétablir cette liaison.</w:t>
      </w:r>
    </w:p>
    <w:p w:rsidR="0078245B" w:rsidRPr="00E07570" w:rsidRDefault="0078245B" w:rsidP="001001B9">
      <w:pPr>
        <w:pStyle w:val="SingleTxtG"/>
        <w:ind w:left="2268"/>
      </w:pPr>
      <w:r w:rsidRPr="00E07570">
        <w:t>Si l</w:t>
      </w:r>
      <w:r w:rsidR="00145E4B">
        <w:t>’</w:t>
      </w:r>
      <w:r w:rsidRPr="00E07570">
        <w:t>AECS ne peut établir de liaison vocale et/ou envoyer des données sur le réseau mobile terrestre public, il doit stocker les données dans une mémoire non volatile et s</w:t>
      </w:r>
      <w:r w:rsidR="00145E4B">
        <w:t>’</w:t>
      </w:r>
      <w:r w:rsidRPr="00E07570">
        <w:t>efforcer de retransmettre les données et d</w:t>
      </w:r>
      <w:r w:rsidR="00145E4B">
        <w:t>’</w:t>
      </w:r>
      <w:r w:rsidRPr="00E07570">
        <w:t>établir une liaison vocale.</w:t>
      </w:r>
    </w:p>
    <w:p w:rsidR="0078245B" w:rsidRPr="00E07570" w:rsidRDefault="0078245B" w:rsidP="001001B9">
      <w:pPr>
        <w:pStyle w:val="SingleTxtG"/>
        <w:ind w:left="2268" w:hanging="1134"/>
      </w:pPr>
      <w:r w:rsidRPr="00E07570">
        <w:rPr>
          <w:b/>
        </w:rPr>
        <w:t>35.2</w:t>
      </w:r>
      <w:r w:rsidRPr="00E07570">
        <w:tab/>
        <w:t>L</w:t>
      </w:r>
      <w:r w:rsidR="00145E4B">
        <w:t>’</w:t>
      </w:r>
      <w:r w:rsidRPr="00E07570">
        <w:t>efficacité de l</w:t>
      </w:r>
      <w:r w:rsidR="00145E4B">
        <w:t>’</w:t>
      </w:r>
      <w:r w:rsidRPr="00E07570">
        <w:t>AECS ne doit pas être perturbée par des champs magnétiques ou électriques. Il doit notamment être conforme aux prescriptions techniques et aux dispositions transitoires du Règlement n</w:t>
      </w:r>
      <w:r w:rsidRPr="00E07570">
        <w:rPr>
          <w:vertAlign w:val="superscript"/>
        </w:rPr>
        <w:t>o</w:t>
      </w:r>
      <w:r w:rsidRPr="00E07570">
        <w:t> 10, série 04 d</w:t>
      </w:r>
      <w:r w:rsidR="00145E4B">
        <w:t>’</w:t>
      </w:r>
      <w:r w:rsidRPr="00E07570">
        <w:t>amendements ou toute autre série ultérieure d</w:t>
      </w:r>
      <w:r w:rsidR="00145E4B">
        <w:t>’</w:t>
      </w:r>
      <w:r w:rsidRPr="00E07570">
        <w:t>amendements.</w:t>
      </w:r>
    </w:p>
    <w:p w:rsidR="0078245B" w:rsidRPr="00E07570" w:rsidRDefault="0078245B" w:rsidP="001001B9">
      <w:pPr>
        <w:pStyle w:val="SingleTxtG"/>
        <w:ind w:left="2268" w:hanging="1134"/>
      </w:pPr>
      <w:r w:rsidRPr="00E07570">
        <w:rPr>
          <w:b/>
        </w:rPr>
        <w:t>35.3</w:t>
      </w:r>
      <w:r w:rsidRPr="00E07570">
        <w:tab/>
        <w:t>Détermination de la position</w:t>
      </w:r>
    </w:p>
    <w:p w:rsidR="0078245B" w:rsidRPr="00E07570" w:rsidRDefault="0078245B" w:rsidP="00271D3F">
      <w:pPr>
        <w:pStyle w:val="SingleTxtG"/>
        <w:ind w:left="2268"/>
      </w:pPr>
      <w:r w:rsidRPr="00E07570">
        <w:t>Si l</w:t>
      </w:r>
      <w:r w:rsidR="00145E4B">
        <w:t>’</w:t>
      </w:r>
      <w:r w:rsidRPr="00E07570">
        <w:t>AECS est équipé, conformément au paragraphe 1.4, d</w:t>
      </w:r>
      <w:r w:rsidR="00145E4B">
        <w:t>’</w:t>
      </w:r>
      <w:r w:rsidRPr="00E07570">
        <w:t>un récepteur GNSS qui capte les signaux d</w:t>
      </w:r>
      <w:r w:rsidR="00145E4B">
        <w:t>’</w:t>
      </w:r>
      <w:r w:rsidRPr="00E07570">
        <w:t xml:space="preserve">au moins trois systèmes de navigation (GLONASS, </w:t>
      </w:r>
      <w:r w:rsidR="002B669D" w:rsidRPr="00E07570">
        <w:t>Galileo</w:t>
      </w:r>
      <w:r w:rsidRPr="00E07570">
        <w:t xml:space="preserve"> et GPS), et qu</w:t>
      </w:r>
      <w:r w:rsidR="00145E4B">
        <w:t>’</w:t>
      </w:r>
      <w:r w:rsidRPr="00E07570">
        <w:t>il est capable de recevoir et de traiter des signaux SBAS, il doit satisfaire aux prescriptions des paragraphes </w:t>
      </w:r>
      <w:r w:rsidRPr="00E07570">
        <w:rPr>
          <w:b/>
        </w:rPr>
        <w:t>35.3.1</w:t>
      </w:r>
      <w:r w:rsidRPr="00E07570">
        <w:t xml:space="preserve"> à </w:t>
      </w:r>
      <w:r w:rsidRPr="00E07570">
        <w:rPr>
          <w:b/>
        </w:rPr>
        <w:t>35.3.10</w:t>
      </w:r>
      <w:r w:rsidRPr="00E07570">
        <w:t>.</w:t>
      </w:r>
    </w:p>
    <w:p w:rsidR="0078245B" w:rsidRPr="00E07570" w:rsidRDefault="0078245B" w:rsidP="00271D3F">
      <w:pPr>
        <w:pStyle w:val="SingleTxtG"/>
        <w:ind w:left="2268"/>
      </w:pPr>
      <w:r w:rsidRPr="00E07570">
        <w:t>La capacité de positionnement de l</w:t>
      </w:r>
      <w:r w:rsidR="00145E4B">
        <w:t>’</w:t>
      </w:r>
      <w:r w:rsidRPr="00E07570">
        <w:t>AECS peut être démontrée au moyen des méthodes d</w:t>
      </w:r>
      <w:r w:rsidR="00145E4B">
        <w:t>’</w:t>
      </w:r>
      <w:r w:rsidRPr="00E07570">
        <w:t>essai décrites à l</w:t>
      </w:r>
      <w:r w:rsidR="00145E4B">
        <w:t>’</w:t>
      </w:r>
      <w:r w:rsidRPr="00E07570">
        <w:t>annexe </w:t>
      </w:r>
      <w:r w:rsidRPr="00E07570">
        <w:rPr>
          <w:b/>
        </w:rPr>
        <w:t>10</w:t>
      </w:r>
      <w:r w:rsidRPr="00E07570">
        <w:t xml:space="preserve"> (Méthodes d</w:t>
      </w:r>
      <w:r w:rsidR="00145E4B">
        <w:t>’</w:t>
      </w:r>
      <w:r w:rsidRPr="00E07570">
        <w:t>essai pour les solutions de navigation). Cette information doit figurer dans le document de communication visé à l</w:t>
      </w:r>
      <w:r w:rsidR="00145E4B">
        <w:t>’</w:t>
      </w:r>
      <w:r w:rsidRPr="00E07570">
        <w:t>annexe </w:t>
      </w:r>
      <w:r w:rsidRPr="00E07570">
        <w:rPr>
          <w:b/>
        </w:rPr>
        <w:t>4,</w:t>
      </w:r>
      <w:r w:rsidRPr="00E07570">
        <w:t xml:space="preserve"> paragraphe 11.</w:t>
      </w:r>
    </w:p>
    <w:p w:rsidR="0078245B" w:rsidRPr="00E07570" w:rsidRDefault="0078245B" w:rsidP="001001B9">
      <w:pPr>
        <w:pStyle w:val="SingleTxtG"/>
        <w:ind w:left="2268" w:hanging="1134"/>
      </w:pPr>
      <w:r w:rsidRPr="00E07570">
        <w:rPr>
          <w:b/>
        </w:rPr>
        <w:t>35.3.1</w:t>
      </w:r>
      <w:r w:rsidRPr="00E07570">
        <w:tab/>
        <w:t>Le récepteur GNSS doit être capable de produire la solution de navigation dans un format conforme au protocole</w:t>
      </w:r>
      <w:r w:rsidR="003B0BA2" w:rsidRPr="00E07570">
        <w:t> </w:t>
      </w:r>
      <w:r w:rsidRPr="00E07570">
        <w:t>NMEA-0183 (messages RMC, GGA, VTG, GSA ou GSV). La configuration de l</w:t>
      </w:r>
      <w:r w:rsidR="00145E4B">
        <w:t>’</w:t>
      </w:r>
      <w:r w:rsidRPr="00E07570">
        <w:t>AECS pour la production de messages NMEA-0183 doit être décrite dans le mode d</w:t>
      </w:r>
      <w:r w:rsidR="00145E4B">
        <w:t>’</w:t>
      </w:r>
      <w:r w:rsidRPr="00E07570">
        <w:t>emploi.</w:t>
      </w:r>
    </w:p>
    <w:p w:rsidR="0078245B" w:rsidRPr="00E07570" w:rsidRDefault="0078245B" w:rsidP="001001B9">
      <w:pPr>
        <w:pStyle w:val="SingleTxtG"/>
        <w:ind w:left="2268" w:hanging="1134"/>
      </w:pPr>
      <w:r w:rsidRPr="00E07570">
        <w:rPr>
          <w:b/>
        </w:rPr>
        <w:t>35.3.2</w:t>
      </w:r>
      <w:r w:rsidRPr="00E07570">
        <w:tab/>
        <w:t>Le récepteur GNSS faisant partie de l</w:t>
      </w:r>
      <w:r w:rsidR="00145E4B">
        <w:t>’</w:t>
      </w:r>
      <w:r w:rsidRPr="00E07570">
        <w:t>AECS doit être capable de recevoir et de traiter des signaux GNSS dans la bande L1/E1 provenant d</w:t>
      </w:r>
      <w:r w:rsidR="00145E4B">
        <w:t>’</w:t>
      </w:r>
      <w:r w:rsidRPr="00E07570">
        <w:t xml:space="preserve">au moins trois systèmes mondiaux de navigation par satellite, par exemple GLONASS, </w:t>
      </w:r>
      <w:r w:rsidR="002B669D" w:rsidRPr="00E07570">
        <w:t>Galileo</w:t>
      </w:r>
      <w:r w:rsidRPr="00E07570">
        <w:t xml:space="preserve"> et GPS.</w:t>
      </w:r>
    </w:p>
    <w:p w:rsidR="0078245B" w:rsidRPr="00E07570" w:rsidRDefault="0078245B" w:rsidP="001001B9">
      <w:pPr>
        <w:pStyle w:val="SingleTxtG"/>
        <w:ind w:left="2268" w:hanging="1134"/>
      </w:pPr>
      <w:r w:rsidRPr="00E07570">
        <w:rPr>
          <w:b/>
        </w:rPr>
        <w:t>35.3.3</w:t>
      </w:r>
      <w:r w:rsidRPr="00E07570">
        <w:tab/>
        <w:t>L</w:t>
      </w:r>
      <w:r w:rsidR="000E22C4" w:rsidRPr="00E07570">
        <w:t>e récepteur GNSS faisant partie</w:t>
      </w:r>
      <w:r w:rsidRPr="00E07570">
        <w:t xml:space="preserve"> de l</w:t>
      </w:r>
      <w:r w:rsidR="00145E4B">
        <w:t>’</w:t>
      </w:r>
      <w:r w:rsidRPr="00E07570">
        <w:t>AECS doit être capable de recevoir et de traiter des signaux GNSS combinés dans la bande L1/E1 provenant d</w:t>
      </w:r>
      <w:r w:rsidR="00145E4B">
        <w:t>’</w:t>
      </w:r>
      <w:r w:rsidRPr="00E07570">
        <w:t xml:space="preserve">au moins trois systèmes mondiaux de navigation par satellite, parmi lesquels GLONASS, </w:t>
      </w:r>
      <w:r w:rsidR="002B669D" w:rsidRPr="00E07570">
        <w:t>Galileo</w:t>
      </w:r>
      <w:r w:rsidRPr="00E07570">
        <w:t>, GPS et SBAS.</w:t>
      </w:r>
    </w:p>
    <w:p w:rsidR="0078245B" w:rsidRPr="00E07570" w:rsidRDefault="0078245B" w:rsidP="001001B9">
      <w:pPr>
        <w:pStyle w:val="SingleTxtG"/>
        <w:ind w:left="2268" w:hanging="1134"/>
      </w:pPr>
      <w:r w:rsidRPr="00E07570">
        <w:rPr>
          <w:b/>
        </w:rPr>
        <w:t>35.3.4</w:t>
      </w:r>
      <w:r w:rsidRPr="00E07570">
        <w:tab/>
        <w:t>Le récepteur GNSS faisant partie de l</w:t>
      </w:r>
      <w:r w:rsidR="00145E4B">
        <w:t>’</w:t>
      </w:r>
      <w:r w:rsidRPr="00E07570">
        <w:t>AECS doit être capable de fournir des renseignements concernant la position du véhicule dans le système de coordonnées WGS-84.</w:t>
      </w:r>
    </w:p>
    <w:p w:rsidR="0078245B" w:rsidRPr="00E07570" w:rsidRDefault="0078245B" w:rsidP="001001B9">
      <w:pPr>
        <w:pStyle w:val="SingleTxtG"/>
        <w:ind w:left="2268" w:hanging="1134"/>
      </w:pPr>
      <w:r w:rsidRPr="00E07570">
        <w:rPr>
          <w:b/>
        </w:rPr>
        <w:t>35.3.5</w:t>
      </w:r>
      <w:r w:rsidRPr="00E07570">
        <w:tab/>
        <w:t>Le récepteur GNSS doit être capable de se positionner au moins une fois par seconde.</w:t>
      </w:r>
    </w:p>
    <w:p w:rsidR="0078245B" w:rsidRPr="00E07570" w:rsidRDefault="0078245B" w:rsidP="001001B9">
      <w:pPr>
        <w:pStyle w:val="SingleTxtG"/>
        <w:ind w:left="2268" w:hanging="1134"/>
      </w:pPr>
      <w:r w:rsidRPr="00E07570">
        <w:rPr>
          <w:b/>
        </w:rPr>
        <w:t>35.3.6</w:t>
      </w:r>
      <w:r w:rsidRPr="00E07570">
        <w:tab/>
        <w:t>L</w:t>
      </w:r>
      <w:r w:rsidR="00145E4B">
        <w:t>’</w:t>
      </w:r>
      <w:r w:rsidRPr="00E07570">
        <w:t>erreur de position dans le sens horizontal ne doit pas dépasser :</w:t>
      </w:r>
    </w:p>
    <w:p w:rsidR="0078245B" w:rsidRPr="00E07570" w:rsidRDefault="0078245B" w:rsidP="000E22C4">
      <w:pPr>
        <w:pStyle w:val="SingleTxtG"/>
        <w:ind w:left="2835" w:hanging="567"/>
      </w:pPr>
      <w:r w:rsidRPr="00E07570">
        <w:t>a)</w:t>
      </w:r>
      <w:r w:rsidRPr="00E07570">
        <w:tab/>
        <w:t>En mode « ciel ouvert », 15 m avec un taux de fiabilité de 0,95 et un PDOP compris entre 2 et 2,5 ;</w:t>
      </w:r>
    </w:p>
    <w:p w:rsidR="0078245B" w:rsidRPr="00E07570" w:rsidRDefault="0078245B" w:rsidP="000E22C4">
      <w:pPr>
        <w:pStyle w:val="SingleTxtG"/>
        <w:ind w:left="2835" w:hanging="567"/>
      </w:pPr>
      <w:r w:rsidRPr="00E07570">
        <w:t>b)</w:t>
      </w:r>
      <w:r w:rsidRPr="00E07570">
        <w:tab/>
        <w:t>En mode « canyon urbain », 40 m avec un taux de fiabilité de 0,95 et un PDOP compris entre 3,5 et 4.</w:t>
      </w:r>
    </w:p>
    <w:p w:rsidR="0078245B" w:rsidRPr="00E07570" w:rsidRDefault="0078245B" w:rsidP="001001B9">
      <w:pPr>
        <w:pStyle w:val="SingleTxtG"/>
        <w:ind w:left="2268" w:hanging="1134"/>
      </w:pPr>
      <w:r w:rsidRPr="00E07570">
        <w:rPr>
          <w:b/>
        </w:rPr>
        <w:t>35.3.7</w:t>
      </w:r>
      <w:r w:rsidRPr="00E07570">
        <w:tab/>
        <w:t>Les prescriptions de précision doivent être fournies :</w:t>
      </w:r>
    </w:p>
    <w:p w:rsidR="0078245B" w:rsidRPr="00E07570" w:rsidRDefault="0078245B" w:rsidP="00BB7489">
      <w:pPr>
        <w:pStyle w:val="SingleTxtG"/>
        <w:ind w:left="2835" w:hanging="567"/>
      </w:pPr>
      <w:r w:rsidRPr="00E07570">
        <w:t>a)</w:t>
      </w:r>
      <w:r w:rsidRPr="00E07570">
        <w:tab/>
        <w:t>Pour une vitesse comprise entre 0 et 140 km/h ; et</w:t>
      </w:r>
    </w:p>
    <w:p w:rsidR="0078245B" w:rsidRPr="00E07570" w:rsidRDefault="0078245B" w:rsidP="00BB7489">
      <w:pPr>
        <w:pStyle w:val="SingleTxtG"/>
        <w:ind w:left="2835" w:hanging="567"/>
      </w:pPr>
      <w:r w:rsidRPr="00E07570">
        <w:t>b)</w:t>
      </w:r>
      <w:r w:rsidRPr="00E07570">
        <w:tab/>
        <w:t>Pour une accélération linéaire comprise entre 0 et 2 g.</w:t>
      </w:r>
    </w:p>
    <w:p w:rsidR="0078245B" w:rsidRPr="00E07570" w:rsidRDefault="0078245B" w:rsidP="001001B9">
      <w:pPr>
        <w:pStyle w:val="SingleTxtG"/>
        <w:ind w:left="2268" w:hanging="1134"/>
      </w:pPr>
      <w:r w:rsidRPr="00E07570">
        <w:rPr>
          <w:b/>
        </w:rPr>
        <w:t>35.3.8</w:t>
      </w:r>
      <w:r w:rsidRPr="00E07570">
        <w:tab/>
        <w:t>Le délai de premier positionnement à froid ne doit pas dépasser :</w:t>
      </w:r>
    </w:p>
    <w:p w:rsidR="0078245B" w:rsidRPr="00E07570" w:rsidRDefault="0078245B" w:rsidP="00BB7489">
      <w:pPr>
        <w:pStyle w:val="SingleTxtG"/>
        <w:ind w:left="2835" w:hanging="567"/>
      </w:pPr>
      <w:r w:rsidRPr="00E07570">
        <w:t>a)</w:t>
      </w:r>
      <w:r w:rsidRPr="00E07570">
        <w:tab/>
        <w:t>60 s pour un niveau de signal pouvant aller jusqu</w:t>
      </w:r>
      <w:r w:rsidR="00145E4B">
        <w:t>’</w:t>
      </w:r>
      <w:r w:rsidRPr="00E07570">
        <w:t>à -130 dBm ;</w:t>
      </w:r>
    </w:p>
    <w:p w:rsidR="0078245B" w:rsidRPr="00E07570" w:rsidRDefault="0078245B" w:rsidP="00BB7489">
      <w:pPr>
        <w:pStyle w:val="SingleTxtG"/>
        <w:ind w:left="2835" w:hanging="567"/>
      </w:pPr>
      <w:r w:rsidRPr="00E07570">
        <w:t>b)</w:t>
      </w:r>
      <w:r w:rsidRPr="00E07570">
        <w:tab/>
        <w:t>300 s pour un niveau de signal pouvant aller jusqu</w:t>
      </w:r>
      <w:r w:rsidR="00145E4B">
        <w:t>’</w:t>
      </w:r>
      <w:r w:rsidRPr="00E07570">
        <w:t>à -140 dBm.</w:t>
      </w:r>
    </w:p>
    <w:p w:rsidR="0078245B" w:rsidRPr="00E07570" w:rsidRDefault="0078245B" w:rsidP="001001B9">
      <w:pPr>
        <w:pStyle w:val="SingleTxtG"/>
        <w:ind w:left="2268" w:hanging="1134"/>
      </w:pPr>
      <w:r w:rsidRPr="00E07570">
        <w:rPr>
          <w:b/>
        </w:rPr>
        <w:t>35.3.9</w:t>
      </w:r>
      <w:r w:rsidRPr="00E07570">
        <w:tab/>
        <w:t>Le délai de rétablissement d</w:t>
      </w:r>
      <w:r w:rsidR="00145E4B">
        <w:t>’</w:t>
      </w:r>
      <w:r w:rsidRPr="00E07570">
        <w:t>un signal GNSS après un blocage de 60 s</w:t>
      </w:r>
      <w:r w:rsidR="004F4139" w:rsidRPr="00E07570">
        <w:t xml:space="preserve"> </w:t>
      </w:r>
      <w:r w:rsidRPr="00E07570">
        <w:t xml:space="preserve">à un niveau de signal pouvant aller </w:t>
      </w:r>
      <w:proofErr w:type="gramStart"/>
      <w:r w:rsidRPr="00E07570">
        <w:t>jusqu</w:t>
      </w:r>
      <w:r w:rsidR="00145E4B">
        <w:t>’</w:t>
      </w:r>
      <w:r w:rsidRPr="00E07570">
        <w:t>à</w:t>
      </w:r>
      <w:proofErr w:type="gramEnd"/>
      <w:r w:rsidRPr="00E07570">
        <w:t xml:space="preserve"> -130 dBm ne doit pas dépasser 20 s après récupération de la </w:t>
      </w:r>
      <w:r w:rsidR="00305F8B" w:rsidRPr="00E07570">
        <w:t>visibilité</w:t>
      </w:r>
      <w:r w:rsidR="009F5B82" w:rsidRPr="00E07570">
        <w:t xml:space="preserve"> </w:t>
      </w:r>
      <w:r w:rsidRPr="00E07570">
        <w:t>du satellite de navigation.</w:t>
      </w:r>
    </w:p>
    <w:p w:rsidR="0078245B" w:rsidRPr="00E07570" w:rsidRDefault="0078245B" w:rsidP="001001B9">
      <w:pPr>
        <w:pStyle w:val="SingleTxtG"/>
        <w:ind w:left="2268" w:hanging="1134"/>
      </w:pPr>
      <w:r w:rsidRPr="00E07570">
        <w:rPr>
          <w:b/>
        </w:rPr>
        <w:t>35.3.10</w:t>
      </w:r>
      <w:r w:rsidRPr="00E07570">
        <w:tab/>
        <w:t>Sens</w:t>
      </w:r>
      <w:r w:rsidR="009F5B82" w:rsidRPr="00E07570">
        <w:t>ib</w:t>
      </w:r>
      <w:r w:rsidRPr="00E07570">
        <w:t>ilité à l</w:t>
      </w:r>
      <w:r w:rsidR="00145E4B">
        <w:t>’</w:t>
      </w:r>
      <w:r w:rsidRPr="00E07570">
        <w:t>entrée du récepteur :</w:t>
      </w:r>
    </w:p>
    <w:p w:rsidR="0078245B" w:rsidRPr="00E07570" w:rsidRDefault="0078245B" w:rsidP="00BB7489">
      <w:pPr>
        <w:pStyle w:val="SingleTxtG"/>
        <w:ind w:left="2835" w:hanging="567"/>
      </w:pPr>
      <w:r w:rsidRPr="00E07570">
        <w:t>a)</w:t>
      </w:r>
      <w:r w:rsidRPr="00E07570">
        <w:tab/>
        <w:t>La détection des signaux GNSS (départ à froid) ne doit pas dépasser 3 600 s à un niveau de signal, en entrée d</w:t>
      </w:r>
      <w:r w:rsidR="00145E4B">
        <w:t>’</w:t>
      </w:r>
      <w:r w:rsidRPr="00E07570">
        <w:t>antenne, de -144 dBm ;</w:t>
      </w:r>
    </w:p>
    <w:p w:rsidR="0078245B" w:rsidRPr="00E07570" w:rsidRDefault="0078245B" w:rsidP="00BB7489">
      <w:pPr>
        <w:pStyle w:val="SingleTxtG"/>
        <w:ind w:left="2835" w:hanging="567"/>
      </w:pPr>
      <w:r w:rsidRPr="00E07570">
        <w:t>b)</w:t>
      </w:r>
      <w:r w:rsidRPr="00E07570">
        <w:tab/>
        <w:t>La poursuite des signaux GNSS et le calcul de la solution de navigation sont dispo</w:t>
      </w:r>
      <w:r w:rsidR="009F5B82" w:rsidRPr="00E07570">
        <w:t>nibl</w:t>
      </w:r>
      <w:r w:rsidRPr="00E07570">
        <w:t>es pendant au moins 600 s à un niveau de signal, en entrée d</w:t>
      </w:r>
      <w:r w:rsidR="00145E4B">
        <w:t>’</w:t>
      </w:r>
      <w:r w:rsidRPr="00E07570">
        <w:t>antenne, de -155 dBm ;</w:t>
      </w:r>
    </w:p>
    <w:p w:rsidR="0078245B" w:rsidRPr="00E07570" w:rsidRDefault="0078245B" w:rsidP="00BB7489">
      <w:pPr>
        <w:pStyle w:val="SingleTxtG"/>
        <w:ind w:left="2835" w:hanging="567"/>
      </w:pPr>
      <w:r w:rsidRPr="00E07570">
        <w:t>c)</w:t>
      </w:r>
      <w:r w:rsidRPr="00E07570">
        <w:tab/>
        <w:t xml:space="preserve">Le rétablissement des signaux GNSS et le calcul de la </w:t>
      </w:r>
      <w:r w:rsidR="009F5B82" w:rsidRPr="00E07570">
        <w:t>solution de navigation sont possibl</w:t>
      </w:r>
      <w:r w:rsidRPr="00E07570">
        <w:t>es en 60 s maximum, à un niveau de signal, en entrée d</w:t>
      </w:r>
      <w:r w:rsidR="00145E4B">
        <w:t>’</w:t>
      </w:r>
      <w:r w:rsidRPr="00E07570">
        <w:t>antenne, de -150 dBm.</w:t>
      </w:r>
    </w:p>
    <w:p w:rsidR="0078245B" w:rsidRPr="00E07570" w:rsidRDefault="0078245B" w:rsidP="001001B9">
      <w:pPr>
        <w:pStyle w:val="SingleTxtG"/>
        <w:ind w:left="2268" w:hanging="1134"/>
      </w:pPr>
      <w:r w:rsidRPr="00E07570">
        <w:rPr>
          <w:b/>
        </w:rPr>
        <w:t>35.3.11</w:t>
      </w:r>
      <w:r w:rsidRPr="00E07570">
        <w:tab/>
        <w:t>Les procédures d</w:t>
      </w:r>
      <w:r w:rsidR="00145E4B">
        <w:t>’</w:t>
      </w:r>
      <w:r w:rsidRPr="00E07570">
        <w:t>essai prévues à l</w:t>
      </w:r>
      <w:r w:rsidR="00145E4B">
        <w:t>’</w:t>
      </w:r>
      <w:r w:rsidRPr="00E07570">
        <w:t>annexe </w:t>
      </w:r>
      <w:r w:rsidRPr="00E07570">
        <w:rPr>
          <w:b/>
        </w:rPr>
        <w:t>10</w:t>
      </w:r>
      <w:r w:rsidRPr="00E07570">
        <w:t xml:space="preserve"> du présent Règlement peuvent être effectuées soit sur le dispositif AECS, avec pos</w:t>
      </w:r>
      <w:r w:rsidR="009F5B82" w:rsidRPr="00E07570">
        <w:t>sibi</w:t>
      </w:r>
      <w:r w:rsidRPr="00E07570">
        <w:t>lité d</w:t>
      </w:r>
      <w:r w:rsidR="00145E4B">
        <w:t>’</w:t>
      </w:r>
      <w:r w:rsidRPr="00E07570">
        <w:t>évaluer la capacité de traitement aval, soit directement sur le récepteur GNSS faisant partie de l</w:t>
      </w:r>
      <w:r w:rsidR="00145E4B">
        <w:t>’</w:t>
      </w:r>
      <w:r w:rsidRPr="00E07570">
        <w:t>AECS.</w:t>
      </w:r>
    </w:p>
    <w:p w:rsidR="0078245B" w:rsidRPr="00E07570" w:rsidRDefault="0078245B" w:rsidP="001001B9">
      <w:pPr>
        <w:pStyle w:val="SingleTxtG"/>
        <w:ind w:left="2268" w:hanging="1134"/>
      </w:pPr>
      <w:r w:rsidRPr="00E07570">
        <w:rPr>
          <w:b/>
        </w:rPr>
        <w:t>35.4</w:t>
      </w:r>
      <w:r w:rsidRPr="00E07570">
        <w:tab/>
        <w:t>Moyens d</w:t>
      </w:r>
      <w:r w:rsidR="00145E4B">
        <w:t>’</w:t>
      </w:r>
      <w:r w:rsidRPr="00E07570">
        <w:t>accès au PLMN</w:t>
      </w:r>
    </w:p>
    <w:p w:rsidR="0078245B" w:rsidRPr="00E07570" w:rsidRDefault="0078245B" w:rsidP="00DE69A2">
      <w:pPr>
        <w:pStyle w:val="SingleTxtG"/>
        <w:ind w:left="2268"/>
      </w:pPr>
      <w:r w:rsidRPr="00E07570">
        <w:t>L</w:t>
      </w:r>
      <w:r w:rsidR="00145E4B">
        <w:t>’</w:t>
      </w:r>
      <w:r w:rsidRPr="00E07570">
        <w:t>AECS doit être équipé d</w:t>
      </w:r>
      <w:r w:rsidR="00145E4B">
        <w:t>’</w:t>
      </w:r>
      <w:r w:rsidRPr="00E07570">
        <w:t>un matériel intégré permettant l</w:t>
      </w:r>
      <w:r w:rsidR="00145E4B">
        <w:t>’</w:t>
      </w:r>
      <w:r w:rsidRPr="00E07570">
        <w:t>enregistrement et/ou l</w:t>
      </w:r>
      <w:r w:rsidR="00145E4B">
        <w:t>’</w:t>
      </w:r>
      <w:r w:rsidRPr="00E07570">
        <w:t>authentification du PLMN ainsi que l</w:t>
      </w:r>
      <w:r w:rsidR="00145E4B">
        <w:t>’</w:t>
      </w:r>
      <w:r w:rsidRPr="00E07570">
        <w:t>accès à celui-ci.</w:t>
      </w:r>
    </w:p>
    <w:p w:rsidR="0078245B" w:rsidRPr="00E07570" w:rsidRDefault="0078245B" w:rsidP="001001B9">
      <w:pPr>
        <w:pStyle w:val="SingleTxtG"/>
        <w:ind w:left="2268" w:hanging="1134"/>
      </w:pPr>
      <w:r w:rsidRPr="00E07570">
        <w:rPr>
          <w:b/>
        </w:rPr>
        <w:t>35.5</w:t>
      </w:r>
      <w:r w:rsidRPr="00E07570">
        <w:tab/>
        <w:t>L</w:t>
      </w:r>
      <w:r w:rsidR="00145E4B">
        <w:t>’</w:t>
      </w:r>
      <w:r w:rsidRPr="00E07570">
        <w:t>AECS doit être installé de façon à recevoir un signal de déclenchement en cas de choc grave du véhicule ; cette condition doit être vérifiée lors de l</w:t>
      </w:r>
      <w:r w:rsidR="00145E4B">
        <w:t>’</w:t>
      </w:r>
      <w:r w:rsidRPr="00E07570">
        <w:t>essai de choc décrit dans le présent paragraphe.</w:t>
      </w:r>
    </w:p>
    <w:p w:rsidR="0078245B" w:rsidRPr="00E07570" w:rsidRDefault="0078245B" w:rsidP="00271D3F">
      <w:pPr>
        <w:pStyle w:val="SingleTxtG"/>
        <w:ind w:left="2268"/>
      </w:pPr>
      <w:r w:rsidRPr="00E07570">
        <w:t>Dès réception d</w:t>
      </w:r>
      <w:r w:rsidR="00145E4B">
        <w:t>’</w:t>
      </w:r>
      <w:r w:rsidRPr="00E07570">
        <w:t>un signal de déclenchement, l</w:t>
      </w:r>
      <w:r w:rsidR="00145E4B">
        <w:t>’</w:t>
      </w:r>
      <w:r w:rsidRPr="00E07570">
        <w:t>AECS doit déclencher la procédure d</w:t>
      </w:r>
      <w:r w:rsidR="00145E4B">
        <w:t>’</w:t>
      </w:r>
      <w:r w:rsidRPr="00E07570">
        <w:t>appel d</w:t>
      </w:r>
      <w:r w:rsidR="00145E4B">
        <w:t>’</w:t>
      </w:r>
      <w:r w:rsidRPr="00E07570">
        <w:t>urgence ; cette condition doit être vérifiée au moyen d</w:t>
      </w:r>
      <w:r w:rsidR="00145E4B">
        <w:t>’</w:t>
      </w:r>
      <w:r w:rsidRPr="00E07570">
        <w:t>une des méthodes d</w:t>
      </w:r>
      <w:r w:rsidR="00145E4B">
        <w:t>’</w:t>
      </w:r>
      <w:r w:rsidRPr="00E07570">
        <w:t>essai décrites à l</w:t>
      </w:r>
      <w:r w:rsidR="00145E4B">
        <w:t>’</w:t>
      </w:r>
      <w:r w:rsidRPr="00E07570">
        <w:t>annexe</w:t>
      </w:r>
      <w:r w:rsidR="009F5B82" w:rsidRPr="00E07570">
        <w:t> </w:t>
      </w:r>
      <w:r w:rsidRPr="00E07570">
        <w:rPr>
          <w:b/>
        </w:rPr>
        <w:t>11</w:t>
      </w:r>
      <w:r w:rsidRPr="00E07570">
        <w:t>.</w:t>
      </w:r>
    </w:p>
    <w:p w:rsidR="0078245B" w:rsidRPr="00E07570" w:rsidRDefault="0078245B" w:rsidP="001001B9">
      <w:pPr>
        <w:pStyle w:val="SingleTxtG"/>
        <w:ind w:left="2268" w:hanging="1134"/>
      </w:pPr>
      <w:r w:rsidRPr="00E07570">
        <w:rPr>
          <w:b/>
        </w:rPr>
        <w:t>35.5.1</w:t>
      </w:r>
      <w:r w:rsidRPr="00E07570">
        <w:tab/>
        <w:t>Les véhicules de la catégorie M</w:t>
      </w:r>
      <w:r w:rsidRPr="00E07570">
        <w:rPr>
          <w:vertAlign w:val="subscript"/>
        </w:rPr>
        <w:t>1</w:t>
      </w:r>
      <w:r w:rsidRPr="00E07570">
        <w:t xml:space="preserve"> sont soumis aux prescriptions suivantes :</w:t>
      </w:r>
    </w:p>
    <w:p w:rsidR="0078245B" w:rsidRPr="00E07570" w:rsidRDefault="0078245B" w:rsidP="001001B9">
      <w:pPr>
        <w:pStyle w:val="SingleTxtG"/>
        <w:ind w:left="2268" w:hanging="1134"/>
      </w:pPr>
      <w:r w:rsidRPr="00E07570">
        <w:rPr>
          <w:b/>
        </w:rPr>
        <w:t>35.5.1.1</w:t>
      </w:r>
      <w:r w:rsidRPr="00E07570">
        <w:tab/>
        <w:t>Dans le cas des véhicules de la catégorie M</w:t>
      </w:r>
      <w:r w:rsidRPr="00E07570">
        <w:rPr>
          <w:vertAlign w:val="subscript"/>
        </w:rPr>
        <w:t>1</w:t>
      </w:r>
      <w:r w:rsidRPr="00E07570">
        <w:t xml:space="preserve"> dont la masse totale </w:t>
      </w:r>
      <w:r w:rsidR="00305F8B" w:rsidRPr="00E07570">
        <w:t>admissible</w:t>
      </w:r>
      <w:r w:rsidRPr="00E07570">
        <w:t xml:space="preserve"> est inférieure ou égale à 2,5 tonnes et sur lesquels la hauteur du point R est égale ou inférieure à 700 m</w:t>
      </w:r>
      <w:r w:rsidR="00B77BC8" w:rsidRPr="00E07570">
        <w:t>m</w:t>
      </w:r>
      <w:r w:rsidRPr="00E07570">
        <w:t>, le signal de déclenchement est vérifié comme suit :</w:t>
      </w:r>
    </w:p>
    <w:p w:rsidR="0078245B" w:rsidRPr="00E07570" w:rsidRDefault="0078245B" w:rsidP="001001B9">
      <w:pPr>
        <w:pStyle w:val="SingleTxtG"/>
        <w:ind w:left="2268" w:hanging="1134"/>
      </w:pPr>
      <w:r w:rsidRPr="00E07570">
        <w:rPr>
          <w:b/>
        </w:rPr>
        <w:t>35.5.1.1.1</w:t>
      </w:r>
      <w:r w:rsidRPr="00E07570">
        <w:tab/>
        <w:t>En cas de collision du véhicule conformément à l</w:t>
      </w:r>
      <w:r w:rsidR="00145E4B">
        <w:t>’</w:t>
      </w:r>
      <w:r w:rsidRPr="00E07570">
        <w:t>annexe</w:t>
      </w:r>
      <w:r w:rsidR="00B77BC8" w:rsidRPr="00E07570">
        <w:t> </w:t>
      </w:r>
      <w:r w:rsidRPr="00E07570">
        <w:t>3 du Règlement n</w:t>
      </w:r>
      <w:r w:rsidRPr="00E07570">
        <w:rPr>
          <w:vertAlign w:val="superscript"/>
        </w:rPr>
        <w:t>o</w:t>
      </w:r>
      <w:r w:rsidRPr="00E07570">
        <w:t> 94 (choc avant) et l</w:t>
      </w:r>
      <w:r w:rsidR="00145E4B">
        <w:t>’</w:t>
      </w:r>
      <w:r w:rsidRPr="00E07570">
        <w:t>annexe</w:t>
      </w:r>
      <w:r w:rsidR="00B77BC8" w:rsidRPr="00E07570">
        <w:t> </w:t>
      </w:r>
      <w:r w:rsidRPr="00E07570">
        <w:t>4 du Règlement n</w:t>
      </w:r>
      <w:r w:rsidRPr="00E07570">
        <w:rPr>
          <w:vertAlign w:val="superscript"/>
        </w:rPr>
        <w:t>o</w:t>
      </w:r>
      <w:r w:rsidRPr="00E07570">
        <w:t> 95 (choc latéral) ; ou</w:t>
      </w:r>
    </w:p>
    <w:p w:rsidR="0078245B" w:rsidRPr="00E07570" w:rsidRDefault="0078245B" w:rsidP="001001B9">
      <w:pPr>
        <w:pStyle w:val="SingleTxtG"/>
        <w:ind w:left="2268" w:hanging="1134"/>
      </w:pPr>
      <w:r w:rsidRPr="00E07570">
        <w:rPr>
          <w:b/>
        </w:rPr>
        <w:t>35.5.1.1.2</w:t>
      </w:r>
      <w:r w:rsidRPr="00E07570">
        <w:tab/>
        <w:t>Dans le cas de l</w:t>
      </w:r>
      <w:r w:rsidR="00145E4B">
        <w:t>’</w:t>
      </w:r>
      <w:r w:rsidRPr="00E07570">
        <w:t>extension d</w:t>
      </w:r>
      <w:r w:rsidR="00145E4B">
        <w:t>’</w:t>
      </w:r>
      <w:r w:rsidRPr="00E07570">
        <w:t>homologations de type en vertu du présent Règlement, ou dans le cas de l</w:t>
      </w:r>
      <w:r w:rsidR="00145E4B">
        <w:t>’</w:t>
      </w:r>
      <w:r w:rsidRPr="00E07570">
        <w:t>homologation de types de véhicules déjà accordée en vertu des Règlements n</w:t>
      </w:r>
      <w:r w:rsidRPr="00E07570">
        <w:rPr>
          <w:vertAlign w:val="superscript"/>
        </w:rPr>
        <w:t>os</w:t>
      </w:r>
      <w:r w:rsidRPr="00E07570">
        <w:t> 94 ou 95 avant l</w:t>
      </w:r>
      <w:r w:rsidR="00145E4B">
        <w:t>’</w:t>
      </w:r>
      <w:r w:rsidRPr="00E07570">
        <w:t>entrée en vigueur du présent Règlement, lorsqu</w:t>
      </w:r>
      <w:r w:rsidR="00145E4B">
        <w:t>’</w:t>
      </w:r>
      <w:r w:rsidRPr="00E07570">
        <w:t>il est démontré, documentation existante à l</w:t>
      </w:r>
      <w:r w:rsidR="00145E4B">
        <w:t>’</w:t>
      </w:r>
      <w:r w:rsidRPr="00E07570">
        <w:t>appui (rapport, images, données de simulation ou éléments équivalents) que lors d</w:t>
      </w:r>
      <w:r w:rsidR="00145E4B">
        <w:t>’</w:t>
      </w:r>
      <w:r w:rsidRPr="00E07570">
        <w:t>un choc avant (Règlement n</w:t>
      </w:r>
      <w:r w:rsidRPr="00E07570">
        <w:rPr>
          <w:vertAlign w:val="superscript"/>
        </w:rPr>
        <w:t>o</w:t>
      </w:r>
      <w:r w:rsidRPr="00E07570">
        <w:t> 94) ou d</w:t>
      </w:r>
      <w:r w:rsidR="00145E4B">
        <w:t>’</w:t>
      </w:r>
      <w:r w:rsidRPr="00E07570">
        <w:t>un choc latéral (Règlement n</w:t>
      </w:r>
      <w:r w:rsidRPr="00E07570">
        <w:rPr>
          <w:vertAlign w:val="superscript"/>
        </w:rPr>
        <w:t>o</w:t>
      </w:r>
      <w:r w:rsidRPr="00E07570">
        <w:t> 95) :</w:t>
      </w:r>
    </w:p>
    <w:p w:rsidR="0078245B" w:rsidRPr="00E07570" w:rsidRDefault="0078245B" w:rsidP="00BB7489">
      <w:pPr>
        <w:pStyle w:val="SingleTxtG"/>
        <w:ind w:left="2835" w:hanging="567"/>
      </w:pPr>
      <w:r w:rsidRPr="00E07570">
        <w:t>a)</w:t>
      </w:r>
      <w:r w:rsidRPr="00E07570">
        <w:tab/>
        <w:t>Un signal de déclenchement a été émis ;</w:t>
      </w:r>
    </w:p>
    <w:p w:rsidR="0078245B" w:rsidRPr="00E07570" w:rsidRDefault="0078245B" w:rsidP="00BB7489">
      <w:pPr>
        <w:pStyle w:val="SingleTxtG"/>
        <w:ind w:left="2835" w:hanging="567"/>
      </w:pPr>
      <w:r w:rsidRPr="00E07570">
        <w:t>b)</w:t>
      </w:r>
      <w:r w:rsidRPr="00E07570">
        <w:tab/>
        <w:t>L</w:t>
      </w:r>
      <w:r w:rsidR="00145E4B">
        <w:t>’</w:t>
      </w:r>
      <w:r w:rsidRPr="00E07570">
        <w:t>installation de l</w:t>
      </w:r>
      <w:r w:rsidR="00145E4B">
        <w:t>’</w:t>
      </w:r>
      <w:r w:rsidRPr="00E07570">
        <w:t>AECS n</w:t>
      </w:r>
      <w:r w:rsidR="00145E4B">
        <w:t>’</w:t>
      </w:r>
      <w:r w:rsidRPr="00E07570">
        <w:t>est pas perturbée par le choc subi par le véhicule.</w:t>
      </w:r>
    </w:p>
    <w:p w:rsidR="0078245B" w:rsidRPr="00E07570" w:rsidRDefault="0078245B" w:rsidP="001001B9">
      <w:pPr>
        <w:pStyle w:val="SingleTxtG"/>
        <w:ind w:left="2268" w:hanging="1134"/>
      </w:pPr>
      <w:r w:rsidRPr="00E07570">
        <w:rPr>
          <w:b/>
        </w:rPr>
        <w:t>35.5.1.2</w:t>
      </w:r>
      <w:r w:rsidRPr="00E07570">
        <w:tab/>
        <w:t>Dans le cas des véhicules de la catégorie M</w:t>
      </w:r>
      <w:r w:rsidRPr="00E07570">
        <w:rPr>
          <w:vertAlign w:val="subscript"/>
        </w:rPr>
        <w:t>1</w:t>
      </w:r>
      <w:r w:rsidRPr="00E07570">
        <w:t xml:space="preserve"> dont la masse totale </w:t>
      </w:r>
      <w:r w:rsidR="00305F8B" w:rsidRPr="00E07570">
        <w:t>admissible</w:t>
      </w:r>
      <w:r w:rsidRPr="00E07570">
        <w:t xml:space="preserve"> est inférieure ou égale à 2,5 tonnes et sur lesquels la hauteur du point R est supérieure à 700 m</w:t>
      </w:r>
      <w:r w:rsidR="00B77BC8" w:rsidRPr="00E07570">
        <w:t>m</w:t>
      </w:r>
      <w:r w:rsidRPr="00E07570">
        <w:t>, le signal de déclenchement est vérifié comme suit :</w:t>
      </w:r>
    </w:p>
    <w:p w:rsidR="0078245B" w:rsidRPr="00E07570" w:rsidRDefault="0078245B" w:rsidP="001001B9">
      <w:pPr>
        <w:pStyle w:val="SingleTxtG"/>
        <w:ind w:left="2268" w:hanging="1134"/>
      </w:pPr>
      <w:r w:rsidRPr="00E07570">
        <w:rPr>
          <w:b/>
        </w:rPr>
        <w:t>35.5.1.2.1</w:t>
      </w:r>
      <w:r w:rsidRPr="00E07570">
        <w:tab/>
        <w:t>En cas de collision du véhicule conformément à l</w:t>
      </w:r>
      <w:r w:rsidR="00145E4B">
        <w:t>’</w:t>
      </w:r>
      <w:r w:rsidRPr="00E07570">
        <w:t>annexe 3 du Règlement n</w:t>
      </w:r>
      <w:r w:rsidRPr="00E07570">
        <w:rPr>
          <w:vertAlign w:val="superscript"/>
        </w:rPr>
        <w:t>o</w:t>
      </w:r>
      <w:r w:rsidRPr="00E07570">
        <w:t> 94 (choc avant) ; ou</w:t>
      </w:r>
    </w:p>
    <w:p w:rsidR="0078245B" w:rsidRPr="00E07570" w:rsidRDefault="0078245B" w:rsidP="001001B9">
      <w:pPr>
        <w:pStyle w:val="SingleTxtG"/>
        <w:ind w:left="2268" w:hanging="1134"/>
      </w:pPr>
      <w:r w:rsidRPr="00E07570">
        <w:rPr>
          <w:b/>
        </w:rPr>
        <w:t>35.5.1.2.2</w:t>
      </w:r>
      <w:r w:rsidRPr="00E07570">
        <w:tab/>
        <w:t>Dans le cas de l</w:t>
      </w:r>
      <w:r w:rsidR="00145E4B">
        <w:t>’</w:t>
      </w:r>
      <w:r w:rsidRPr="00E07570">
        <w:t>extension d</w:t>
      </w:r>
      <w:r w:rsidR="00145E4B">
        <w:t>’</w:t>
      </w:r>
      <w:r w:rsidRPr="00E07570">
        <w:t>homologations de type en vertu du présent Règlement, ou dans le cas de l</w:t>
      </w:r>
      <w:r w:rsidR="00145E4B">
        <w:t>’</w:t>
      </w:r>
      <w:r w:rsidRPr="00E07570">
        <w:t>homologation de types de véhicules déjà accordée en vertu des Règlements n</w:t>
      </w:r>
      <w:r w:rsidRPr="00E07570">
        <w:rPr>
          <w:vertAlign w:val="superscript"/>
        </w:rPr>
        <w:t>os</w:t>
      </w:r>
      <w:r w:rsidRPr="00E07570">
        <w:t> 94 ou 95 avant l</w:t>
      </w:r>
      <w:r w:rsidR="00145E4B">
        <w:t>’</w:t>
      </w:r>
      <w:r w:rsidRPr="00E07570">
        <w:t>entrée en vigueur du présent Règlement, lorsqu</w:t>
      </w:r>
      <w:r w:rsidR="00145E4B">
        <w:t>’</w:t>
      </w:r>
      <w:r w:rsidRPr="00E07570">
        <w:t>il est démontré, documentation existante à l</w:t>
      </w:r>
      <w:r w:rsidR="00145E4B">
        <w:t>’</w:t>
      </w:r>
      <w:r w:rsidRPr="00E07570">
        <w:t>appui (rapport, images, données de simulation ou éléments équivalents) que lors d</w:t>
      </w:r>
      <w:r w:rsidR="00145E4B">
        <w:t>’</w:t>
      </w:r>
      <w:r w:rsidRPr="00E07570">
        <w:t>un choc avant (Règlement n</w:t>
      </w:r>
      <w:r w:rsidRPr="00E07570">
        <w:rPr>
          <w:vertAlign w:val="superscript"/>
        </w:rPr>
        <w:t>o</w:t>
      </w:r>
      <w:r w:rsidRPr="00E07570">
        <w:t> 94) :</w:t>
      </w:r>
    </w:p>
    <w:p w:rsidR="0078245B" w:rsidRPr="00E07570" w:rsidRDefault="0078245B" w:rsidP="00BB7489">
      <w:pPr>
        <w:pStyle w:val="SingleTxtG"/>
        <w:ind w:left="2835" w:hanging="567"/>
      </w:pPr>
      <w:r w:rsidRPr="00E07570">
        <w:t>a)</w:t>
      </w:r>
      <w:r w:rsidRPr="00E07570">
        <w:tab/>
        <w:t>Un signal de déclenchement a été émis ;</w:t>
      </w:r>
    </w:p>
    <w:p w:rsidR="0078245B" w:rsidRPr="00E07570" w:rsidRDefault="0078245B" w:rsidP="00BB7489">
      <w:pPr>
        <w:pStyle w:val="SingleTxtG"/>
        <w:ind w:left="2835" w:hanging="567"/>
      </w:pPr>
      <w:r w:rsidRPr="00E07570">
        <w:t>b)</w:t>
      </w:r>
      <w:r w:rsidRPr="00E07570">
        <w:tab/>
        <w:t>L</w:t>
      </w:r>
      <w:r w:rsidR="00145E4B">
        <w:t>’</w:t>
      </w:r>
      <w:r w:rsidRPr="00E07570">
        <w:t>installation de l</w:t>
      </w:r>
      <w:r w:rsidR="00145E4B">
        <w:t>’</w:t>
      </w:r>
      <w:r w:rsidRPr="00E07570">
        <w:t>AECS n</w:t>
      </w:r>
      <w:r w:rsidR="00145E4B">
        <w:t>’</w:t>
      </w:r>
      <w:r w:rsidRPr="00E07570">
        <w:t>est pas perturbée par le choc subi par le véhicule.</w:t>
      </w:r>
    </w:p>
    <w:p w:rsidR="0078245B" w:rsidRPr="00E07570" w:rsidRDefault="0078245B" w:rsidP="001001B9">
      <w:pPr>
        <w:pStyle w:val="SingleTxtG"/>
        <w:ind w:left="2268" w:hanging="1134"/>
      </w:pPr>
      <w:r w:rsidRPr="00E07570">
        <w:rPr>
          <w:b/>
        </w:rPr>
        <w:t>35.5.1.3</w:t>
      </w:r>
      <w:r w:rsidRPr="00E07570">
        <w:tab/>
        <w:t>Dans le cas des véhicules de la catégorie M</w:t>
      </w:r>
      <w:r w:rsidRPr="00E07570">
        <w:rPr>
          <w:vertAlign w:val="subscript"/>
        </w:rPr>
        <w:t>1</w:t>
      </w:r>
      <w:r w:rsidRPr="00E07570">
        <w:t xml:space="preserve"> dont la masse totale </w:t>
      </w:r>
      <w:r w:rsidR="00305F8B" w:rsidRPr="00E07570">
        <w:t>admissible</w:t>
      </w:r>
      <w:r w:rsidRPr="00E07570">
        <w:t xml:space="preserve"> est supérieure à 2,5 tonnes et sur lesquels le point R est situé à une hauteur inférieure ou égale à 700 m</w:t>
      </w:r>
      <w:r w:rsidR="00B77BC8" w:rsidRPr="00E07570">
        <w:t>m</w:t>
      </w:r>
      <w:r w:rsidRPr="00E07570">
        <w:t>, le signal de déclenchement est vérifié comme suit :</w:t>
      </w:r>
    </w:p>
    <w:p w:rsidR="0078245B" w:rsidRPr="00E07570" w:rsidRDefault="0078245B" w:rsidP="001001B9">
      <w:pPr>
        <w:pStyle w:val="SingleTxtG"/>
        <w:ind w:left="2268" w:hanging="1134"/>
      </w:pPr>
      <w:r w:rsidRPr="00E07570">
        <w:rPr>
          <w:b/>
        </w:rPr>
        <w:t>35.5.1.3.1</w:t>
      </w:r>
      <w:r w:rsidRPr="00E07570">
        <w:tab/>
        <w:t>En cas de choc latéral conformément à l</w:t>
      </w:r>
      <w:r w:rsidR="00145E4B">
        <w:t>’</w:t>
      </w:r>
      <w:r w:rsidRPr="00E07570">
        <w:t>annexe 4 du Règlement n</w:t>
      </w:r>
      <w:r w:rsidRPr="00E07570">
        <w:rPr>
          <w:vertAlign w:val="superscript"/>
        </w:rPr>
        <w:t>o</w:t>
      </w:r>
      <w:r w:rsidRPr="00E07570">
        <w:t xml:space="preserve"> 95 ; ou </w:t>
      </w:r>
    </w:p>
    <w:p w:rsidR="0078245B" w:rsidRPr="00E07570" w:rsidRDefault="0078245B" w:rsidP="001001B9">
      <w:pPr>
        <w:pStyle w:val="SingleTxtG"/>
        <w:ind w:left="2268" w:hanging="1134"/>
      </w:pPr>
      <w:r w:rsidRPr="00E07570">
        <w:rPr>
          <w:b/>
        </w:rPr>
        <w:t>35.5.1.3.2</w:t>
      </w:r>
      <w:r w:rsidRPr="00E07570">
        <w:tab/>
        <w:t>Dans le cas de l</w:t>
      </w:r>
      <w:r w:rsidR="00145E4B">
        <w:t>’</w:t>
      </w:r>
      <w:r w:rsidRPr="00E07570">
        <w:t>extension d</w:t>
      </w:r>
      <w:r w:rsidR="00145E4B">
        <w:t>’</w:t>
      </w:r>
      <w:r w:rsidRPr="00E07570">
        <w:t>homologations de type en vertu du présent Règlement, ou dans le cas de l</w:t>
      </w:r>
      <w:r w:rsidR="00145E4B">
        <w:t>’</w:t>
      </w:r>
      <w:r w:rsidRPr="00E07570">
        <w:t>homologation de types de véhicules déjà accordée en vertu des Règlements n</w:t>
      </w:r>
      <w:r w:rsidRPr="00E07570">
        <w:rPr>
          <w:vertAlign w:val="superscript"/>
        </w:rPr>
        <w:t>os</w:t>
      </w:r>
      <w:r w:rsidRPr="00E07570">
        <w:t> 94 ou 95 avant l</w:t>
      </w:r>
      <w:r w:rsidR="00145E4B">
        <w:t>’</w:t>
      </w:r>
      <w:r w:rsidRPr="00E07570">
        <w:t>entrée en vigueur du présent Règlement, lorsqu</w:t>
      </w:r>
      <w:r w:rsidR="00145E4B">
        <w:t>’</w:t>
      </w:r>
      <w:r w:rsidRPr="00E07570">
        <w:t>il est démontré, documentation existante à l</w:t>
      </w:r>
      <w:r w:rsidR="00145E4B">
        <w:t>’</w:t>
      </w:r>
      <w:r w:rsidRPr="00E07570">
        <w:t>appui (rapport, images, données de simulation ou éléments équivalents) que lors d</w:t>
      </w:r>
      <w:r w:rsidR="00145E4B">
        <w:t>’</w:t>
      </w:r>
      <w:r w:rsidRPr="00E07570">
        <w:t>un choc latéral (Règlement n</w:t>
      </w:r>
      <w:r w:rsidRPr="00E07570">
        <w:rPr>
          <w:vertAlign w:val="superscript"/>
        </w:rPr>
        <w:t>o</w:t>
      </w:r>
      <w:r w:rsidRPr="00E07570">
        <w:t> 95) :</w:t>
      </w:r>
    </w:p>
    <w:p w:rsidR="0078245B" w:rsidRPr="00E07570" w:rsidRDefault="0078245B" w:rsidP="00BB7489">
      <w:pPr>
        <w:pStyle w:val="SingleTxtG"/>
        <w:ind w:left="2835" w:hanging="567"/>
      </w:pPr>
      <w:r w:rsidRPr="00E07570">
        <w:t>a)</w:t>
      </w:r>
      <w:r w:rsidRPr="00E07570">
        <w:tab/>
        <w:t>Un signal de déclenchement a été émis ;</w:t>
      </w:r>
    </w:p>
    <w:p w:rsidR="0078245B" w:rsidRPr="00E07570" w:rsidRDefault="0078245B" w:rsidP="00BB7489">
      <w:pPr>
        <w:pStyle w:val="SingleTxtG"/>
        <w:ind w:left="2835" w:hanging="567"/>
      </w:pPr>
      <w:r w:rsidRPr="00E07570">
        <w:t>b)</w:t>
      </w:r>
      <w:r w:rsidRPr="00E07570">
        <w:tab/>
        <w:t>L</w:t>
      </w:r>
      <w:r w:rsidR="00145E4B">
        <w:t>’</w:t>
      </w:r>
      <w:r w:rsidRPr="00E07570">
        <w:t>installation de l</w:t>
      </w:r>
      <w:r w:rsidR="00145E4B">
        <w:t>’</w:t>
      </w:r>
      <w:r w:rsidRPr="00E07570">
        <w:t>AECS n</w:t>
      </w:r>
      <w:r w:rsidR="00145E4B">
        <w:t>’</w:t>
      </w:r>
      <w:r w:rsidRPr="00E07570">
        <w:t>est pas perturbée par le choc subi par le véhicule.</w:t>
      </w:r>
    </w:p>
    <w:p w:rsidR="0078245B" w:rsidRPr="00E07570" w:rsidRDefault="0078245B" w:rsidP="001001B9">
      <w:pPr>
        <w:pStyle w:val="SingleTxtG"/>
        <w:ind w:left="2268" w:hanging="1134"/>
      </w:pPr>
      <w:r w:rsidRPr="00E07570">
        <w:rPr>
          <w:b/>
        </w:rPr>
        <w:t>35.5.1.4</w:t>
      </w:r>
      <w:r w:rsidRPr="00E07570">
        <w:tab/>
        <w:t>Dans le cas des véhicules de la catégorie M</w:t>
      </w:r>
      <w:r w:rsidRPr="00E07570">
        <w:rPr>
          <w:vertAlign w:val="subscript"/>
        </w:rPr>
        <w:t>1</w:t>
      </w:r>
      <w:r w:rsidRPr="00E07570">
        <w:t xml:space="preserve"> dont la masse </w:t>
      </w:r>
      <w:r w:rsidR="00305F8B" w:rsidRPr="00E07570">
        <w:t>admissible</w:t>
      </w:r>
      <w:r w:rsidRPr="00E07570">
        <w:t xml:space="preserve"> totale dépasse 2,5 tonnes et sur lesquels le point R est situé à une hauteur supérieure à 700 mm :</w:t>
      </w:r>
    </w:p>
    <w:p w:rsidR="0078245B" w:rsidRPr="00E07570" w:rsidRDefault="0078245B" w:rsidP="001001B9">
      <w:pPr>
        <w:pStyle w:val="SingleTxtG"/>
        <w:ind w:left="2268" w:hanging="1134"/>
      </w:pPr>
      <w:r w:rsidRPr="00E07570">
        <w:rPr>
          <w:b/>
        </w:rPr>
        <w:t>35.5.1.4.1</w:t>
      </w:r>
      <w:r w:rsidRPr="00E07570">
        <w:tab/>
        <w:t>Le constructeur doit démontrer, documentation à l</w:t>
      </w:r>
      <w:r w:rsidR="00145E4B">
        <w:t>’</w:t>
      </w:r>
      <w:r w:rsidRPr="00E07570">
        <w:t>appui (rapport, images, croquis ou preuves équivalentes) qu</w:t>
      </w:r>
      <w:r w:rsidR="00145E4B">
        <w:t>’</w:t>
      </w:r>
      <w:r w:rsidRPr="00E07570">
        <w:t>un signal de déclenchement existe pour l</w:t>
      </w:r>
      <w:r w:rsidR="00145E4B">
        <w:t>’</w:t>
      </w:r>
      <w:r w:rsidRPr="00E07570">
        <w:t>AECS.</w:t>
      </w:r>
    </w:p>
    <w:p w:rsidR="0078245B" w:rsidRPr="00E07570" w:rsidRDefault="0078245B" w:rsidP="001001B9">
      <w:pPr>
        <w:pStyle w:val="SingleTxtG"/>
        <w:ind w:left="2268" w:hanging="1134"/>
      </w:pPr>
      <w:r w:rsidRPr="00E07570">
        <w:rPr>
          <w:b/>
        </w:rPr>
        <w:t>35.5.2</w:t>
      </w:r>
      <w:r w:rsidRPr="00E07570">
        <w:tab/>
        <w:t>Les véhicules de la catégorie N</w:t>
      </w:r>
      <w:r w:rsidRPr="00E07570">
        <w:rPr>
          <w:vertAlign w:val="subscript"/>
        </w:rPr>
        <w:t>1</w:t>
      </w:r>
      <w:r w:rsidRPr="00E07570">
        <w:t xml:space="preserve"> sont soumis aux prescriptions suivantes :</w:t>
      </w:r>
    </w:p>
    <w:p w:rsidR="0078245B" w:rsidRPr="00E07570" w:rsidRDefault="0078245B" w:rsidP="001001B9">
      <w:pPr>
        <w:pStyle w:val="SingleTxtG"/>
        <w:ind w:left="2268" w:hanging="1134"/>
      </w:pPr>
      <w:r w:rsidRPr="00E07570">
        <w:rPr>
          <w:b/>
        </w:rPr>
        <w:t>35.5.2.1</w:t>
      </w:r>
      <w:r w:rsidRPr="00E07570">
        <w:tab/>
        <w:t>Dans le cas des véhicules de la catégorie N</w:t>
      </w:r>
      <w:r w:rsidRPr="00E07570">
        <w:rPr>
          <w:vertAlign w:val="subscript"/>
        </w:rPr>
        <w:t>1</w:t>
      </w:r>
      <w:r w:rsidRPr="00E07570">
        <w:t xml:space="preserve"> sur lesquels le point</w:t>
      </w:r>
      <w:r w:rsidR="00B77BC8" w:rsidRPr="00E07570">
        <w:t> </w:t>
      </w:r>
      <w:r w:rsidRPr="00E07570">
        <w:t>R est situé à une hauteur inférieure ou égale à 700 mm, la vérification du signal de déclenchement s</w:t>
      </w:r>
      <w:r w:rsidR="00145E4B">
        <w:t>’</w:t>
      </w:r>
      <w:r w:rsidRPr="00E07570">
        <w:t>effectue comme suit :</w:t>
      </w:r>
    </w:p>
    <w:p w:rsidR="0078245B" w:rsidRPr="00E07570" w:rsidRDefault="0078245B" w:rsidP="001001B9">
      <w:pPr>
        <w:pStyle w:val="SingleTxtG"/>
        <w:ind w:left="2268" w:hanging="1134"/>
      </w:pPr>
      <w:r w:rsidRPr="00E07570">
        <w:rPr>
          <w:b/>
        </w:rPr>
        <w:t>35.5.2.1.1</w:t>
      </w:r>
      <w:r w:rsidRPr="00E07570">
        <w:tab/>
        <w:t>Dans le cas d</w:t>
      </w:r>
      <w:r w:rsidR="00145E4B">
        <w:t>’</w:t>
      </w:r>
      <w:r w:rsidRPr="00E07570">
        <w:t>un choc latéral conformément au Règlement n</w:t>
      </w:r>
      <w:r w:rsidRPr="00E07570">
        <w:rPr>
          <w:vertAlign w:val="superscript"/>
        </w:rPr>
        <w:t>o</w:t>
      </w:r>
      <w:r w:rsidRPr="00E07570">
        <w:t> 95 ; ou</w:t>
      </w:r>
    </w:p>
    <w:p w:rsidR="0078245B" w:rsidRPr="00E07570" w:rsidRDefault="0078245B" w:rsidP="001001B9">
      <w:pPr>
        <w:pStyle w:val="SingleTxtG"/>
        <w:ind w:left="2268" w:hanging="1134"/>
      </w:pPr>
      <w:r w:rsidRPr="00E07570">
        <w:rPr>
          <w:b/>
        </w:rPr>
        <w:t>35.5.2.1.2</w:t>
      </w:r>
      <w:r w:rsidRPr="00E07570">
        <w:tab/>
        <w:t>Dans le cas de l</w:t>
      </w:r>
      <w:r w:rsidR="00145E4B">
        <w:t>’</w:t>
      </w:r>
      <w:r w:rsidRPr="00E07570">
        <w:t>extension d</w:t>
      </w:r>
      <w:r w:rsidR="00145E4B">
        <w:t>’</w:t>
      </w:r>
      <w:r w:rsidRPr="00E07570">
        <w:t>homologations de type en vertu du présent Règlement ou dans le cas de l</w:t>
      </w:r>
      <w:r w:rsidR="00145E4B">
        <w:t>’</w:t>
      </w:r>
      <w:r w:rsidRPr="00E07570">
        <w:t>homologation de types de véhicules déjà homologués en vertu des Règlements n</w:t>
      </w:r>
      <w:r w:rsidRPr="00E07570">
        <w:rPr>
          <w:vertAlign w:val="superscript"/>
        </w:rPr>
        <w:t>os</w:t>
      </w:r>
      <w:r w:rsidRPr="00E07570">
        <w:t> 94 ou 95 avant l</w:t>
      </w:r>
      <w:r w:rsidR="00145E4B">
        <w:t>’</w:t>
      </w:r>
      <w:r w:rsidRPr="00E07570">
        <w:t>entrée en vigueur du présent Règlement, lorsqu</w:t>
      </w:r>
      <w:r w:rsidR="00145E4B">
        <w:t>’</w:t>
      </w:r>
      <w:r w:rsidRPr="00E07570">
        <w:t>il est démontré, documentation existante à l</w:t>
      </w:r>
      <w:r w:rsidR="00145E4B">
        <w:t>’</w:t>
      </w:r>
      <w:r w:rsidRPr="00E07570">
        <w:t>appui (rapport, images, données de simulation ou documents équivalents) que lors d</w:t>
      </w:r>
      <w:r w:rsidR="00145E4B">
        <w:t>’</w:t>
      </w:r>
      <w:r w:rsidRPr="00E07570">
        <w:t>un essai de choc avant (Règlement n</w:t>
      </w:r>
      <w:r w:rsidRPr="00E07570">
        <w:rPr>
          <w:vertAlign w:val="superscript"/>
        </w:rPr>
        <w:t>o</w:t>
      </w:r>
      <w:r w:rsidRPr="00E07570">
        <w:t> 94) ou de choc latéral (Règlement n</w:t>
      </w:r>
      <w:r w:rsidRPr="00E07570">
        <w:rPr>
          <w:vertAlign w:val="superscript"/>
        </w:rPr>
        <w:t>o</w:t>
      </w:r>
      <w:r w:rsidRPr="00E07570">
        <w:t> 95) :</w:t>
      </w:r>
    </w:p>
    <w:p w:rsidR="0078245B" w:rsidRPr="00E07570" w:rsidRDefault="0078245B" w:rsidP="00BB7489">
      <w:pPr>
        <w:pStyle w:val="SingleTxtG"/>
        <w:ind w:left="2835" w:hanging="567"/>
      </w:pPr>
      <w:r w:rsidRPr="00E07570">
        <w:t>a)</w:t>
      </w:r>
      <w:r w:rsidRPr="00E07570">
        <w:tab/>
        <w:t>Un signal de déclenchement a été émis ;</w:t>
      </w:r>
    </w:p>
    <w:p w:rsidR="0078245B" w:rsidRPr="00E07570" w:rsidRDefault="0078245B" w:rsidP="00BB7489">
      <w:pPr>
        <w:pStyle w:val="SingleTxtG"/>
        <w:ind w:left="2835" w:hanging="567"/>
      </w:pPr>
      <w:r w:rsidRPr="00E07570">
        <w:t>b)</w:t>
      </w:r>
      <w:r w:rsidRPr="00E07570">
        <w:tab/>
        <w:t>L</w:t>
      </w:r>
      <w:r w:rsidR="00145E4B">
        <w:t>’</w:t>
      </w:r>
      <w:r w:rsidRPr="00E07570">
        <w:t>installation de l</w:t>
      </w:r>
      <w:r w:rsidR="00145E4B">
        <w:t>’</w:t>
      </w:r>
      <w:r w:rsidRPr="00E07570">
        <w:t>AECD n</w:t>
      </w:r>
      <w:r w:rsidR="00145E4B">
        <w:t>’</w:t>
      </w:r>
      <w:r w:rsidRPr="00E07570">
        <w:t>est pas perturbée par le choc subi par le véhicule.</w:t>
      </w:r>
    </w:p>
    <w:p w:rsidR="0078245B" w:rsidRPr="00E07570" w:rsidRDefault="0078245B" w:rsidP="001001B9">
      <w:pPr>
        <w:pStyle w:val="SingleTxtG"/>
        <w:ind w:left="2268" w:hanging="1134"/>
      </w:pPr>
      <w:r w:rsidRPr="00E07570">
        <w:rPr>
          <w:b/>
        </w:rPr>
        <w:t>35.5.2.2</w:t>
      </w:r>
      <w:r w:rsidRPr="00E07570">
        <w:tab/>
        <w:t>Dans le cas des véhicules de la catégorie N</w:t>
      </w:r>
      <w:r w:rsidRPr="00E07570">
        <w:rPr>
          <w:vertAlign w:val="subscript"/>
        </w:rPr>
        <w:t>1</w:t>
      </w:r>
      <w:r w:rsidRPr="00E07570">
        <w:t xml:space="preserve"> sur lesquels le point R est situé à une hauteur supérieure à 700 mm :</w:t>
      </w:r>
    </w:p>
    <w:p w:rsidR="0078245B" w:rsidRPr="00E07570" w:rsidRDefault="0078245B" w:rsidP="001001B9">
      <w:pPr>
        <w:pStyle w:val="SingleTxtG"/>
        <w:ind w:left="2268" w:hanging="1134"/>
      </w:pPr>
      <w:r w:rsidRPr="00E07570">
        <w:rPr>
          <w:b/>
        </w:rPr>
        <w:t>35.5.2.2.1</w:t>
      </w:r>
      <w:r w:rsidRPr="00E07570">
        <w:tab/>
        <w:t>Le constructeur doit apporter la preuve, documentation à l</w:t>
      </w:r>
      <w:r w:rsidR="00145E4B">
        <w:t>’</w:t>
      </w:r>
      <w:r w:rsidRPr="00E07570">
        <w:t>appui (rapport, images, croquis ou documents équivalents), qu</w:t>
      </w:r>
      <w:r w:rsidR="00145E4B">
        <w:t>’</w:t>
      </w:r>
      <w:r w:rsidRPr="00E07570">
        <w:t>un signal de déclenchement existe aux fins de l</w:t>
      </w:r>
      <w:r w:rsidR="00145E4B">
        <w:t>’</w:t>
      </w:r>
      <w:r w:rsidRPr="00E07570">
        <w:t>AECS.</w:t>
      </w:r>
    </w:p>
    <w:p w:rsidR="0078245B" w:rsidRPr="00E07570" w:rsidRDefault="0078245B" w:rsidP="001001B9">
      <w:pPr>
        <w:pStyle w:val="SingleTxtG"/>
        <w:ind w:left="2268" w:hanging="1134"/>
      </w:pPr>
      <w:r w:rsidRPr="00E07570">
        <w:rPr>
          <w:b/>
        </w:rPr>
        <w:t>35.6</w:t>
      </w:r>
      <w:r w:rsidRPr="00E07570">
        <w:tab/>
        <w:t>Commande de l</w:t>
      </w:r>
      <w:r w:rsidR="00145E4B">
        <w:t>’</w:t>
      </w:r>
      <w:r w:rsidRPr="00E07570">
        <w:t>AECS</w:t>
      </w:r>
    </w:p>
    <w:p w:rsidR="0078245B" w:rsidRPr="00E07570" w:rsidRDefault="0078245B" w:rsidP="00B77BC8">
      <w:pPr>
        <w:pStyle w:val="SingleTxtG"/>
        <w:ind w:left="2268"/>
      </w:pPr>
      <w:r w:rsidRPr="00E07570">
        <w:t>Le véhicule soumis à l</w:t>
      </w:r>
      <w:r w:rsidR="00145E4B">
        <w:t>’</w:t>
      </w:r>
      <w:r w:rsidRPr="00E07570">
        <w:t>essai d</w:t>
      </w:r>
      <w:r w:rsidR="00145E4B">
        <w:t>’</w:t>
      </w:r>
      <w:r w:rsidRPr="00E07570">
        <w:t>homologation doit être équipé d</w:t>
      </w:r>
      <w:r w:rsidR="00145E4B">
        <w:t>’</w:t>
      </w:r>
      <w:r w:rsidRPr="00E07570">
        <w:t>une commande d</w:t>
      </w:r>
      <w:r w:rsidR="00145E4B">
        <w:t>’</w:t>
      </w:r>
      <w:r w:rsidRPr="00E07570">
        <w:t>AECS.</w:t>
      </w:r>
    </w:p>
    <w:p w:rsidR="0078245B" w:rsidRPr="00E07570" w:rsidRDefault="0078245B" w:rsidP="001001B9">
      <w:pPr>
        <w:pStyle w:val="SingleTxtG"/>
        <w:ind w:left="2268" w:hanging="1134"/>
      </w:pPr>
      <w:r w:rsidRPr="00E07570">
        <w:rPr>
          <w:b/>
        </w:rPr>
        <w:t>35.6.1</w:t>
      </w:r>
      <w:r w:rsidRPr="00E07570">
        <w:tab/>
        <w:t>La commande d</w:t>
      </w:r>
      <w:r w:rsidR="00145E4B">
        <w:t>’</w:t>
      </w:r>
      <w:r w:rsidRPr="00E07570">
        <w:t>AECS doit être installée de façon à satisfaire aux prescriptions en vigueur et aux dispositions transitoires du Règlement n</w:t>
      </w:r>
      <w:r w:rsidRPr="00E07570">
        <w:rPr>
          <w:vertAlign w:val="superscript"/>
        </w:rPr>
        <w:t>o</w:t>
      </w:r>
      <w:r w:rsidRPr="00E07570">
        <w:t> 121, série 01 d</w:t>
      </w:r>
      <w:r w:rsidR="00145E4B">
        <w:t>’</w:t>
      </w:r>
      <w:r w:rsidRPr="00E07570">
        <w:t>amendements toute autre série ultérieure d</w:t>
      </w:r>
      <w:r w:rsidR="00145E4B">
        <w:t>’</w:t>
      </w:r>
      <w:r w:rsidRPr="00E07570">
        <w:t>amendements.</w:t>
      </w:r>
    </w:p>
    <w:p w:rsidR="0078245B" w:rsidRPr="00E07570" w:rsidRDefault="0078245B" w:rsidP="001001B9">
      <w:pPr>
        <w:pStyle w:val="SingleTxtG"/>
        <w:ind w:left="2268" w:hanging="1134"/>
      </w:pPr>
      <w:r w:rsidRPr="00E07570">
        <w:rPr>
          <w:b/>
        </w:rPr>
        <w:t>35.6.2</w:t>
      </w:r>
      <w:r w:rsidRPr="00E07570">
        <w:tab/>
        <w:t>La commande d</w:t>
      </w:r>
      <w:r w:rsidR="00145E4B">
        <w:t>’</w:t>
      </w:r>
      <w:r w:rsidRPr="00E07570">
        <w:t>AECS doit être conçue et/ou placée de façon à réduire le risque d</w:t>
      </w:r>
      <w:r w:rsidR="00145E4B">
        <w:t>’</w:t>
      </w:r>
      <w:r w:rsidRPr="00E07570">
        <w:t>activation par inadvertance.</w:t>
      </w:r>
    </w:p>
    <w:p w:rsidR="0078245B" w:rsidRPr="00E07570" w:rsidRDefault="0078245B" w:rsidP="001001B9">
      <w:pPr>
        <w:pStyle w:val="SingleTxtG"/>
        <w:ind w:left="2268" w:hanging="1134"/>
      </w:pPr>
      <w:r w:rsidRPr="00E07570">
        <w:rPr>
          <w:b/>
        </w:rPr>
        <w:t>35.6.3</w:t>
      </w:r>
      <w:r w:rsidRPr="00E07570">
        <w:tab/>
        <w:t>Si la commande d</w:t>
      </w:r>
      <w:r w:rsidR="00145E4B">
        <w:t>’</w:t>
      </w:r>
      <w:r w:rsidRPr="00E07570">
        <w:t>AECS fait partie d</w:t>
      </w:r>
      <w:r w:rsidR="00145E4B">
        <w:t>’</w:t>
      </w:r>
      <w:r w:rsidRPr="00E07570">
        <w:t>un affichage multitâche, son activation doit être pos</w:t>
      </w:r>
      <w:r w:rsidR="004C092A" w:rsidRPr="00E07570">
        <w:t>sibl</w:t>
      </w:r>
      <w:r w:rsidRPr="00E07570">
        <w:t>e au moyen de deux actions dél</w:t>
      </w:r>
      <w:r w:rsidR="004C092A" w:rsidRPr="00E07570">
        <w:t>ibé</w:t>
      </w:r>
      <w:r w:rsidRPr="00E07570">
        <w:t>rées au maximum.</w:t>
      </w:r>
    </w:p>
    <w:p w:rsidR="0078245B" w:rsidRPr="00E07570" w:rsidRDefault="0078245B" w:rsidP="001001B9">
      <w:pPr>
        <w:pStyle w:val="SingleTxtG"/>
        <w:ind w:left="2268" w:hanging="1134"/>
      </w:pPr>
      <w:r w:rsidRPr="00E07570">
        <w:rPr>
          <w:b/>
        </w:rPr>
        <w:t>35.6.4</w:t>
      </w:r>
      <w:r w:rsidRPr="00E07570">
        <w:tab/>
        <w:t>Le fonctionnement de la commande d</w:t>
      </w:r>
      <w:r w:rsidR="00145E4B">
        <w:t>’</w:t>
      </w:r>
      <w:r w:rsidRPr="00E07570">
        <w:t>AECS doit satisfaire aux prescriptions de l</w:t>
      </w:r>
      <w:r w:rsidR="00145E4B">
        <w:t>’</w:t>
      </w:r>
      <w:r w:rsidRPr="00E07570">
        <w:t>annexe </w:t>
      </w:r>
      <w:r w:rsidRPr="00E07570">
        <w:rPr>
          <w:b/>
        </w:rPr>
        <w:t>11</w:t>
      </w:r>
      <w:r w:rsidRPr="00E07570">
        <w:t>, paragraphe 1.</w:t>
      </w:r>
    </w:p>
    <w:p w:rsidR="0078245B" w:rsidRPr="00E07570" w:rsidRDefault="0078245B" w:rsidP="001001B9">
      <w:pPr>
        <w:pStyle w:val="SingleTxtG"/>
        <w:ind w:left="2268" w:hanging="1134"/>
      </w:pPr>
      <w:r w:rsidRPr="00E07570">
        <w:rPr>
          <w:b/>
        </w:rPr>
        <w:t>35.6.5</w:t>
      </w:r>
      <w:r w:rsidRPr="00E07570">
        <w:tab/>
        <w:t>La désactivation de l</w:t>
      </w:r>
      <w:r w:rsidR="00145E4B">
        <w:t>’</w:t>
      </w:r>
      <w:r w:rsidRPr="00E07570">
        <w:t>AECS au moyen d</w:t>
      </w:r>
      <w:r w:rsidR="00145E4B">
        <w:t>’</w:t>
      </w:r>
      <w:r w:rsidRPr="00E07570">
        <w:t>une IHM ne doit pas être pos</w:t>
      </w:r>
      <w:r w:rsidR="004C092A" w:rsidRPr="00E07570">
        <w:t>sib</w:t>
      </w:r>
      <w:r w:rsidRPr="00E07570">
        <w:t>le. Une désactivation temporaire doit être autorisée pour les opérations d</w:t>
      </w:r>
      <w:r w:rsidR="00145E4B">
        <w:t>’</w:t>
      </w:r>
      <w:r w:rsidRPr="00E07570">
        <w:t>entretien et de réparation.</w:t>
      </w:r>
    </w:p>
    <w:p w:rsidR="0078245B" w:rsidRPr="00E07570" w:rsidRDefault="0078245B" w:rsidP="001001B9">
      <w:pPr>
        <w:pStyle w:val="SingleTxtG"/>
        <w:ind w:left="2268" w:hanging="1134"/>
      </w:pPr>
      <w:r w:rsidRPr="00E07570">
        <w:rPr>
          <w:b/>
        </w:rPr>
        <w:t>35.7</w:t>
      </w:r>
      <w:r w:rsidRPr="00E07570">
        <w:tab/>
        <w:t>Informations concernant l</w:t>
      </w:r>
      <w:r w:rsidR="00145E4B">
        <w:t>’</w:t>
      </w:r>
      <w:r w:rsidRPr="00E07570">
        <w:t>AECS et signal d</w:t>
      </w:r>
      <w:r w:rsidR="00145E4B">
        <w:t>’</w:t>
      </w:r>
      <w:r w:rsidRPr="00E07570">
        <w:t>avertissement</w:t>
      </w:r>
    </w:p>
    <w:p w:rsidR="0078245B" w:rsidRPr="00E07570" w:rsidRDefault="0078245B" w:rsidP="001001B9">
      <w:pPr>
        <w:pStyle w:val="SingleTxtG"/>
        <w:ind w:left="2268" w:hanging="1134"/>
      </w:pPr>
      <w:r w:rsidRPr="00E07570">
        <w:rPr>
          <w:b/>
        </w:rPr>
        <w:t>35.7.1</w:t>
      </w:r>
      <w:r w:rsidRPr="00E07570">
        <w:tab/>
        <w:t>Les informations AECS et/ou le signal d</w:t>
      </w:r>
      <w:r w:rsidR="00145E4B">
        <w:t>’</w:t>
      </w:r>
      <w:r w:rsidRPr="00E07570">
        <w:t>avertissement doivent être installés de façon à satisfaire aux prescriptions du Règlement n</w:t>
      </w:r>
      <w:r w:rsidRPr="00E07570">
        <w:rPr>
          <w:vertAlign w:val="superscript"/>
        </w:rPr>
        <w:t>o</w:t>
      </w:r>
      <w:r w:rsidRPr="00E07570">
        <w:t> 121, série 01 d</w:t>
      </w:r>
      <w:r w:rsidR="00145E4B">
        <w:t>’</w:t>
      </w:r>
      <w:r w:rsidRPr="00E07570">
        <w:t>amendements ou toute autre série ultérieure.</w:t>
      </w:r>
    </w:p>
    <w:p w:rsidR="0078245B" w:rsidRPr="00E07570" w:rsidRDefault="0078245B" w:rsidP="001001B9">
      <w:pPr>
        <w:pStyle w:val="SingleTxtG"/>
        <w:ind w:left="2268" w:hanging="1134"/>
      </w:pPr>
      <w:r w:rsidRPr="00E07570">
        <w:rPr>
          <w:b/>
        </w:rPr>
        <w:t>35.7.2</w:t>
      </w:r>
      <w:r w:rsidRPr="00E07570">
        <w:tab/>
        <w:t>Les informations ci-dessous doivent être communiquées à propos du statut de la procédure d</w:t>
      </w:r>
      <w:r w:rsidR="00145E4B">
        <w:t>’</w:t>
      </w:r>
      <w:r w:rsidRPr="00E07570">
        <w:t>appel d</w:t>
      </w:r>
      <w:r w:rsidR="00145E4B">
        <w:t>’</w:t>
      </w:r>
      <w:r w:rsidRPr="00E07570">
        <w:t>urgence lorsque l</w:t>
      </w:r>
      <w:r w:rsidR="00145E4B">
        <w:t>’</w:t>
      </w:r>
      <w:r w:rsidRPr="00E07570">
        <w:t>AECS est déclenché de façon manuelle ou automatique :</w:t>
      </w:r>
    </w:p>
    <w:p w:rsidR="0078245B" w:rsidRPr="00E07570" w:rsidRDefault="0078245B" w:rsidP="00BB7489">
      <w:pPr>
        <w:pStyle w:val="SingleTxtG"/>
        <w:ind w:left="2835" w:hanging="567"/>
      </w:pPr>
      <w:r w:rsidRPr="00E07570">
        <w:t>a)</w:t>
      </w:r>
      <w:r w:rsidRPr="00E07570">
        <w:tab/>
        <w:t>Le système est activé (déclenchement de l</w:t>
      </w:r>
      <w:r w:rsidR="00145E4B">
        <w:t>’</w:t>
      </w:r>
      <w:r w:rsidRPr="00E07570">
        <w:t>appel d</w:t>
      </w:r>
      <w:r w:rsidR="00145E4B">
        <w:t>’</w:t>
      </w:r>
      <w:r w:rsidRPr="00E07570">
        <w:t>urgence, établissement de la connexion, transmission des données en cours ou achevée ou communication vocale en cours) ;</w:t>
      </w:r>
    </w:p>
    <w:p w:rsidR="0078245B" w:rsidRPr="00E07570" w:rsidRDefault="0078245B" w:rsidP="00BB7489">
      <w:pPr>
        <w:pStyle w:val="SingleTxtG"/>
        <w:ind w:left="2835" w:hanging="567"/>
      </w:pPr>
      <w:r w:rsidRPr="00E07570">
        <w:t>b)</w:t>
      </w:r>
      <w:r w:rsidRPr="00E07570">
        <w:tab/>
        <w:t xml:space="preserve">Échec de la transmission (échec de la connexion ou échec </w:t>
      </w:r>
      <w:r w:rsidR="00B80515" w:rsidRPr="00E07570">
        <w:t>de la transmission de données).</w:t>
      </w:r>
    </w:p>
    <w:p w:rsidR="0078245B" w:rsidRPr="00E07570" w:rsidRDefault="0078245B" w:rsidP="00271D3F">
      <w:pPr>
        <w:pStyle w:val="SingleTxtG"/>
        <w:ind w:left="2268"/>
      </w:pPr>
      <w:r w:rsidRPr="00E07570">
        <w:t>Ces deux situations doivent être conformes aux dispositions de l</w:t>
      </w:r>
      <w:r w:rsidR="00145E4B">
        <w:t>’</w:t>
      </w:r>
      <w:r w:rsidRPr="00E07570">
        <w:t>annexe </w:t>
      </w:r>
      <w:r w:rsidRPr="00E07570">
        <w:rPr>
          <w:b/>
        </w:rPr>
        <w:t>11</w:t>
      </w:r>
      <w:r w:rsidRPr="00E07570">
        <w:t>, respectivement aux paragraphes 1 et 2.</w:t>
      </w:r>
    </w:p>
    <w:p w:rsidR="0078245B" w:rsidRPr="00E07570" w:rsidRDefault="0078245B" w:rsidP="001001B9">
      <w:pPr>
        <w:pStyle w:val="SingleTxtG"/>
        <w:ind w:left="2268" w:hanging="1134"/>
      </w:pPr>
      <w:r w:rsidRPr="00E07570">
        <w:rPr>
          <w:b/>
        </w:rPr>
        <w:t>35.7.3</w:t>
      </w:r>
      <w:r w:rsidRPr="00E07570">
        <w:tab/>
        <w:t>Un signal d</w:t>
      </w:r>
      <w:r w:rsidR="00145E4B">
        <w:t>’</w:t>
      </w:r>
      <w:r w:rsidRPr="00E07570">
        <w:t>avertissement doit être émis en cas de défaillance interne de l</w:t>
      </w:r>
      <w:r w:rsidR="00145E4B">
        <w:t>’</w:t>
      </w:r>
      <w:r w:rsidRPr="00E07570">
        <w:t xml:space="preserve">AECS ; ce signal doit être affiché aussi longtemps que dure la défaillance. Il peut être effacé temporairement, mais doit se rallumer chaque fois que </w:t>
      </w:r>
      <w:r w:rsidRPr="00E07570">
        <w:rPr>
          <w:spacing w:val="-2"/>
        </w:rPr>
        <w:t>l</w:t>
      </w:r>
      <w:r w:rsidR="00145E4B">
        <w:rPr>
          <w:spacing w:val="-2"/>
        </w:rPr>
        <w:t>’</w:t>
      </w:r>
      <w:r w:rsidRPr="00E07570">
        <w:rPr>
          <w:spacing w:val="-2"/>
        </w:rPr>
        <w:t>allumage du véhicule ou le coupe-circuit principal sont activés (selon le cas).</w:t>
      </w:r>
    </w:p>
    <w:p w:rsidR="0078245B" w:rsidRPr="00E07570" w:rsidRDefault="0078245B" w:rsidP="001001B9">
      <w:pPr>
        <w:pStyle w:val="SingleTxtG"/>
        <w:ind w:left="2268" w:hanging="1134"/>
      </w:pPr>
      <w:r w:rsidRPr="00E07570">
        <w:rPr>
          <w:b/>
        </w:rPr>
        <w:t>35.7.3.1</w:t>
      </w:r>
      <w:r w:rsidRPr="00E07570">
        <w:tab/>
        <w:t>Le constructeur doit fournir à l</w:t>
      </w:r>
      <w:r w:rsidR="00145E4B">
        <w:t>’</w:t>
      </w:r>
      <w:r w:rsidRPr="00E07570">
        <w:t>autorité d</w:t>
      </w:r>
      <w:r w:rsidR="00145E4B">
        <w:t>’</w:t>
      </w:r>
      <w:r w:rsidRPr="00E07570">
        <w:t>homologation une documentation technique pour lui expliquer, dans des termes généraux, comment sont signalées les défaillances. Cette documentation doit être mise à jour par le constructeur et doit pouvoir être consultée par le service technique au moment de l</w:t>
      </w:r>
      <w:r w:rsidR="00145E4B">
        <w:t>’</w:t>
      </w:r>
      <w:r w:rsidRPr="00E07570">
        <w:t>homologation de type.</w:t>
      </w:r>
    </w:p>
    <w:p w:rsidR="00EA4196" w:rsidRPr="00E07570" w:rsidRDefault="0078245B" w:rsidP="00B77BC8">
      <w:pPr>
        <w:pStyle w:val="SingleTxtG"/>
        <w:ind w:left="2268"/>
      </w:pPr>
      <w:r w:rsidRPr="00E07570">
        <w:t>La documentation ci-dessus devrait couvrir au moins les points suivants.</w:t>
      </w:r>
    </w:p>
    <w:p w:rsidR="00C759CE" w:rsidRPr="00E07570" w:rsidRDefault="00FF331C" w:rsidP="00EC6877">
      <w:pPr>
        <w:pStyle w:val="Heading1"/>
        <w:spacing w:after="120"/>
        <w:rPr>
          <w:b/>
        </w:rPr>
      </w:pPr>
      <w:r w:rsidRPr="00E07570">
        <w:t xml:space="preserve">Tableau 4 </w:t>
      </w:r>
      <w:r w:rsidRPr="00E07570">
        <w:br/>
      </w:r>
      <w:r w:rsidRPr="00E07570">
        <w:rPr>
          <w:b/>
        </w:rPr>
        <w:t>Modèle d</w:t>
      </w:r>
      <w:r w:rsidR="00145E4B">
        <w:rPr>
          <w:b/>
        </w:rPr>
        <w:t>’</w:t>
      </w:r>
      <w:r w:rsidRPr="00E07570">
        <w:rPr>
          <w:b/>
        </w:rPr>
        <w:t>information de la fonction d</w:t>
      </w:r>
      <w:r w:rsidR="00145E4B">
        <w:rPr>
          <w:b/>
        </w:rPr>
        <w:t>’</w:t>
      </w:r>
      <w:r w:rsidRPr="00E07570">
        <w:rPr>
          <w:b/>
        </w:rPr>
        <w:t>autotest</w:t>
      </w:r>
    </w:p>
    <w:tbl>
      <w:tblPr>
        <w:tblW w:w="7371" w:type="dxa"/>
        <w:tblInd w:w="1134" w:type="dxa"/>
        <w:tblLayout w:type="fixed"/>
        <w:tblCellMar>
          <w:left w:w="29" w:type="dxa"/>
          <w:right w:w="29" w:type="dxa"/>
        </w:tblCellMar>
        <w:tblLook w:val="04A0" w:firstRow="1" w:lastRow="0" w:firstColumn="1" w:lastColumn="0" w:noHBand="0" w:noVBand="1"/>
      </w:tblPr>
      <w:tblGrid>
        <w:gridCol w:w="1808"/>
        <w:gridCol w:w="2365"/>
        <w:gridCol w:w="3198"/>
      </w:tblGrid>
      <w:tr w:rsidR="00FF331C" w:rsidRPr="00E07570" w:rsidTr="0012036F">
        <w:trPr>
          <w:tblHeader/>
        </w:trPr>
        <w:tc>
          <w:tcPr>
            <w:tcW w:w="417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F331C" w:rsidRPr="00E07570" w:rsidRDefault="00FF331C" w:rsidP="00EC6877">
            <w:pPr>
              <w:keepNext/>
              <w:keepLines/>
              <w:spacing w:before="80" w:after="80" w:line="200" w:lineRule="exact"/>
              <w:jc w:val="center"/>
              <w:rPr>
                <w:i/>
                <w:sz w:val="16"/>
                <w:szCs w:val="16"/>
                <w:lang w:eastAsia="en-GB"/>
              </w:rPr>
            </w:pPr>
            <w:r w:rsidRPr="00E07570">
              <w:rPr>
                <w:i/>
                <w:sz w:val="16"/>
                <w:szCs w:val="16"/>
                <w:lang w:eastAsia="en-GB"/>
              </w:rPr>
              <w:t>Point</w:t>
            </w:r>
          </w:p>
        </w:tc>
        <w:tc>
          <w:tcPr>
            <w:tcW w:w="3198" w:type="dxa"/>
            <w:vMerge w:val="restart"/>
            <w:tcBorders>
              <w:top w:val="single" w:sz="4" w:space="0" w:color="auto"/>
              <w:left w:val="single" w:sz="4" w:space="0" w:color="auto"/>
              <w:bottom w:val="single" w:sz="12" w:space="0" w:color="auto"/>
              <w:right w:val="single" w:sz="4" w:space="0" w:color="auto"/>
            </w:tcBorders>
            <w:shd w:val="clear" w:color="auto" w:fill="FFFFFF"/>
            <w:vAlign w:val="center"/>
            <w:hideMark/>
          </w:tcPr>
          <w:p w:rsidR="00FF331C" w:rsidRPr="00E07570" w:rsidRDefault="00FF331C" w:rsidP="00EC6877">
            <w:pPr>
              <w:keepNext/>
              <w:keepLines/>
              <w:spacing w:before="80" w:after="80" w:line="200" w:lineRule="exact"/>
              <w:jc w:val="center"/>
              <w:rPr>
                <w:bCs/>
                <w:i/>
                <w:sz w:val="16"/>
                <w:szCs w:val="16"/>
                <w:lang w:eastAsia="en-GB"/>
              </w:rPr>
            </w:pPr>
            <w:r w:rsidRPr="00E07570">
              <w:rPr>
                <w:bCs/>
                <w:i/>
                <w:sz w:val="16"/>
                <w:szCs w:val="16"/>
                <w:lang w:eastAsia="en-GB"/>
              </w:rPr>
              <w:t>Note</w:t>
            </w:r>
          </w:p>
        </w:tc>
      </w:tr>
      <w:tr w:rsidR="00FF331C" w:rsidRPr="00E07570" w:rsidTr="0012036F">
        <w:trPr>
          <w:trHeight w:val="341"/>
          <w:tblHeader/>
        </w:trPr>
        <w:tc>
          <w:tcPr>
            <w:tcW w:w="1808" w:type="dxa"/>
            <w:tcBorders>
              <w:top w:val="single" w:sz="4" w:space="0" w:color="auto"/>
              <w:left w:val="single" w:sz="4" w:space="0" w:color="auto"/>
              <w:bottom w:val="single" w:sz="12" w:space="0" w:color="auto"/>
              <w:right w:val="single" w:sz="4" w:space="0" w:color="auto"/>
            </w:tcBorders>
            <w:shd w:val="clear" w:color="auto" w:fill="FFFFFF"/>
            <w:noWrap/>
            <w:vAlign w:val="center"/>
            <w:hideMark/>
          </w:tcPr>
          <w:p w:rsidR="00FF331C" w:rsidRPr="00E07570" w:rsidRDefault="00FF331C" w:rsidP="00EC6877">
            <w:pPr>
              <w:keepNext/>
              <w:keepLines/>
              <w:spacing w:before="80" w:after="80" w:line="200" w:lineRule="exact"/>
              <w:jc w:val="center"/>
              <w:rPr>
                <w:i/>
                <w:sz w:val="16"/>
                <w:szCs w:val="16"/>
                <w:lang w:eastAsia="en-GB"/>
              </w:rPr>
            </w:pPr>
            <w:r w:rsidRPr="00E07570">
              <w:rPr>
                <w:i/>
                <w:sz w:val="16"/>
                <w:szCs w:val="16"/>
                <w:lang w:eastAsia="en-GB"/>
              </w:rPr>
              <w:t>Élément</w:t>
            </w:r>
          </w:p>
        </w:tc>
        <w:tc>
          <w:tcPr>
            <w:tcW w:w="2365" w:type="dxa"/>
            <w:tcBorders>
              <w:top w:val="single" w:sz="4" w:space="0" w:color="auto"/>
              <w:left w:val="nil"/>
              <w:bottom w:val="single" w:sz="12" w:space="0" w:color="auto"/>
              <w:right w:val="single" w:sz="4" w:space="0" w:color="auto"/>
            </w:tcBorders>
            <w:shd w:val="clear" w:color="auto" w:fill="FFFFFF"/>
            <w:vAlign w:val="center"/>
            <w:hideMark/>
          </w:tcPr>
          <w:p w:rsidR="00FF331C" w:rsidRPr="00E07570" w:rsidRDefault="00FF331C" w:rsidP="00EC6877">
            <w:pPr>
              <w:keepNext/>
              <w:keepLines/>
              <w:spacing w:before="80" w:after="80" w:line="200" w:lineRule="exact"/>
              <w:jc w:val="center"/>
              <w:rPr>
                <w:i/>
                <w:sz w:val="16"/>
                <w:szCs w:val="16"/>
                <w:lang w:eastAsia="en-GB"/>
              </w:rPr>
            </w:pPr>
            <w:r w:rsidRPr="00E07570">
              <w:rPr>
                <w:i/>
                <w:sz w:val="16"/>
                <w:szCs w:val="16"/>
                <w:lang w:eastAsia="en-GB"/>
              </w:rPr>
              <w:t>Type de défaillance</w:t>
            </w:r>
          </w:p>
        </w:tc>
        <w:tc>
          <w:tcPr>
            <w:tcW w:w="3198" w:type="dxa"/>
            <w:vMerge/>
            <w:tcBorders>
              <w:top w:val="single" w:sz="4" w:space="0" w:color="auto"/>
              <w:left w:val="single" w:sz="4" w:space="0" w:color="auto"/>
              <w:bottom w:val="single" w:sz="12" w:space="0" w:color="auto"/>
              <w:right w:val="single" w:sz="4" w:space="0" w:color="auto"/>
            </w:tcBorders>
            <w:vAlign w:val="center"/>
            <w:hideMark/>
          </w:tcPr>
          <w:p w:rsidR="00FF331C" w:rsidRPr="00E07570" w:rsidRDefault="00FF331C" w:rsidP="00EC6877">
            <w:pPr>
              <w:keepNext/>
              <w:keepLines/>
              <w:spacing w:line="240" w:lineRule="auto"/>
              <w:rPr>
                <w:bCs/>
                <w:i/>
                <w:sz w:val="16"/>
                <w:szCs w:val="16"/>
                <w:lang w:eastAsia="en-GB"/>
              </w:rPr>
            </w:pPr>
          </w:p>
        </w:tc>
      </w:tr>
      <w:tr w:rsidR="00FF331C" w:rsidRPr="00E07570" w:rsidTr="00FF331C">
        <w:trPr>
          <w:trHeight w:val="20"/>
        </w:trPr>
        <w:tc>
          <w:tcPr>
            <w:tcW w:w="1808"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F331C" w:rsidRPr="00E07570" w:rsidRDefault="00FF331C" w:rsidP="00EC6877">
            <w:pPr>
              <w:keepNext/>
              <w:keepLines/>
              <w:spacing w:before="60" w:after="60"/>
              <w:ind w:left="57" w:right="57"/>
              <w:rPr>
                <w:lang w:eastAsia="en-GB"/>
              </w:rPr>
            </w:pPr>
            <w:r w:rsidRPr="00E07570">
              <w:rPr>
                <w:iCs/>
              </w:rPr>
              <w:t xml:space="preserve">Module </w:t>
            </w:r>
            <w:r w:rsidRPr="00E07570">
              <w:rPr>
                <w:iCs/>
              </w:rPr>
              <w:br/>
              <w:t xml:space="preserve">de commande </w:t>
            </w:r>
            <w:r w:rsidRPr="00E07570">
              <w:rPr>
                <w:iCs/>
              </w:rPr>
              <w:br/>
              <w:t>de l</w:t>
            </w:r>
            <w:r w:rsidR="00145E4B">
              <w:rPr>
                <w:iCs/>
              </w:rPr>
              <w:t>’</w:t>
            </w:r>
            <w:r w:rsidRPr="00E07570">
              <w:rPr>
                <w:iCs/>
              </w:rPr>
              <w:t>AECS</w:t>
            </w:r>
          </w:p>
        </w:tc>
        <w:tc>
          <w:tcPr>
            <w:tcW w:w="2365" w:type="dxa"/>
            <w:tcBorders>
              <w:top w:val="single" w:sz="12" w:space="0" w:color="auto"/>
              <w:left w:val="nil"/>
              <w:bottom w:val="single" w:sz="4" w:space="0" w:color="auto"/>
              <w:right w:val="single" w:sz="4" w:space="0" w:color="auto"/>
            </w:tcBorders>
            <w:shd w:val="clear" w:color="auto" w:fill="auto"/>
            <w:vAlign w:val="center"/>
            <w:hideMark/>
          </w:tcPr>
          <w:p w:rsidR="00FF331C" w:rsidRPr="00E07570" w:rsidRDefault="00FF331C" w:rsidP="00EC6877">
            <w:pPr>
              <w:keepNext/>
              <w:keepLines/>
              <w:spacing w:before="60" w:after="60"/>
              <w:ind w:left="57" w:right="57"/>
              <w:rPr>
                <w:lang w:eastAsia="en-GB"/>
              </w:rPr>
            </w:pPr>
            <w:r w:rsidRPr="00E07570">
              <w:rPr>
                <w:lang w:eastAsia="en-GB"/>
              </w:rPr>
              <w:t>Défaillance interne</w:t>
            </w:r>
          </w:p>
        </w:tc>
        <w:tc>
          <w:tcPr>
            <w:tcW w:w="3198" w:type="dxa"/>
            <w:tcBorders>
              <w:top w:val="single" w:sz="12" w:space="0" w:color="auto"/>
              <w:left w:val="nil"/>
              <w:bottom w:val="single" w:sz="4" w:space="0" w:color="auto"/>
              <w:right w:val="single" w:sz="4" w:space="0" w:color="auto"/>
            </w:tcBorders>
            <w:shd w:val="clear" w:color="auto" w:fill="auto"/>
            <w:vAlign w:val="center"/>
            <w:hideMark/>
          </w:tcPr>
          <w:p w:rsidR="00FF331C" w:rsidRPr="00E07570" w:rsidRDefault="00FF331C" w:rsidP="00EC6877">
            <w:pPr>
              <w:keepNext/>
              <w:keepLines/>
              <w:spacing w:before="60" w:after="60"/>
              <w:ind w:left="57" w:right="57"/>
              <w:rPr>
                <w:lang w:eastAsia="en-GB"/>
              </w:rPr>
            </w:pPr>
            <w:r w:rsidRPr="00E07570">
              <w:rPr>
                <w:lang w:eastAsia="en-GB"/>
              </w:rPr>
              <w:t>Par exemple</w:t>
            </w:r>
            <w:r w:rsidR="00B80515" w:rsidRPr="00E07570">
              <w:rPr>
                <w:lang w:eastAsia="en-GB"/>
              </w:rPr>
              <w:t> :</w:t>
            </w:r>
            <w:r w:rsidRPr="00E07570">
              <w:rPr>
                <w:lang w:eastAsia="en-GB"/>
              </w:rPr>
              <w:t xml:space="preserve"> défaillance </w:t>
            </w:r>
            <w:r w:rsidR="00B80515" w:rsidRPr="00E07570">
              <w:rPr>
                <w:lang w:eastAsia="en-GB"/>
              </w:rPr>
              <w:br/>
            </w:r>
            <w:r w:rsidRPr="00E07570">
              <w:rPr>
                <w:lang w:eastAsia="en-GB"/>
              </w:rPr>
              <w:t xml:space="preserve">du matériel, chien de garde, checksum, ou encore intégrité </w:t>
            </w:r>
            <w:r w:rsidR="00B80515" w:rsidRPr="00E07570">
              <w:rPr>
                <w:lang w:eastAsia="en-GB"/>
              </w:rPr>
              <w:br/>
            </w:r>
            <w:r w:rsidRPr="00E07570">
              <w:rPr>
                <w:lang w:eastAsia="en-GB"/>
              </w:rPr>
              <w:t>de l</w:t>
            </w:r>
            <w:r w:rsidR="00145E4B">
              <w:rPr>
                <w:lang w:eastAsia="en-GB"/>
              </w:rPr>
              <w:t>’</w:t>
            </w:r>
            <w:r w:rsidRPr="00E07570">
              <w:rPr>
                <w:lang w:eastAsia="en-GB"/>
              </w:rPr>
              <w:t>image du logiciel.</w:t>
            </w:r>
          </w:p>
        </w:tc>
      </w:tr>
      <w:tr w:rsidR="00FF331C" w:rsidRPr="00E07570" w:rsidTr="00FF331C">
        <w:trPr>
          <w:trHeight w:val="20"/>
        </w:trPr>
        <w:tc>
          <w:tcPr>
            <w:tcW w:w="1808" w:type="dxa"/>
            <w:vMerge w:val="restart"/>
            <w:tcBorders>
              <w:top w:val="nil"/>
              <w:left w:val="single" w:sz="4" w:space="0" w:color="auto"/>
              <w:right w:val="single" w:sz="4" w:space="0" w:color="auto"/>
            </w:tcBorders>
            <w:shd w:val="clear" w:color="auto" w:fill="auto"/>
            <w:noWrap/>
            <w:vAlign w:val="center"/>
            <w:hideMark/>
          </w:tcPr>
          <w:p w:rsidR="00FF331C" w:rsidRPr="00E07570" w:rsidRDefault="00FF331C" w:rsidP="00EC6877">
            <w:pPr>
              <w:keepNext/>
              <w:keepLines/>
              <w:spacing w:before="60" w:after="60"/>
              <w:ind w:left="57" w:right="57"/>
              <w:rPr>
                <w:lang w:eastAsia="en-GB"/>
              </w:rPr>
            </w:pPr>
            <w:r w:rsidRPr="00E07570">
              <w:rPr>
                <w:lang w:eastAsia="en-GB"/>
              </w:rPr>
              <w:t xml:space="preserve">Dispositif </w:t>
            </w:r>
            <w:r w:rsidRPr="00E07570">
              <w:rPr>
                <w:lang w:eastAsia="en-GB"/>
              </w:rPr>
              <w:br/>
              <w:t xml:space="preserve">de communication </w:t>
            </w:r>
            <w:r w:rsidRPr="00E07570">
              <w:rPr>
                <w:lang w:eastAsia="en-GB"/>
              </w:rPr>
              <w:br/>
              <w:t>du PLMN</w:t>
            </w:r>
          </w:p>
        </w:tc>
        <w:tc>
          <w:tcPr>
            <w:tcW w:w="2365" w:type="dxa"/>
            <w:tcBorders>
              <w:top w:val="nil"/>
              <w:left w:val="nil"/>
              <w:bottom w:val="single" w:sz="4" w:space="0" w:color="auto"/>
              <w:right w:val="single" w:sz="4" w:space="0" w:color="auto"/>
            </w:tcBorders>
            <w:shd w:val="clear" w:color="auto" w:fill="auto"/>
            <w:vAlign w:val="center"/>
            <w:hideMark/>
          </w:tcPr>
          <w:p w:rsidR="00FF331C" w:rsidRPr="00E07570" w:rsidRDefault="00FF331C" w:rsidP="00EC6877">
            <w:pPr>
              <w:keepNext/>
              <w:keepLines/>
              <w:spacing w:before="60" w:after="60"/>
              <w:ind w:left="57" w:right="57"/>
              <w:rPr>
                <w:lang w:eastAsia="en-GB"/>
              </w:rPr>
            </w:pPr>
            <w:r w:rsidRPr="00E07570">
              <w:rPr>
                <w:lang w:eastAsia="en-GB"/>
              </w:rPr>
              <w:t>Défaillance du branchement électrique/ou du module de communication</w:t>
            </w:r>
          </w:p>
        </w:tc>
        <w:tc>
          <w:tcPr>
            <w:tcW w:w="3198" w:type="dxa"/>
            <w:tcBorders>
              <w:top w:val="nil"/>
              <w:left w:val="nil"/>
              <w:bottom w:val="single" w:sz="4" w:space="0" w:color="auto"/>
              <w:right w:val="single" w:sz="4" w:space="0" w:color="auto"/>
            </w:tcBorders>
            <w:shd w:val="clear" w:color="auto" w:fill="auto"/>
            <w:vAlign w:val="center"/>
            <w:hideMark/>
          </w:tcPr>
          <w:p w:rsidR="00FF331C" w:rsidRPr="00E07570" w:rsidRDefault="00FF331C" w:rsidP="00EC6877">
            <w:pPr>
              <w:keepNext/>
              <w:keepLines/>
              <w:spacing w:before="60" w:after="60"/>
              <w:ind w:left="57" w:right="57"/>
              <w:rPr>
                <w:bCs/>
                <w:lang w:eastAsia="en-GB"/>
              </w:rPr>
            </w:pPr>
            <w:r w:rsidRPr="00E07570">
              <w:rPr>
                <w:bCs/>
                <w:lang w:eastAsia="en-GB"/>
              </w:rPr>
              <w:t xml:space="preserve">Une défaillance du module </w:t>
            </w:r>
            <w:r w:rsidRPr="00E07570">
              <w:rPr>
                <w:bCs/>
                <w:lang w:eastAsia="en-GB"/>
              </w:rPr>
              <w:br/>
              <w:t>de communication peut être détectée par l</w:t>
            </w:r>
            <w:r w:rsidR="00145E4B">
              <w:rPr>
                <w:bCs/>
                <w:lang w:eastAsia="en-GB"/>
              </w:rPr>
              <w:t>’</w:t>
            </w:r>
            <w:r w:rsidRPr="00E07570">
              <w:rPr>
                <w:bCs/>
                <w:lang w:eastAsia="en-GB"/>
              </w:rPr>
              <w:t xml:space="preserve">absence de communication numérique entre le module </w:t>
            </w:r>
            <w:r w:rsidRPr="00E07570">
              <w:rPr>
                <w:bCs/>
                <w:lang w:eastAsia="en-GB"/>
              </w:rPr>
              <w:br/>
              <w:t>de commande de l</w:t>
            </w:r>
            <w:r w:rsidR="00145E4B">
              <w:rPr>
                <w:bCs/>
                <w:lang w:eastAsia="en-GB"/>
              </w:rPr>
              <w:t>’</w:t>
            </w:r>
            <w:r w:rsidRPr="00E07570">
              <w:rPr>
                <w:bCs/>
                <w:lang w:eastAsia="en-GB"/>
              </w:rPr>
              <w:t>AECD et le module de communication.</w:t>
            </w:r>
          </w:p>
        </w:tc>
      </w:tr>
      <w:tr w:rsidR="00FF331C" w:rsidRPr="00E07570" w:rsidTr="00FF331C">
        <w:trPr>
          <w:trHeight w:val="20"/>
        </w:trPr>
        <w:tc>
          <w:tcPr>
            <w:tcW w:w="1808" w:type="dxa"/>
            <w:vMerge/>
            <w:tcBorders>
              <w:left w:val="single" w:sz="4" w:space="0" w:color="auto"/>
              <w:bottom w:val="single" w:sz="4" w:space="0" w:color="auto"/>
              <w:right w:val="single" w:sz="4" w:space="0" w:color="auto"/>
            </w:tcBorders>
            <w:shd w:val="clear" w:color="auto" w:fill="auto"/>
            <w:noWrap/>
            <w:vAlign w:val="center"/>
            <w:hideMark/>
          </w:tcPr>
          <w:p w:rsidR="00FF331C" w:rsidRPr="00E07570" w:rsidRDefault="00FF331C" w:rsidP="00FF331C">
            <w:pPr>
              <w:spacing w:before="60" w:after="60"/>
              <w:ind w:left="57" w:right="57"/>
              <w:rPr>
                <w:bCs/>
                <w:lang w:eastAsia="en-GB"/>
              </w:rPr>
            </w:pPr>
          </w:p>
        </w:tc>
        <w:tc>
          <w:tcPr>
            <w:tcW w:w="2365" w:type="dxa"/>
            <w:tcBorders>
              <w:top w:val="nil"/>
              <w:left w:val="nil"/>
              <w:bottom w:val="single" w:sz="4" w:space="0" w:color="auto"/>
              <w:right w:val="single" w:sz="4" w:space="0" w:color="auto"/>
            </w:tcBorders>
            <w:shd w:val="clear" w:color="auto" w:fill="auto"/>
            <w:vAlign w:val="center"/>
            <w:hideMark/>
          </w:tcPr>
          <w:p w:rsidR="00FF331C" w:rsidRPr="00E07570" w:rsidRDefault="00FF331C" w:rsidP="00FF331C">
            <w:pPr>
              <w:spacing w:before="60" w:after="60"/>
              <w:ind w:left="57" w:right="57"/>
              <w:rPr>
                <w:bCs/>
                <w:lang w:eastAsia="en-GB"/>
              </w:rPr>
            </w:pPr>
            <w:r w:rsidRPr="00E07570">
              <w:rPr>
                <w:bCs/>
                <w:lang w:eastAsia="en-GB"/>
              </w:rPr>
              <w:t>Défaillance interne</w:t>
            </w:r>
          </w:p>
        </w:tc>
        <w:tc>
          <w:tcPr>
            <w:tcW w:w="3198" w:type="dxa"/>
            <w:tcBorders>
              <w:top w:val="nil"/>
              <w:left w:val="nil"/>
              <w:bottom w:val="single" w:sz="4" w:space="0" w:color="auto"/>
              <w:right w:val="single" w:sz="4" w:space="0" w:color="auto"/>
            </w:tcBorders>
            <w:shd w:val="clear" w:color="auto" w:fill="auto"/>
            <w:vAlign w:val="center"/>
            <w:hideMark/>
          </w:tcPr>
          <w:p w:rsidR="00FF331C" w:rsidRPr="00E07570" w:rsidRDefault="00FF331C" w:rsidP="00FF331C">
            <w:pPr>
              <w:spacing w:before="60" w:after="60"/>
              <w:ind w:left="57" w:right="57"/>
              <w:rPr>
                <w:bCs/>
                <w:lang w:eastAsia="en-GB"/>
              </w:rPr>
            </w:pPr>
            <w:r w:rsidRPr="00E07570">
              <w:rPr>
                <w:bCs/>
                <w:lang w:eastAsia="en-GB"/>
              </w:rPr>
              <w:t>Ce point concerne une fonction indispensable : en cas de défaillance, l</w:t>
            </w:r>
            <w:r w:rsidR="00145E4B">
              <w:rPr>
                <w:bCs/>
                <w:lang w:eastAsia="en-GB"/>
              </w:rPr>
              <w:t>’</w:t>
            </w:r>
            <w:r w:rsidRPr="00E07570">
              <w:rPr>
                <w:bCs/>
                <w:lang w:eastAsia="en-GB"/>
              </w:rPr>
              <w:t>AECS est paralysé.</w:t>
            </w:r>
          </w:p>
        </w:tc>
      </w:tr>
      <w:tr w:rsidR="00FF331C" w:rsidRPr="00E07570" w:rsidTr="00FF331C">
        <w:trPr>
          <w:trHeight w:val="20"/>
        </w:trPr>
        <w:tc>
          <w:tcPr>
            <w:tcW w:w="1808" w:type="dxa"/>
            <w:vMerge w:val="restart"/>
            <w:tcBorders>
              <w:top w:val="nil"/>
              <w:left w:val="single" w:sz="4" w:space="0" w:color="auto"/>
              <w:right w:val="single" w:sz="4" w:space="0" w:color="auto"/>
            </w:tcBorders>
            <w:shd w:val="clear" w:color="auto" w:fill="auto"/>
            <w:noWrap/>
            <w:vAlign w:val="center"/>
            <w:hideMark/>
          </w:tcPr>
          <w:p w:rsidR="00FF331C" w:rsidRPr="00E07570" w:rsidRDefault="00FF331C" w:rsidP="00FF331C">
            <w:pPr>
              <w:spacing w:before="60" w:after="60"/>
              <w:ind w:left="57" w:right="57"/>
              <w:rPr>
                <w:lang w:eastAsia="en-GB"/>
              </w:rPr>
            </w:pPr>
            <w:r w:rsidRPr="00E07570">
              <w:rPr>
                <w:lang w:eastAsia="en-GB"/>
              </w:rPr>
              <w:t>Récepteur GNSS</w:t>
            </w:r>
          </w:p>
        </w:tc>
        <w:tc>
          <w:tcPr>
            <w:tcW w:w="2365" w:type="dxa"/>
            <w:tcBorders>
              <w:top w:val="nil"/>
              <w:left w:val="nil"/>
              <w:bottom w:val="single" w:sz="4" w:space="0" w:color="auto"/>
              <w:right w:val="single" w:sz="4" w:space="0" w:color="auto"/>
            </w:tcBorders>
            <w:shd w:val="clear" w:color="auto" w:fill="auto"/>
            <w:vAlign w:val="center"/>
            <w:hideMark/>
          </w:tcPr>
          <w:p w:rsidR="00FF331C" w:rsidRPr="00E07570" w:rsidRDefault="00FF331C" w:rsidP="00FF331C">
            <w:pPr>
              <w:spacing w:before="60" w:after="60"/>
              <w:ind w:left="57" w:right="57"/>
              <w:rPr>
                <w:lang w:eastAsia="en-GB"/>
              </w:rPr>
            </w:pPr>
            <w:r w:rsidRPr="00E07570">
              <w:rPr>
                <w:bCs/>
                <w:lang w:eastAsia="en-GB"/>
              </w:rPr>
              <w:t xml:space="preserve">Défaillance </w:t>
            </w:r>
            <w:r w:rsidRPr="00E07570">
              <w:rPr>
                <w:lang w:eastAsia="en-GB"/>
              </w:rPr>
              <w:t>du branchement électrique et/ou du module de communication</w:t>
            </w:r>
          </w:p>
        </w:tc>
        <w:tc>
          <w:tcPr>
            <w:tcW w:w="3198" w:type="dxa"/>
            <w:tcBorders>
              <w:top w:val="nil"/>
              <w:left w:val="nil"/>
              <w:bottom w:val="single" w:sz="4" w:space="0" w:color="auto"/>
              <w:right w:val="single" w:sz="4" w:space="0" w:color="auto"/>
            </w:tcBorders>
            <w:shd w:val="clear" w:color="auto" w:fill="auto"/>
            <w:vAlign w:val="center"/>
          </w:tcPr>
          <w:p w:rsidR="00FF331C" w:rsidRPr="00E07570" w:rsidRDefault="00FF331C" w:rsidP="00FF331C">
            <w:pPr>
              <w:spacing w:before="60" w:after="60"/>
              <w:ind w:left="57" w:right="57"/>
              <w:rPr>
                <w:lang w:eastAsia="en-GB"/>
              </w:rPr>
            </w:pPr>
            <w:r w:rsidRPr="00E07570">
              <w:rPr>
                <w:lang w:eastAsia="en-GB"/>
              </w:rPr>
              <w:t>Homologation facultative</w:t>
            </w:r>
          </w:p>
        </w:tc>
      </w:tr>
      <w:tr w:rsidR="00FF331C" w:rsidRPr="00E07570" w:rsidTr="00FF331C">
        <w:trPr>
          <w:trHeight w:val="20"/>
        </w:trPr>
        <w:tc>
          <w:tcPr>
            <w:tcW w:w="1808" w:type="dxa"/>
            <w:vMerge/>
            <w:tcBorders>
              <w:left w:val="single" w:sz="4" w:space="0" w:color="auto"/>
              <w:bottom w:val="single" w:sz="4" w:space="0" w:color="auto"/>
              <w:right w:val="single" w:sz="4" w:space="0" w:color="auto"/>
            </w:tcBorders>
            <w:shd w:val="clear" w:color="auto" w:fill="auto"/>
            <w:noWrap/>
            <w:vAlign w:val="center"/>
            <w:hideMark/>
          </w:tcPr>
          <w:p w:rsidR="00FF331C" w:rsidRPr="00E07570" w:rsidRDefault="00FF331C" w:rsidP="00FF331C">
            <w:pPr>
              <w:spacing w:before="60" w:after="60"/>
              <w:ind w:left="57" w:right="57"/>
              <w:rPr>
                <w:lang w:eastAsia="en-GB"/>
              </w:rPr>
            </w:pPr>
          </w:p>
        </w:tc>
        <w:tc>
          <w:tcPr>
            <w:tcW w:w="2365" w:type="dxa"/>
            <w:tcBorders>
              <w:top w:val="nil"/>
              <w:left w:val="nil"/>
              <w:bottom w:val="single" w:sz="4" w:space="0" w:color="auto"/>
              <w:right w:val="single" w:sz="4" w:space="0" w:color="auto"/>
            </w:tcBorders>
            <w:shd w:val="clear" w:color="auto" w:fill="auto"/>
            <w:vAlign w:val="center"/>
            <w:hideMark/>
          </w:tcPr>
          <w:p w:rsidR="00FF331C" w:rsidRPr="00E07570" w:rsidRDefault="00FF331C" w:rsidP="00FF331C">
            <w:pPr>
              <w:spacing w:before="60" w:after="60"/>
              <w:ind w:left="57" w:right="57"/>
              <w:rPr>
                <w:bCs/>
                <w:lang w:eastAsia="en-GB"/>
              </w:rPr>
            </w:pPr>
            <w:r w:rsidRPr="00E07570">
              <w:rPr>
                <w:lang w:eastAsia="en-GB"/>
              </w:rPr>
              <w:t>Défaillance interne</w:t>
            </w:r>
          </w:p>
        </w:tc>
        <w:tc>
          <w:tcPr>
            <w:tcW w:w="3198" w:type="dxa"/>
            <w:tcBorders>
              <w:top w:val="nil"/>
              <w:left w:val="nil"/>
              <w:bottom w:val="single" w:sz="4" w:space="0" w:color="auto"/>
              <w:right w:val="single" w:sz="4" w:space="0" w:color="auto"/>
            </w:tcBorders>
            <w:shd w:val="clear" w:color="auto" w:fill="auto"/>
            <w:vAlign w:val="center"/>
          </w:tcPr>
          <w:p w:rsidR="00FF331C" w:rsidRPr="00E07570" w:rsidRDefault="00FF331C" w:rsidP="00FF331C">
            <w:pPr>
              <w:spacing w:before="60" w:after="60"/>
              <w:ind w:left="57" w:right="57"/>
              <w:rPr>
                <w:lang w:eastAsia="en-GB"/>
              </w:rPr>
            </w:pPr>
            <w:r w:rsidRPr="00E07570">
              <w:rPr>
                <w:lang w:eastAsia="en-GB"/>
              </w:rPr>
              <w:t>Homologation facultative</w:t>
            </w:r>
          </w:p>
        </w:tc>
      </w:tr>
      <w:tr w:rsidR="00FF331C" w:rsidRPr="00E07570" w:rsidTr="00FF331C">
        <w:trPr>
          <w:trHeight w:val="20"/>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FF331C" w:rsidRPr="00E07570" w:rsidRDefault="00FF331C" w:rsidP="00FF331C">
            <w:pPr>
              <w:spacing w:before="60" w:after="60"/>
              <w:ind w:left="57" w:right="57"/>
              <w:rPr>
                <w:lang w:eastAsia="en-GB"/>
              </w:rPr>
            </w:pPr>
            <w:r w:rsidRPr="00E07570">
              <w:t xml:space="preserve">Antenne </w:t>
            </w:r>
            <w:r w:rsidRPr="00E07570">
              <w:br/>
              <w:t>de communication PLMN</w:t>
            </w:r>
          </w:p>
        </w:tc>
        <w:tc>
          <w:tcPr>
            <w:tcW w:w="2365" w:type="dxa"/>
            <w:tcBorders>
              <w:top w:val="nil"/>
              <w:left w:val="nil"/>
              <w:bottom w:val="single" w:sz="4" w:space="0" w:color="auto"/>
              <w:right w:val="single" w:sz="4" w:space="0" w:color="auto"/>
            </w:tcBorders>
            <w:shd w:val="clear" w:color="auto" w:fill="auto"/>
            <w:vAlign w:val="center"/>
            <w:hideMark/>
          </w:tcPr>
          <w:p w:rsidR="00FF331C" w:rsidRPr="00E07570" w:rsidRDefault="00FF331C" w:rsidP="00FF331C">
            <w:pPr>
              <w:spacing w:before="60" w:after="60"/>
              <w:ind w:left="57" w:right="57"/>
              <w:rPr>
                <w:lang w:eastAsia="en-GB"/>
              </w:rPr>
            </w:pPr>
            <w:r w:rsidRPr="00E07570">
              <w:rPr>
                <w:lang w:eastAsia="en-GB"/>
              </w:rPr>
              <w:t>Branchement électrique</w:t>
            </w:r>
          </w:p>
        </w:tc>
        <w:tc>
          <w:tcPr>
            <w:tcW w:w="3198" w:type="dxa"/>
            <w:tcBorders>
              <w:top w:val="nil"/>
              <w:left w:val="nil"/>
              <w:bottom w:val="single" w:sz="4" w:space="0" w:color="auto"/>
              <w:right w:val="single" w:sz="4" w:space="0" w:color="auto"/>
            </w:tcBorders>
            <w:shd w:val="clear" w:color="auto" w:fill="auto"/>
            <w:vAlign w:val="center"/>
          </w:tcPr>
          <w:p w:rsidR="00FF331C" w:rsidRPr="00E07570" w:rsidRDefault="00FF331C" w:rsidP="00FF331C">
            <w:pPr>
              <w:spacing w:before="60" w:after="60"/>
              <w:ind w:left="57" w:right="57"/>
              <w:rPr>
                <w:lang w:eastAsia="en-GB"/>
              </w:rPr>
            </w:pPr>
          </w:p>
        </w:tc>
      </w:tr>
      <w:tr w:rsidR="00FF331C" w:rsidRPr="00E07570" w:rsidTr="00FF331C">
        <w:trPr>
          <w:trHeight w:val="20"/>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FF331C" w:rsidRPr="00E07570" w:rsidRDefault="00FF331C" w:rsidP="00FF331C">
            <w:pPr>
              <w:spacing w:before="60" w:after="60"/>
              <w:ind w:left="57" w:right="57"/>
              <w:rPr>
                <w:lang w:eastAsia="en-GB"/>
              </w:rPr>
            </w:pPr>
            <w:r w:rsidRPr="00E07570">
              <w:t>Antenne GNSS</w:t>
            </w:r>
          </w:p>
        </w:tc>
        <w:tc>
          <w:tcPr>
            <w:tcW w:w="2365" w:type="dxa"/>
            <w:tcBorders>
              <w:top w:val="nil"/>
              <w:left w:val="nil"/>
              <w:bottom w:val="single" w:sz="4" w:space="0" w:color="auto"/>
              <w:right w:val="single" w:sz="4" w:space="0" w:color="auto"/>
            </w:tcBorders>
            <w:shd w:val="clear" w:color="auto" w:fill="auto"/>
            <w:vAlign w:val="center"/>
            <w:hideMark/>
          </w:tcPr>
          <w:p w:rsidR="00FF331C" w:rsidRPr="00E07570" w:rsidRDefault="00FF331C" w:rsidP="00FF331C">
            <w:pPr>
              <w:spacing w:before="60" w:after="60"/>
              <w:ind w:left="57" w:right="57"/>
              <w:rPr>
                <w:lang w:eastAsia="en-GB"/>
              </w:rPr>
            </w:pPr>
            <w:r w:rsidRPr="00E07570">
              <w:rPr>
                <w:lang w:eastAsia="en-GB"/>
              </w:rPr>
              <w:t>Branchement électrique</w:t>
            </w:r>
          </w:p>
        </w:tc>
        <w:tc>
          <w:tcPr>
            <w:tcW w:w="3198" w:type="dxa"/>
            <w:tcBorders>
              <w:top w:val="nil"/>
              <w:left w:val="nil"/>
              <w:bottom w:val="single" w:sz="4" w:space="0" w:color="auto"/>
              <w:right w:val="single" w:sz="4" w:space="0" w:color="auto"/>
            </w:tcBorders>
            <w:shd w:val="clear" w:color="auto" w:fill="auto"/>
            <w:vAlign w:val="center"/>
          </w:tcPr>
          <w:p w:rsidR="00FF331C" w:rsidRPr="00E07570" w:rsidRDefault="00FF331C" w:rsidP="00FF331C">
            <w:pPr>
              <w:spacing w:before="60" w:after="60"/>
              <w:ind w:left="57" w:right="57"/>
              <w:rPr>
                <w:lang w:eastAsia="en-GB"/>
              </w:rPr>
            </w:pPr>
            <w:r w:rsidRPr="00E07570">
              <w:rPr>
                <w:lang w:eastAsia="en-GB"/>
              </w:rPr>
              <w:t>Homologation facultative</w:t>
            </w:r>
          </w:p>
        </w:tc>
      </w:tr>
      <w:tr w:rsidR="00FF331C" w:rsidRPr="00E07570" w:rsidTr="00FF331C">
        <w:trPr>
          <w:trHeight w:val="20"/>
        </w:trPr>
        <w:tc>
          <w:tcPr>
            <w:tcW w:w="1808" w:type="dxa"/>
            <w:vMerge w:val="restart"/>
            <w:tcBorders>
              <w:top w:val="nil"/>
              <w:left w:val="single" w:sz="4" w:space="0" w:color="auto"/>
              <w:right w:val="single" w:sz="4" w:space="0" w:color="auto"/>
            </w:tcBorders>
            <w:shd w:val="clear" w:color="auto" w:fill="auto"/>
            <w:noWrap/>
            <w:vAlign w:val="center"/>
            <w:hideMark/>
          </w:tcPr>
          <w:p w:rsidR="00FF331C" w:rsidRPr="00E07570" w:rsidRDefault="00FF331C" w:rsidP="00FF331C">
            <w:pPr>
              <w:spacing w:before="60" w:after="60"/>
              <w:ind w:left="57" w:right="57"/>
              <w:rPr>
                <w:lang w:eastAsia="en-GB"/>
              </w:rPr>
            </w:pPr>
            <w:r w:rsidRPr="00E07570">
              <w:rPr>
                <w:lang w:eastAsia="en-GB"/>
              </w:rPr>
              <w:t>Unité de détection des chocs (CCU)</w:t>
            </w:r>
          </w:p>
        </w:tc>
        <w:tc>
          <w:tcPr>
            <w:tcW w:w="2365" w:type="dxa"/>
            <w:tcBorders>
              <w:top w:val="nil"/>
              <w:left w:val="nil"/>
              <w:bottom w:val="single" w:sz="4" w:space="0" w:color="auto"/>
              <w:right w:val="single" w:sz="4" w:space="0" w:color="auto"/>
            </w:tcBorders>
            <w:shd w:val="clear" w:color="auto" w:fill="auto"/>
            <w:vAlign w:val="center"/>
            <w:hideMark/>
          </w:tcPr>
          <w:p w:rsidR="00FF331C" w:rsidRPr="00E07570" w:rsidRDefault="00FF331C" w:rsidP="00FF331C">
            <w:pPr>
              <w:spacing w:before="60" w:after="60"/>
              <w:ind w:left="57" w:right="57"/>
              <w:rPr>
                <w:lang w:eastAsia="en-GB"/>
              </w:rPr>
            </w:pPr>
            <w:r w:rsidRPr="00E07570">
              <w:rPr>
                <w:lang w:eastAsia="en-GB"/>
              </w:rPr>
              <w:t>Branchement électrique</w:t>
            </w:r>
          </w:p>
        </w:tc>
        <w:tc>
          <w:tcPr>
            <w:tcW w:w="3198" w:type="dxa"/>
            <w:tcBorders>
              <w:top w:val="nil"/>
              <w:left w:val="nil"/>
              <w:bottom w:val="single" w:sz="4" w:space="0" w:color="auto"/>
              <w:right w:val="single" w:sz="4" w:space="0" w:color="auto"/>
            </w:tcBorders>
            <w:shd w:val="clear" w:color="auto" w:fill="auto"/>
            <w:vAlign w:val="center"/>
            <w:hideMark/>
          </w:tcPr>
          <w:p w:rsidR="00FF331C" w:rsidRPr="00E07570" w:rsidRDefault="00FF331C" w:rsidP="00FF331C">
            <w:pPr>
              <w:spacing w:before="60" w:after="60"/>
              <w:ind w:left="57" w:right="57"/>
              <w:rPr>
                <w:lang w:eastAsia="en-GB"/>
              </w:rPr>
            </w:pPr>
            <w:r w:rsidRPr="00E07570">
              <w:rPr>
                <w:lang w:eastAsia="en-GB"/>
              </w:rPr>
              <w:t xml:space="preserve">Système de détection des chocs ou dispositif de déclenchement, </w:t>
            </w:r>
            <w:r w:rsidRPr="00E07570">
              <w:rPr>
                <w:lang w:eastAsia="en-GB"/>
              </w:rPr>
              <w:br/>
              <w:t>par exemple.</w:t>
            </w:r>
          </w:p>
        </w:tc>
      </w:tr>
      <w:tr w:rsidR="00FF331C" w:rsidRPr="00E07570" w:rsidTr="00FF331C">
        <w:trPr>
          <w:trHeight w:val="20"/>
        </w:trPr>
        <w:tc>
          <w:tcPr>
            <w:tcW w:w="1808" w:type="dxa"/>
            <w:vMerge/>
            <w:tcBorders>
              <w:left w:val="single" w:sz="4" w:space="0" w:color="auto"/>
              <w:bottom w:val="single" w:sz="4" w:space="0" w:color="auto"/>
              <w:right w:val="single" w:sz="4" w:space="0" w:color="auto"/>
            </w:tcBorders>
            <w:shd w:val="clear" w:color="auto" w:fill="auto"/>
            <w:noWrap/>
            <w:vAlign w:val="center"/>
            <w:hideMark/>
          </w:tcPr>
          <w:p w:rsidR="00FF331C" w:rsidRPr="00E07570" w:rsidRDefault="00FF331C" w:rsidP="00FF331C">
            <w:pPr>
              <w:spacing w:before="60" w:after="60"/>
              <w:ind w:left="57" w:right="57"/>
              <w:rPr>
                <w:bCs/>
                <w:lang w:eastAsia="en-GB"/>
              </w:rPr>
            </w:pPr>
          </w:p>
        </w:tc>
        <w:tc>
          <w:tcPr>
            <w:tcW w:w="2365" w:type="dxa"/>
            <w:tcBorders>
              <w:top w:val="nil"/>
              <w:left w:val="nil"/>
              <w:bottom w:val="single" w:sz="4" w:space="0" w:color="auto"/>
              <w:right w:val="single" w:sz="4" w:space="0" w:color="auto"/>
            </w:tcBorders>
            <w:shd w:val="clear" w:color="auto" w:fill="auto"/>
            <w:vAlign w:val="center"/>
            <w:hideMark/>
          </w:tcPr>
          <w:p w:rsidR="00FF331C" w:rsidRPr="00E07570" w:rsidRDefault="00FF331C" w:rsidP="00FF331C">
            <w:pPr>
              <w:spacing w:before="60" w:after="60"/>
              <w:ind w:left="57" w:right="57"/>
              <w:rPr>
                <w:bCs/>
                <w:lang w:eastAsia="en-GB"/>
              </w:rPr>
            </w:pPr>
            <w:r w:rsidRPr="00E07570">
              <w:rPr>
                <w:bCs/>
                <w:lang w:eastAsia="en-GB"/>
              </w:rPr>
              <w:t xml:space="preserve">Défaillance </w:t>
            </w:r>
            <w:r w:rsidRPr="00E07570">
              <w:rPr>
                <w:lang w:eastAsia="en-GB"/>
              </w:rPr>
              <w:t>interne</w:t>
            </w:r>
          </w:p>
        </w:tc>
        <w:tc>
          <w:tcPr>
            <w:tcW w:w="3198" w:type="dxa"/>
            <w:tcBorders>
              <w:top w:val="nil"/>
              <w:left w:val="nil"/>
              <w:bottom w:val="single" w:sz="4" w:space="0" w:color="auto"/>
              <w:right w:val="single" w:sz="4" w:space="0" w:color="auto"/>
            </w:tcBorders>
            <w:shd w:val="clear" w:color="auto" w:fill="auto"/>
            <w:vAlign w:val="center"/>
            <w:hideMark/>
          </w:tcPr>
          <w:p w:rsidR="00FF331C" w:rsidRPr="00E07570" w:rsidRDefault="00FF331C" w:rsidP="004C092A">
            <w:pPr>
              <w:spacing w:before="60" w:after="60"/>
              <w:ind w:left="57" w:right="57"/>
              <w:rPr>
                <w:bCs/>
                <w:lang w:eastAsia="en-GB"/>
              </w:rPr>
            </w:pPr>
            <w:r w:rsidRPr="00E07570">
              <w:rPr>
                <w:bCs/>
                <w:lang w:eastAsia="en-GB"/>
              </w:rPr>
              <w:t>Si le système de détection n</w:t>
            </w:r>
            <w:r w:rsidR="00145E4B">
              <w:rPr>
                <w:bCs/>
                <w:lang w:eastAsia="en-GB"/>
              </w:rPr>
              <w:t>’</w:t>
            </w:r>
            <w:r w:rsidRPr="00E07570">
              <w:rPr>
                <w:bCs/>
                <w:lang w:eastAsia="en-GB"/>
              </w:rPr>
              <w:t>est pas en bon état l</w:t>
            </w:r>
            <w:r w:rsidR="00145E4B">
              <w:rPr>
                <w:bCs/>
                <w:lang w:eastAsia="en-GB"/>
              </w:rPr>
              <w:t>’</w:t>
            </w:r>
            <w:r w:rsidRPr="00E07570">
              <w:rPr>
                <w:bCs/>
                <w:lang w:eastAsia="en-GB"/>
              </w:rPr>
              <w:t>appel d</w:t>
            </w:r>
            <w:r w:rsidR="00145E4B">
              <w:rPr>
                <w:bCs/>
                <w:lang w:eastAsia="en-GB"/>
              </w:rPr>
              <w:t>’</w:t>
            </w:r>
            <w:r w:rsidRPr="00E07570">
              <w:rPr>
                <w:bCs/>
                <w:lang w:eastAsia="en-GB"/>
              </w:rPr>
              <w:t>urgence est impos</w:t>
            </w:r>
            <w:r w:rsidR="004C092A" w:rsidRPr="00E07570">
              <w:rPr>
                <w:bCs/>
                <w:lang w:eastAsia="en-GB"/>
              </w:rPr>
              <w:t>sibl</w:t>
            </w:r>
            <w:r w:rsidRPr="00E07570">
              <w:rPr>
                <w:bCs/>
                <w:lang w:eastAsia="en-GB"/>
              </w:rPr>
              <w:t>e.</w:t>
            </w:r>
          </w:p>
        </w:tc>
      </w:tr>
      <w:tr w:rsidR="00FF331C" w:rsidRPr="00E07570" w:rsidTr="00FF331C">
        <w:trPr>
          <w:trHeight w:val="20"/>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FF331C" w:rsidRPr="00E07570" w:rsidRDefault="00FF331C" w:rsidP="00FF331C">
            <w:pPr>
              <w:spacing w:before="60" w:after="60"/>
              <w:ind w:left="57" w:right="57"/>
              <w:rPr>
                <w:lang w:eastAsia="en-GB"/>
              </w:rPr>
            </w:pPr>
            <w:r w:rsidRPr="00E07570">
              <w:rPr>
                <w:lang w:eastAsia="en-GB"/>
              </w:rPr>
              <w:t>Alimentation électrique</w:t>
            </w:r>
          </w:p>
        </w:tc>
        <w:tc>
          <w:tcPr>
            <w:tcW w:w="2365" w:type="dxa"/>
            <w:tcBorders>
              <w:top w:val="nil"/>
              <w:left w:val="nil"/>
              <w:bottom w:val="single" w:sz="4" w:space="0" w:color="auto"/>
              <w:right w:val="single" w:sz="4" w:space="0" w:color="auto"/>
            </w:tcBorders>
            <w:shd w:val="clear" w:color="auto" w:fill="auto"/>
            <w:vAlign w:val="center"/>
            <w:hideMark/>
          </w:tcPr>
          <w:p w:rsidR="00FF331C" w:rsidRPr="00E07570" w:rsidRDefault="00FF331C" w:rsidP="00FF331C">
            <w:pPr>
              <w:spacing w:before="60" w:after="60"/>
              <w:ind w:left="57" w:right="57"/>
              <w:rPr>
                <w:lang w:eastAsia="en-GB"/>
              </w:rPr>
            </w:pPr>
            <w:r w:rsidRPr="00E07570">
              <w:rPr>
                <w:lang w:eastAsia="en-GB"/>
              </w:rPr>
              <w:t>Raccordement électrique</w:t>
            </w:r>
          </w:p>
        </w:tc>
        <w:tc>
          <w:tcPr>
            <w:tcW w:w="3198" w:type="dxa"/>
            <w:tcBorders>
              <w:top w:val="nil"/>
              <w:left w:val="nil"/>
              <w:bottom w:val="single" w:sz="4" w:space="0" w:color="auto"/>
              <w:right w:val="single" w:sz="4" w:space="0" w:color="auto"/>
            </w:tcBorders>
            <w:shd w:val="clear" w:color="auto" w:fill="auto"/>
            <w:vAlign w:val="center"/>
            <w:hideMark/>
          </w:tcPr>
          <w:p w:rsidR="00FF331C" w:rsidRPr="00E07570" w:rsidRDefault="00FF331C" w:rsidP="00FF331C">
            <w:pPr>
              <w:spacing w:before="60" w:after="60"/>
              <w:ind w:left="57" w:right="57"/>
              <w:rPr>
                <w:lang w:eastAsia="en-GB"/>
              </w:rPr>
            </w:pPr>
            <w:r w:rsidRPr="00E07570">
              <w:rPr>
                <w:lang w:eastAsia="en-GB"/>
              </w:rPr>
              <w:t>Branchement d</w:t>
            </w:r>
            <w:r w:rsidR="00145E4B">
              <w:rPr>
                <w:lang w:eastAsia="en-GB"/>
              </w:rPr>
              <w:t>’</w:t>
            </w:r>
            <w:r w:rsidRPr="00E07570">
              <w:rPr>
                <w:lang w:eastAsia="en-GB"/>
              </w:rPr>
              <w:t>une batterie spéciale.</w:t>
            </w:r>
          </w:p>
        </w:tc>
      </w:tr>
      <w:tr w:rsidR="00FF331C" w:rsidRPr="00E07570" w:rsidTr="00FF331C">
        <w:trPr>
          <w:trHeight w:val="20"/>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FF331C" w:rsidRPr="00E07570" w:rsidRDefault="00FF331C" w:rsidP="00FF331C">
            <w:pPr>
              <w:spacing w:before="60" w:after="60"/>
              <w:ind w:left="57" w:right="57"/>
              <w:rPr>
                <w:lang w:eastAsia="en-GB"/>
              </w:rPr>
            </w:pPr>
            <w:r w:rsidRPr="00E07570">
              <w:rPr>
                <w:lang w:eastAsia="en-GB"/>
              </w:rPr>
              <w:t>Module d</w:t>
            </w:r>
            <w:r w:rsidR="00145E4B">
              <w:rPr>
                <w:lang w:eastAsia="en-GB"/>
              </w:rPr>
              <w:t>’</w:t>
            </w:r>
            <w:r w:rsidRPr="00E07570">
              <w:rPr>
                <w:lang w:eastAsia="en-GB"/>
              </w:rPr>
              <w:t>identification d</w:t>
            </w:r>
            <w:r w:rsidR="00145E4B">
              <w:rPr>
                <w:lang w:eastAsia="en-GB"/>
              </w:rPr>
              <w:t>’</w:t>
            </w:r>
            <w:r w:rsidRPr="00E07570">
              <w:rPr>
                <w:lang w:eastAsia="en-GB"/>
              </w:rPr>
              <w:t>abonné (SIM)</w:t>
            </w:r>
          </w:p>
        </w:tc>
        <w:tc>
          <w:tcPr>
            <w:tcW w:w="2365" w:type="dxa"/>
            <w:tcBorders>
              <w:top w:val="nil"/>
              <w:left w:val="nil"/>
              <w:bottom w:val="single" w:sz="4" w:space="0" w:color="auto"/>
              <w:right w:val="single" w:sz="4" w:space="0" w:color="auto"/>
            </w:tcBorders>
            <w:shd w:val="clear" w:color="auto" w:fill="auto"/>
            <w:vAlign w:val="center"/>
            <w:hideMark/>
          </w:tcPr>
          <w:p w:rsidR="00FF331C" w:rsidRPr="00E07570" w:rsidRDefault="00FF331C" w:rsidP="00FF331C">
            <w:pPr>
              <w:spacing w:before="60" w:after="60"/>
              <w:ind w:left="57" w:right="57"/>
              <w:rPr>
                <w:lang w:eastAsia="en-GB"/>
              </w:rPr>
            </w:pPr>
            <w:r w:rsidRPr="00E07570">
              <w:rPr>
                <w:lang w:eastAsia="en-GB"/>
              </w:rPr>
              <w:t>Néant</w:t>
            </w:r>
          </w:p>
        </w:tc>
        <w:tc>
          <w:tcPr>
            <w:tcW w:w="3198" w:type="dxa"/>
            <w:tcBorders>
              <w:top w:val="nil"/>
              <w:left w:val="nil"/>
              <w:bottom w:val="single" w:sz="4" w:space="0" w:color="auto"/>
              <w:right w:val="single" w:sz="4" w:space="0" w:color="auto"/>
            </w:tcBorders>
            <w:shd w:val="clear" w:color="auto" w:fill="auto"/>
            <w:vAlign w:val="center"/>
            <w:hideMark/>
          </w:tcPr>
          <w:p w:rsidR="00FF331C" w:rsidRPr="00E07570" w:rsidRDefault="00FF331C" w:rsidP="004C092A">
            <w:pPr>
              <w:spacing w:before="60" w:after="60"/>
              <w:ind w:left="57" w:right="57"/>
              <w:rPr>
                <w:bCs/>
                <w:lang w:eastAsia="en-GB"/>
              </w:rPr>
            </w:pPr>
            <w:r w:rsidRPr="00E07570">
              <w:rPr>
                <w:bCs/>
                <w:lang w:eastAsia="en-GB"/>
              </w:rPr>
              <w:t>Seulement en cas d</w:t>
            </w:r>
            <w:r w:rsidR="00145E4B">
              <w:rPr>
                <w:bCs/>
                <w:lang w:eastAsia="en-GB"/>
              </w:rPr>
              <w:t>’</w:t>
            </w:r>
            <w:r w:rsidRPr="00E07570">
              <w:rPr>
                <w:bCs/>
                <w:lang w:eastAsia="en-GB"/>
              </w:rPr>
              <w:t>utilisation d</w:t>
            </w:r>
            <w:r w:rsidR="00145E4B">
              <w:rPr>
                <w:bCs/>
                <w:lang w:eastAsia="en-GB"/>
              </w:rPr>
              <w:t>’</w:t>
            </w:r>
            <w:r w:rsidR="004C092A" w:rsidRPr="00E07570">
              <w:rPr>
                <w:bCs/>
                <w:lang w:eastAsia="en-GB"/>
              </w:rPr>
              <w:t>une carte SIM extractibl</w:t>
            </w:r>
            <w:r w:rsidRPr="00E07570">
              <w:rPr>
                <w:bCs/>
                <w:lang w:eastAsia="en-GB"/>
              </w:rPr>
              <w:t>e.</w:t>
            </w:r>
          </w:p>
        </w:tc>
      </w:tr>
      <w:tr w:rsidR="00FF331C" w:rsidRPr="00E07570" w:rsidTr="00FF331C">
        <w:trPr>
          <w:trHeight w:val="20"/>
        </w:trPr>
        <w:tc>
          <w:tcPr>
            <w:tcW w:w="1808" w:type="dxa"/>
            <w:tcBorders>
              <w:top w:val="single" w:sz="4" w:space="0" w:color="auto"/>
              <w:left w:val="single" w:sz="4" w:space="0" w:color="auto"/>
              <w:bottom w:val="single" w:sz="12" w:space="0" w:color="auto"/>
              <w:right w:val="single" w:sz="6" w:space="0" w:color="auto"/>
            </w:tcBorders>
            <w:shd w:val="clear" w:color="auto" w:fill="auto"/>
            <w:noWrap/>
            <w:vAlign w:val="center"/>
            <w:hideMark/>
          </w:tcPr>
          <w:p w:rsidR="00FF331C" w:rsidRPr="00E07570" w:rsidRDefault="00FF331C" w:rsidP="00FF331C">
            <w:pPr>
              <w:spacing w:before="60" w:after="60"/>
              <w:ind w:left="57" w:right="57"/>
              <w:rPr>
                <w:iCs/>
                <w:lang w:eastAsia="en-GB"/>
              </w:rPr>
            </w:pPr>
            <w:r w:rsidRPr="00E07570">
              <w:rPr>
                <w:iCs/>
              </w:rPr>
              <w:t xml:space="preserve">Alimentation électrique </w:t>
            </w:r>
            <w:r w:rsidRPr="00E07570">
              <w:rPr>
                <w:iCs/>
              </w:rPr>
              <w:br/>
              <w:t>de secours</w:t>
            </w:r>
          </w:p>
        </w:tc>
        <w:tc>
          <w:tcPr>
            <w:tcW w:w="2365" w:type="dxa"/>
            <w:tcBorders>
              <w:top w:val="single" w:sz="4" w:space="0" w:color="auto"/>
              <w:left w:val="single" w:sz="6" w:space="0" w:color="auto"/>
              <w:bottom w:val="single" w:sz="12" w:space="0" w:color="auto"/>
              <w:right w:val="single" w:sz="6" w:space="0" w:color="auto"/>
            </w:tcBorders>
            <w:shd w:val="clear" w:color="auto" w:fill="auto"/>
            <w:vAlign w:val="center"/>
            <w:hideMark/>
          </w:tcPr>
          <w:p w:rsidR="00FF331C" w:rsidRPr="00E07570" w:rsidRDefault="00FF331C" w:rsidP="00FF331C">
            <w:pPr>
              <w:spacing w:before="60" w:after="60"/>
              <w:ind w:left="57" w:right="57"/>
              <w:rPr>
                <w:bCs/>
                <w:lang w:eastAsia="en-GB"/>
              </w:rPr>
            </w:pPr>
            <w:r w:rsidRPr="00E07570">
              <w:rPr>
                <w:bCs/>
                <w:lang w:eastAsia="en-GB"/>
              </w:rPr>
              <w:t>État de charge critique (seuil fixé par le constructeur)</w:t>
            </w:r>
          </w:p>
        </w:tc>
        <w:tc>
          <w:tcPr>
            <w:tcW w:w="3198" w:type="dxa"/>
            <w:tcBorders>
              <w:top w:val="single" w:sz="4" w:space="0" w:color="auto"/>
              <w:left w:val="single" w:sz="6" w:space="0" w:color="auto"/>
              <w:bottom w:val="single" w:sz="12" w:space="0" w:color="auto"/>
              <w:right w:val="single" w:sz="4" w:space="0" w:color="auto"/>
            </w:tcBorders>
            <w:shd w:val="clear" w:color="auto" w:fill="auto"/>
            <w:vAlign w:val="center"/>
            <w:hideMark/>
          </w:tcPr>
          <w:p w:rsidR="00FF331C" w:rsidRPr="00E07570" w:rsidRDefault="00FF331C" w:rsidP="00FF331C">
            <w:pPr>
              <w:spacing w:before="60" w:after="60"/>
              <w:ind w:left="57" w:right="57"/>
              <w:rPr>
                <w:bCs/>
                <w:lang w:eastAsia="en-GB"/>
              </w:rPr>
            </w:pPr>
            <w:r w:rsidRPr="00E07570">
              <w:rPr>
                <w:bCs/>
                <w:lang w:eastAsia="en-GB"/>
              </w:rPr>
              <w:t>Défaillance en cas d</w:t>
            </w:r>
            <w:r w:rsidR="00145E4B">
              <w:rPr>
                <w:bCs/>
                <w:lang w:eastAsia="en-GB"/>
              </w:rPr>
              <w:t>’</w:t>
            </w:r>
            <w:r w:rsidRPr="00E07570">
              <w:rPr>
                <w:bCs/>
                <w:lang w:eastAsia="en-GB"/>
              </w:rPr>
              <w:t xml:space="preserve">état de charge critique dont le niveau est </w:t>
            </w:r>
            <w:proofErr w:type="gramStart"/>
            <w:r w:rsidRPr="00E07570">
              <w:rPr>
                <w:bCs/>
                <w:lang w:eastAsia="en-GB"/>
              </w:rPr>
              <w:t>fixé</w:t>
            </w:r>
            <w:proofErr w:type="gramEnd"/>
            <w:r w:rsidRPr="00E07570">
              <w:rPr>
                <w:bCs/>
                <w:lang w:eastAsia="en-GB"/>
              </w:rPr>
              <w:t xml:space="preserve"> </w:t>
            </w:r>
            <w:r w:rsidRPr="00E07570">
              <w:rPr>
                <w:bCs/>
                <w:lang w:eastAsia="en-GB"/>
              </w:rPr>
              <w:br/>
              <w:t>par le constructeur.</w:t>
            </w:r>
          </w:p>
        </w:tc>
      </w:tr>
    </w:tbl>
    <w:p w:rsidR="002F316D" w:rsidRPr="00E07570" w:rsidRDefault="002F316D" w:rsidP="002F316D">
      <w:pPr>
        <w:pStyle w:val="SingleTxtG"/>
        <w:spacing w:before="240"/>
        <w:ind w:left="2268" w:hanging="1134"/>
      </w:pPr>
      <w:r w:rsidRPr="00E07570">
        <w:rPr>
          <w:b/>
        </w:rPr>
        <w:t>35.7.3.2</w:t>
      </w:r>
      <w:r w:rsidRPr="00E07570">
        <w:tab/>
      </w:r>
      <w:r w:rsidRPr="00E07570">
        <w:tab/>
        <w:t>Procédure d</w:t>
      </w:r>
      <w:r w:rsidR="00145E4B">
        <w:t>’</w:t>
      </w:r>
      <w:r w:rsidRPr="00E07570">
        <w:t>essai</w:t>
      </w:r>
    </w:p>
    <w:p w:rsidR="002F316D" w:rsidRPr="00E07570" w:rsidRDefault="002F316D" w:rsidP="002F316D">
      <w:pPr>
        <w:pStyle w:val="SingleTxtG"/>
        <w:ind w:left="2268"/>
      </w:pPr>
      <w:r w:rsidRPr="00E07570">
        <w:t>Essai de vérification de la fonction d</w:t>
      </w:r>
      <w:r w:rsidR="00145E4B">
        <w:t>’</w:t>
      </w:r>
      <w:r w:rsidRPr="00E07570">
        <w:t>autotest</w:t>
      </w:r>
    </w:p>
    <w:p w:rsidR="002F316D" w:rsidRPr="00E07570" w:rsidRDefault="002F316D" w:rsidP="002F316D">
      <w:pPr>
        <w:pStyle w:val="SingleTxtG"/>
        <w:ind w:left="2268" w:hanging="1134"/>
      </w:pPr>
      <w:r w:rsidRPr="00E07570">
        <w:rPr>
          <w:b/>
        </w:rPr>
        <w:t>35.7.3.2.1</w:t>
      </w:r>
      <w:r w:rsidRPr="00E07570">
        <w:tab/>
        <w:t>L</w:t>
      </w:r>
      <w:r w:rsidR="00145E4B">
        <w:t>’</w:t>
      </w:r>
      <w:r w:rsidRPr="00E07570">
        <w:t>essai ci-dessous doit être effectué sur un AECS dont les éléments sont disposés de façon représentative.</w:t>
      </w:r>
    </w:p>
    <w:p w:rsidR="002F316D" w:rsidRPr="00E07570" w:rsidRDefault="002F316D" w:rsidP="002F316D">
      <w:pPr>
        <w:pStyle w:val="SingleTxtG"/>
        <w:ind w:left="2268" w:hanging="1134"/>
      </w:pPr>
      <w:r w:rsidRPr="00E07570">
        <w:rPr>
          <w:b/>
        </w:rPr>
        <w:t>35.7.3.2.2</w:t>
      </w:r>
      <w:r w:rsidRPr="00E07570">
        <w:tab/>
        <w:t xml:space="preserve">Simuler une </w:t>
      </w:r>
      <w:r w:rsidRPr="00E07570">
        <w:rPr>
          <w:bCs/>
        </w:rPr>
        <w:t xml:space="preserve">défaillance </w:t>
      </w:r>
      <w:r w:rsidRPr="00E07570">
        <w:t>de l</w:t>
      </w:r>
      <w:r w:rsidR="00145E4B">
        <w:t>’</w:t>
      </w:r>
      <w:r w:rsidRPr="00E07570">
        <w:t>AECS en introduisant une défaillance critique dans l</w:t>
      </w:r>
      <w:r w:rsidR="00145E4B">
        <w:t>’</w:t>
      </w:r>
      <w:r w:rsidRPr="00E07570">
        <w:t>un ou plusieurs des éléments surveillés par la fonction d</w:t>
      </w:r>
      <w:r w:rsidR="00145E4B">
        <w:t>’</w:t>
      </w:r>
      <w:r w:rsidRPr="00E07570">
        <w:t>autotest, conformément à la documentation technique fournie par le constructeur. Le ou les éléments doivent être choisis par le service technique.</w:t>
      </w:r>
    </w:p>
    <w:p w:rsidR="002F316D" w:rsidRPr="00E07570" w:rsidRDefault="002F316D" w:rsidP="002F316D">
      <w:pPr>
        <w:pStyle w:val="SingleTxtG"/>
        <w:ind w:left="2268" w:hanging="1134"/>
      </w:pPr>
      <w:r w:rsidRPr="00E07570">
        <w:rPr>
          <w:b/>
        </w:rPr>
        <w:t>35.7.3.2.3</w:t>
      </w:r>
      <w:r w:rsidRPr="00E07570">
        <w:tab/>
        <w:t>Mettre l</w:t>
      </w:r>
      <w:r w:rsidR="00145E4B">
        <w:t>’</w:t>
      </w:r>
      <w:r w:rsidRPr="00E07570">
        <w:t>AECS sous tension et vérifier que le signal d</w:t>
      </w:r>
      <w:r w:rsidR="00145E4B">
        <w:t>’</w:t>
      </w:r>
      <w:r w:rsidRPr="00E07570">
        <w:t xml:space="preserve">avertissement </w:t>
      </w:r>
      <w:r w:rsidR="00C80BC2" w:rsidRPr="00E07570">
        <w:t>s</w:t>
      </w:r>
      <w:r w:rsidR="00145E4B">
        <w:t>’</w:t>
      </w:r>
      <w:r w:rsidR="00C80BC2" w:rsidRPr="00E07570">
        <w:t>allume.</w:t>
      </w:r>
    </w:p>
    <w:p w:rsidR="002F316D" w:rsidRPr="00E07570" w:rsidRDefault="002F316D" w:rsidP="002F316D">
      <w:pPr>
        <w:pStyle w:val="SingleTxtG"/>
        <w:ind w:left="2268" w:hanging="1134"/>
      </w:pPr>
      <w:r w:rsidRPr="00E07570">
        <w:rPr>
          <w:b/>
        </w:rPr>
        <w:t>35.7.3.2.4</w:t>
      </w:r>
      <w:r w:rsidRPr="00E07570">
        <w:tab/>
        <w:t>Mettre l</w:t>
      </w:r>
      <w:r w:rsidR="00145E4B">
        <w:t>’</w:t>
      </w:r>
      <w:r w:rsidRPr="00E07570">
        <w:t>AECS hors tension et le rétablir en fonctionnement normal.</w:t>
      </w:r>
    </w:p>
    <w:p w:rsidR="002F316D" w:rsidRPr="00E07570" w:rsidRDefault="002F316D" w:rsidP="002F316D">
      <w:pPr>
        <w:pStyle w:val="SingleTxtG"/>
        <w:ind w:left="2268" w:hanging="1134"/>
      </w:pPr>
      <w:r w:rsidRPr="00E07570">
        <w:rPr>
          <w:b/>
        </w:rPr>
        <w:t>35.7.3.2.5</w:t>
      </w:r>
      <w:r w:rsidRPr="00E07570">
        <w:tab/>
        <w:t>Mettre l</w:t>
      </w:r>
      <w:r w:rsidR="00145E4B">
        <w:t>’</w:t>
      </w:r>
      <w:r w:rsidRPr="00E07570">
        <w:t>AECS sous tension et vérifier que le signal d</w:t>
      </w:r>
      <w:r w:rsidR="00145E4B">
        <w:t>’</w:t>
      </w:r>
      <w:r w:rsidRPr="00E07570">
        <w:t>avertissement ne s</w:t>
      </w:r>
      <w:r w:rsidR="00145E4B">
        <w:t>’</w:t>
      </w:r>
      <w:r w:rsidRPr="00E07570">
        <w:t>allume pas ou s</w:t>
      </w:r>
      <w:r w:rsidR="00145E4B">
        <w:t>’</w:t>
      </w:r>
      <w:r w:rsidRPr="00E07570">
        <w:t>éteint pe</w:t>
      </w:r>
      <w:r w:rsidR="00C80BC2" w:rsidRPr="00E07570">
        <w:t>u de temps après s</w:t>
      </w:r>
      <w:r w:rsidR="00145E4B">
        <w:t>’</w:t>
      </w:r>
      <w:r w:rsidR="00C80BC2" w:rsidRPr="00E07570">
        <w:t>être allumé.</w:t>
      </w:r>
    </w:p>
    <w:p w:rsidR="002F316D" w:rsidRPr="00E07570" w:rsidRDefault="002F316D" w:rsidP="002F316D">
      <w:pPr>
        <w:pStyle w:val="SingleTxtG"/>
        <w:ind w:left="2268" w:hanging="1134"/>
      </w:pPr>
      <w:r w:rsidRPr="00E07570">
        <w:rPr>
          <w:b/>
        </w:rPr>
        <w:t>35.8</w:t>
      </w:r>
      <w:r w:rsidRPr="00E07570">
        <w:tab/>
      </w:r>
      <w:r w:rsidRPr="00E07570">
        <w:tab/>
        <w:t xml:space="preserve">Efficacité audio en mode mains </w:t>
      </w:r>
      <w:r w:rsidR="00305F8B" w:rsidRPr="00E07570">
        <w:t>libres</w:t>
      </w:r>
    </w:p>
    <w:p w:rsidR="002F316D" w:rsidRPr="00E07570" w:rsidRDefault="002F316D" w:rsidP="00C80BC2">
      <w:pPr>
        <w:pStyle w:val="SingleTxtG"/>
        <w:ind w:left="2268"/>
      </w:pPr>
      <w:r w:rsidRPr="00E07570">
        <w:tab/>
        <w:t>Les messages vocaux émis par l</w:t>
      </w:r>
      <w:r w:rsidR="00145E4B">
        <w:t>’</w:t>
      </w:r>
      <w:r w:rsidRPr="00E07570">
        <w:t>AECS doivent être suffisamment intellig</w:t>
      </w:r>
      <w:r w:rsidR="004C092A" w:rsidRPr="00E07570">
        <w:t>ibl</w:t>
      </w:r>
      <w:r w:rsidRPr="00E07570">
        <w:t>es pour le conducteur du véhicule.</w:t>
      </w:r>
    </w:p>
    <w:p w:rsidR="002F316D" w:rsidRPr="00E07570" w:rsidRDefault="002F316D" w:rsidP="002F316D">
      <w:pPr>
        <w:pStyle w:val="SingleTxtG"/>
        <w:ind w:left="2268" w:hanging="1134"/>
      </w:pPr>
      <w:r w:rsidRPr="00E07570">
        <w:rPr>
          <w:b/>
        </w:rPr>
        <w:t>35.8.1</w:t>
      </w:r>
      <w:r w:rsidRPr="00E07570">
        <w:tab/>
      </w:r>
      <w:r w:rsidRPr="00E07570">
        <w:tab/>
        <w:t>Sous réserve du paragraphe 1.5, l</w:t>
      </w:r>
      <w:r w:rsidR="00145E4B">
        <w:t>’</w:t>
      </w:r>
      <w:r w:rsidRPr="00E07570">
        <w:t>intelli</w:t>
      </w:r>
      <w:r w:rsidR="004C092A" w:rsidRPr="00E07570">
        <w:t>gibili</w:t>
      </w:r>
      <w:r w:rsidRPr="00E07570">
        <w:t>té des messages vocaux avant accident doit être conforme à la norme UIT-T P.1140 (06/2015) dans un véhicule, avant tout essai conforme aux Règlements n</w:t>
      </w:r>
      <w:r w:rsidRPr="00E07570">
        <w:rPr>
          <w:vertAlign w:val="superscript"/>
        </w:rPr>
        <w:t>os</w:t>
      </w:r>
      <w:r w:rsidRPr="00E07570">
        <w:t> 94 et/ou 95, selon le</w:t>
      </w:r>
      <w:r w:rsidR="00C80BC2" w:rsidRPr="00E07570">
        <w:t> </w:t>
      </w:r>
      <w:r w:rsidRPr="00E07570">
        <w:t>cas.</w:t>
      </w:r>
    </w:p>
    <w:p w:rsidR="002F316D" w:rsidRPr="00E07570" w:rsidRDefault="002F316D" w:rsidP="00C80BC2">
      <w:pPr>
        <w:pStyle w:val="SingleTxtG"/>
        <w:ind w:left="2268"/>
      </w:pPr>
      <w:r w:rsidRPr="00E07570">
        <w:t>La conformité de l</w:t>
      </w:r>
      <w:r w:rsidR="00145E4B">
        <w:t>’</w:t>
      </w:r>
      <w:r w:rsidRPr="00E07570">
        <w:t>AECS doit être vérifiée au moye</w:t>
      </w:r>
      <w:r w:rsidR="00F81A1E" w:rsidRPr="00E07570">
        <w:t>n de la norme UIT</w:t>
      </w:r>
      <w:r w:rsidR="00F81A1E" w:rsidRPr="00E07570">
        <w:noBreakHyphen/>
        <w:t>T P.</w:t>
      </w:r>
      <w:r w:rsidRPr="00E07570">
        <w:t>1140 (06/2015) en apportant les modifications ci-dessus aux paragraphes</w:t>
      </w:r>
      <w:r w:rsidR="0038778E" w:rsidRPr="00E07570">
        <w:t> </w:t>
      </w:r>
      <w:r w:rsidRPr="00E07570">
        <w:t>8.8.1 et 8.8.3 de ladite norme :</w:t>
      </w:r>
    </w:p>
    <w:p w:rsidR="002F316D" w:rsidRPr="00E07570" w:rsidRDefault="002F316D" w:rsidP="00C80BC2">
      <w:pPr>
        <w:pStyle w:val="SingleTxtG"/>
        <w:ind w:left="2835" w:hanging="567"/>
      </w:pPr>
      <w:r w:rsidRPr="00E07570">
        <w:t>a)</w:t>
      </w:r>
      <w:r w:rsidRPr="00E07570">
        <w:tab/>
        <w:t>La TCL</w:t>
      </w:r>
      <w:r w:rsidR="00C80BC2" w:rsidRPr="00E07570">
        <w:t> </w:t>
      </w:r>
      <w:r w:rsidRPr="00E07570">
        <w:t>w devrait être au moins égale à 46 dB pour toutes les configurations de l</w:t>
      </w:r>
      <w:r w:rsidR="00145E4B">
        <w:t>’</w:t>
      </w:r>
      <w:r w:rsidRPr="00E07570">
        <w:t>AGC, ce qui devrait être vérifié par le constructeur du système IVS. Pendant les essais, le volume maximum ne peut être déterminé avec précision en raison de la commande automatique de gain. Les essais sont donc effectués alors que le système nominal est réglé en mode silence, comme indiqué au paragraphe</w:t>
      </w:r>
      <w:r w:rsidR="00C80BC2" w:rsidRPr="00E07570">
        <w:t> </w:t>
      </w:r>
      <w:r w:rsidRPr="00E07570">
        <w:t>8.8.1 de la norme de l</w:t>
      </w:r>
      <w:r w:rsidR="00145E4B">
        <w:t>’</w:t>
      </w:r>
      <w:r w:rsidRPr="00E07570">
        <w:t>UIT indiquée ci-dessus ;</w:t>
      </w:r>
    </w:p>
    <w:p w:rsidR="002F316D" w:rsidRPr="00E07570" w:rsidRDefault="002F316D" w:rsidP="00C80BC2">
      <w:pPr>
        <w:pStyle w:val="SingleTxtG"/>
        <w:ind w:left="2835" w:hanging="567"/>
      </w:pPr>
      <w:r w:rsidRPr="00E07570">
        <w:t>b)</w:t>
      </w:r>
      <w:r w:rsidRPr="00E07570">
        <w:tab/>
        <w:t>Efficacité de l</w:t>
      </w:r>
      <w:r w:rsidR="00145E4B">
        <w:t>’</w:t>
      </w:r>
      <w:r w:rsidRPr="00E07570">
        <w:t>écho avec indication du trajet de l</w:t>
      </w:r>
      <w:r w:rsidR="00145E4B">
        <w:t>’</w:t>
      </w:r>
      <w:r w:rsidRPr="00E07570">
        <w:t>écho et des paroles en fonction du temps : il faut noter que sur certains véhicules, l</w:t>
      </w:r>
      <w:r w:rsidR="00145E4B">
        <w:t>’</w:t>
      </w:r>
      <w:r w:rsidRPr="00E07570">
        <w:t>ouverture et la fermeture des portières peuvent émettre des signaux d</w:t>
      </w:r>
      <w:r w:rsidR="00145E4B">
        <w:t>’</w:t>
      </w:r>
      <w:r w:rsidRPr="00E07570">
        <w:t>avertissement acoustiques indésirables lors de la mesure, qui peuvent modifier les résultats des essais. Pour éviter cet inconvénient, une personne prend place sur le siège du passager avant, et il lui est demandé de déplacer lentement son bras gauche pour les véhicules à conduite à gauche (et inversement), de haut en bas, pendant les mesures (conformément au paragraphe 8.8.3 de la norme en question).</w:t>
      </w:r>
    </w:p>
    <w:p w:rsidR="002F316D" w:rsidRPr="00E07570" w:rsidRDefault="002F316D" w:rsidP="002F316D">
      <w:pPr>
        <w:pStyle w:val="SingleTxtG"/>
        <w:ind w:left="2268" w:hanging="1134"/>
      </w:pPr>
      <w:r w:rsidRPr="00E07570">
        <w:rPr>
          <w:b/>
        </w:rPr>
        <w:t>35.8.2</w:t>
      </w:r>
      <w:r w:rsidRPr="00E07570">
        <w:tab/>
        <w:t>L</w:t>
      </w:r>
      <w:r w:rsidR="00145E4B">
        <w:t>’</w:t>
      </w:r>
      <w:r w:rsidR="004C092A" w:rsidRPr="00E07570">
        <w:t>intelligibili</w:t>
      </w:r>
      <w:r w:rsidRPr="00E07570">
        <w:t>té des signaux vocaux après accident peut être évaluée au moyen d</w:t>
      </w:r>
      <w:r w:rsidR="00145E4B">
        <w:t>’</w:t>
      </w:r>
      <w:r w:rsidRPr="00E07570">
        <w:t>essais subjectifs conformément au paragraphe </w:t>
      </w:r>
      <w:r w:rsidRPr="00E07570">
        <w:rPr>
          <w:b/>
        </w:rPr>
        <w:t>35.8.3</w:t>
      </w:r>
      <w:r w:rsidRPr="00E07570">
        <w:t>, une fois effectués les essais prescrits par les Règlements n</w:t>
      </w:r>
      <w:r w:rsidRPr="00E07570">
        <w:rPr>
          <w:vertAlign w:val="superscript"/>
        </w:rPr>
        <w:t>os</w:t>
      </w:r>
      <w:r w:rsidR="00BC0A77" w:rsidRPr="00E07570">
        <w:t> 94 et/ou 95, selon le cas.</w:t>
      </w:r>
    </w:p>
    <w:p w:rsidR="002F316D" w:rsidRPr="00E07570" w:rsidRDefault="002F316D" w:rsidP="002F316D">
      <w:pPr>
        <w:pStyle w:val="SingleTxtG"/>
        <w:ind w:left="2268" w:hanging="1134"/>
      </w:pPr>
      <w:r w:rsidRPr="00E07570">
        <w:rPr>
          <w:b/>
        </w:rPr>
        <w:t>35.8.3</w:t>
      </w:r>
      <w:r w:rsidRPr="00E07570">
        <w:tab/>
        <w:t>Langues utilisées pendant les essais</w:t>
      </w:r>
    </w:p>
    <w:p w:rsidR="002F316D" w:rsidRPr="00E07570" w:rsidRDefault="002F316D" w:rsidP="002F316D">
      <w:pPr>
        <w:pStyle w:val="SingleTxtG"/>
        <w:ind w:left="2268" w:hanging="1134"/>
      </w:pPr>
      <w:r w:rsidRPr="00E07570">
        <w:rPr>
          <w:b/>
        </w:rPr>
        <w:t>35.8.3.1</w:t>
      </w:r>
      <w:r w:rsidRPr="00E07570">
        <w:tab/>
        <w:t>La langue utilisée lors des essais d</w:t>
      </w:r>
      <w:r w:rsidR="00145E4B">
        <w:t>’</w:t>
      </w:r>
      <w:r w:rsidRPr="00E07570">
        <w:t>intelli</w:t>
      </w:r>
      <w:r w:rsidR="004C092A" w:rsidRPr="00E07570">
        <w:t>gibili</w:t>
      </w:r>
      <w:r w:rsidRPr="00E07570">
        <w:t xml:space="preserve">té des messages audio en mode mains </w:t>
      </w:r>
      <w:r w:rsidR="00305F8B" w:rsidRPr="00E07570">
        <w:t>libres</w:t>
      </w:r>
      <w:r w:rsidRPr="00E07570">
        <w:t xml:space="preserve"> après accident doit être une des langues parlées dans les pays des Parties contractantes, qui sont énumérées à l</w:t>
      </w:r>
      <w:r w:rsidR="00145E4B">
        <w:t>’</w:t>
      </w:r>
      <w:r w:rsidRPr="00E07570">
        <w:t>appendice de l</w:t>
      </w:r>
      <w:r w:rsidR="00145E4B">
        <w:t>’</w:t>
      </w:r>
      <w:r w:rsidRPr="00E07570">
        <w:t>annexe </w:t>
      </w:r>
      <w:r w:rsidRPr="00E07570">
        <w:rPr>
          <w:b/>
        </w:rPr>
        <w:t>11</w:t>
      </w:r>
      <w:r w:rsidRPr="00E07570">
        <w:t xml:space="preserve"> du présent Règlement, les phrases étant prononcées de façon correcte et claire. La langue utilisée pendant l</w:t>
      </w:r>
      <w:r w:rsidR="00145E4B">
        <w:t>’</w:t>
      </w:r>
      <w:r w:rsidRPr="00E07570">
        <w:t>essai doit être consignée dans le procès-verbal d</w:t>
      </w:r>
      <w:r w:rsidR="00145E4B">
        <w:t>’</w:t>
      </w:r>
      <w:r w:rsidRPr="00E07570">
        <w:t xml:space="preserve">essai. </w:t>
      </w:r>
    </w:p>
    <w:p w:rsidR="002F316D" w:rsidRPr="00E07570" w:rsidRDefault="002F316D" w:rsidP="002F316D">
      <w:pPr>
        <w:pStyle w:val="SingleTxtG"/>
        <w:ind w:left="2268" w:hanging="1134"/>
      </w:pPr>
      <w:r w:rsidRPr="00E07570">
        <w:rPr>
          <w:b/>
        </w:rPr>
        <w:t>35.8.3.2</w:t>
      </w:r>
      <w:r w:rsidRPr="00E07570">
        <w:tab/>
        <w:t>Le constructeur du véhicule doit apporter la preuve, documents à l</w:t>
      </w:r>
      <w:r w:rsidR="00145E4B">
        <w:t>’</w:t>
      </w:r>
      <w:r w:rsidRPr="00E07570">
        <w:t>appui, qu</w:t>
      </w:r>
      <w:r w:rsidR="00145E4B">
        <w:t>’</w:t>
      </w:r>
      <w:r w:rsidRPr="00E07570">
        <w:t>il satisfait à toutes les autres langues énumérées à l</w:t>
      </w:r>
      <w:r w:rsidR="00145E4B">
        <w:t>’</w:t>
      </w:r>
      <w:r w:rsidRPr="00E07570">
        <w:t>appendice de l</w:t>
      </w:r>
      <w:r w:rsidR="00145E4B">
        <w:t>’</w:t>
      </w:r>
      <w:r w:rsidRPr="00E07570">
        <w:t>annexe </w:t>
      </w:r>
      <w:r w:rsidRPr="00E07570">
        <w:rPr>
          <w:b/>
        </w:rPr>
        <w:t>11</w:t>
      </w:r>
      <w:r w:rsidRPr="00E07570">
        <w:t xml:space="preserve"> du présent Règlement. Les documents en question doivent être joints au procès-verbal d</w:t>
      </w:r>
      <w:r w:rsidR="00145E4B">
        <w:t>’</w:t>
      </w:r>
      <w:r w:rsidR="00143A77" w:rsidRPr="00E07570">
        <w:t>essai.</w:t>
      </w:r>
    </w:p>
    <w:p w:rsidR="002F316D" w:rsidRPr="00E07570" w:rsidRDefault="002F316D" w:rsidP="002F316D">
      <w:pPr>
        <w:pStyle w:val="SingleTxtG"/>
        <w:ind w:left="2268" w:hanging="1134"/>
      </w:pPr>
      <w:r w:rsidRPr="00E07570">
        <w:rPr>
          <w:b/>
        </w:rPr>
        <w:t>35.8.3.3</w:t>
      </w:r>
      <w:r w:rsidRPr="00E07570">
        <w:tab/>
        <w:t>Si le type de véhicule considéré est équipé de plusieurs variantes régionales de l</w:t>
      </w:r>
      <w:r w:rsidR="00145E4B">
        <w:t>’</w:t>
      </w:r>
      <w:r w:rsidRPr="00E07570">
        <w:t>AECS, le constructeur doit apporter la preuve, au moyen de documents, que toutes ces variantes satisfont aux prescriptions du présent Règlement.</w:t>
      </w:r>
    </w:p>
    <w:p w:rsidR="002F316D" w:rsidRPr="00E07570" w:rsidRDefault="002F316D" w:rsidP="002F316D">
      <w:pPr>
        <w:pStyle w:val="SingleTxtG"/>
        <w:ind w:left="2268" w:hanging="1134"/>
      </w:pPr>
      <w:r w:rsidRPr="00E07570">
        <w:rPr>
          <w:b/>
        </w:rPr>
        <w:t>35.9</w:t>
      </w:r>
      <w:r w:rsidRPr="00E07570">
        <w:tab/>
        <w:t>Vérification de l</w:t>
      </w:r>
      <w:r w:rsidR="00145E4B">
        <w:t>’</w:t>
      </w:r>
      <w:r w:rsidRPr="00E07570">
        <w:t>alimentation électrique de l</w:t>
      </w:r>
      <w:r w:rsidR="00145E4B">
        <w:t>’</w:t>
      </w:r>
      <w:r w:rsidRPr="00E07570">
        <w:t>AECS</w:t>
      </w:r>
    </w:p>
    <w:p w:rsidR="002F316D" w:rsidRPr="00E07570" w:rsidRDefault="002F316D" w:rsidP="002F316D">
      <w:pPr>
        <w:pStyle w:val="SingleTxtG"/>
        <w:ind w:left="2268" w:hanging="1134"/>
      </w:pPr>
      <w:r w:rsidRPr="00E07570">
        <w:rPr>
          <w:b/>
        </w:rPr>
        <w:t>35.9.1</w:t>
      </w:r>
      <w:r w:rsidRPr="00E07570">
        <w:tab/>
        <w:t>Avant l</w:t>
      </w:r>
      <w:r w:rsidR="00145E4B">
        <w:t>’</w:t>
      </w:r>
      <w:r w:rsidRPr="00E07570">
        <w:t>essai de choc, conformément aux Règlements n</w:t>
      </w:r>
      <w:r w:rsidRPr="00E07570">
        <w:rPr>
          <w:vertAlign w:val="superscript"/>
        </w:rPr>
        <w:t>os</w:t>
      </w:r>
      <w:r w:rsidRPr="00E07570">
        <w:t> 94 et/ou 95, selon le cas, l</w:t>
      </w:r>
      <w:r w:rsidR="00145E4B">
        <w:t>’</w:t>
      </w:r>
      <w:r w:rsidRPr="00E07570">
        <w:t>AECS doit être fonctionnel dans un premier temps pendant au moins 5 minutes en mode de communication vocale puis pendant 60 minutes en mode rappel (mode inactif enregistré dans un réseau) et enfin pendant au moins 5 minutes en mode communication vocale. Tout ceci doit pouvoir être démontré par des essais en conditions réelles ou encore par d</w:t>
      </w:r>
      <w:r w:rsidR="00BC0A77" w:rsidRPr="00E07570">
        <w:t>es calculs ou de la simulation.</w:t>
      </w:r>
    </w:p>
    <w:p w:rsidR="002F316D" w:rsidRPr="00E07570" w:rsidRDefault="002F316D" w:rsidP="00BC0A77">
      <w:pPr>
        <w:pStyle w:val="SingleTxtG"/>
        <w:ind w:left="2268"/>
      </w:pPr>
      <w:r w:rsidRPr="00E07570">
        <w:tab/>
        <w:t>Ce fonctionnement doit être démontré par le constructeur dans toutes les conditions d</w:t>
      </w:r>
      <w:r w:rsidR="00145E4B">
        <w:t>’</w:t>
      </w:r>
      <w:r w:rsidRPr="00E07570">
        <w:t>alimentation électrique postérieures à l</w:t>
      </w:r>
      <w:r w:rsidR="00145E4B">
        <w:t>’</w:t>
      </w:r>
      <w:r w:rsidRPr="00E07570">
        <w:t>accident lors des essais de choc (Règlements n</w:t>
      </w:r>
      <w:r w:rsidRPr="00E07570">
        <w:rPr>
          <w:vertAlign w:val="superscript"/>
        </w:rPr>
        <w:t>os</w:t>
      </w:r>
      <w:r w:rsidRPr="00E07570">
        <w:t> 94 et/ou 95, selon le cas), en tenant compte de la stratégie de la gestion électrique du véhicule.</w:t>
      </w:r>
    </w:p>
    <w:p w:rsidR="002F316D" w:rsidRPr="00E07570" w:rsidRDefault="002F316D" w:rsidP="002F316D">
      <w:pPr>
        <w:pStyle w:val="SingleTxtG"/>
        <w:ind w:left="2268" w:hanging="1134"/>
      </w:pPr>
      <w:r w:rsidRPr="00E07570">
        <w:rPr>
          <w:b/>
        </w:rPr>
        <w:t>35.9.2</w:t>
      </w:r>
      <w:r w:rsidRPr="00E07570">
        <w:tab/>
        <w:t>Après l</w:t>
      </w:r>
      <w:r w:rsidR="00145E4B">
        <w:t>’</w:t>
      </w:r>
      <w:r w:rsidRPr="00E07570">
        <w:t>essai de choc effectué conformément aux Règlements n</w:t>
      </w:r>
      <w:r w:rsidRPr="00E07570">
        <w:rPr>
          <w:vertAlign w:val="superscript"/>
        </w:rPr>
        <w:t>os</w:t>
      </w:r>
      <w:r w:rsidRPr="00E07570">
        <w:t> 94 et/ou 95, selon le cas, l</w:t>
      </w:r>
      <w:r w:rsidR="00145E4B">
        <w:t>’</w:t>
      </w:r>
      <w:r w:rsidRPr="00E07570">
        <w:t>alimentation électrique de secours doit être capable d</w:t>
      </w:r>
      <w:r w:rsidR="00145E4B">
        <w:t>’</w:t>
      </w:r>
      <w:r w:rsidRPr="00E07570">
        <w:t>alimenter en électricité l</w:t>
      </w:r>
      <w:r w:rsidR="00145E4B">
        <w:t>’</w:t>
      </w:r>
      <w:r w:rsidRPr="00E07570">
        <w:t>AECS. Cela peut être vérifié au moyen d</w:t>
      </w:r>
      <w:r w:rsidR="00145E4B">
        <w:t>’</w:t>
      </w:r>
      <w:r w:rsidRPr="00E07570">
        <w:t>une des méthodes décrites à l</w:t>
      </w:r>
      <w:r w:rsidR="00145E4B">
        <w:t>’</w:t>
      </w:r>
      <w:r w:rsidRPr="00E07570">
        <w:t>annexe </w:t>
      </w:r>
      <w:r w:rsidRPr="00E07570">
        <w:rPr>
          <w:b/>
        </w:rPr>
        <w:t>11</w:t>
      </w:r>
      <w:r w:rsidRPr="00E07570">
        <w:t xml:space="preserve"> </w:t>
      </w:r>
      <w:r w:rsidR="004B3489" w:rsidRPr="00E07570">
        <w:t>du présent Règlement.</w:t>
      </w:r>
    </w:p>
    <w:p w:rsidR="002F316D" w:rsidRPr="00E07570" w:rsidRDefault="002F316D" w:rsidP="002F316D">
      <w:pPr>
        <w:pStyle w:val="SingleTxtG"/>
        <w:ind w:left="2268" w:hanging="1134"/>
      </w:pPr>
      <w:r w:rsidRPr="00E07570">
        <w:rPr>
          <w:b/>
        </w:rPr>
        <w:t>35.10</w:t>
      </w:r>
      <w:r w:rsidRPr="00E07570">
        <w:tab/>
        <w:t>Résistance au choc</w:t>
      </w:r>
    </w:p>
    <w:p w:rsidR="002F316D" w:rsidRPr="00E07570" w:rsidRDefault="002F316D" w:rsidP="004B3489">
      <w:pPr>
        <w:pStyle w:val="SingleTxtG"/>
        <w:ind w:left="2268"/>
      </w:pPr>
      <w:r w:rsidRPr="00E07570">
        <w:tab/>
        <w:t>L</w:t>
      </w:r>
      <w:r w:rsidR="00145E4B">
        <w:t>’</w:t>
      </w:r>
      <w:r w:rsidRPr="00E07570">
        <w:t>AECS doit rester en état de fonctionnement après un choc. On le vérifie conformément à l</w:t>
      </w:r>
      <w:r w:rsidR="00145E4B">
        <w:t>’</w:t>
      </w:r>
      <w:r w:rsidRPr="00E07570">
        <w:t>annexe </w:t>
      </w:r>
      <w:r w:rsidRPr="00E07570">
        <w:rPr>
          <w:b/>
        </w:rPr>
        <w:t>9</w:t>
      </w:r>
      <w:r w:rsidRPr="00E07570">
        <w:t xml:space="preserve"> et on vérifie aussi l</w:t>
      </w:r>
      <w:r w:rsidR="00145E4B">
        <w:t>’</w:t>
      </w:r>
      <w:r w:rsidRPr="00E07570">
        <w:t>état de fonctionnement du MSD et la fonction IHM conformément au paragraphe 2 de l</w:t>
      </w:r>
      <w:r w:rsidR="00145E4B">
        <w:t>’</w:t>
      </w:r>
      <w:r w:rsidRPr="00E07570">
        <w:t>annexe </w:t>
      </w:r>
      <w:r w:rsidRPr="00E07570">
        <w:rPr>
          <w:b/>
        </w:rPr>
        <w:t>11</w:t>
      </w:r>
      <w:r w:rsidRPr="00E07570">
        <w:t>.</w:t>
      </w:r>
    </w:p>
    <w:p w:rsidR="002F316D" w:rsidRPr="00E07570" w:rsidRDefault="002F316D" w:rsidP="002F316D">
      <w:pPr>
        <w:pStyle w:val="SingleTxtG"/>
        <w:ind w:left="2268" w:hanging="1134"/>
      </w:pPr>
      <w:r w:rsidRPr="00E07570">
        <w:rPr>
          <w:b/>
        </w:rPr>
        <w:t>35.10.1</w:t>
      </w:r>
      <w:r w:rsidRPr="00E07570">
        <w:tab/>
      </w:r>
      <w:r w:rsidRPr="00E07570">
        <w:tab/>
        <w:t>Les éléments suivants de l</w:t>
      </w:r>
      <w:r w:rsidR="00145E4B">
        <w:t>’</w:t>
      </w:r>
      <w:r w:rsidRPr="00E07570">
        <w:t>AECS doivent être éprouvés conformément à l</w:t>
      </w:r>
      <w:r w:rsidR="00145E4B">
        <w:t>’</w:t>
      </w:r>
      <w:r w:rsidRPr="00E07570">
        <w:t>annexe </w:t>
      </w:r>
      <w:r w:rsidRPr="00E07570">
        <w:rPr>
          <w:b/>
        </w:rPr>
        <w:t>9</w:t>
      </w:r>
      <w:r w:rsidRPr="00E07570">
        <w:t> :</w:t>
      </w:r>
    </w:p>
    <w:p w:rsidR="002F316D" w:rsidRPr="00E07570" w:rsidRDefault="002F316D" w:rsidP="004B3489">
      <w:pPr>
        <w:pStyle w:val="SingleTxtG"/>
        <w:ind w:left="2835" w:hanging="567"/>
      </w:pPr>
      <w:r w:rsidRPr="00E07570">
        <w:t>a)</w:t>
      </w:r>
      <w:r w:rsidRPr="00E07570">
        <w:tab/>
        <w:t>Module de commande ;</w:t>
      </w:r>
    </w:p>
    <w:p w:rsidR="002F316D" w:rsidRPr="00E07570" w:rsidRDefault="002F316D" w:rsidP="004B3489">
      <w:pPr>
        <w:pStyle w:val="SingleTxtG"/>
        <w:ind w:left="2835" w:hanging="567"/>
      </w:pPr>
      <w:r w:rsidRPr="00E07570">
        <w:t>b)</w:t>
      </w:r>
      <w:r w:rsidRPr="00E07570">
        <w:tab/>
        <w:t>Module de communication, à l</w:t>
      </w:r>
      <w:r w:rsidR="00145E4B">
        <w:t>’</w:t>
      </w:r>
      <w:r w:rsidRPr="00E07570">
        <w:t>exclusion des microphones et des haut</w:t>
      </w:r>
      <w:r w:rsidRPr="00E07570">
        <w:noBreakHyphen/>
        <w:t>parleurs ;</w:t>
      </w:r>
    </w:p>
    <w:p w:rsidR="002F316D" w:rsidRPr="00E07570" w:rsidRDefault="002F316D" w:rsidP="004B3489">
      <w:pPr>
        <w:pStyle w:val="SingleTxtG"/>
        <w:ind w:left="2835" w:hanging="567"/>
      </w:pPr>
      <w:r w:rsidRPr="00E07570">
        <w:t>c)</w:t>
      </w:r>
      <w:r w:rsidRPr="00E07570">
        <w:tab/>
        <w:t>Alimentation électrique de secours (le cas échéant) ;</w:t>
      </w:r>
    </w:p>
    <w:p w:rsidR="002F316D" w:rsidRPr="00E07570" w:rsidRDefault="002F316D" w:rsidP="004B3489">
      <w:pPr>
        <w:pStyle w:val="SingleTxtG"/>
        <w:ind w:left="2835" w:hanging="567"/>
      </w:pPr>
      <w:r w:rsidRPr="00E07570">
        <w:t>d)</w:t>
      </w:r>
      <w:r w:rsidRPr="00E07570">
        <w:tab/>
        <w:t>Raccords</w:t>
      </w:r>
      <w:r w:rsidRPr="00E07570">
        <w:rPr>
          <w:rStyle w:val="FootnoteReference"/>
        </w:rPr>
        <w:footnoteReference w:id="9"/>
      </w:r>
      <w:r w:rsidRPr="00E07570">
        <w:t> ;</w:t>
      </w:r>
    </w:p>
    <w:p w:rsidR="002F316D" w:rsidRPr="00E07570" w:rsidRDefault="002F316D" w:rsidP="004B3489">
      <w:pPr>
        <w:pStyle w:val="SingleTxtG"/>
        <w:ind w:left="2835" w:hanging="567"/>
      </w:pPr>
      <w:r w:rsidRPr="00E07570">
        <w:t>e)</w:t>
      </w:r>
      <w:r w:rsidRPr="00E07570">
        <w:tab/>
        <w:t>Antenne d</w:t>
      </w:r>
      <w:r w:rsidR="00145E4B">
        <w:t>’</w:t>
      </w:r>
      <w:r w:rsidRPr="00E07570">
        <w:t>accès au réseau.</w:t>
      </w:r>
    </w:p>
    <w:p w:rsidR="002F316D" w:rsidRPr="00E07570" w:rsidRDefault="002F316D" w:rsidP="002F316D">
      <w:pPr>
        <w:pStyle w:val="SingleTxtG"/>
        <w:ind w:left="2268" w:hanging="1134"/>
      </w:pPr>
      <w:r w:rsidRPr="00E07570">
        <w:rPr>
          <w:b/>
        </w:rPr>
        <w:t>35.10.2</w:t>
      </w:r>
      <w:r w:rsidRPr="00E07570">
        <w:tab/>
        <w:t>Si le demandeur de l</w:t>
      </w:r>
      <w:r w:rsidR="00145E4B">
        <w:t>’</w:t>
      </w:r>
      <w:r w:rsidRPr="00E07570">
        <w:t>homologation en fait la demande, les éléments suivants de l</w:t>
      </w:r>
      <w:r w:rsidR="00145E4B">
        <w:t>’</w:t>
      </w:r>
      <w:r w:rsidRPr="00E07570">
        <w:t>AECS peuvent être éprouvés conformément à l</w:t>
      </w:r>
      <w:r w:rsidR="00145E4B">
        <w:t>’</w:t>
      </w:r>
      <w:r w:rsidRPr="00E07570">
        <w:t>annexe </w:t>
      </w:r>
      <w:r w:rsidRPr="00E07570">
        <w:rPr>
          <w:b/>
        </w:rPr>
        <w:t>9</w:t>
      </w:r>
      <w:r w:rsidRPr="00E07570">
        <w:t> </w:t>
      </w:r>
      <w:r w:rsidR="00C42EED" w:rsidRPr="00E07570">
        <w:t>:</w:t>
      </w:r>
    </w:p>
    <w:p w:rsidR="002F316D" w:rsidRPr="00E07570" w:rsidRDefault="002F316D" w:rsidP="004B3489">
      <w:pPr>
        <w:pStyle w:val="SingleTxtG"/>
        <w:ind w:left="2835" w:hanging="567"/>
      </w:pPr>
      <w:r w:rsidRPr="00E07570">
        <w:t>a)</w:t>
      </w:r>
      <w:r w:rsidRPr="00E07570">
        <w:tab/>
        <w:t>Signal d</w:t>
      </w:r>
      <w:r w:rsidR="00145E4B">
        <w:t>’</w:t>
      </w:r>
      <w:r w:rsidRPr="00E07570">
        <w:t>avertissement AECS ;</w:t>
      </w:r>
    </w:p>
    <w:p w:rsidR="002F316D" w:rsidRPr="00E07570" w:rsidRDefault="002F316D" w:rsidP="004B3489">
      <w:pPr>
        <w:pStyle w:val="SingleTxtG"/>
        <w:ind w:left="2835" w:hanging="567"/>
      </w:pPr>
      <w:r w:rsidRPr="00E07570">
        <w:t>b)</w:t>
      </w:r>
      <w:r w:rsidRPr="00E07570">
        <w:tab/>
        <w:t xml:space="preserve">Équipement audio mains </w:t>
      </w:r>
      <w:r w:rsidR="00305F8B" w:rsidRPr="00E07570">
        <w:t>libres</w:t>
      </w:r>
      <w:r w:rsidRPr="00E07570">
        <w:t xml:space="preserve"> (microphones et haut-parleurs) ;</w:t>
      </w:r>
    </w:p>
    <w:p w:rsidR="002F316D" w:rsidRPr="00E07570" w:rsidRDefault="002F316D" w:rsidP="004B3489">
      <w:pPr>
        <w:pStyle w:val="SingleTxtG"/>
        <w:ind w:left="2835" w:hanging="567"/>
      </w:pPr>
      <w:r w:rsidRPr="00E07570">
        <w:t>c)</w:t>
      </w:r>
      <w:r w:rsidRPr="00E07570">
        <w:tab/>
        <w:t>Signal d</w:t>
      </w:r>
      <w:r w:rsidR="00145E4B">
        <w:t>’</w:t>
      </w:r>
      <w:r w:rsidRPr="00E07570">
        <w:t>information AECS ;</w:t>
      </w:r>
    </w:p>
    <w:p w:rsidR="002F316D" w:rsidRPr="00E07570" w:rsidRDefault="002F316D" w:rsidP="004B3489">
      <w:pPr>
        <w:pStyle w:val="SingleTxtG"/>
        <w:ind w:left="2835" w:hanging="567"/>
      </w:pPr>
      <w:r w:rsidRPr="00E07570">
        <w:t>d)</w:t>
      </w:r>
      <w:r w:rsidRPr="00E07570">
        <w:tab/>
        <w:t>Alimentation électrique autre que l</w:t>
      </w:r>
      <w:r w:rsidR="00145E4B">
        <w:t>’</w:t>
      </w:r>
      <w:r w:rsidRPr="00E07570">
        <w:t>alimentation électrique de secours mentionnée au paragraphe </w:t>
      </w:r>
      <w:r w:rsidRPr="00E07570">
        <w:rPr>
          <w:b/>
        </w:rPr>
        <w:t>35.10.1</w:t>
      </w:r>
      <w:r w:rsidRPr="00E07570">
        <w:t> ;</w:t>
      </w:r>
    </w:p>
    <w:p w:rsidR="002F316D" w:rsidRPr="00E07570" w:rsidRDefault="002F316D" w:rsidP="004B3489">
      <w:pPr>
        <w:pStyle w:val="SingleTxtG"/>
        <w:ind w:left="2835" w:hanging="567"/>
      </w:pPr>
      <w:r w:rsidRPr="00E07570">
        <w:t>e)</w:t>
      </w:r>
      <w:r w:rsidRPr="00E07570">
        <w:tab/>
        <w:t>Antenne GNSS ;</w:t>
      </w:r>
    </w:p>
    <w:p w:rsidR="002F316D" w:rsidRPr="00E07570" w:rsidRDefault="002F316D" w:rsidP="004B3489">
      <w:pPr>
        <w:pStyle w:val="SingleTxtG"/>
        <w:ind w:left="2835" w:hanging="567"/>
      </w:pPr>
      <w:r w:rsidRPr="00E07570">
        <w:t>f)</w:t>
      </w:r>
      <w:r w:rsidRPr="00E07570">
        <w:tab/>
        <w:t>Récepteur GNSS.</w:t>
      </w:r>
    </w:p>
    <w:p w:rsidR="002F316D" w:rsidRPr="00E07570" w:rsidRDefault="002F316D" w:rsidP="004B3489">
      <w:pPr>
        <w:pStyle w:val="HChG"/>
        <w:ind w:left="2268"/>
      </w:pPr>
      <w:r w:rsidRPr="00E07570">
        <w:t>36.</w:t>
      </w:r>
      <w:r w:rsidRPr="00E07570">
        <w:tab/>
        <w:t>Modification et extension de l</w:t>
      </w:r>
      <w:r w:rsidR="00145E4B">
        <w:t>’</w:t>
      </w:r>
      <w:r w:rsidRPr="00E07570">
        <w:t>homologation</w:t>
      </w:r>
      <w:r w:rsidRPr="00E07570">
        <w:br/>
        <w:t>d</w:t>
      </w:r>
      <w:r w:rsidR="00145E4B">
        <w:t>’</w:t>
      </w:r>
      <w:r w:rsidRPr="00E07570">
        <w:t>un ty</w:t>
      </w:r>
      <w:r w:rsidR="004B3489" w:rsidRPr="00E07570">
        <w:t>pe de véhicule équipé d</w:t>
      </w:r>
      <w:r w:rsidR="00145E4B">
        <w:t>’</w:t>
      </w:r>
      <w:r w:rsidR="004B3489" w:rsidRPr="00E07570">
        <w:t>un AECS</w:t>
      </w:r>
    </w:p>
    <w:p w:rsidR="002F316D" w:rsidRPr="00E07570" w:rsidRDefault="002F316D" w:rsidP="00C42EED">
      <w:pPr>
        <w:pStyle w:val="SingleTxtG"/>
        <w:ind w:left="2268" w:hanging="1134"/>
      </w:pPr>
      <w:r w:rsidRPr="00E07570">
        <w:rPr>
          <w:b/>
        </w:rPr>
        <w:t>36.1</w:t>
      </w:r>
      <w:r w:rsidRPr="00E07570">
        <w:tab/>
        <w:t>Toute modification d</w:t>
      </w:r>
      <w:r w:rsidR="00145E4B">
        <w:t>’</w:t>
      </w:r>
      <w:r w:rsidRPr="00E07570">
        <w:t>un type de véhicule existant ou de son AECS doit être communiquée à l</w:t>
      </w:r>
      <w:r w:rsidR="00145E4B">
        <w:t>’</w:t>
      </w:r>
      <w:r w:rsidRPr="00E07570">
        <w:t>autorité d</w:t>
      </w:r>
      <w:r w:rsidR="00145E4B">
        <w:t>’</w:t>
      </w:r>
      <w:r w:rsidRPr="00E07570">
        <w:t>homologation qui avait approuvé le type en question. L</w:t>
      </w:r>
      <w:r w:rsidR="00145E4B">
        <w:t>’</w:t>
      </w:r>
      <w:r w:rsidRPr="00E07570">
        <w:t>autorité d</w:t>
      </w:r>
      <w:r w:rsidR="00145E4B">
        <w:t>’</w:t>
      </w:r>
      <w:r w:rsidRPr="00E07570">
        <w:t>homologation peut alors :</w:t>
      </w:r>
    </w:p>
    <w:p w:rsidR="002F316D" w:rsidRPr="00E07570" w:rsidRDefault="002F316D" w:rsidP="00C42EED">
      <w:pPr>
        <w:pStyle w:val="SingleTxtG"/>
        <w:ind w:left="2835" w:hanging="567"/>
      </w:pPr>
      <w:r w:rsidRPr="00E07570">
        <w:t>a)</w:t>
      </w:r>
      <w:r w:rsidRPr="00E07570">
        <w:tab/>
        <w:t>Soit décider, de concert avec le constructeur, qu</w:t>
      </w:r>
      <w:r w:rsidR="00145E4B">
        <w:t>’</w:t>
      </w:r>
      <w:r w:rsidRPr="00E07570">
        <w:t>il faut accorder une nouvelle homologation de type ;</w:t>
      </w:r>
    </w:p>
    <w:p w:rsidR="002F316D" w:rsidRPr="00E07570" w:rsidRDefault="002F316D" w:rsidP="00C42EED">
      <w:pPr>
        <w:pStyle w:val="SingleTxtG"/>
        <w:ind w:left="2835" w:hanging="567"/>
      </w:pPr>
      <w:r w:rsidRPr="00E07570">
        <w:t>b)</w:t>
      </w:r>
      <w:r w:rsidRPr="00E07570">
        <w:tab/>
        <w:t>Soit appliquer la procédure énoncée au paragraphe </w:t>
      </w:r>
      <w:r w:rsidRPr="00E07570">
        <w:rPr>
          <w:b/>
        </w:rPr>
        <w:t>36.1.1</w:t>
      </w:r>
      <w:r w:rsidRPr="00E07570">
        <w:t xml:space="preserve"> (Révision) et, le cas échéant, la procédure prévue au paragraphe </w:t>
      </w:r>
      <w:r w:rsidRPr="00E07570">
        <w:rPr>
          <w:b/>
        </w:rPr>
        <w:t>36.1.2</w:t>
      </w:r>
      <w:r w:rsidRPr="00E07570">
        <w:t xml:space="preserve"> (Extension).</w:t>
      </w:r>
    </w:p>
    <w:p w:rsidR="002F316D" w:rsidRPr="00E07570" w:rsidRDefault="002F316D" w:rsidP="002F316D">
      <w:pPr>
        <w:pStyle w:val="SingleTxtG"/>
        <w:ind w:left="2268" w:hanging="1134"/>
      </w:pPr>
      <w:r w:rsidRPr="00E07570">
        <w:rPr>
          <w:b/>
        </w:rPr>
        <w:t>36.1.1</w:t>
      </w:r>
      <w:r w:rsidRPr="00E07570">
        <w:tab/>
        <w:t>Révision</w:t>
      </w:r>
    </w:p>
    <w:p w:rsidR="002F316D" w:rsidRPr="00E07570" w:rsidRDefault="002F316D" w:rsidP="00C42EED">
      <w:pPr>
        <w:pStyle w:val="SingleTxtG"/>
        <w:ind w:left="2268"/>
      </w:pPr>
      <w:r w:rsidRPr="00E07570">
        <w:t>Lorsque les éléments contenus dans les documents d</w:t>
      </w:r>
      <w:r w:rsidR="00145E4B">
        <w:t>’</w:t>
      </w:r>
      <w:r w:rsidRPr="00E07570">
        <w:t>information visés à l</w:t>
      </w:r>
      <w:r w:rsidR="00145E4B">
        <w:t>’</w:t>
      </w:r>
      <w:r w:rsidRPr="00E07570">
        <w:t>annexe </w:t>
      </w:r>
      <w:r w:rsidRPr="00E07570">
        <w:rPr>
          <w:b/>
        </w:rPr>
        <w:t>8</w:t>
      </w:r>
      <w:r w:rsidRPr="00E07570">
        <w:t xml:space="preserve"> ont changé et que l</w:t>
      </w:r>
      <w:r w:rsidR="00145E4B">
        <w:t>’</w:t>
      </w:r>
      <w:r w:rsidRPr="00E07570">
        <w:t>autorité d</w:t>
      </w:r>
      <w:r w:rsidR="00145E4B">
        <w:t>’</w:t>
      </w:r>
      <w:r w:rsidRPr="00E07570">
        <w:t>homologation estime que les modifications apportées ne devraient pas avoir de conséquences néfastes notables, et que dans tous les cas le véhicule est toujours conforme aux prescriptions, la modification est qualifiée de « révision ».</w:t>
      </w:r>
    </w:p>
    <w:p w:rsidR="002F316D" w:rsidRPr="00E07570" w:rsidRDefault="002F316D" w:rsidP="00C42EED">
      <w:pPr>
        <w:pStyle w:val="SingleTxtG"/>
        <w:ind w:left="2268"/>
      </w:pPr>
      <w:r w:rsidRPr="00E07570">
        <w:tab/>
        <w:t>Dans ce cas, l</w:t>
      </w:r>
      <w:r w:rsidR="00145E4B">
        <w:t>’</w:t>
      </w:r>
      <w:r w:rsidRPr="00E07570">
        <w:t>autorité d</w:t>
      </w:r>
      <w:r w:rsidR="00145E4B">
        <w:t>’</w:t>
      </w:r>
      <w:r w:rsidRPr="00E07570">
        <w:t>homologation doit publier la version révisée des pages des documents d</w:t>
      </w:r>
      <w:r w:rsidR="00145E4B">
        <w:t>’</w:t>
      </w:r>
      <w:r w:rsidRPr="00E07570">
        <w:t>information visés à l</w:t>
      </w:r>
      <w:r w:rsidR="00145E4B">
        <w:t>’</w:t>
      </w:r>
      <w:r w:rsidRPr="00E07570">
        <w:t>annexe </w:t>
      </w:r>
      <w:r w:rsidRPr="00E07570">
        <w:rPr>
          <w:b/>
        </w:rPr>
        <w:t>8</w:t>
      </w:r>
      <w:r w:rsidRPr="00E07570">
        <w:t>, en indiquant sur chacune d</w:t>
      </w:r>
      <w:r w:rsidR="00145E4B">
        <w:t>’</w:t>
      </w:r>
      <w:r w:rsidRPr="00E07570">
        <w:t>elles la nature des modifications apportées et la date à laquelle elle sera republiée. Une version consolidée et mise à jour des documents d</w:t>
      </w:r>
      <w:r w:rsidR="00145E4B">
        <w:t>’</w:t>
      </w:r>
      <w:r w:rsidRPr="00E07570">
        <w:t>information visés à l</w:t>
      </w:r>
      <w:r w:rsidR="00145E4B">
        <w:t>’</w:t>
      </w:r>
      <w:r w:rsidRPr="00E07570">
        <w:t>annexe </w:t>
      </w:r>
      <w:r w:rsidRPr="00E07570">
        <w:rPr>
          <w:b/>
        </w:rPr>
        <w:t>8</w:t>
      </w:r>
      <w:r w:rsidRPr="00E07570">
        <w:t>, accompagnée d</w:t>
      </w:r>
      <w:r w:rsidR="00145E4B">
        <w:t>’</w:t>
      </w:r>
      <w:r w:rsidRPr="00E07570">
        <w:t>une description détaillée des modifications apportées, sera considérée comme satisfaisant à la présente prescription.</w:t>
      </w:r>
    </w:p>
    <w:p w:rsidR="002F316D" w:rsidRPr="00E07570" w:rsidRDefault="002F316D" w:rsidP="002F316D">
      <w:pPr>
        <w:pStyle w:val="SingleTxtG"/>
        <w:ind w:left="2268" w:hanging="1134"/>
      </w:pPr>
      <w:r w:rsidRPr="00E07570">
        <w:rPr>
          <w:b/>
        </w:rPr>
        <w:t>36.1.2</w:t>
      </w:r>
      <w:r w:rsidRPr="00E07570">
        <w:tab/>
        <w:t>Extension</w:t>
      </w:r>
    </w:p>
    <w:p w:rsidR="002F316D" w:rsidRPr="00E07570" w:rsidRDefault="002F316D" w:rsidP="00C42EED">
      <w:pPr>
        <w:pStyle w:val="SingleTxtG"/>
        <w:ind w:left="2268"/>
      </w:pPr>
      <w:r w:rsidRPr="00E07570">
        <w:tab/>
        <w:t>La modification est qualifiée d</w:t>
      </w:r>
      <w:r w:rsidR="00145E4B">
        <w:t>’</w:t>
      </w:r>
      <w:r w:rsidRPr="00E07570">
        <w:t>extension si, outre la modification des informations figurant dans le document d</w:t>
      </w:r>
      <w:r w:rsidR="00145E4B">
        <w:t>’</w:t>
      </w:r>
      <w:r w:rsidRPr="00E07570">
        <w:t>information :</w:t>
      </w:r>
    </w:p>
    <w:p w:rsidR="002F316D" w:rsidRPr="00E07570" w:rsidRDefault="002F316D" w:rsidP="003E571C">
      <w:pPr>
        <w:pStyle w:val="SingleTxtG"/>
        <w:ind w:left="2835" w:hanging="567"/>
      </w:pPr>
      <w:r w:rsidRPr="00E07570">
        <w:t>a)</w:t>
      </w:r>
      <w:r w:rsidRPr="00E07570">
        <w:tab/>
        <w:t>D</w:t>
      </w:r>
      <w:r w:rsidR="00145E4B">
        <w:t>’</w:t>
      </w:r>
      <w:r w:rsidRPr="00E07570">
        <w:t>autres visites ou d</w:t>
      </w:r>
      <w:r w:rsidR="00145E4B">
        <w:t>’</w:t>
      </w:r>
      <w:r w:rsidRPr="00E07570">
        <w:t>autres essais sont requis ; ou</w:t>
      </w:r>
    </w:p>
    <w:p w:rsidR="002F316D" w:rsidRPr="00E07570" w:rsidRDefault="002F316D" w:rsidP="003E571C">
      <w:pPr>
        <w:pStyle w:val="SingleTxtG"/>
        <w:ind w:left="2835" w:hanging="567"/>
      </w:pPr>
      <w:r w:rsidRPr="00E07570">
        <w:t>b)</w:t>
      </w:r>
      <w:r w:rsidRPr="00E07570">
        <w:tab/>
        <w:t>Les informations contenues dans le document de communication, à l</w:t>
      </w:r>
      <w:r w:rsidR="00145E4B">
        <w:t>’</w:t>
      </w:r>
      <w:r w:rsidRPr="00E07570">
        <w:t>exception de ses annexes, ont</w:t>
      </w:r>
      <w:r w:rsidR="003E571C" w:rsidRPr="00E07570">
        <w:t xml:space="preserve"> changé ; ou</w:t>
      </w:r>
    </w:p>
    <w:p w:rsidR="002F316D" w:rsidRPr="00E07570" w:rsidRDefault="002F316D" w:rsidP="003E571C">
      <w:pPr>
        <w:pStyle w:val="SingleTxtG"/>
        <w:ind w:left="2835" w:hanging="567"/>
      </w:pPr>
      <w:r w:rsidRPr="00E07570">
        <w:t>c)</w:t>
      </w:r>
      <w:r w:rsidRPr="00E07570">
        <w:tab/>
        <w:t>L</w:t>
      </w:r>
      <w:r w:rsidR="00145E4B">
        <w:t>’</w:t>
      </w:r>
      <w:r w:rsidRPr="00E07570">
        <w:t>homologation en vertu d</w:t>
      </w:r>
      <w:r w:rsidR="00145E4B">
        <w:t>’</w:t>
      </w:r>
      <w:r w:rsidRPr="00E07570">
        <w:t>une série ultérieure d</w:t>
      </w:r>
      <w:r w:rsidR="00145E4B">
        <w:t>’</w:t>
      </w:r>
      <w:r w:rsidRPr="00E07570">
        <w:t>amendements est demandée après l</w:t>
      </w:r>
      <w:r w:rsidR="00145E4B">
        <w:t>’</w:t>
      </w:r>
      <w:r w:rsidRPr="00E07570">
        <w:t>entrée en vigueur de ladite série.</w:t>
      </w:r>
    </w:p>
    <w:p w:rsidR="002F316D" w:rsidRPr="00E07570" w:rsidRDefault="002F316D" w:rsidP="002F316D">
      <w:pPr>
        <w:pStyle w:val="SingleTxtG"/>
        <w:ind w:left="2268" w:hanging="1134"/>
      </w:pPr>
      <w:r w:rsidRPr="00E07570">
        <w:rPr>
          <w:b/>
        </w:rPr>
        <w:t>36.2</w:t>
      </w:r>
      <w:r w:rsidRPr="00E07570">
        <w:tab/>
        <w:t>La confirmation, l</w:t>
      </w:r>
      <w:r w:rsidR="00145E4B">
        <w:t>’</w:t>
      </w:r>
      <w:r w:rsidRPr="00E07570">
        <w:t>extension ou le refus d</w:t>
      </w:r>
      <w:r w:rsidR="00145E4B">
        <w:t>’</w:t>
      </w:r>
      <w:r w:rsidRPr="00E07570">
        <w:t>homologation doivent être adressés aux Parties contractantes à l</w:t>
      </w:r>
      <w:r w:rsidR="00145E4B">
        <w:t>’</w:t>
      </w:r>
      <w:r w:rsidRPr="00E07570">
        <w:t>Accord qui appliquent le présent Règlement, conformément à la procédure prescrite au paragraphe </w:t>
      </w:r>
      <w:r w:rsidRPr="00E07570">
        <w:rPr>
          <w:b/>
        </w:rPr>
        <w:t>34.3</w:t>
      </w:r>
      <w:r w:rsidRPr="00E07570">
        <w:t xml:space="preserve"> ci-dessus. En outre, l</w:t>
      </w:r>
      <w:r w:rsidR="00145E4B">
        <w:t>’</w:t>
      </w:r>
      <w:r w:rsidRPr="00E07570">
        <w:t>index des documents d</w:t>
      </w:r>
      <w:r w:rsidR="00145E4B">
        <w:t>’</w:t>
      </w:r>
      <w:r w:rsidRPr="00E07570">
        <w:t>information et des procès-verbaux d</w:t>
      </w:r>
      <w:r w:rsidR="00145E4B">
        <w:t>’</w:t>
      </w:r>
      <w:r w:rsidRPr="00E07570">
        <w:t>essai, joint au document d</w:t>
      </w:r>
      <w:r w:rsidR="00145E4B">
        <w:t>’</w:t>
      </w:r>
      <w:r w:rsidRPr="00E07570">
        <w:t>information visé à l</w:t>
      </w:r>
      <w:r w:rsidR="00145E4B">
        <w:t>’</w:t>
      </w:r>
      <w:r w:rsidRPr="00E07570">
        <w:t>annexe </w:t>
      </w:r>
      <w:r w:rsidRPr="00E07570">
        <w:rPr>
          <w:b/>
        </w:rPr>
        <w:t>4</w:t>
      </w:r>
      <w:r w:rsidRPr="00E07570">
        <w:t>, doit être modifié en conséquence pour indiquer la date de la révision ou extension la plus récente.</w:t>
      </w:r>
    </w:p>
    <w:p w:rsidR="002F316D" w:rsidRPr="00E07570" w:rsidRDefault="002F316D" w:rsidP="003E571C">
      <w:pPr>
        <w:pStyle w:val="HChG"/>
        <w:ind w:left="2268"/>
      </w:pPr>
      <w:r w:rsidRPr="00E07570">
        <w:t>37.</w:t>
      </w:r>
      <w:r w:rsidRPr="00E07570">
        <w:tab/>
      </w:r>
      <w:r w:rsidRPr="00E07570">
        <w:tab/>
        <w:t>Conformité de la production</w:t>
      </w:r>
    </w:p>
    <w:p w:rsidR="002F316D" w:rsidRPr="00E07570" w:rsidRDefault="002F316D" w:rsidP="002F316D">
      <w:pPr>
        <w:pStyle w:val="SingleTxtG"/>
        <w:ind w:left="2268" w:hanging="1134"/>
      </w:pPr>
      <w:r w:rsidRPr="00E07570">
        <w:rPr>
          <w:b/>
        </w:rPr>
        <w:t>37.1</w:t>
      </w:r>
      <w:r w:rsidRPr="00E07570">
        <w:tab/>
        <w:t>Les procédures de contrôle de la conformité de la production doivent être conformes à celles qui figurent dans l</w:t>
      </w:r>
      <w:r w:rsidR="00145E4B">
        <w:t>’</w:t>
      </w:r>
      <w:r w:rsidRPr="00E07570">
        <w:t>appendice 2 de l</w:t>
      </w:r>
      <w:r w:rsidR="00145E4B">
        <w:t>’</w:t>
      </w:r>
      <w:r w:rsidRPr="00E07570">
        <w:t>Accord (E/ECE/324-E/ECE/TRANS/505/Rev.2).</w:t>
      </w:r>
    </w:p>
    <w:p w:rsidR="002F316D" w:rsidRPr="00E07570" w:rsidRDefault="002F316D" w:rsidP="002F316D">
      <w:pPr>
        <w:pStyle w:val="SingleTxtG"/>
        <w:ind w:left="2268" w:hanging="1134"/>
      </w:pPr>
      <w:r w:rsidRPr="00E07570">
        <w:rPr>
          <w:b/>
        </w:rPr>
        <w:t>37.2</w:t>
      </w:r>
      <w:r w:rsidRPr="00E07570">
        <w:tab/>
        <w:t>Tout véhicule homologué en application du présent Règlement doit être construit de façon à être conforme au type homologué en satisfaisant aux prescriptions spécifiées au paragraphe </w:t>
      </w:r>
      <w:r w:rsidRPr="00E07570">
        <w:rPr>
          <w:b/>
        </w:rPr>
        <w:t>35</w:t>
      </w:r>
      <w:r w:rsidRPr="00E07570">
        <w:t xml:space="preserve"> ci-dessus.</w:t>
      </w:r>
    </w:p>
    <w:p w:rsidR="002F316D" w:rsidRPr="00E07570" w:rsidRDefault="002F316D" w:rsidP="003E571C">
      <w:pPr>
        <w:pStyle w:val="HChG"/>
        <w:ind w:left="2268"/>
      </w:pPr>
      <w:r w:rsidRPr="00E07570">
        <w:t>38.</w:t>
      </w:r>
      <w:r w:rsidRPr="00E07570">
        <w:tab/>
      </w:r>
      <w:r w:rsidRPr="00E07570">
        <w:tab/>
        <w:t>Sanctions pour non-conformité de la production</w:t>
      </w:r>
    </w:p>
    <w:p w:rsidR="002F316D" w:rsidRPr="00E07570" w:rsidRDefault="002F316D" w:rsidP="003E571C">
      <w:pPr>
        <w:pStyle w:val="SingleTxtG"/>
        <w:ind w:left="2268" w:hanging="1134"/>
      </w:pPr>
      <w:r w:rsidRPr="00E07570">
        <w:rPr>
          <w:b/>
        </w:rPr>
        <w:t>38.1</w:t>
      </w:r>
      <w:r w:rsidRPr="00E07570">
        <w:tab/>
        <w:t>L</w:t>
      </w:r>
      <w:r w:rsidR="00145E4B">
        <w:t>’</w:t>
      </w:r>
      <w:r w:rsidRPr="00E07570">
        <w:t xml:space="preserve">homologation délivrée pour un type de véhicule en application du présent Règlement peut être retirée si les prescriptions énoncées au </w:t>
      </w:r>
      <w:r w:rsidRPr="00E07570">
        <w:rPr>
          <w:b/>
        </w:rPr>
        <w:t>37.1</w:t>
      </w:r>
      <w:r w:rsidRPr="00E07570">
        <w:t xml:space="preserve"> ci-dessus ne sont pas respectées ou si un véhicule ne réussit pas les contrôles prescrits au paragraphe </w:t>
      </w:r>
      <w:r w:rsidRPr="00E07570">
        <w:rPr>
          <w:b/>
        </w:rPr>
        <w:t>37.2</w:t>
      </w:r>
      <w:r w:rsidRPr="00E07570">
        <w:t xml:space="preserve"> ci-dessus.</w:t>
      </w:r>
    </w:p>
    <w:p w:rsidR="002F316D" w:rsidRPr="00E07570" w:rsidRDefault="002F316D" w:rsidP="002F316D">
      <w:pPr>
        <w:pStyle w:val="SingleTxtG"/>
        <w:ind w:left="2268" w:hanging="1134"/>
      </w:pPr>
      <w:r w:rsidRPr="00E07570">
        <w:rPr>
          <w:b/>
        </w:rPr>
        <w:t>38.2</w:t>
      </w:r>
      <w:r w:rsidRPr="00E07570">
        <w:tab/>
        <w:t>Si une Partie contractante à l</w:t>
      </w:r>
      <w:r w:rsidR="00145E4B">
        <w:t>’</w:t>
      </w:r>
      <w:r w:rsidRPr="00E07570">
        <w:t>Accord appliquant le présent Règlement retire une homologation qu</w:t>
      </w:r>
      <w:r w:rsidR="00145E4B">
        <w:t>’</w:t>
      </w:r>
      <w:r w:rsidRPr="00E07570">
        <w:t>elle avait préalablement accordée, elle est tenue d</w:t>
      </w:r>
      <w:r w:rsidR="00145E4B">
        <w:t>’</w:t>
      </w:r>
      <w:r w:rsidRPr="00E07570">
        <w:t>en aviser immédiatement les autres Parties à l</w:t>
      </w:r>
      <w:r w:rsidR="00145E4B">
        <w:t>’</w:t>
      </w:r>
      <w:r w:rsidRPr="00E07570">
        <w:t>Accord appliquant le présent Règlement, au moyen d</w:t>
      </w:r>
      <w:r w:rsidR="00145E4B">
        <w:t>’</w:t>
      </w:r>
      <w:r w:rsidRPr="00E07570">
        <w:t>un exemplaire du certificat d</w:t>
      </w:r>
      <w:r w:rsidR="00145E4B">
        <w:t>’</w:t>
      </w:r>
      <w:r w:rsidRPr="00E07570">
        <w:t>homologation se terminant par la mention, en lettres majuscules, signée et datée, « HOMOLOGATION RETIRÉE ».</w:t>
      </w:r>
    </w:p>
    <w:p w:rsidR="002F316D" w:rsidRPr="00E07570" w:rsidRDefault="002F316D" w:rsidP="003E571C">
      <w:pPr>
        <w:pStyle w:val="HChG"/>
        <w:ind w:left="2268"/>
      </w:pPr>
      <w:r w:rsidRPr="00E07570">
        <w:t>39.</w:t>
      </w:r>
      <w:r w:rsidRPr="00E07570">
        <w:tab/>
      </w:r>
      <w:r w:rsidRPr="00E07570">
        <w:tab/>
        <w:t>Arrêt définitif de la production</w:t>
      </w:r>
    </w:p>
    <w:p w:rsidR="002F316D" w:rsidRPr="00E07570" w:rsidRDefault="002F316D" w:rsidP="00C42EED">
      <w:pPr>
        <w:pStyle w:val="SingleTxtG"/>
        <w:ind w:left="2268"/>
      </w:pPr>
      <w:r w:rsidRPr="00E07570">
        <w:tab/>
        <w:t>Si le titulaire de l</w:t>
      </w:r>
      <w:r w:rsidR="00145E4B">
        <w:t>’</w:t>
      </w:r>
      <w:r w:rsidRPr="00E07570">
        <w:t>homologation arrête définitivement la fabrication d</w:t>
      </w:r>
      <w:r w:rsidR="00145E4B">
        <w:t>’</w:t>
      </w:r>
      <w:r w:rsidRPr="00E07570">
        <w:t>un type de véhicule homologué en vertu du présent Règlement, il doit en informer l</w:t>
      </w:r>
      <w:r w:rsidR="00145E4B">
        <w:t>’</w:t>
      </w:r>
      <w:r w:rsidRPr="00E07570">
        <w:t>autorité qui a délivré l</w:t>
      </w:r>
      <w:r w:rsidR="00145E4B">
        <w:t>’</w:t>
      </w:r>
      <w:r w:rsidRPr="00E07570">
        <w:t>homologation, laquelle doit à son tour en aviser les autres Parties à l</w:t>
      </w:r>
      <w:r w:rsidR="00145E4B">
        <w:t>’</w:t>
      </w:r>
      <w:r w:rsidRPr="00E07570">
        <w:t>Accord appliquant le présent Règlement, au moyen d</w:t>
      </w:r>
      <w:r w:rsidR="00145E4B">
        <w:t>’</w:t>
      </w:r>
      <w:r w:rsidRPr="00E07570">
        <w:t>un exemplaire du certificat d</w:t>
      </w:r>
      <w:r w:rsidR="00145E4B">
        <w:t>’</w:t>
      </w:r>
      <w:r w:rsidRPr="00E07570">
        <w:t>homologation se terminant par la mention, en lettres majuscules, signée et datée, « PRODUCTION ARRÊTÉE ».</w:t>
      </w:r>
    </w:p>
    <w:p w:rsidR="002F316D" w:rsidRPr="00E07570" w:rsidRDefault="002F316D" w:rsidP="003E571C">
      <w:pPr>
        <w:pStyle w:val="HChG"/>
        <w:ind w:left="2268"/>
      </w:pPr>
      <w:r w:rsidRPr="00E07570">
        <w:t>40.</w:t>
      </w:r>
      <w:r w:rsidRPr="00E07570">
        <w:tab/>
      </w:r>
      <w:r w:rsidRPr="00E07570">
        <w:tab/>
        <w:t>Noms et adresses des services techniques chargés des essais d</w:t>
      </w:r>
      <w:r w:rsidR="00145E4B">
        <w:t>’</w:t>
      </w:r>
      <w:r w:rsidRPr="00E07570">
        <w:t>homologation et des autorités d</w:t>
      </w:r>
      <w:r w:rsidR="00145E4B">
        <w:t>’</w:t>
      </w:r>
      <w:r w:rsidRPr="00E07570">
        <w:t>homologation de type</w:t>
      </w:r>
    </w:p>
    <w:p w:rsidR="0038209A" w:rsidRPr="00E07570" w:rsidRDefault="002F316D" w:rsidP="00C42EED">
      <w:pPr>
        <w:pStyle w:val="SingleTxtG"/>
        <w:ind w:left="2268"/>
      </w:pPr>
      <w:r w:rsidRPr="00E07570">
        <w:t>Les Parties contractantes à l</w:t>
      </w:r>
      <w:r w:rsidR="00145E4B">
        <w:t>’</w:t>
      </w:r>
      <w:r w:rsidRPr="00E07570">
        <w:t>Accord appliquant le présent Règlement doivent communiquer au Secrétariat de l</w:t>
      </w:r>
      <w:r w:rsidR="00145E4B">
        <w:t>’</w:t>
      </w:r>
      <w:r w:rsidRPr="00E07570">
        <w:t>Organisation des Nations Unies les noms et adresses des services techniques chargés des essais d</w:t>
      </w:r>
      <w:r w:rsidR="00145E4B">
        <w:t>’</w:t>
      </w:r>
      <w:r w:rsidRPr="00E07570">
        <w:t>homologation et des autorités d</w:t>
      </w:r>
      <w:r w:rsidR="00145E4B">
        <w:t>’</w:t>
      </w:r>
      <w:r w:rsidRPr="00E07570">
        <w:t>homologation de type auxquelles doivent être envoyées les fiches d</w:t>
      </w:r>
      <w:r w:rsidR="00145E4B">
        <w:t>’</w:t>
      </w:r>
      <w:r w:rsidRPr="00E07570">
        <w:t>homologation ou d</w:t>
      </w:r>
      <w:r w:rsidR="00145E4B">
        <w:t>’</w:t>
      </w:r>
      <w:r w:rsidRPr="00E07570">
        <w:t>extension, de refus ou de retrait d</w:t>
      </w:r>
      <w:r w:rsidR="00145E4B">
        <w:t>’</w:t>
      </w:r>
      <w:r w:rsidRPr="00E07570">
        <w:t>homologation émises dans d</w:t>
      </w:r>
      <w:r w:rsidR="00145E4B">
        <w:t>’</w:t>
      </w:r>
      <w:r w:rsidRPr="00E07570">
        <w:t>autres pays</w:t>
      </w:r>
      <w:r w:rsidR="00C42EED" w:rsidRPr="00E07570">
        <w:t>.</w:t>
      </w:r>
    </w:p>
    <w:p w:rsidR="0038209A" w:rsidRPr="00E07570" w:rsidRDefault="0038209A" w:rsidP="00C42EED">
      <w:pPr>
        <w:pStyle w:val="SingleTxtG"/>
        <w:ind w:left="2268"/>
        <w:sectPr w:rsidR="0038209A" w:rsidRPr="00E07570" w:rsidSect="00BD381E">
          <w:headerReference w:type="even" r:id="rId10"/>
          <w:headerReference w:type="default" r:id="rId11"/>
          <w:footerReference w:type="even" r:id="rId12"/>
          <w:footerReference w:type="default" r:id="rId13"/>
          <w:footerReference w:type="first" r:id="rId14"/>
          <w:endnotePr>
            <w:numFmt w:val="decimal"/>
          </w:endnotePr>
          <w:pgSz w:w="11906" w:h="16838" w:code="9"/>
          <w:pgMar w:top="1417" w:right="1134" w:bottom="1134" w:left="1134" w:header="850" w:footer="567" w:gutter="0"/>
          <w:cols w:space="708"/>
          <w:titlePg/>
          <w:docGrid w:linePitch="360"/>
        </w:sectPr>
      </w:pPr>
    </w:p>
    <w:p w:rsidR="00565AA2" w:rsidRPr="00E07570" w:rsidRDefault="00565AA2" w:rsidP="00565AA2">
      <w:pPr>
        <w:pStyle w:val="HChG"/>
      </w:pPr>
      <w:r w:rsidRPr="00E07570">
        <w:t>Annexe 1</w:t>
      </w:r>
    </w:p>
    <w:p w:rsidR="00565AA2" w:rsidRPr="00E07570" w:rsidRDefault="00565AA2" w:rsidP="00565AA2">
      <w:pPr>
        <w:pStyle w:val="HChG"/>
      </w:pPr>
      <w:r w:rsidRPr="00E07570">
        <w:tab/>
      </w:r>
      <w:r w:rsidRPr="00E07570">
        <w:tab/>
        <w:t>Communication</w:t>
      </w:r>
    </w:p>
    <w:p w:rsidR="00565AA2" w:rsidRPr="00E07570" w:rsidRDefault="00565AA2" w:rsidP="00565AA2">
      <w:pPr>
        <w:pStyle w:val="SingleTxtG"/>
        <w:rPr>
          <w:b/>
        </w:rPr>
      </w:pPr>
      <w:r w:rsidRPr="00E07570">
        <w:rPr>
          <w:b/>
        </w:rPr>
        <w:t>(Format maximal : A4 (210 x 297 mm))</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2"/>
        <w:gridCol w:w="3969"/>
      </w:tblGrid>
      <w:tr w:rsidR="00565AA2" w:rsidRPr="00E07570" w:rsidTr="0012036F">
        <w:tc>
          <w:tcPr>
            <w:tcW w:w="3402" w:type="dxa"/>
          </w:tcPr>
          <w:bookmarkStart w:id="5" w:name="_MON_1420453160"/>
          <w:bookmarkEnd w:id="5"/>
          <w:bookmarkStart w:id="6" w:name="_MON_1420453756"/>
          <w:bookmarkEnd w:id="6"/>
          <w:p w:rsidR="00565AA2" w:rsidRPr="00E07570" w:rsidRDefault="00565AA2" w:rsidP="0012036F">
            <w:pPr>
              <w:pStyle w:val="SingleTxtG"/>
              <w:spacing w:after="0"/>
              <w:ind w:left="0"/>
              <w:rPr>
                <w:b/>
              </w:rPr>
            </w:pPr>
            <w:r w:rsidRPr="00E07570">
              <w:rPr>
                <w:b/>
              </w:rPr>
              <w:object w:dxaOrig="1684" w:dyaOrig="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84pt" o:ole="">
                  <v:imagedata r:id="rId15" o:title=""/>
                </v:shape>
                <o:OLEObject Type="Embed" ProgID="Word.Picture.8" ShapeID="_x0000_i1025" DrawAspect="Content" ObjectID="_1551078323" r:id="rId16"/>
              </w:object>
            </w:r>
            <w:r w:rsidRPr="009F1CF1">
              <w:rPr>
                <w:rStyle w:val="FootnoteReference"/>
                <w:color w:val="FFFFFF" w:themeColor="background1"/>
              </w:rPr>
              <w:footnoteReference w:id="10"/>
            </w:r>
          </w:p>
        </w:tc>
        <w:tc>
          <w:tcPr>
            <w:tcW w:w="3969" w:type="dxa"/>
          </w:tcPr>
          <w:p w:rsidR="00565AA2" w:rsidRPr="00E07570" w:rsidRDefault="00565AA2" w:rsidP="0012036F">
            <w:pPr>
              <w:ind w:left="1701" w:hanging="1701"/>
              <w:rPr>
                <w:b/>
              </w:rPr>
            </w:pPr>
            <w:r w:rsidRPr="00E07570">
              <w:rPr>
                <w:b/>
              </w:rPr>
              <w:t>Émanant de :</w:t>
            </w:r>
            <w:r w:rsidRPr="00E07570">
              <w:rPr>
                <w:b/>
              </w:rPr>
              <w:tab/>
              <w:t>Nom de l</w:t>
            </w:r>
            <w:r w:rsidR="00145E4B">
              <w:rPr>
                <w:b/>
              </w:rPr>
              <w:t>’</w:t>
            </w:r>
            <w:r w:rsidRPr="00E07570">
              <w:rPr>
                <w:b/>
              </w:rPr>
              <w:t>administration :</w:t>
            </w:r>
          </w:p>
          <w:p w:rsidR="00565AA2" w:rsidRPr="00E07570" w:rsidRDefault="00565AA2" w:rsidP="0012036F">
            <w:pPr>
              <w:pStyle w:val="SingleTxtG"/>
              <w:tabs>
                <w:tab w:val="right" w:leader="dot" w:pos="3686"/>
              </w:tabs>
              <w:spacing w:after="0"/>
              <w:ind w:left="1701" w:right="0"/>
              <w:rPr>
                <w:b/>
              </w:rPr>
            </w:pPr>
            <w:r w:rsidRPr="00E07570">
              <w:rPr>
                <w:b/>
              </w:rPr>
              <w:tab/>
            </w:r>
          </w:p>
          <w:p w:rsidR="00565AA2" w:rsidRPr="00E07570" w:rsidRDefault="00565AA2" w:rsidP="0012036F">
            <w:pPr>
              <w:pStyle w:val="SingleTxtG"/>
              <w:tabs>
                <w:tab w:val="right" w:leader="dot" w:pos="3686"/>
              </w:tabs>
              <w:spacing w:after="0"/>
              <w:ind w:left="1701" w:right="0"/>
              <w:rPr>
                <w:b/>
              </w:rPr>
            </w:pPr>
            <w:r w:rsidRPr="00E07570">
              <w:rPr>
                <w:b/>
              </w:rPr>
              <w:tab/>
            </w:r>
          </w:p>
          <w:p w:rsidR="00565AA2" w:rsidRPr="00E07570" w:rsidRDefault="00565AA2" w:rsidP="0012036F">
            <w:pPr>
              <w:pStyle w:val="SingleTxtG"/>
              <w:tabs>
                <w:tab w:val="right" w:leader="dot" w:pos="3686"/>
              </w:tabs>
              <w:spacing w:after="0"/>
              <w:ind w:left="1701" w:right="0"/>
              <w:rPr>
                <w:b/>
              </w:rPr>
            </w:pPr>
            <w:r w:rsidRPr="00E07570">
              <w:rPr>
                <w:b/>
              </w:rPr>
              <w:tab/>
            </w:r>
          </w:p>
        </w:tc>
      </w:tr>
    </w:tbl>
    <w:p w:rsidR="00565AA2" w:rsidRPr="00E07570" w:rsidRDefault="00565AA2" w:rsidP="00B32702">
      <w:pPr>
        <w:pStyle w:val="SingleTxtG"/>
        <w:kinsoku/>
        <w:overflowPunct/>
        <w:autoSpaceDE/>
        <w:autoSpaceDN/>
        <w:adjustRightInd/>
        <w:snapToGrid/>
        <w:spacing w:before="120"/>
        <w:ind w:left="2552" w:hanging="1418"/>
        <w:jc w:val="left"/>
        <w:rPr>
          <w:b/>
        </w:rPr>
      </w:pPr>
      <w:proofErr w:type="gramStart"/>
      <w:r w:rsidRPr="00E07570">
        <w:rPr>
          <w:b/>
        </w:rPr>
        <w:t>concernant</w:t>
      </w:r>
      <w:proofErr w:type="gramEnd"/>
      <w:r w:rsidRPr="00E07570">
        <w:rPr>
          <w:rStyle w:val="FootnoteReference"/>
          <w:b/>
        </w:rPr>
        <w:footnoteReference w:id="11"/>
      </w:r>
      <w:r w:rsidRPr="00E07570">
        <w:rPr>
          <w:b/>
        </w:rPr>
        <w:t> :</w:t>
      </w:r>
      <w:r w:rsidRPr="00E07570">
        <w:rPr>
          <w:b/>
        </w:rPr>
        <w:tab/>
        <w:t>Délivrance d</w:t>
      </w:r>
      <w:r w:rsidR="00145E4B">
        <w:rPr>
          <w:b/>
        </w:rPr>
        <w:t>’</w:t>
      </w:r>
      <w:r w:rsidRPr="00E07570">
        <w:rPr>
          <w:b/>
        </w:rPr>
        <w:t>une homologation</w:t>
      </w:r>
      <w:r w:rsidRPr="00E07570">
        <w:rPr>
          <w:b/>
        </w:rPr>
        <w:br/>
        <w:t>Extension d</w:t>
      </w:r>
      <w:r w:rsidR="00145E4B">
        <w:rPr>
          <w:b/>
        </w:rPr>
        <w:t>’</w:t>
      </w:r>
      <w:r w:rsidRPr="00E07570">
        <w:rPr>
          <w:b/>
        </w:rPr>
        <w:t>homologation</w:t>
      </w:r>
      <w:r w:rsidRPr="00E07570">
        <w:rPr>
          <w:b/>
        </w:rPr>
        <w:br/>
        <w:t>Refus d</w:t>
      </w:r>
      <w:r w:rsidR="00145E4B">
        <w:rPr>
          <w:b/>
        </w:rPr>
        <w:t>’</w:t>
      </w:r>
      <w:r w:rsidRPr="00E07570">
        <w:rPr>
          <w:b/>
        </w:rPr>
        <w:t>homologation</w:t>
      </w:r>
      <w:r w:rsidRPr="00E07570">
        <w:rPr>
          <w:b/>
        </w:rPr>
        <w:br/>
        <w:t>Retrait d</w:t>
      </w:r>
      <w:r w:rsidR="00145E4B">
        <w:rPr>
          <w:b/>
        </w:rPr>
        <w:t>’</w:t>
      </w:r>
      <w:r w:rsidRPr="00E07570">
        <w:rPr>
          <w:b/>
        </w:rPr>
        <w:t>homologation</w:t>
      </w:r>
      <w:r w:rsidRPr="00E07570">
        <w:rPr>
          <w:b/>
        </w:rPr>
        <w:br/>
        <w:t>Arrêt définitif de la production</w:t>
      </w:r>
    </w:p>
    <w:p w:rsidR="00565AA2" w:rsidRPr="00E07570" w:rsidRDefault="00564ABF" w:rsidP="00565AA2">
      <w:pPr>
        <w:pStyle w:val="SingleTxtG"/>
        <w:rPr>
          <w:b/>
        </w:rPr>
      </w:pPr>
      <w:proofErr w:type="gramStart"/>
      <w:r w:rsidRPr="00E07570">
        <w:rPr>
          <w:b/>
        </w:rPr>
        <w:t>d</w:t>
      </w:r>
      <w:r w:rsidR="00145E4B">
        <w:rPr>
          <w:b/>
        </w:rPr>
        <w:t>’</w:t>
      </w:r>
      <w:r w:rsidRPr="00E07570">
        <w:rPr>
          <w:b/>
        </w:rPr>
        <w:t>un</w:t>
      </w:r>
      <w:proofErr w:type="gramEnd"/>
      <w:r w:rsidRPr="00E07570">
        <w:rPr>
          <w:b/>
        </w:rPr>
        <w:t xml:space="preserve"> type d</w:t>
      </w:r>
      <w:r w:rsidR="00145E4B">
        <w:rPr>
          <w:b/>
        </w:rPr>
        <w:t>’</w:t>
      </w:r>
      <w:r w:rsidRPr="00E07570">
        <w:rPr>
          <w:b/>
        </w:rPr>
        <w:t>AECC destiné à être installé dans un AECD sur les véhicules des catégories M</w:t>
      </w:r>
      <w:r w:rsidRPr="00E07570">
        <w:rPr>
          <w:b/>
          <w:vertAlign w:val="subscript"/>
        </w:rPr>
        <w:t xml:space="preserve">1 </w:t>
      </w:r>
      <w:r w:rsidRPr="00E07570">
        <w:rPr>
          <w:b/>
        </w:rPr>
        <w:t>et N</w:t>
      </w:r>
      <w:r w:rsidRPr="00E07570">
        <w:rPr>
          <w:b/>
          <w:vertAlign w:val="subscript"/>
        </w:rPr>
        <w:t>1</w:t>
      </w:r>
      <w:r w:rsidRPr="00E07570">
        <w:rPr>
          <w:b/>
        </w:rPr>
        <w:t>,</w:t>
      </w:r>
      <w:r w:rsidRPr="00E07570">
        <w:rPr>
          <w:b/>
          <w:vertAlign w:val="subscript"/>
        </w:rPr>
        <w:t xml:space="preserve"> </w:t>
      </w:r>
      <w:r w:rsidRPr="00E07570">
        <w:rPr>
          <w:b/>
        </w:rPr>
        <w:t>homologué en application de la partie </w:t>
      </w:r>
      <w:proofErr w:type="spellStart"/>
      <w:r w:rsidRPr="00E07570">
        <w:rPr>
          <w:b/>
        </w:rPr>
        <w:t>Ia</w:t>
      </w:r>
      <w:proofErr w:type="spellEnd"/>
      <w:r w:rsidRPr="00E07570">
        <w:rPr>
          <w:b/>
        </w:rPr>
        <w:t xml:space="preserve"> du Règlement </w:t>
      </w:r>
      <w:r w:rsidRPr="00E07570">
        <w:rPr>
          <w:rFonts w:eastAsia="MS Mincho"/>
          <w:b/>
        </w:rPr>
        <w:t>n</w:t>
      </w:r>
      <w:r w:rsidRPr="00E07570">
        <w:rPr>
          <w:rFonts w:eastAsia="MS Mincho"/>
          <w:b/>
          <w:vertAlign w:val="superscript"/>
        </w:rPr>
        <w:t>o</w:t>
      </w:r>
      <w:r w:rsidRPr="00E07570">
        <w:rPr>
          <w:b/>
        </w:rPr>
        <w:t> XXX.</w:t>
      </w:r>
    </w:p>
    <w:p w:rsidR="00565AA2" w:rsidRPr="00E07570" w:rsidRDefault="00565AA2" w:rsidP="00565AA2">
      <w:pPr>
        <w:pStyle w:val="SingleTxtG"/>
        <w:tabs>
          <w:tab w:val="right" w:leader="dot" w:pos="4253"/>
          <w:tab w:val="left" w:pos="4536"/>
          <w:tab w:val="right" w:leader="dot" w:pos="8505"/>
        </w:tabs>
        <w:jc w:val="left"/>
        <w:rPr>
          <w:b/>
        </w:rPr>
      </w:pPr>
      <w:r w:rsidRPr="00E07570">
        <w:rPr>
          <w:b/>
        </w:rPr>
        <w:t>N</w:t>
      </w:r>
      <w:r w:rsidRPr="00E07570">
        <w:rPr>
          <w:b/>
          <w:vertAlign w:val="superscript"/>
        </w:rPr>
        <w:t>o</w:t>
      </w:r>
      <w:r w:rsidRPr="00E07570">
        <w:rPr>
          <w:b/>
        </w:rPr>
        <w:t xml:space="preserve"> d</w:t>
      </w:r>
      <w:r w:rsidR="00145E4B">
        <w:rPr>
          <w:b/>
        </w:rPr>
        <w:t>’</w:t>
      </w:r>
      <w:r w:rsidRPr="00E07570">
        <w:rPr>
          <w:b/>
        </w:rPr>
        <w:t>homologation</w:t>
      </w:r>
      <w:r w:rsidRPr="00E07570">
        <w:rPr>
          <w:b/>
        </w:rPr>
        <w:tab/>
      </w:r>
      <w:r w:rsidRPr="00E07570">
        <w:rPr>
          <w:b/>
        </w:rPr>
        <w:tab/>
        <w:t>N</w:t>
      </w:r>
      <w:r w:rsidRPr="00E07570">
        <w:rPr>
          <w:b/>
          <w:vertAlign w:val="superscript"/>
        </w:rPr>
        <w:t>o</w:t>
      </w:r>
      <w:r w:rsidRPr="00E07570">
        <w:rPr>
          <w:b/>
        </w:rPr>
        <w:t xml:space="preserve"> d</w:t>
      </w:r>
      <w:r w:rsidR="00145E4B">
        <w:rPr>
          <w:b/>
        </w:rPr>
        <w:t>’</w:t>
      </w:r>
      <w:r w:rsidRPr="00E07570">
        <w:rPr>
          <w:b/>
        </w:rPr>
        <w:t>extension</w:t>
      </w:r>
      <w:r w:rsidRPr="00E07570">
        <w:rPr>
          <w:b/>
        </w:rPr>
        <w:tab/>
      </w:r>
    </w:p>
    <w:p w:rsidR="00565AA2" w:rsidRPr="00E07570" w:rsidRDefault="00565AA2" w:rsidP="00C04D8E">
      <w:pPr>
        <w:pStyle w:val="SingleTxtG"/>
        <w:tabs>
          <w:tab w:val="right" w:leader="dot" w:pos="8505"/>
        </w:tabs>
        <w:ind w:left="1701" w:hanging="567"/>
        <w:jc w:val="left"/>
        <w:rPr>
          <w:b/>
        </w:rPr>
      </w:pPr>
      <w:r w:rsidRPr="00E07570">
        <w:rPr>
          <w:b/>
        </w:rPr>
        <w:t>1.</w:t>
      </w:r>
      <w:r w:rsidRPr="00E07570">
        <w:rPr>
          <w:b/>
        </w:rPr>
        <w:tab/>
        <w:t xml:space="preserve">Marque de fabrique ou de commerce </w:t>
      </w:r>
      <w:r w:rsidR="00564ABF" w:rsidRPr="00E07570">
        <w:rPr>
          <w:b/>
        </w:rPr>
        <w:t>de l</w:t>
      </w:r>
      <w:r w:rsidR="00145E4B">
        <w:rPr>
          <w:b/>
        </w:rPr>
        <w:t>’</w:t>
      </w:r>
      <w:r w:rsidR="00564ABF" w:rsidRPr="00E07570">
        <w:rPr>
          <w:b/>
        </w:rPr>
        <w:t>AECC</w:t>
      </w:r>
      <w:r w:rsidRPr="00E07570">
        <w:rPr>
          <w:b/>
        </w:rPr>
        <w:t> :</w:t>
      </w:r>
      <w:r w:rsidRPr="00E07570">
        <w:rPr>
          <w:b/>
        </w:rPr>
        <w:tab/>
      </w:r>
    </w:p>
    <w:p w:rsidR="00565AA2" w:rsidRPr="00E07570" w:rsidRDefault="00565AA2" w:rsidP="00C04D8E">
      <w:pPr>
        <w:pStyle w:val="SingleTxtG"/>
        <w:tabs>
          <w:tab w:val="right" w:leader="dot" w:pos="8505"/>
        </w:tabs>
        <w:ind w:left="1701" w:hanging="567"/>
        <w:jc w:val="left"/>
        <w:rPr>
          <w:b/>
        </w:rPr>
      </w:pPr>
      <w:r w:rsidRPr="00E07570">
        <w:rPr>
          <w:b/>
        </w:rPr>
        <w:t>2.</w:t>
      </w:r>
      <w:r w:rsidRPr="00E07570">
        <w:rPr>
          <w:b/>
        </w:rPr>
        <w:tab/>
        <w:t xml:space="preserve">Nom du constructeur pour le type de </w:t>
      </w:r>
      <w:r w:rsidR="00564ABF" w:rsidRPr="00E07570">
        <w:rPr>
          <w:b/>
        </w:rPr>
        <w:t>l</w:t>
      </w:r>
      <w:r w:rsidR="00145E4B">
        <w:rPr>
          <w:b/>
        </w:rPr>
        <w:t>’</w:t>
      </w:r>
      <w:r w:rsidR="00564ABF" w:rsidRPr="00E07570">
        <w:rPr>
          <w:b/>
        </w:rPr>
        <w:t>AECC</w:t>
      </w:r>
      <w:r w:rsidRPr="00E07570">
        <w:rPr>
          <w:b/>
        </w:rPr>
        <w:t> :</w:t>
      </w:r>
      <w:r w:rsidRPr="00E07570">
        <w:rPr>
          <w:b/>
        </w:rPr>
        <w:tab/>
      </w:r>
    </w:p>
    <w:p w:rsidR="00565AA2" w:rsidRPr="00E07570" w:rsidRDefault="00565AA2" w:rsidP="00C04D8E">
      <w:pPr>
        <w:pStyle w:val="SingleTxtG"/>
        <w:tabs>
          <w:tab w:val="right" w:leader="dot" w:pos="8505"/>
        </w:tabs>
        <w:ind w:left="1701" w:hanging="567"/>
        <w:jc w:val="left"/>
        <w:rPr>
          <w:b/>
        </w:rPr>
      </w:pPr>
      <w:r w:rsidRPr="00E07570">
        <w:rPr>
          <w:b/>
        </w:rPr>
        <w:t>3.</w:t>
      </w:r>
      <w:r w:rsidRPr="00E07570">
        <w:rPr>
          <w:b/>
        </w:rPr>
        <w:tab/>
        <w:t>Nom et adresse du constructeur :</w:t>
      </w:r>
      <w:r w:rsidRPr="00E07570">
        <w:rPr>
          <w:b/>
        </w:rPr>
        <w:tab/>
      </w:r>
    </w:p>
    <w:p w:rsidR="00565AA2" w:rsidRPr="00E07570" w:rsidRDefault="00565AA2" w:rsidP="00C04D8E">
      <w:pPr>
        <w:pStyle w:val="SingleTxtG"/>
        <w:tabs>
          <w:tab w:val="right" w:leader="dot" w:pos="8505"/>
        </w:tabs>
        <w:kinsoku/>
        <w:overflowPunct/>
        <w:autoSpaceDE/>
        <w:autoSpaceDN/>
        <w:adjustRightInd/>
        <w:snapToGrid/>
        <w:ind w:left="1701" w:hanging="567"/>
        <w:jc w:val="left"/>
        <w:rPr>
          <w:b/>
        </w:rPr>
      </w:pPr>
      <w:r w:rsidRPr="00E07570">
        <w:rPr>
          <w:b/>
        </w:rPr>
        <w:t>4.</w:t>
      </w:r>
      <w:r w:rsidRPr="00E07570">
        <w:rPr>
          <w:b/>
        </w:rPr>
        <w:tab/>
        <w:t>Nom et adresse du représentant du constructeur (le cas échéant) :</w:t>
      </w:r>
      <w:r w:rsidRPr="00E07570">
        <w:rPr>
          <w:b/>
        </w:rPr>
        <w:tab/>
      </w:r>
    </w:p>
    <w:p w:rsidR="00565AA2" w:rsidRPr="00E07570" w:rsidRDefault="00565AA2" w:rsidP="00C04D8E">
      <w:pPr>
        <w:pStyle w:val="SingleTxtG"/>
        <w:tabs>
          <w:tab w:val="right" w:leader="dot" w:pos="8505"/>
        </w:tabs>
        <w:ind w:left="1701" w:hanging="567"/>
        <w:jc w:val="left"/>
        <w:rPr>
          <w:b/>
        </w:rPr>
      </w:pPr>
      <w:r w:rsidRPr="00E07570">
        <w:rPr>
          <w:b/>
        </w:rPr>
        <w:t>5.</w:t>
      </w:r>
      <w:r w:rsidRPr="00E07570">
        <w:rPr>
          <w:b/>
        </w:rPr>
        <w:tab/>
        <w:t>Soumis à l</w:t>
      </w:r>
      <w:r w:rsidR="00145E4B">
        <w:rPr>
          <w:b/>
        </w:rPr>
        <w:t>’</w:t>
      </w:r>
      <w:r w:rsidRPr="00E07570">
        <w:rPr>
          <w:b/>
        </w:rPr>
        <w:t>homologation le :</w:t>
      </w:r>
      <w:r w:rsidRPr="00E07570">
        <w:rPr>
          <w:b/>
        </w:rPr>
        <w:tab/>
      </w:r>
    </w:p>
    <w:p w:rsidR="00565AA2" w:rsidRPr="00E07570" w:rsidRDefault="00565AA2" w:rsidP="00C04D8E">
      <w:pPr>
        <w:pStyle w:val="SingleTxtG"/>
        <w:tabs>
          <w:tab w:val="right" w:leader="dot" w:pos="8505"/>
        </w:tabs>
        <w:kinsoku/>
        <w:overflowPunct/>
        <w:autoSpaceDE/>
        <w:autoSpaceDN/>
        <w:adjustRightInd/>
        <w:snapToGrid/>
        <w:ind w:left="1701" w:hanging="567"/>
        <w:jc w:val="left"/>
        <w:rPr>
          <w:b/>
        </w:rPr>
      </w:pPr>
      <w:r w:rsidRPr="00E07570">
        <w:rPr>
          <w:b/>
        </w:rPr>
        <w:t>6.</w:t>
      </w:r>
      <w:r w:rsidRPr="00E07570">
        <w:rPr>
          <w:b/>
        </w:rPr>
        <w:tab/>
        <w:t>Service technique chargé des essais :</w:t>
      </w:r>
      <w:r w:rsidRPr="00E07570">
        <w:rPr>
          <w:b/>
        </w:rPr>
        <w:tab/>
      </w:r>
    </w:p>
    <w:p w:rsidR="00565AA2" w:rsidRPr="00E07570" w:rsidRDefault="00565AA2" w:rsidP="00C04D8E">
      <w:pPr>
        <w:pStyle w:val="SingleTxtG"/>
        <w:tabs>
          <w:tab w:val="right" w:leader="dot" w:pos="8505"/>
        </w:tabs>
        <w:kinsoku/>
        <w:overflowPunct/>
        <w:autoSpaceDE/>
        <w:autoSpaceDN/>
        <w:adjustRightInd/>
        <w:snapToGrid/>
        <w:ind w:left="1701" w:hanging="567"/>
        <w:jc w:val="left"/>
        <w:rPr>
          <w:b/>
        </w:rPr>
      </w:pPr>
      <w:r w:rsidRPr="00E07570">
        <w:rPr>
          <w:b/>
        </w:rPr>
        <w:t>7.</w:t>
      </w:r>
      <w:r w:rsidRPr="00E07570">
        <w:rPr>
          <w:b/>
        </w:rPr>
        <w:tab/>
        <w:t>Date du procès-verbal d</w:t>
      </w:r>
      <w:r w:rsidR="00145E4B">
        <w:rPr>
          <w:b/>
        </w:rPr>
        <w:t>’</w:t>
      </w:r>
      <w:r w:rsidRPr="00E07570">
        <w:rPr>
          <w:b/>
        </w:rPr>
        <w:t>essai :</w:t>
      </w:r>
      <w:r w:rsidRPr="00E07570">
        <w:rPr>
          <w:b/>
        </w:rPr>
        <w:tab/>
      </w:r>
    </w:p>
    <w:p w:rsidR="00565AA2" w:rsidRPr="00E07570" w:rsidRDefault="00565AA2" w:rsidP="00C04D8E">
      <w:pPr>
        <w:pStyle w:val="SingleTxtG"/>
        <w:tabs>
          <w:tab w:val="right" w:leader="dot" w:pos="8505"/>
        </w:tabs>
        <w:kinsoku/>
        <w:overflowPunct/>
        <w:autoSpaceDE/>
        <w:autoSpaceDN/>
        <w:adjustRightInd/>
        <w:snapToGrid/>
        <w:ind w:left="1701" w:hanging="567"/>
        <w:jc w:val="left"/>
        <w:rPr>
          <w:b/>
        </w:rPr>
      </w:pPr>
      <w:r w:rsidRPr="00E07570">
        <w:rPr>
          <w:b/>
        </w:rPr>
        <w:t>8.</w:t>
      </w:r>
      <w:r w:rsidRPr="00E07570">
        <w:rPr>
          <w:b/>
        </w:rPr>
        <w:tab/>
        <w:t>Numéro du procès-verbal d</w:t>
      </w:r>
      <w:r w:rsidR="00145E4B">
        <w:rPr>
          <w:b/>
        </w:rPr>
        <w:t>’</w:t>
      </w:r>
      <w:r w:rsidRPr="00E07570">
        <w:rPr>
          <w:b/>
        </w:rPr>
        <w:t>essai :</w:t>
      </w:r>
      <w:r w:rsidRPr="00E07570">
        <w:rPr>
          <w:b/>
        </w:rPr>
        <w:tab/>
      </w:r>
    </w:p>
    <w:p w:rsidR="00565AA2" w:rsidRPr="00E07570" w:rsidRDefault="00565AA2" w:rsidP="00C04D8E">
      <w:pPr>
        <w:pStyle w:val="SingleTxtG"/>
        <w:tabs>
          <w:tab w:val="right" w:leader="dot" w:pos="8505"/>
        </w:tabs>
        <w:kinsoku/>
        <w:overflowPunct/>
        <w:autoSpaceDE/>
        <w:autoSpaceDN/>
        <w:adjustRightInd/>
        <w:snapToGrid/>
        <w:ind w:left="1701" w:hanging="567"/>
        <w:jc w:val="left"/>
        <w:rPr>
          <w:b/>
        </w:rPr>
      </w:pPr>
      <w:r w:rsidRPr="00E07570">
        <w:rPr>
          <w:b/>
        </w:rPr>
        <w:t>9.</w:t>
      </w:r>
      <w:r w:rsidRPr="00E07570">
        <w:rPr>
          <w:b/>
        </w:rPr>
        <w:tab/>
        <w:t>Description sommaire</w:t>
      </w:r>
      <w:r w:rsidR="00564ABF" w:rsidRPr="00E07570">
        <w:rPr>
          <w:b/>
        </w:rPr>
        <w:t xml:space="preserve"> de l</w:t>
      </w:r>
      <w:r w:rsidR="00145E4B">
        <w:rPr>
          <w:b/>
        </w:rPr>
        <w:t>’</w:t>
      </w:r>
      <w:r w:rsidR="00564ABF" w:rsidRPr="00E07570">
        <w:rPr>
          <w:b/>
        </w:rPr>
        <w:t>AECC</w:t>
      </w:r>
      <w:r w:rsidRPr="00E07570">
        <w:rPr>
          <w:b/>
        </w:rPr>
        <w:t> :</w:t>
      </w:r>
      <w:r w:rsidRPr="00E07570">
        <w:rPr>
          <w:b/>
        </w:rPr>
        <w:tab/>
      </w:r>
    </w:p>
    <w:p w:rsidR="00CE5AA2" w:rsidRPr="00E07570" w:rsidRDefault="00CE5AA2" w:rsidP="00C04D8E">
      <w:pPr>
        <w:pStyle w:val="SingleTxtG"/>
        <w:tabs>
          <w:tab w:val="right" w:leader="dot" w:pos="8505"/>
        </w:tabs>
        <w:kinsoku/>
        <w:overflowPunct/>
        <w:autoSpaceDE/>
        <w:autoSpaceDN/>
        <w:adjustRightInd/>
        <w:snapToGrid/>
        <w:ind w:left="1701" w:hanging="567"/>
        <w:jc w:val="left"/>
        <w:rPr>
          <w:b/>
        </w:rPr>
      </w:pPr>
      <w:r w:rsidRPr="00E07570">
        <w:rPr>
          <w:b/>
        </w:rPr>
        <w:t>9a.</w:t>
      </w:r>
      <w:r w:rsidRPr="00E07570">
        <w:rPr>
          <w:b/>
        </w:rPr>
        <w:tab/>
        <w:t>Dossier d</w:t>
      </w:r>
      <w:r w:rsidR="00145E4B">
        <w:rPr>
          <w:b/>
        </w:rPr>
        <w:t>’</w:t>
      </w:r>
      <w:r w:rsidRPr="00E07570">
        <w:rPr>
          <w:b/>
        </w:rPr>
        <w:t>information (voir le paragraphe 6) :</w:t>
      </w:r>
      <w:r w:rsidRPr="00E07570">
        <w:rPr>
          <w:b/>
        </w:rPr>
        <w:tab/>
      </w:r>
    </w:p>
    <w:p w:rsidR="00CE5AA2" w:rsidRPr="00E07570" w:rsidRDefault="00CE5AA2" w:rsidP="00C04D8E">
      <w:pPr>
        <w:pStyle w:val="SingleTxtG"/>
        <w:tabs>
          <w:tab w:val="right" w:leader="dot" w:pos="8505"/>
        </w:tabs>
        <w:kinsoku/>
        <w:overflowPunct/>
        <w:autoSpaceDE/>
        <w:autoSpaceDN/>
        <w:adjustRightInd/>
        <w:snapToGrid/>
        <w:ind w:left="1701" w:hanging="567"/>
        <w:jc w:val="left"/>
        <w:rPr>
          <w:b/>
        </w:rPr>
      </w:pPr>
      <w:r w:rsidRPr="00E07570">
        <w:rPr>
          <w:b/>
        </w:rPr>
        <w:t>9b.</w:t>
      </w:r>
      <w:r w:rsidRPr="00E07570">
        <w:rPr>
          <w:b/>
        </w:rPr>
        <w:tab/>
        <w:t>Moyen par lequel il est prévu d</w:t>
      </w:r>
      <w:r w:rsidR="00145E4B">
        <w:rPr>
          <w:b/>
        </w:rPr>
        <w:t>’</w:t>
      </w:r>
      <w:r w:rsidRPr="00E07570">
        <w:rPr>
          <w:b/>
        </w:rPr>
        <w:t>associer l</w:t>
      </w:r>
      <w:r w:rsidR="00145E4B">
        <w:rPr>
          <w:b/>
        </w:rPr>
        <w:t>’</w:t>
      </w:r>
      <w:r w:rsidRPr="00E07570">
        <w:rPr>
          <w:b/>
        </w:rPr>
        <w:t xml:space="preserve">AECC à un AECD </w:t>
      </w:r>
      <w:r w:rsidRPr="00E07570">
        <w:rPr>
          <w:b/>
        </w:rPr>
        <w:br/>
        <w:t>(voir le paragraphe 6) :</w:t>
      </w:r>
      <w:r w:rsidRPr="00E07570">
        <w:rPr>
          <w:b/>
        </w:rPr>
        <w:tab/>
      </w:r>
    </w:p>
    <w:p w:rsidR="00CE5AA2" w:rsidRPr="00E07570" w:rsidRDefault="00CE5AA2" w:rsidP="00C04D8E">
      <w:pPr>
        <w:pStyle w:val="SingleTxtG"/>
        <w:ind w:left="1701"/>
        <w:jc w:val="left"/>
        <w:rPr>
          <w:b/>
          <w:sz w:val="18"/>
          <w:szCs w:val="18"/>
        </w:rPr>
      </w:pPr>
      <w:r w:rsidRPr="00E07570">
        <w:rPr>
          <w:b/>
        </w:rPr>
        <w:t>Module de commande : oui/non</w:t>
      </w:r>
      <w:r w:rsidRPr="00E07570">
        <w:rPr>
          <w:b/>
          <w:sz w:val="18"/>
          <w:szCs w:val="18"/>
          <w:vertAlign w:val="superscript"/>
        </w:rPr>
        <w:t>2</w:t>
      </w:r>
    </w:p>
    <w:p w:rsidR="00421DC9" w:rsidRPr="00E07570" w:rsidRDefault="00421DC9" w:rsidP="00C04D8E">
      <w:pPr>
        <w:pStyle w:val="SingleTxtG"/>
        <w:ind w:left="1701"/>
        <w:jc w:val="left"/>
        <w:rPr>
          <w:b/>
        </w:rPr>
      </w:pPr>
      <w:r w:rsidRPr="00E07570">
        <w:rPr>
          <w:b/>
        </w:rPr>
        <w:t>Module de communication : oui/non</w:t>
      </w:r>
      <w:r w:rsidRPr="00E07570">
        <w:rPr>
          <w:b/>
          <w:sz w:val="18"/>
          <w:szCs w:val="18"/>
          <w:vertAlign w:val="superscript"/>
        </w:rPr>
        <w:t>2</w:t>
      </w:r>
    </w:p>
    <w:p w:rsidR="00565AA2" w:rsidRPr="00E07570" w:rsidRDefault="00565AA2" w:rsidP="00C04D8E">
      <w:pPr>
        <w:pStyle w:val="SingleTxtG"/>
        <w:ind w:left="1701"/>
        <w:jc w:val="left"/>
        <w:rPr>
          <w:b/>
          <w:sz w:val="18"/>
          <w:szCs w:val="18"/>
        </w:rPr>
      </w:pPr>
      <w:r w:rsidRPr="00E07570">
        <w:rPr>
          <w:b/>
        </w:rPr>
        <w:t>Alimentation électrique de secours : oui/non</w:t>
      </w:r>
      <w:r w:rsidRPr="00E07570">
        <w:rPr>
          <w:b/>
          <w:sz w:val="18"/>
          <w:szCs w:val="18"/>
          <w:vertAlign w:val="superscript"/>
        </w:rPr>
        <w:t>2</w:t>
      </w:r>
    </w:p>
    <w:p w:rsidR="00421DC9" w:rsidRPr="00E07570" w:rsidRDefault="00421DC9" w:rsidP="00C04D8E">
      <w:pPr>
        <w:pStyle w:val="SingleTxtG"/>
        <w:ind w:left="1701"/>
        <w:jc w:val="left"/>
        <w:rPr>
          <w:b/>
        </w:rPr>
      </w:pPr>
      <w:r w:rsidRPr="00E07570">
        <w:rPr>
          <w:b/>
        </w:rPr>
        <w:t>Alimentation électrique: oui/non</w:t>
      </w:r>
      <w:r w:rsidRPr="00E07570">
        <w:rPr>
          <w:b/>
          <w:sz w:val="18"/>
          <w:szCs w:val="18"/>
          <w:vertAlign w:val="superscript"/>
        </w:rPr>
        <w:t>2</w:t>
      </w:r>
    </w:p>
    <w:p w:rsidR="00565AA2" w:rsidRPr="00E07570" w:rsidRDefault="00565AA2" w:rsidP="00C04D8E">
      <w:pPr>
        <w:pStyle w:val="SingleTxtG"/>
        <w:ind w:left="1701"/>
        <w:jc w:val="left"/>
        <w:rPr>
          <w:b/>
        </w:rPr>
      </w:pPr>
      <w:r w:rsidRPr="00E07570">
        <w:rPr>
          <w:b/>
        </w:rPr>
        <w:t>Antenne d</w:t>
      </w:r>
      <w:r w:rsidR="00145E4B">
        <w:rPr>
          <w:b/>
        </w:rPr>
        <w:t>’</w:t>
      </w:r>
      <w:r w:rsidRPr="00E07570">
        <w:rPr>
          <w:b/>
        </w:rPr>
        <w:t>accès au réseau : oui/non</w:t>
      </w:r>
      <w:r w:rsidRPr="00E07570">
        <w:rPr>
          <w:b/>
          <w:sz w:val="18"/>
          <w:szCs w:val="18"/>
          <w:vertAlign w:val="superscript"/>
        </w:rPr>
        <w:t>2</w:t>
      </w:r>
    </w:p>
    <w:p w:rsidR="00421DC9" w:rsidRPr="00E07570" w:rsidRDefault="00421DC9" w:rsidP="00C04D8E">
      <w:pPr>
        <w:pStyle w:val="SingleTxtG"/>
        <w:ind w:left="1701"/>
        <w:jc w:val="left"/>
        <w:rPr>
          <w:b/>
        </w:rPr>
      </w:pPr>
      <w:r w:rsidRPr="00E07570">
        <w:rPr>
          <w:b/>
        </w:rPr>
        <w:t>Signaux d</w:t>
      </w:r>
      <w:r w:rsidR="00145E4B">
        <w:rPr>
          <w:b/>
        </w:rPr>
        <w:t>’</w:t>
      </w:r>
      <w:r w:rsidRPr="00E07570">
        <w:rPr>
          <w:b/>
        </w:rPr>
        <w:t>information et d</w:t>
      </w:r>
      <w:r w:rsidR="00145E4B">
        <w:rPr>
          <w:b/>
        </w:rPr>
        <w:t>’</w:t>
      </w:r>
      <w:r w:rsidRPr="00E07570">
        <w:rPr>
          <w:b/>
        </w:rPr>
        <w:t>avertissement: oui/non</w:t>
      </w:r>
      <w:r w:rsidRPr="00E07570">
        <w:rPr>
          <w:b/>
          <w:sz w:val="18"/>
          <w:szCs w:val="18"/>
          <w:vertAlign w:val="superscript"/>
        </w:rPr>
        <w:t>2</w:t>
      </w:r>
    </w:p>
    <w:p w:rsidR="00565AA2" w:rsidRPr="00E07570" w:rsidRDefault="00565AA2" w:rsidP="00C04D8E">
      <w:pPr>
        <w:pStyle w:val="SingleTxtG"/>
        <w:ind w:left="1701"/>
        <w:jc w:val="left"/>
        <w:rPr>
          <w:b/>
        </w:rPr>
      </w:pPr>
      <w:r w:rsidRPr="00E07570">
        <w:rPr>
          <w:b/>
        </w:rPr>
        <w:t>Antenne GNSS : oui/non</w:t>
      </w:r>
      <w:r w:rsidRPr="00E07570">
        <w:rPr>
          <w:b/>
          <w:sz w:val="18"/>
          <w:szCs w:val="18"/>
          <w:vertAlign w:val="superscript"/>
        </w:rPr>
        <w:t>2</w:t>
      </w:r>
    </w:p>
    <w:p w:rsidR="00565AA2" w:rsidRPr="00E07570" w:rsidRDefault="00565AA2" w:rsidP="00C04D8E">
      <w:pPr>
        <w:pStyle w:val="SingleTxtG"/>
        <w:ind w:left="1701"/>
        <w:jc w:val="left"/>
        <w:rPr>
          <w:b/>
        </w:rPr>
      </w:pPr>
      <w:r w:rsidRPr="00E07570">
        <w:rPr>
          <w:b/>
        </w:rPr>
        <w:t>Récepteur GNSS : oui/non</w:t>
      </w:r>
      <w:r w:rsidRPr="00E07570">
        <w:rPr>
          <w:b/>
          <w:sz w:val="18"/>
          <w:szCs w:val="18"/>
          <w:vertAlign w:val="superscript"/>
        </w:rPr>
        <w:t>2</w:t>
      </w:r>
    </w:p>
    <w:p w:rsidR="00565AA2" w:rsidRPr="00E07570" w:rsidRDefault="00565AA2" w:rsidP="00C04D8E">
      <w:pPr>
        <w:pStyle w:val="SingleTxtG"/>
        <w:keepNext/>
        <w:jc w:val="left"/>
        <w:rPr>
          <w:b/>
        </w:rPr>
      </w:pPr>
      <w:r w:rsidRPr="00E07570">
        <w:rPr>
          <w:b/>
        </w:rPr>
        <w:t>10.</w:t>
      </w:r>
      <w:r w:rsidRPr="00E07570">
        <w:rPr>
          <w:b/>
        </w:rPr>
        <w:tab/>
      </w:r>
      <w:r w:rsidR="002F544C" w:rsidRPr="00E07570">
        <w:rPr>
          <w:b/>
        </w:rPr>
        <w:t>Le dispositif a été éprouvé conformément aux dispositions suivantes</w:t>
      </w:r>
      <w:r w:rsidRPr="00E07570">
        <w:rPr>
          <w:b/>
        </w:rPr>
        <w:t> :</w:t>
      </w:r>
    </w:p>
    <w:p w:rsidR="002F544C" w:rsidRPr="00E07570" w:rsidRDefault="002F544C" w:rsidP="00C04D8E">
      <w:pPr>
        <w:pStyle w:val="SingleTxtG"/>
        <w:ind w:left="1701"/>
        <w:jc w:val="left"/>
        <w:rPr>
          <w:b/>
        </w:rPr>
      </w:pPr>
      <w:r w:rsidRPr="00E07570">
        <w:rPr>
          <w:b/>
        </w:rPr>
        <w:t>Paragraphe 7.1, Prescriptions générales : oui/non</w:t>
      </w:r>
      <w:r w:rsidRPr="00E07570">
        <w:rPr>
          <w:b/>
          <w:sz w:val="18"/>
          <w:szCs w:val="18"/>
          <w:vertAlign w:val="superscript"/>
        </w:rPr>
        <w:t>2</w:t>
      </w:r>
    </w:p>
    <w:p w:rsidR="002F544C" w:rsidRPr="00E07570" w:rsidRDefault="002F544C" w:rsidP="00C04D8E">
      <w:pPr>
        <w:pStyle w:val="SingleTxtG"/>
        <w:ind w:left="1701"/>
        <w:jc w:val="left"/>
        <w:rPr>
          <w:b/>
        </w:rPr>
      </w:pPr>
      <w:r w:rsidRPr="00E07570">
        <w:rPr>
          <w:b/>
        </w:rPr>
        <w:t>Paragraphe</w:t>
      </w:r>
      <w:r w:rsidR="002B43EE" w:rsidRPr="00E07570">
        <w:rPr>
          <w:b/>
        </w:rPr>
        <w:t> </w:t>
      </w:r>
      <w:r w:rsidRPr="00E07570">
        <w:rPr>
          <w:b/>
        </w:rPr>
        <w:t>7.2, Compat</w:t>
      </w:r>
      <w:r w:rsidR="0038778E" w:rsidRPr="00E07570">
        <w:rPr>
          <w:b/>
        </w:rPr>
        <w:t>ib</w:t>
      </w:r>
      <w:r w:rsidRPr="00E07570">
        <w:rPr>
          <w:b/>
        </w:rPr>
        <w:t>ilité électromagnétique: oui/non</w:t>
      </w:r>
      <w:r w:rsidR="002B43EE" w:rsidRPr="00E07570">
        <w:rPr>
          <w:b/>
          <w:sz w:val="18"/>
          <w:szCs w:val="18"/>
          <w:vertAlign w:val="superscript"/>
        </w:rPr>
        <w:t>2</w:t>
      </w:r>
    </w:p>
    <w:p w:rsidR="002F544C" w:rsidRPr="00E07570" w:rsidRDefault="002F544C" w:rsidP="00C04D8E">
      <w:pPr>
        <w:pStyle w:val="SingleTxtG"/>
        <w:ind w:left="1701"/>
        <w:jc w:val="left"/>
        <w:rPr>
          <w:b/>
        </w:rPr>
      </w:pPr>
      <w:r w:rsidRPr="00E07570">
        <w:rPr>
          <w:b/>
        </w:rPr>
        <w:t xml:space="preserve">Si </w:t>
      </w:r>
      <w:r w:rsidR="002B43EE" w:rsidRPr="00E07570">
        <w:rPr>
          <w:b/>
        </w:rPr>
        <w:t>« </w:t>
      </w:r>
      <w:r w:rsidRPr="00E07570">
        <w:rPr>
          <w:b/>
        </w:rPr>
        <w:t>oui</w:t>
      </w:r>
      <w:r w:rsidR="002B43EE" w:rsidRPr="00E07570">
        <w:rPr>
          <w:b/>
        </w:rPr>
        <w:t> »</w:t>
      </w:r>
      <w:r w:rsidRPr="00E07570">
        <w:rPr>
          <w:b/>
        </w:rPr>
        <w:t>, vérification effectuée sur la base de la série … d</w:t>
      </w:r>
      <w:r w:rsidR="00145E4B">
        <w:rPr>
          <w:b/>
        </w:rPr>
        <w:t>’</w:t>
      </w:r>
      <w:r w:rsidRPr="00E07570">
        <w:rPr>
          <w:b/>
        </w:rPr>
        <w:t>amend</w:t>
      </w:r>
      <w:r w:rsidR="0038778E" w:rsidRPr="00E07570">
        <w:rPr>
          <w:b/>
        </w:rPr>
        <w:t>e</w:t>
      </w:r>
      <w:r w:rsidRPr="00E07570">
        <w:rPr>
          <w:b/>
        </w:rPr>
        <w:t xml:space="preserve">ments au Règlement </w:t>
      </w:r>
      <w:r w:rsidR="002B43EE" w:rsidRPr="00E07570">
        <w:rPr>
          <w:rFonts w:eastAsia="MS Mincho"/>
          <w:b/>
          <w:szCs w:val="22"/>
        </w:rPr>
        <w:t>n</w:t>
      </w:r>
      <w:r w:rsidR="002B43EE" w:rsidRPr="00E07570">
        <w:rPr>
          <w:rFonts w:eastAsia="MS Mincho"/>
          <w:b/>
          <w:szCs w:val="22"/>
          <w:vertAlign w:val="superscript"/>
        </w:rPr>
        <w:t>o</w:t>
      </w:r>
      <w:r w:rsidR="002B43EE" w:rsidRPr="00E07570">
        <w:rPr>
          <w:b/>
        </w:rPr>
        <w:t> </w:t>
      </w:r>
      <w:r w:rsidRPr="00E07570">
        <w:rPr>
          <w:b/>
        </w:rPr>
        <w:t>10</w:t>
      </w:r>
    </w:p>
    <w:p w:rsidR="002F544C" w:rsidRPr="00E07570" w:rsidRDefault="002F544C" w:rsidP="00C04D8E">
      <w:pPr>
        <w:pStyle w:val="SingleTxtG"/>
        <w:ind w:left="1701"/>
        <w:jc w:val="left"/>
        <w:rPr>
          <w:b/>
        </w:rPr>
      </w:pPr>
      <w:r w:rsidRPr="00E07570">
        <w:rPr>
          <w:b/>
        </w:rPr>
        <w:t>Paragraphe</w:t>
      </w:r>
      <w:r w:rsidR="002B43EE" w:rsidRPr="00E07570">
        <w:rPr>
          <w:b/>
        </w:rPr>
        <w:t> </w:t>
      </w:r>
      <w:r w:rsidRPr="00E07570">
        <w:rPr>
          <w:b/>
        </w:rPr>
        <w:t>7.3, Détermination de la position</w:t>
      </w:r>
      <w:r w:rsidR="002B43EE" w:rsidRPr="00E07570">
        <w:rPr>
          <w:b/>
        </w:rPr>
        <w:t> </w:t>
      </w:r>
      <w:r w:rsidRPr="00E07570">
        <w:rPr>
          <w:b/>
        </w:rPr>
        <w:t>: oui/non</w:t>
      </w:r>
      <w:r w:rsidR="002B43EE" w:rsidRPr="00E07570">
        <w:rPr>
          <w:b/>
          <w:sz w:val="18"/>
          <w:szCs w:val="18"/>
          <w:vertAlign w:val="superscript"/>
        </w:rPr>
        <w:t>2</w:t>
      </w:r>
    </w:p>
    <w:p w:rsidR="002F544C" w:rsidRPr="00E07570" w:rsidRDefault="002F544C" w:rsidP="00C04D8E">
      <w:pPr>
        <w:pStyle w:val="SingleTxtG"/>
        <w:ind w:left="1701"/>
        <w:jc w:val="left"/>
        <w:rPr>
          <w:b/>
        </w:rPr>
      </w:pPr>
      <w:r w:rsidRPr="00E07570">
        <w:rPr>
          <w:b/>
        </w:rPr>
        <w:t>Paragraphe</w:t>
      </w:r>
      <w:r w:rsidR="002B43EE" w:rsidRPr="00E07570">
        <w:rPr>
          <w:b/>
        </w:rPr>
        <w:t> </w:t>
      </w:r>
      <w:r w:rsidRPr="00E07570">
        <w:rPr>
          <w:b/>
        </w:rPr>
        <w:t>7.4, Moyens d</w:t>
      </w:r>
      <w:r w:rsidR="00145E4B">
        <w:rPr>
          <w:b/>
        </w:rPr>
        <w:t>’</w:t>
      </w:r>
      <w:r w:rsidRPr="00E07570">
        <w:rPr>
          <w:b/>
        </w:rPr>
        <w:t>accès au PLMN</w:t>
      </w:r>
      <w:r w:rsidR="002B43EE" w:rsidRPr="00E07570">
        <w:rPr>
          <w:b/>
        </w:rPr>
        <w:t> </w:t>
      </w:r>
      <w:r w:rsidRPr="00E07570">
        <w:rPr>
          <w:b/>
        </w:rPr>
        <w:t>: oui/non</w:t>
      </w:r>
      <w:r w:rsidR="002B43EE" w:rsidRPr="00E07570">
        <w:rPr>
          <w:b/>
          <w:sz w:val="18"/>
          <w:szCs w:val="18"/>
          <w:vertAlign w:val="superscript"/>
        </w:rPr>
        <w:t>2</w:t>
      </w:r>
    </w:p>
    <w:p w:rsidR="002F544C" w:rsidRPr="00E07570" w:rsidRDefault="002F544C" w:rsidP="00C04D8E">
      <w:pPr>
        <w:pStyle w:val="SingleTxtG"/>
        <w:ind w:left="1701"/>
        <w:jc w:val="left"/>
        <w:rPr>
          <w:b/>
        </w:rPr>
      </w:pPr>
      <w:r w:rsidRPr="00E07570">
        <w:rPr>
          <w:b/>
        </w:rPr>
        <w:t>Paragraphe</w:t>
      </w:r>
      <w:r w:rsidR="002B43EE" w:rsidRPr="00E07570">
        <w:rPr>
          <w:b/>
        </w:rPr>
        <w:t> </w:t>
      </w:r>
      <w:r w:rsidRPr="00E07570">
        <w:rPr>
          <w:b/>
        </w:rPr>
        <w:t>7.5, Signaux d</w:t>
      </w:r>
      <w:r w:rsidR="00145E4B">
        <w:rPr>
          <w:b/>
        </w:rPr>
        <w:t>’</w:t>
      </w:r>
      <w:r w:rsidRPr="00E07570">
        <w:rPr>
          <w:b/>
        </w:rPr>
        <w:t>information et d</w:t>
      </w:r>
      <w:r w:rsidR="00145E4B">
        <w:rPr>
          <w:b/>
        </w:rPr>
        <w:t>’</w:t>
      </w:r>
      <w:r w:rsidRPr="00E07570">
        <w:rPr>
          <w:b/>
        </w:rPr>
        <w:t>avertissement</w:t>
      </w:r>
      <w:r w:rsidR="002B43EE" w:rsidRPr="00E07570">
        <w:rPr>
          <w:b/>
        </w:rPr>
        <w:t> </w:t>
      </w:r>
      <w:r w:rsidRPr="00E07570">
        <w:rPr>
          <w:b/>
        </w:rPr>
        <w:t>: oui/non</w:t>
      </w:r>
      <w:r w:rsidR="002B43EE" w:rsidRPr="00E07570">
        <w:rPr>
          <w:b/>
          <w:sz w:val="18"/>
          <w:szCs w:val="18"/>
          <w:vertAlign w:val="superscript"/>
        </w:rPr>
        <w:t>2</w:t>
      </w:r>
    </w:p>
    <w:p w:rsidR="002F544C" w:rsidRPr="00E07570" w:rsidRDefault="002F544C" w:rsidP="00C04D8E">
      <w:pPr>
        <w:pStyle w:val="SingleTxtG"/>
        <w:ind w:left="1701"/>
        <w:jc w:val="left"/>
        <w:rPr>
          <w:b/>
        </w:rPr>
      </w:pPr>
      <w:r w:rsidRPr="00E07570">
        <w:rPr>
          <w:b/>
        </w:rPr>
        <w:t xml:space="preserve">Si </w:t>
      </w:r>
      <w:r w:rsidR="0038778E" w:rsidRPr="00E07570">
        <w:rPr>
          <w:b/>
        </w:rPr>
        <w:t>« </w:t>
      </w:r>
      <w:r w:rsidRPr="00E07570">
        <w:rPr>
          <w:b/>
        </w:rPr>
        <w:t>oui</w:t>
      </w:r>
      <w:r w:rsidR="0038778E" w:rsidRPr="00E07570">
        <w:rPr>
          <w:b/>
        </w:rPr>
        <w:t> »</w:t>
      </w:r>
      <w:r w:rsidRPr="00E07570">
        <w:rPr>
          <w:b/>
        </w:rPr>
        <w:t>, indiquer les défaillances qui ont fait l</w:t>
      </w:r>
      <w:r w:rsidR="00145E4B">
        <w:rPr>
          <w:b/>
        </w:rPr>
        <w:t>’</w:t>
      </w:r>
      <w:r w:rsidRPr="00E07570">
        <w:rPr>
          <w:b/>
        </w:rPr>
        <w:t>objet d</w:t>
      </w:r>
      <w:r w:rsidR="00145E4B">
        <w:rPr>
          <w:b/>
        </w:rPr>
        <w:t>’</w:t>
      </w:r>
      <w:r w:rsidRPr="00E07570">
        <w:rPr>
          <w:b/>
        </w:rPr>
        <w:t>une vérification</w:t>
      </w:r>
      <w:r w:rsidR="002B43EE" w:rsidRPr="00E07570">
        <w:rPr>
          <w:b/>
        </w:rPr>
        <w:t> </w:t>
      </w:r>
      <w:r w:rsidRPr="00E07570">
        <w:rPr>
          <w:b/>
        </w:rPr>
        <w:t>:</w:t>
      </w:r>
    </w:p>
    <w:p w:rsidR="002F544C" w:rsidRPr="00E07570" w:rsidRDefault="002F544C" w:rsidP="00C04D8E">
      <w:pPr>
        <w:pStyle w:val="SingleTxtG"/>
        <w:ind w:left="1701"/>
        <w:jc w:val="left"/>
        <w:rPr>
          <w:b/>
        </w:rPr>
      </w:pPr>
      <w:r w:rsidRPr="00E07570">
        <w:rPr>
          <w:b/>
        </w:rPr>
        <w:t>Module de commande de l</w:t>
      </w:r>
      <w:r w:rsidR="00145E4B">
        <w:rPr>
          <w:b/>
        </w:rPr>
        <w:t>’</w:t>
      </w:r>
      <w:r w:rsidRPr="00E07570">
        <w:rPr>
          <w:b/>
        </w:rPr>
        <w:t>AECC</w:t>
      </w:r>
      <w:r w:rsidR="002B43EE" w:rsidRPr="00E07570">
        <w:rPr>
          <w:b/>
        </w:rPr>
        <w:t> </w:t>
      </w:r>
      <w:r w:rsidRPr="00E07570">
        <w:rPr>
          <w:b/>
        </w:rPr>
        <w:t>: oui/non</w:t>
      </w:r>
      <w:r w:rsidR="002B43EE" w:rsidRPr="00E07570">
        <w:rPr>
          <w:b/>
          <w:sz w:val="18"/>
          <w:szCs w:val="18"/>
          <w:vertAlign w:val="superscript"/>
        </w:rPr>
        <w:t>2</w:t>
      </w:r>
    </w:p>
    <w:p w:rsidR="002F544C" w:rsidRPr="00E07570" w:rsidRDefault="002F544C" w:rsidP="00C04D8E">
      <w:pPr>
        <w:pStyle w:val="SingleTxtG"/>
        <w:ind w:left="1701"/>
        <w:jc w:val="left"/>
        <w:rPr>
          <w:b/>
        </w:rPr>
      </w:pPr>
      <w:r w:rsidRPr="00E07570">
        <w:rPr>
          <w:b/>
        </w:rPr>
        <w:t>Dispositif de communication par réseau mobile</w:t>
      </w:r>
    </w:p>
    <w:p w:rsidR="002F544C" w:rsidRPr="00E07570" w:rsidRDefault="002F544C" w:rsidP="00C04D8E">
      <w:pPr>
        <w:pStyle w:val="SingleTxtG"/>
        <w:ind w:left="2268"/>
        <w:jc w:val="left"/>
        <w:rPr>
          <w:b/>
        </w:rPr>
      </w:pPr>
      <w:r w:rsidRPr="00E07570">
        <w:rPr>
          <w:b/>
        </w:rPr>
        <w:tab/>
        <w:t>Défaillance du branchement électrique ou du module de</w:t>
      </w:r>
      <w:r w:rsidR="0038778E" w:rsidRPr="00E07570">
        <w:rPr>
          <w:b/>
        </w:rPr>
        <w:t> </w:t>
      </w:r>
      <w:r w:rsidRPr="00E07570">
        <w:rPr>
          <w:b/>
        </w:rPr>
        <w:t>communication</w:t>
      </w:r>
      <w:r w:rsidR="005C35E7" w:rsidRPr="00E07570">
        <w:rPr>
          <w:b/>
        </w:rPr>
        <w:t> </w:t>
      </w:r>
      <w:r w:rsidRPr="00E07570">
        <w:rPr>
          <w:b/>
        </w:rPr>
        <w:t>: oui/non</w:t>
      </w:r>
      <w:r w:rsidR="002B43EE" w:rsidRPr="00E07570">
        <w:rPr>
          <w:b/>
          <w:sz w:val="18"/>
          <w:szCs w:val="18"/>
          <w:vertAlign w:val="superscript"/>
        </w:rPr>
        <w:t>2</w:t>
      </w:r>
    </w:p>
    <w:p w:rsidR="002F544C" w:rsidRPr="00E07570" w:rsidRDefault="002F544C" w:rsidP="00C04D8E">
      <w:pPr>
        <w:pStyle w:val="SingleTxtG"/>
        <w:ind w:left="2268"/>
        <w:jc w:val="left"/>
        <w:rPr>
          <w:b/>
        </w:rPr>
      </w:pPr>
      <w:r w:rsidRPr="00E07570">
        <w:rPr>
          <w:b/>
        </w:rPr>
        <w:tab/>
        <w:t>Défaillance interne</w:t>
      </w:r>
      <w:r w:rsidR="005C35E7" w:rsidRPr="00E07570">
        <w:rPr>
          <w:b/>
        </w:rPr>
        <w:t> </w:t>
      </w:r>
      <w:r w:rsidRPr="00E07570">
        <w:rPr>
          <w:b/>
        </w:rPr>
        <w:t>: oui/non</w:t>
      </w:r>
      <w:r w:rsidR="002B43EE" w:rsidRPr="00E07570">
        <w:rPr>
          <w:b/>
          <w:sz w:val="18"/>
          <w:szCs w:val="18"/>
          <w:vertAlign w:val="superscript"/>
        </w:rPr>
        <w:t>2</w:t>
      </w:r>
    </w:p>
    <w:p w:rsidR="002F544C" w:rsidRPr="00E07570" w:rsidRDefault="002F544C" w:rsidP="00C04D8E">
      <w:pPr>
        <w:pStyle w:val="SingleTxtG"/>
        <w:ind w:left="1701"/>
        <w:jc w:val="left"/>
        <w:rPr>
          <w:b/>
        </w:rPr>
      </w:pPr>
      <w:r w:rsidRPr="00E07570">
        <w:rPr>
          <w:b/>
        </w:rPr>
        <w:t>Récepteur GNSS</w:t>
      </w:r>
    </w:p>
    <w:p w:rsidR="002F544C" w:rsidRPr="00E07570" w:rsidRDefault="002F544C" w:rsidP="00C04D8E">
      <w:pPr>
        <w:pStyle w:val="SingleTxtG"/>
        <w:ind w:left="2268"/>
        <w:jc w:val="left"/>
        <w:rPr>
          <w:b/>
        </w:rPr>
      </w:pPr>
      <w:r w:rsidRPr="00E07570">
        <w:rPr>
          <w:b/>
        </w:rPr>
        <w:tab/>
        <w:t>Défaillance du branchement électrique ou du module de</w:t>
      </w:r>
      <w:r w:rsidR="0038778E" w:rsidRPr="00E07570">
        <w:rPr>
          <w:b/>
        </w:rPr>
        <w:t> </w:t>
      </w:r>
      <w:r w:rsidRPr="00E07570">
        <w:rPr>
          <w:b/>
        </w:rPr>
        <w:t>communication</w:t>
      </w:r>
      <w:r w:rsidR="005C35E7" w:rsidRPr="00E07570">
        <w:rPr>
          <w:b/>
        </w:rPr>
        <w:t> </w:t>
      </w:r>
      <w:r w:rsidRPr="00E07570">
        <w:rPr>
          <w:b/>
        </w:rPr>
        <w:t>: oui/non</w:t>
      </w:r>
      <w:r w:rsidR="002B43EE" w:rsidRPr="00E07570">
        <w:rPr>
          <w:b/>
          <w:sz w:val="18"/>
          <w:szCs w:val="18"/>
          <w:vertAlign w:val="superscript"/>
        </w:rPr>
        <w:t>2</w:t>
      </w:r>
    </w:p>
    <w:p w:rsidR="002F544C" w:rsidRPr="00E07570" w:rsidRDefault="002F544C" w:rsidP="00C04D8E">
      <w:pPr>
        <w:pStyle w:val="SingleTxtG"/>
        <w:ind w:left="2268"/>
        <w:jc w:val="left"/>
        <w:rPr>
          <w:b/>
        </w:rPr>
      </w:pPr>
      <w:r w:rsidRPr="00E07570">
        <w:rPr>
          <w:b/>
        </w:rPr>
        <w:tab/>
        <w:t>Défaillance interne: oui/non</w:t>
      </w:r>
      <w:r w:rsidR="002B43EE" w:rsidRPr="00E07570">
        <w:rPr>
          <w:b/>
          <w:sz w:val="18"/>
          <w:szCs w:val="18"/>
          <w:vertAlign w:val="superscript"/>
        </w:rPr>
        <w:t>2</w:t>
      </w:r>
    </w:p>
    <w:p w:rsidR="002F544C" w:rsidRPr="00E07570" w:rsidRDefault="002F544C" w:rsidP="00C04D8E">
      <w:pPr>
        <w:pStyle w:val="SingleTxtG"/>
        <w:ind w:left="1701"/>
        <w:jc w:val="left"/>
        <w:rPr>
          <w:b/>
        </w:rPr>
      </w:pPr>
      <w:r w:rsidRPr="00E07570">
        <w:rPr>
          <w:b/>
        </w:rPr>
        <w:t>Antenne de communication par réseau mobile</w:t>
      </w:r>
      <w:r w:rsidR="0038778E" w:rsidRPr="00E07570">
        <w:rPr>
          <w:b/>
        </w:rPr>
        <w:t> </w:t>
      </w:r>
      <w:r w:rsidRPr="00E07570">
        <w:rPr>
          <w:b/>
        </w:rPr>
        <w:t>: oui/non</w:t>
      </w:r>
      <w:r w:rsidR="002B43EE" w:rsidRPr="00E07570">
        <w:rPr>
          <w:b/>
          <w:sz w:val="18"/>
          <w:szCs w:val="18"/>
          <w:vertAlign w:val="superscript"/>
        </w:rPr>
        <w:t>2</w:t>
      </w:r>
    </w:p>
    <w:p w:rsidR="002F544C" w:rsidRPr="00E07570" w:rsidRDefault="002F544C" w:rsidP="00C04D8E">
      <w:pPr>
        <w:pStyle w:val="SingleTxtG"/>
        <w:ind w:left="1701"/>
        <w:jc w:val="left"/>
        <w:rPr>
          <w:b/>
        </w:rPr>
      </w:pPr>
      <w:r w:rsidRPr="00E07570">
        <w:rPr>
          <w:b/>
        </w:rPr>
        <w:t>Antenne GNSS</w:t>
      </w:r>
      <w:r w:rsidR="005C35E7" w:rsidRPr="00E07570">
        <w:rPr>
          <w:b/>
        </w:rPr>
        <w:t> </w:t>
      </w:r>
      <w:r w:rsidRPr="00E07570">
        <w:rPr>
          <w:b/>
        </w:rPr>
        <w:t>: oui/non</w:t>
      </w:r>
      <w:r w:rsidR="002B43EE" w:rsidRPr="00E07570">
        <w:rPr>
          <w:b/>
          <w:sz w:val="18"/>
          <w:szCs w:val="18"/>
          <w:vertAlign w:val="superscript"/>
        </w:rPr>
        <w:t>2</w:t>
      </w:r>
    </w:p>
    <w:p w:rsidR="002F544C" w:rsidRPr="00E07570" w:rsidRDefault="002F544C" w:rsidP="00C04D8E">
      <w:pPr>
        <w:pStyle w:val="SingleTxtG"/>
        <w:ind w:left="1701"/>
        <w:jc w:val="left"/>
        <w:rPr>
          <w:b/>
        </w:rPr>
      </w:pPr>
      <w:r w:rsidRPr="00E07570">
        <w:rPr>
          <w:b/>
        </w:rPr>
        <w:t>Unité de détection des chocs</w:t>
      </w:r>
      <w:r w:rsidR="005C35E7" w:rsidRPr="00E07570">
        <w:rPr>
          <w:b/>
        </w:rPr>
        <w:t> </w:t>
      </w:r>
      <w:r w:rsidRPr="00E07570">
        <w:rPr>
          <w:b/>
        </w:rPr>
        <w:t>: oui/non</w:t>
      </w:r>
      <w:r w:rsidR="002B43EE" w:rsidRPr="00E07570">
        <w:rPr>
          <w:b/>
          <w:sz w:val="18"/>
          <w:szCs w:val="18"/>
          <w:vertAlign w:val="superscript"/>
        </w:rPr>
        <w:t>2</w:t>
      </w:r>
    </w:p>
    <w:p w:rsidR="002F544C" w:rsidRPr="00E07570" w:rsidRDefault="002F544C" w:rsidP="00C04D8E">
      <w:pPr>
        <w:pStyle w:val="SingleTxtG"/>
        <w:ind w:left="1701"/>
        <w:jc w:val="left"/>
        <w:rPr>
          <w:b/>
        </w:rPr>
      </w:pPr>
      <w:r w:rsidRPr="00E07570">
        <w:rPr>
          <w:b/>
        </w:rPr>
        <w:t>Alimentation électrique de secours</w:t>
      </w:r>
      <w:r w:rsidR="005C35E7" w:rsidRPr="00E07570">
        <w:rPr>
          <w:b/>
        </w:rPr>
        <w:t> </w:t>
      </w:r>
      <w:r w:rsidRPr="00E07570">
        <w:rPr>
          <w:b/>
        </w:rPr>
        <w:t>: oui/non</w:t>
      </w:r>
      <w:r w:rsidR="002B43EE" w:rsidRPr="00E07570">
        <w:rPr>
          <w:b/>
          <w:sz w:val="18"/>
          <w:szCs w:val="18"/>
          <w:vertAlign w:val="superscript"/>
        </w:rPr>
        <w:t>2</w:t>
      </w:r>
    </w:p>
    <w:p w:rsidR="002F544C" w:rsidRPr="00E07570" w:rsidRDefault="002F544C" w:rsidP="00C04D8E">
      <w:pPr>
        <w:pStyle w:val="SingleTxtG"/>
        <w:ind w:left="1701"/>
        <w:jc w:val="left"/>
        <w:rPr>
          <w:b/>
        </w:rPr>
      </w:pPr>
      <w:r w:rsidRPr="00E07570">
        <w:rPr>
          <w:b/>
        </w:rPr>
        <w:t>Module d</w:t>
      </w:r>
      <w:r w:rsidR="00145E4B">
        <w:rPr>
          <w:b/>
        </w:rPr>
        <w:t>’</w:t>
      </w:r>
      <w:r w:rsidRPr="00E07570">
        <w:rPr>
          <w:b/>
        </w:rPr>
        <w:t>identification d</w:t>
      </w:r>
      <w:r w:rsidR="00145E4B">
        <w:rPr>
          <w:b/>
        </w:rPr>
        <w:t>’</w:t>
      </w:r>
      <w:r w:rsidRPr="00E07570">
        <w:rPr>
          <w:b/>
        </w:rPr>
        <w:t>abonné (carte SIM)</w:t>
      </w:r>
      <w:r w:rsidR="005C35E7" w:rsidRPr="00E07570">
        <w:rPr>
          <w:b/>
        </w:rPr>
        <w:t> </w:t>
      </w:r>
      <w:r w:rsidRPr="00E07570">
        <w:rPr>
          <w:b/>
        </w:rPr>
        <w:t>: oui/ non</w:t>
      </w:r>
      <w:r w:rsidR="002B43EE" w:rsidRPr="00E07570">
        <w:rPr>
          <w:b/>
          <w:sz w:val="18"/>
          <w:szCs w:val="18"/>
          <w:vertAlign w:val="superscript"/>
        </w:rPr>
        <w:t>2</w:t>
      </w:r>
    </w:p>
    <w:p w:rsidR="002F544C" w:rsidRPr="00E07570" w:rsidRDefault="002F544C" w:rsidP="00C04D8E">
      <w:pPr>
        <w:pStyle w:val="SingleTxtG"/>
        <w:ind w:left="1701"/>
        <w:jc w:val="left"/>
        <w:rPr>
          <w:b/>
        </w:rPr>
      </w:pPr>
      <w:r w:rsidRPr="00E07570">
        <w:rPr>
          <w:b/>
        </w:rPr>
        <w:t>[Paragraphe</w:t>
      </w:r>
      <w:r w:rsidR="005C35E7" w:rsidRPr="00E07570">
        <w:rPr>
          <w:b/>
        </w:rPr>
        <w:t> </w:t>
      </w:r>
      <w:r w:rsidRPr="00E07570">
        <w:rPr>
          <w:b/>
        </w:rPr>
        <w:t>7.6, Alimentation électrique</w:t>
      </w:r>
      <w:r w:rsidR="005C35E7" w:rsidRPr="00E07570">
        <w:rPr>
          <w:b/>
        </w:rPr>
        <w:t> </w:t>
      </w:r>
      <w:r w:rsidRPr="00E07570">
        <w:rPr>
          <w:b/>
        </w:rPr>
        <w:t>: oui/non</w:t>
      </w:r>
      <w:r w:rsidR="002B43EE" w:rsidRPr="00E07570">
        <w:rPr>
          <w:b/>
          <w:sz w:val="18"/>
          <w:szCs w:val="18"/>
          <w:vertAlign w:val="superscript"/>
        </w:rPr>
        <w:t>2</w:t>
      </w:r>
      <w:r w:rsidRPr="00E07570">
        <w:rPr>
          <w:b/>
        </w:rPr>
        <w:t>]</w:t>
      </w:r>
    </w:p>
    <w:p w:rsidR="002F544C" w:rsidRPr="00E07570" w:rsidRDefault="002F544C" w:rsidP="00C04D8E">
      <w:pPr>
        <w:pStyle w:val="SingleTxtG"/>
        <w:ind w:left="1701"/>
        <w:jc w:val="left"/>
        <w:rPr>
          <w:b/>
        </w:rPr>
      </w:pPr>
      <w:r w:rsidRPr="00E07570">
        <w:rPr>
          <w:b/>
        </w:rPr>
        <w:t>Paragraphe</w:t>
      </w:r>
      <w:r w:rsidR="005C35E7" w:rsidRPr="00E07570">
        <w:rPr>
          <w:b/>
        </w:rPr>
        <w:t> </w:t>
      </w:r>
      <w:r w:rsidRPr="00E07570">
        <w:rPr>
          <w:b/>
        </w:rPr>
        <w:t>7.7, Résistance au choc</w:t>
      </w:r>
      <w:r w:rsidR="005C35E7" w:rsidRPr="00E07570">
        <w:rPr>
          <w:b/>
        </w:rPr>
        <w:t> </w:t>
      </w:r>
      <w:r w:rsidRPr="00E07570">
        <w:rPr>
          <w:b/>
        </w:rPr>
        <w:t>: oui/non</w:t>
      </w:r>
      <w:r w:rsidR="002B43EE" w:rsidRPr="00E07570">
        <w:rPr>
          <w:b/>
          <w:sz w:val="18"/>
          <w:szCs w:val="18"/>
          <w:vertAlign w:val="superscript"/>
        </w:rPr>
        <w:t>2</w:t>
      </w:r>
    </w:p>
    <w:p w:rsidR="002F544C" w:rsidRPr="00E07570" w:rsidRDefault="002F544C" w:rsidP="00C04D8E">
      <w:pPr>
        <w:pStyle w:val="SingleTxtG"/>
        <w:ind w:left="1701"/>
        <w:jc w:val="left"/>
        <w:rPr>
          <w:b/>
        </w:rPr>
      </w:pPr>
      <w:r w:rsidRPr="00E07570">
        <w:rPr>
          <w:b/>
        </w:rPr>
        <w:t>Récepteur</w:t>
      </w:r>
      <w:r w:rsidR="005C35E7" w:rsidRPr="00E07570">
        <w:rPr>
          <w:b/>
        </w:rPr>
        <w:t xml:space="preserve"> </w:t>
      </w:r>
      <w:r w:rsidRPr="00E07570">
        <w:rPr>
          <w:b/>
        </w:rPr>
        <w:t>GNSS</w:t>
      </w:r>
      <w:r w:rsidR="005C35E7" w:rsidRPr="00E07570">
        <w:rPr>
          <w:b/>
        </w:rPr>
        <w:t> </w:t>
      </w:r>
      <w:r w:rsidRPr="00E07570">
        <w:rPr>
          <w:b/>
        </w:rPr>
        <w:t>: oui/ non</w:t>
      </w:r>
      <w:r w:rsidRPr="00E07570">
        <w:rPr>
          <w:b/>
          <w:vertAlign w:val="superscript"/>
        </w:rPr>
        <w:t>2</w:t>
      </w:r>
    </w:p>
    <w:p w:rsidR="00565AA2" w:rsidRPr="00E07570" w:rsidRDefault="002F544C" w:rsidP="00C04D8E">
      <w:pPr>
        <w:pStyle w:val="SingleTxtG"/>
        <w:ind w:left="1701"/>
        <w:jc w:val="left"/>
        <w:rPr>
          <w:b/>
        </w:rPr>
      </w:pPr>
      <w:r w:rsidRPr="00E07570">
        <w:rPr>
          <w:b/>
        </w:rPr>
        <w:t>Antenne GNSS</w:t>
      </w:r>
      <w:r w:rsidR="005C35E7" w:rsidRPr="00E07570">
        <w:rPr>
          <w:b/>
        </w:rPr>
        <w:t> </w:t>
      </w:r>
      <w:r w:rsidRPr="00E07570">
        <w:rPr>
          <w:b/>
        </w:rPr>
        <w:t>: oui/non</w:t>
      </w:r>
      <w:r w:rsidRPr="00E07570">
        <w:rPr>
          <w:b/>
          <w:vertAlign w:val="superscript"/>
        </w:rPr>
        <w:t>2</w:t>
      </w:r>
    </w:p>
    <w:p w:rsidR="00565AA2" w:rsidRPr="00E07570" w:rsidRDefault="00565AA2" w:rsidP="00C04D8E">
      <w:pPr>
        <w:pStyle w:val="SingleTxtG"/>
        <w:tabs>
          <w:tab w:val="right" w:leader="dot" w:pos="8505"/>
        </w:tabs>
        <w:kinsoku/>
        <w:overflowPunct/>
        <w:autoSpaceDE/>
        <w:autoSpaceDN/>
        <w:adjustRightInd/>
        <w:snapToGrid/>
        <w:ind w:left="1701" w:hanging="567"/>
        <w:jc w:val="left"/>
        <w:rPr>
          <w:b/>
        </w:rPr>
      </w:pPr>
      <w:r w:rsidRPr="00E07570">
        <w:rPr>
          <w:b/>
        </w:rPr>
        <w:t>11.</w:t>
      </w:r>
      <w:r w:rsidRPr="00E07570">
        <w:rPr>
          <w:b/>
        </w:rPr>
        <w:tab/>
      </w:r>
      <w:r w:rsidR="00C04D8E" w:rsidRPr="00E07570">
        <w:rPr>
          <w:b/>
        </w:rPr>
        <w:t>Emplacement de la marque d</w:t>
      </w:r>
      <w:r w:rsidR="00145E4B">
        <w:rPr>
          <w:b/>
        </w:rPr>
        <w:t>’</w:t>
      </w:r>
      <w:r w:rsidR="00C04D8E" w:rsidRPr="00E07570">
        <w:rPr>
          <w:b/>
        </w:rPr>
        <w:t>homologation :</w:t>
      </w:r>
      <w:r w:rsidR="00B36BEF" w:rsidRPr="00E07570">
        <w:rPr>
          <w:b/>
          <w:sz w:val="18"/>
          <w:szCs w:val="18"/>
        </w:rPr>
        <w:tab/>
      </w:r>
    </w:p>
    <w:p w:rsidR="00565AA2" w:rsidRPr="00E07570" w:rsidRDefault="00565AA2" w:rsidP="00C04D8E">
      <w:pPr>
        <w:pStyle w:val="SingleTxtG"/>
        <w:tabs>
          <w:tab w:val="right" w:leader="dot" w:pos="8505"/>
        </w:tabs>
        <w:kinsoku/>
        <w:overflowPunct/>
        <w:autoSpaceDE/>
        <w:autoSpaceDN/>
        <w:adjustRightInd/>
        <w:snapToGrid/>
        <w:ind w:left="1701" w:hanging="567"/>
        <w:jc w:val="left"/>
        <w:rPr>
          <w:b/>
        </w:rPr>
      </w:pPr>
      <w:r w:rsidRPr="00E07570">
        <w:rPr>
          <w:b/>
        </w:rPr>
        <w:t>12.</w:t>
      </w:r>
      <w:r w:rsidRPr="00E07570">
        <w:rPr>
          <w:b/>
        </w:rPr>
        <w:tab/>
      </w:r>
      <w:r w:rsidR="00C04D8E" w:rsidRPr="00E07570">
        <w:rPr>
          <w:b/>
        </w:rPr>
        <w:t>Motif(s) de l</w:t>
      </w:r>
      <w:r w:rsidR="00145E4B">
        <w:rPr>
          <w:b/>
        </w:rPr>
        <w:t>’</w:t>
      </w:r>
      <w:r w:rsidR="00C04D8E" w:rsidRPr="00E07570">
        <w:rPr>
          <w:b/>
        </w:rPr>
        <w:t>extension d</w:t>
      </w:r>
      <w:r w:rsidR="00145E4B">
        <w:rPr>
          <w:b/>
        </w:rPr>
        <w:t>’</w:t>
      </w:r>
      <w:r w:rsidR="00C04D8E" w:rsidRPr="00E07570">
        <w:rPr>
          <w:b/>
        </w:rPr>
        <w:t>homologation (le cas échéant) :</w:t>
      </w:r>
      <w:r w:rsidR="00C04D8E" w:rsidRPr="00E07570">
        <w:rPr>
          <w:b/>
          <w:sz w:val="18"/>
          <w:szCs w:val="18"/>
        </w:rPr>
        <w:tab/>
      </w:r>
    </w:p>
    <w:p w:rsidR="00565AA2" w:rsidRPr="00E07570" w:rsidRDefault="00565AA2" w:rsidP="00C04D8E">
      <w:pPr>
        <w:pStyle w:val="SingleTxtG"/>
        <w:tabs>
          <w:tab w:val="right" w:leader="dot" w:pos="8505"/>
        </w:tabs>
        <w:kinsoku/>
        <w:overflowPunct/>
        <w:autoSpaceDE/>
        <w:autoSpaceDN/>
        <w:adjustRightInd/>
        <w:snapToGrid/>
        <w:ind w:left="1701" w:hanging="567"/>
        <w:jc w:val="left"/>
        <w:rPr>
          <w:b/>
        </w:rPr>
      </w:pPr>
      <w:r w:rsidRPr="00E07570">
        <w:rPr>
          <w:b/>
        </w:rPr>
        <w:t>13.</w:t>
      </w:r>
      <w:r w:rsidRPr="00E07570">
        <w:rPr>
          <w:b/>
        </w:rPr>
        <w:tab/>
      </w:r>
      <w:r w:rsidR="00C04D8E" w:rsidRPr="00E07570">
        <w:rPr>
          <w:b/>
        </w:rPr>
        <w:t>Homologation accordée/étendue/refusée/retirée</w:t>
      </w:r>
      <w:r w:rsidR="00C04D8E" w:rsidRPr="00E07570">
        <w:rPr>
          <w:b/>
          <w:sz w:val="18"/>
          <w:szCs w:val="18"/>
          <w:vertAlign w:val="superscript"/>
        </w:rPr>
        <w:t>2</w:t>
      </w:r>
      <w:r w:rsidR="00C04D8E" w:rsidRPr="00E07570">
        <w:rPr>
          <w:b/>
        </w:rPr>
        <w:t> :</w:t>
      </w:r>
      <w:r w:rsidRPr="00E07570">
        <w:rPr>
          <w:b/>
        </w:rPr>
        <w:tab/>
      </w:r>
    </w:p>
    <w:p w:rsidR="00565AA2" w:rsidRPr="00E07570" w:rsidRDefault="00565AA2" w:rsidP="00C04D8E">
      <w:pPr>
        <w:pStyle w:val="SingleTxtG"/>
        <w:tabs>
          <w:tab w:val="right" w:leader="dot" w:pos="8505"/>
        </w:tabs>
        <w:kinsoku/>
        <w:overflowPunct/>
        <w:autoSpaceDE/>
        <w:autoSpaceDN/>
        <w:adjustRightInd/>
        <w:snapToGrid/>
        <w:ind w:left="1701" w:hanging="567"/>
        <w:jc w:val="left"/>
        <w:rPr>
          <w:b/>
        </w:rPr>
      </w:pPr>
      <w:r w:rsidRPr="00E07570">
        <w:rPr>
          <w:b/>
        </w:rPr>
        <w:t>14.</w:t>
      </w:r>
      <w:r w:rsidRPr="00E07570">
        <w:rPr>
          <w:b/>
        </w:rPr>
        <w:tab/>
      </w:r>
      <w:r w:rsidR="00C04D8E" w:rsidRPr="00E07570">
        <w:rPr>
          <w:b/>
        </w:rPr>
        <w:t>Lieu</w:t>
      </w:r>
      <w:r w:rsidRPr="00E07570">
        <w:rPr>
          <w:b/>
        </w:rPr>
        <w:t> :</w:t>
      </w:r>
      <w:r w:rsidRPr="00E07570">
        <w:rPr>
          <w:b/>
        </w:rPr>
        <w:tab/>
      </w:r>
    </w:p>
    <w:p w:rsidR="00565AA2" w:rsidRPr="00E07570" w:rsidRDefault="00565AA2" w:rsidP="00C04D8E">
      <w:pPr>
        <w:pStyle w:val="SingleTxtG"/>
        <w:tabs>
          <w:tab w:val="right" w:leader="dot" w:pos="8505"/>
        </w:tabs>
        <w:kinsoku/>
        <w:overflowPunct/>
        <w:autoSpaceDE/>
        <w:autoSpaceDN/>
        <w:adjustRightInd/>
        <w:snapToGrid/>
        <w:ind w:left="1701" w:hanging="567"/>
        <w:jc w:val="left"/>
        <w:rPr>
          <w:b/>
        </w:rPr>
      </w:pPr>
      <w:r w:rsidRPr="00E07570">
        <w:rPr>
          <w:b/>
        </w:rPr>
        <w:t>15.</w:t>
      </w:r>
      <w:r w:rsidRPr="00E07570">
        <w:rPr>
          <w:b/>
        </w:rPr>
        <w:tab/>
      </w:r>
      <w:r w:rsidR="00C04D8E" w:rsidRPr="00E07570">
        <w:rPr>
          <w:b/>
        </w:rPr>
        <w:t>D</w:t>
      </w:r>
      <w:r w:rsidRPr="00E07570">
        <w:rPr>
          <w:b/>
        </w:rPr>
        <w:t>ate :</w:t>
      </w:r>
      <w:r w:rsidRPr="00E07570">
        <w:rPr>
          <w:b/>
        </w:rPr>
        <w:tab/>
      </w:r>
    </w:p>
    <w:p w:rsidR="00565AA2" w:rsidRPr="00E07570" w:rsidRDefault="00565AA2" w:rsidP="00C04D8E">
      <w:pPr>
        <w:pStyle w:val="SingleTxtG"/>
        <w:tabs>
          <w:tab w:val="right" w:leader="dot" w:pos="8505"/>
        </w:tabs>
        <w:kinsoku/>
        <w:overflowPunct/>
        <w:autoSpaceDE/>
        <w:autoSpaceDN/>
        <w:adjustRightInd/>
        <w:snapToGrid/>
        <w:ind w:left="1701" w:hanging="567"/>
        <w:jc w:val="left"/>
        <w:rPr>
          <w:b/>
        </w:rPr>
      </w:pPr>
      <w:r w:rsidRPr="00E07570">
        <w:rPr>
          <w:b/>
        </w:rPr>
        <w:t>1</w:t>
      </w:r>
      <w:r w:rsidR="00C04D8E" w:rsidRPr="00E07570">
        <w:rPr>
          <w:b/>
        </w:rPr>
        <w:t>6</w:t>
      </w:r>
      <w:r w:rsidRPr="00E07570">
        <w:rPr>
          <w:b/>
        </w:rPr>
        <w:t>.</w:t>
      </w:r>
      <w:r w:rsidRPr="00E07570">
        <w:rPr>
          <w:b/>
        </w:rPr>
        <w:tab/>
        <w:t>Signature :</w:t>
      </w:r>
      <w:r w:rsidRPr="00E07570">
        <w:rPr>
          <w:b/>
        </w:rPr>
        <w:tab/>
      </w:r>
    </w:p>
    <w:p w:rsidR="00FF331C" w:rsidRPr="00E07570" w:rsidRDefault="00565AA2" w:rsidP="00C04D8E">
      <w:pPr>
        <w:pStyle w:val="SingleTxtG"/>
        <w:ind w:left="1701" w:hanging="567"/>
        <w:jc w:val="left"/>
      </w:pPr>
      <w:r w:rsidRPr="00E07570">
        <w:rPr>
          <w:b/>
        </w:rPr>
        <w:t>1</w:t>
      </w:r>
      <w:r w:rsidR="00C04D8E" w:rsidRPr="00E07570">
        <w:rPr>
          <w:b/>
        </w:rPr>
        <w:t>7</w:t>
      </w:r>
      <w:r w:rsidRPr="00E07570">
        <w:rPr>
          <w:b/>
        </w:rPr>
        <w:t>.</w:t>
      </w:r>
      <w:r w:rsidRPr="00E07570">
        <w:rPr>
          <w:b/>
        </w:rPr>
        <w:tab/>
        <w:t>La liste des documents déposés auprès de l</w:t>
      </w:r>
      <w:r w:rsidR="00145E4B">
        <w:rPr>
          <w:b/>
        </w:rPr>
        <w:t>’</w:t>
      </w:r>
      <w:r w:rsidRPr="00E07570">
        <w:rPr>
          <w:b/>
        </w:rPr>
        <w:t>autorité d</w:t>
      </w:r>
      <w:r w:rsidR="00145E4B">
        <w:rPr>
          <w:b/>
        </w:rPr>
        <w:t>’</w:t>
      </w:r>
      <w:r w:rsidRPr="00E07570">
        <w:rPr>
          <w:b/>
        </w:rPr>
        <w:t>homologation de type ayant accordé l</w:t>
      </w:r>
      <w:r w:rsidR="00145E4B">
        <w:rPr>
          <w:b/>
        </w:rPr>
        <w:t>’</w:t>
      </w:r>
      <w:r w:rsidRPr="00E07570">
        <w:rPr>
          <w:b/>
        </w:rPr>
        <w:t>homologation est annexée à la présente communication et peut être obtenue sur demande.</w:t>
      </w:r>
    </w:p>
    <w:p w:rsidR="00C04D8E" w:rsidRPr="00E07570" w:rsidRDefault="00C04D8E" w:rsidP="00C04D8E">
      <w:pPr>
        <w:pStyle w:val="SingleTxtG"/>
        <w:ind w:left="1701" w:hanging="567"/>
        <w:jc w:val="left"/>
        <w:sectPr w:rsidR="00C04D8E" w:rsidRPr="00E07570" w:rsidSect="0038209A">
          <w:footnotePr>
            <w:numRestart w:val="eachSect"/>
          </w:footnotePr>
          <w:endnotePr>
            <w:numFmt w:val="decimal"/>
          </w:endnotePr>
          <w:pgSz w:w="11906" w:h="16838" w:code="9"/>
          <w:pgMar w:top="1417" w:right="1134" w:bottom="1134" w:left="1134" w:header="850" w:footer="567" w:gutter="0"/>
          <w:cols w:space="708"/>
          <w:docGrid w:linePitch="360"/>
        </w:sectPr>
      </w:pPr>
    </w:p>
    <w:p w:rsidR="00C71BB5" w:rsidRPr="00E07570" w:rsidRDefault="00C71BB5" w:rsidP="00C71BB5">
      <w:pPr>
        <w:pStyle w:val="HChG"/>
      </w:pPr>
      <w:r w:rsidRPr="00E07570">
        <w:t>Annexe 2</w:t>
      </w:r>
    </w:p>
    <w:p w:rsidR="00C71BB5" w:rsidRPr="00E07570" w:rsidRDefault="00C71BB5" w:rsidP="00C71BB5">
      <w:pPr>
        <w:pStyle w:val="HChG"/>
      </w:pPr>
      <w:r w:rsidRPr="00E07570">
        <w:tab/>
      </w:r>
      <w:r w:rsidRPr="00E07570">
        <w:tab/>
        <w:t>Communication</w:t>
      </w:r>
    </w:p>
    <w:p w:rsidR="00C71BB5" w:rsidRPr="00E07570" w:rsidRDefault="00C71BB5" w:rsidP="00C71BB5">
      <w:pPr>
        <w:pStyle w:val="SingleTxtG"/>
      </w:pPr>
      <w:r w:rsidRPr="00E07570">
        <w:t>(Format maximal : A4 (210 x 297 mm))</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2"/>
        <w:gridCol w:w="3969"/>
      </w:tblGrid>
      <w:tr w:rsidR="00C71BB5" w:rsidRPr="00E07570" w:rsidTr="0012036F">
        <w:tc>
          <w:tcPr>
            <w:tcW w:w="3402" w:type="dxa"/>
          </w:tcPr>
          <w:p w:rsidR="00C71BB5" w:rsidRPr="00E07570" w:rsidRDefault="00C71BB5" w:rsidP="0012036F">
            <w:pPr>
              <w:pStyle w:val="SingleTxtG"/>
              <w:spacing w:after="0"/>
              <w:ind w:left="0"/>
            </w:pPr>
            <w:r w:rsidRPr="00E07570">
              <w:object w:dxaOrig="1684" w:dyaOrig="1675">
                <v:shape id="_x0000_i1026" type="#_x0000_t75" style="width:84pt;height:84pt" o:ole="">
                  <v:imagedata r:id="rId15" o:title=""/>
                </v:shape>
                <o:OLEObject Type="Embed" ProgID="Word.Picture.8" ShapeID="_x0000_i1026" DrawAspect="Content" ObjectID="_1551078324" r:id="rId17"/>
              </w:object>
            </w:r>
            <w:r w:rsidRPr="009F1CF1">
              <w:rPr>
                <w:rStyle w:val="FootnoteReference"/>
                <w:color w:val="FFFFFF" w:themeColor="background1"/>
              </w:rPr>
              <w:footnoteReference w:id="12"/>
            </w:r>
          </w:p>
        </w:tc>
        <w:tc>
          <w:tcPr>
            <w:tcW w:w="3969" w:type="dxa"/>
          </w:tcPr>
          <w:p w:rsidR="00C71BB5" w:rsidRPr="00E07570" w:rsidRDefault="00C71BB5" w:rsidP="0012036F">
            <w:pPr>
              <w:ind w:left="1701" w:hanging="1701"/>
            </w:pPr>
            <w:r w:rsidRPr="00E07570">
              <w:t>Émanant de :</w:t>
            </w:r>
            <w:r w:rsidRPr="00E07570">
              <w:tab/>
              <w:t>Nom de l</w:t>
            </w:r>
            <w:r w:rsidR="00145E4B">
              <w:t>’</w:t>
            </w:r>
            <w:r w:rsidRPr="00E07570">
              <w:t>administration :</w:t>
            </w:r>
          </w:p>
          <w:p w:rsidR="00C71BB5" w:rsidRPr="00E07570" w:rsidRDefault="00C71BB5" w:rsidP="0012036F">
            <w:pPr>
              <w:pStyle w:val="SingleTxtG"/>
              <w:tabs>
                <w:tab w:val="right" w:leader="dot" w:pos="3686"/>
              </w:tabs>
              <w:spacing w:after="0"/>
              <w:ind w:left="1701" w:right="0"/>
            </w:pPr>
            <w:r w:rsidRPr="00E07570">
              <w:tab/>
            </w:r>
          </w:p>
          <w:p w:rsidR="00C71BB5" w:rsidRPr="00E07570" w:rsidRDefault="00C71BB5" w:rsidP="0012036F">
            <w:pPr>
              <w:pStyle w:val="SingleTxtG"/>
              <w:tabs>
                <w:tab w:val="right" w:leader="dot" w:pos="3686"/>
              </w:tabs>
              <w:spacing w:after="0"/>
              <w:ind w:left="1701" w:right="0"/>
            </w:pPr>
            <w:r w:rsidRPr="00E07570">
              <w:tab/>
            </w:r>
          </w:p>
          <w:p w:rsidR="00C71BB5" w:rsidRPr="00E07570" w:rsidRDefault="00C71BB5" w:rsidP="0012036F">
            <w:pPr>
              <w:pStyle w:val="SingleTxtG"/>
              <w:tabs>
                <w:tab w:val="right" w:leader="dot" w:pos="3686"/>
              </w:tabs>
              <w:spacing w:after="0"/>
              <w:ind w:left="1701" w:right="0"/>
            </w:pPr>
            <w:r w:rsidRPr="00E07570">
              <w:tab/>
            </w:r>
          </w:p>
        </w:tc>
      </w:tr>
    </w:tbl>
    <w:p w:rsidR="00C71BB5" w:rsidRPr="00E07570" w:rsidRDefault="00C71BB5" w:rsidP="00C71BB5">
      <w:pPr>
        <w:pStyle w:val="SingleTxtG"/>
        <w:kinsoku/>
        <w:overflowPunct/>
        <w:autoSpaceDE/>
        <w:autoSpaceDN/>
        <w:adjustRightInd/>
        <w:snapToGrid/>
        <w:spacing w:before="120"/>
        <w:ind w:left="2552" w:hanging="1418"/>
        <w:jc w:val="left"/>
      </w:pPr>
      <w:proofErr w:type="gramStart"/>
      <w:r w:rsidRPr="00E07570">
        <w:t>concernant</w:t>
      </w:r>
      <w:proofErr w:type="gramEnd"/>
      <w:r w:rsidRPr="00E07570">
        <w:rPr>
          <w:rStyle w:val="FootnoteReference"/>
        </w:rPr>
        <w:footnoteReference w:id="13"/>
      </w:r>
      <w:r w:rsidRPr="00E07570">
        <w:t> :</w:t>
      </w:r>
      <w:r w:rsidRPr="00E07570">
        <w:tab/>
        <w:t>Délivrance d</w:t>
      </w:r>
      <w:r w:rsidR="00145E4B">
        <w:t>’</w:t>
      </w:r>
      <w:r w:rsidRPr="00E07570">
        <w:t>une homologation</w:t>
      </w:r>
      <w:r w:rsidRPr="00E07570">
        <w:br/>
        <w:t>Extension d</w:t>
      </w:r>
      <w:r w:rsidR="00145E4B">
        <w:t>’</w:t>
      </w:r>
      <w:r w:rsidRPr="00E07570">
        <w:t>homologation</w:t>
      </w:r>
      <w:r w:rsidRPr="00E07570">
        <w:br/>
        <w:t>Refus d</w:t>
      </w:r>
      <w:r w:rsidR="00145E4B">
        <w:t>’</w:t>
      </w:r>
      <w:r w:rsidRPr="00E07570">
        <w:t>homologation</w:t>
      </w:r>
      <w:r w:rsidRPr="00E07570">
        <w:br/>
        <w:t>Retrait d</w:t>
      </w:r>
      <w:r w:rsidR="00145E4B">
        <w:t>’</w:t>
      </w:r>
      <w:r w:rsidRPr="00E07570">
        <w:t>homologation</w:t>
      </w:r>
      <w:r w:rsidRPr="00E07570">
        <w:br/>
        <w:t>Arrêt définitif de la production</w:t>
      </w:r>
    </w:p>
    <w:p w:rsidR="00C71BB5" w:rsidRPr="00E07570" w:rsidRDefault="00C71BB5" w:rsidP="00C71BB5">
      <w:pPr>
        <w:pStyle w:val="SingleTxtG"/>
      </w:pPr>
      <w:proofErr w:type="gramStart"/>
      <w:r w:rsidRPr="00E07570">
        <w:t>d</w:t>
      </w:r>
      <w:r w:rsidR="00145E4B">
        <w:t>’</w:t>
      </w:r>
      <w:r w:rsidRPr="00E07570">
        <w:t>un</w:t>
      </w:r>
      <w:proofErr w:type="gramEnd"/>
      <w:r w:rsidRPr="00E07570">
        <w:t xml:space="preserve"> type d</w:t>
      </w:r>
      <w:r w:rsidR="00145E4B">
        <w:t>’</w:t>
      </w:r>
      <w:r w:rsidRPr="00E07570">
        <w:t>AECD destiné à être installé sur les véhicules des catégories M</w:t>
      </w:r>
      <w:r w:rsidRPr="00E07570">
        <w:rPr>
          <w:vertAlign w:val="subscript"/>
        </w:rPr>
        <w:t>1</w:t>
      </w:r>
      <w:r w:rsidRPr="00E07570">
        <w:t xml:space="preserve"> et N</w:t>
      </w:r>
      <w:r w:rsidRPr="00E07570">
        <w:rPr>
          <w:vertAlign w:val="subscript"/>
        </w:rPr>
        <w:t>1</w:t>
      </w:r>
      <w:r w:rsidRPr="00E07570">
        <w:t>, en application de la partie </w:t>
      </w:r>
      <w:proofErr w:type="spellStart"/>
      <w:r w:rsidR="00A22689" w:rsidRPr="00E07570">
        <w:rPr>
          <w:b/>
        </w:rPr>
        <w:t>Ib</w:t>
      </w:r>
      <w:proofErr w:type="spellEnd"/>
      <w:r w:rsidRPr="00E07570">
        <w:t xml:space="preserve"> du Règlement </w:t>
      </w:r>
      <w:r w:rsidRPr="00E07570">
        <w:rPr>
          <w:rFonts w:eastAsia="MS Mincho"/>
        </w:rPr>
        <w:t>n</w:t>
      </w:r>
      <w:r w:rsidRPr="00E07570">
        <w:rPr>
          <w:rFonts w:eastAsia="MS Mincho"/>
          <w:vertAlign w:val="superscript"/>
        </w:rPr>
        <w:t>o</w:t>
      </w:r>
      <w:r w:rsidRPr="00E07570">
        <w:t> XXX.</w:t>
      </w:r>
    </w:p>
    <w:p w:rsidR="00C71BB5" w:rsidRPr="00E07570" w:rsidRDefault="00C71BB5" w:rsidP="00C71BB5">
      <w:pPr>
        <w:pStyle w:val="SingleTxtG"/>
        <w:tabs>
          <w:tab w:val="right" w:leader="dot" w:pos="4253"/>
          <w:tab w:val="left" w:pos="4536"/>
          <w:tab w:val="right" w:leader="dot" w:pos="8505"/>
        </w:tabs>
        <w:jc w:val="left"/>
      </w:pPr>
      <w:r w:rsidRPr="00E07570">
        <w:t>N</w:t>
      </w:r>
      <w:r w:rsidRPr="00E07570">
        <w:rPr>
          <w:vertAlign w:val="superscript"/>
        </w:rPr>
        <w:t>o</w:t>
      </w:r>
      <w:r w:rsidRPr="00E07570">
        <w:t xml:space="preserve"> d</w:t>
      </w:r>
      <w:r w:rsidR="00145E4B">
        <w:t>’</w:t>
      </w:r>
      <w:r w:rsidRPr="00E07570">
        <w:t>homologation</w:t>
      </w:r>
      <w:r w:rsidRPr="00E07570">
        <w:tab/>
      </w:r>
      <w:r w:rsidRPr="00E07570">
        <w:tab/>
        <w:t>N</w:t>
      </w:r>
      <w:r w:rsidRPr="00E07570">
        <w:rPr>
          <w:vertAlign w:val="superscript"/>
        </w:rPr>
        <w:t>o</w:t>
      </w:r>
      <w:r w:rsidRPr="00E07570">
        <w:t xml:space="preserve"> d</w:t>
      </w:r>
      <w:r w:rsidR="00145E4B">
        <w:t>’</w:t>
      </w:r>
      <w:r w:rsidRPr="00E07570">
        <w:t>extension</w:t>
      </w:r>
      <w:r w:rsidRPr="00E07570">
        <w:tab/>
      </w:r>
    </w:p>
    <w:p w:rsidR="00C71BB5" w:rsidRPr="00E07570" w:rsidRDefault="00C71BB5" w:rsidP="00586673">
      <w:pPr>
        <w:pStyle w:val="SingleTxtG"/>
        <w:tabs>
          <w:tab w:val="right" w:leader="dot" w:pos="8505"/>
        </w:tabs>
        <w:kinsoku/>
        <w:overflowPunct/>
        <w:autoSpaceDE/>
        <w:autoSpaceDN/>
        <w:adjustRightInd/>
        <w:snapToGrid/>
        <w:ind w:left="1701" w:hanging="567"/>
        <w:jc w:val="left"/>
      </w:pPr>
      <w:r w:rsidRPr="00E07570">
        <w:t>1.</w:t>
      </w:r>
      <w:r w:rsidRPr="00E07570">
        <w:tab/>
        <w:t>Marque de fabrique ou de commerce du dispositif :</w:t>
      </w:r>
      <w:r w:rsidRPr="00E07570">
        <w:tab/>
      </w:r>
    </w:p>
    <w:p w:rsidR="00C71BB5" w:rsidRPr="00E07570" w:rsidRDefault="00C71BB5" w:rsidP="00586673">
      <w:pPr>
        <w:pStyle w:val="SingleTxtG"/>
        <w:tabs>
          <w:tab w:val="right" w:leader="dot" w:pos="8505"/>
        </w:tabs>
        <w:kinsoku/>
        <w:overflowPunct/>
        <w:autoSpaceDE/>
        <w:autoSpaceDN/>
        <w:adjustRightInd/>
        <w:snapToGrid/>
        <w:ind w:left="1701" w:hanging="567"/>
        <w:jc w:val="left"/>
      </w:pPr>
      <w:r w:rsidRPr="00E07570">
        <w:t>2.</w:t>
      </w:r>
      <w:r w:rsidRPr="00E07570">
        <w:tab/>
        <w:t>Non du constructeur pour le type de dispositif :</w:t>
      </w:r>
      <w:r w:rsidRPr="00E07570">
        <w:tab/>
      </w:r>
    </w:p>
    <w:p w:rsidR="00C71BB5" w:rsidRPr="00E07570" w:rsidRDefault="00C71BB5" w:rsidP="00586673">
      <w:pPr>
        <w:pStyle w:val="SingleTxtG"/>
        <w:tabs>
          <w:tab w:val="right" w:leader="dot" w:pos="8505"/>
        </w:tabs>
        <w:kinsoku/>
        <w:overflowPunct/>
        <w:autoSpaceDE/>
        <w:autoSpaceDN/>
        <w:adjustRightInd/>
        <w:snapToGrid/>
        <w:ind w:left="1701" w:hanging="567"/>
        <w:jc w:val="left"/>
      </w:pPr>
      <w:r w:rsidRPr="00E07570">
        <w:t>3.</w:t>
      </w:r>
      <w:r w:rsidRPr="00E07570">
        <w:tab/>
        <w:t>Nom et adresse du constructeur :</w:t>
      </w:r>
      <w:r w:rsidRPr="00E07570">
        <w:tab/>
      </w:r>
      <w:r w:rsidRPr="00E07570">
        <w:tab/>
      </w:r>
    </w:p>
    <w:p w:rsidR="00C71BB5" w:rsidRPr="00E07570" w:rsidRDefault="00C71BB5" w:rsidP="00586673">
      <w:pPr>
        <w:pStyle w:val="SingleTxtG"/>
        <w:tabs>
          <w:tab w:val="right" w:leader="dot" w:pos="8505"/>
        </w:tabs>
        <w:kinsoku/>
        <w:overflowPunct/>
        <w:autoSpaceDE/>
        <w:autoSpaceDN/>
        <w:adjustRightInd/>
        <w:snapToGrid/>
        <w:ind w:left="1701" w:hanging="567"/>
        <w:jc w:val="left"/>
      </w:pPr>
      <w:r w:rsidRPr="00E07570">
        <w:t>4.</w:t>
      </w:r>
      <w:r w:rsidRPr="00E07570">
        <w:tab/>
        <w:t>Nom et adresse du représentant du constructeur (le cas échéant) :</w:t>
      </w:r>
      <w:r w:rsidRPr="00E07570">
        <w:tab/>
      </w:r>
    </w:p>
    <w:p w:rsidR="00C71BB5" w:rsidRPr="00E07570" w:rsidRDefault="00C71BB5" w:rsidP="00586673">
      <w:pPr>
        <w:pStyle w:val="SingleTxtG"/>
        <w:tabs>
          <w:tab w:val="right" w:leader="dot" w:pos="8505"/>
        </w:tabs>
        <w:kinsoku/>
        <w:overflowPunct/>
        <w:autoSpaceDE/>
        <w:autoSpaceDN/>
        <w:adjustRightInd/>
        <w:snapToGrid/>
        <w:ind w:left="1701" w:hanging="567"/>
        <w:jc w:val="left"/>
      </w:pPr>
      <w:r w:rsidRPr="00E07570">
        <w:t>5.</w:t>
      </w:r>
      <w:r w:rsidRPr="00E07570">
        <w:tab/>
        <w:t>Soumis à l</w:t>
      </w:r>
      <w:r w:rsidR="00145E4B">
        <w:t>’</w:t>
      </w:r>
      <w:r w:rsidRPr="00E07570">
        <w:t>homologation le :</w:t>
      </w:r>
      <w:r w:rsidRPr="00E07570">
        <w:tab/>
      </w:r>
    </w:p>
    <w:p w:rsidR="00C71BB5" w:rsidRPr="00E07570" w:rsidRDefault="00C71BB5" w:rsidP="00586673">
      <w:pPr>
        <w:pStyle w:val="SingleTxtG"/>
        <w:tabs>
          <w:tab w:val="right" w:leader="dot" w:pos="8505"/>
        </w:tabs>
        <w:kinsoku/>
        <w:overflowPunct/>
        <w:autoSpaceDE/>
        <w:autoSpaceDN/>
        <w:adjustRightInd/>
        <w:snapToGrid/>
        <w:ind w:left="1701" w:hanging="567"/>
        <w:jc w:val="left"/>
      </w:pPr>
      <w:r w:rsidRPr="00E07570">
        <w:t>6.</w:t>
      </w:r>
      <w:r w:rsidRPr="00E07570">
        <w:tab/>
        <w:t>Service technique chargé des essais :</w:t>
      </w:r>
      <w:r w:rsidRPr="00E07570">
        <w:tab/>
      </w:r>
    </w:p>
    <w:p w:rsidR="00C71BB5" w:rsidRPr="00E07570" w:rsidRDefault="00C71BB5" w:rsidP="00586673">
      <w:pPr>
        <w:pStyle w:val="SingleTxtG"/>
        <w:tabs>
          <w:tab w:val="right" w:leader="dot" w:pos="8505"/>
        </w:tabs>
        <w:kinsoku/>
        <w:overflowPunct/>
        <w:autoSpaceDE/>
        <w:autoSpaceDN/>
        <w:adjustRightInd/>
        <w:snapToGrid/>
        <w:ind w:left="1701" w:hanging="567"/>
        <w:jc w:val="left"/>
      </w:pPr>
      <w:r w:rsidRPr="00E07570">
        <w:t>7.</w:t>
      </w:r>
      <w:r w:rsidRPr="00E07570">
        <w:tab/>
        <w:t>Date du procès-verbal d</w:t>
      </w:r>
      <w:r w:rsidR="00145E4B">
        <w:t>’</w:t>
      </w:r>
      <w:r w:rsidRPr="00E07570">
        <w:t>essai :</w:t>
      </w:r>
      <w:r w:rsidRPr="00E07570">
        <w:tab/>
      </w:r>
    </w:p>
    <w:p w:rsidR="00C71BB5" w:rsidRPr="00E07570" w:rsidRDefault="00C71BB5" w:rsidP="00586673">
      <w:pPr>
        <w:pStyle w:val="SingleTxtG"/>
        <w:tabs>
          <w:tab w:val="right" w:leader="dot" w:pos="8505"/>
        </w:tabs>
        <w:kinsoku/>
        <w:overflowPunct/>
        <w:autoSpaceDE/>
        <w:autoSpaceDN/>
        <w:adjustRightInd/>
        <w:snapToGrid/>
        <w:ind w:left="1701" w:hanging="567"/>
        <w:jc w:val="left"/>
      </w:pPr>
      <w:r w:rsidRPr="00E07570">
        <w:t>8.</w:t>
      </w:r>
      <w:r w:rsidRPr="00E07570">
        <w:tab/>
        <w:t>Numéro du procès-verbal d</w:t>
      </w:r>
      <w:r w:rsidR="00145E4B">
        <w:t>’</w:t>
      </w:r>
      <w:r w:rsidRPr="00E07570">
        <w:t>essai :</w:t>
      </w:r>
      <w:r w:rsidRPr="00E07570">
        <w:tab/>
      </w:r>
    </w:p>
    <w:p w:rsidR="00C71BB5" w:rsidRPr="00E07570" w:rsidRDefault="00C71BB5" w:rsidP="00586673">
      <w:pPr>
        <w:pStyle w:val="SingleTxtG"/>
        <w:tabs>
          <w:tab w:val="right" w:leader="dot" w:pos="8505"/>
        </w:tabs>
        <w:kinsoku/>
        <w:overflowPunct/>
        <w:autoSpaceDE/>
        <w:autoSpaceDN/>
        <w:adjustRightInd/>
        <w:snapToGrid/>
        <w:ind w:left="1701" w:hanging="567"/>
        <w:jc w:val="left"/>
      </w:pPr>
      <w:r w:rsidRPr="00E07570">
        <w:t>9.</w:t>
      </w:r>
      <w:r w:rsidRPr="00E07570">
        <w:tab/>
        <w:t>Description sommaire :</w:t>
      </w:r>
      <w:r w:rsidRPr="00E07570">
        <w:tab/>
      </w:r>
    </w:p>
    <w:p w:rsidR="00F42D28" w:rsidRPr="00E07570" w:rsidRDefault="00F42D28" w:rsidP="00586673">
      <w:pPr>
        <w:pStyle w:val="SingleTxtG"/>
        <w:tabs>
          <w:tab w:val="right" w:leader="dot" w:pos="8505"/>
        </w:tabs>
        <w:kinsoku/>
        <w:overflowPunct/>
        <w:autoSpaceDE/>
        <w:autoSpaceDN/>
        <w:adjustRightInd/>
        <w:snapToGrid/>
        <w:ind w:left="1701" w:hanging="567"/>
        <w:jc w:val="left"/>
        <w:rPr>
          <w:b/>
        </w:rPr>
      </w:pPr>
      <w:r w:rsidRPr="00E07570">
        <w:rPr>
          <w:b/>
        </w:rPr>
        <w:t>9a.</w:t>
      </w:r>
      <w:r w:rsidRPr="00E07570">
        <w:rPr>
          <w:b/>
        </w:rPr>
        <w:tab/>
        <w:t>Dossier(s) d</w:t>
      </w:r>
      <w:r w:rsidR="00145E4B">
        <w:rPr>
          <w:b/>
        </w:rPr>
        <w:t>’</w:t>
      </w:r>
      <w:r w:rsidRPr="00E07570">
        <w:rPr>
          <w:b/>
        </w:rPr>
        <w:t>information (voir le paragraphe 16.1) :</w:t>
      </w:r>
      <w:r w:rsidRPr="00E07570">
        <w:rPr>
          <w:b/>
        </w:rPr>
        <w:tab/>
      </w:r>
    </w:p>
    <w:p w:rsidR="00F42D28" w:rsidRPr="00E07570" w:rsidRDefault="00F42D28" w:rsidP="00586673">
      <w:pPr>
        <w:pStyle w:val="SingleTxtG"/>
        <w:tabs>
          <w:tab w:val="right" w:leader="dot" w:pos="8505"/>
        </w:tabs>
        <w:kinsoku/>
        <w:overflowPunct/>
        <w:autoSpaceDE/>
        <w:autoSpaceDN/>
        <w:adjustRightInd/>
        <w:snapToGrid/>
        <w:ind w:left="1701" w:hanging="567"/>
        <w:jc w:val="left"/>
        <w:rPr>
          <w:b/>
        </w:rPr>
      </w:pPr>
      <w:r w:rsidRPr="00E07570">
        <w:rPr>
          <w:b/>
        </w:rPr>
        <w:t>9b.</w:t>
      </w:r>
      <w:r w:rsidRPr="00E07570">
        <w:rPr>
          <w:b/>
        </w:rPr>
        <w:tab/>
        <w:t>Moyen par lequel il est prévu d</w:t>
      </w:r>
      <w:r w:rsidR="00145E4B">
        <w:rPr>
          <w:b/>
        </w:rPr>
        <w:t>’</w:t>
      </w:r>
      <w:r w:rsidRPr="00E07570">
        <w:rPr>
          <w:b/>
        </w:rPr>
        <w:t>associer l</w:t>
      </w:r>
      <w:r w:rsidR="00145E4B">
        <w:rPr>
          <w:b/>
        </w:rPr>
        <w:t>’</w:t>
      </w:r>
      <w:r w:rsidRPr="00E07570">
        <w:rPr>
          <w:b/>
        </w:rPr>
        <w:t>AECD à un AECC homologué conformément à la partie </w:t>
      </w:r>
      <w:proofErr w:type="spellStart"/>
      <w:r w:rsidRPr="00E07570">
        <w:rPr>
          <w:b/>
        </w:rPr>
        <w:t>Ia</w:t>
      </w:r>
      <w:proofErr w:type="spellEnd"/>
      <w:r w:rsidRPr="00E07570">
        <w:rPr>
          <w:b/>
        </w:rPr>
        <w:t xml:space="preserve"> du présent Règlement </w:t>
      </w:r>
      <w:r w:rsidRPr="00E07570">
        <w:rPr>
          <w:b/>
        </w:rPr>
        <w:br/>
        <w:t>(voir le paragraphe 16.1) :</w:t>
      </w:r>
      <w:r w:rsidRPr="00E07570">
        <w:rPr>
          <w:b/>
        </w:rPr>
        <w:tab/>
      </w:r>
    </w:p>
    <w:p w:rsidR="00F42D28" w:rsidRPr="00E07570" w:rsidRDefault="00F42D28" w:rsidP="00586673">
      <w:pPr>
        <w:pStyle w:val="SingleTxtG"/>
        <w:tabs>
          <w:tab w:val="right" w:leader="dot" w:pos="8505"/>
        </w:tabs>
        <w:kinsoku/>
        <w:overflowPunct/>
        <w:autoSpaceDE/>
        <w:autoSpaceDN/>
        <w:adjustRightInd/>
        <w:snapToGrid/>
        <w:ind w:left="1701" w:hanging="567"/>
        <w:jc w:val="left"/>
        <w:rPr>
          <w:b/>
        </w:rPr>
      </w:pPr>
      <w:r w:rsidRPr="00E07570">
        <w:rPr>
          <w:b/>
        </w:rPr>
        <w:t>9c.</w:t>
      </w:r>
      <w:r w:rsidRPr="00E07570">
        <w:rPr>
          <w:b/>
        </w:rPr>
        <w:tab/>
        <w:t>Moyen par lequel il est prévu d</w:t>
      </w:r>
      <w:r w:rsidR="00145E4B">
        <w:rPr>
          <w:b/>
        </w:rPr>
        <w:t>’</w:t>
      </w:r>
      <w:r w:rsidRPr="00E07570">
        <w:rPr>
          <w:b/>
        </w:rPr>
        <w:t>associer l</w:t>
      </w:r>
      <w:r w:rsidR="00145E4B">
        <w:rPr>
          <w:b/>
        </w:rPr>
        <w:t>’</w:t>
      </w:r>
      <w:r w:rsidRPr="00E07570">
        <w:rPr>
          <w:b/>
        </w:rPr>
        <w:t>AECD à l</w:t>
      </w:r>
      <w:r w:rsidR="00145E4B">
        <w:rPr>
          <w:b/>
        </w:rPr>
        <w:t>’</w:t>
      </w:r>
      <w:r w:rsidRPr="00E07570">
        <w:rPr>
          <w:b/>
        </w:rPr>
        <w:t xml:space="preserve">installation ultérieure </w:t>
      </w:r>
      <w:r w:rsidR="002842FD" w:rsidRPr="00E07570">
        <w:rPr>
          <w:b/>
        </w:rPr>
        <w:br/>
      </w:r>
      <w:r w:rsidRPr="00E07570">
        <w:rPr>
          <w:b/>
        </w:rPr>
        <w:t>de l</w:t>
      </w:r>
      <w:r w:rsidR="00145E4B">
        <w:rPr>
          <w:b/>
        </w:rPr>
        <w:t>’</w:t>
      </w:r>
      <w:r w:rsidRPr="00E07570">
        <w:rPr>
          <w:b/>
        </w:rPr>
        <w:t>AECD homologuée conformément à la partie</w:t>
      </w:r>
      <w:r w:rsidR="002842FD" w:rsidRPr="00E07570">
        <w:rPr>
          <w:b/>
        </w:rPr>
        <w:t> </w:t>
      </w:r>
      <w:r w:rsidRPr="00E07570">
        <w:rPr>
          <w:b/>
        </w:rPr>
        <w:t xml:space="preserve">II du présent Règlement </w:t>
      </w:r>
      <w:r w:rsidRPr="00E07570">
        <w:rPr>
          <w:b/>
        </w:rPr>
        <w:br/>
        <w:t>(voir le paragraphe</w:t>
      </w:r>
      <w:r w:rsidR="002842FD" w:rsidRPr="00E07570">
        <w:rPr>
          <w:b/>
        </w:rPr>
        <w:t> </w:t>
      </w:r>
      <w:r w:rsidRPr="00E07570">
        <w:rPr>
          <w:b/>
        </w:rPr>
        <w:t>16.1)</w:t>
      </w:r>
      <w:r w:rsidR="0038778E" w:rsidRPr="00E07570">
        <w:rPr>
          <w:b/>
        </w:rPr>
        <w:t> :</w:t>
      </w:r>
      <w:r w:rsidRPr="00E07570">
        <w:rPr>
          <w:b/>
        </w:rPr>
        <w:tab/>
      </w:r>
    </w:p>
    <w:p w:rsidR="002842FD" w:rsidRPr="00E07570" w:rsidRDefault="002842FD" w:rsidP="00586673">
      <w:pPr>
        <w:pStyle w:val="SingleTxtG"/>
        <w:ind w:left="1701"/>
        <w:jc w:val="left"/>
      </w:pPr>
      <w:r w:rsidRPr="00E07570">
        <w:t>Signaux d</w:t>
      </w:r>
      <w:r w:rsidR="00145E4B">
        <w:t>’</w:t>
      </w:r>
      <w:r w:rsidRPr="00E07570">
        <w:t>information et d</w:t>
      </w:r>
      <w:r w:rsidR="00145E4B">
        <w:t>’</w:t>
      </w:r>
      <w:r w:rsidRPr="00E07570">
        <w:t>avertissement : oui/non</w:t>
      </w:r>
      <w:r w:rsidRPr="00E07570">
        <w:rPr>
          <w:sz w:val="18"/>
          <w:szCs w:val="18"/>
          <w:vertAlign w:val="superscript"/>
        </w:rPr>
        <w:t>2</w:t>
      </w:r>
    </w:p>
    <w:p w:rsidR="002842FD" w:rsidRPr="00E07570" w:rsidRDefault="002842FD" w:rsidP="00586673">
      <w:pPr>
        <w:pStyle w:val="SingleTxtG"/>
        <w:ind w:left="1701"/>
        <w:jc w:val="left"/>
      </w:pPr>
      <w:r w:rsidRPr="00E07570">
        <w:t xml:space="preserve">Équipement audio mains </w:t>
      </w:r>
      <w:r w:rsidR="00305F8B" w:rsidRPr="00E07570">
        <w:t>libres</w:t>
      </w:r>
      <w:r w:rsidRPr="00E07570">
        <w:t xml:space="preserve"> (microphones et haut-parleurs) : oui/non</w:t>
      </w:r>
      <w:r w:rsidRPr="00E07570">
        <w:rPr>
          <w:sz w:val="18"/>
          <w:szCs w:val="18"/>
          <w:vertAlign w:val="superscript"/>
        </w:rPr>
        <w:t>2</w:t>
      </w:r>
    </w:p>
    <w:p w:rsidR="002842FD" w:rsidRPr="00E07570" w:rsidRDefault="002842FD" w:rsidP="00586673">
      <w:pPr>
        <w:pStyle w:val="SingleTxtG"/>
        <w:ind w:left="1701"/>
        <w:jc w:val="left"/>
      </w:pPr>
      <w:r w:rsidRPr="00E07570">
        <w:t>Alimentation électrique de secours : oui/non</w:t>
      </w:r>
      <w:r w:rsidRPr="00E07570">
        <w:rPr>
          <w:sz w:val="18"/>
          <w:szCs w:val="18"/>
          <w:vertAlign w:val="superscript"/>
        </w:rPr>
        <w:t>2</w:t>
      </w:r>
    </w:p>
    <w:p w:rsidR="002842FD" w:rsidRPr="00E07570" w:rsidRDefault="002842FD" w:rsidP="00586673">
      <w:pPr>
        <w:pStyle w:val="SingleTxtG"/>
        <w:ind w:left="1701"/>
        <w:jc w:val="left"/>
      </w:pPr>
      <w:r w:rsidRPr="00E07570">
        <w:t>Antenne d</w:t>
      </w:r>
      <w:r w:rsidR="00145E4B">
        <w:t>’</w:t>
      </w:r>
      <w:r w:rsidRPr="00E07570">
        <w:t>accès au réseau : oui/non</w:t>
      </w:r>
      <w:r w:rsidRPr="00E07570">
        <w:rPr>
          <w:sz w:val="18"/>
          <w:szCs w:val="18"/>
          <w:vertAlign w:val="superscript"/>
        </w:rPr>
        <w:t>2</w:t>
      </w:r>
    </w:p>
    <w:p w:rsidR="002842FD" w:rsidRPr="00E07570" w:rsidRDefault="002842FD" w:rsidP="00586673">
      <w:pPr>
        <w:pStyle w:val="SingleTxtG"/>
        <w:ind w:left="1701"/>
        <w:jc w:val="left"/>
      </w:pPr>
      <w:r w:rsidRPr="00E07570">
        <w:t>Antenne GNSS : oui/non</w:t>
      </w:r>
      <w:r w:rsidRPr="00E07570">
        <w:rPr>
          <w:sz w:val="18"/>
          <w:szCs w:val="18"/>
          <w:vertAlign w:val="superscript"/>
        </w:rPr>
        <w:t>2</w:t>
      </w:r>
    </w:p>
    <w:p w:rsidR="002842FD" w:rsidRPr="00E07570" w:rsidRDefault="002842FD" w:rsidP="00586673">
      <w:pPr>
        <w:pStyle w:val="SingleTxtG"/>
        <w:ind w:left="1701"/>
        <w:jc w:val="left"/>
      </w:pPr>
      <w:r w:rsidRPr="00E07570">
        <w:t>Récepteur GNSS : oui/non</w:t>
      </w:r>
      <w:r w:rsidRPr="00E07570">
        <w:rPr>
          <w:sz w:val="18"/>
          <w:szCs w:val="18"/>
          <w:vertAlign w:val="superscript"/>
        </w:rPr>
        <w:t>2</w:t>
      </w:r>
    </w:p>
    <w:p w:rsidR="00C71BB5" w:rsidRPr="00E07570" w:rsidRDefault="00C71BB5" w:rsidP="00586673">
      <w:pPr>
        <w:pStyle w:val="SingleTxtG"/>
        <w:jc w:val="left"/>
      </w:pPr>
      <w:r w:rsidRPr="00E07570">
        <w:t>10.</w:t>
      </w:r>
      <w:r w:rsidRPr="00E07570">
        <w:tab/>
      </w:r>
      <w:r w:rsidR="002842FD" w:rsidRPr="00E07570">
        <w:t>L</w:t>
      </w:r>
      <w:r w:rsidR="00145E4B">
        <w:t>’</w:t>
      </w:r>
      <w:r w:rsidR="002842FD" w:rsidRPr="00E07570">
        <w:t>élément a subi l</w:t>
      </w:r>
      <w:r w:rsidR="00145E4B">
        <w:t>’</w:t>
      </w:r>
      <w:r w:rsidR="002842FD" w:rsidRPr="00E07570">
        <w:t>essai sur catapulte visé à l</w:t>
      </w:r>
      <w:r w:rsidR="00145E4B">
        <w:t>’</w:t>
      </w:r>
      <w:r w:rsidR="002842FD" w:rsidRPr="00E07570">
        <w:t>annexe </w:t>
      </w:r>
      <w:r w:rsidR="002842FD" w:rsidRPr="00E07570">
        <w:rPr>
          <w:b/>
        </w:rPr>
        <w:t>9</w:t>
      </w:r>
      <w:r w:rsidR="002842FD" w:rsidRPr="00E07570">
        <w:t> :</w:t>
      </w:r>
    </w:p>
    <w:p w:rsidR="002842FD" w:rsidRPr="00E07570" w:rsidRDefault="002842FD" w:rsidP="00586673">
      <w:pPr>
        <w:pStyle w:val="SingleTxtG"/>
        <w:ind w:left="1701"/>
        <w:jc w:val="left"/>
      </w:pPr>
      <w:r w:rsidRPr="00E07570">
        <w:t>Signal d</w:t>
      </w:r>
      <w:r w:rsidR="00145E4B">
        <w:t>’</w:t>
      </w:r>
      <w:r w:rsidRPr="00E07570">
        <w:t>avertissement AECD : oui/non</w:t>
      </w:r>
      <w:r w:rsidRPr="00E07570">
        <w:rPr>
          <w:sz w:val="18"/>
          <w:szCs w:val="18"/>
          <w:vertAlign w:val="superscript"/>
        </w:rPr>
        <w:t>2</w:t>
      </w:r>
    </w:p>
    <w:p w:rsidR="002842FD" w:rsidRPr="00E07570" w:rsidRDefault="002842FD" w:rsidP="00586673">
      <w:pPr>
        <w:pStyle w:val="SingleTxtG"/>
        <w:ind w:left="1701"/>
        <w:jc w:val="left"/>
      </w:pPr>
      <w:r w:rsidRPr="00E07570">
        <w:t xml:space="preserve">Équipement audio mains </w:t>
      </w:r>
      <w:r w:rsidR="00305F8B" w:rsidRPr="00E07570">
        <w:t>libres</w:t>
      </w:r>
      <w:r w:rsidRPr="00E07570">
        <w:t xml:space="preserve"> (microphones et haut-parleurs) : oui/non</w:t>
      </w:r>
      <w:r w:rsidRPr="00E07570">
        <w:rPr>
          <w:sz w:val="18"/>
          <w:szCs w:val="18"/>
          <w:vertAlign w:val="superscript"/>
        </w:rPr>
        <w:t>2</w:t>
      </w:r>
    </w:p>
    <w:p w:rsidR="002842FD" w:rsidRPr="00E07570" w:rsidRDefault="002842FD" w:rsidP="00586673">
      <w:pPr>
        <w:pStyle w:val="SingleTxtG"/>
        <w:ind w:left="1701"/>
        <w:jc w:val="left"/>
      </w:pPr>
      <w:r w:rsidRPr="00E07570">
        <w:t>Alimentation électrique autre que par une batterie de secours : oui/non</w:t>
      </w:r>
      <w:r w:rsidRPr="00E07570">
        <w:rPr>
          <w:sz w:val="18"/>
          <w:szCs w:val="18"/>
          <w:vertAlign w:val="superscript"/>
        </w:rPr>
        <w:t>2</w:t>
      </w:r>
    </w:p>
    <w:p w:rsidR="002842FD" w:rsidRPr="00E07570" w:rsidRDefault="002842FD" w:rsidP="00586673">
      <w:pPr>
        <w:pStyle w:val="SingleTxtG"/>
        <w:ind w:left="1701"/>
        <w:jc w:val="left"/>
      </w:pPr>
      <w:r w:rsidRPr="00E07570">
        <w:t>Signal d</w:t>
      </w:r>
      <w:r w:rsidR="00145E4B">
        <w:t>’</w:t>
      </w:r>
      <w:r w:rsidRPr="00E07570">
        <w:t>information AECD : oui/non</w:t>
      </w:r>
      <w:r w:rsidRPr="00E07570">
        <w:rPr>
          <w:sz w:val="18"/>
          <w:szCs w:val="18"/>
          <w:vertAlign w:val="superscript"/>
        </w:rPr>
        <w:t>2</w:t>
      </w:r>
    </w:p>
    <w:p w:rsidR="002842FD" w:rsidRPr="00E07570" w:rsidRDefault="002842FD" w:rsidP="00586673">
      <w:pPr>
        <w:pStyle w:val="SingleTxtG"/>
        <w:ind w:left="1701"/>
        <w:jc w:val="left"/>
      </w:pPr>
      <w:r w:rsidRPr="00E07570">
        <w:t>Antenne GNSS (si elle est distincte du module de commande AECD) : oui/non</w:t>
      </w:r>
      <w:r w:rsidRPr="00E07570">
        <w:rPr>
          <w:sz w:val="18"/>
          <w:szCs w:val="18"/>
          <w:vertAlign w:val="superscript"/>
        </w:rPr>
        <w:t>2</w:t>
      </w:r>
    </w:p>
    <w:p w:rsidR="002842FD" w:rsidRPr="00E07570" w:rsidRDefault="002842FD" w:rsidP="00586673">
      <w:pPr>
        <w:pStyle w:val="SingleTxtG"/>
        <w:ind w:left="1701"/>
        <w:jc w:val="left"/>
      </w:pPr>
      <w:r w:rsidRPr="00E07570">
        <w:t>Récepteur GNSS (s</w:t>
      </w:r>
      <w:r w:rsidR="00145E4B">
        <w:t>’</w:t>
      </w:r>
      <w:r w:rsidRPr="00E07570">
        <w:t>il est distinct du module de commande AECD) : oui/non</w:t>
      </w:r>
      <w:r w:rsidRPr="00E07570">
        <w:rPr>
          <w:sz w:val="18"/>
          <w:szCs w:val="18"/>
          <w:vertAlign w:val="superscript"/>
        </w:rPr>
        <w:t>2</w:t>
      </w:r>
    </w:p>
    <w:p w:rsidR="002842FD" w:rsidRPr="00E07570" w:rsidRDefault="002842FD" w:rsidP="00586673">
      <w:pPr>
        <w:pStyle w:val="SingleTxtG"/>
        <w:tabs>
          <w:tab w:val="right" w:leader="dot" w:pos="8505"/>
        </w:tabs>
        <w:kinsoku/>
        <w:overflowPunct/>
        <w:autoSpaceDE/>
        <w:autoSpaceDN/>
        <w:adjustRightInd/>
        <w:snapToGrid/>
        <w:ind w:left="2268" w:hanging="567"/>
        <w:jc w:val="left"/>
      </w:pPr>
      <w:r w:rsidRPr="00E07570">
        <w:t>Emplacement et orientation des éléments :</w:t>
      </w:r>
      <w:r w:rsidRPr="00E07570">
        <w:tab/>
      </w:r>
      <w:r w:rsidRPr="00E07570">
        <w:tab/>
      </w:r>
    </w:p>
    <w:p w:rsidR="002842FD" w:rsidRPr="00E07570" w:rsidRDefault="002842FD" w:rsidP="00586673">
      <w:pPr>
        <w:pStyle w:val="SingleTxtG"/>
        <w:ind w:left="1701"/>
        <w:jc w:val="left"/>
      </w:pPr>
      <w:r w:rsidRPr="00E07570">
        <w:t>L</w:t>
      </w:r>
      <w:r w:rsidR="00145E4B">
        <w:t>’</w:t>
      </w:r>
      <w:r w:rsidRPr="00E07570">
        <w:t>efficacité de l</w:t>
      </w:r>
      <w:r w:rsidR="00145E4B">
        <w:t>’</w:t>
      </w:r>
      <w:r w:rsidRPr="00E07570">
        <w:t>alimentation électrique de secours a été éprouvée conformément au</w:t>
      </w:r>
      <w:r w:rsidR="00DE7470" w:rsidRPr="00E07570">
        <w:t> </w:t>
      </w:r>
      <w:r w:rsidRPr="00E07570">
        <w:t>paragraphe</w:t>
      </w:r>
      <w:r w:rsidR="00586673" w:rsidRPr="00E07570">
        <w:t> </w:t>
      </w:r>
      <w:r w:rsidRPr="00E07570">
        <w:rPr>
          <w:b/>
        </w:rPr>
        <w:t>17.6</w:t>
      </w:r>
      <w:r w:rsidRPr="00E07570">
        <w:t> : oui/non</w:t>
      </w:r>
      <w:r w:rsidRPr="00E07570">
        <w:rPr>
          <w:sz w:val="18"/>
          <w:szCs w:val="18"/>
          <w:vertAlign w:val="superscript"/>
        </w:rPr>
        <w:t>2</w:t>
      </w:r>
    </w:p>
    <w:p w:rsidR="00C71BB5" w:rsidRPr="00E07570" w:rsidRDefault="00C71BB5" w:rsidP="00586673">
      <w:pPr>
        <w:pStyle w:val="SingleTxtG"/>
        <w:ind w:left="1701" w:hanging="567"/>
        <w:jc w:val="left"/>
      </w:pPr>
      <w:r w:rsidRPr="00E07570">
        <w:t>11.</w:t>
      </w:r>
      <w:r w:rsidRPr="00E07570">
        <w:tab/>
      </w:r>
      <w:r w:rsidR="00586673" w:rsidRPr="00E07570">
        <w:t>L</w:t>
      </w:r>
      <w:r w:rsidR="00145E4B">
        <w:t>’</w:t>
      </w:r>
      <w:r w:rsidR="00586673" w:rsidRPr="00E07570">
        <w:t>AECD a été éprouvé conformément à l</w:t>
      </w:r>
      <w:r w:rsidR="00145E4B">
        <w:t>’</w:t>
      </w:r>
      <w:r w:rsidR="00586673" w:rsidRPr="00E07570">
        <w:t>annexe </w:t>
      </w:r>
      <w:r w:rsidR="00586673" w:rsidRPr="00E07570">
        <w:rPr>
          <w:b/>
        </w:rPr>
        <w:t>10</w:t>
      </w:r>
      <w:r w:rsidR="00586673" w:rsidRPr="00E07570">
        <w:t xml:space="preserve"> (solution de navigation) : oui/non</w:t>
      </w:r>
      <w:r w:rsidR="00586673" w:rsidRPr="00E07570">
        <w:rPr>
          <w:sz w:val="18"/>
          <w:szCs w:val="18"/>
          <w:vertAlign w:val="superscript"/>
        </w:rPr>
        <w:t>2</w:t>
      </w:r>
    </w:p>
    <w:p w:rsidR="00C71BB5" w:rsidRPr="00E07570" w:rsidRDefault="00C71BB5" w:rsidP="00586673">
      <w:pPr>
        <w:pStyle w:val="SingleTxtG"/>
        <w:ind w:left="1701" w:hanging="567"/>
        <w:jc w:val="left"/>
      </w:pPr>
      <w:r w:rsidRPr="00E07570">
        <w:t>12.</w:t>
      </w:r>
      <w:r w:rsidRPr="00E07570">
        <w:tab/>
      </w:r>
      <w:r w:rsidR="00586673" w:rsidRPr="00E07570">
        <w:t>L</w:t>
      </w:r>
      <w:r w:rsidR="00145E4B">
        <w:t>’</w:t>
      </w:r>
      <w:r w:rsidR="00586673" w:rsidRPr="00E07570">
        <w:t>AECD a été éprouvé conformément au paragraphe </w:t>
      </w:r>
      <w:r w:rsidR="00586673" w:rsidRPr="00E07570">
        <w:rPr>
          <w:b/>
        </w:rPr>
        <w:t>17.5</w:t>
      </w:r>
      <w:r w:rsidR="00586673" w:rsidRPr="00E07570">
        <w:t xml:space="preserve"> (Signaux d</w:t>
      </w:r>
      <w:r w:rsidR="00145E4B">
        <w:t>’</w:t>
      </w:r>
      <w:r w:rsidR="00586673" w:rsidRPr="00E07570">
        <w:t>information et d</w:t>
      </w:r>
      <w:r w:rsidR="00145E4B">
        <w:t>’</w:t>
      </w:r>
      <w:r w:rsidR="00586673" w:rsidRPr="00E07570">
        <w:t>avertissement) : oui/non</w:t>
      </w:r>
      <w:r w:rsidRPr="00E07570">
        <w:rPr>
          <w:sz w:val="18"/>
          <w:szCs w:val="18"/>
          <w:vertAlign w:val="superscript"/>
        </w:rPr>
        <w:t>2</w:t>
      </w:r>
      <w:r w:rsidRPr="00E07570">
        <w:rPr>
          <w:vertAlign w:val="superscript"/>
        </w:rPr>
        <w:t xml:space="preserve"> </w:t>
      </w:r>
    </w:p>
    <w:p w:rsidR="00C71BB5" w:rsidRPr="00E07570" w:rsidRDefault="00C71BB5" w:rsidP="00586673">
      <w:pPr>
        <w:pStyle w:val="SingleTxtG"/>
        <w:tabs>
          <w:tab w:val="right" w:leader="dot" w:pos="8505"/>
        </w:tabs>
        <w:kinsoku/>
        <w:overflowPunct/>
        <w:autoSpaceDE/>
        <w:autoSpaceDN/>
        <w:adjustRightInd/>
        <w:snapToGrid/>
        <w:ind w:left="1701" w:hanging="567"/>
        <w:jc w:val="left"/>
      </w:pPr>
      <w:r w:rsidRPr="00E07570">
        <w:t>13.</w:t>
      </w:r>
      <w:r w:rsidRPr="00E07570">
        <w:tab/>
        <w:t>Emplacement de la marque d</w:t>
      </w:r>
      <w:r w:rsidR="00145E4B">
        <w:t>’</w:t>
      </w:r>
      <w:r w:rsidRPr="00E07570">
        <w:t>homologation :</w:t>
      </w:r>
      <w:r w:rsidRPr="00E07570">
        <w:tab/>
      </w:r>
    </w:p>
    <w:p w:rsidR="00C71BB5" w:rsidRPr="00E07570" w:rsidRDefault="00C71BB5" w:rsidP="00586673">
      <w:pPr>
        <w:pStyle w:val="SingleTxtG"/>
        <w:tabs>
          <w:tab w:val="right" w:leader="dot" w:pos="8505"/>
        </w:tabs>
        <w:kinsoku/>
        <w:overflowPunct/>
        <w:autoSpaceDE/>
        <w:autoSpaceDN/>
        <w:adjustRightInd/>
        <w:snapToGrid/>
        <w:ind w:left="1701" w:hanging="567"/>
        <w:jc w:val="left"/>
      </w:pPr>
      <w:r w:rsidRPr="00E07570">
        <w:t>14.</w:t>
      </w:r>
      <w:r w:rsidRPr="00E07570">
        <w:tab/>
        <w:t>Motif(s) de l</w:t>
      </w:r>
      <w:r w:rsidR="00145E4B">
        <w:t>’</w:t>
      </w:r>
      <w:r w:rsidRPr="00E07570">
        <w:t>extension d</w:t>
      </w:r>
      <w:r w:rsidR="00145E4B">
        <w:t>’</w:t>
      </w:r>
      <w:r w:rsidRPr="00E07570">
        <w:t>homologation (le cas échéant) :</w:t>
      </w:r>
      <w:r w:rsidRPr="00E07570">
        <w:tab/>
      </w:r>
    </w:p>
    <w:p w:rsidR="00C71BB5" w:rsidRPr="00E07570" w:rsidRDefault="00C71BB5" w:rsidP="00586673">
      <w:pPr>
        <w:pStyle w:val="SingleTxtG"/>
        <w:tabs>
          <w:tab w:val="right" w:leader="dot" w:pos="8505"/>
        </w:tabs>
        <w:kinsoku/>
        <w:overflowPunct/>
        <w:autoSpaceDE/>
        <w:autoSpaceDN/>
        <w:adjustRightInd/>
        <w:snapToGrid/>
        <w:ind w:left="1701" w:hanging="567"/>
        <w:jc w:val="left"/>
      </w:pPr>
      <w:r w:rsidRPr="00E07570">
        <w:t>15.</w:t>
      </w:r>
      <w:r w:rsidRPr="00E07570">
        <w:tab/>
        <w:t>Homologation accordée/étendue/refusée/retirée</w:t>
      </w:r>
      <w:r w:rsidRPr="00E07570">
        <w:rPr>
          <w:sz w:val="18"/>
          <w:szCs w:val="18"/>
          <w:vertAlign w:val="superscript"/>
        </w:rPr>
        <w:t>2</w:t>
      </w:r>
      <w:r w:rsidRPr="00E07570">
        <w:t> :</w:t>
      </w:r>
      <w:r w:rsidRPr="00E07570">
        <w:tab/>
      </w:r>
    </w:p>
    <w:p w:rsidR="00C71BB5" w:rsidRPr="00E07570" w:rsidRDefault="00C71BB5" w:rsidP="00586673">
      <w:pPr>
        <w:pStyle w:val="SingleTxtG"/>
        <w:tabs>
          <w:tab w:val="right" w:leader="dot" w:pos="8505"/>
        </w:tabs>
        <w:kinsoku/>
        <w:overflowPunct/>
        <w:autoSpaceDE/>
        <w:autoSpaceDN/>
        <w:adjustRightInd/>
        <w:snapToGrid/>
        <w:ind w:left="1701" w:hanging="567"/>
        <w:jc w:val="left"/>
      </w:pPr>
      <w:r w:rsidRPr="00E07570">
        <w:t>16.</w:t>
      </w:r>
      <w:r w:rsidRPr="00E07570">
        <w:tab/>
        <w:t>Lieu :</w:t>
      </w:r>
      <w:r w:rsidRPr="00E07570">
        <w:tab/>
      </w:r>
    </w:p>
    <w:p w:rsidR="00C71BB5" w:rsidRPr="00E07570" w:rsidRDefault="00C71BB5" w:rsidP="00586673">
      <w:pPr>
        <w:pStyle w:val="SingleTxtG"/>
        <w:tabs>
          <w:tab w:val="right" w:leader="dot" w:pos="8505"/>
        </w:tabs>
        <w:kinsoku/>
        <w:overflowPunct/>
        <w:autoSpaceDE/>
        <w:autoSpaceDN/>
        <w:adjustRightInd/>
        <w:snapToGrid/>
        <w:ind w:left="1701" w:hanging="567"/>
        <w:jc w:val="left"/>
      </w:pPr>
      <w:r w:rsidRPr="00E07570">
        <w:t>17.</w:t>
      </w:r>
      <w:r w:rsidRPr="00E07570">
        <w:tab/>
        <w:t>Date :</w:t>
      </w:r>
      <w:r w:rsidRPr="00E07570">
        <w:tab/>
      </w:r>
    </w:p>
    <w:p w:rsidR="00C71BB5" w:rsidRPr="00E07570" w:rsidRDefault="00C71BB5" w:rsidP="00586673">
      <w:pPr>
        <w:pStyle w:val="SingleTxtG"/>
        <w:tabs>
          <w:tab w:val="right" w:leader="dot" w:pos="8505"/>
        </w:tabs>
        <w:kinsoku/>
        <w:overflowPunct/>
        <w:autoSpaceDE/>
        <w:autoSpaceDN/>
        <w:adjustRightInd/>
        <w:snapToGrid/>
        <w:ind w:left="1701" w:hanging="567"/>
        <w:jc w:val="left"/>
      </w:pPr>
      <w:r w:rsidRPr="00E07570">
        <w:t>18.</w:t>
      </w:r>
      <w:r w:rsidRPr="00E07570">
        <w:tab/>
        <w:t>Signature :</w:t>
      </w:r>
      <w:r w:rsidRPr="00E07570">
        <w:tab/>
      </w:r>
    </w:p>
    <w:p w:rsidR="000F2BD1" w:rsidRPr="00E07570" w:rsidRDefault="00C71BB5" w:rsidP="00586673">
      <w:pPr>
        <w:pStyle w:val="SingleTxtG"/>
        <w:ind w:left="1701" w:hanging="567"/>
        <w:jc w:val="left"/>
        <w:sectPr w:rsidR="000F2BD1" w:rsidRPr="00E07570" w:rsidSect="0038209A">
          <w:footnotePr>
            <w:numRestart w:val="eachSect"/>
          </w:footnotePr>
          <w:endnotePr>
            <w:numFmt w:val="decimal"/>
          </w:endnotePr>
          <w:pgSz w:w="11906" w:h="16838" w:code="9"/>
          <w:pgMar w:top="1417" w:right="1134" w:bottom="1134" w:left="1134" w:header="850" w:footer="567" w:gutter="0"/>
          <w:cols w:space="708"/>
          <w:docGrid w:linePitch="360"/>
        </w:sectPr>
      </w:pPr>
      <w:r w:rsidRPr="00E07570">
        <w:t>19.</w:t>
      </w:r>
      <w:r w:rsidRPr="00E07570">
        <w:tab/>
        <w:t>La liste des documents déposés auprès de l</w:t>
      </w:r>
      <w:r w:rsidR="00145E4B">
        <w:t>’</w:t>
      </w:r>
      <w:r w:rsidRPr="00E07570">
        <w:t>autorité d</w:t>
      </w:r>
      <w:r w:rsidR="00145E4B">
        <w:t>’</w:t>
      </w:r>
      <w:r w:rsidRPr="00E07570">
        <w:t>homologation de type ayant accordé l</w:t>
      </w:r>
      <w:r w:rsidR="00145E4B">
        <w:t>’</w:t>
      </w:r>
      <w:r w:rsidRPr="00E07570">
        <w:t>homologation est annexée à la présente communication et peut être obtenue sur demande.</w:t>
      </w:r>
    </w:p>
    <w:p w:rsidR="00E00474" w:rsidRPr="00E07570" w:rsidRDefault="00E00474" w:rsidP="00E00474">
      <w:pPr>
        <w:pStyle w:val="HChG"/>
      </w:pPr>
      <w:r w:rsidRPr="00E07570">
        <w:t>Annexe 3</w:t>
      </w:r>
    </w:p>
    <w:p w:rsidR="00E00474" w:rsidRPr="00E07570" w:rsidRDefault="00E00474" w:rsidP="00E00474">
      <w:pPr>
        <w:pStyle w:val="HChG"/>
      </w:pPr>
      <w:r w:rsidRPr="00E07570">
        <w:tab/>
      </w:r>
      <w:r w:rsidRPr="00E07570">
        <w:tab/>
        <w:t>Communication</w:t>
      </w:r>
    </w:p>
    <w:p w:rsidR="00E00474" w:rsidRPr="00E07570" w:rsidRDefault="00E00474" w:rsidP="00E00474">
      <w:pPr>
        <w:pStyle w:val="SingleTxtG"/>
      </w:pPr>
      <w:r w:rsidRPr="00E07570">
        <w:t>(Format maximal : A4 (210 x 297 mm))</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2"/>
        <w:gridCol w:w="3969"/>
      </w:tblGrid>
      <w:tr w:rsidR="00E00474" w:rsidRPr="00E07570" w:rsidTr="0012036F">
        <w:tc>
          <w:tcPr>
            <w:tcW w:w="3402" w:type="dxa"/>
          </w:tcPr>
          <w:p w:rsidR="00E00474" w:rsidRPr="00E07570" w:rsidRDefault="00E00474" w:rsidP="0012036F">
            <w:pPr>
              <w:pStyle w:val="SingleTxtG"/>
              <w:spacing w:after="0"/>
              <w:ind w:left="0"/>
            </w:pPr>
            <w:r w:rsidRPr="00E07570">
              <w:object w:dxaOrig="1684" w:dyaOrig="1675">
                <v:shape id="_x0000_i1027" type="#_x0000_t75" style="width:84pt;height:84pt" o:ole="">
                  <v:imagedata r:id="rId15" o:title=""/>
                </v:shape>
                <o:OLEObject Type="Embed" ProgID="Word.Picture.8" ShapeID="_x0000_i1027" DrawAspect="Content" ObjectID="_1551078325" r:id="rId18"/>
              </w:object>
            </w:r>
            <w:r w:rsidRPr="009F1CF1">
              <w:rPr>
                <w:rStyle w:val="FootnoteReference"/>
                <w:color w:val="FFFFFF" w:themeColor="background1"/>
              </w:rPr>
              <w:footnoteReference w:id="14"/>
            </w:r>
          </w:p>
        </w:tc>
        <w:tc>
          <w:tcPr>
            <w:tcW w:w="3969" w:type="dxa"/>
          </w:tcPr>
          <w:p w:rsidR="00E00474" w:rsidRPr="00E07570" w:rsidRDefault="00E00474" w:rsidP="0012036F">
            <w:pPr>
              <w:ind w:left="1701" w:hanging="1701"/>
            </w:pPr>
            <w:r w:rsidRPr="00E07570">
              <w:t>Émanant de :</w:t>
            </w:r>
            <w:r w:rsidRPr="00E07570">
              <w:tab/>
              <w:t>Nom de l</w:t>
            </w:r>
            <w:r w:rsidR="00145E4B">
              <w:t>’</w:t>
            </w:r>
            <w:r w:rsidRPr="00E07570">
              <w:t>administration :</w:t>
            </w:r>
          </w:p>
          <w:p w:rsidR="00E00474" w:rsidRPr="00E07570" w:rsidRDefault="00E00474" w:rsidP="0012036F">
            <w:pPr>
              <w:pStyle w:val="SingleTxtG"/>
              <w:tabs>
                <w:tab w:val="right" w:leader="dot" w:pos="3686"/>
              </w:tabs>
              <w:spacing w:after="0"/>
              <w:ind w:left="1701" w:right="0"/>
            </w:pPr>
            <w:r w:rsidRPr="00E07570">
              <w:tab/>
            </w:r>
          </w:p>
          <w:p w:rsidR="00E00474" w:rsidRPr="00E07570" w:rsidRDefault="00E00474" w:rsidP="0012036F">
            <w:pPr>
              <w:pStyle w:val="SingleTxtG"/>
              <w:tabs>
                <w:tab w:val="right" w:leader="dot" w:pos="3686"/>
              </w:tabs>
              <w:spacing w:after="0"/>
              <w:ind w:left="1701" w:right="0"/>
            </w:pPr>
            <w:r w:rsidRPr="00E07570">
              <w:tab/>
            </w:r>
          </w:p>
          <w:p w:rsidR="00E00474" w:rsidRPr="00E07570" w:rsidRDefault="00E00474" w:rsidP="0012036F">
            <w:pPr>
              <w:pStyle w:val="SingleTxtG"/>
              <w:tabs>
                <w:tab w:val="right" w:leader="dot" w:pos="3686"/>
              </w:tabs>
              <w:spacing w:after="0"/>
              <w:ind w:left="1701" w:right="0"/>
            </w:pPr>
            <w:r w:rsidRPr="00E07570">
              <w:tab/>
            </w:r>
          </w:p>
        </w:tc>
      </w:tr>
    </w:tbl>
    <w:p w:rsidR="00E00474" w:rsidRPr="00E07570" w:rsidRDefault="00E00474" w:rsidP="00E00474">
      <w:pPr>
        <w:pStyle w:val="SingleTxtG"/>
        <w:spacing w:before="120"/>
        <w:ind w:left="2552" w:hanging="1418"/>
        <w:jc w:val="left"/>
      </w:pPr>
      <w:proofErr w:type="gramStart"/>
      <w:r w:rsidRPr="00E07570">
        <w:t>concernant</w:t>
      </w:r>
      <w:proofErr w:type="gramEnd"/>
      <w:r w:rsidRPr="00E07570">
        <w:rPr>
          <w:rStyle w:val="FootnoteReference"/>
        </w:rPr>
        <w:footnoteReference w:id="15"/>
      </w:r>
      <w:r w:rsidRPr="00E07570">
        <w:t> :</w:t>
      </w:r>
      <w:r w:rsidRPr="00E07570">
        <w:tab/>
        <w:t>Délivrance d</w:t>
      </w:r>
      <w:r w:rsidR="00145E4B">
        <w:t>’</w:t>
      </w:r>
      <w:r w:rsidRPr="00E07570">
        <w:t>une homologation</w:t>
      </w:r>
      <w:r w:rsidRPr="00E07570">
        <w:br/>
        <w:t>Extension d</w:t>
      </w:r>
      <w:r w:rsidR="00145E4B">
        <w:t>’</w:t>
      </w:r>
      <w:r w:rsidRPr="00E07570">
        <w:t>homologation</w:t>
      </w:r>
      <w:r w:rsidRPr="00E07570">
        <w:br/>
        <w:t>Refus d</w:t>
      </w:r>
      <w:r w:rsidR="00145E4B">
        <w:t>’</w:t>
      </w:r>
      <w:r w:rsidRPr="00E07570">
        <w:t>homologation</w:t>
      </w:r>
      <w:r w:rsidRPr="00E07570">
        <w:br/>
        <w:t>Retrait d</w:t>
      </w:r>
      <w:r w:rsidR="00145E4B">
        <w:t>’</w:t>
      </w:r>
      <w:r w:rsidRPr="00E07570">
        <w:t>homologation</w:t>
      </w:r>
      <w:r w:rsidRPr="00E07570">
        <w:br/>
        <w:t>Arrêt définitif de la production</w:t>
      </w:r>
    </w:p>
    <w:p w:rsidR="00E00474" w:rsidRPr="00E07570" w:rsidRDefault="006C60A8" w:rsidP="00E00474">
      <w:pPr>
        <w:pStyle w:val="SingleTxtG"/>
      </w:pPr>
      <w:proofErr w:type="gramStart"/>
      <w:r w:rsidRPr="00E07570">
        <w:t>d</w:t>
      </w:r>
      <w:r w:rsidR="00145E4B">
        <w:t>’</w:t>
      </w:r>
      <w:r w:rsidRPr="00E07570">
        <w:t>un</w:t>
      </w:r>
      <w:proofErr w:type="gramEnd"/>
      <w:r w:rsidRPr="00E07570">
        <w:t xml:space="preserve"> type de véhicule de catégorie M</w:t>
      </w:r>
      <w:r w:rsidRPr="00E07570">
        <w:rPr>
          <w:vertAlign w:val="subscript"/>
        </w:rPr>
        <w:t>1</w:t>
      </w:r>
      <w:r w:rsidRPr="00E07570">
        <w:t xml:space="preserve"> ou N</w:t>
      </w:r>
      <w:r w:rsidRPr="00E07570">
        <w:rPr>
          <w:vertAlign w:val="subscript"/>
        </w:rPr>
        <w:t>1</w:t>
      </w:r>
      <w:r w:rsidRPr="00E07570">
        <w:t xml:space="preserve"> en application de la partie II du Règlement n</w:t>
      </w:r>
      <w:r w:rsidRPr="00E07570">
        <w:rPr>
          <w:vertAlign w:val="superscript"/>
        </w:rPr>
        <w:t>o</w:t>
      </w:r>
      <w:r w:rsidRPr="00E07570">
        <w:t> XXX, équipé d</w:t>
      </w:r>
      <w:r w:rsidR="00145E4B">
        <w:t>’</w:t>
      </w:r>
      <w:r w:rsidRPr="00E07570">
        <w:t>un AECD homologué conformément à la partie </w:t>
      </w:r>
      <w:proofErr w:type="spellStart"/>
      <w:r w:rsidR="00A22689" w:rsidRPr="00E07570">
        <w:rPr>
          <w:b/>
        </w:rPr>
        <w:t>Ib</w:t>
      </w:r>
      <w:proofErr w:type="spellEnd"/>
      <w:r w:rsidRPr="00E07570">
        <w:t xml:space="preserve"> dudit Règlement</w:t>
      </w:r>
      <w:r w:rsidR="00E00474" w:rsidRPr="00E07570">
        <w:t>.</w:t>
      </w:r>
    </w:p>
    <w:p w:rsidR="00E00474" w:rsidRPr="00E07570" w:rsidRDefault="00E00474" w:rsidP="00E00474">
      <w:pPr>
        <w:pStyle w:val="SingleTxtG"/>
        <w:tabs>
          <w:tab w:val="right" w:leader="dot" w:pos="4253"/>
          <w:tab w:val="left" w:pos="4536"/>
          <w:tab w:val="right" w:leader="dot" w:pos="8505"/>
        </w:tabs>
        <w:jc w:val="left"/>
      </w:pPr>
      <w:r w:rsidRPr="00E07570">
        <w:t>N</w:t>
      </w:r>
      <w:r w:rsidRPr="00E07570">
        <w:rPr>
          <w:vertAlign w:val="superscript"/>
        </w:rPr>
        <w:t>o</w:t>
      </w:r>
      <w:r w:rsidRPr="00E07570">
        <w:t xml:space="preserve"> d</w:t>
      </w:r>
      <w:r w:rsidR="00145E4B">
        <w:t>’</w:t>
      </w:r>
      <w:r w:rsidRPr="00E07570">
        <w:t>homologation</w:t>
      </w:r>
      <w:r w:rsidRPr="00E07570">
        <w:tab/>
      </w:r>
      <w:r w:rsidRPr="00E07570">
        <w:tab/>
        <w:t>N</w:t>
      </w:r>
      <w:r w:rsidRPr="00E07570">
        <w:rPr>
          <w:vertAlign w:val="superscript"/>
        </w:rPr>
        <w:t>o</w:t>
      </w:r>
      <w:r w:rsidRPr="00E07570">
        <w:t xml:space="preserve"> d</w:t>
      </w:r>
      <w:r w:rsidR="00145E4B">
        <w:t>’</w:t>
      </w:r>
      <w:r w:rsidRPr="00E07570">
        <w:t>extension</w:t>
      </w:r>
      <w:r w:rsidRPr="00E07570">
        <w:tab/>
      </w:r>
    </w:p>
    <w:p w:rsidR="00E00474" w:rsidRPr="00E07570" w:rsidRDefault="00E00474" w:rsidP="00E00474">
      <w:pPr>
        <w:pStyle w:val="SingleTxtG"/>
        <w:tabs>
          <w:tab w:val="right" w:leader="dot" w:pos="8505"/>
        </w:tabs>
        <w:kinsoku/>
        <w:overflowPunct/>
        <w:autoSpaceDE/>
        <w:autoSpaceDN/>
        <w:adjustRightInd/>
        <w:snapToGrid/>
        <w:ind w:left="1701" w:hanging="567"/>
        <w:jc w:val="left"/>
      </w:pPr>
      <w:r w:rsidRPr="00E07570">
        <w:t>1.</w:t>
      </w:r>
      <w:r w:rsidRPr="00E07570">
        <w:tab/>
        <w:t>Marque de fabrique ou de commerce du dispositif :</w:t>
      </w:r>
      <w:r w:rsidRPr="00E07570">
        <w:tab/>
      </w:r>
    </w:p>
    <w:p w:rsidR="00E00474" w:rsidRPr="00E07570" w:rsidRDefault="00E00474" w:rsidP="00E00474">
      <w:pPr>
        <w:pStyle w:val="SingleTxtG"/>
        <w:tabs>
          <w:tab w:val="right" w:leader="dot" w:pos="8505"/>
        </w:tabs>
        <w:kinsoku/>
        <w:overflowPunct/>
        <w:autoSpaceDE/>
        <w:autoSpaceDN/>
        <w:adjustRightInd/>
        <w:snapToGrid/>
        <w:ind w:left="1701" w:hanging="567"/>
        <w:jc w:val="left"/>
      </w:pPr>
      <w:r w:rsidRPr="00E07570">
        <w:t>2.</w:t>
      </w:r>
      <w:r w:rsidRPr="00E07570">
        <w:tab/>
        <w:t>Nom du constructeur pour le type de dispositif :</w:t>
      </w:r>
      <w:r w:rsidRPr="00E07570">
        <w:tab/>
      </w:r>
    </w:p>
    <w:p w:rsidR="00E00474" w:rsidRPr="00E07570" w:rsidRDefault="00E00474" w:rsidP="00E00474">
      <w:pPr>
        <w:pStyle w:val="SingleTxtG"/>
        <w:tabs>
          <w:tab w:val="right" w:leader="dot" w:pos="8505"/>
        </w:tabs>
        <w:kinsoku/>
        <w:overflowPunct/>
        <w:autoSpaceDE/>
        <w:autoSpaceDN/>
        <w:adjustRightInd/>
        <w:snapToGrid/>
        <w:ind w:left="1701" w:hanging="567"/>
        <w:jc w:val="left"/>
      </w:pPr>
      <w:r w:rsidRPr="00E07570">
        <w:t>3.</w:t>
      </w:r>
      <w:r w:rsidRPr="00E07570">
        <w:tab/>
        <w:t>Nom et adresse du constructeur :</w:t>
      </w:r>
      <w:r w:rsidRPr="00E07570">
        <w:tab/>
      </w:r>
    </w:p>
    <w:p w:rsidR="00E00474" w:rsidRPr="00E07570" w:rsidRDefault="00E00474" w:rsidP="00E00474">
      <w:pPr>
        <w:pStyle w:val="SingleTxtG"/>
        <w:tabs>
          <w:tab w:val="right" w:leader="dot" w:pos="8505"/>
        </w:tabs>
        <w:kinsoku/>
        <w:overflowPunct/>
        <w:autoSpaceDE/>
        <w:autoSpaceDN/>
        <w:adjustRightInd/>
        <w:snapToGrid/>
        <w:ind w:left="1701" w:hanging="567"/>
        <w:jc w:val="left"/>
      </w:pPr>
      <w:r w:rsidRPr="00E07570">
        <w:t>4.</w:t>
      </w:r>
      <w:r w:rsidRPr="00E07570">
        <w:tab/>
        <w:t>Nom et adresse du représentant du constructeur (le cas échéant) :</w:t>
      </w:r>
      <w:r w:rsidRPr="00E07570">
        <w:tab/>
      </w:r>
    </w:p>
    <w:p w:rsidR="00E00474" w:rsidRPr="00E07570" w:rsidRDefault="00E00474" w:rsidP="00E00474">
      <w:pPr>
        <w:pStyle w:val="SingleTxtG"/>
        <w:tabs>
          <w:tab w:val="right" w:leader="dot" w:pos="8505"/>
        </w:tabs>
        <w:kinsoku/>
        <w:overflowPunct/>
        <w:autoSpaceDE/>
        <w:autoSpaceDN/>
        <w:adjustRightInd/>
        <w:snapToGrid/>
        <w:ind w:left="1701" w:hanging="567"/>
        <w:jc w:val="left"/>
      </w:pPr>
      <w:r w:rsidRPr="00E07570">
        <w:t>5.</w:t>
      </w:r>
      <w:r w:rsidRPr="00E07570">
        <w:tab/>
        <w:t>Soumis à l</w:t>
      </w:r>
      <w:r w:rsidR="00145E4B">
        <w:t>’</w:t>
      </w:r>
      <w:r w:rsidRPr="00E07570">
        <w:t>homologation le :</w:t>
      </w:r>
      <w:r w:rsidRPr="00E07570">
        <w:tab/>
      </w:r>
    </w:p>
    <w:p w:rsidR="00E00474" w:rsidRPr="00E07570" w:rsidRDefault="00E00474" w:rsidP="00E00474">
      <w:pPr>
        <w:pStyle w:val="SingleTxtG"/>
        <w:tabs>
          <w:tab w:val="right" w:leader="dot" w:pos="8505"/>
        </w:tabs>
        <w:kinsoku/>
        <w:overflowPunct/>
        <w:autoSpaceDE/>
        <w:autoSpaceDN/>
        <w:adjustRightInd/>
        <w:snapToGrid/>
        <w:ind w:left="1701" w:hanging="567"/>
        <w:jc w:val="left"/>
      </w:pPr>
      <w:r w:rsidRPr="00E07570">
        <w:t>6.</w:t>
      </w:r>
      <w:r w:rsidRPr="00E07570">
        <w:tab/>
        <w:t>Service technique chargé des essais :</w:t>
      </w:r>
      <w:r w:rsidRPr="00E07570">
        <w:tab/>
      </w:r>
    </w:p>
    <w:p w:rsidR="00E00474" w:rsidRPr="00E07570" w:rsidRDefault="00E00474" w:rsidP="00E00474">
      <w:pPr>
        <w:pStyle w:val="SingleTxtG"/>
        <w:tabs>
          <w:tab w:val="right" w:leader="dot" w:pos="8505"/>
        </w:tabs>
        <w:kinsoku/>
        <w:overflowPunct/>
        <w:autoSpaceDE/>
        <w:autoSpaceDN/>
        <w:adjustRightInd/>
        <w:snapToGrid/>
        <w:ind w:left="1701" w:hanging="567"/>
        <w:jc w:val="left"/>
      </w:pPr>
      <w:r w:rsidRPr="00E07570">
        <w:t>7.</w:t>
      </w:r>
      <w:r w:rsidRPr="00E07570">
        <w:tab/>
        <w:t>Date du procès-verbal d</w:t>
      </w:r>
      <w:r w:rsidR="00145E4B">
        <w:t>’</w:t>
      </w:r>
      <w:r w:rsidRPr="00E07570">
        <w:t>essai :</w:t>
      </w:r>
      <w:r w:rsidRPr="00E07570">
        <w:tab/>
      </w:r>
    </w:p>
    <w:p w:rsidR="00E00474" w:rsidRPr="00E07570" w:rsidRDefault="00E00474" w:rsidP="00E00474">
      <w:pPr>
        <w:pStyle w:val="SingleTxtG"/>
        <w:tabs>
          <w:tab w:val="right" w:leader="dot" w:pos="8505"/>
        </w:tabs>
        <w:kinsoku/>
        <w:overflowPunct/>
        <w:autoSpaceDE/>
        <w:autoSpaceDN/>
        <w:adjustRightInd/>
        <w:snapToGrid/>
        <w:ind w:left="1701" w:hanging="567"/>
        <w:jc w:val="left"/>
      </w:pPr>
      <w:r w:rsidRPr="00E07570">
        <w:t>8.</w:t>
      </w:r>
      <w:r w:rsidRPr="00E07570">
        <w:tab/>
        <w:t>Numéro du procès-verbal d</w:t>
      </w:r>
      <w:r w:rsidR="00145E4B">
        <w:t>’</w:t>
      </w:r>
      <w:r w:rsidRPr="00E07570">
        <w:t>essai :</w:t>
      </w:r>
      <w:r w:rsidRPr="00E07570">
        <w:tab/>
      </w:r>
    </w:p>
    <w:p w:rsidR="00E00474" w:rsidRPr="00E07570" w:rsidRDefault="00E00474" w:rsidP="00E00474">
      <w:pPr>
        <w:pStyle w:val="SingleTxtG"/>
        <w:tabs>
          <w:tab w:val="right" w:leader="dot" w:pos="8505"/>
        </w:tabs>
        <w:kinsoku/>
        <w:overflowPunct/>
        <w:autoSpaceDE/>
        <w:autoSpaceDN/>
        <w:adjustRightInd/>
        <w:snapToGrid/>
        <w:ind w:left="1701" w:hanging="567"/>
        <w:jc w:val="left"/>
      </w:pPr>
      <w:r w:rsidRPr="00E07570">
        <w:t>9.</w:t>
      </w:r>
      <w:r w:rsidRPr="00E07570">
        <w:tab/>
        <w:t>Description sommaire :</w:t>
      </w:r>
      <w:r w:rsidRPr="00E07570">
        <w:tab/>
      </w:r>
    </w:p>
    <w:p w:rsidR="006C60A8" w:rsidRPr="00E07570" w:rsidRDefault="006C60A8" w:rsidP="006C60A8">
      <w:pPr>
        <w:pStyle w:val="SingleTxtG"/>
        <w:tabs>
          <w:tab w:val="right" w:leader="dot" w:pos="8505"/>
        </w:tabs>
        <w:kinsoku/>
        <w:overflowPunct/>
        <w:autoSpaceDE/>
        <w:autoSpaceDN/>
        <w:adjustRightInd/>
        <w:snapToGrid/>
        <w:ind w:left="1701" w:hanging="567"/>
        <w:jc w:val="left"/>
        <w:rPr>
          <w:b/>
        </w:rPr>
      </w:pPr>
      <w:r w:rsidRPr="00E07570">
        <w:rPr>
          <w:b/>
        </w:rPr>
        <w:t>9a.</w:t>
      </w:r>
      <w:r w:rsidRPr="00E07570">
        <w:rPr>
          <w:b/>
        </w:rPr>
        <w:tab/>
        <w:t>Dossier d</w:t>
      </w:r>
      <w:r w:rsidR="00145E4B">
        <w:rPr>
          <w:b/>
        </w:rPr>
        <w:t>’</w:t>
      </w:r>
      <w:r w:rsidRPr="00E07570">
        <w:rPr>
          <w:b/>
        </w:rPr>
        <w:t>information (voir le paragraphe 25) :</w:t>
      </w:r>
      <w:r w:rsidRPr="00E07570">
        <w:rPr>
          <w:b/>
        </w:rPr>
        <w:tab/>
      </w:r>
    </w:p>
    <w:p w:rsidR="006C60A8" w:rsidRPr="00E07570" w:rsidRDefault="006C60A8" w:rsidP="00D80914">
      <w:pPr>
        <w:pStyle w:val="SingleTxtG"/>
        <w:tabs>
          <w:tab w:val="right" w:leader="dot" w:pos="8505"/>
        </w:tabs>
        <w:kinsoku/>
        <w:overflowPunct/>
        <w:autoSpaceDE/>
        <w:autoSpaceDN/>
        <w:adjustRightInd/>
        <w:snapToGrid/>
        <w:ind w:left="1701" w:hanging="567"/>
        <w:jc w:val="left"/>
        <w:rPr>
          <w:b/>
        </w:rPr>
      </w:pPr>
      <w:r w:rsidRPr="00E07570">
        <w:rPr>
          <w:b/>
        </w:rPr>
        <w:t>9b.</w:t>
      </w:r>
      <w:r w:rsidRPr="00E07570">
        <w:rPr>
          <w:b/>
        </w:rPr>
        <w:tab/>
        <w:t>Moyen par lequel il est prévu d</w:t>
      </w:r>
      <w:r w:rsidR="00145E4B">
        <w:rPr>
          <w:b/>
        </w:rPr>
        <w:t>’</w:t>
      </w:r>
      <w:r w:rsidRPr="00E07570">
        <w:rPr>
          <w:b/>
        </w:rPr>
        <w:t>associer l</w:t>
      </w:r>
      <w:r w:rsidR="00145E4B">
        <w:rPr>
          <w:b/>
        </w:rPr>
        <w:t>’</w:t>
      </w:r>
      <w:r w:rsidRPr="00E07570">
        <w:rPr>
          <w:b/>
        </w:rPr>
        <w:t xml:space="preserve">AECD à une homologation </w:t>
      </w:r>
      <w:r w:rsidRPr="00E07570">
        <w:rPr>
          <w:b/>
        </w:rPr>
        <w:br/>
        <w:t>d</w:t>
      </w:r>
      <w:r w:rsidR="00145E4B">
        <w:rPr>
          <w:b/>
        </w:rPr>
        <w:t>’</w:t>
      </w:r>
      <w:r w:rsidRPr="00E07570">
        <w:rPr>
          <w:b/>
        </w:rPr>
        <w:t>AECD en application de la partie </w:t>
      </w:r>
      <w:proofErr w:type="spellStart"/>
      <w:r w:rsidR="00A22689" w:rsidRPr="00E07570">
        <w:rPr>
          <w:b/>
        </w:rPr>
        <w:t>Ib</w:t>
      </w:r>
      <w:proofErr w:type="spellEnd"/>
      <w:r w:rsidRPr="00E07570">
        <w:rPr>
          <w:b/>
        </w:rPr>
        <w:t xml:space="preserve"> du présent Règlement </w:t>
      </w:r>
      <w:r w:rsidRPr="00E07570">
        <w:rPr>
          <w:b/>
        </w:rPr>
        <w:br/>
        <w:t>(voir le paragraphe 25) :</w:t>
      </w:r>
      <w:r w:rsidRPr="00E07570">
        <w:rPr>
          <w:b/>
        </w:rPr>
        <w:tab/>
      </w:r>
    </w:p>
    <w:p w:rsidR="00E00474" w:rsidRPr="00E07570" w:rsidRDefault="00E00474" w:rsidP="00D80914">
      <w:pPr>
        <w:pStyle w:val="SingleTxtG"/>
        <w:jc w:val="left"/>
      </w:pPr>
      <w:r w:rsidRPr="00E07570">
        <w:t>10.</w:t>
      </w:r>
      <w:r w:rsidRPr="00E07570">
        <w:tab/>
      </w:r>
      <w:r w:rsidR="00D80914" w:rsidRPr="00E07570">
        <w:t>Signaux d</w:t>
      </w:r>
      <w:r w:rsidR="00145E4B">
        <w:t>’</w:t>
      </w:r>
      <w:r w:rsidR="00D80914" w:rsidRPr="00E07570">
        <w:t>information et d</w:t>
      </w:r>
      <w:r w:rsidR="00145E4B">
        <w:t>’</w:t>
      </w:r>
      <w:r w:rsidR="00D80914" w:rsidRPr="00E07570">
        <w:t>avertissement : oui/non</w:t>
      </w:r>
      <w:r w:rsidRPr="00E07570">
        <w:rPr>
          <w:sz w:val="18"/>
          <w:szCs w:val="18"/>
          <w:vertAlign w:val="superscript"/>
        </w:rPr>
        <w:t>2</w:t>
      </w:r>
    </w:p>
    <w:p w:rsidR="00E00474" w:rsidRPr="00E07570" w:rsidRDefault="00E00474" w:rsidP="00D80914">
      <w:pPr>
        <w:pStyle w:val="SingleTxtG"/>
        <w:ind w:left="1701" w:hanging="567"/>
        <w:jc w:val="left"/>
      </w:pPr>
      <w:r w:rsidRPr="00E07570">
        <w:t>11.</w:t>
      </w:r>
      <w:r w:rsidRPr="00E07570">
        <w:tab/>
      </w:r>
      <w:r w:rsidR="00D80914" w:rsidRPr="00E07570">
        <w:t>L</w:t>
      </w:r>
      <w:r w:rsidR="00145E4B">
        <w:t>’</w:t>
      </w:r>
      <w:r w:rsidR="00D80914" w:rsidRPr="00E07570">
        <w:t>AECS a été éprouvé conformément à l</w:t>
      </w:r>
      <w:r w:rsidR="00145E4B">
        <w:t>’</w:t>
      </w:r>
      <w:r w:rsidR="00D80914" w:rsidRPr="00E07570">
        <w:t>annexe </w:t>
      </w:r>
      <w:r w:rsidR="00D80914" w:rsidRPr="00E07570">
        <w:rPr>
          <w:b/>
        </w:rPr>
        <w:t>10</w:t>
      </w:r>
      <w:r w:rsidR="00D80914" w:rsidRPr="00E07570">
        <w:t xml:space="preserve"> (solution de navigation) : oui/non</w:t>
      </w:r>
      <w:r w:rsidRPr="00E07570">
        <w:rPr>
          <w:sz w:val="18"/>
          <w:szCs w:val="18"/>
          <w:vertAlign w:val="superscript"/>
        </w:rPr>
        <w:t>2</w:t>
      </w:r>
    </w:p>
    <w:p w:rsidR="00E00474" w:rsidRPr="00E07570" w:rsidRDefault="00E00474" w:rsidP="00D80914">
      <w:pPr>
        <w:pStyle w:val="SingleTxtG"/>
        <w:ind w:left="1701" w:hanging="567"/>
        <w:jc w:val="left"/>
      </w:pPr>
      <w:r w:rsidRPr="00E07570">
        <w:t>12.</w:t>
      </w:r>
      <w:r w:rsidRPr="00E07570">
        <w:tab/>
      </w:r>
      <w:r w:rsidR="00D80914" w:rsidRPr="00E07570">
        <w:t>L</w:t>
      </w:r>
      <w:r w:rsidR="00145E4B">
        <w:t>’</w:t>
      </w:r>
      <w:r w:rsidR="00D80914" w:rsidRPr="00E07570">
        <w:t>AECS a été éprouvé conformément au paragraphe </w:t>
      </w:r>
      <w:r w:rsidR="00D80914" w:rsidRPr="00E07570">
        <w:rPr>
          <w:b/>
        </w:rPr>
        <w:t>26.6.1</w:t>
      </w:r>
      <w:r w:rsidR="00D80914" w:rsidRPr="00E07570">
        <w:t xml:space="preserve"> (efficacité du système audio mains </w:t>
      </w:r>
      <w:r w:rsidR="00305F8B" w:rsidRPr="00E07570">
        <w:t>libres</w:t>
      </w:r>
      <w:r w:rsidR="00D80914" w:rsidRPr="00E07570">
        <w:t xml:space="preserve"> avant accident) : </w:t>
      </w:r>
      <w:r w:rsidRPr="00E07570">
        <w:t>oui/non</w:t>
      </w:r>
      <w:r w:rsidRPr="00E07570">
        <w:rPr>
          <w:sz w:val="18"/>
          <w:szCs w:val="18"/>
          <w:vertAlign w:val="superscript"/>
        </w:rPr>
        <w:t>2</w:t>
      </w:r>
      <w:r w:rsidRPr="00E07570">
        <w:rPr>
          <w:vertAlign w:val="superscript"/>
        </w:rPr>
        <w:t xml:space="preserve"> </w:t>
      </w:r>
    </w:p>
    <w:p w:rsidR="00E00474" w:rsidRPr="00E07570" w:rsidRDefault="00E00474" w:rsidP="00D80914">
      <w:pPr>
        <w:pStyle w:val="SingleTxtG"/>
        <w:tabs>
          <w:tab w:val="right" w:leader="dot" w:pos="8505"/>
        </w:tabs>
        <w:kinsoku/>
        <w:overflowPunct/>
        <w:autoSpaceDE/>
        <w:autoSpaceDN/>
        <w:adjustRightInd/>
        <w:snapToGrid/>
        <w:ind w:left="1701" w:hanging="567"/>
        <w:jc w:val="left"/>
      </w:pPr>
      <w:r w:rsidRPr="00E07570">
        <w:t>13.</w:t>
      </w:r>
      <w:r w:rsidRPr="00E07570">
        <w:tab/>
        <w:t>Emplacement de la marque d</w:t>
      </w:r>
      <w:r w:rsidR="00145E4B">
        <w:t>’</w:t>
      </w:r>
      <w:r w:rsidRPr="00E07570">
        <w:t>homologation :</w:t>
      </w:r>
      <w:r w:rsidRPr="00E07570">
        <w:tab/>
      </w:r>
    </w:p>
    <w:p w:rsidR="00E00474" w:rsidRPr="00E07570" w:rsidRDefault="00E00474" w:rsidP="00D80914">
      <w:pPr>
        <w:pStyle w:val="SingleTxtG"/>
        <w:tabs>
          <w:tab w:val="right" w:leader="dot" w:pos="8505"/>
        </w:tabs>
        <w:kinsoku/>
        <w:overflowPunct/>
        <w:autoSpaceDE/>
        <w:autoSpaceDN/>
        <w:adjustRightInd/>
        <w:snapToGrid/>
        <w:ind w:left="1701" w:hanging="567"/>
        <w:jc w:val="left"/>
      </w:pPr>
      <w:r w:rsidRPr="00E07570">
        <w:t>14.</w:t>
      </w:r>
      <w:r w:rsidRPr="00E07570">
        <w:tab/>
        <w:t>Motif(s) de l</w:t>
      </w:r>
      <w:r w:rsidR="00145E4B">
        <w:t>’</w:t>
      </w:r>
      <w:r w:rsidRPr="00E07570">
        <w:t>extension d</w:t>
      </w:r>
      <w:r w:rsidR="00145E4B">
        <w:t>’</w:t>
      </w:r>
      <w:r w:rsidRPr="00E07570">
        <w:t>homologation (le cas échéant) :</w:t>
      </w:r>
      <w:r w:rsidRPr="00E07570">
        <w:tab/>
      </w:r>
    </w:p>
    <w:p w:rsidR="00E00474" w:rsidRPr="00E07570" w:rsidRDefault="00E00474" w:rsidP="00D80914">
      <w:pPr>
        <w:pStyle w:val="SingleTxtG"/>
        <w:tabs>
          <w:tab w:val="right" w:leader="dot" w:pos="8505"/>
        </w:tabs>
        <w:kinsoku/>
        <w:overflowPunct/>
        <w:autoSpaceDE/>
        <w:autoSpaceDN/>
        <w:adjustRightInd/>
        <w:snapToGrid/>
        <w:ind w:left="1701" w:hanging="567"/>
        <w:jc w:val="left"/>
      </w:pPr>
      <w:r w:rsidRPr="00E07570">
        <w:t>15.</w:t>
      </w:r>
      <w:r w:rsidRPr="00E07570">
        <w:tab/>
        <w:t>Homologation accordée/étendue/refusée/retirée</w:t>
      </w:r>
      <w:r w:rsidRPr="00E07570">
        <w:rPr>
          <w:sz w:val="18"/>
          <w:szCs w:val="18"/>
          <w:vertAlign w:val="superscript"/>
        </w:rPr>
        <w:t>2</w:t>
      </w:r>
      <w:r w:rsidRPr="00E07570">
        <w:t> :</w:t>
      </w:r>
      <w:r w:rsidRPr="00E07570">
        <w:tab/>
      </w:r>
    </w:p>
    <w:p w:rsidR="00E00474" w:rsidRPr="00E07570" w:rsidRDefault="00E00474" w:rsidP="00D80914">
      <w:pPr>
        <w:pStyle w:val="SingleTxtG"/>
        <w:tabs>
          <w:tab w:val="right" w:leader="dot" w:pos="8505"/>
        </w:tabs>
        <w:kinsoku/>
        <w:overflowPunct/>
        <w:autoSpaceDE/>
        <w:autoSpaceDN/>
        <w:adjustRightInd/>
        <w:snapToGrid/>
        <w:ind w:left="1701" w:hanging="567"/>
        <w:jc w:val="left"/>
      </w:pPr>
      <w:r w:rsidRPr="00E07570">
        <w:t>16.</w:t>
      </w:r>
      <w:r w:rsidRPr="00E07570">
        <w:tab/>
        <w:t>Lieu :</w:t>
      </w:r>
      <w:r w:rsidRPr="00E07570">
        <w:tab/>
      </w:r>
    </w:p>
    <w:p w:rsidR="00E00474" w:rsidRPr="00E07570" w:rsidRDefault="00E00474" w:rsidP="00E00474">
      <w:pPr>
        <w:pStyle w:val="SingleTxtG"/>
        <w:tabs>
          <w:tab w:val="right" w:leader="dot" w:pos="8505"/>
        </w:tabs>
        <w:kinsoku/>
        <w:overflowPunct/>
        <w:autoSpaceDE/>
        <w:autoSpaceDN/>
        <w:adjustRightInd/>
        <w:snapToGrid/>
        <w:ind w:left="1701" w:hanging="567"/>
        <w:jc w:val="left"/>
      </w:pPr>
      <w:r w:rsidRPr="00E07570">
        <w:t>17.</w:t>
      </w:r>
      <w:r w:rsidRPr="00E07570">
        <w:tab/>
        <w:t>Date :</w:t>
      </w:r>
      <w:r w:rsidRPr="00E07570">
        <w:tab/>
      </w:r>
    </w:p>
    <w:p w:rsidR="00E00474" w:rsidRPr="00E07570" w:rsidRDefault="00E00474" w:rsidP="00E00474">
      <w:pPr>
        <w:pStyle w:val="SingleTxtG"/>
        <w:tabs>
          <w:tab w:val="right" w:leader="dot" w:pos="8505"/>
        </w:tabs>
        <w:kinsoku/>
        <w:overflowPunct/>
        <w:autoSpaceDE/>
        <w:autoSpaceDN/>
        <w:adjustRightInd/>
        <w:snapToGrid/>
        <w:ind w:left="1701" w:hanging="567"/>
        <w:jc w:val="left"/>
      </w:pPr>
      <w:r w:rsidRPr="00E07570">
        <w:t>18.</w:t>
      </w:r>
      <w:r w:rsidRPr="00E07570">
        <w:tab/>
        <w:t>Signature :</w:t>
      </w:r>
      <w:r w:rsidRPr="00E07570">
        <w:tab/>
      </w:r>
    </w:p>
    <w:p w:rsidR="0012036F" w:rsidRPr="00E07570" w:rsidRDefault="00E00474" w:rsidP="00E00474">
      <w:pPr>
        <w:pStyle w:val="SingleTxtG"/>
        <w:ind w:left="1701" w:hanging="567"/>
        <w:jc w:val="left"/>
        <w:sectPr w:rsidR="0012036F" w:rsidRPr="00E07570" w:rsidSect="0038209A">
          <w:footnotePr>
            <w:numRestart w:val="eachSect"/>
          </w:footnotePr>
          <w:endnotePr>
            <w:numFmt w:val="decimal"/>
          </w:endnotePr>
          <w:pgSz w:w="11906" w:h="16838" w:code="9"/>
          <w:pgMar w:top="1417" w:right="1134" w:bottom="1134" w:left="1134" w:header="850" w:footer="567" w:gutter="0"/>
          <w:cols w:space="708"/>
          <w:docGrid w:linePitch="360"/>
        </w:sectPr>
      </w:pPr>
      <w:r w:rsidRPr="00E07570">
        <w:t>19.</w:t>
      </w:r>
      <w:r w:rsidRPr="00E07570">
        <w:tab/>
        <w:t>La liste des documents déposés auprès de l</w:t>
      </w:r>
      <w:r w:rsidR="00145E4B">
        <w:t>’</w:t>
      </w:r>
      <w:r w:rsidRPr="00E07570">
        <w:t>autorité d</w:t>
      </w:r>
      <w:r w:rsidR="00145E4B">
        <w:t>’</w:t>
      </w:r>
      <w:r w:rsidRPr="00E07570">
        <w:t>homologation de type ayant accordé l</w:t>
      </w:r>
      <w:r w:rsidR="00145E4B">
        <w:t>’</w:t>
      </w:r>
      <w:r w:rsidRPr="00E07570">
        <w:t>homologation est annexée à la présente communication et peut être obtenue sur demande.</w:t>
      </w:r>
    </w:p>
    <w:p w:rsidR="0012036F" w:rsidRPr="00E07570" w:rsidRDefault="0012036F" w:rsidP="00D64437">
      <w:pPr>
        <w:pStyle w:val="HChG"/>
        <w:spacing w:before="320" w:after="200"/>
      </w:pPr>
      <w:r w:rsidRPr="00E07570">
        <w:t>Annexe 4</w:t>
      </w:r>
    </w:p>
    <w:p w:rsidR="0012036F" w:rsidRPr="00E07570" w:rsidRDefault="0012036F" w:rsidP="00D64437">
      <w:pPr>
        <w:pStyle w:val="HChG"/>
        <w:spacing w:before="320" w:after="200"/>
      </w:pPr>
      <w:r w:rsidRPr="00E07570">
        <w:tab/>
      </w:r>
      <w:r w:rsidRPr="00E07570">
        <w:tab/>
        <w:t>Communication</w:t>
      </w:r>
    </w:p>
    <w:p w:rsidR="0012036F" w:rsidRPr="00E07570" w:rsidRDefault="0012036F" w:rsidP="0012036F">
      <w:pPr>
        <w:pStyle w:val="SingleTxtG"/>
      </w:pPr>
      <w:r w:rsidRPr="00E07570">
        <w:t>(Format maximal : A4 (210 x 297 mm))</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2"/>
        <w:gridCol w:w="3969"/>
      </w:tblGrid>
      <w:tr w:rsidR="0012036F" w:rsidRPr="00E07570" w:rsidTr="0012036F">
        <w:tc>
          <w:tcPr>
            <w:tcW w:w="3402" w:type="dxa"/>
          </w:tcPr>
          <w:p w:rsidR="0012036F" w:rsidRPr="00E07570" w:rsidRDefault="0012036F" w:rsidP="0012036F">
            <w:pPr>
              <w:pStyle w:val="SingleTxtG"/>
              <w:spacing w:after="0"/>
              <w:ind w:left="0"/>
            </w:pPr>
            <w:r w:rsidRPr="00E07570">
              <w:object w:dxaOrig="1684" w:dyaOrig="1675">
                <v:shape id="_x0000_i1028" type="#_x0000_t75" style="width:84pt;height:84pt" o:ole="">
                  <v:imagedata r:id="rId15" o:title=""/>
                </v:shape>
                <o:OLEObject Type="Embed" ProgID="Word.Picture.8" ShapeID="_x0000_i1028" DrawAspect="Content" ObjectID="_1551078326" r:id="rId19"/>
              </w:object>
            </w:r>
            <w:r w:rsidRPr="009F1CF1">
              <w:rPr>
                <w:rStyle w:val="FootnoteReference"/>
                <w:color w:val="FFFFFF" w:themeColor="background1"/>
              </w:rPr>
              <w:footnoteReference w:id="16"/>
            </w:r>
          </w:p>
        </w:tc>
        <w:tc>
          <w:tcPr>
            <w:tcW w:w="3969" w:type="dxa"/>
          </w:tcPr>
          <w:p w:rsidR="0012036F" w:rsidRPr="00E07570" w:rsidRDefault="0012036F" w:rsidP="0012036F">
            <w:pPr>
              <w:ind w:left="1701" w:hanging="1701"/>
            </w:pPr>
            <w:r w:rsidRPr="00E07570">
              <w:t>Émanant de :</w:t>
            </w:r>
            <w:r w:rsidRPr="00E07570">
              <w:tab/>
              <w:t>Nom de l</w:t>
            </w:r>
            <w:r w:rsidR="00145E4B">
              <w:t>’</w:t>
            </w:r>
            <w:r w:rsidRPr="00E07570">
              <w:t>administration :</w:t>
            </w:r>
          </w:p>
          <w:p w:rsidR="0012036F" w:rsidRPr="00E07570" w:rsidRDefault="0012036F" w:rsidP="0012036F">
            <w:pPr>
              <w:pStyle w:val="SingleTxtG"/>
              <w:tabs>
                <w:tab w:val="right" w:leader="dot" w:pos="3686"/>
              </w:tabs>
              <w:spacing w:after="0"/>
              <w:ind w:left="1701" w:right="0"/>
            </w:pPr>
            <w:r w:rsidRPr="00E07570">
              <w:tab/>
            </w:r>
          </w:p>
          <w:p w:rsidR="0012036F" w:rsidRPr="00E07570" w:rsidRDefault="0012036F" w:rsidP="0012036F">
            <w:pPr>
              <w:pStyle w:val="SingleTxtG"/>
              <w:tabs>
                <w:tab w:val="right" w:leader="dot" w:pos="3686"/>
              </w:tabs>
              <w:spacing w:after="0"/>
              <w:ind w:left="1701" w:right="0"/>
            </w:pPr>
            <w:r w:rsidRPr="00E07570">
              <w:tab/>
            </w:r>
          </w:p>
          <w:p w:rsidR="0012036F" w:rsidRPr="00E07570" w:rsidRDefault="0012036F" w:rsidP="0012036F">
            <w:pPr>
              <w:pStyle w:val="SingleTxtG"/>
              <w:tabs>
                <w:tab w:val="right" w:leader="dot" w:pos="3686"/>
              </w:tabs>
              <w:spacing w:after="0"/>
              <w:ind w:left="1701" w:right="0"/>
            </w:pPr>
            <w:r w:rsidRPr="00E07570">
              <w:tab/>
            </w:r>
          </w:p>
        </w:tc>
      </w:tr>
    </w:tbl>
    <w:p w:rsidR="0012036F" w:rsidRPr="00E07570" w:rsidRDefault="0012036F" w:rsidP="0012036F">
      <w:pPr>
        <w:pStyle w:val="SingleTxtG"/>
        <w:spacing w:before="120"/>
        <w:ind w:left="2552" w:hanging="1418"/>
        <w:jc w:val="left"/>
      </w:pPr>
      <w:proofErr w:type="gramStart"/>
      <w:r w:rsidRPr="00E07570">
        <w:t>concernant</w:t>
      </w:r>
      <w:proofErr w:type="gramEnd"/>
      <w:r w:rsidRPr="00E07570">
        <w:rPr>
          <w:rStyle w:val="FootnoteReference"/>
        </w:rPr>
        <w:footnoteReference w:id="17"/>
      </w:r>
      <w:r w:rsidRPr="00E07570">
        <w:t> :</w:t>
      </w:r>
      <w:r w:rsidRPr="00E07570">
        <w:tab/>
        <w:t>Délivrance d</w:t>
      </w:r>
      <w:r w:rsidR="00145E4B">
        <w:t>’</w:t>
      </w:r>
      <w:r w:rsidRPr="00E07570">
        <w:t>une homologation</w:t>
      </w:r>
      <w:r w:rsidRPr="00E07570">
        <w:br/>
        <w:t>Extension d</w:t>
      </w:r>
      <w:r w:rsidR="00145E4B">
        <w:t>’</w:t>
      </w:r>
      <w:r w:rsidRPr="00E07570">
        <w:t>homologation</w:t>
      </w:r>
      <w:r w:rsidRPr="00E07570">
        <w:br/>
        <w:t>Refus d</w:t>
      </w:r>
      <w:r w:rsidR="00145E4B">
        <w:t>’</w:t>
      </w:r>
      <w:r w:rsidRPr="00E07570">
        <w:t>homologation</w:t>
      </w:r>
      <w:r w:rsidRPr="00E07570">
        <w:br/>
        <w:t>Retrait d</w:t>
      </w:r>
      <w:r w:rsidR="00145E4B">
        <w:t>’</w:t>
      </w:r>
      <w:r w:rsidRPr="00E07570">
        <w:t>homologation</w:t>
      </w:r>
      <w:r w:rsidRPr="00E07570">
        <w:br/>
        <w:t>Arrêt définitif de la production</w:t>
      </w:r>
    </w:p>
    <w:p w:rsidR="0012036F" w:rsidRPr="00E07570" w:rsidRDefault="002008AE" w:rsidP="0012036F">
      <w:pPr>
        <w:pStyle w:val="SingleTxtG"/>
      </w:pPr>
      <w:proofErr w:type="gramStart"/>
      <w:r w:rsidRPr="00E07570">
        <w:t>d</w:t>
      </w:r>
      <w:r w:rsidR="00145E4B">
        <w:t>’</w:t>
      </w:r>
      <w:r w:rsidRPr="00E07570">
        <w:t>un</w:t>
      </w:r>
      <w:proofErr w:type="gramEnd"/>
      <w:r w:rsidRPr="00E07570">
        <w:t xml:space="preserve"> type de véhicule de catégorie M</w:t>
      </w:r>
      <w:r w:rsidRPr="00E07570">
        <w:rPr>
          <w:vertAlign w:val="subscript"/>
        </w:rPr>
        <w:t>1</w:t>
      </w:r>
      <w:r w:rsidRPr="00E07570">
        <w:t xml:space="preserve"> ou N</w:t>
      </w:r>
      <w:r w:rsidRPr="00E07570">
        <w:rPr>
          <w:vertAlign w:val="subscript"/>
        </w:rPr>
        <w:t>1</w:t>
      </w:r>
      <w:r w:rsidRPr="00E07570">
        <w:t xml:space="preserve"> homologué en application de la partie III du</w:t>
      </w:r>
      <w:r w:rsidR="00892028" w:rsidRPr="00E07570">
        <w:t> </w:t>
      </w:r>
      <w:r w:rsidR="0012036F" w:rsidRPr="00E07570">
        <w:t>Règlement n</w:t>
      </w:r>
      <w:r w:rsidR="0012036F" w:rsidRPr="00E07570">
        <w:rPr>
          <w:vertAlign w:val="superscript"/>
        </w:rPr>
        <w:t>o</w:t>
      </w:r>
      <w:r w:rsidR="0012036F" w:rsidRPr="00E07570">
        <w:t> XXX.</w:t>
      </w:r>
    </w:p>
    <w:p w:rsidR="0012036F" w:rsidRPr="00E07570" w:rsidRDefault="0012036F" w:rsidP="0012036F">
      <w:pPr>
        <w:pStyle w:val="SingleTxtG"/>
        <w:tabs>
          <w:tab w:val="right" w:leader="dot" w:pos="4253"/>
          <w:tab w:val="left" w:pos="4536"/>
          <w:tab w:val="right" w:leader="dot" w:pos="8505"/>
        </w:tabs>
        <w:jc w:val="left"/>
      </w:pPr>
      <w:r w:rsidRPr="00E07570">
        <w:t>N</w:t>
      </w:r>
      <w:r w:rsidRPr="00E07570">
        <w:rPr>
          <w:vertAlign w:val="superscript"/>
        </w:rPr>
        <w:t>o</w:t>
      </w:r>
      <w:r w:rsidRPr="00E07570">
        <w:t xml:space="preserve"> d</w:t>
      </w:r>
      <w:r w:rsidR="00145E4B">
        <w:t>’</w:t>
      </w:r>
      <w:r w:rsidRPr="00E07570">
        <w:t>homologation</w:t>
      </w:r>
      <w:r w:rsidRPr="00E07570">
        <w:tab/>
      </w:r>
      <w:r w:rsidRPr="00E07570">
        <w:tab/>
        <w:t>N</w:t>
      </w:r>
      <w:r w:rsidRPr="00E07570">
        <w:rPr>
          <w:vertAlign w:val="superscript"/>
        </w:rPr>
        <w:t>o</w:t>
      </w:r>
      <w:r w:rsidRPr="00E07570">
        <w:t xml:space="preserve"> d</w:t>
      </w:r>
      <w:r w:rsidR="00145E4B">
        <w:t>’</w:t>
      </w:r>
      <w:r w:rsidRPr="00E07570">
        <w:t>extension</w:t>
      </w:r>
      <w:r w:rsidRPr="00E07570">
        <w:tab/>
      </w:r>
    </w:p>
    <w:p w:rsidR="0012036F" w:rsidRPr="00E07570" w:rsidRDefault="0012036F" w:rsidP="0012036F">
      <w:pPr>
        <w:pStyle w:val="SingleTxtG"/>
        <w:tabs>
          <w:tab w:val="right" w:leader="dot" w:pos="8505"/>
        </w:tabs>
        <w:kinsoku/>
        <w:overflowPunct/>
        <w:autoSpaceDE/>
        <w:autoSpaceDN/>
        <w:adjustRightInd/>
        <w:snapToGrid/>
        <w:ind w:left="1701" w:hanging="567"/>
        <w:jc w:val="left"/>
      </w:pPr>
      <w:r w:rsidRPr="00E07570">
        <w:t>1.</w:t>
      </w:r>
      <w:r w:rsidRPr="00E07570">
        <w:tab/>
        <w:t>Marque de fabrique ou de commerce du dispositif :</w:t>
      </w:r>
      <w:r w:rsidRPr="00E07570">
        <w:tab/>
      </w:r>
    </w:p>
    <w:p w:rsidR="0012036F" w:rsidRPr="00E07570" w:rsidRDefault="0012036F" w:rsidP="0012036F">
      <w:pPr>
        <w:pStyle w:val="SingleTxtG"/>
        <w:tabs>
          <w:tab w:val="right" w:leader="dot" w:pos="8505"/>
        </w:tabs>
        <w:kinsoku/>
        <w:overflowPunct/>
        <w:autoSpaceDE/>
        <w:autoSpaceDN/>
        <w:adjustRightInd/>
        <w:snapToGrid/>
        <w:ind w:left="1701" w:hanging="567"/>
        <w:jc w:val="left"/>
      </w:pPr>
      <w:r w:rsidRPr="00E07570">
        <w:t>2.</w:t>
      </w:r>
      <w:r w:rsidRPr="00E07570">
        <w:tab/>
        <w:t>Nom du constructeur pour le type de dispositif :</w:t>
      </w:r>
      <w:r w:rsidRPr="00E07570">
        <w:tab/>
      </w:r>
    </w:p>
    <w:p w:rsidR="0012036F" w:rsidRPr="00E07570" w:rsidRDefault="0012036F" w:rsidP="0012036F">
      <w:pPr>
        <w:pStyle w:val="SingleTxtG"/>
        <w:tabs>
          <w:tab w:val="right" w:leader="dot" w:pos="8505"/>
        </w:tabs>
        <w:kinsoku/>
        <w:overflowPunct/>
        <w:autoSpaceDE/>
        <w:autoSpaceDN/>
        <w:adjustRightInd/>
        <w:snapToGrid/>
        <w:ind w:left="1701" w:hanging="567"/>
        <w:jc w:val="left"/>
      </w:pPr>
      <w:r w:rsidRPr="00E07570">
        <w:t>3.</w:t>
      </w:r>
      <w:r w:rsidRPr="00E07570">
        <w:tab/>
        <w:t>Nom et adresse du constructeur :</w:t>
      </w:r>
      <w:r w:rsidRPr="00E07570">
        <w:tab/>
      </w:r>
    </w:p>
    <w:p w:rsidR="0012036F" w:rsidRPr="00E07570" w:rsidRDefault="0012036F" w:rsidP="0012036F">
      <w:pPr>
        <w:pStyle w:val="SingleTxtG"/>
        <w:tabs>
          <w:tab w:val="right" w:leader="dot" w:pos="8505"/>
        </w:tabs>
        <w:kinsoku/>
        <w:overflowPunct/>
        <w:autoSpaceDE/>
        <w:autoSpaceDN/>
        <w:adjustRightInd/>
        <w:snapToGrid/>
        <w:ind w:left="1701" w:hanging="567"/>
        <w:jc w:val="left"/>
      </w:pPr>
      <w:r w:rsidRPr="00E07570">
        <w:t>4.</w:t>
      </w:r>
      <w:r w:rsidRPr="00E07570">
        <w:tab/>
        <w:t>Nom et adresse du représentant du constructeur (le cas échéant) :</w:t>
      </w:r>
      <w:r w:rsidRPr="00E07570">
        <w:tab/>
      </w:r>
    </w:p>
    <w:p w:rsidR="0012036F" w:rsidRPr="00E07570" w:rsidRDefault="0012036F" w:rsidP="0012036F">
      <w:pPr>
        <w:pStyle w:val="SingleTxtG"/>
        <w:tabs>
          <w:tab w:val="right" w:leader="dot" w:pos="8505"/>
        </w:tabs>
        <w:kinsoku/>
        <w:overflowPunct/>
        <w:autoSpaceDE/>
        <w:autoSpaceDN/>
        <w:adjustRightInd/>
        <w:snapToGrid/>
        <w:ind w:left="1701" w:hanging="567"/>
        <w:jc w:val="left"/>
      </w:pPr>
      <w:r w:rsidRPr="00E07570">
        <w:t>5.</w:t>
      </w:r>
      <w:r w:rsidRPr="00E07570">
        <w:tab/>
        <w:t>Soumis à l</w:t>
      </w:r>
      <w:r w:rsidR="00145E4B">
        <w:t>’</w:t>
      </w:r>
      <w:r w:rsidRPr="00E07570">
        <w:t>homologation le :</w:t>
      </w:r>
      <w:r w:rsidRPr="00E07570">
        <w:tab/>
      </w:r>
    </w:p>
    <w:p w:rsidR="0012036F" w:rsidRPr="00E07570" w:rsidRDefault="0012036F" w:rsidP="0012036F">
      <w:pPr>
        <w:pStyle w:val="SingleTxtG"/>
        <w:tabs>
          <w:tab w:val="right" w:leader="dot" w:pos="8505"/>
        </w:tabs>
        <w:kinsoku/>
        <w:overflowPunct/>
        <w:autoSpaceDE/>
        <w:autoSpaceDN/>
        <w:adjustRightInd/>
        <w:snapToGrid/>
        <w:ind w:left="1701" w:hanging="567"/>
        <w:jc w:val="left"/>
      </w:pPr>
      <w:r w:rsidRPr="00E07570">
        <w:t>6.</w:t>
      </w:r>
      <w:r w:rsidRPr="00E07570">
        <w:tab/>
        <w:t>Service technique chargé des essais :</w:t>
      </w:r>
      <w:r w:rsidRPr="00E07570">
        <w:tab/>
      </w:r>
    </w:p>
    <w:p w:rsidR="0012036F" w:rsidRPr="00E07570" w:rsidRDefault="0012036F" w:rsidP="0012036F">
      <w:pPr>
        <w:pStyle w:val="SingleTxtG"/>
        <w:tabs>
          <w:tab w:val="right" w:leader="dot" w:pos="8505"/>
        </w:tabs>
        <w:kinsoku/>
        <w:overflowPunct/>
        <w:autoSpaceDE/>
        <w:autoSpaceDN/>
        <w:adjustRightInd/>
        <w:snapToGrid/>
        <w:ind w:left="1701" w:hanging="567"/>
        <w:jc w:val="left"/>
      </w:pPr>
      <w:r w:rsidRPr="00E07570">
        <w:t>7.</w:t>
      </w:r>
      <w:r w:rsidRPr="00E07570">
        <w:tab/>
        <w:t>Date du procès-verbal d</w:t>
      </w:r>
      <w:r w:rsidR="00145E4B">
        <w:t>’</w:t>
      </w:r>
      <w:r w:rsidRPr="00E07570">
        <w:t>essai :</w:t>
      </w:r>
      <w:r w:rsidRPr="00E07570">
        <w:tab/>
      </w:r>
    </w:p>
    <w:p w:rsidR="0012036F" w:rsidRPr="00E07570" w:rsidRDefault="0012036F" w:rsidP="0012036F">
      <w:pPr>
        <w:pStyle w:val="SingleTxtG"/>
        <w:tabs>
          <w:tab w:val="right" w:leader="dot" w:pos="8505"/>
        </w:tabs>
        <w:kinsoku/>
        <w:overflowPunct/>
        <w:autoSpaceDE/>
        <w:autoSpaceDN/>
        <w:adjustRightInd/>
        <w:snapToGrid/>
        <w:ind w:left="1701" w:hanging="567"/>
        <w:jc w:val="left"/>
      </w:pPr>
      <w:r w:rsidRPr="00E07570">
        <w:t>8.</w:t>
      </w:r>
      <w:r w:rsidRPr="00E07570">
        <w:tab/>
        <w:t>Numéro du procès-verbal d</w:t>
      </w:r>
      <w:r w:rsidR="00145E4B">
        <w:t>’</w:t>
      </w:r>
      <w:r w:rsidRPr="00E07570">
        <w:t>essai :</w:t>
      </w:r>
      <w:r w:rsidRPr="00E07570">
        <w:tab/>
      </w:r>
    </w:p>
    <w:p w:rsidR="0012036F" w:rsidRPr="00E07570" w:rsidRDefault="0012036F" w:rsidP="0012036F">
      <w:pPr>
        <w:pStyle w:val="SingleTxtG"/>
        <w:tabs>
          <w:tab w:val="right" w:leader="dot" w:pos="8505"/>
        </w:tabs>
        <w:kinsoku/>
        <w:overflowPunct/>
        <w:autoSpaceDE/>
        <w:autoSpaceDN/>
        <w:adjustRightInd/>
        <w:snapToGrid/>
        <w:ind w:left="1701" w:hanging="567"/>
        <w:jc w:val="left"/>
      </w:pPr>
      <w:r w:rsidRPr="00E07570">
        <w:t>9.</w:t>
      </w:r>
      <w:r w:rsidRPr="00E07570">
        <w:tab/>
        <w:t>Description sommaire :</w:t>
      </w:r>
      <w:r w:rsidRPr="00E07570">
        <w:tab/>
      </w:r>
    </w:p>
    <w:p w:rsidR="0012036F" w:rsidRPr="00E07570" w:rsidRDefault="0012036F" w:rsidP="0012036F">
      <w:pPr>
        <w:pStyle w:val="SingleTxtG"/>
        <w:jc w:val="left"/>
      </w:pPr>
      <w:r w:rsidRPr="00E07570">
        <w:t>10.</w:t>
      </w:r>
      <w:r w:rsidRPr="00E07570">
        <w:tab/>
        <w:t>Signaux d</w:t>
      </w:r>
      <w:r w:rsidR="00145E4B">
        <w:t>’</w:t>
      </w:r>
      <w:r w:rsidRPr="00E07570">
        <w:t>information et d</w:t>
      </w:r>
      <w:r w:rsidR="00145E4B">
        <w:t>’</w:t>
      </w:r>
      <w:r w:rsidRPr="00E07570">
        <w:t>avertissement : oui/non</w:t>
      </w:r>
      <w:r w:rsidRPr="00E07570">
        <w:rPr>
          <w:sz w:val="18"/>
          <w:szCs w:val="18"/>
          <w:vertAlign w:val="superscript"/>
        </w:rPr>
        <w:t>2</w:t>
      </w:r>
    </w:p>
    <w:p w:rsidR="0012036F" w:rsidRPr="00E07570" w:rsidRDefault="0012036F" w:rsidP="0012036F">
      <w:pPr>
        <w:pStyle w:val="SingleTxtG"/>
        <w:ind w:left="1701" w:hanging="567"/>
        <w:jc w:val="left"/>
      </w:pPr>
      <w:r w:rsidRPr="00E07570">
        <w:t>11.</w:t>
      </w:r>
      <w:r w:rsidRPr="00E07570">
        <w:tab/>
        <w:t>L</w:t>
      </w:r>
      <w:r w:rsidR="00145E4B">
        <w:t>’</w:t>
      </w:r>
      <w:r w:rsidRPr="00E07570">
        <w:t>AECS a été éprouvé conformément à l</w:t>
      </w:r>
      <w:r w:rsidR="00145E4B">
        <w:t>’</w:t>
      </w:r>
      <w:r w:rsidRPr="00E07570">
        <w:t>annexe </w:t>
      </w:r>
      <w:r w:rsidRPr="00E07570">
        <w:rPr>
          <w:b/>
        </w:rPr>
        <w:t>10</w:t>
      </w:r>
      <w:r w:rsidRPr="00E07570">
        <w:t xml:space="preserve"> (solution de navigation) : oui/non</w:t>
      </w:r>
      <w:r w:rsidRPr="00E07570">
        <w:rPr>
          <w:sz w:val="18"/>
          <w:szCs w:val="18"/>
          <w:vertAlign w:val="superscript"/>
        </w:rPr>
        <w:t>2</w:t>
      </w:r>
    </w:p>
    <w:p w:rsidR="0012036F" w:rsidRPr="00E07570" w:rsidRDefault="0012036F" w:rsidP="0012036F">
      <w:pPr>
        <w:pStyle w:val="SingleTxtG"/>
        <w:ind w:left="1701" w:hanging="567"/>
        <w:jc w:val="left"/>
      </w:pPr>
      <w:r w:rsidRPr="00E07570">
        <w:t>12.</w:t>
      </w:r>
      <w:r w:rsidRPr="00E07570">
        <w:tab/>
      </w:r>
      <w:r w:rsidR="002008AE" w:rsidRPr="00E07570">
        <w:t>L</w:t>
      </w:r>
      <w:r w:rsidR="00145E4B">
        <w:t>’</w:t>
      </w:r>
      <w:r w:rsidR="002008AE" w:rsidRPr="00E07570">
        <w:t>AECS a été éprouvé conformément au paragraphe </w:t>
      </w:r>
      <w:r w:rsidR="002008AE" w:rsidRPr="00E07570">
        <w:rPr>
          <w:b/>
        </w:rPr>
        <w:t>35.8.1</w:t>
      </w:r>
      <w:r w:rsidR="002008AE" w:rsidRPr="00E07570">
        <w:t xml:space="preserve"> (efficacité du système audio mains </w:t>
      </w:r>
      <w:r w:rsidR="00305F8B" w:rsidRPr="00E07570">
        <w:t>libres</w:t>
      </w:r>
      <w:r w:rsidR="002008AE" w:rsidRPr="00E07570">
        <w:t xml:space="preserve"> avant accident) </w:t>
      </w:r>
      <w:r w:rsidRPr="00E07570">
        <w:t>: oui/non</w:t>
      </w:r>
      <w:r w:rsidRPr="00E07570">
        <w:rPr>
          <w:sz w:val="18"/>
          <w:szCs w:val="18"/>
          <w:vertAlign w:val="superscript"/>
        </w:rPr>
        <w:t>2</w:t>
      </w:r>
      <w:r w:rsidRPr="00E07570">
        <w:rPr>
          <w:vertAlign w:val="superscript"/>
        </w:rPr>
        <w:t xml:space="preserve"> </w:t>
      </w:r>
    </w:p>
    <w:p w:rsidR="0012036F" w:rsidRPr="00E07570" w:rsidRDefault="0012036F" w:rsidP="0012036F">
      <w:pPr>
        <w:pStyle w:val="SingleTxtG"/>
        <w:tabs>
          <w:tab w:val="right" w:leader="dot" w:pos="8505"/>
        </w:tabs>
        <w:kinsoku/>
        <w:overflowPunct/>
        <w:autoSpaceDE/>
        <w:autoSpaceDN/>
        <w:adjustRightInd/>
        <w:snapToGrid/>
        <w:ind w:left="1701" w:hanging="567"/>
        <w:jc w:val="left"/>
      </w:pPr>
      <w:r w:rsidRPr="00E07570">
        <w:t>13.</w:t>
      </w:r>
      <w:r w:rsidRPr="00E07570">
        <w:tab/>
        <w:t>Emplacement de la marque d</w:t>
      </w:r>
      <w:r w:rsidR="00145E4B">
        <w:t>’</w:t>
      </w:r>
      <w:r w:rsidRPr="00E07570">
        <w:t>homologation :</w:t>
      </w:r>
      <w:r w:rsidRPr="00E07570">
        <w:tab/>
      </w:r>
    </w:p>
    <w:p w:rsidR="0012036F" w:rsidRPr="00E07570" w:rsidRDefault="0012036F" w:rsidP="0012036F">
      <w:pPr>
        <w:pStyle w:val="SingleTxtG"/>
        <w:tabs>
          <w:tab w:val="right" w:leader="dot" w:pos="8505"/>
        </w:tabs>
        <w:kinsoku/>
        <w:overflowPunct/>
        <w:autoSpaceDE/>
        <w:autoSpaceDN/>
        <w:adjustRightInd/>
        <w:snapToGrid/>
        <w:ind w:left="1701" w:hanging="567"/>
        <w:jc w:val="left"/>
      </w:pPr>
      <w:r w:rsidRPr="00E07570">
        <w:t>14.</w:t>
      </w:r>
      <w:r w:rsidRPr="00E07570">
        <w:tab/>
        <w:t>Motif(s) de l</w:t>
      </w:r>
      <w:r w:rsidR="00145E4B">
        <w:t>’</w:t>
      </w:r>
      <w:r w:rsidRPr="00E07570">
        <w:t>extension d</w:t>
      </w:r>
      <w:r w:rsidR="00145E4B">
        <w:t>’</w:t>
      </w:r>
      <w:r w:rsidRPr="00E07570">
        <w:t>homologation (le cas échéant) :</w:t>
      </w:r>
      <w:r w:rsidRPr="00E07570">
        <w:tab/>
      </w:r>
    </w:p>
    <w:p w:rsidR="0012036F" w:rsidRPr="00E07570" w:rsidRDefault="0012036F" w:rsidP="0012036F">
      <w:pPr>
        <w:pStyle w:val="SingleTxtG"/>
        <w:tabs>
          <w:tab w:val="right" w:leader="dot" w:pos="8505"/>
        </w:tabs>
        <w:kinsoku/>
        <w:overflowPunct/>
        <w:autoSpaceDE/>
        <w:autoSpaceDN/>
        <w:adjustRightInd/>
        <w:snapToGrid/>
        <w:ind w:left="1701" w:hanging="567"/>
        <w:jc w:val="left"/>
      </w:pPr>
      <w:r w:rsidRPr="00E07570">
        <w:t>15.</w:t>
      </w:r>
      <w:r w:rsidRPr="00E07570">
        <w:tab/>
        <w:t>Homologation accordée/étendue/refusée/retirée</w:t>
      </w:r>
      <w:r w:rsidRPr="00E07570">
        <w:rPr>
          <w:sz w:val="18"/>
          <w:szCs w:val="18"/>
          <w:vertAlign w:val="superscript"/>
        </w:rPr>
        <w:t>2</w:t>
      </w:r>
      <w:r w:rsidRPr="00E07570">
        <w:t> :</w:t>
      </w:r>
      <w:r w:rsidRPr="00E07570">
        <w:tab/>
      </w:r>
    </w:p>
    <w:p w:rsidR="0012036F" w:rsidRPr="00E07570" w:rsidRDefault="0012036F" w:rsidP="0012036F">
      <w:pPr>
        <w:pStyle w:val="SingleTxtG"/>
        <w:tabs>
          <w:tab w:val="right" w:leader="dot" w:pos="8505"/>
        </w:tabs>
        <w:kinsoku/>
        <w:overflowPunct/>
        <w:autoSpaceDE/>
        <w:autoSpaceDN/>
        <w:adjustRightInd/>
        <w:snapToGrid/>
        <w:ind w:left="1701" w:hanging="567"/>
        <w:jc w:val="left"/>
      </w:pPr>
      <w:r w:rsidRPr="00E07570">
        <w:t>16.</w:t>
      </w:r>
      <w:r w:rsidRPr="00E07570">
        <w:tab/>
        <w:t>Lieu :</w:t>
      </w:r>
      <w:r w:rsidRPr="00E07570">
        <w:tab/>
      </w:r>
    </w:p>
    <w:p w:rsidR="0012036F" w:rsidRPr="00E07570" w:rsidRDefault="0012036F" w:rsidP="0012036F">
      <w:pPr>
        <w:pStyle w:val="SingleTxtG"/>
        <w:tabs>
          <w:tab w:val="right" w:leader="dot" w:pos="8505"/>
        </w:tabs>
        <w:kinsoku/>
        <w:overflowPunct/>
        <w:autoSpaceDE/>
        <w:autoSpaceDN/>
        <w:adjustRightInd/>
        <w:snapToGrid/>
        <w:ind w:left="1701" w:hanging="567"/>
        <w:jc w:val="left"/>
      </w:pPr>
      <w:r w:rsidRPr="00E07570">
        <w:t>17.</w:t>
      </w:r>
      <w:r w:rsidRPr="00E07570">
        <w:tab/>
        <w:t>Date :</w:t>
      </w:r>
      <w:r w:rsidRPr="00E07570">
        <w:tab/>
      </w:r>
    </w:p>
    <w:p w:rsidR="0012036F" w:rsidRPr="00E07570" w:rsidRDefault="0012036F" w:rsidP="0012036F">
      <w:pPr>
        <w:pStyle w:val="SingleTxtG"/>
        <w:tabs>
          <w:tab w:val="right" w:leader="dot" w:pos="8505"/>
        </w:tabs>
        <w:kinsoku/>
        <w:overflowPunct/>
        <w:autoSpaceDE/>
        <w:autoSpaceDN/>
        <w:adjustRightInd/>
        <w:snapToGrid/>
        <w:ind w:left="1701" w:hanging="567"/>
        <w:jc w:val="left"/>
      </w:pPr>
      <w:r w:rsidRPr="00E07570">
        <w:t>18.</w:t>
      </w:r>
      <w:r w:rsidRPr="00E07570">
        <w:tab/>
        <w:t>Signature :</w:t>
      </w:r>
      <w:r w:rsidRPr="00E07570">
        <w:tab/>
      </w:r>
    </w:p>
    <w:p w:rsidR="00F23B90" w:rsidRPr="00E07570" w:rsidRDefault="0012036F" w:rsidP="003C38E6">
      <w:pPr>
        <w:pStyle w:val="SingleTxtG"/>
        <w:tabs>
          <w:tab w:val="right" w:leader="dot" w:pos="8505"/>
        </w:tabs>
        <w:kinsoku/>
        <w:overflowPunct/>
        <w:autoSpaceDE/>
        <w:autoSpaceDN/>
        <w:adjustRightInd/>
        <w:snapToGrid/>
        <w:ind w:left="1701" w:hanging="567"/>
        <w:jc w:val="left"/>
        <w:sectPr w:rsidR="00F23B90" w:rsidRPr="00E07570" w:rsidSect="0038209A">
          <w:footnotePr>
            <w:numRestart w:val="eachSect"/>
          </w:footnotePr>
          <w:endnotePr>
            <w:numFmt w:val="decimal"/>
          </w:endnotePr>
          <w:pgSz w:w="11906" w:h="16838" w:code="9"/>
          <w:pgMar w:top="1417" w:right="1134" w:bottom="1134" w:left="1134" w:header="850" w:footer="567" w:gutter="0"/>
          <w:cols w:space="708"/>
          <w:docGrid w:linePitch="360"/>
        </w:sectPr>
      </w:pPr>
      <w:r w:rsidRPr="00E07570">
        <w:t>19.</w:t>
      </w:r>
      <w:r w:rsidRPr="00E07570">
        <w:tab/>
        <w:t>La liste des documents déposés auprès de l</w:t>
      </w:r>
      <w:r w:rsidR="00145E4B">
        <w:t>’</w:t>
      </w:r>
      <w:r w:rsidRPr="00E07570">
        <w:t>autorité d</w:t>
      </w:r>
      <w:r w:rsidR="00145E4B">
        <w:t>’</w:t>
      </w:r>
      <w:r w:rsidRPr="00E07570">
        <w:t>homologation de type ayant accordé l</w:t>
      </w:r>
      <w:r w:rsidR="00145E4B">
        <w:t>’</w:t>
      </w:r>
      <w:r w:rsidRPr="00E07570">
        <w:t>homologation est annexée à la présente communication et peut être obtenue sur demande.</w:t>
      </w:r>
    </w:p>
    <w:p w:rsidR="00C04D8E" w:rsidRPr="00E07570" w:rsidRDefault="00F23B90" w:rsidP="00F23B90">
      <w:pPr>
        <w:pStyle w:val="HChG"/>
      </w:pPr>
      <w:r w:rsidRPr="00E07570">
        <w:t>Annexe 5</w:t>
      </w:r>
    </w:p>
    <w:p w:rsidR="00F23B90" w:rsidRPr="00E07570" w:rsidRDefault="00F23B90" w:rsidP="00F23B90">
      <w:pPr>
        <w:pStyle w:val="HChG"/>
      </w:pPr>
      <w:r w:rsidRPr="00E07570">
        <w:tab/>
      </w:r>
      <w:r w:rsidRPr="00E07570">
        <w:tab/>
        <w:t>Document d</w:t>
      </w:r>
      <w:r w:rsidR="00145E4B">
        <w:t>’</w:t>
      </w:r>
      <w:r w:rsidRPr="00E07570">
        <w:t>information sur l</w:t>
      </w:r>
      <w:r w:rsidR="00145E4B">
        <w:t>’</w:t>
      </w:r>
      <w:r w:rsidRPr="00E07570">
        <w:t xml:space="preserve">homologation de type </w:t>
      </w:r>
      <w:r w:rsidR="00DD1DEF" w:rsidRPr="00E07570">
        <w:br/>
      </w:r>
      <w:r w:rsidRPr="00E07570">
        <w:t>d</w:t>
      </w:r>
      <w:r w:rsidR="00145E4B">
        <w:t>’</w:t>
      </w:r>
      <w:r w:rsidRPr="00E07570">
        <w:t>un dispositif automatique d</w:t>
      </w:r>
      <w:r w:rsidR="00145E4B">
        <w:t>’</w:t>
      </w:r>
      <w:r w:rsidRPr="00E07570">
        <w:t>appel d</w:t>
      </w:r>
      <w:r w:rsidR="00145E4B">
        <w:t>’</w:t>
      </w:r>
      <w:r w:rsidRPr="00E07570">
        <w:t>urgence (AECC)</w:t>
      </w:r>
    </w:p>
    <w:p w:rsidR="00F23B90" w:rsidRPr="00E07570" w:rsidRDefault="00F23B90" w:rsidP="00F23B90">
      <w:pPr>
        <w:pStyle w:val="SingleTxtG"/>
        <w:rPr>
          <w:b/>
        </w:rPr>
      </w:pPr>
      <w:r w:rsidRPr="00E07570">
        <w:rPr>
          <w:b/>
        </w:rPr>
        <w:t>S</w:t>
      </w:r>
      <w:r w:rsidR="00145E4B">
        <w:rPr>
          <w:b/>
        </w:rPr>
        <w:t>’</w:t>
      </w:r>
      <w:r w:rsidRPr="00E07570">
        <w:rPr>
          <w:b/>
        </w:rPr>
        <w:t>ils sont demandés, les renseignements ci-dessous doivent être fournis en triple exemplaire et comprendre une table des matières.</w:t>
      </w:r>
    </w:p>
    <w:p w:rsidR="00F23B90" w:rsidRPr="00E07570" w:rsidRDefault="00F23B90" w:rsidP="00F23B90">
      <w:pPr>
        <w:pStyle w:val="SingleTxtG"/>
        <w:rPr>
          <w:b/>
        </w:rPr>
      </w:pPr>
      <w:r w:rsidRPr="00E07570">
        <w:rPr>
          <w:b/>
        </w:rPr>
        <w:t>Tous les dessins doivent être fournis à la bonne échelle et suffisamment détaillés sur des feuilles de format A4 ou dans un dossier du même format.</w:t>
      </w:r>
    </w:p>
    <w:p w:rsidR="00F23B90" w:rsidRPr="00E07570" w:rsidRDefault="00F23B90" w:rsidP="00F23B90">
      <w:pPr>
        <w:pStyle w:val="SingleTxtG"/>
        <w:rPr>
          <w:b/>
        </w:rPr>
      </w:pPr>
      <w:r w:rsidRPr="00E07570">
        <w:rPr>
          <w:b/>
        </w:rPr>
        <w:t>Les éventuelles photographies doivent être suffisamment détaillées.</w:t>
      </w:r>
    </w:p>
    <w:p w:rsidR="00F23B90" w:rsidRPr="00E07570" w:rsidRDefault="00F23B90" w:rsidP="006A7F61">
      <w:pPr>
        <w:pStyle w:val="SingleTxtG"/>
        <w:tabs>
          <w:tab w:val="right" w:leader="dot" w:pos="8505"/>
        </w:tabs>
        <w:kinsoku/>
        <w:overflowPunct/>
        <w:autoSpaceDE/>
        <w:autoSpaceDN/>
        <w:adjustRightInd/>
        <w:snapToGrid/>
        <w:ind w:left="1701" w:hanging="567"/>
        <w:jc w:val="left"/>
        <w:rPr>
          <w:b/>
        </w:rPr>
      </w:pPr>
      <w:r w:rsidRPr="00E07570">
        <w:rPr>
          <w:b/>
        </w:rPr>
        <w:t>1.</w:t>
      </w:r>
      <w:r w:rsidRPr="00E07570">
        <w:rPr>
          <w:b/>
        </w:rPr>
        <w:tab/>
        <w:t>Marque de fabrique ou de commerce :</w:t>
      </w:r>
      <w:r w:rsidRPr="00E07570">
        <w:rPr>
          <w:b/>
        </w:rPr>
        <w:tab/>
      </w:r>
    </w:p>
    <w:p w:rsidR="00F23B90" w:rsidRPr="00E07570" w:rsidRDefault="00F23B90" w:rsidP="006A7F61">
      <w:pPr>
        <w:pStyle w:val="SingleTxtG"/>
        <w:tabs>
          <w:tab w:val="right" w:leader="dot" w:pos="8505"/>
        </w:tabs>
        <w:kinsoku/>
        <w:overflowPunct/>
        <w:autoSpaceDE/>
        <w:autoSpaceDN/>
        <w:adjustRightInd/>
        <w:snapToGrid/>
        <w:ind w:left="1701" w:hanging="567"/>
        <w:jc w:val="left"/>
        <w:rPr>
          <w:b/>
        </w:rPr>
      </w:pPr>
      <w:r w:rsidRPr="00E07570">
        <w:rPr>
          <w:b/>
        </w:rPr>
        <w:t>2.</w:t>
      </w:r>
      <w:r w:rsidRPr="00E07570">
        <w:rPr>
          <w:b/>
        </w:rPr>
        <w:tab/>
        <w:t>Type et désignation commerciale :</w:t>
      </w:r>
      <w:r w:rsidRPr="00E07570">
        <w:rPr>
          <w:b/>
        </w:rPr>
        <w:tab/>
      </w:r>
    </w:p>
    <w:p w:rsidR="00F23B90" w:rsidRPr="00E07570" w:rsidRDefault="00F23B90" w:rsidP="006A7F61">
      <w:pPr>
        <w:pStyle w:val="SingleTxtG"/>
        <w:tabs>
          <w:tab w:val="right" w:leader="dot" w:pos="8505"/>
        </w:tabs>
        <w:kinsoku/>
        <w:overflowPunct/>
        <w:autoSpaceDE/>
        <w:autoSpaceDN/>
        <w:adjustRightInd/>
        <w:snapToGrid/>
        <w:ind w:left="1701" w:hanging="567"/>
        <w:jc w:val="left"/>
        <w:rPr>
          <w:b/>
        </w:rPr>
      </w:pPr>
      <w:r w:rsidRPr="00E07570">
        <w:rPr>
          <w:b/>
        </w:rPr>
        <w:t>3.</w:t>
      </w:r>
      <w:r w:rsidRPr="00E07570">
        <w:rPr>
          <w:b/>
        </w:rPr>
        <w:tab/>
        <w:t>Moyens d</w:t>
      </w:r>
      <w:r w:rsidR="00145E4B">
        <w:rPr>
          <w:b/>
        </w:rPr>
        <w:t>’</w:t>
      </w:r>
      <w:r w:rsidRPr="00E07570">
        <w:rPr>
          <w:b/>
        </w:rPr>
        <w:t>identification du type, s</w:t>
      </w:r>
      <w:r w:rsidR="00145E4B">
        <w:rPr>
          <w:b/>
        </w:rPr>
        <w:t>’</w:t>
      </w:r>
      <w:r w:rsidRPr="00E07570">
        <w:rPr>
          <w:b/>
        </w:rPr>
        <w:t>il figure sur l</w:t>
      </w:r>
      <w:r w:rsidR="00145E4B">
        <w:rPr>
          <w:b/>
        </w:rPr>
        <w:t>’</w:t>
      </w:r>
      <w:r w:rsidRPr="00E07570">
        <w:rPr>
          <w:b/>
        </w:rPr>
        <w:t>AECC</w:t>
      </w:r>
      <w:r w:rsidR="00D960C3" w:rsidRPr="00E07570">
        <w:rPr>
          <w:b/>
        </w:rPr>
        <w:t> </w:t>
      </w:r>
      <w:r w:rsidRPr="00E07570">
        <w:rPr>
          <w:b/>
        </w:rPr>
        <w:t>:</w:t>
      </w:r>
      <w:r w:rsidRPr="00E07570">
        <w:rPr>
          <w:b/>
        </w:rPr>
        <w:tab/>
      </w:r>
    </w:p>
    <w:p w:rsidR="00F23B90" w:rsidRPr="00E07570" w:rsidRDefault="00F23B90" w:rsidP="001C74F4">
      <w:pPr>
        <w:pStyle w:val="SingleTxtG"/>
        <w:tabs>
          <w:tab w:val="right" w:leader="dot" w:pos="8505"/>
        </w:tabs>
        <w:kinsoku/>
        <w:overflowPunct/>
        <w:autoSpaceDE/>
        <w:autoSpaceDN/>
        <w:adjustRightInd/>
        <w:snapToGrid/>
        <w:ind w:left="1701" w:hanging="567"/>
        <w:jc w:val="left"/>
        <w:rPr>
          <w:b/>
        </w:rPr>
      </w:pPr>
      <w:r w:rsidRPr="00E07570">
        <w:rPr>
          <w:b/>
        </w:rPr>
        <w:t>4.</w:t>
      </w:r>
      <w:r w:rsidRPr="00E07570">
        <w:rPr>
          <w:b/>
        </w:rPr>
        <w:tab/>
        <w:t>Nom et adresse du constructeur :</w:t>
      </w:r>
      <w:r w:rsidR="001C74F4" w:rsidRPr="00E07570">
        <w:rPr>
          <w:b/>
        </w:rPr>
        <w:tab/>
      </w:r>
      <w:r w:rsidR="001C74F4" w:rsidRPr="00E07570">
        <w:rPr>
          <w:b/>
        </w:rPr>
        <w:tab/>
      </w:r>
    </w:p>
    <w:p w:rsidR="00F23B90" w:rsidRPr="00E07570" w:rsidRDefault="00F23B90" w:rsidP="006A7F61">
      <w:pPr>
        <w:pStyle w:val="SingleTxtG"/>
        <w:tabs>
          <w:tab w:val="right" w:leader="dot" w:pos="8505"/>
        </w:tabs>
        <w:kinsoku/>
        <w:overflowPunct/>
        <w:autoSpaceDE/>
        <w:autoSpaceDN/>
        <w:adjustRightInd/>
        <w:snapToGrid/>
        <w:ind w:left="1701" w:hanging="567"/>
        <w:jc w:val="left"/>
        <w:rPr>
          <w:b/>
        </w:rPr>
      </w:pPr>
      <w:r w:rsidRPr="00E07570">
        <w:rPr>
          <w:b/>
        </w:rPr>
        <w:t>5.</w:t>
      </w:r>
      <w:r w:rsidRPr="00E07570">
        <w:rPr>
          <w:b/>
        </w:rPr>
        <w:tab/>
        <w:t>Emplacement et méthode de fixation de la marque d</w:t>
      </w:r>
      <w:r w:rsidR="00145E4B">
        <w:rPr>
          <w:b/>
        </w:rPr>
        <w:t>’</w:t>
      </w:r>
      <w:r w:rsidRPr="00E07570">
        <w:rPr>
          <w:b/>
        </w:rPr>
        <w:t>homologation :</w:t>
      </w:r>
      <w:r w:rsidRPr="00E07570">
        <w:rPr>
          <w:b/>
        </w:rPr>
        <w:tab/>
      </w:r>
    </w:p>
    <w:p w:rsidR="00F23B90" w:rsidRPr="00E07570" w:rsidRDefault="00F23B90" w:rsidP="006A7F61">
      <w:pPr>
        <w:pStyle w:val="SingleTxtG"/>
        <w:tabs>
          <w:tab w:val="right" w:leader="dot" w:pos="8505"/>
        </w:tabs>
        <w:kinsoku/>
        <w:overflowPunct/>
        <w:autoSpaceDE/>
        <w:autoSpaceDN/>
        <w:adjustRightInd/>
        <w:snapToGrid/>
        <w:ind w:left="1701" w:hanging="567"/>
        <w:jc w:val="left"/>
        <w:rPr>
          <w:b/>
        </w:rPr>
      </w:pPr>
      <w:r w:rsidRPr="00E07570">
        <w:rPr>
          <w:b/>
        </w:rPr>
        <w:t>6.</w:t>
      </w:r>
      <w:r w:rsidRPr="00E07570">
        <w:rPr>
          <w:b/>
        </w:rPr>
        <w:tab/>
        <w:t>Adresse(s) de la ou des usines de montage :</w:t>
      </w:r>
      <w:r w:rsidRPr="00E07570">
        <w:rPr>
          <w:b/>
        </w:rPr>
        <w:tab/>
      </w:r>
    </w:p>
    <w:p w:rsidR="00F23B90" w:rsidRPr="00E07570" w:rsidRDefault="00F23B90" w:rsidP="006A7F61">
      <w:pPr>
        <w:pStyle w:val="SingleTxtG"/>
        <w:tabs>
          <w:tab w:val="right" w:leader="dot" w:pos="8505"/>
        </w:tabs>
        <w:kinsoku/>
        <w:overflowPunct/>
        <w:autoSpaceDE/>
        <w:autoSpaceDN/>
        <w:adjustRightInd/>
        <w:snapToGrid/>
        <w:ind w:left="1701" w:hanging="567"/>
        <w:jc w:val="left"/>
        <w:rPr>
          <w:b/>
        </w:rPr>
      </w:pPr>
      <w:r w:rsidRPr="00E07570">
        <w:rPr>
          <w:b/>
        </w:rPr>
        <w:t>7.</w:t>
      </w:r>
      <w:r w:rsidRPr="00E07570">
        <w:rPr>
          <w:b/>
        </w:rPr>
        <w:tab/>
        <w:t>Disposition (indiquer les éléments visés par la demande de cette homologation de type) :</w:t>
      </w:r>
      <w:r w:rsidRPr="00E07570">
        <w:rPr>
          <w:b/>
        </w:rPr>
        <w:tab/>
      </w:r>
    </w:p>
    <w:p w:rsidR="00F23B90" w:rsidRPr="00E07570" w:rsidRDefault="00F23B90" w:rsidP="006A7F61">
      <w:pPr>
        <w:pStyle w:val="SingleTxtG"/>
        <w:tabs>
          <w:tab w:val="right" w:leader="dot" w:pos="8505"/>
        </w:tabs>
        <w:kinsoku/>
        <w:overflowPunct/>
        <w:autoSpaceDE/>
        <w:autoSpaceDN/>
        <w:adjustRightInd/>
        <w:snapToGrid/>
        <w:ind w:left="1701" w:hanging="567"/>
        <w:jc w:val="left"/>
        <w:rPr>
          <w:b/>
        </w:rPr>
      </w:pPr>
      <w:r w:rsidRPr="00E07570">
        <w:rPr>
          <w:b/>
        </w:rPr>
        <w:t>8.</w:t>
      </w:r>
      <w:r w:rsidRPr="00E07570">
        <w:rPr>
          <w:b/>
        </w:rPr>
        <w:tab/>
        <w:t xml:space="preserve">Description de la ou des méthodes de fixation au véhicule (le cas échéant, dimensions, structure et matériaux utilisés pour les fixations </w:t>
      </w:r>
      <w:r w:rsidRPr="00E07570">
        <w:rPr>
          <w:b/>
        </w:rPr>
        <w:br/>
        <w:t>et les supports du dispositif) :</w:t>
      </w:r>
      <w:r w:rsidRPr="00E07570">
        <w:rPr>
          <w:b/>
        </w:rPr>
        <w:tab/>
      </w:r>
    </w:p>
    <w:p w:rsidR="00F23B90" w:rsidRPr="00E07570" w:rsidRDefault="00F23B90" w:rsidP="006A7F61">
      <w:pPr>
        <w:pStyle w:val="SingleTxtG"/>
        <w:tabs>
          <w:tab w:val="right" w:leader="dot" w:pos="8505"/>
        </w:tabs>
        <w:kinsoku/>
        <w:overflowPunct/>
        <w:autoSpaceDE/>
        <w:autoSpaceDN/>
        <w:adjustRightInd/>
        <w:snapToGrid/>
        <w:ind w:left="1701" w:hanging="567"/>
        <w:jc w:val="left"/>
        <w:rPr>
          <w:b/>
        </w:rPr>
      </w:pPr>
      <w:r w:rsidRPr="00E07570">
        <w:rPr>
          <w:b/>
        </w:rPr>
        <w:t>9.</w:t>
      </w:r>
      <w:r w:rsidRPr="00E07570">
        <w:rPr>
          <w:b/>
        </w:rPr>
        <w:tab/>
        <w:t>Dessins suffisamment détaillés pour reconnaître l</w:t>
      </w:r>
      <w:r w:rsidR="00145E4B">
        <w:rPr>
          <w:b/>
        </w:rPr>
        <w:t>’</w:t>
      </w:r>
      <w:r w:rsidRPr="00E07570">
        <w:rPr>
          <w:b/>
        </w:rPr>
        <w:t>AECC complet, y compris des instructions de montage (uniquement pour un montage ultérieur) ; les</w:t>
      </w:r>
      <w:r w:rsidR="006A7F61" w:rsidRPr="00E07570">
        <w:rPr>
          <w:b/>
        </w:rPr>
        <w:t> </w:t>
      </w:r>
      <w:r w:rsidRPr="00E07570">
        <w:rPr>
          <w:b/>
        </w:rPr>
        <w:t>dessins doivent aussi indiquer l</w:t>
      </w:r>
      <w:r w:rsidR="00145E4B">
        <w:rPr>
          <w:b/>
        </w:rPr>
        <w:t>’</w:t>
      </w:r>
      <w:r w:rsidRPr="00E07570">
        <w:rPr>
          <w:b/>
        </w:rPr>
        <w:t xml:space="preserve">emplacement de la marque </w:t>
      </w:r>
      <w:r w:rsidR="006A7F61" w:rsidRPr="00E07570">
        <w:rPr>
          <w:b/>
        </w:rPr>
        <w:br/>
      </w:r>
      <w:r w:rsidRPr="00E07570">
        <w:rPr>
          <w:b/>
        </w:rPr>
        <w:t>d</w:t>
      </w:r>
      <w:r w:rsidR="00145E4B">
        <w:rPr>
          <w:b/>
        </w:rPr>
        <w:t>’</w:t>
      </w:r>
      <w:r w:rsidRPr="00E07570">
        <w:rPr>
          <w:b/>
        </w:rPr>
        <w:t>homologation de type :</w:t>
      </w:r>
      <w:r w:rsidRPr="00E07570">
        <w:rPr>
          <w:b/>
        </w:rPr>
        <w:tab/>
      </w:r>
    </w:p>
    <w:p w:rsidR="00F23B90" w:rsidRPr="00E07570" w:rsidRDefault="00F23B90" w:rsidP="006A7F61">
      <w:pPr>
        <w:pStyle w:val="SingleTxtG"/>
        <w:tabs>
          <w:tab w:val="right" w:leader="dot" w:pos="8505"/>
        </w:tabs>
        <w:kinsoku/>
        <w:overflowPunct/>
        <w:autoSpaceDE/>
        <w:autoSpaceDN/>
        <w:adjustRightInd/>
        <w:snapToGrid/>
        <w:ind w:left="1701" w:hanging="567"/>
        <w:jc w:val="left"/>
        <w:rPr>
          <w:b/>
        </w:rPr>
      </w:pPr>
      <w:r w:rsidRPr="00E07570">
        <w:rPr>
          <w:b/>
        </w:rPr>
        <w:t>9a.</w:t>
      </w:r>
      <w:r w:rsidRPr="00E07570">
        <w:rPr>
          <w:b/>
        </w:rPr>
        <w:tab/>
        <w:t>Dossier d</w:t>
      </w:r>
      <w:r w:rsidR="00145E4B">
        <w:rPr>
          <w:b/>
        </w:rPr>
        <w:t>’</w:t>
      </w:r>
      <w:r w:rsidRPr="00E07570">
        <w:rPr>
          <w:b/>
        </w:rPr>
        <w:t>information (voir le paragraphe 6)</w:t>
      </w:r>
      <w:r w:rsidR="006A7F61" w:rsidRPr="00E07570">
        <w:rPr>
          <w:b/>
        </w:rPr>
        <w:t> :</w:t>
      </w:r>
      <w:r w:rsidR="006A7F61" w:rsidRPr="00E07570">
        <w:rPr>
          <w:b/>
        </w:rPr>
        <w:tab/>
      </w:r>
    </w:p>
    <w:p w:rsidR="00F23B90" w:rsidRPr="00E07570" w:rsidRDefault="00F23B90" w:rsidP="00E5004A">
      <w:pPr>
        <w:pStyle w:val="SingleTxtG"/>
        <w:tabs>
          <w:tab w:val="right" w:leader="dot" w:pos="8505"/>
        </w:tabs>
        <w:kinsoku/>
        <w:overflowPunct/>
        <w:autoSpaceDE/>
        <w:autoSpaceDN/>
        <w:adjustRightInd/>
        <w:snapToGrid/>
        <w:ind w:left="1701" w:hanging="567"/>
        <w:jc w:val="left"/>
        <w:rPr>
          <w:b/>
        </w:rPr>
      </w:pPr>
      <w:r w:rsidRPr="00E07570">
        <w:rPr>
          <w:b/>
        </w:rPr>
        <w:t>9b.</w:t>
      </w:r>
      <w:r w:rsidRPr="00E07570">
        <w:rPr>
          <w:b/>
        </w:rPr>
        <w:tab/>
        <w:t>Moyen par lequel il est prévu d</w:t>
      </w:r>
      <w:r w:rsidR="00145E4B">
        <w:rPr>
          <w:b/>
        </w:rPr>
        <w:t>’</w:t>
      </w:r>
      <w:r w:rsidRPr="00E07570">
        <w:rPr>
          <w:b/>
        </w:rPr>
        <w:t>associer l</w:t>
      </w:r>
      <w:r w:rsidR="00145E4B">
        <w:rPr>
          <w:b/>
        </w:rPr>
        <w:t>’</w:t>
      </w:r>
      <w:r w:rsidRPr="00E07570">
        <w:rPr>
          <w:b/>
        </w:rPr>
        <w:t xml:space="preserve">AECC à un AECD </w:t>
      </w:r>
      <w:r w:rsidR="00732896" w:rsidRPr="00E07570">
        <w:rPr>
          <w:b/>
        </w:rPr>
        <w:br/>
      </w:r>
      <w:r w:rsidRPr="00E07570">
        <w:rPr>
          <w:b/>
        </w:rPr>
        <w:t>(voir le paragraphe</w:t>
      </w:r>
      <w:r w:rsidR="00732896" w:rsidRPr="00E07570">
        <w:rPr>
          <w:b/>
        </w:rPr>
        <w:t> </w:t>
      </w:r>
      <w:r w:rsidRPr="00E07570">
        <w:rPr>
          <w:b/>
        </w:rPr>
        <w:t>6)</w:t>
      </w:r>
      <w:r w:rsidR="00E5004A" w:rsidRPr="00E07570">
        <w:rPr>
          <w:b/>
        </w:rPr>
        <w:t> :</w:t>
      </w:r>
      <w:r w:rsidR="00E5004A" w:rsidRPr="00E07570">
        <w:rPr>
          <w:b/>
        </w:rPr>
        <w:tab/>
      </w:r>
    </w:p>
    <w:p w:rsidR="00F23B90" w:rsidRPr="00E07570" w:rsidRDefault="00F23B90" w:rsidP="00F23B90">
      <w:pPr>
        <w:pStyle w:val="SingleTxtG"/>
        <w:rPr>
          <w:b/>
        </w:rPr>
      </w:pPr>
      <w:r w:rsidRPr="00E07570">
        <w:rPr>
          <w:b/>
        </w:rPr>
        <w:t>10.</w:t>
      </w:r>
      <w:r w:rsidRPr="00E07570">
        <w:rPr>
          <w:b/>
        </w:rPr>
        <w:tab/>
        <w:t>Alimentation électrique de secours : oui/non</w:t>
      </w:r>
      <w:r w:rsidRPr="00E07570">
        <w:rPr>
          <w:rStyle w:val="FootnoteReference"/>
        </w:rPr>
        <w:footnoteReference w:id="18"/>
      </w:r>
    </w:p>
    <w:p w:rsidR="00F23B90" w:rsidRPr="00E07570" w:rsidRDefault="00F23B90" w:rsidP="00F23B90">
      <w:pPr>
        <w:pStyle w:val="SingleTxtG"/>
        <w:rPr>
          <w:b/>
          <w:sz w:val="18"/>
          <w:szCs w:val="18"/>
        </w:rPr>
      </w:pPr>
      <w:r w:rsidRPr="00E07570">
        <w:rPr>
          <w:b/>
        </w:rPr>
        <w:t>11.</w:t>
      </w:r>
      <w:r w:rsidRPr="00E07570">
        <w:rPr>
          <w:b/>
        </w:rPr>
        <w:tab/>
        <w:t>Unité interne de détection des chocs : oui/non</w:t>
      </w:r>
      <w:r w:rsidR="00732896" w:rsidRPr="00E07570">
        <w:rPr>
          <w:b/>
          <w:sz w:val="18"/>
          <w:szCs w:val="18"/>
          <w:vertAlign w:val="superscript"/>
        </w:rPr>
        <w:t>1</w:t>
      </w:r>
    </w:p>
    <w:p w:rsidR="009576C5" w:rsidRPr="00E07570" w:rsidRDefault="009576C5" w:rsidP="00F23B90">
      <w:pPr>
        <w:pStyle w:val="SingleTxtG"/>
        <w:sectPr w:rsidR="009576C5" w:rsidRPr="00E07570" w:rsidSect="0038209A">
          <w:footnotePr>
            <w:numRestart w:val="eachSect"/>
          </w:footnotePr>
          <w:endnotePr>
            <w:numFmt w:val="decimal"/>
          </w:endnotePr>
          <w:pgSz w:w="11906" w:h="16838" w:code="9"/>
          <w:pgMar w:top="1417" w:right="1134" w:bottom="1134" w:left="1134" w:header="850" w:footer="567" w:gutter="0"/>
          <w:cols w:space="708"/>
          <w:docGrid w:linePitch="360"/>
        </w:sectPr>
      </w:pPr>
    </w:p>
    <w:p w:rsidR="009576C5" w:rsidRPr="00E07570" w:rsidRDefault="009576C5" w:rsidP="009576C5">
      <w:pPr>
        <w:pStyle w:val="HChG"/>
      </w:pPr>
      <w:r w:rsidRPr="00E07570">
        <w:t>Annexe 6</w:t>
      </w:r>
    </w:p>
    <w:p w:rsidR="00D960C3" w:rsidRPr="00E07570" w:rsidRDefault="009576C5" w:rsidP="009576C5">
      <w:pPr>
        <w:pStyle w:val="HChG"/>
      </w:pPr>
      <w:r w:rsidRPr="00E07570">
        <w:tab/>
      </w:r>
      <w:r w:rsidRPr="00E07570">
        <w:tab/>
        <w:t>Document d</w:t>
      </w:r>
      <w:r w:rsidR="00145E4B">
        <w:t>’</w:t>
      </w:r>
      <w:r w:rsidRPr="00E07570">
        <w:t>information sur l</w:t>
      </w:r>
      <w:r w:rsidR="00145E4B">
        <w:t>’</w:t>
      </w:r>
      <w:r w:rsidRPr="00E07570">
        <w:t xml:space="preserve">homologation de type </w:t>
      </w:r>
      <w:r w:rsidR="00DD1DEF" w:rsidRPr="00E07570">
        <w:br/>
      </w:r>
      <w:r w:rsidRPr="00E07570">
        <w:t>d</w:t>
      </w:r>
      <w:r w:rsidR="00145E4B">
        <w:t>’</w:t>
      </w:r>
      <w:r w:rsidRPr="00E07570">
        <w:t>un dispositif automatique d</w:t>
      </w:r>
      <w:r w:rsidR="00145E4B">
        <w:t>’</w:t>
      </w:r>
      <w:r w:rsidRPr="00E07570">
        <w:t>appel d</w:t>
      </w:r>
      <w:r w:rsidR="00145E4B">
        <w:t>’</w:t>
      </w:r>
      <w:r w:rsidRPr="00E07570">
        <w:t>urgence (AECD)</w:t>
      </w:r>
    </w:p>
    <w:p w:rsidR="009576C5" w:rsidRPr="00E07570" w:rsidRDefault="009576C5" w:rsidP="009576C5">
      <w:pPr>
        <w:pStyle w:val="SingleTxtG"/>
      </w:pPr>
      <w:r w:rsidRPr="00E07570">
        <w:t>S</w:t>
      </w:r>
      <w:r w:rsidR="00145E4B">
        <w:t>’</w:t>
      </w:r>
      <w:r w:rsidRPr="00E07570">
        <w:t>ils sont demandés, les renseignements ci-dessous doivent être fournis en triple exemplaire et comprendre une table des matières.</w:t>
      </w:r>
    </w:p>
    <w:p w:rsidR="009576C5" w:rsidRPr="00E07570" w:rsidRDefault="009576C5" w:rsidP="009576C5">
      <w:pPr>
        <w:pStyle w:val="SingleTxtG"/>
      </w:pPr>
      <w:r w:rsidRPr="00E07570">
        <w:t>Tous les dessins doivent être fournis à la bonne échelle et suffisamment détaillés sur des feuilles de format A4 ou dans un dossier du même format.</w:t>
      </w:r>
    </w:p>
    <w:p w:rsidR="009576C5" w:rsidRPr="00E07570" w:rsidRDefault="009576C5" w:rsidP="009576C5">
      <w:pPr>
        <w:pStyle w:val="SingleTxtG"/>
      </w:pPr>
      <w:r w:rsidRPr="00E07570">
        <w:t>Les éventuelles photographies doivent être suffisamment détaillées.</w:t>
      </w:r>
    </w:p>
    <w:p w:rsidR="009576C5" w:rsidRPr="00E07570" w:rsidRDefault="009576C5" w:rsidP="00CD0FAF">
      <w:pPr>
        <w:pStyle w:val="SingleTxtG"/>
        <w:tabs>
          <w:tab w:val="right" w:leader="dot" w:pos="8505"/>
        </w:tabs>
        <w:kinsoku/>
        <w:overflowPunct/>
        <w:autoSpaceDE/>
        <w:autoSpaceDN/>
        <w:adjustRightInd/>
        <w:snapToGrid/>
        <w:ind w:left="1701" w:hanging="567"/>
        <w:jc w:val="left"/>
      </w:pPr>
      <w:r w:rsidRPr="00E07570">
        <w:t>1.</w:t>
      </w:r>
      <w:r w:rsidRPr="00E07570">
        <w:tab/>
        <w:t>Marque de fabrique ou de commerce :</w:t>
      </w:r>
      <w:r w:rsidRPr="00E07570">
        <w:tab/>
      </w:r>
    </w:p>
    <w:p w:rsidR="009576C5" w:rsidRPr="00E07570" w:rsidRDefault="009576C5" w:rsidP="00CD0FAF">
      <w:pPr>
        <w:pStyle w:val="SingleTxtG"/>
        <w:tabs>
          <w:tab w:val="right" w:leader="dot" w:pos="8505"/>
        </w:tabs>
        <w:kinsoku/>
        <w:overflowPunct/>
        <w:autoSpaceDE/>
        <w:autoSpaceDN/>
        <w:adjustRightInd/>
        <w:snapToGrid/>
        <w:ind w:left="1701" w:hanging="567"/>
        <w:jc w:val="left"/>
      </w:pPr>
      <w:r w:rsidRPr="00E07570">
        <w:t>2.</w:t>
      </w:r>
      <w:r w:rsidRPr="00E07570">
        <w:tab/>
        <w:t>Type et désignation commerciale :</w:t>
      </w:r>
      <w:r w:rsidRPr="00E07570">
        <w:tab/>
      </w:r>
    </w:p>
    <w:p w:rsidR="009576C5" w:rsidRPr="00E07570" w:rsidRDefault="009576C5" w:rsidP="00CD0FAF">
      <w:pPr>
        <w:pStyle w:val="SingleTxtG"/>
        <w:tabs>
          <w:tab w:val="right" w:leader="dot" w:pos="8505"/>
        </w:tabs>
        <w:kinsoku/>
        <w:overflowPunct/>
        <w:autoSpaceDE/>
        <w:autoSpaceDN/>
        <w:adjustRightInd/>
        <w:snapToGrid/>
        <w:ind w:left="1701" w:hanging="567"/>
        <w:jc w:val="left"/>
      </w:pPr>
      <w:r w:rsidRPr="00E07570">
        <w:t>3.</w:t>
      </w:r>
      <w:r w:rsidRPr="00E07570">
        <w:tab/>
        <w:t>Moyens d</w:t>
      </w:r>
      <w:r w:rsidR="00145E4B">
        <w:t>’</w:t>
      </w:r>
      <w:r w:rsidRPr="00E07570">
        <w:t>identification du type, s</w:t>
      </w:r>
      <w:r w:rsidR="00145E4B">
        <w:t>’</w:t>
      </w:r>
      <w:r w:rsidRPr="00E07570">
        <w:t>il figure sur le dispositif :</w:t>
      </w:r>
      <w:r w:rsidRPr="00E07570">
        <w:tab/>
      </w:r>
    </w:p>
    <w:p w:rsidR="009576C5" w:rsidRPr="00E07570" w:rsidRDefault="009576C5" w:rsidP="00CD0FAF">
      <w:pPr>
        <w:pStyle w:val="SingleTxtG"/>
        <w:tabs>
          <w:tab w:val="right" w:leader="dot" w:pos="8505"/>
        </w:tabs>
        <w:kinsoku/>
        <w:overflowPunct/>
        <w:autoSpaceDE/>
        <w:autoSpaceDN/>
        <w:adjustRightInd/>
        <w:snapToGrid/>
        <w:ind w:left="1701" w:hanging="567"/>
        <w:jc w:val="left"/>
      </w:pPr>
      <w:r w:rsidRPr="00E07570">
        <w:t>4.</w:t>
      </w:r>
      <w:r w:rsidRPr="00E07570">
        <w:tab/>
        <w:t>Nom et adresse du constructeur :</w:t>
      </w:r>
      <w:r w:rsidRPr="00E07570">
        <w:tab/>
      </w:r>
    </w:p>
    <w:p w:rsidR="009576C5" w:rsidRPr="00E07570" w:rsidRDefault="009576C5" w:rsidP="00CD0FAF">
      <w:pPr>
        <w:pStyle w:val="SingleTxtG"/>
        <w:tabs>
          <w:tab w:val="right" w:leader="dot" w:pos="8505"/>
        </w:tabs>
        <w:kinsoku/>
        <w:overflowPunct/>
        <w:autoSpaceDE/>
        <w:autoSpaceDN/>
        <w:adjustRightInd/>
        <w:snapToGrid/>
        <w:ind w:left="1701" w:hanging="567"/>
        <w:jc w:val="left"/>
      </w:pPr>
      <w:r w:rsidRPr="00E07570">
        <w:t>5.</w:t>
      </w:r>
      <w:r w:rsidRPr="00E07570">
        <w:tab/>
        <w:t>Emplacement et méthode de fixation de la marque d</w:t>
      </w:r>
      <w:r w:rsidR="00145E4B">
        <w:t>’</w:t>
      </w:r>
      <w:r w:rsidRPr="00E07570">
        <w:t>homologation :</w:t>
      </w:r>
      <w:r w:rsidRPr="00E07570">
        <w:tab/>
      </w:r>
    </w:p>
    <w:p w:rsidR="009576C5" w:rsidRPr="00E07570" w:rsidRDefault="009576C5" w:rsidP="00CD0FAF">
      <w:pPr>
        <w:pStyle w:val="SingleTxtG"/>
        <w:tabs>
          <w:tab w:val="right" w:leader="dot" w:pos="8505"/>
        </w:tabs>
        <w:kinsoku/>
        <w:overflowPunct/>
        <w:autoSpaceDE/>
        <w:autoSpaceDN/>
        <w:adjustRightInd/>
        <w:snapToGrid/>
        <w:ind w:left="1701" w:hanging="567"/>
        <w:jc w:val="left"/>
      </w:pPr>
      <w:r w:rsidRPr="00E07570">
        <w:t>6.</w:t>
      </w:r>
      <w:r w:rsidRPr="00E07570">
        <w:tab/>
        <w:t>Adresse(s) de la ou des usines de montage :</w:t>
      </w:r>
      <w:r w:rsidRPr="00E07570">
        <w:tab/>
      </w:r>
    </w:p>
    <w:p w:rsidR="009576C5" w:rsidRPr="00E07570" w:rsidRDefault="009576C5" w:rsidP="00CD0FAF">
      <w:pPr>
        <w:pStyle w:val="SingleTxtG"/>
        <w:tabs>
          <w:tab w:val="right" w:leader="dot" w:pos="8505"/>
        </w:tabs>
        <w:kinsoku/>
        <w:overflowPunct/>
        <w:autoSpaceDE/>
        <w:autoSpaceDN/>
        <w:adjustRightInd/>
        <w:snapToGrid/>
        <w:ind w:left="1701" w:hanging="567"/>
        <w:jc w:val="left"/>
      </w:pPr>
      <w:r w:rsidRPr="00E07570">
        <w:t>7.</w:t>
      </w:r>
      <w:r w:rsidRPr="00E07570">
        <w:tab/>
        <w:t xml:space="preserve">Disposition (indiquer les éléments visés par la demande de cette homologation </w:t>
      </w:r>
      <w:r w:rsidRPr="00E07570">
        <w:br/>
        <w:t>de type) :</w:t>
      </w:r>
      <w:r w:rsidRPr="00E07570">
        <w:tab/>
      </w:r>
    </w:p>
    <w:p w:rsidR="009576C5" w:rsidRPr="00E07570" w:rsidRDefault="009576C5" w:rsidP="00CD0FAF">
      <w:pPr>
        <w:pStyle w:val="SingleTxtG"/>
        <w:tabs>
          <w:tab w:val="right" w:leader="dot" w:pos="8505"/>
        </w:tabs>
        <w:kinsoku/>
        <w:overflowPunct/>
        <w:autoSpaceDE/>
        <w:autoSpaceDN/>
        <w:adjustRightInd/>
        <w:snapToGrid/>
        <w:ind w:left="1701" w:hanging="567"/>
        <w:jc w:val="left"/>
      </w:pPr>
      <w:r w:rsidRPr="00E07570">
        <w:t>8.</w:t>
      </w:r>
      <w:r w:rsidRPr="00E07570">
        <w:tab/>
        <w:t xml:space="preserve">Description de la ou des méthodes de fixation au véhicule (le cas échéant, </w:t>
      </w:r>
      <w:r w:rsidRPr="00E07570">
        <w:br/>
        <w:t xml:space="preserve">dimensions, structure et matériaux utilisés pour les fixations </w:t>
      </w:r>
      <w:r w:rsidRPr="00E07570">
        <w:br/>
        <w:t>et les supports du dispositif) :</w:t>
      </w:r>
      <w:r w:rsidRPr="00E07570">
        <w:tab/>
      </w:r>
    </w:p>
    <w:p w:rsidR="009576C5" w:rsidRPr="00E07570" w:rsidRDefault="009576C5" w:rsidP="00CD0FAF">
      <w:pPr>
        <w:pStyle w:val="SingleTxtG"/>
        <w:tabs>
          <w:tab w:val="right" w:leader="dot" w:pos="8505"/>
        </w:tabs>
        <w:kinsoku/>
        <w:overflowPunct/>
        <w:autoSpaceDE/>
        <w:autoSpaceDN/>
        <w:adjustRightInd/>
        <w:snapToGrid/>
        <w:ind w:left="1701" w:hanging="567"/>
        <w:jc w:val="left"/>
      </w:pPr>
      <w:r w:rsidRPr="00E07570">
        <w:t>9.</w:t>
      </w:r>
      <w:r w:rsidRPr="00E07570">
        <w:tab/>
        <w:t xml:space="preserve">Dessins suffisamment détaillés pour reconnaître le dispositif complet, y compris </w:t>
      </w:r>
      <w:r w:rsidRPr="00E07570">
        <w:br/>
        <w:t xml:space="preserve">des instructions de montage (uniquement pour un montage ultérieur) ; </w:t>
      </w:r>
      <w:r w:rsidRPr="00E07570">
        <w:br/>
        <w:t>les dessins doivent aussi indiquer l</w:t>
      </w:r>
      <w:r w:rsidR="00145E4B">
        <w:t>’</w:t>
      </w:r>
      <w:r w:rsidRPr="00E07570">
        <w:t xml:space="preserve">emplacement de la marque </w:t>
      </w:r>
      <w:r w:rsidRPr="00E07570">
        <w:br/>
        <w:t>d</w:t>
      </w:r>
      <w:r w:rsidR="00145E4B">
        <w:t>’</w:t>
      </w:r>
      <w:r w:rsidRPr="00E07570">
        <w:t>homologation de type :</w:t>
      </w:r>
      <w:r w:rsidRPr="00E07570">
        <w:tab/>
      </w:r>
    </w:p>
    <w:p w:rsidR="009576C5" w:rsidRPr="00E07570" w:rsidRDefault="009576C5" w:rsidP="00CD0FAF">
      <w:pPr>
        <w:pStyle w:val="SingleTxtG"/>
        <w:tabs>
          <w:tab w:val="right" w:leader="dot" w:pos="8505"/>
        </w:tabs>
        <w:kinsoku/>
        <w:overflowPunct/>
        <w:autoSpaceDE/>
        <w:autoSpaceDN/>
        <w:adjustRightInd/>
        <w:snapToGrid/>
        <w:ind w:left="1701" w:hanging="567"/>
        <w:jc w:val="left"/>
      </w:pPr>
      <w:r w:rsidRPr="00E07570">
        <w:t>10.</w:t>
      </w:r>
      <w:r w:rsidRPr="00E07570">
        <w:tab/>
        <w:t>Alimentation électrique de secours : oui/non</w:t>
      </w:r>
      <w:r w:rsidRPr="00E07570">
        <w:rPr>
          <w:rStyle w:val="FootnoteReference"/>
        </w:rPr>
        <w:footnoteReference w:id="19"/>
      </w:r>
    </w:p>
    <w:p w:rsidR="009576C5" w:rsidRPr="00E07570" w:rsidRDefault="009576C5" w:rsidP="009576C5">
      <w:pPr>
        <w:pStyle w:val="SingleTxtG"/>
      </w:pPr>
      <w:r w:rsidRPr="00E07570">
        <w:t>11.</w:t>
      </w:r>
      <w:r w:rsidRPr="00E07570">
        <w:tab/>
        <w:t>Unité interne de détection des chocs : oui/non</w:t>
      </w:r>
      <w:r w:rsidRPr="00E07570">
        <w:rPr>
          <w:sz w:val="18"/>
          <w:szCs w:val="18"/>
          <w:vertAlign w:val="superscript"/>
        </w:rPr>
        <w:t>1</w:t>
      </w:r>
    </w:p>
    <w:p w:rsidR="00CD0FAF" w:rsidRPr="00E07570" w:rsidRDefault="00CD0FAF" w:rsidP="009576C5">
      <w:pPr>
        <w:pStyle w:val="SingleTxtG"/>
        <w:rPr>
          <w:vertAlign w:val="superscript"/>
        </w:rPr>
        <w:sectPr w:rsidR="00CD0FAF" w:rsidRPr="00E07570" w:rsidSect="009576C5">
          <w:footnotePr>
            <w:numRestart w:val="eachSect"/>
          </w:footnotePr>
          <w:endnotePr>
            <w:numFmt w:val="decimal"/>
          </w:endnotePr>
          <w:pgSz w:w="11907" w:h="16840" w:code="9"/>
          <w:pgMar w:top="1701" w:right="1134" w:bottom="2268" w:left="1134" w:header="1134" w:footer="1701" w:gutter="0"/>
          <w:cols w:space="720"/>
          <w:docGrid w:linePitch="326"/>
        </w:sectPr>
      </w:pPr>
    </w:p>
    <w:p w:rsidR="009576C5" w:rsidRPr="00E07570" w:rsidRDefault="000D6937" w:rsidP="000D6937">
      <w:pPr>
        <w:pStyle w:val="HChG"/>
      </w:pPr>
      <w:r w:rsidRPr="00E07570">
        <w:t>Annexe 7</w:t>
      </w:r>
    </w:p>
    <w:p w:rsidR="000D6937" w:rsidRPr="00E07570" w:rsidRDefault="000D6937" w:rsidP="000D6937">
      <w:pPr>
        <w:pStyle w:val="HChG"/>
      </w:pPr>
      <w:r w:rsidRPr="00E07570">
        <w:tab/>
      </w:r>
      <w:r w:rsidRPr="00E07570">
        <w:tab/>
        <w:t>Document d</w:t>
      </w:r>
      <w:r w:rsidR="00145E4B">
        <w:t>’</w:t>
      </w:r>
      <w:r w:rsidRPr="00E07570">
        <w:t>information sur l</w:t>
      </w:r>
      <w:r w:rsidR="00145E4B">
        <w:t>’</w:t>
      </w:r>
      <w:r w:rsidRPr="00E07570">
        <w:t xml:space="preserve">homologation de type </w:t>
      </w:r>
      <w:r w:rsidRPr="00E07570">
        <w:br/>
        <w:t>d</w:t>
      </w:r>
      <w:r w:rsidR="00145E4B">
        <w:t>’</w:t>
      </w:r>
      <w:r w:rsidRPr="00E07570">
        <w:t>un véhicule en ce qui concerne l</w:t>
      </w:r>
      <w:r w:rsidR="00145E4B">
        <w:t>’</w:t>
      </w:r>
      <w:r w:rsidRPr="00E07570">
        <w:t xml:space="preserve">installation </w:t>
      </w:r>
      <w:r w:rsidRPr="00E07570">
        <w:br/>
        <w:t>d</w:t>
      </w:r>
      <w:r w:rsidR="00145E4B">
        <w:t>’</w:t>
      </w:r>
      <w:r w:rsidRPr="00E07570">
        <w:t>un dispositif automatique d</w:t>
      </w:r>
      <w:r w:rsidR="00145E4B">
        <w:t>’</w:t>
      </w:r>
      <w:r w:rsidRPr="00E07570">
        <w:t>appel d</w:t>
      </w:r>
      <w:r w:rsidR="00145E4B">
        <w:t>’</w:t>
      </w:r>
      <w:r w:rsidRPr="00E07570">
        <w:t xml:space="preserve">urgence </w:t>
      </w:r>
      <w:r w:rsidRPr="00E07570">
        <w:br/>
        <w:t>(AECD) d</w:t>
      </w:r>
      <w:r w:rsidR="00145E4B">
        <w:t>’</w:t>
      </w:r>
      <w:r w:rsidRPr="00E07570">
        <w:t>un type homologué</w:t>
      </w:r>
    </w:p>
    <w:p w:rsidR="000D6937" w:rsidRPr="00E07570" w:rsidRDefault="000D6937" w:rsidP="000D6937">
      <w:pPr>
        <w:pStyle w:val="SingleTxtG"/>
        <w:rPr>
          <w:b/>
        </w:rPr>
      </w:pPr>
      <w:r w:rsidRPr="00E07570">
        <w:rPr>
          <w:b/>
        </w:rPr>
        <w:t>L</w:t>
      </w:r>
      <w:r w:rsidR="00145E4B">
        <w:rPr>
          <w:b/>
        </w:rPr>
        <w:t>’</w:t>
      </w:r>
      <w:r w:rsidRPr="00E07570">
        <w:rPr>
          <w:b/>
        </w:rPr>
        <w:t>homologation d</w:t>
      </w:r>
      <w:r w:rsidR="00145E4B">
        <w:rPr>
          <w:b/>
        </w:rPr>
        <w:t>’</w:t>
      </w:r>
      <w:r w:rsidRPr="00E07570">
        <w:rPr>
          <w:b/>
        </w:rPr>
        <w:t>un véhicule en ce qui concerne l</w:t>
      </w:r>
      <w:r w:rsidR="00145E4B">
        <w:rPr>
          <w:b/>
        </w:rPr>
        <w:t>’</w:t>
      </w:r>
      <w:r w:rsidRPr="00E07570">
        <w:rPr>
          <w:b/>
        </w:rPr>
        <w:t>installation d</w:t>
      </w:r>
      <w:r w:rsidR="00145E4B">
        <w:rPr>
          <w:b/>
        </w:rPr>
        <w:t>’</w:t>
      </w:r>
      <w:r w:rsidRPr="00E07570">
        <w:rPr>
          <w:b/>
        </w:rPr>
        <w:t>un dispositif automatique d</w:t>
      </w:r>
      <w:r w:rsidR="00145E4B">
        <w:rPr>
          <w:b/>
        </w:rPr>
        <w:t>’</w:t>
      </w:r>
      <w:r w:rsidRPr="00E07570">
        <w:rPr>
          <w:b/>
        </w:rPr>
        <w:t>appel d</w:t>
      </w:r>
      <w:r w:rsidR="00145E4B">
        <w:rPr>
          <w:b/>
        </w:rPr>
        <w:t>’</w:t>
      </w:r>
      <w:r w:rsidRPr="00E07570">
        <w:rPr>
          <w:b/>
        </w:rPr>
        <w:t>urgence (AECD) d</w:t>
      </w:r>
      <w:r w:rsidR="00145E4B">
        <w:rPr>
          <w:b/>
        </w:rPr>
        <w:t>’</w:t>
      </w:r>
      <w:r w:rsidRPr="00E07570">
        <w:rPr>
          <w:b/>
        </w:rPr>
        <w:t>un type homologué peut se faire</w:t>
      </w:r>
      <w:r w:rsidR="00E179B4" w:rsidRPr="00E07570">
        <w:rPr>
          <w:b/>
        </w:rPr>
        <w:t> </w:t>
      </w:r>
      <w:r w:rsidRPr="00E07570">
        <w:rPr>
          <w:b/>
        </w:rPr>
        <w:t>:</w:t>
      </w:r>
    </w:p>
    <w:p w:rsidR="000D6937" w:rsidRPr="00E07570" w:rsidRDefault="000D6937" w:rsidP="000D6937">
      <w:pPr>
        <w:pStyle w:val="SingleTxtG"/>
        <w:rPr>
          <w:b/>
        </w:rPr>
      </w:pPr>
      <w:r w:rsidRPr="00E07570">
        <w:rPr>
          <w:b/>
        </w:rPr>
        <w:t>I.</w:t>
      </w:r>
      <w:r w:rsidRPr="00E07570">
        <w:rPr>
          <w:b/>
        </w:rPr>
        <w:tab/>
        <w:t>Soit</w:t>
      </w:r>
      <w:r w:rsidR="00577C20" w:rsidRPr="00E07570">
        <w:rPr>
          <w:b/>
        </w:rPr>
        <w:t> </w:t>
      </w:r>
      <w:r w:rsidRPr="00E07570">
        <w:rPr>
          <w:b/>
        </w:rPr>
        <w:t>:</w:t>
      </w:r>
    </w:p>
    <w:p w:rsidR="000D6937" w:rsidRPr="00E07570" w:rsidRDefault="000D6937" w:rsidP="00577C20">
      <w:pPr>
        <w:pStyle w:val="SingleTxtG"/>
        <w:ind w:left="2268" w:hanging="567"/>
        <w:rPr>
          <w:b/>
        </w:rPr>
      </w:pPr>
      <w:r w:rsidRPr="00E07570">
        <w:rPr>
          <w:b/>
        </w:rPr>
        <w:t>A.</w:t>
      </w:r>
      <w:r w:rsidRPr="00E07570">
        <w:rPr>
          <w:b/>
        </w:rPr>
        <w:tab/>
        <w:t>Par homologation d</w:t>
      </w:r>
      <w:r w:rsidR="00145E4B">
        <w:rPr>
          <w:b/>
        </w:rPr>
        <w:t>’</w:t>
      </w:r>
      <w:r w:rsidRPr="00E07570">
        <w:rPr>
          <w:b/>
        </w:rPr>
        <w:t>un ou plusieurs AECC en application de la partie</w:t>
      </w:r>
      <w:r w:rsidR="00577C20" w:rsidRPr="00E07570">
        <w:rPr>
          <w:b/>
        </w:rPr>
        <w:t> </w:t>
      </w:r>
      <w:proofErr w:type="spellStart"/>
      <w:r w:rsidRPr="00E07570">
        <w:rPr>
          <w:b/>
        </w:rPr>
        <w:t>Ia</w:t>
      </w:r>
      <w:proofErr w:type="spellEnd"/>
      <w:r w:rsidRPr="00E07570">
        <w:rPr>
          <w:b/>
        </w:rPr>
        <w:t xml:space="preserve"> du présent Règlement</w:t>
      </w:r>
      <w:r w:rsidR="00577C20" w:rsidRPr="00E07570">
        <w:rPr>
          <w:b/>
        </w:rPr>
        <w:t> </w:t>
      </w:r>
      <w:r w:rsidRPr="00E07570">
        <w:rPr>
          <w:b/>
        </w:rPr>
        <w:t>;</w:t>
      </w:r>
    </w:p>
    <w:p w:rsidR="000D6937" w:rsidRPr="00E07570" w:rsidRDefault="000D6937" w:rsidP="00577C20">
      <w:pPr>
        <w:pStyle w:val="SingleTxtG"/>
        <w:ind w:left="2268" w:hanging="567"/>
        <w:rPr>
          <w:b/>
        </w:rPr>
      </w:pPr>
      <w:r w:rsidRPr="00E07570">
        <w:rPr>
          <w:b/>
        </w:rPr>
        <w:t>B.</w:t>
      </w:r>
      <w:r w:rsidRPr="00E07570">
        <w:rPr>
          <w:b/>
        </w:rPr>
        <w:tab/>
        <w:t>Par homologation d</w:t>
      </w:r>
      <w:r w:rsidR="00145E4B">
        <w:rPr>
          <w:b/>
        </w:rPr>
        <w:t>’</w:t>
      </w:r>
      <w:r w:rsidRPr="00E07570">
        <w:rPr>
          <w:b/>
        </w:rPr>
        <w:t>un AECD en application de la partie</w:t>
      </w:r>
      <w:r w:rsidR="00577C20" w:rsidRPr="00E07570">
        <w:rPr>
          <w:b/>
        </w:rPr>
        <w:t> </w:t>
      </w:r>
      <w:proofErr w:type="spellStart"/>
      <w:r w:rsidR="00A22689" w:rsidRPr="00E07570">
        <w:rPr>
          <w:b/>
        </w:rPr>
        <w:t>Ib</w:t>
      </w:r>
      <w:proofErr w:type="spellEnd"/>
      <w:r w:rsidRPr="00E07570">
        <w:rPr>
          <w:b/>
        </w:rPr>
        <w:t xml:space="preserve"> du présent Règlement</w:t>
      </w:r>
      <w:r w:rsidR="00577C20" w:rsidRPr="00E07570">
        <w:rPr>
          <w:b/>
        </w:rPr>
        <w:t> </w:t>
      </w:r>
      <w:r w:rsidRPr="00E07570">
        <w:rPr>
          <w:b/>
        </w:rPr>
        <w:t>; et</w:t>
      </w:r>
    </w:p>
    <w:p w:rsidR="000D6937" w:rsidRPr="00E07570" w:rsidRDefault="000D6937" w:rsidP="00577C20">
      <w:pPr>
        <w:pStyle w:val="SingleTxtG"/>
        <w:ind w:left="2268" w:hanging="567"/>
        <w:rPr>
          <w:b/>
        </w:rPr>
      </w:pPr>
      <w:r w:rsidRPr="00E07570">
        <w:rPr>
          <w:b/>
        </w:rPr>
        <w:t>C.</w:t>
      </w:r>
      <w:r w:rsidRPr="00E07570">
        <w:rPr>
          <w:b/>
        </w:rPr>
        <w:tab/>
        <w:t>Par homologation de l</w:t>
      </w:r>
      <w:r w:rsidR="00145E4B">
        <w:rPr>
          <w:b/>
        </w:rPr>
        <w:t>’</w:t>
      </w:r>
      <w:r w:rsidRPr="00E07570">
        <w:rPr>
          <w:b/>
        </w:rPr>
        <w:t>installation d</w:t>
      </w:r>
      <w:r w:rsidR="00145E4B">
        <w:rPr>
          <w:b/>
        </w:rPr>
        <w:t>’</w:t>
      </w:r>
      <w:r w:rsidRPr="00E07570">
        <w:rPr>
          <w:b/>
        </w:rPr>
        <w:t>un AECD d</w:t>
      </w:r>
      <w:r w:rsidR="00145E4B">
        <w:rPr>
          <w:b/>
        </w:rPr>
        <w:t>’</w:t>
      </w:r>
      <w:r w:rsidRPr="00E07570">
        <w:rPr>
          <w:b/>
        </w:rPr>
        <w:t>un type homologué, en application de la partie</w:t>
      </w:r>
      <w:r w:rsidR="00577C20" w:rsidRPr="00E07570">
        <w:rPr>
          <w:b/>
        </w:rPr>
        <w:t> </w:t>
      </w:r>
      <w:r w:rsidRPr="00E07570">
        <w:rPr>
          <w:b/>
        </w:rPr>
        <w:t>II du présent Règlement;</w:t>
      </w:r>
    </w:p>
    <w:p w:rsidR="000D6937" w:rsidRPr="00E07570" w:rsidRDefault="000D6937" w:rsidP="00577C20">
      <w:pPr>
        <w:pStyle w:val="SingleTxtG"/>
        <w:ind w:left="1701" w:hanging="567"/>
        <w:rPr>
          <w:b/>
        </w:rPr>
      </w:pPr>
      <w:r w:rsidRPr="00E07570">
        <w:rPr>
          <w:b/>
        </w:rPr>
        <w:t>II.</w:t>
      </w:r>
      <w:r w:rsidRPr="00E07570">
        <w:rPr>
          <w:b/>
        </w:rPr>
        <w:tab/>
        <w:t>Soit par homologation d</w:t>
      </w:r>
      <w:r w:rsidR="00145E4B">
        <w:rPr>
          <w:b/>
        </w:rPr>
        <w:t>’</w:t>
      </w:r>
      <w:r w:rsidRPr="00E07570">
        <w:rPr>
          <w:b/>
        </w:rPr>
        <w:t>un véhicule en application de la partie</w:t>
      </w:r>
      <w:r w:rsidR="00577C20" w:rsidRPr="00E07570">
        <w:rPr>
          <w:b/>
        </w:rPr>
        <w:t> </w:t>
      </w:r>
      <w:r w:rsidRPr="00E07570">
        <w:rPr>
          <w:b/>
        </w:rPr>
        <w:t>III du présent Règlement (voir l</w:t>
      </w:r>
      <w:r w:rsidR="00145E4B">
        <w:rPr>
          <w:b/>
        </w:rPr>
        <w:t>’</w:t>
      </w:r>
      <w:r w:rsidRPr="00E07570">
        <w:rPr>
          <w:b/>
        </w:rPr>
        <w:t>annexe</w:t>
      </w:r>
      <w:r w:rsidR="00577C20" w:rsidRPr="00E07570">
        <w:rPr>
          <w:b/>
        </w:rPr>
        <w:t> </w:t>
      </w:r>
      <w:r w:rsidRPr="00E07570">
        <w:rPr>
          <w:b/>
        </w:rPr>
        <w:t>8).</w:t>
      </w:r>
    </w:p>
    <w:p w:rsidR="000D6937" w:rsidRPr="00E07570" w:rsidRDefault="000D6937" w:rsidP="000D6937">
      <w:pPr>
        <w:pStyle w:val="SingleTxtG"/>
      </w:pPr>
      <w:r w:rsidRPr="00E07570">
        <w:t>S</w:t>
      </w:r>
      <w:r w:rsidR="00145E4B">
        <w:t>’</w:t>
      </w:r>
      <w:r w:rsidRPr="00E07570">
        <w:t>ils sont demandés, les renseignements ci-dessous doivent être fournis en triple exemplaire et com</w:t>
      </w:r>
      <w:r w:rsidR="00577C20" w:rsidRPr="00E07570">
        <w:t>prendre une table des matières.</w:t>
      </w:r>
    </w:p>
    <w:p w:rsidR="000D6937" w:rsidRPr="00E07570" w:rsidRDefault="000D6937" w:rsidP="000D6937">
      <w:pPr>
        <w:pStyle w:val="SingleTxtG"/>
      </w:pPr>
      <w:r w:rsidRPr="00E07570">
        <w:t>Tous les dessins doivent être fournis à la bonne échelle et suffisamment détaillés sur des feuilles de format A4 ou dans un dossier du même format.</w:t>
      </w:r>
    </w:p>
    <w:p w:rsidR="000D6937" w:rsidRPr="00E07570" w:rsidRDefault="000D6937" w:rsidP="000D6937">
      <w:pPr>
        <w:pStyle w:val="SingleTxtG"/>
      </w:pPr>
      <w:r w:rsidRPr="00E07570">
        <w:t>Les éventuelles photographies doivent être suffisamment détaillées.</w:t>
      </w:r>
    </w:p>
    <w:p w:rsidR="000D6937" w:rsidRPr="00E07570" w:rsidRDefault="000D6937" w:rsidP="0028696E">
      <w:pPr>
        <w:pStyle w:val="SingleTxtG"/>
      </w:pPr>
      <w:r w:rsidRPr="00E07570">
        <w:t>Généralités</w:t>
      </w:r>
    </w:p>
    <w:p w:rsidR="000D6937" w:rsidRPr="00E07570" w:rsidRDefault="000D6937" w:rsidP="0028696E">
      <w:pPr>
        <w:pStyle w:val="SingleTxtG"/>
        <w:tabs>
          <w:tab w:val="right" w:leader="dot" w:pos="8505"/>
        </w:tabs>
        <w:kinsoku/>
        <w:overflowPunct/>
        <w:autoSpaceDE/>
        <w:autoSpaceDN/>
        <w:adjustRightInd/>
        <w:snapToGrid/>
        <w:ind w:left="1701" w:hanging="567"/>
      </w:pPr>
      <w:r w:rsidRPr="00E07570">
        <w:t>1.</w:t>
      </w:r>
      <w:r w:rsidRPr="00E07570">
        <w:tab/>
        <w:t>Marque de fabrique ou de commerce :</w:t>
      </w:r>
      <w:r w:rsidRPr="00E07570">
        <w:tab/>
      </w:r>
    </w:p>
    <w:p w:rsidR="000D6937" w:rsidRPr="00E07570" w:rsidRDefault="000D6937" w:rsidP="0028696E">
      <w:pPr>
        <w:pStyle w:val="SingleTxtG"/>
        <w:tabs>
          <w:tab w:val="right" w:leader="dot" w:pos="8505"/>
        </w:tabs>
        <w:kinsoku/>
        <w:overflowPunct/>
        <w:autoSpaceDE/>
        <w:autoSpaceDN/>
        <w:adjustRightInd/>
        <w:snapToGrid/>
        <w:ind w:left="1701" w:hanging="567"/>
      </w:pPr>
      <w:r w:rsidRPr="00E07570">
        <w:t>2.</w:t>
      </w:r>
      <w:r w:rsidRPr="00E07570">
        <w:tab/>
        <w:t>Type et désignation commerciale :</w:t>
      </w:r>
      <w:r w:rsidRPr="00E07570">
        <w:tab/>
      </w:r>
    </w:p>
    <w:p w:rsidR="000D6937" w:rsidRPr="00E07570" w:rsidRDefault="000D6937" w:rsidP="0028696E">
      <w:pPr>
        <w:pStyle w:val="SingleTxtG"/>
        <w:tabs>
          <w:tab w:val="right" w:leader="dot" w:pos="8505"/>
        </w:tabs>
        <w:kinsoku/>
        <w:overflowPunct/>
        <w:autoSpaceDE/>
        <w:autoSpaceDN/>
        <w:adjustRightInd/>
        <w:snapToGrid/>
        <w:ind w:left="1701" w:hanging="567"/>
      </w:pPr>
      <w:r w:rsidRPr="00E07570">
        <w:t>3.</w:t>
      </w:r>
      <w:r w:rsidRPr="00E07570">
        <w:tab/>
        <w:t>Moyens d</w:t>
      </w:r>
      <w:r w:rsidR="00145E4B">
        <w:t>’</w:t>
      </w:r>
      <w:r w:rsidRPr="00E07570">
        <w:t>identification du type, s</w:t>
      </w:r>
      <w:r w:rsidR="00145E4B">
        <w:t>’</w:t>
      </w:r>
      <w:r w:rsidRPr="00E07570">
        <w:t>il figure sur le véhicule :</w:t>
      </w:r>
      <w:r w:rsidRPr="00E07570">
        <w:tab/>
      </w:r>
    </w:p>
    <w:p w:rsidR="000D6937" w:rsidRPr="00E07570" w:rsidRDefault="000D6937" w:rsidP="0028696E">
      <w:pPr>
        <w:pStyle w:val="SingleTxtG"/>
        <w:tabs>
          <w:tab w:val="right" w:leader="dot" w:pos="8505"/>
        </w:tabs>
        <w:kinsoku/>
        <w:overflowPunct/>
        <w:autoSpaceDE/>
        <w:autoSpaceDN/>
        <w:adjustRightInd/>
        <w:snapToGrid/>
        <w:ind w:left="1701" w:hanging="567"/>
      </w:pPr>
      <w:r w:rsidRPr="00E07570">
        <w:t>4.</w:t>
      </w:r>
      <w:r w:rsidRPr="00E07570">
        <w:tab/>
        <w:t>Emplacement de la marque :</w:t>
      </w:r>
      <w:r w:rsidRPr="00E07570">
        <w:tab/>
      </w:r>
    </w:p>
    <w:p w:rsidR="000D6937" w:rsidRPr="00E07570" w:rsidRDefault="000D6937" w:rsidP="0028696E">
      <w:pPr>
        <w:pStyle w:val="SingleTxtG"/>
        <w:tabs>
          <w:tab w:val="right" w:leader="dot" w:pos="8505"/>
        </w:tabs>
        <w:kinsoku/>
        <w:overflowPunct/>
        <w:autoSpaceDE/>
        <w:autoSpaceDN/>
        <w:adjustRightInd/>
        <w:snapToGrid/>
        <w:ind w:left="1701" w:hanging="567"/>
      </w:pPr>
      <w:r w:rsidRPr="00E07570">
        <w:t>5.</w:t>
      </w:r>
      <w:r w:rsidRPr="00E07570">
        <w:tab/>
        <w:t>Emplacement et méthode de fixation de la marque d</w:t>
      </w:r>
      <w:r w:rsidR="00145E4B">
        <w:t>’</w:t>
      </w:r>
      <w:r w:rsidRPr="00E07570">
        <w:t>homologation :</w:t>
      </w:r>
      <w:r w:rsidRPr="00E07570">
        <w:tab/>
      </w:r>
    </w:p>
    <w:p w:rsidR="000D6937" w:rsidRPr="00E07570" w:rsidRDefault="000D6937" w:rsidP="0028696E">
      <w:pPr>
        <w:pStyle w:val="SingleTxtG"/>
        <w:tabs>
          <w:tab w:val="right" w:leader="dot" w:pos="8505"/>
        </w:tabs>
        <w:kinsoku/>
        <w:overflowPunct/>
        <w:autoSpaceDE/>
        <w:autoSpaceDN/>
        <w:adjustRightInd/>
        <w:snapToGrid/>
        <w:ind w:left="1701" w:hanging="567"/>
      </w:pPr>
      <w:r w:rsidRPr="00E07570">
        <w:t>6.</w:t>
      </w:r>
      <w:r w:rsidRPr="00E07570">
        <w:tab/>
        <w:t>Catégorie du véhicule :</w:t>
      </w:r>
      <w:r w:rsidRPr="00E07570">
        <w:tab/>
      </w:r>
    </w:p>
    <w:p w:rsidR="000D6937" w:rsidRPr="00E07570" w:rsidRDefault="000D6937" w:rsidP="0028696E">
      <w:pPr>
        <w:pStyle w:val="SingleTxtG"/>
        <w:tabs>
          <w:tab w:val="right" w:leader="dot" w:pos="8505"/>
        </w:tabs>
        <w:kinsoku/>
        <w:overflowPunct/>
        <w:autoSpaceDE/>
        <w:autoSpaceDN/>
        <w:adjustRightInd/>
        <w:snapToGrid/>
        <w:ind w:left="1701" w:hanging="567"/>
      </w:pPr>
      <w:r w:rsidRPr="00E07570">
        <w:t>7.</w:t>
      </w:r>
      <w:r w:rsidRPr="00E07570">
        <w:tab/>
        <w:t>Nom et adresse du constructeur :</w:t>
      </w:r>
      <w:r w:rsidRPr="00E07570">
        <w:tab/>
      </w:r>
    </w:p>
    <w:p w:rsidR="000D6937" w:rsidRPr="00E07570" w:rsidRDefault="000D6937" w:rsidP="0028696E">
      <w:pPr>
        <w:pStyle w:val="SingleTxtG"/>
      </w:pPr>
      <w:r w:rsidRPr="00E07570">
        <w:t>8.</w:t>
      </w:r>
      <w:r w:rsidRPr="00E07570">
        <w:tab/>
        <w:t>Adresse(s) de l</w:t>
      </w:r>
      <w:r w:rsidR="00145E4B">
        <w:t>’</w:t>
      </w:r>
      <w:r w:rsidRPr="00E07570">
        <w:t>usine ou des usines de montage :</w:t>
      </w:r>
      <w:r w:rsidRPr="00E07570">
        <w:tab/>
      </w:r>
    </w:p>
    <w:p w:rsidR="000D6937" w:rsidRPr="00E07570" w:rsidRDefault="000D6937" w:rsidP="0028696E">
      <w:pPr>
        <w:pStyle w:val="SingleTxtG"/>
        <w:tabs>
          <w:tab w:val="right" w:leader="dot" w:pos="8505"/>
        </w:tabs>
        <w:kinsoku/>
        <w:overflowPunct/>
        <w:autoSpaceDE/>
        <w:autoSpaceDN/>
        <w:adjustRightInd/>
        <w:snapToGrid/>
        <w:ind w:left="1701" w:hanging="567"/>
      </w:pPr>
      <w:r w:rsidRPr="00E07570">
        <w:t>9.</w:t>
      </w:r>
      <w:r w:rsidRPr="00E07570">
        <w:tab/>
        <w:t>Photographie(s) et/ou dessin(s) d</w:t>
      </w:r>
      <w:r w:rsidR="00145E4B">
        <w:t>’</w:t>
      </w:r>
      <w:r w:rsidRPr="00E07570">
        <w:t>un véhicule représentatif :</w:t>
      </w:r>
      <w:r w:rsidRPr="00E07570">
        <w:tab/>
      </w:r>
    </w:p>
    <w:p w:rsidR="000D6937" w:rsidRPr="00E07570" w:rsidRDefault="000D6937" w:rsidP="0028696E">
      <w:pPr>
        <w:pStyle w:val="SingleTxtG"/>
      </w:pPr>
      <w:r w:rsidRPr="00E07570">
        <w:t>10.</w:t>
      </w:r>
      <w:r w:rsidRPr="00E07570">
        <w:tab/>
        <w:t>AECD</w:t>
      </w:r>
    </w:p>
    <w:p w:rsidR="000D6937" w:rsidRPr="00E07570" w:rsidRDefault="000D6937" w:rsidP="0028696E">
      <w:pPr>
        <w:pStyle w:val="SingleTxtG"/>
        <w:tabs>
          <w:tab w:val="right" w:leader="dot" w:pos="8505"/>
        </w:tabs>
        <w:kinsoku/>
        <w:overflowPunct/>
        <w:autoSpaceDE/>
        <w:autoSpaceDN/>
        <w:adjustRightInd/>
        <w:snapToGrid/>
        <w:ind w:left="1701" w:hanging="567"/>
      </w:pPr>
      <w:r w:rsidRPr="00E07570">
        <w:t>10.1</w:t>
      </w:r>
      <w:r w:rsidRPr="00E07570">
        <w:tab/>
        <w:t>Type et désignation commerciale :</w:t>
      </w:r>
      <w:r w:rsidRPr="00E07570">
        <w:tab/>
      </w:r>
    </w:p>
    <w:p w:rsidR="000D6937" w:rsidRPr="00E07570" w:rsidRDefault="000D6937" w:rsidP="0028696E">
      <w:pPr>
        <w:pStyle w:val="SingleTxtG"/>
        <w:tabs>
          <w:tab w:val="right" w:leader="dot" w:pos="8505"/>
        </w:tabs>
        <w:kinsoku/>
        <w:overflowPunct/>
        <w:autoSpaceDE/>
        <w:autoSpaceDN/>
        <w:adjustRightInd/>
        <w:snapToGrid/>
        <w:ind w:left="1701" w:hanging="567"/>
      </w:pPr>
      <w:r w:rsidRPr="00E07570">
        <w:t>10.2</w:t>
      </w:r>
      <w:r w:rsidRPr="00E07570">
        <w:tab/>
        <w:t>Disposition (indiquer les éléments prévus dans la livraison) :</w:t>
      </w:r>
      <w:r w:rsidRPr="00E07570">
        <w:tab/>
      </w:r>
    </w:p>
    <w:p w:rsidR="000D6937" w:rsidRPr="00E07570" w:rsidRDefault="000D6937" w:rsidP="0028696E">
      <w:pPr>
        <w:pStyle w:val="SingleTxtG"/>
        <w:tabs>
          <w:tab w:val="right" w:leader="dot" w:pos="8505"/>
        </w:tabs>
        <w:kinsoku/>
        <w:overflowPunct/>
        <w:autoSpaceDE/>
        <w:autoSpaceDN/>
        <w:adjustRightInd/>
        <w:snapToGrid/>
        <w:ind w:left="1701" w:hanging="567"/>
      </w:pPr>
      <w:r w:rsidRPr="00E07570">
        <w:t>10.3</w:t>
      </w:r>
      <w:r w:rsidRPr="00E07570">
        <w:tab/>
        <w:t>Description du mécanisme de déclenchement automatique :</w:t>
      </w:r>
      <w:r w:rsidRPr="00E07570">
        <w:tab/>
      </w:r>
    </w:p>
    <w:p w:rsidR="000D6937" w:rsidRPr="00E07570" w:rsidRDefault="000D6937" w:rsidP="0028696E">
      <w:pPr>
        <w:pStyle w:val="SingleTxtG"/>
        <w:tabs>
          <w:tab w:val="right" w:leader="dot" w:pos="8505"/>
        </w:tabs>
        <w:kinsoku/>
        <w:overflowPunct/>
        <w:autoSpaceDE/>
        <w:autoSpaceDN/>
        <w:adjustRightInd/>
        <w:snapToGrid/>
        <w:ind w:left="1701" w:hanging="567"/>
      </w:pPr>
      <w:r w:rsidRPr="00E07570">
        <w:t>10.4</w:t>
      </w:r>
      <w:r w:rsidRPr="00E07570">
        <w:tab/>
        <w:t>Description de la ou des méthodes de fixation au véhicule :</w:t>
      </w:r>
      <w:r w:rsidRPr="00E07570">
        <w:tab/>
      </w:r>
    </w:p>
    <w:p w:rsidR="000D6937" w:rsidRPr="00E07570" w:rsidRDefault="000D6937" w:rsidP="00870DC3">
      <w:pPr>
        <w:pStyle w:val="SingleTxtG"/>
        <w:tabs>
          <w:tab w:val="right" w:leader="dot" w:pos="8505"/>
        </w:tabs>
        <w:kinsoku/>
        <w:overflowPunct/>
        <w:autoSpaceDE/>
        <w:autoSpaceDN/>
        <w:adjustRightInd/>
        <w:snapToGrid/>
        <w:ind w:left="1701" w:hanging="567"/>
        <w:jc w:val="left"/>
      </w:pPr>
      <w:r w:rsidRPr="00E07570">
        <w:t>10.5</w:t>
      </w:r>
      <w:r w:rsidRPr="00E07570">
        <w:tab/>
        <w:t>Dessin(s) indiquant l</w:t>
      </w:r>
      <w:r w:rsidR="00145E4B">
        <w:t>’</w:t>
      </w:r>
      <w:r w:rsidRPr="00E07570">
        <w:t>emplacement de l</w:t>
      </w:r>
      <w:r w:rsidR="00145E4B">
        <w:t>’</w:t>
      </w:r>
      <w:r w:rsidRPr="00E07570">
        <w:t>AECD :</w:t>
      </w:r>
      <w:r w:rsidRPr="00E07570">
        <w:tab/>
      </w:r>
    </w:p>
    <w:p w:rsidR="000D6937" w:rsidRPr="00E07570" w:rsidRDefault="000D6937" w:rsidP="00870DC3">
      <w:pPr>
        <w:pStyle w:val="SingleTxtG"/>
        <w:tabs>
          <w:tab w:val="right" w:leader="dot" w:pos="8505"/>
        </w:tabs>
        <w:kinsoku/>
        <w:overflowPunct/>
        <w:autoSpaceDE/>
        <w:autoSpaceDN/>
        <w:adjustRightInd/>
        <w:snapToGrid/>
        <w:ind w:left="1701" w:hanging="567"/>
        <w:jc w:val="left"/>
      </w:pPr>
      <w:r w:rsidRPr="00E07570">
        <w:t>10.6</w:t>
      </w:r>
      <w:r w:rsidRPr="00E07570">
        <w:tab/>
        <w:t>Numéro d</w:t>
      </w:r>
      <w:r w:rsidR="00145E4B">
        <w:t>’</w:t>
      </w:r>
      <w:r w:rsidRPr="00E07570">
        <w:t>homologation de type (le cas échéant) :</w:t>
      </w:r>
      <w:r w:rsidRPr="00E07570">
        <w:tab/>
      </w:r>
    </w:p>
    <w:p w:rsidR="000D6937" w:rsidRPr="00E07570" w:rsidRDefault="000D6937" w:rsidP="00870DC3">
      <w:pPr>
        <w:pStyle w:val="SingleTxtG"/>
        <w:jc w:val="left"/>
      </w:pPr>
      <w:r w:rsidRPr="00E07570">
        <w:t>11.</w:t>
      </w:r>
      <w:r w:rsidRPr="00E07570">
        <w:tab/>
        <w:t>Procédure d</w:t>
      </w:r>
      <w:r w:rsidR="00145E4B">
        <w:t>’</w:t>
      </w:r>
      <w:r w:rsidRPr="00E07570">
        <w:t>homologation :</w:t>
      </w:r>
    </w:p>
    <w:p w:rsidR="000D6937" w:rsidRPr="00E07570" w:rsidRDefault="000D6937" w:rsidP="00870DC3">
      <w:pPr>
        <w:pStyle w:val="SingleTxtG"/>
        <w:tabs>
          <w:tab w:val="left" w:pos="1985"/>
        </w:tabs>
        <w:ind w:left="1701"/>
        <w:jc w:val="left"/>
      </w:pPr>
      <w:r w:rsidRPr="00E07570">
        <w:t>-</w:t>
      </w:r>
      <w:r w:rsidRPr="00E07570">
        <w:tab/>
        <w:t>Homologation de type : oui/non</w:t>
      </w:r>
      <w:r w:rsidRPr="00E07570">
        <w:rPr>
          <w:rStyle w:val="FootnoteReference"/>
        </w:rPr>
        <w:footnoteReference w:id="20"/>
      </w:r>
    </w:p>
    <w:p w:rsidR="000D6937" w:rsidRPr="00E07570" w:rsidRDefault="000D6937" w:rsidP="00870DC3">
      <w:pPr>
        <w:pStyle w:val="SingleTxtG"/>
        <w:tabs>
          <w:tab w:val="left" w:pos="1985"/>
        </w:tabs>
        <w:ind w:left="1701"/>
        <w:jc w:val="left"/>
      </w:pPr>
      <w:r w:rsidRPr="00E07570">
        <w:t>-</w:t>
      </w:r>
      <w:r w:rsidRPr="00E07570">
        <w:tab/>
        <w:t>Extension de l</w:t>
      </w:r>
      <w:r w:rsidR="00145E4B">
        <w:t>’</w:t>
      </w:r>
      <w:r w:rsidRPr="00E07570">
        <w:t>homologation de type en vertu du présent Règlement : oui/non</w:t>
      </w:r>
      <w:r w:rsidRPr="00E07570">
        <w:rPr>
          <w:sz w:val="18"/>
          <w:szCs w:val="18"/>
          <w:vertAlign w:val="superscript"/>
        </w:rPr>
        <w:t>1</w:t>
      </w:r>
    </w:p>
    <w:p w:rsidR="000D6937" w:rsidRPr="00E07570" w:rsidRDefault="000D6937" w:rsidP="00870DC3">
      <w:pPr>
        <w:pStyle w:val="SingleTxtG"/>
        <w:tabs>
          <w:tab w:val="left" w:pos="1985"/>
        </w:tabs>
        <w:ind w:left="1985" w:hanging="284"/>
        <w:jc w:val="left"/>
      </w:pPr>
      <w:r w:rsidRPr="00E07570">
        <w:t>-</w:t>
      </w:r>
      <w:r w:rsidRPr="00E07570">
        <w:tab/>
        <w:t>Véhicule déjà homologué en application des Règlements n</w:t>
      </w:r>
      <w:r w:rsidRPr="00E07570">
        <w:rPr>
          <w:vertAlign w:val="superscript"/>
        </w:rPr>
        <w:t>os</w:t>
      </w:r>
      <w:r w:rsidRPr="00E07570">
        <w:t> 94 ou 95 avant l</w:t>
      </w:r>
      <w:r w:rsidR="00145E4B">
        <w:t>’</w:t>
      </w:r>
      <w:r w:rsidRPr="00E07570">
        <w:t>entrée en vigueur du présent Règlement : oui/non</w:t>
      </w:r>
      <w:r w:rsidRPr="00E07570">
        <w:rPr>
          <w:sz w:val="18"/>
          <w:szCs w:val="18"/>
          <w:vertAlign w:val="superscript"/>
        </w:rPr>
        <w:t>1</w:t>
      </w:r>
    </w:p>
    <w:p w:rsidR="000D6937" w:rsidRPr="00E07570" w:rsidRDefault="000D6937" w:rsidP="00870DC3">
      <w:pPr>
        <w:pStyle w:val="SingleTxtG"/>
        <w:jc w:val="left"/>
      </w:pPr>
      <w:r w:rsidRPr="00E07570">
        <w:t>12.</w:t>
      </w:r>
      <w:r w:rsidRPr="00E07570">
        <w:tab/>
        <w:t>Unité interne de détection des chocs : oui/non</w:t>
      </w:r>
      <w:r w:rsidRPr="00E07570">
        <w:rPr>
          <w:sz w:val="18"/>
          <w:szCs w:val="18"/>
          <w:vertAlign w:val="superscript"/>
        </w:rPr>
        <w:t>1</w:t>
      </w:r>
    </w:p>
    <w:p w:rsidR="00E64F65" w:rsidRPr="00E07570" w:rsidRDefault="00E64F65" w:rsidP="000D6937">
      <w:pPr>
        <w:pStyle w:val="SingleTxtG"/>
        <w:rPr>
          <w:vertAlign w:val="superscript"/>
        </w:rPr>
        <w:sectPr w:rsidR="00E64F65" w:rsidRPr="00E07570" w:rsidSect="00CF30E3">
          <w:footnotePr>
            <w:numRestart w:val="eachSect"/>
          </w:footnotePr>
          <w:endnotePr>
            <w:numFmt w:val="decimal"/>
          </w:endnotePr>
          <w:pgSz w:w="11907" w:h="16840" w:code="9"/>
          <w:pgMar w:top="1701" w:right="1134" w:bottom="2268" w:left="1134" w:header="1134" w:footer="1701" w:gutter="0"/>
          <w:cols w:space="720"/>
          <w:docGrid w:linePitch="326"/>
        </w:sectPr>
      </w:pPr>
    </w:p>
    <w:p w:rsidR="000D6937" w:rsidRPr="00E07570" w:rsidRDefault="00290201" w:rsidP="00290201">
      <w:pPr>
        <w:pStyle w:val="HChG"/>
      </w:pPr>
      <w:r w:rsidRPr="00E07570">
        <w:t>Annexe 8</w:t>
      </w:r>
    </w:p>
    <w:p w:rsidR="00290201" w:rsidRPr="00E07570" w:rsidRDefault="00290201" w:rsidP="00290201">
      <w:pPr>
        <w:pStyle w:val="HChG"/>
      </w:pPr>
      <w:r w:rsidRPr="00E07570">
        <w:tab/>
      </w:r>
      <w:r w:rsidRPr="00E07570">
        <w:tab/>
        <w:t>Document d</w:t>
      </w:r>
      <w:r w:rsidR="00145E4B">
        <w:t>’</w:t>
      </w:r>
      <w:r w:rsidRPr="00E07570">
        <w:t>information sur l</w:t>
      </w:r>
      <w:r w:rsidR="00145E4B">
        <w:t>’</w:t>
      </w:r>
      <w:r w:rsidRPr="00E07570">
        <w:t xml:space="preserve">homologation de type </w:t>
      </w:r>
      <w:r w:rsidRPr="00E07570">
        <w:br/>
        <w:t>d</w:t>
      </w:r>
      <w:r w:rsidR="00145E4B">
        <w:t>’</w:t>
      </w:r>
      <w:r w:rsidRPr="00E07570">
        <w:t xml:space="preserve">un véhicule en ce qui concerne le système </w:t>
      </w:r>
      <w:r w:rsidRPr="00E07570">
        <w:br/>
        <w:t>automatique d</w:t>
      </w:r>
      <w:r w:rsidR="00145E4B">
        <w:t>’</w:t>
      </w:r>
      <w:r w:rsidRPr="00E07570">
        <w:t>appel d</w:t>
      </w:r>
      <w:r w:rsidR="00145E4B">
        <w:t>’</w:t>
      </w:r>
      <w:r w:rsidRPr="00E07570">
        <w:t>urgence (AECS)</w:t>
      </w:r>
    </w:p>
    <w:p w:rsidR="00290201" w:rsidRPr="00E07570" w:rsidRDefault="00290201" w:rsidP="00290201">
      <w:pPr>
        <w:pStyle w:val="SingleTxtG"/>
      </w:pPr>
      <w:r w:rsidRPr="00E07570">
        <w:t>S</w:t>
      </w:r>
      <w:r w:rsidR="00145E4B">
        <w:t>’</w:t>
      </w:r>
      <w:r w:rsidRPr="00E07570">
        <w:t xml:space="preserve">ils sont demandés, les renseignements ci-dessous doivent être fournis en triple exemplaire et comprendre une table des matières. </w:t>
      </w:r>
    </w:p>
    <w:p w:rsidR="00290201" w:rsidRPr="00E07570" w:rsidRDefault="00290201" w:rsidP="00290201">
      <w:pPr>
        <w:pStyle w:val="SingleTxtG"/>
      </w:pPr>
      <w:r w:rsidRPr="00E07570">
        <w:t>Tous les dessins doivent être fournis à la bonne échelle et suffisamment détaillés sur des feuilles de format</w:t>
      </w:r>
      <w:r w:rsidR="00B20909" w:rsidRPr="00E07570">
        <w:t> </w:t>
      </w:r>
      <w:r w:rsidRPr="00E07570">
        <w:t>A4 ou dans un dossier du même format.</w:t>
      </w:r>
    </w:p>
    <w:p w:rsidR="00290201" w:rsidRPr="00E07570" w:rsidRDefault="00290201" w:rsidP="00290201">
      <w:pPr>
        <w:pStyle w:val="SingleTxtG"/>
      </w:pPr>
      <w:r w:rsidRPr="00E07570">
        <w:t>Les éventuelles photographies doivent être suffisamment détaillées.</w:t>
      </w:r>
    </w:p>
    <w:p w:rsidR="00290201" w:rsidRPr="00E07570" w:rsidRDefault="00290201" w:rsidP="00290201">
      <w:pPr>
        <w:pStyle w:val="SingleTxtG"/>
      </w:pPr>
      <w:r w:rsidRPr="00E07570">
        <w:t>Généralités</w:t>
      </w:r>
    </w:p>
    <w:p w:rsidR="00290201" w:rsidRPr="00E07570" w:rsidRDefault="00290201" w:rsidP="00831FDD">
      <w:pPr>
        <w:pStyle w:val="SingleTxtG"/>
        <w:tabs>
          <w:tab w:val="right" w:leader="dot" w:pos="8505"/>
        </w:tabs>
        <w:kinsoku/>
        <w:overflowPunct/>
        <w:autoSpaceDE/>
        <w:autoSpaceDN/>
        <w:adjustRightInd/>
        <w:snapToGrid/>
        <w:ind w:left="1701" w:hanging="567"/>
        <w:jc w:val="left"/>
      </w:pPr>
      <w:r w:rsidRPr="00E07570">
        <w:t>1.</w:t>
      </w:r>
      <w:r w:rsidRPr="00E07570">
        <w:tab/>
        <w:t>Marque de fabrique ou de commerce :</w:t>
      </w:r>
      <w:r w:rsidRPr="00E07570">
        <w:tab/>
      </w:r>
    </w:p>
    <w:p w:rsidR="00290201" w:rsidRPr="00E07570" w:rsidRDefault="00290201" w:rsidP="00831FDD">
      <w:pPr>
        <w:pStyle w:val="SingleTxtG"/>
        <w:tabs>
          <w:tab w:val="right" w:leader="dot" w:pos="8505"/>
        </w:tabs>
        <w:kinsoku/>
        <w:overflowPunct/>
        <w:autoSpaceDE/>
        <w:autoSpaceDN/>
        <w:adjustRightInd/>
        <w:snapToGrid/>
        <w:ind w:left="1701" w:hanging="567"/>
        <w:jc w:val="left"/>
      </w:pPr>
      <w:r w:rsidRPr="00E07570">
        <w:t>2.</w:t>
      </w:r>
      <w:r w:rsidRPr="00E07570">
        <w:tab/>
        <w:t>Type et désignation commerciale :</w:t>
      </w:r>
      <w:r w:rsidRPr="00E07570">
        <w:tab/>
      </w:r>
    </w:p>
    <w:p w:rsidR="00290201" w:rsidRPr="00E07570" w:rsidRDefault="00290201" w:rsidP="00831FDD">
      <w:pPr>
        <w:pStyle w:val="SingleTxtG"/>
        <w:tabs>
          <w:tab w:val="right" w:leader="dot" w:pos="8505"/>
        </w:tabs>
        <w:kinsoku/>
        <w:overflowPunct/>
        <w:autoSpaceDE/>
        <w:autoSpaceDN/>
        <w:adjustRightInd/>
        <w:snapToGrid/>
        <w:ind w:left="1701" w:hanging="567"/>
        <w:jc w:val="left"/>
      </w:pPr>
      <w:r w:rsidRPr="00E07570">
        <w:t>3.</w:t>
      </w:r>
      <w:r w:rsidRPr="00E07570">
        <w:tab/>
        <w:t>Moyens d</w:t>
      </w:r>
      <w:r w:rsidR="00145E4B">
        <w:t>’</w:t>
      </w:r>
      <w:r w:rsidRPr="00E07570">
        <w:t>identification du type, s</w:t>
      </w:r>
      <w:r w:rsidR="00145E4B">
        <w:t>’</w:t>
      </w:r>
      <w:r w:rsidRPr="00E07570">
        <w:t>il figure sur le véhicule :</w:t>
      </w:r>
      <w:r w:rsidRPr="00E07570">
        <w:tab/>
      </w:r>
    </w:p>
    <w:p w:rsidR="00290201" w:rsidRPr="00E07570" w:rsidRDefault="00290201" w:rsidP="00831FDD">
      <w:pPr>
        <w:pStyle w:val="SingleTxtG"/>
        <w:tabs>
          <w:tab w:val="right" w:leader="dot" w:pos="8505"/>
        </w:tabs>
        <w:kinsoku/>
        <w:overflowPunct/>
        <w:autoSpaceDE/>
        <w:autoSpaceDN/>
        <w:adjustRightInd/>
        <w:snapToGrid/>
        <w:ind w:left="1701" w:hanging="567"/>
        <w:jc w:val="left"/>
      </w:pPr>
      <w:r w:rsidRPr="00E07570">
        <w:t>4.</w:t>
      </w:r>
      <w:r w:rsidRPr="00E07570">
        <w:tab/>
        <w:t>Emplacement de la marque :</w:t>
      </w:r>
      <w:r w:rsidRPr="00E07570">
        <w:tab/>
      </w:r>
    </w:p>
    <w:p w:rsidR="00290201" w:rsidRPr="00E07570" w:rsidRDefault="00290201" w:rsidP="00831FDD">
      <w:pPr>
        <w:pStyle w:val="SingleTxtG"/>
        <w:tabs>
          <w:tab w:val="right" w:leader="dot" w:pos="8505"/>
        </w:tabs>
        <w:kinsoku/>
        <w:overflowPunct/>
        <w:autoSpaceDE/>
        <w:autoSpaceDN/>
        <w:adjustRightInd/>
        <w:snapToGrid/>
        <w:ind w:left="1701" w:hanging="567"/>
        <w:jc w:val="left"/>
      </w:pPr>
      <w:r w:rsidRPr="00E07570">
        <w:t>5.</w:t>
      </w:r>
      <w:r w:rsidRPr="00E07570">
        <w:tab/>
        <w:t>Emplacement et méthode de fixation de la marque d</w:t>
      </w:r>
      <w:r w:rsidR="00145E4B">
        <w:t>’</w:t>
      </w:r>
      <w:r w:rsidRPr="00E07570">
        <w:t>homologation :</w:t>
      </w:r>
      <w:r w:rsidRPr="00E07570">
        <w:tab/>
      </w:r>
    </w:p>
    <w:p w:rsidR="00290201" w:rsidRPr="00E07570" w:rsidRDefault="00290201" w:rsidP="00831FDD">
      <w:pPr>
        <w:pStyle w:val="SingleTxtG"/>
        <w:tabs>
          <w:tab w:val="right" w:leader="dot" w:pos="8505"/>
        </w:tabs>
        <w:kinsoku/>
        <w:overflowPunct/>
        <w:autoSpaceDE/>
        <w:autoSpaceDN/>
        <w:adjustRightInd/>
        <w:snapToGrid/>
        <w:ind w:left="1701" w:hanging="567"/>
        <w:jc w:val="left"/>
      </w:pPr>
      <w:r w:rsidRPr="00E07570">
        <w:t>6.</w:t>
      </w:r>
      <w:r w:rsidRPr="00E07570">
        <w:tab/>
        <w:t>Catégorie du véhicule :</w:t>
      </w:r>
      <w:r w:rsidRPr="00E07570">
        <w:tab/>
      </w:r>
    </w:p>
    <w:p w:rsidR="00290201" w:rsidRPr="00E07570" w:rsidRDefault="00290201" w:rsidP="00831FDD">
      <w:pPr>
        <w:pStyle w:val="SingleTxtG"/>
        <w:tabs>
          <w:tab w:val="right" w:leader="dot" w:pos="8505"/>
        </w:tabs>
        <w:kinsoku/>
        <w:overflowPunct/>
        <w:autoSpaceDE/>
        <w:autoSpaceDN/>
        <w:adjustRightInd/>
        <w:snapToGrid/>
        <w:ind w:left="1701" w:hanging="567"/>
        <w:jc w:val="left"/>
      </w:pPr>
      <w:r w:rsidRPr="00E07570">
        <w:t>7.</w:t>
      </w:r>
      <w:r w:rsidRPr="00E07570">
        <w:tab/>
        <w:t>Nom et adresse du constructeur :</w:t>
      </w:r>
      <w:r w:rsidRPr="00E07570">
        <w:tab/>
      </w:r>
    </w:p>
    <w:p w:rsidR="00290201" w:rsidRPr="00E07570" w:rsidRDefault="00290201" w:rsidP="00831FDD">
      <w:pPr>
        <w:pStyle w:val="SingleTxtG"/>
        <w:tabs>
          <w:tab w:val="right" w:leader="dot" w:pos="8505"/>
        </w:tabs>
        <w:kinsoku/>
        <w:overflowPunct/>
        <w:autoSpaceDE/>
        <w:autoSpaceDN/>
        <w:adjustRightInd/>
        <w:snapToGrid/>
        <w:ind w:left="1701" w:hanging="567"/>
        <w:jc w:val="left"/>
      </w:pPr>
      <w:r w:rsidRPr="00E07570">
        <w:t>8.</w:t>
      </w:r>
      <w:r w:rsidRPr="00E07570">
        <w:tab/>
        <w:t>Adresse(s) de l</w:t>
      </w:r>
      <w:r w:rsidR="00145E4B">
        <w:t>’</w:t>
      </w:r>
      <w:r w:rsidRPr="00E07570">
        <w:t>usine ou des usines de montage :</w:t>
      </w:r>
      <w:r w:rsidRPr="00E07570">
        <w:tab/>
      </w:r>
    </w:p>
    <w:p w:rsidR="00290201" w:rsidRPr="00E07570" w:rsidRDefault="00290201" w:rsidP="00831FDD">
      <w:pPr>
        <w:pStyle w:val="SingleTxtG"/>
        <w:tabs>
          <w:tab w:val="right" w:leader="dot" w:pos="8505"/>
        </w:tabs>
        <w:kinsoku/>
        <w:overflowPunct/>
        <w:autoSpaceDE/>
        <w:autoSpaceDN/>
        <w:adjustRightInd/>
        <w:snapToGrid/>
        <w:ind w:left="1701" w:hanging="567"/>
        <w:jc w:val="left"/>
      </w:pPr>
      <w:r w:rsidRPr="00E07570">
        <w:t>9.</w:t>
      </w:r>
      <w:r w:rsidRPr="00E07570">
        <w:tab/>
        <w:t>Photographie(s) et/ou dessin(s) d</w:t>
      </w:r>
      <w:r w:rsidR="00145E4B">
        <w:t>’</w:t>
      </w:r>
      <w:r w:rsidRPr="00E07570">
        <w:t>un véhicule représentatif :</w:t>
      </w:r>
      <w:r w:rsidRPr="00E07570">
        <w:tab/>
      </w:r>
    </w:p>
    <w:p w:rsidR="00290201" w:rsidRPr="00E07570" w:rsidRDefault="00290201" w:rsidP="00831FDD">
      <w:pPr>
        <w:pStyle w:val="SingleTxtG"/>
        <w:jc w:val="left"/>
      </w:pPr>
      <w:r w:rsidRPr="00E07570">
        <w:t>10.</w:t>
      </w:r>
      <w:r w:rsidRPr="00E07570">
        <w:tab/>
        <w:t>AECS</w:t>
      </w:r>
    </w:p>
    <w:p w:rsidR="00290201" w:rsidRPr="00E07570" w:rsidRDefault="00290201" w:rsidP="00831FDD">
      <w:pPr>
        <w:pStyle w:val="SingleTxtG"/>
        <w:tabs>
          <w:tab w:val="right" w:leader="dot" w:pos="8505"/>
        </w:tabs>
        <w:kinsoku/>
        <w:overflowPunct/>
        <w:autoSpaceDE/>
        <w:autoSpaceDN/>
        <w:adjustRightInd/>
        <w:snapToGrid/>
        <w:ind w:left="1701" w:hanging="567"/>
        <w:jc w:val="left"/>
      </w:pPr>
      <w:r w:rsidRPr="00E07570">
        <w:t>10.1</w:t>
      </w:r>
      <w:r w:rsidRPr="00E07570">
        <w:tab/>
        <w:t>Marque de fabrique ou de commerce :</w:t>
      </w:r>
      <w:r w:rsidRPr="00E07570">
        <w:tab/>
      </w:r>
    </w:p>
    <w:p w:rsidR="00290201" w:rsidRPr="00E07570" w:rsidRDefault="00290201" w:rsidP="00831FDD">
      <w:pPr>
        <w:pStyle w:val="SingleTxtG"/>
        <w:tabs>
          <w:tab w:val="right" w:leader="dot" w:pos="8505"/>
        </w:tabs>
        <w:kinsoku/>
        <w:overflowPunct/>
        <w:autoSpaceDE/>
        <w:autoSpaceDN/>
        <w:adjustRightInd/>
        <w:snapToGrid/>
        <w:ind w:left="1701" w:hanging="567"/>
        <w:jc w:val="left"/>
      </w:pPr>
      <w:r w:rsidRPr="00E07570">
        <w:t>10.2</w:t>
      </w:r>
      <w:r w:rsidRPr="00E07570">
        <w:tab/>
        <w:t>Type et désignation commerciale :</w:t>
      </w:r>
      <w:r w:rsidRPr="00E07570">
        <w:tab/>
      </w:r>
    </w:p>
    <w:p w:rsidR="00290201" w:rsidRPr="00E07570" w:rsidRDefault="00290201" w:rsidP="00831FDD">
      <w:pPr>
        <w:pStyle w:val="SingleTxtG"/>
        <w:tabs>
          <w:tab w:val="right" w:leader="dot" w:pos="8505"/>
        </w:tabs>
        <w:kinsoku/>
        <w:overflowPunct/>
        <w:autoSpaceDE/>
        <w:autoSpaceDN/>
        <w:adjustRightInd/>
        <w:snapToGrid/>
        <w:ind w:left="1701" w:hanging="567"/>
        <w:jc w:val="left"/>
      </w:pPr>
      <w:r w:rsidRPr="00E07570">
        <w:t>10.3</w:t>
      </w:r>
      <w:r w:rsidRPr="00E07570">
        <w:tab/>
        <w:t>Disposition (indiquer les éléments prévus dans la livraison) :</w:t>
      </w:r>
      <w:r w:rsidRPr="00E07570">
        <w:tab/>
      </w:r>
    </w:p>
    <w:p w:rsidR="00290201" w:rsidRPr="00E07570" w:rsidRDefault="00290201" w:rsidP="00831FDD">
      <w:pPr>
        <w:pStyle w:val="SingleTxtG"/>
        <w:tabs>
          <w:tab w:val="right" w:leader="dot" w:pos="8505"/>
        </w:tabs>
        <w:kinsoku/>
        <w:overflowPunct/>
        <w:autoSpaceDE/>
        <w:autoSpaceDN/>
        <w:adjustRightInd/>
        <w:snapToGrid/>
        <w:ind w:left="1701" w:hanging="567"/>
        <w:jc w:val="left"/>
      </w:pPr>
      <w:r w:rsidRPr="00E07570">
        <w:t>10.4</w:t>
      </w:r>
      <w:r w:rsidRPr="00E07570">
        <w:tab/>
        <w:t>Description du mécanisme de déclenchement automatique :</w:t>
      </w:r>
      <w:r w:rsidRPr="00E07570">
        <w:tab/>
      </w:r>
    </w:p>
    <w:p w:rsidR="00290201" w:rsidRPr="00E07570" w:rsidRDefault="00290201" w:rsidP="00831FDD">
      <w:pPr>
        <w:pStyle w:val="SingleTxtG"/>
        <w:jc w:val="left"/>
      </w:pPr>
      <w:r w:rsidRPr="00E07570">
        <w:t>11.</w:t>
      </w:r>
      <w:r w:rsidRPr="00E07570">
        <w:tab/>
        <w:t>Procédure d</w:t>
      </w:r>
      <w:r w:rsidR="00145E4B">
        <w:t>’</w:t>
      </w:r>
      <w:r w:rsidRPr="00E07570">
        <w:t>homologation :</w:t>
      </w:r>
    </w:p>
    <w:p w:rsidR="00290201" w:rsidRPr="00E07570" w:rsidRDefault="00290201" w:rsidP="00831FDD">
      <w:pPr>
        <w:pStyle w:val="SingleTxtG"/>
        <w:tabs>
          <w:tab w:val="left" w:pos="1985"/>
        </w:tabs>
        <w:ind w:left="1701"/>
        <w:jc w:val="left"/>
      </w:pPr>
      <w:r w:rsidRPr="00E07570">
        <w:t>-</w:t>
      </w:r>
      <w:r w:rsidRPr="00E07570">
        <w:tab/>
        <w:t>Homologation de type : oui/non</w:t>
      </w:r>
      <w:r w:rsidRPr="00E07570">
        <w:rPr>
          <w:rStyle w:val="FootnoteReference"/>
        </w:rPr>
        <w:footnoteReference w:id="21"/>
      </w:r>
    </w:p>
    <w:p w:rsidR="00290201" w:rsidRPr="00E07570" w:rsidRDefault="00290201" w:rsidP="00831FDD">
      <w:pPr>
        <w:pStyle w:val="SingleTxtG"/>
        <w:tabs>
          <w:tab w:val="left" w:pos="1985"/>
        </w:tabs>
        <w:ind w:left="1701"/>
        <w:jc w:val="left"/>
      </w:pPr>
      <w:r w:rsidRPr="00E07570">
        <w:t>-</w:t>
      </w:r>
      <w:r w:rsidRPr="00E07570">
        <w:tab/>
        <w:t>Extension de l</w:t>
      </w:r>
      <w:r w:rsidR="00145E4B">
        <w:t>’</w:t>
      </w:r>
      <w:r w:rsidRPr="00E07570">
        <w:t>homologation de type en vertu du présent Règlement : oui/non</w:t>
      </w:r>
      <w:r w:rsidRPr="00E07570">
        <w:rPr>
          <w:sz w:val="18"/>
          <w:szCs w:val="18"/>
          <w:vertAlign w:val="superscript"/>
        </w:rPr>
        <w:t>1</w:t>
      </w:r>
    </w:p>
    <w:p w:rsidR="005D6BD3" w:rsidRPr="00E07570" w:rsidRDefault="00290201" w:rsidP="00870DC3">
      <w:pPr>
        <w:pStyle w:val="SingleTxtG"/>
        <w:tabs>
          <w:tab w:val="left" w:pos="1985"/>
        </w:tabs>
        <w:ind w:left="1985" w:hanging="284"/>
        <w:jc w:val="left"/>
        <w:rPr>
          <w:sz w:val="18"/>
          <w:szCs w:val="18"/>
        </w:rPr>
      </w:pPr>
      <w:r w:rsidRPr="00E07570">
        <w:t>-</w:t>
      </w:r>
      <w:r w:rsidRPr="00E07570">
        <w:tab/>
        <w:t>Véhicule déjà homologué en application des Règlements n</w:t>
      </w:r>
      <w:r w:rsidRPr="00E07570">
        <w:rPr>
          <w:vertAlign w:val="superscript"/>
        </w:rPr>
        <w:t>os</w:t>
      </w:r>
      <w:r w:rsidRPr="00E07570">
        <w:t> 94 ou 95 avant l</w:t>
      </w:r>
      <w:r w:rsidR="00145E4B">
        <w:t>’</w:t>
      </w:r>
      <w:r w:rsidRPr="00E07570">
        <w:t>entrée en vigueur du présent Règlement : oui/non</w:t>
      </w:r>
      <w:r w:rsidRPr="00E07570">
        <w:rPr>
          <w:sz w:val="18"/>
          <w:szCs w:val="18"/>
          <w:vertAlign w:val="superscript"/>
        </w:rPr>
        <w:t>1</w:t>
      </w:r>
    </w:p>
    <w:p w:rsidR="00FA1550" w:rsidRPr="00E07570" w:rsidRDefault="005D6BD3" w:rsidP="00FA1550">
      <w:pPr>
        <w:pStyle w:val="HChG"/>
      </w:pPr>
      <w:r w:rsidRPr="00E07570">
        <w:br w:type="page"/>
      </w:r>
      <w:r w:rsidR="00FA1550" w:rsidRPr="00E07570">
        <w:t>Annexe 9</w:t>
      </w:r>
    </w:p>
    <w:p w:rsidR="00FA1550" w:rsidRPr="00E07570" w:rsidRDefault="00FA1550" w:rsidP="00FA1550">
      <w:pPr>
        <w:pStyle w:val="HChG"/>
      </w:pPr>
      <w:r w:rsidRPr="00E07570">
        <w:tab/>
      </w:r>
      <w:r w:rsidRPr="00E07570">
        <w:tab/>
        <w:t>Méthode d</w:t>
      </w:r>
      <w:r w:rsidR="00145E4B">
        <w:t>’</w:t>
      </w:r>
      <w:r w:rsidRPr="00E07570">
        <w:t>essai de la résistance à un choc mécanique</w:t>
      </w:r>
    </w:p>
    <w:p w:rsidR="00FA1550" w:rsidRPr="00E07570" w:rsidRDefault="00FA1550" w:rsidP="00FA1550">
      <w:pPr>
        <w:pStyle w:val="SingleTxtG"/>
        <w:ind w:left="2268" w:hanging="1134"/>
      </w:pPr>
      <w:r w:rsidRPr="00E07570">
        <w:t>1.</w:t>
      </w:r>
      <w:r w:rsidRPr="00E07570">
        <w:tab/>
        <w:t>Objet</w:t>
      </w:r>
    </w:p>
    <w:p w:rsidR="00FA1550" w:rsidRPr="00E07570" w:rsidRDefault="00FA1550" w:rsidP="00FA1550">
      <w:pPr>
        <w:pStyle w:val="SingleTxtG"/>
        <w:ind w:left="2268"/>
      </w:pPr>
      <w:r w:rsidRPr="00E07570">
        <w:t>Cet essai a pour objet de vérifier la sûreté d</w:t>
      </w:r>
      <w:r w:rsidR="00145E4B">
        <w:t>’</w:t>
      </w:r>
      <w:r w:rsidRPr="00E07570">
        <w:t>un AECD représentatif soumis à des charges inertielles suscep</w:t>
      </w:r>
      <w:r w:rsidR="00DE7470" w:rsidRPr="00E07570">
        <w:t>tib</w:t>
      </w:r>
      <w:r w:rsidRPr="00E07570">
        <w:t>les de se produire lors d</w:t>
      </w:r>
      <w:r w:rsidR="00145E4B">
        <w:t>’</w:t>
      </w:r>
      <w:r w:rsidRPr="00E07570">
        <w:t>un accident.</w:t>
      </w:r>
    </w:p>
    <w:p w:rsidR="00FA1550" w:rsidRPr="00E07570" w:rsidRDefault="00FA1550" w:rsidP="00FA1550">
      <w:pPr>
        <w:pStyle w:val="SingleTxtG"/>
        <w:ind w:left="2268" w:hanging="1134"/>
      </w:pPr>
      <w:r w:rsidRPr="00E07570">
        <w:t>2.</w:t>
      </w:r>
      <w:r w:rsidRPr="00E07570">
        <w:tab/>
        <w:t>Installation</w:t>
      </w:r>
    </w:p>
    <w:p w:rsidR="00FA1550" w:rsidRPr="00E07570" w:rsidRDefault="00FA1550" w:rsidP="00FA1550">
      <w:pPr>
        <w:pStyle w:val="SingleTxtG"/>
        <w:ind w:left="2268" w:hanging="1134"/>
      </w:pPr>
      <w:r w:rsidRPr="00E07570">
        <w:t>2.1</w:t>
      </w:r>
      <w:r w:rsidRPr="00E07570">
        <w:tab/>
        <w:t>Le présent essai doit être effectué dans la configuration la plus défavorable soit sur les éléments obligatoires énumérés au paragraphe </w:t>
      </w:r>
      <w:r w:rsidRPr="00E07570">
        <w:rPr>
          <w:b/>
        </w:rPr>
        <w:t>17.6.1</w:t>
      </w:r>
      <w:r w:rsidRPr="00E07570">
        <w:t>, soit à la demande du constructeur, sur les éléments supplémentaires énumérés au paragraphe </w:t>
      </w:r>
      <w:r w:rsidRPr="00E07570">
        <w:rPr>
          <w:b/>
        </w:rPr>
        <w:t>17.6.2</w:t>
      </w:r>
      <w:r w:rsidRPr="00E07570">
        <w:t>, conformément au paragraphe </w:t>
      </w:r>
      <w:r w:rsidRPr="00E07570">
        <w:rPr>
          <w:b/>
        </w:rPr>
        <w:t>25.1</w:t>
      </w:r>
      <w:r w:rsidRPr="00E07570">
        <w:t>.</w:t>
      </w:r>
    </w:p>
    <w:p w:rsidR="00FA1550" w:rsidRPr="00E07570" w:rsidRDefault="00FA1550" w:rsidP="00FA1550">
      <w:pPr>
        <w:pStyle w:val="SingleTxtG"/>
        <w:ind w:left="2268" w:hanging="1134"/>
      </w:pPr>
      <w:r w:rsidRPr="00E07570">
        <w:t>2.2</w:t>
      </w:r>
      <w:r w:rsidRPr="00E07570">
        <w:tab/>
        <w:t>Les dispositifs soumis à l</w:t>
      </w:r>
      <w:r w:rsidR="00145E4B">
        <w:t>’</w:t>
      </w:r>
      <w:r w:rsidRPr="00E07570">
        <w:t>essai doivent être fixés au montage d</w:t>
      </w:r>
      <w:r w:rsidR="00145E4B">
        <w:t>’</w:t>
      </w:r>
      <w:r w:rsidRPr="00E07570">
        <w:t>essai au moyen des seules fixations prévues pour fixer l</w:t>
      </w:r>
      <w:r w:rsidR="00145E4B">
        <w:t>’</w:t>
      </w:r>
      <w:r w:rsidRPr="00E07570">
        <w:t>AECD représentatif. Si l</w:t>
      </w:r>
      <w:r w:rsidR="00145E4B">
        <w:t>’</w:t>
      </w:r>
      <w:r w:rsidRPr="00E07570">
        <w:t xml:space="preserve">alimentation électrique est </w:t>
      </w:r>
      <w:r w:rsidR="00DE7470" w:rsidRPr="00E07570">
        <w:t>installée de façon à être libé</w:t>
      </w:r>
      <w:r w:rsidRPr="00E07570">
        <w:t>rée en cas de choc, ses fixations ne doivent pas être visées par l</w:t>
      </w:r>
      <w:r w:rsidR="00145E4B">
        <w:t>’</w:t>
      </w:r>
      <w:r w:rsidRPr="00E07570">
        <w:t>essai. Le service technique doit veiller à ce que cette éventualité en cas de très grave accident ne compromette le fonctionnement du système (par exemple, par un débranchement de l</w:t>
      </w:r>
      <w:r w:rsidR="00145E4B">
        <w:t>’</w:t>
      </w:r>
      <w:r w:rsidRPr="00E07570">
        <w:t>alimentation électrique).</w:t>
      </w:r>
    </w:p>
    <w:p w:rsidR="00FA1550" w:rsidRPr="00E07570" w:rsidRDefault="00FA1550" w:rsidP="00FA1550">
      <w:pPr>
        <w:pStyle w:val="SingleTxtG"/>
        <w:ind w:left="2268" w:hanging="1134"/>
      </w:pPr>
      <w:r w:rsidRPr="00E07570">
        <w:t>3.</w:t>
      </w:r>
      <w:r w:rsidRPr="00E07570">
        <w:tab/>
        <w:t>Procédure</w:t>
      </w:r>
    </w:p>
    <w:p w:rsidR="00FA1550" w:rsidRPr="00E07570" w:rsidRDefault="00FA1550" w:rsidP="00FA1550">
      <w:pPr>
        <w:pStyle w:val="SingleTxtG"/>
        <w:ind w:left="2268" w:hanging="1134"/>
      </w:pPr>
      <w:r w:rsidRPr="00E07570">
        <w:t>3.1</w:t>
      </w:r>
      <w:r w:rsidRPr="00E07570">
        <w:tab/>
        <w:t>Conditions générales d</w:t>
      </w:r>
      <w:r w:rsidR="00145E4B">
        <w:t>’</w:t>
      </w:r>
      <w:r w:rsidRPr="00E07570">
        <w:t>essai et prescriptions</w:t>
      </w:r>
    </w:p>
    <w:p w:rsidR="00FA1550" w:rsidRPr="00E07570" w:rsidRDefault="00FA1550" w:rsidP="008E2A25">
      <w:pPr>
        <w:pStyle w:val="SingleTxtG"/>
        <w:ind w:left="2268"/>
      </w:pPr>
      <w:r w:rsidRPr="00E07570">
        <w:t>L</w:t>
      </w:r>
      <w:r w:rsidR="00145E4B">
        <w:t>’</w:t>
      </w:r>
      <w:r w:rsidRPr="00E07570">
        <w:t>essai doit être effectué comme suit :</w:t>
      </w:r>
    </w:p>
    <w:p w:rsidR="00FA1550" w:rsidRPr="00E07570" w:rsidRDefault="00FA1550" w:rsidP="008E2A25">
      <w:pPr>
        <w:pStyle w:val="SingleTxtG"/>
        <w:ind w:left="2835" w:hanging="567"/>
      </w:pPr>
      <w:r w:rsidRPr="00E07570">
        <w:t>a)</w:t>
      </w:r>
      <w:r w:rsidRPr="00E07570">
        <w:tab/>
        <w:t>L</w:t>
      </w:r>
      <w:r w:rsidR="00145E4B">
        <w:t>’</w:t>
      </w:r>
      <w:r w:rsidRPr="00E07570">
        <w:t>essai doit être effectué à une température ambiante de 20</w:t>
      </w:r>
      <w:r w:rsidR="008E2A25" w:rsidRPr="00E07570">
        <w:t> </w:t>
      </w:r>
      <w:r w:rsidR="008E2A25" w:rsidRPr="00E07570">
        <w:sym w:font="Symbol" w:char="F0B1"/>
      </w:r>
      <w:r w:rsidR="008E2A25" w:rsidRPr="00E07570">
        <w:t> </w:t>
      </w:r>
      <w:r w:rsidRPr="00E07570">
        <w:t>10 °C ;</w:t>
      </w:r>
    </w:p>
    <w:p w:rsidR="00FA1550" w:rsidRPr="00E07570" w:rsidRDefault="00FA1550" w:rsidP="008E2A25">
      <w:pPr>
        <w:pStyle w:val="SingleTxtG"/>
        <w:ind w:left="2835" w:hanging="567"/>
      </w:pPr>
      <w:r w:rsidRPr="00E07570">
        <w:t>b)</w:t>
      </w:r>
      <w:r w:rsidRPr="00E07570">
        <w:tab/>
        <w:t>Au début de l</w:t>
      </w:r>
      <w:r w:rsidR="00145E4B">
        <w:t>’</w:t>
      </w:r>
      <w:r w:rsidRPr="00E07570">
        <w:t>essai, l</w:t>
      </w:r>
      <w:r w:rsidR="00145E4B">
        <w:t>’</w:t>
      </w:r>
      <w:r w:rsidRPr="00E07570">
        <w:t>alimentation électrique doit avoir la tension recommandée par le constructeur ;</w:t>
      </w:r>
    </w:p>
    <w:p w:rsidR="00FA1550" w:rsidRPr="00E07570" w:rsidRDefault="00FA1550" w:rsidP="008E2A25">
      <w:pPr>
        <w:pStyle w:val="SingleTxtG"/>
        <w:ind w:left="2835" w:hanging="567"/>
      </w:pPr>
      <w:r w:rsidRPr="00E07570">
        <w:t>c)</w:t>
      </w:r>
      <w:r w:rsidRPr="00E07570">
        <w:tab/>
        <w:t>Au début de l</w:t>
      </w:r>
      <w:r w:rsidR="00145E4B">
        <w:t>’</w:t>
      </w:r>
      <w:r w:rsidRPr="00E07570">
        <w:t>essai, tous les dispositifs de protection qui affectent le fonctionnement du dispositif soumis à l</w:t>
      </w:r>
      <w:r w:rsidR="00145E4B">
        <w:t>’</w:t>
      </w:r>
      <w:r w:rsidRPr="00E07570">
        <w:t>essai et qui ont une incidence sur les résultats de ce dernier, doivent être opérationnels.</w:t>
      </w:r>
    </w:p>
    <w:p w:rsidR="00FA1550" w:rsidRPr="00E07570" w:rsidRDefault="00FA1550" w:rsidP="00FA1550">
      <w:pPr>
        <w:pStyle w:val="SingleTxtG"/>
        <w:ind w:left="2268" w:hanging="1134"/>
      </w:pPr>
      <w:r w:rsidRPr="00E07570">
        <w:t>3.2</w:t>
      </w:r>
      <w:r w:rsidRPr="00E07570">
        <w:tab/>
        <w:t>Procédure d</w:t>
      </w:r>
      <w:r w:rsidR="00145E4B">
        <w:t>’</w:t>
      </w:r>
      <w:r w:rsidRPr="00E07570">
        <w:t>essai</w:t>
      </w:r>
    </w:p>
    <w:p w:rsidR="00FA1550" w:rsidRPr="00E07570" w:rsidRDefault="00FA1550" w:rsidP="008E2A25">
      <w:pPr>
        <w:pStyle w:val="SingleTxtG"/>
        <w:ind w:left="2268"/>
      </w:pPr>
      <w:r w:rsidRPr="00E07570">
        <w:t>La catapulte équipée des éléments AECD doit être décélérée ou accélérée de telle façon que la courbe reste dans le couloir du tableau</w:t>
      </w:r>
      <w:r w:rsidR="008E2A25" w:rsidRPr="00E07570">
        <w:t> </w:t>
      </w:r>
      <w:r w:rsidRPr="00E07570">
        <w:rPr>
          <w:b/>
        </w:rPr>
        <w:t>5</w:t>
      </w:r>
      <w:r w:rsidRPr="00E07570">
        <w:t xml:space="preserve"> de la présente annexe, et que la modification de la vitesse totale ΔV soit au maximum de 70</w:t>
      </w:r>
      <w:r w:rsidR="008E2A25" w:rsidRPr="00E07570">
        <w:t> </w:t>
      </w:r>
      <w:r w:rsidRPr="00E07570">
        <w:t>[+0/-2</w:t>
      </w:r>
      <w:r w:rsidR="008E2A25" w:rsidRPr="00E07570">
        <w:t> </w:t>
      </w:r>
      <w:r w:rsidRPr="00E07570">
        <w:t>km/h]. Cependant, si avec l</w:t>
      </w:r>
      <w:r w:rsidR="00145E4B">
        <w:t>’</w:t>
      </w:r>
      <w:r w:rsidRPr="00E07570">
        <w:t>accord du demandeur, l</w:t>
      </w:r>
      <w:r w:rsidR="00145E4B">
        <w:t>’</w:t>
      </w:r>
      <w:r w:rsidRPr="00E07570">
        <w:t>essai est effectué avec une accélération ou décélération supérieure, une modification de la vélocité plus importante et/ou une durée supérieure, l</w:t>
      </w:r>
      <w:r w:rsidR="00145E4B">
        <w:t>’</w:t>
      </w:r>
      <w:r w:rsidRPr="00E07570">
        <w:t>essai sera considéré comme satisfaisant.</w:t>
      </w:r>
    </w:p>
    <w:p w:rsidR="00FA1550" w:rsidRPr="00E07570" w:rsidRDefault="00FA1550" w:rsidP="008E2A25">
      <w:pPr>
        <w:pStyle w:val="SingleTxtG"/>
        <w:ind w:left="2268"/>
      </w:pPr>
      <w:r w:rsidRPr="00E07570">
        <w:t>L</w:t>
      </w:r>
      <w:r w:rsidR="00145E4B">
        <w:t>’</w:t>
      </w:r>
      <w:r w:rsidRPr="00E07570">
        <w:t>emplacement et l</w:t>
      </w:r>
      <w:r w:rsidR="00145E4B">
        <w:t>’</w:t>
      </w:r>
      <w:r w:rsidRPr="00E07570">
        <w:t>orientation des éléments placés sur la catapulte devront être conformes aux recommandations du constructeur et devront être indiqués dans le document de communication visé à l</w:t>
      </w:r>
      <w:r w:rsidR="00145E4B">
        <w:t>’</w:t>
      </w:r>
      <w:r w:rsidRPr="00E07570">
        <w:t>annexe </w:t>
      </w:r>
      <w:r w:rsidRPr="00E07570">
        <w:rPr>
          <w:b/>
        </w:rPr>
        <w:t>2</w:t>
      </w:r>
      <w:r w:rsidRPr="00E07570">
        <w:t>, point 10.</w:t>
      </w:r>
    </w:p>
    <w:p w:rsidR="005D6BD3" w:rsidRPr="00E07570" w:rsidRDefault="005D6BD3" w:rsidP="005D6BD3">
      <w:pPr>
        <w:pStyle w:val="Heading1"/>
        <w:spacing w:after="120"/>
        <w:rPr>
          <w:b/>
        </w:rPr>
      </w:pPr>
      <w:r w:rsidRPr="00E07570">
        <w:t xml:space="preserve">Figure 1 </w:t>
      </w:r>
      <w:r w:rsidRPr="00E07570">
        <w:br/>
      </w:r>
      <w:r w:rsidRPr="00E07570">
        <w:rPr>
          <w:b/>
        </w:rPr>
        <w:t>Description générale des impulsions d</w:t>
      </w:r>
      <w:r w:rsidR="00145E4B">
        <w:rPr>
          <w:b/>
        </w:rPr>
        <w:t>’</w:t>
      </w:r>
      <w:r w:rsidRPr="00E07570">
        <w:rPr>
          <w:b/>
        </w:rPr>
        <w:t>essai</w:t>
      </w:r>
    </w:p>
    <w:p w:rsidR="005D6BD3" w:rsidRPr="00E07570" w:rsidRDefault="005D6BD3" w:rsidP="00266D8F">
      <w:pPr>
        <w:spacing w:after="240"/>
        <w:ind w:left="1134"/>
      </w:pPr>
      <w:r w:rsidRPr="00E07570">
        <w:rPr>
          <w:noProof/>
          <w:lang w:val="en-GB" w:eastAsia="en-GB"/>
        </w:rPr>
        <mc:AlternateContent>
          <mc:Choice Requires="wps">
            <w:drawing>
              <wp:anchor distT="0" distB="0" distL="114300" distR="114300" simplePos="0" relativeHeight="251665408" behindDoc="0" locked="0" layoutInCell="1" allowOverlap="1" wp14:anchorId="650B59D8" wp14:editId="7F829BC4">
                <wp:simplePos x="0" y="0"/>
                <wp:positionH relativeFrom="column">
                  <wp:posOffset>5388610</wp:posOffset>
                </wp:positionH>
                <wp:positionV relativeFrom="paragraph">
                  <wp:posOffset>3012440</wp:posOffset>
                </wp:positionV>
                <wp:extent cx="467360" cy="206375"/>
                <wp:effectExtent l="0" t="0" r="8890" b="3175"/>
                <wp:wrapNone/>
                <wp:docPr id="2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4B" w:rsidRPr="008C7AED" w:rsidRDefault="00145E4B" w:rsidP="005D6BD3">
                            <w:pPr>
                              <w:pStyle w:val="NormalWeb"/>
                              <w:spacing w:before="0" w:beforeAutospacing="0" w:after="0" w:afterAutospacing="0" w:line="240" w:lineRule="exact"/>
                              <w:jc w:val="center"/>
                              <w:rPr>
                                <w:sz w:val="20"/>
                                <w:szCs w:val="20"/>
                              </w:rPr>
                            </w:pPr>
                            <w:proofErr w:type="spellStart"/>
                            <w:r>
                              <w:rPr>
                                <w:rFonts w:eastAsia="Times New Roman"/>
                                <w:b/>
                                <w:bCs/>
                                <w:spacing w:val="4"/>
                                <w:kern w:val="14"/>
                                <w:sz w:val="20"/>
                                <w:szCs w:val="20"/>
                                <w:lang w:val="de-DE"/>
                              </w:rPr>
                              <w:t>Temps</w:t>
                            </w:r>
                            <w:proofErr w:type="spellEnd"/>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424.3pt;margin-top:237.2pt;width:36.8pt;height:1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" filled="f" stroked="f">
                <v:textbox inset=".5mm,.3mm,.5mm,.3mm">
                  <w:txbxContent>
                    <w:p w:rsidR="00145E4B" w:rsidRPr="008C7AED" w:rsidRDefault="00145E4B" w:rsidP="005D6BD3">
                      <w:pPr>
                        <w:pStyle w:val="NormalWeb"/>
                        <w:spacing w:before="0" w:beforeAutospacing="0" w:after="0" w:afterAutospacing="0" w:line="240" w:lineRule="exact"/>
                        <w:jc w:val="center"/>
                        <w:rPr>
                          <w:sz w:val="20"/>
                          <w:szCs w:val="20"/>
                        </w:rPr>
                      </w:pPr>
                      <w:proofErr w:type="spellStart"/>
                      <w:r>
                        <w:rPr>
                          <w:rFonts w:eastAsia="Times New Roman"/>
                          <w:b/>
                          <w:bCs/>
                          <w:spacing w:val="4"/>
                          <w:kern w:val="14"/>
                          <w:sz w:val="20"/>
                          <w:szCs w:val="20"/>
                          <w:lang w:val="de-DE"/>
                        </w:rPr>
                        <w:t>Temps</w:t>
                      </w:r>
                      <w:proofErr w:type="spellEnd"/>
                    </w:p>
                  </w:txbxContent>
                </v:textbox>
              </v:shape>
            </w:pict>
          </mc:Fallback>
        </mc:AlternateContent>
      </w:r>
      <w:r w:rsidRPr="00E07570">
        <w:rPr>
          <w:noProof/>
          <w:lang w:val="en-GB" w:eastAsia="en-GB"/>
        </w:rPr>
        <mc:AlternateContent>
          <mc:Choice Requires="wps">
            <w:drawing>
              <wp:anchor distT="0" distB="0" distL="114300" distR="114300" simplePos="0" relativeHeight="251663360" behindDoc="0" locked="0" layoutInCell="1" allowOverlap="1" wp14:anchorId="509EA869" wp14:editId="71AFA7DF">
                <wp:simplePos x="0" y="0"/>
                <wp:positionH relativeFrom="column">
                  <wp:posOffset>5433060</wp:posOffset>
                </wp:positionH>
                <wp:positionV relativeFrom="paragraph">
                  <wp:posOffset>2766060</wp:posOffset>
                </wp:positionV>
                <wp:extent cx="228600" cy="196850"/>
                <wp:effectExtent l="0" t="0" r="0" b="0"/>
                <wp:wrapNone/>
                <wp:docPr id="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4B" w:rsidRDefault="00145E4B" w:rsidP="005D6BD3">
                            <w:pPr>
                              <w:pStyle w:val="NormalWeb"/>
                              <w:spacing w:before="0" w:beforeAutospacing="0" w:after="0" w:afterAutospacing="0" w:line="240" w:lineRule="exact"/>
                              <w:jc w:val="center"/>
                            </w:pPr>
                            <w:r>
                              <w:rPr>
                                <w:rFonts w:eastAsia="Times New Roman"/>
                                <w:b/>
                                <w:bCs/>
                                <w:spacing w:val="4"/>
                                <w:kern w:val="14"/>
                                <w:sz w:val="28"/>
                                <w:szCs w:val="28"/>
                                <w:lang w:val="de-DE"/>
                              </w:rPr>
                              <w:t>H</w:t>
                            </w:r>
                          </w:p>
                        </w:txbxContent>
                      </wps:txbx>
                      <wps:bodyPr rot="0" vert="horz" wrap="square" lIns="18000" tIns="10800" rIns="18000" bIns="10800" anchor="t" anchorCtr="0" upright="1">
                        <a:noAutofit/>
                      </wps:bodyPr>
                    </wps:wsp>
                  </a:graphicData>
                </a:graphic>
                <wp14:sizeRelV relativeFrom="margin">
                  <wp14:pctHeight>0</wp14:pctHeight>
                </wp14:sizeRelV>
              </wp:anchor>
            </w:drawing>
          </mc:Choice>
          <mc:Fallback>
            <w:pict>
              <v:shape id="_x0000_s1027" type="#_x0000_t202" style="position:absolute;left:0;text-align:left;margin-left:427.8pt;margin-top:217.8pt;width:18pt;height:1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" filled="f" stroked="f">
                <v:textbox inset=".5mm,.3mm,.5mm,.3mm">
                  <w:txbxContent>
                    <w:p w:rsidR="00145E4B" w:rsidRDefault="00145E4B" w:rsidP="005D6BD3">
                      <w:pPr>
                        <w:pStyle w:val="NormalWeb"/>
                        <w:spacing w:before="0" w:beforeAutospacing="0" w:after="0" w:afterAutospacing="0" w:line="240" w:lineRule="exact"/>
                        <w:jc w:val="center"/>
                      </w:pPr>
                      <w:r>
                        <w:rPr>
                          <w:rFonts w:eastAsia="Times New Roman"/>
                          <w:b/>
                          <w:bCs/>
                          <w:spacing w:val="4"/>
                          <w:kern w:val="14"/>
                          <w:sz w:val="28"/>
                          <w:szCs w:val="28"/>
                          <w:lang w:val="de-DE"/>
                        </w:rPr>
                        <w:t>H</w:t>
                      </w:r>
                    </w:p>
                  </w:txbxContent>
                </v:textbox>
              </v:shape>
            </w:pict>
          </mc:Fallback>
        </mc:AlternateContent>
      </w:r>
      <w:r w:rsidRPr="00E07570">
        <w:rPr>
          <w:noProof/>
          <w:lang w:val="en-GB" w:eastAsia="en-GB"/>
        </w:rPr>
        <mc:AlternateContent>
          <mc:Choice Requires="wps">
            <w:drawing>
              <wp:anchor distT="0" distB="0" distL="114300" distR="114300" simplePos="0" relativeHeight="251662336" behindDoc="0" locked="0" layoutInCell="1" allowOverlap="1" wp14:anchorId="7AC80D25" wp14:editId="67AD3D4C">
                <wp:simplePos x="0" y="0"/>
                <wp:positionH relativeFrom="column">
                  <wp:posOffset>4505960</wp:posOffset>
                </wp:positionH>
                <wp:positionV relativeFrom="paragraph">
                  <wp:posOffset>2800985</wp:posOffset>
                </wp:positionV>
                <wp:extent cx="228600" cy="208280"/>
                <wp:effectExtent l="0" t="0" r="0" b="1270"/>
                <wp:wrapNone/>
                <wp:docPr id="1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4B" w:rsidRDefault="00145E4B" w:rsidP="005D6BD3">
                            <w:pPr>
                              <w:pStyle w:val="NormalWeb"/>
                              <w:spacing w:before="0" w:beforeAutospacing="0" w:after="0" w:afterAutospacing="0" w:line="240" w:lineRule="exact"/>
                              <w:jc w:val="center"/>
                            </w:pPr>
                            <w:r>
                              <w:rPr>
                                <w:rFonts w:eastAsia="Times New Roman"/>
                                <w:b/>
                                <w:bCs/>
                                <w:spacing w:val="4"/>
                                <w:kern w:val="14"/>
                                <w:sz w:val="28"/>
                                <w:szCs w:val="28"/>
                                <w:lang w:val="de-DE"/>
                              </w:rPr>
                              <w:t>D</w:t>
                            </w:r>
                          </w:p>
                        </w:txbxContent>
                      </wps:txbx>
                      <wps:bodyPr rot="0" vert="horz" wrap="square" lIns="18000" tIns="10800" rIns="18000" bIns="10800" anchor="t" anchorCtr="0" upright="1">
                        <a:noAutofit/>
                      </wps:bodyPr>
                    </wps:wsp>
                  </a:graphicData>
                </a:graphic>
                <wp14:sizeRelV relativeFrom="margin">
                  <wp14:pctHeight>0</wp14:pctHeight>
                </wp14:sizeRelV>
              </wp:anchor>
            </w:drawing>
          </mc:Choice>
          <mc:Fallback>
            <w:pict>
              <v:shape id="_x0000_s1028" type="#_x0000_t202" style="position:absolute;left:0;text-align:left;margin-left:354.8pt;margin-top:220.55pt;width:18pt;height:16.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" filled="f" stroked="f">
                <v:textbox inset=".5mm,.3mm,.5mm,.3mm">
                  <w:txbxContent>
                    <w:p w:rsidR="00145E4B" w:rsidRDefault="00145E4B" w:rsidP="005D6BD3">
                      <w:pPr>
                        <w:pStyle w:val="NormalWeb"/>
                        <w:spacing w:before="0" w:beforeAutospacing="0" w:after="0" w:afterAutospacing="0" w:line="240" w:lineRule="exact"/>
                        <w:jc w:val="center"/>
                      </w:pPr>
                      <w:r>
                        <w:rPr>
                          <w:rFonts w:eastAsia="Times New Roman"/>
                          <w:b/>
                          <w:bCs/>
                          <w:spacing w:val="4"/>
                          <w:kern w:val="14"/>
                          <w:sz w:val="28"/>
                          <w:szCs w:val="28"/>
                          <w:lang w:val="de-DE"/>
                        </w:rPr>
                        <w:t>D</w:t>
                      </w:r>
                    </w:p>
                  </w:txbxContent>
                </v:textbox>
              </v:shape>
            </w:pict>
          </mc:Fallback>
        </mc:AlternateContent>
      </w:r>
      <w:r w:rsidRPr="00E07570">
        <w:rPr>
          <w:noProof/>
          <w:lang w:val="en-GB" w:eastAsia="en-GB"/>
        </w:rPr>
        <mc:AlternateContent>
          <mc:Choice Requires="wps">
            <w:drawing>
              <wp:anchor distT="0" distB="0" distL="114300" distR="114300" simplePos="0" relativeHeight="251661312" behindDoc="0" locked="0" layoutInCell="1" allowOverlap="1" wp14:anchorId="7C158C5C" wp14:editId="61B69A02">
                <wp:simplePos x="0" y="0"/>
                <wp:positionH relativeFrom="column">
                  <wp:posOffset>3985260</wp:posOffset>
                </wp:positionH>
                <wp:positionV relativeFrom="paragraph">
                  <wp:posOffset>835660</wp:posOffset>
                </wp:positionV>
                <wp:extent cx="228600" cy="196850"/>
                <wp:effectExtent l="0" t="0" r="0" b="0"/>
                <wp:wrapNone/>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4B" w:rsidRDefault="00145E4B" w:rsidP="005D6BD3">
                            <w:pPr>
                              <w:pStyle w:val="NormalWeb"/>
                              <w:spacing w:before="0" w:beforeAutospacing="0" w:after="0" w:afterAutospacing="0" w:line="240" w:lineRule="exact"/>
                              <w:jc w:val="center"/>
                            </w:pPr>
                            <w:r>
                              <w:rPr>
                                <w:rFonts w:eastAsia="Times New Roman"/>
                                <w:b/>
                                <w:bCs/>
                                <w:spacing w:val="4"/>
                                <w:kern w:val="14"/>
                                <w:sz w:val="28"/>
                                <w:szCs w:val="28"/>
                                <w:lang w:val="de-DE"/>
                              </w:rPr>
                              <w:t>G</w:t>
                            </w:r>
                          </w:p>
                        </w:txbxContent>
                      </wps:txbx>
                      <wps:bodyPr rot="0" vert="horz" wrap="square" lIns="18000" tIns="10800" rIns="18000" bIns="10800" anchor="t" anchorCtr="0" upright="1">
                        <a:noAutofit/>
                      </wps:bodyPr>
                    </wps:wsp>
                  </a:graphicData>
                </a:graphic>
                <wp14:sizeRelV relativeFrom="margin">
                  <wp14:pctHeight>0</wp14:pctHeight>
                </wp14:sizeRelV>
              </wp:anchor>
            </w:drawing>
          </mc:Choice>
          <mc:Fallback>
            <w:pict>
              <v:shape id="_x0000_s1029" type="#_x0000_t202" style="position:absolute;left:0;text-align:left;margin-left:313.8pt;margin-top:65.8pt;width:18pt;height:1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" filled="f" stroked="f">
                <v:textbox inset=".5mm,.3mm,.5mm,.3mm">
                  <w:txbxContent>
                    <w:p w:rsidR="00145E4B" w:rsidRDefault="00145E4B" w:rsidP="005D6BD3">
                      <w:pPr>
                        <w:pStyle w:val="NormalWeb"/>
                        <w:spacing w:before="0" w:beforeAutospacing="0" w:after="0" w:afterAutospacing="0" w:line="240" w:lineRule="exact"/>
                        <w:jc w:val="center"/>
                      </w:pPr>
                      <w:r>
                        <w:rPr>
                          <w:rFonts w:eastAsia="Times New Roman"/>
                          <w:b/>
                          <w:bCs/>
                          <w:spacing w:val="4"/>
                          <w:kern w:val="14"/>
                          <w:sz w:val="28"/>
                          <w:szCs w:val="28"/>
                          <w:lang w:val="de-DE"/>
                        </w:rPr>
                        <w:t>G</w:t>
                      </w:r>
                    </w:p>
                  </w:txbxContent>
                </v:textbox>
              </v:shape>
            </w:pict>
          </mc:Fallback>
        </mc:AlternateContent>
      </w:r>
      <w:r w:rsidRPr="00E07570">
        <w:rPr>
          <w:noProof/>
          <w:lang w:val="en-GB" w:eastAsia="en-GB"/>
        </w:rPr>
        <mc:AlternateContent>
          <mc:Choice Requires="wps">
            <w:drawing>
              <wp:anchor distT="0" distB="0" distL="114300" distR="114300" simplePos="0" relativeHeight="251660288" behindDoc="0" locked="0" layoutInCell="1" allowOverlap="1" wp14:anchorId="353F30D8" wp14:editId="54419A72">
                <wp:simplePos x="0" y="0"/>
                <wp:positionH relativeFrom="column">
                  <wp:posOffset>3030220</wp:posOffset>
                </wp:positionH>
                <wp:positionV relativeFrom="paragraph">
                  <wp:posOffset>844550</wp:posOffset>
                </wp:positionV>
                <wp:extent cx="228600" cy="209550"/>
                <wp:effectExtent l="0" t="0" r="0" b="0"/>
                <wp:wrapNone/>
                <wp:docPr id="1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4B" w:rsidRDefault="00145E4B" w:rsidP="005D6BD3">
                            <w:pPr>
                              <w:pStyle w:val="NormalWeb"/>
                              <w:spacing w:before="0" w:beforeAutospacing="0" w:after="0" w:afterAutospacing="0" w:line="240" w:lineRule="exact"/>
                              <w:jc w:val="center"/>
                            </w:pPr>
                            <w:r>
                              <w:rPr>
                                <w:rFonts w:eastAsia="Times New Roman"/>
                                <w:b/>
                                <w:bCs/>
                                <w:spacing w:val="4"/>
                                <w:kern w:val="14"/>
                                <w:sz w:val="28"/>
                                <w:szCs w:val="28"/>
                                <w:lang w:val="de-DE"/>
                              </w:rPr>
                              <w:t>F</w:t>
                            </w:r>
                          </w:p>
                        </w:txbxContent>
                      </wps:txbx>
                      <wps:bodyPr rot="0" vert="horz" wrap="square" lIns="18000" tIns="10800" rIns="18000" bIns="10800" anchor="t" anchorCtr="0" upright="1">
                        <a:noAutofit/>
                      </wps:bodyPr>
                    </wps:wsp>
                  </a:graphicData>
                </a:graphic>
                <wp14:sizeRelV relativeFrom="margin">
                  <wp14:pctHeight>0</wp14:pctHeight>
                </wp14:sizeRelV>
              </wp:anchor>
            </w:drawing>
          </mc:Choice>
          <mc:Fallback>
            <w:pict>
              <v:shape id="_x0000_s1030" type="#_x0000_t202" style="position:absolute;left:0;text-align:left;margin-left:238.6pt;margin-top:66.5pt;width:18pt;height: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" filled="f" stroked="f">
                <v:textbox inset=".5mm,.3mm,.5mm,.3mm">
                  <w:txbxContent>
                    <w:p w:rsidR="00145E4B" w:rsidRDefault="00145E4B" w:rsidP="005D6BD3">
                      <w:pPr>
                        <w:pStyle w:val="NormalWeb"/>
                        <w:spacing w:before="0" w:beforeAutospacing="0" w:after="0" w:afterAutospacing="0" w:line="240" w:lineRule="exact"/>
                        <w:jc w:val="center"/>
                      </w:pPr>
                      <w:r>
                        <w:rPr>
                          <w:rFonts w:eastAsia="Times New Roman"/>
                          <w:b/>
                          <w:bCs/>
                          <w:spacing w:val="4"/>
                          <w:kern w:val="14"/>
                          <w:sz w:val="28"/>
                          <w:szCs w:val="28"/>
                          <w:lang w:val="de-DE"/>
                        </w:rPr>
                        <w:t>F</w:t>
                      </w:r>
                    </w:p>
                  </w:txbxContent>
                </v:textbox>
              </v:shape>
            </w:pict>
          </mc:Fallback>
        </mc:AlternateContent>
      </w:r>
      <w:r w:rsidRPr="00E07570">
        <w:rPr>
          <w:noProof/>
          <w:lang w:val="en-GB" w:eastAsia="en-GB"/>
        </w:rPr>
        <mc:AlternateContent>
          <mc:Choice Requires="wps">
            <w:drawing>
              <wp:anchor distT="0" distB="0" distL="114300" distR="114300" simplePos="0" relativeHeight="251664384" behindDoc="0" locked="0" layoutInCell="1" allowOverlap="1" wp14:anchorId="73CEE84B" wp14:editId="63B28020">
                <wp:simplePos x="0" y="0"/>
                <wp:positionH relativeFrom="column">
                  <wp:posOffset>3585210</wp:posOffset>
                </wp:positionH>
                <wp:positionV relativeFrom="paragraph">
                  <wp:posOffset>1642111</wp:posOffset>
                </wp:positionV>
                <wp:extent cx="228600" cy="190500"/>
                <wp:effectExtent l="0" t="0" r="0" b="0"/>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4B" w:rsidRDefault="00145E4B" w:rsidP="005D6BD3">
                            <w:pPr>
                              <w:pStyle w:val="NormalWeb"/>
                              <w:spacing w:before="0" w:beforeAutospacing="0" w:after="0" w:afterAutospacing="0" w:line="240" w:lineRule="exact"/>
                              <w:jc w:val="center"/>
                            </w:pPr>
                            <w:r>
                              <w:rPr>
                                <w:rFonts w:eastAsia="Times New Roman"/>
                                <w:b/>
                                <w:bCs/>
                                <w:spacing w:val="4"/>
                                <w:kern w:val="14"/>
                                <w:sz w:val="28"/>
                                <w:szCs w:val="28"/>
                                <w:lang w:val="de-DE"/>
                              </w:rPr>
                              <w:t>C</w:t>
                            </w:r>
                          </w:p>
                        </w:txbxContent>
                      </wps:txbx>
                      <wps:bodyPr rot="0" vert="horz" wrap="square" lIns="18000" tIns="10800" rIns="18000" bIns="10800" anchor="t" anchorCtr="0" upright="1">
                        <a:noAutofit/>
                      </wps:bodyPr>
                    </wps:wsp>
                  </a:graphicData>
                </a:graphic>
                <wp14:sizeRelV relativeFrom="margin">
                  <wp14:pctHeight>0</wp14:pctHeight>
                </wp14:sizeRelV>
              </wp:anchor>
            </w:drawing>
          </mc:Choice>
          <mc:Fallback>
            <w:pict>
              <v:shape id="_x0000_s1031" type="#_x0000_t202" style="position:absolute;left:0;text-align:left;margin-left:282.3pt;margin-top:129.3pt;width:18pt;height: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" filled="f" stroked="f">
                <v:textbox inset=".5mm,.3mm,.5mm,.3mm">
                  <w:txbxContent>
                    <w:p w:rsidR="00145E4B" w:rsidRDefault="00145E4B" w:rsidP="005D6BD3">
                      <w:pPr>
                        <w:pStyle w:val="NormalWeb"/>
                        <w:spacing w:before="0" w:beforeAutospacing="0" w:after="0" w:afterAutospacing="0" w:line="240" w:lineRule="exact"/>
                        <w:jc w:val="center"/>
                      </w:pPr>
                      <w:r>
                        <w:rPr>
                          <w:rFonts w:eastAsia="Times New Roman"/>
                          <w:b/>
                          <w:bCs/>
                          <w:spacing w:val="4"/>
                          <w:kern w:val="14"/>
                          <w:sz w:val="28"/>
                          <w:szCs w:val="28"/>
                          <w:lang w:val="de-DE"/>
                        </w:rPr>
                        <w:t>C</w:t>
                      </w:r>
                    </w:p>
                  </w:txbxContent>
                </v:textbox>
              </v:shape>
            </w:pict>
          </mc:Fallback>
        </mc:AlternateContent>
      </w:r>
      <w:r w:rsidRPr="00E07570">
        <w:rPr>
          <w:noProof/>
          <w:lang w:val="en-GB" w:eastAsia="en-GB"/>
        </w:rPr>
        <mc:AlternateContent>
          <mc:Choice Requires="wps">
            <w:drawing>
              <wp:anchor distT="0" distB="0" distL="114300" distR="114300" simplePos="0" relativeHeight="251659264" behindDoc="0" locked="0" layoutInCell="1" allowOverlap="1" wp14:anchorId="51EA47A1" wp14:editId="23CADCEF">
                <wp:simplePos x="0" y="0"/>
                <wp:positionH relativeFrom="column">
                  <wp:posOffset>3026410</wp:posOffset>
                </wp:positionH>
                <wp:positionV relativeFrom="paragraph">
                  <wp:posOffset>1651000</wp:posOffset>
                </wp:positionV>
                <wp:extent cx="228600" cy="184150"/>
                <wp:effectExtent l="0" t="0" r="0" b="6350"/>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4B" w:rsidRDefault="00145E4B" w:rsidP="005D6BD3">
                            <w:pPr>
                              <w:pStyle w:val="NormalWeb"/>
                              <w:spacing w:before="0" w:beforeAutospacing="0" w:after="0" w:afterAutospacing="0" w:line="240" w:lineRule="exact"/>
                              <w:jc w:val="center"/>
                            </w:pPr>
                            <w:r>
                              <w:rPr>
                                <w:rFonts w:eastAsia="Times New Roman"/>
                                <w:b/>
                                <w:bCs/>
                                <w:spacing w:val="4"/>
                                <w:kern w:val="14"/>
                                <w:sz w:val="28"/>
                                <w:szCs w:val="28"/>
                                <w:lang w:val="de-DE"/>
                              </w:rPr>
                              <w:t>B</w:t>
                            </w:r>
                          </w:p>
                        </w:txbxContent>
                      </wps:txbx>
                      <wps:bodyPr rot="0" vert="horz" wrap="square" lIns="18000" tIns="10800" rIns="18000" bIns="10800" anchor="t" anchorCtr="0" upright="1">
                        <a:noAutofit/>
                      </wps:bodyPr>
                    </wps:wsp>
                  </a:graphicData>
                </a:graphic>
                <wp14:sizeRelV relativeFrom="margin">
                  <wp14:pctHeight>0</wp14:pctHeight>
                </wp14:sizeRelV>
              </wp:anchor>
            </w:drawing>
          </mc:Choice>
          <mc:Fallback>
            <w:pict>
              <v:shape id="_x0000_s1032" type="#_x0000_t202" style="position:absolute;left:0;text-align:left;margin-left:238.3pt;margin-top:130pt;width:18pt;height:1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" filled="f" stroked="f">
                <v:textbox inset=".5mm,.3mm,.5mm,.3mm">
                  <w:txbxContent>
                    <w:p w:rsidR="00145E4B" w:rsidRDefault="00145E4B" w:rsidP="005D6BD3">
                      <w:pPr>
                        <w:pStyle w:val="NormalWeb"/>
                        <w:spacing w:before="0" w:beforeAutospacing="0" w:after="0" w:afterAutospacing="0" w:line="240" w:lineRule="exact"/>
                        <w:jc w:val="center"/>
                      </w:pPr>
                      <w:r>
                        <w:rPr>
                          <w:rFonts w:eastAsia="Times New Roman"/>
                          <w:b/>
                          <w:bCs/>
                          <w:spacing w:val="4"/>
                          <w:kern w:val="14"/>
                          <w:sz w:val="28"/>
                          <w:szCs w:val="28"/>
                          <w:lang w:val="de-DE"/>
                        </w:rPr>
                        <w:t>B</w:t>
                      </w:r>
                    </w:p>
                  </w:txbxContent>
                </v:textbox>
              </v:shape>
            </w:pict>
          </mc:Fallback>
        </mc:AlternateContent>
      </w:r>
      <w:r w:rsidRPr="00E07570">
        <w:rPr>
          <w:noProof/>
          <w:sz w:val="24"/>
          <w:lang w:val="en-GB" w:eastAsia="en-GB"/>
        </w:rPr>
        <mc:AlternateContent>
          <mc:Choice Requires="wpc">
            <w:drawing>
              <wp:inline distT="0" distB="0" distL="0" distR="0" wp14:anchorId="388A7073" wp14:editId="3208CB63">
                <wp:extent cx="5364000" cy="3200400"/>
                <wp:effectExtent l="0" t="0" r="8255" b="0"/>
                <wp:docPr id="105" name="Canvas 10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81" name="Freeform 6"/>
                        <wps:cNvSpPr>
                          <a:spLocks/>
                        </wps:cNvSpPr>
                        <wps:spPr bwMode="auto">
                          <a:xfrm>
                            <a:off x="447675" y="1019175"/>
                            <a:ext cx="4238625" cy="1952625"/>
                          </a:xfrm>
                          <a:custGeom>
                            <a:avLst/>
                            <a:gdLst>
                              <a:gd name="T0" fmla="*/ 581025 w 6675"/>
                              <a:gd name="T1" fmla="*/ 1952625 h 3075"/>
                              <a:gd name="T2" fmla="*/ 1859280 w 6675"/>
                              <a:gd name="T3" fmla="*/ 572135 h 3075"/>
                              <a:gd name="T4" fmla="*/ 2638425 w 6675"/>
                              <a:gd name="T5" fmla="*/ 581025 h 3075"/>
                              <a:gd name="T6" fmla="*/ 3667125 w 6675"/>
                              <a:gd name="T7" fmla="*/ 1952625 h 3075"/>
                              <a:gd name="T8" fmla="*/ 4238625 w 6675"/>
                              <a:gd name="T9" fmla="*/ 1952625 h 3075"/>
                              <a:gd name="T10" fmla="*/ 3133725 w 6675"/>
                              <a:gd name="T11" fmla="*/ 0 h 3075"/>
                              <a:gd name="T12" fmla="*/ 1838325 w 6675"/>
                              <a:gd name="T13" fmla="*/ 0 h 3075"/>
                              <a:gd name="T14" fmla="*/ 9525 w 6675"/>
                              <a:gd name="T15" fmla="*/ 1381125 h 3075"/>
                              <a:gd name="T16" fmla="*/ 0 w 6675"/>
                              <a:gd name="T17" fmla="*/ 1943100 h 3075"/>
                              <a:gd name="T18" fmla="*/ 581025 w 6675"/>
                              <a:gd name="T19" fmla="*/ 1952625 h 30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675" h="3075">
                                <a:moveTo>
                                  <a:pt x="915" y="3075"/>
                                </a:moveTo>
                                <a:lnTo>
                                  <a:pt x="2928" y="901"/>
                                </a:lnTo>
                                <a:lnTo>
                                  <a:pt x="4155" y="915"/>
                                </a:lnTo>
                                <a:lnTo>
                                  <a:pt x="5775" y="3075"/>
                                </a:lnTo>
                                <a:lnTo>
                                  <a:pt x="6675" y="3075"/>
                                </a:lnTo>
                                <a:lnTo>
                                  <a:pt x="4935" y="0"/>
                                </a:lnTo>
                                <a:lnTo>
                                  <a:pt x="2895" y="0"/>
                                </a:lnTo>
                                <a:lnTo>
                                  <a:pt x="15" y="2175"/>
                                </a:lnTo>
                                <a:lnTo>
                                  <a:pt x="0" y="3060"/>
                                </a:lnTo>
                                <a:lnTo>
                                  <a:pt x="915" y="3075"/>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7"/>
                        <wps:cNvSpPr>
                          <a:spLocks/>
                        </wps:cNvSpPr>
                        <wps:spPr bwMode="auto">
                          <a:xfrm>
                            <a:off x="457200" y="1019175"/>
                            <a:ext cx="4219575" cy="1943100"/>
                          </a:xfrm>
                          <a:custGeom>
                            <a:avLst/>
                            <a:gdLst>
                              <a:gd name="T0" fmla="*/ 0 w 6645"/>
                              <a:gd name="T1" fmla="*/ 1381125 h 3060"/>
                              <a:gd name="T2" fmla="*/ 1809750 w 6645"/>
                              <a:gd name="T3" fmla="*/ 9525 h 3060"/>
                              <a:gd name="T4" fmla="*/ 3114675 w 6645"/>
                              <a:gd name="T5" fmla="*/ 0 h 3060"/>
                              <a:gd name="T6" fmla="*/ 4219575 w 6645"/>
                              <a:gd name="T7" fmla="*/ 1943100 h 30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645" h="3060">
                                <a:moveTo>
                                  <a:pt x="0" y="2175"/>
                                </a:moveTo>
                                <a:lnTo>
                                  <a:pt x="2850" y="15"/>
                                </a:lnTo>
                                <a:lnTo>
                                  <a:pt x="4905" y="0"/>
                                </a:lnTo>
                                <a:lnTo>
                                  <a:pt x="6645" y="3060"/>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8"/>
                        <wps:cNvSpPr>
                          <a:spLocks/>
                        </wps:cNvSpPr>
                        <wps:spPr bwMode="auto">
                          <a:xfrm>
                            <a:off x="1028700" y="1600200"/>
                            <a:ext cx="3086100" cy="1371600"/>
                          </a:xfrm>
                          <a:custGeom>
                            <a:avLst/>
                            <a:gdLst>
                              <a:gd name="T0" fmla="*/ 0 w 4320"/>
                              <a:gd name="T1" fmla="*/ 1371600 h 2160"/>
                              <a:gd name="T2" fmla="*/ 1285875 w 4320"/>
                              <a:gd name="T3" fmla="*/ 0 h 2160"/>
                              <a:gd name="T4" fmla="*/ 2057400 w 4320"/>
                              <a:gd name="T5" fmla="*/ 0 h 2160"/>
                              <a:gd name="T6" fmla="*/ 3086100 w 4320"/>
                              <a:gd name="T7" fmla="*/ 1371600 h 21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320" h="2160">
                                <a:moveTo>
                                  <a:pt x="0" y="2160"/>
                                </a:moveTo>
                                <a:lnTo>
                                  <a:pt x="1800" y="0"/>
                                </a:lnTo>
                                <a:lnTo>
                                  <a:pt x="2880" y="0"/>
                                </a:lnTo>
                                <a:lnTo>
                                  <a:pt x="4320" y="2160"/>
                                </a:lnTo>
                              </a:path>
                            </a:pathLst>
                          </a:custGeom>
                          <a:noFill/>
                          <a:ln w="12700" cap="flat">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Text Box 9"/>
                        <wps:cNvSpPr txBox="1">
                          <a:spLocks noChangeArrowheads="1"/>
                        </wps:cNvSpPr>
                        <wps:spPr bwMode="auto">
                          <a:xfrm>
                            <a:off x="3822700" y="228600"/>
                            <a:ext cx="1504950" cy="342900"/>
                          </a:xfrm>
                          <a:prstGeom prst="rect">
                            <a:avLst/>
                          </a:prstGeom>
                          <a:solidFill>
                            <a:srgbClr val="FFFFFF"/>
                          </a:solidFill>
                          <a:ln w="9525">
                            <a:solidFill>
                              <a:srgbClr val="000000"/>
                            </a:solidFill>
                            <a:miter lim="800000"/>
                            <a:headEnd/>
                            <a:tailEnd/>
                          </a:ln>
                        </wps:spPr>
                        <wps:txbx>
                          <w:txbxContent>
                            <w:p w:rsidR="00145E4B" w:rsidRPr="00A60708" w:rsidRDefault="00145E4B" w:rsidP="005D6BD3">
                              <w:pPr>
                                <w:ind w:left="851"/>
                                <w:rPr>
                                  <w:sz w:val="18"/>
                                  <w:szCs w:val="19"/>
                                </w:rPr>
                              </w:pPr>
                              <w:r>
                                <w:rPr>
                                  <w:sz w:val="18"/>
                                  <w:szCs w:val="19"/>
                                </w:rPr>
                                <w:t>Courbe maximum Courbe minimum</w:t>
                              </w:r>
                            </w:p>
                          </w:txbxContent>
                        </wps:txbx>
                        <wps:bodyPr rot="0" vert="horz" wrap="square" lIns="18000" tIns="10800" rIns="18000" bIns="10800" anchor="t" anchorCtr="0" upright="1">
                          <a:noAutofit/>
                        </wps:bodyPr>
                      </wps:wsp>
                      <wps:wsp>
                        <wps:cNvPr id="85" name="Line 10"/>
                        <wps:cNvCnPr>
                          <a:cxnSpLocks noChangeShapeType="1"/>
                        </wps:cNvCnPr>
                        <wps:spPr bwMode="auto">
                          <a:xfrm flipV="1">
                            <a:off x="457200" y="229235"/>
                            <a:ext cx="0" cy="274256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11"/>
                        <wps:cNvCnPr>
                          <a:cxnSpLocks noChangeShapeType="1"/>
                        </wps:cNvCnPr>
                        <wps:spPr bwMode="auto">
                          <a:xfrm>
                            <a:off x="3886200" y="342900"/>
                            <a:ext cx="342900"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7" name="Line 12"/>
                        <wps:cNvCnPr>
                          <a:cxnSpLocks noChangeShapeType="1"/>
                        </wps:cNvCnPr>
                        <wps:spPr bwMode="auto">
                          <a:xfrm>
                            <a:off x="3909060" y="457200"/>
                            <a:ext cx="342900" cy="635"/>
                          </a:xfrm>
                          <a:prstGeom prst="line">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8" name="Line 13"/>
                        <wps:cNvCnPr>
                          <a:cxnSpLocks noChangeShapeType="1"/>
                        </wps:cNvCnPr>
                        <wps:spPr bwMode="auto">
                          <a:xfrm flipV="1">
                            <a:off x="457200" y="2971800"/>
                            <a:ext cx="4686300" cy="6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Oval 14"/>
                        <wps:cNvSpPr>
                          <a:spLocks noChangeArrowheads="1"/>
                        </wps:cNvSpPr>
                        <wps:spPr bwMode="auto">
                          <a:xfrm>
                            <a:off x="990600" y="291084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0" name="Oval 15"/>
                        <wps:cNvSpPr>
                          <a:spLocks noChangeArrowheads="1"/>
                        </wps:cNvSpPr>
                        <wps:spPr bwMode="auto">
                          <a:xfrm>
                            <a:off x="2240280" y="153924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1" name="Oval 16"/>
                        <wps:cNvSpPr>
                          <a:spLocks noChangeArrowheads="1"/>
                        </wps:cNvSpPr>
                        <wps:spPr bwMode="auto">
                          <a:xfrm>
                            <a:off x="3025140" y="153924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2" name="Oval 17"/>
                        <wps:cNvSpPr>
                          <a:spLocks noChangeArrowheads="1"/>
                        </wps:cNvSpPr>
                        <wps:spPr bwMode="auto">
                          <a:xfrm>
                            <a:off x="4081780" y="2915285"/>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3" name="Oval 18"/>
                        <wps:cNvSpPr>
                          <a:spLocks noChangeArrowheads="1"/>
                        </wps:cNvSpPr>
                        <wps:spPr bwMode="auto">
                          <a:xfrm>
                            <a:off x="4638040" y="2914015"/>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4" name="Oval 19"/>
                        <wps:cNvSpPr>
                          <a:spLocks noChangeArrowheads="1"/>
                        </wps:cNvSpPr>
                        <wps:spPr bwMode="auto">
                          <a:xfrm>
                            <a:off x="3497580" y="96012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5" name="Oval 20"/>
                        <wps:cNvSpPr>
                          <a:spLocks noChangeArrowheads="1"/>
                        </wps:cNvSpPr>
                        <wps:spPr bwMode="auto">
                          <a:xfrm>
                            <a:off x="2232660" y="96774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6" name="Oval 21"/>
                        <wps:cNvSpPr>
                          <a:spLocks noChangeArrowheads="1"/>
                        </wps:cNvSpPr>
                        <wps:spPr bwMode="auto">
                          <a:xfrm>
                            <a:off x="403860" y="233934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4" name="Text Box 5"/>
                        <wps:cNvSpPr txBox="1">
                          <a:spLocks noChangeArrowheads="1"/>
                        </wps:cNvSpPr>
                        <wps:spPr bwMode="auto">
                          <a:xfrm>
                            <a:off x="180000" y="180000"/>
                            <a:ext cx="228600" cy="91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4B" w:rsidRPr="008C7AED" w:rsidRDefault="00145E4B" w:rsidP="005D6BD3">
                              <w:pPr>
                                <w:pStyle w:val="NormalWeb"/>
                                <w:spacing w:before="0" w:beforeAutospacing="0" w:after="0" w:afterAutospacing="0" w:line="240" w:lineRule="exact"/>
                              </w:pPr>
                              <w:r>
                                <w:rPr>
                                  <w:rFonts w:eastAsia="Times New Roman"/>
                                  <w:b/>
                                  <w:bCs/>
                                  <w:spacing w:val="4"/>
                                  <w:kern w:val="14"/>
                                  <w:sz w:val="20"/>
                                  <w:szCs w:val="20"/>
                                </w:rPr>
                                <w:t>Accélération</w:t>
                              </w:r>
                            </w:p>
                          </w:txbxContent>
                        </wps:txbx>
                        <wps:bodyPr rot="0" vert="vert270" wrap="square" lIns="18000" tIns="45720" rIns="18000" bIns="45720" anchor="t" anchorCtr="0" upright="1">
                          <a:noAutofit/>
                        </wps:bodyPr>
                      </wps:wsp>
                      <wps:wsp>
                        <wps:cNvPr id="78" name="Text Box 26"/>
                        <wps:cNvSpPr txBox="1">
                          <a:spLocks noChangeArrowheads="1"/>
                        </wps:cNvSpPr>
                        <wps:spPr bwMode="auto">
                          <a:xfrm>
                            <a:off x="457200" y="2114550"/>
                            <a:ext cx="2286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4B" w:rsidRDefault="00145E4B" w:rsidP="005D6BD3">
                              <w:pPr>
                                <w:pStyle w:val="NormalWeb"/>
                                <w:spacing w:before="0" w:beforeAutospacing="0" w:after="0" w:afterAutospacing="0" w:line="240" w:lineRule="exact"/>
                                <w:jc w:val="center"/>
                              </w:pPr>
                              <w:r>
                                <w:rPr>
                                  <w:rFonts w:eastAsia="Times New Roman"/>
                                  <w:b/>
                                  <w:bCs/>
                                  <w:spacing w:val="4"/>
                                  <w:kern w:val="14"/>
                                  <w:sz w:val="28"/>
                                  <w:szCs w:val="28"/>
                                  <w:lang w:val="de-DE"/>
                                </w:rPr>
                                <w:t>E</w:t>
                              </w:r>
                            </w:p>
                          </w:txbxContent>
                        </wps:txbx>
                        <wps:bodyPr rot="0" vert="horz" wrap="square" lIns="18000" tIns="10800" rIns="18000" bIns="10800" anchor="t" anchorCtr="0" upright="1">
                          <a:noAutofit/>
                        </wps:bodyPr>
                      </wps:wsp>
                      <wps:wsp>
                        <wps:cNvPr id="106" name="Text Box 26"/>
                        <wps:cNvSpPr txBox="1">
                          <a:spLocks noChangeArrowheads="1"/>
                        </wps:cNvSpPr>
                        <wps:spPr bwMode="auto">
                          <a:xfrm>
                            <a:off x="1196000" y="2771775"/>
                            <a:ext cx="22860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E4B" w:rsidRDefault="00145E4B" w:rsidP="005D6BD3">
                              <w:pPr>
                                <w:pStyle w:val="NormalWeb"/>
                                <w:spacing w:before="0" w:beforeAutospacing="0" w:after="0" w:afterAutospacing="0" w:line="240" w:lineRule="exact"/>
                                <w:jc w:val="center"/>
                              </w:pPr>
                              <w:r>
                                <w:rPr>
                                  <w:rFonts w:eastAsia="Times New Roman"/>
                                  <w:b/>
                                  <w:bCs/>
                                  <w:spacing w:val="4"/>
                                  <w:kern w:val="14"/>
                                  <w:sz w:val="28"/>
                                  <w:szCs w:val="28"/>
                                  <w:lang w:val="de-DE"/>
                                </w:rPr>
                                <w:t>A</w:t>
                              </w:r>
                            </w:p>
                          </w:txbxContent>
                        </wps:txbx>
                        <wps:bodyPr rot="0" vert="horz" wrap="square" lIns="18000" tIns="10800" rIns="18000" bIns="10800" anchor="t" anchorCtr="0" upright="1">
                          <a:noAutofit/>
                        </wps:bodyPr>
                      </wps:wsp>
                    </wpc:wpc>
                  </a:graphicData>
                </a:graphic>
              </wp:inline>
            </w:drawing>
          </mc:Choice>
          <mc:Fallback>
            <w:pict>
              <v:group id="Canvas 105" o:spid="_x0000_s1033" editas="canvas" style="width:422.35pt;height:252pt;mso-position-horizontal-relative:char;mso-position-vertical-relative:line" coordsize="53638,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">
                <v:shape id="_x0000_s1034" type="#_x0000_t75" style="position:absolute;width:53638;height:32004;visibility:visible;mso-wrap-style:square">
                  <v:fill o:detectmouseclick="t"/>
                  <v:path o:connecttype="none"/>
                </v:shape>
                <v:shape id="Freeform 6" o:spid="_x0000_s1035" style="position:absolute;left:4476;top:10191;width:42387;height:19527;visibility:visible;mso-wrap-style:square;v-text-anchor:top" coordsize="6675,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prQ8IA&#10;AADbAAAADwAAAGRycy9kb3ducmV2LnhtbESPQWuDQBSE74H+h+UVeourpRSx2YQQKngppUZ6friv&#10;utR9K+5G7b/vBgI5DjPfDLM7rHYQM03eOFaQJSkI4tZpw52C5lxucxA+IGscHJOCP/Jw2D9sdlho&#10;t/AXzXXoRCxhX6CCPoSxkNK3PVn0iRuJo/fjJoshyqmTesIllttBPqfpq7RoOC70ONKpp/a3vlgF&#10;l+b7Y1zL/L2J/IssW1Nln0app8f1+AYi0Bru4RtdaQV5Btcv8Qf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6mtDwgAAANsAAAAPAAAAAAAAAAAAAAAAAJgCAABkcnMvZG93&#10;bnJldi54bWxQSwUGAAAAAAQABAD1AAAAhwMAAAAA&#10;" path="m915,3075l2928,901r1227,14l5775,3075r900,l4935,,2895,,15,2175,,3060r915,15xe" fillcolor="silver" stroked="f">
                  <v:path arrowok="t" o:connecttype="custom" o:connectlocs="368950875,1239916875;1180642800,363305725;1675399875,368950875;2147483647,1239916875;2147483647,1239916875;1989915375,0;1167336375,0;6048375,877014375;0,1233868500;368950875,1239916875" o:connectangles="0,0,0,0,0,0,0,0,0,0"/>
                </v:shape>
                <v:shape id="Freeform 7" o:spid="_x0000_s1036" style="position:absolute;left:4572;top:10191;width:42195;height:19431;visibility:visible;mso-wrap-style:square;v-text-anchor:top" coordsize="6645,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uIXMUA&#10;AADbAAAADwAAAGRycy9kb3ducmV2LnhtbESPQWvCQBSE74X+h+UVvNVNgrYSXSUEBL1Iq23B2yP7&#10;moRm3y7ZVeO/7wqCx2FmvmEWq8F04ky9by0rSMcJCOLK6pZrBV+H9esMhA/IGjvLpOBKHlbL56cF&#10;5tpe+JPO+1CLCGGfo4ImBJdL6auGDPqxdcTR+7W9wRBlX0vd4yXCTSezJHmTBluOCw06Khuq/vYn&#10;o+B9u9v91EeXTIvCtZOPLC3T8lup0ctQzEEEGsIjfG9vtIJZBr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u4hcxQAAANsAAAAPAAAAAAAAAAAAAAAAAJgCAABkcnMv&#10;ZG93bnJldi54bWxQSwUGAAAAAAQABAD1AAAAigMAAAAA&#10;" path="m,2175l2850,15,4905,,6645,3060e" filled="f" strokeweight="1.25pt">
                  <v:path arrowok="t" o:connecttype="custom" o:connectlocs="0,877014375;1149191250,6048375;1977818625,0;2147483647,1233868500" o:connectangles="0,0,0,0"/>
                </v:shape>
                <v:shape id="Freeform 8" o:spid="_x0000_s1037" style="position:absolute;left:10287;top:16002;width:30861;height:13716;visibility:visible;mso-wrap-style:square;v-text-anchor:top" coordsize="432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msUsUA&#10;AADbAAAADwAAAGRycy9kb3ducmV2LnhtbESPQWvCQBSE74L/YXmFXqRuWrHEmI2I0NrqqbEXb8/s&#10;axLNvg3Zrab/visIHoeZ+YZJF71pxJk6V1tW8DyOQBAXVtdcKvjevT3FIJxH1thYJgV/5GCRDQcp&#10;Jtpe+IvOuS9FgLBLUEHlfZtI6YqKDLqxbYmD92M7gz7IrpS6w0uAm0a+RNGrNFhzWKiwpVVFxSn/&#10;NQrKeLs71LM2H+3t+1SvjvgZrTdKPT70yzkIT72/h2/tD60gnsD1S/gBM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WaxSxQAAANsAAAAPAAAAAAAAAAAAAAAAAJgCAABkcnMv&#10;ZG93bnJldi54bWxQSwUGAAAAAAQABAD1AAAAigMAAAAA&#10;" path="m,2160l1800,,2880,,4320,2160e" filled="f" strokeweight="1pt">
                  <v:stroke dashstyle="longDash"/>
                  <v:path arrowok="t" o:connecttype="custom" o:connectlocs="0,870966000;918596953,0;1469755125,0;2147483647,870966000" o:connectangles="0,0,0,0"/>
                </v:shape>
                <v:shape id="Text Box 9" o:spid="_x0000_s1038" type="#_x0000_t202" style="position:absolute;left:38227;top:2286;width:1504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iqsMUA&#10;AADbAAAADwAAAGRycy9kb3ducmV2LnhtbESPS2vDMBCE74H8B7GB3hI5aUmCGzmEQGlvxXlQetta&#10;6wexVq6kOu6/rwqBHIeZ+YbZbAfTip6cbywrmM8SEMSF1Q1XCk7Hl+kahA/IGlvLpOCXPGyz8WiD&#10;qbZXzqk/hEpECPsUFdQhdKmUvqjJoJ/Zjjh6pXUGQ5SuktrhNcJNKxdJspQGG44LNXa0r6m4HH6M&#10;gsdTv/Jf5xzdd5nb42f+unjXH0o9TIbdM4hAQ7iHb+03rWD9BP9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KqwxQAAANsAAAAPAAAAAAAAAAAAAAAAAJgCAABkcnMv&#10;ZG93bnJldi54bWxQSwUGAAAAAAQABAD1AAAAigMAAAAA&#10;">
                  <v:textbox inset=".5mm,.3mm,.5mm,.3mm">
                    <w:txbxContent>
                      <w:p w:rsidR="00145E4B" w:rsidRPr="00A60708" w:rsidRDefault="00145E4B" w:rsidP="005D6BD3">
                        <w:pPr>
                          <w:ind w:left="851"/>
                          <w:rPr>
                            <w:sz w:val="18"/>
                            <w:szCs w:val="19"/>
                          </w:rPr>
                        </w:pPr>
                        <w:r>
                          <w:rPr>
                            <w:sz w:val="18"/>
                            <w:szCs w:val="19"/>
                          </w:rPr>
                          <w:t>Courbe maximum Courbe minimum</w:t>
                        </w:r>
                      </w:p>
                    </w:txbxContent>
                  </v:textbox>
                </v:shape>
                <v:line id="Line 10" o:spid="_x0000_s1039" style="position:absolute;flip:y;visibility:visible;mso-wrap-style:square" from="4572,2292" to="4572,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zqIcQAAADbAAAADwAAAGRycy9kb3ducmV2LnhtbESPQWsCMRSE70L/Q3hCb93EwopujVLF&#10;Fq9VKT2+bl53V5OXZRPd7b83hYLHYWa+YRarwVlxpS40njVMMgWCuPSm4UrD8fD2NAMRIrJB65k0&#10;/FKA1fJhtMDC+J4/6LqPlUgQDgVqqGNsCylDWZPDkPmWOHk/vnMYk+wqaTrsE9xZ+azUVDpsOC3U&#10;2NKmpvK8vzgN72q37k/zXG1O+fdnvh7seftltX4cD68vICIN8R7+b++MhlkOf1/SD5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OohxAAAANsAAAAPAAAAAAAAAAAA&#10;AAAAAKECAABkcnMvZG93bnJldi54bWxQSwUGAAAAAAQABAD5AAAAkgMAAAAA&#10;" strokeweight="1.5pt">
                  <v:stroke endarrow="block"/>
                </v:line>
                <v:line id="Line 11" o:spid="_x0000_s1040" style="position:absolute;visibility:visible;mso-wrap-style:square" from="38862,3429" to="42291,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0qGcEAAADbAAAADwAAAGRycy9kb3ducmV2LnhtbESP0YrCMBRE3xf8h3CFfVtTXShSjSKi&#10;IAiL1n7Atbm2xeSmNNF2/36zIPg4zMwZZrkerBFP6nzjWMF0koAgLp1uuFJQXPZfcxA+IGs0jknB&#10;L3lYr0YfS8y06/lMzzxUIkLYZ6igDqHNpPRlTRb9xLXE0bu5zmKIsquk7rCPcGvkLElSabHhuFBj&#10;S9uaynv+sAr6U74ffo5O28Jt08ak0+v3zij1OR42CxCBhvAOv9oHrWCewv+X+AP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fSoZwQAAANsAAAAPAAAAAAAAAAAAAAAA&#10;AKECAABkcnMvZG93bnJldi54bWxQSwUGAAAAAAQABAD5AAAAjwMAAAAA&#10;" strokeweight="1.25pt"/>
                <v:line id="Line 12" o:spid="_x0000_s1041" style="position:absolute;visibility:visible;mso-wrap-style:square" from="39090,4572" to="42519,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VxVcUAAADbAAAADwAAAGRycy9kb3ducmV2LnhtbESPT2sCMRTE7wW/Q3iCt5q1lFa2RhGp&#10;0G5B8M+lt8fmdbN187Im0V2/fSMUPA4z8xtmtuhtIy7kQ+1YwWScgSAuna65UnDYrx+nIEJE1tg4&#10;JgVXCrCYDx5mmGvX8ZYuu1iJBOGQowITY5tLGUpDFsPYtcTJ+3HeYkzSV1J77BLcNvIpy16kxZrT&#10;gsGWVobK4+5sFZz2sl3r7+vnpvHvz4X5LYru66TUaNgv30BE6uM9/N/+0Aqmr3D7kn6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WVxVcUAAADbAAAADwAAAAAAAAAA&#10;AAAAAAChAgAAZHJzL2Rvd25yZXYueG1sUEsFBgAAAAAEAAQA+QAAAJMDAAAAAA==&#10;" strokeweight="1.25pt">
                  <v:stroke dashstyle="longDash"/>
                </v:line>
                <v:line id="Line 13" o:spid="_x0000_s1042" style="position:absolute;flip:y;visibility:visible;mso-wrap-style:square" from="4572,29718" to="51435,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1Fv8AAAADbAAAADwAAAGRycy9kb3ducmV2LnhtbERPy2oCMRTdC/5DuII7TVqYoqNRqrTi&#10;1gfS5e3kOjOa3AyT1Jn+vVkUujyc93LdOyse1Ibas4aXqQJBXHhTc6nhfPqczECEiGzQeiYNvxRg&#10;vRoOlpgb3/GBHsdYihTCIUcNVYxNLmUoKnIYpr4hTtzVtw5jgm0pTYtdCndWvir1Jh3WnBoqbGhb&#10;UXE//jgNO7XfdLd5pra37PuSbXp7//iyWo9H/fsCRKQ+/ov/3HujYZbGpi/pB8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RNRb/AAAAA2wAAAA8AAAAAAAAAAAAAAAAA&#10;oQIAAGRycy9kb3ducmV2LnhtbFBLBQYAAAAABAAEAPkAAACOAwAAAAA=&#10;" strokeweight="1.5pt">
                  <v:stroke endarrow="block"/>
                </v:line>
                <v:oval id="Oval 14" o:spid="_x0000_s1043" style="position:absolute;left:9906;top:29108;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TOD8IA&#10;AADbAAAADwAAAGRycy9kb3ducmV2LnhtbESPQWvCQBSE74X+h+UVvBTdWFBi6ioSsHht9ODxmX0m&#10;odm3YXc1yb93C4LHYWa+YdbbwbTiTs43lhXMZwkI4tLqhisFp+N+moLwAVlja5kUjORhu3l/W2Om&#10;bc+/dC9CJSKEfYYK6hC6TEpf1mTQz2xHHL2rdQZDlK6S2mEf4aaVX0mylAYbjgs1dpTXVP4VN6PA&#10;fXZjPh7y/fzCP8WiT/V5edJKTT6G3TeIQEN4hZ/tg1aQruD/S/wB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M4PwgAAANsAAAAPAAAAAAAAAAAAAAAAAJgCAABkcnMvZG93&#10;bnJldi54bWxQSwUGAAAAAAQABAD1AAAAhwMAAAAA&#10;" fillcolor="black"/>
                <v:oval id="Oval 15" o:spid="_x0000_s1044" style="position:absolute;left:22402;top:1539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fxT74A&#10;AADbAAAADwAAAGRycy9kb3ducmV2LnhtbERPTYvCMBC9C/6HMIIX0VRhRatRpODidauHPc42Y1ts&#10;JiXJ2vbfm4Pg8fG+98feNOJJzteWFSwXCQjiwuqaSwW363m+AeEDssbGMikYyMPxMB7tMdW24x96&#10;5qEUMYR9igqqENpUSl9UZNAvbEscubt1BkOErpTaYRfDTSNXSbKWBmuODRW2lFVUPPJ/o8DN2iEb&#10;Ltl5+cff+Ve30b/rm1ZqOulPOxCB+vARv90XrWAb18cv8QfIw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9H8U++AAAA2wAAAA8AAAAAAAAAAAAAAAAAmAIAAGRycy9kb3ducmV2&#10;LnhtbFBLBQYAAAAABAAEAPUAAACDAwAAAAA=&#10;" fillcolor="black"/>
                <v:oval id="Oval 16" o:spid="_x0000_s1045" style="position:absolute;left:30251;top:1539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tU1MIA&#10;AADbAAAADwAAAGRycy9kb3ducmV2LnhtbESPQWvCQBSE74X+h+UVvBTdpKBo6ioSsHht9ODxmX0m&#10;odm3YXc1yb93C4LHYWa+YdbbwbTiTs43lhWkswQEcWl1w5WC03E/XYLwAVlja5kUjORhu3l/W2Om&#10;bc+/dC9CJSKEfYYK6hC6TEpf1mTQz2xHHL2rdQZDlK6S2mEf4aaVX0mykAYbjgs1dpTXVP4VN6PA&#10;fXZjPh7yfXrhn2LeL/V5cdJKTT6G3TeIQEN4hZ/tg1awSuH/S/wB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C1TUwgAAANsAAAAPAAAAAAAAAAAAAAAAAJgCAABkcnMvZG93&#10;bnJldi54bWxQSwUGAAAAAAQABAD1AAAAhwMAAAAA&#10;" fillcolor="black"/>
                <v:oval id="Oval 17" o:spid="_x0000_s1046" style="position:absolute;left:40817;top:2915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Ko8IA&#10;AADbAAAADwAAAGRycy9kb3ducmV2LnhtbESPQYvCMBSE74L/IbyFvYimCitajSIFxetWDx6fzbMt&#10;27yUJNr2328WFjwOM/MNs933phEvcr62rGA+S0AQF1bXXCq4Xo7TFQgfkDU2lknBQB72u/Foi6m2&#10;HX/TKw+liBD2KSqoQmhTKX1RkUE/sy1x9B7WGQxRulJqh12Em0YukmQpDdYcFypsKauo+MmfRoGb&#10;tEM2nLPj/M6n/Ktb6dvyqpX6/OgPGxCB+vAO/7fPWsF6AX9f4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2cqjwgAAANsAAAAPAAAAAAAAAAAAAAAAAJgCAABkcnMvZG93&#10;bnJldi54bWxQSwUGAAAAAAQABAD1AAAAhwMAAAAA&#10;" fillcolor="black"/>
                <v:oval id="Oval 18" o:spid="_x0000_s1047" style="position:absolute;left:46380;top:29140;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VvOMMA&#10;AADbAAAADwAAAGRycy9kb3ducmV2LnhtbESPQWvCQBSE74L/YXlCL1I3VgyauooELF6beujxNftM&#10;QrNvw+5qkn/fFQoeh5n5htkdBtOKOznfWFawXCQgiEurG64UXL5OrxsQPiBrbC2TgpE8HPbTyQ4z&#10;bXv+pHsRKhEh7DNUUIfQZVL6siaDfmE74uhdrTMYonSV1A77CDetfEuSVBpsOC7U2FFeU/lb3IwC&#10;N+/GfDznp+UPfxTrfqO/04tW6mU2HN9BBBrCM/zfPmsF2xU8vs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VvOMMAAADbAAAADwAAAAAAAAAAAAAAAACYAgAAZHJzL2Rv&#10;d25yZXYueG1sUEsFBgAAAAAEAAQA9QAAAIgDAAAAAA==&#10;" fillcolor="black"/>
                <v:oval id="Oval 19" o:spid="_x0000_s1048" style="position:absolute;left:34975;top:9601;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z3TMMA&#10;AADbAAAADwAAAGRycy9kb3ducmV2LnhtbESPQWvCQBSE74L/YXlCL1I3Fg2auooELF6beujxNftM&#10;QrNvw+5qkn/fFQoeh5n5htkdBtOKOznfWFawXCQgiEurG64UXL5OrxsQPiBrbC2TgpE8HPbTyQ4z&#10;bXv+pHsRKhEh7DNUUIfQZVL6siaDfmE74uhdrTMYonSV1A77CDetfEuSVBpsOC7U2FFeU/lb3IwC&#10;N+/GfDznp+UPfxTrfqO/04tW6mU2HN9BBBrCM/zfPmsF2xU8vs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z3TMMAAADbAAAADwAAAAAAAAAAAAAAAACYAgAAZHJzL2Rv&#10;d25yZXYueG1sUEsFBgAAAAAEAAQA9QAAAIgDAAAAAA==&#10;" fillcolor="black"/>
                <v:oval id="Oval 20" o:spid="_x0000_s1049" style="position:absolute;left:22326;top:9677;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BS18IA&#10;AADbAAAADwAAAGRycy9kb3ducmV2LnhtbESPQYvCMBSE78L+h/AWvMiaKihu1yhLQfFq9eDx2bxt&#10;yzYvJYm2/fdGEDwOM/MNs972phF3cr62rGA2TUAQF1bXXCo4n3ZfKxA+IGtsLJOCgTxsNx+jNaba&#10;dnykex5KESHsU1RQhdCmUvqiIoN+alvi6P1ZZzBE6UqpHXYRbho5T5KlNFhzXKiwpayi4j+/GQVu&#10;0g7ZcMh2syvv80W30pflWSs1/ux/f0AE6sM7/GoftILvBTy/xB8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MFLXwgAAANsAAAAPAAAAAAAAAAAAAAAAAJgCAABkcnMvZG93&#10;bnJldi54bWxQSwUGAAAAAAQABAD1AAAAhwMAAAAA&#10;" fillcolor="black"/>
                <v:oval id="Oval 21" o:spid="_x0000_s1050" style="position:absolute;left:4038;top:23393;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oMMA&#10;AADbAAAADwAAAGRycy9kb3ducmV2LnhtbESPQWvCQBSE70L/w/IKvUjdWDBo6ioSsHhtzMHjM/ua&#10;hGbfht3VJP++WxA8DjPzDbPdj6YTd3K+taxguUhAEFdWt1wrKM/H9zUIH5A1dpZJwUQe9ruX2RYz&#10;bQf+pnsRahEh7DNU0ITQZ1L6qiGDfmF74uj9WGcwROlqqR0OEW46+ZEkqTTYclxosKe8oeq3uBkF&#10;bt5P+XTKj8srfxWrYa0vaamVensdD58gAo3hGX60T1rBJoX/L/E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MoMMAAADbAAAADwAAAAAAAAAAAAAAAACYAgAAZHJzL2Rv&#10;d25yZXYueG1sUEsFBgAAAAAEAAQA9QAAAIgDAAAAAA==&#10;" fillcolor="black"/>
                <v:shape id="Text Box 5" o:spid="_x0000_s1051" type="#_x0000_t202" style="position:absolute;left:1800;top:1800;width:2286;height:9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c3EcQA&#10;AADbAAAADwAAAGRycy9kb3ducmV2LnhtbESPQWvCQBSE7wX/w/IKvemmImlJ3UhVhF6rPejtmX1m&#10;E7NvY3Y1aX99tyD0OMzMN8x8MdhG3KjzlWMFz5MEBHHhdMWlgq/dZvwKwgdkjY1jUvBNHhb56GGO&#10;mXY9f9JtG0oRIewzVGBCaDMpfWHIop+4ljh6J9dZDFF2pdQd9hFuGzlNklRarDguGGxpZag4b69W&#10;wa6pj+3PIT31ZiWX+z1f1uc6VerpcXh/AxFoCP/he/tDK3iZwd+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3NxHEAAAA2wAAAA8AAAAAAAAAAAAAAAAAmAIAAGRycy9k&#10;b3ducmV2LnhtbFBLBQYAAAAABAAEAPUAAACJAwAAAAA=&#10;" filled="f" stroked="f">
                  <v:textbox style="layout-flow:vertical;mso-layout-flow-alt:bottom-to-top" inset=".5mm,,.5mm">
                    <w:txbxContent>
                      <w:p w:rsidR="00145E4B" w:rsidRPr="008C7AED" w:rsidRDefault="00145E4B" w:rsidP="005D6BD3">
                        <w:pPr>
                          <w:pStyle w:val="NormalWeb"/>
                          <w:spacing w:before="0" w:beforeAutospacing="0" w:after="0" w:afterAutospacing="0" w:line="240" w:lineRule="exact"/>
                        </w:pPr>
                        <w:r>
                          <w:rPr>
                            <w:rFonts w:eastAsia="Times New Roman"/>
                            <w:b/>
                            <w:bCs/>
                            <w:spacing w:val="4"/>
                            <w:kern w:val="14"/>
                            <w:sz w:val="20"/>
                            <w:szCs w:val="20"/>
                          </w:rPr>
                          <w:t>Accélération</w:t>
                        </w:r>
                      </w:p>
                    </w:txbxContent>
                  </v:textbox>
                </v:shape>
                <v:shape id="_x0000_s1052" type="#_x0000_t202" style="position:absolute;left:4572;top:21145;width:2286;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68cb8A&#10;AADbAAAADwAAAGRycy9kb3ducmV2LnhtbERPPW/CMBDdkfofrEPqBjYMBQUMKpVatWMCA+MpvsYR&#10;8TmKr5D219cDEuPT+97ux9CpKw2pjWxhMTegiOvoWm4snI7vszWoJMgOu8hk4ZcS7HdPky0WLt64&#10;pGsljcohnAq04EX6QutUewqY5rEnztx3HAJKhkOj3YC3HB46vTTmRQdsOTd47OnNU32pfoKFxizL&#10;RWn8X3f+OJTrr0rkfHHWPk/H1w0ooVEe4rv701lY5bH5S/4Bevc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3rxxvwAAANsAAAAPAAAAAAAAAAAAAAAAAJgCAABkcnMvZG93bnJl&#10;di54bWxQSwUGAAAAAAQABAD1AAAAhAMAAAAA&#10;" filled="f" stroked="f">
                  <v:textbox inset=".5mm,.3mm,.5mm,.3mm">
                    <w:txbxContent>
                      <w:p w:rsidR="00145E4B" w:rsidRDefault="00145E4B" w:rsidP="005D6BD3">
                        <w:pPr>
                          <w:pStyle w:val="NormalWeb"/>
                          <w:spacing w:before="0" w:beforeAutospacing="0" w:after="0" w:afterAutospacing="0" w:line="240" w:lineRule="exact"/>
                          <w:jc w:val="center"/>
                        </w:pPr>
                        <w:r>
                          <w:rPr>
                            <w:rFonts w:eastAsia="Times New Roman"/>
                            <w:b/>
                            <w:bCs/>
                            <w:spacing w:val="4"/>
                            <w:kern w:val="14"/>
                            <w:sz w:val="28"/>
                            <w:szCs w:val="28"/>
                            <w:lang w:val="de-DE"/>
                          </w:rPr>
                          <w:t>E</w:t>
                        </w:r>
                      </w:p>
                    </w:txbxContent>
                  </v:textbox>
                </v:shape>
                <v:shape id="_x0000_s1053" type="#_x0000_t202" style="position:absolute;left:11960;top:27717;width:2286;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NgFsEA&#10;AADcAAAADwAAAGRycy9kb3ducmV2LnhtbERPTWvCQBC9C/0PyxS86a4eRKKrtIWKHpP2kOOQnWaD&#10;2dmQnWraX98tFHqbx/uc/XEKvbrRmLrIFlZLA4q4ia7j1sL72+tiCyoJssM+Mln4ogTHw8Nsj4WL&#10;dy7pVkmrcginAi14kaHQOjWeAqZlHIgz9xHHgJLh2Go34j2Hh16vjdnogB3nBo8DvXhqrtVnsNCa&#10;dbkqjf/u69Nzub1UIvXVWTt/nJ52oIQm+Rf/uc8uzzcb+H0mX6AP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DYBbBAAAA3AAAAA8AAAAAAAAAAAAAAAAAmAIAAGRycy9kb3du&#10;cmV2LnhtbFBLBQYAAAAABAAEAPUAAACGAwAAAAA=&#10;" filled="f" stroked="f">
                  <v:textbox inset=".5mm,.3mm,.5mm,.3mm">
                    <w:txbxContent>
                      <w:p w:rsidR="00145E4B" w:rsidRDefault="00145E4B" w:rsidP="005D6BD3">
                        <w:pPr>
                          <w:pStyle w:val="NormalWeb"/>
                          <w:spacing w:before="0" w:beforeAutospacing="0" w:after="0" w:afterAutospacing="0" w:line="240" w:lineRule="exact"/>
                          <w:jc w:val="center"/>
                        </w:pPr>
                        <w:r>
                          <w:rPr>
                            <w:rFonts w:eastAsia="Times New Roman"/>
                            <w:b/>
                            <w:bCs/>
                            <w:spacing w:val="4"/>
                            <w:kern w:val="14"/>
                            <w:sz w:val="28"/>
                            <w:szCs w:val="28"/>
                            <w:lang w:val="de-DE"/>
                          </w:rPr>
                          <w:t>A</w:t>
                        </w:r>
                      </w:p>
                    </w:txbxContent>
                  </v:textbox>
                </v:shape>
                <w10:anchorlock/>
              </v:group>
            </w:pict>
          </mc:Fallback>
        </mc:AlternateContent>
      </w:r>
    </w:p>
    <w:p w:rsidR="005D6BD3" w:rsidRPr="00E07570" w:rsidRDefault="005D6BD3" w:rsidP="005D6BD3">
      <w:pPr>
        <w:pStyle w:val="SingleTxtG"/>
        <w:spacing w:before="240"/>
        <w:rPr>
          <w:b/>
        </w:rPr>
      </w:pPr>
      <w:r w:rsidRPr="00E07570">
        <w:rPr>
          <w:b/>
        </w:rPr>
        <w:t xml:space="preserve">Tableau </w:t>
      </w:r>
      <w:r w:rsidR="00266D8F" w:rsidRPr="00E07570">
        <w:rPr>
          <w:b/>
        </w:rPr>
        <w:t>5</w:t>
      </w:r>
      <w:r w:rsidRPr="00E07570">
        <w:rPr>
          <w:b/>
        </w:rPr>
        <w:t xml:space="preserve"> pour les véhicules des catégories M</w:t>
      </w:r>
      <w:r w:rsidRPr="00E07570">
        <w:rPr>
          <w:b/>
          <w:vertAlign w:val="subscript"/>
        </w:rPr>
        <w:t>1</w:t>
      </w:r>
      <w:r w:rsidRPr="00E07570">
        <w:rPr>
          <w:b/>
        </w:rPr>
        <w:t xml:space="preserve"> et N</w:t>
      </w:r>
      <w:r w:rsidRPr="00E07570">
        <w:rPr>
          <w:b/>
          <w:vertAlign w:val="subscript"/>
        </w:rPr>
        <w:t>1</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4"/>
        <w:gridCol w:w="1134"/>
        <w:gridCol w:w="1418"/>
      </w:tblGrid>
      <w:tr w:rsidR="005D6BD3" w:rsidRPr="00E07570" w:rsidTr="00266D8F">
        <w:trPr>
          <w:trHeight w:val="20"/>
        </w:trPr>
        <w:tc>
          <w:tcPr>
            <w:tcW w:w="704" w:type="dxa"/>
            <w:tcBorders>
              <w:bottom w:val="single" w:sz="12" w:space="0" w:color="auto"/>
            </w:tcBorders>
          </w:tcPr>
          <w:p w:rsidR="005D6BD3" w:rsidRPr="00E07570" w:rsidRDefault="005D6BD3" w:rsidP="00CF30E3">
            <w:pPr>
              <w:tabs>
                <w:tab w:val="left" w:pos="1134"/>
              </w:tabs>
              <w:spacing w:before="80" w:after="80" w:line="200" w:lineRule="exact"/>
              <w:jc w:val="center"/>
              <w:rPr>
                <w:b/>
                <w:i/>
                <w:sz w:val="16"/>
                <w:szCs w:val="16"/>
              </w:rPr>
            </w:pPr>
            <w:r w:rsidRPr="00E07570">
              <w:rPr>
                <w:b/>
                <w:i/>
                <w:sz w:val="16"/>
                <w:szCs w:val="16"/>
              </w:rPr>
              <w:t>Point</w:t>
            </w:r>
          </w:p>
        </w:tc>
        <w:tc>
          <w:tcPr>
            <w:tcW w:w="1134" w:type="dxa"/>
            <w:tcBorders>
              <w:bottom w:val="single" w:sz="12" w:space="0" w:color="auto"/>
            </w:tcBorders>
          </w:tcPr>
          <w:p w:rsidR="005D6BD3" w:rsidRPr="00E07570" w:rsidRDefault="005D6BD3" w:rsidP="00CF30E3">
            <w:pPr>
              <w:tabs>
                <w:tab w:val="left" w:pos="1134"/>
              </w:tabs>
              <w:spacing w:before="80" w:after="80" w:line="200" w:lineRule="exact"/>
              <w:jc w:val="center"/>
              <w:rPr>
                <w:b/>
                <w:sz w:val="24"/>
              </w:rPr>
            </w:pPr>
            <w:r w:rsidRPr="00E07570">
              <w:rPr>
                <w:b/>
                <w:i/>
                <w:sz w:val="16"/>
                <w:szCs w:val="16"/>
              </w:rPr>
              <w:t>Temps (ms)</w:t>
            </w:r>
          </w:p>
        </w:tc>
        <w:tc>
          <w:tcPr>
            <w:tcW w:w="1418" w:type="dxa"/>
            <w:tcBorders>
              <w:bottom w:val="single" w:sz="12" w:space="0" w:color="auto"/>
            </w:tcBorders>
          </w:tcPr>
          <w:p w:rsidR="005D6BD3" w:rsidRPr="00E07570" w:rsidRDefault="005D6BD3" w:rsidP="00CF30E3">
            <w:pPr>
              <w:tabs>
                <w:tab w:val="left" w:pos="1134"/>
              </w:tabs>
              <w:spacing w:before="80" w:after="80" w:line="200" w:lineRule="exact"/>
              <w:jc w:val="center"/>
              <w:rPr>
                <w:b/>
                <w:sz w:val="24"/>
              </w:rPr>
            </w:pPr>
            <w:r w:rsidRPr="00E07570">
              <w:rPr>
                <w:b/>
                <w:i/>
                <w:sz w:val="16"/>
                <w:szCs w:val="16"/>
              </w:rPr>
              <w:t>Accélération (g)</w:t>
            </w:r>
          </w:p>
        </w:tc>
      </w:tr>
      <w:tr w:rsidR="005D6BD3" w:rsidRPr="00E07570" w:rsidTr="00266D8F">
        <w:tc>
          <w:tcPr>
            <w:tcW w:w="704" w:type="dxa"/>
          </w:tcPr>
          <w:p w:rsidR="005D6BD3" w:rsidRPr="00E07570" w:rsidRDefault="005D6BD3" w:rsidP="003B73D7">
            <w:pPr>
              <w:tabs>
                <w:tab w:val="left" w:pos="1134"/>
              </w:tabs>
              <w:spacing w:before="60" w:after="60" w:line="220" w:lineRule="exact"/>
              <w:ind w:left="57" w:right="57"/>
              <w:jc w:val="center"/>
              <w:rPr>
                <w:b/>
                <w:bCs/>
              </w:rPr>
            </w:pPr>
            <w:r w:rsidRPr="00E07570">
              <w:rPr>
                <w:b/>
                <w:bCs/>
              </w:rPr>
              <w:t>A</w:t>
            </w:r>
          </w:p>
        </w:tc>
        <w:tc>
          <w:tcPr>
            <w:tcW w:w="1134" w:type="dxa"/>
          </w:tcPr>
          <w:p w:rsidR="005D6BD3" w:rsidRPr="00E07570" w:rsidRDefault="005D6BD3" w:rsidP="003B73D7">
            <w:pPr>
              <w:tabs>
                <w:tab w:val="left" w:pos="1134"/>
              </w:tabs>
              <w:spacing w:before="60" w:after="60" w:line="220" w:lineRule="exact"/>
              <w:ind w:left="57" w:right="57"/>
              <w:jc w:val="center"/>
              <w:rPr>
                <w:bCs/>
              </w:rPr>
            </w:pPr>
            <w:r w:rsidRPr="00E07570">
              <w:rPr>
                <w:bCs/>
              </w:rPr>
              <w:t>10</w:t>
            </w:r>
          </w:p>
        </w:tc>
        <w:tc>
          <w:tcPr>
            <w:tcW w:w="1418" w:type="dxa"/>
          </w:tcPr>
          <w:p w:rsidR="005D6BD3" w:rsidRPr="00E07570" w:rsidRDefault="005D6BD3" w:rsidP="003B73D7">
            <w:pPr>
              <w:tabs>
                <w:tab w:val="left" w:pos="1134"/>
              </w:tabs>
              <w:spacing w:before="60" w:after="60" w:line="220" w:lineRule="exact"/>
              <w:ind w:left="57" w:right="57"/>
              <w:jc w:val="center"/>
              <w:rPr>
                <w:bCs/>
              </w:rPr>
            </w:pPr>
            <w:r w:rsidRPr="00E07570">
              <w:rPr>
                <w:bCs/>
              </w:rPr>
              <w:t>0</w:t>
            </w:r>
          </w:p>
        </w:tc>
      </w:tr>
      <w:tr w:rsidR="005D6BD3" w:rsidRPr="00E07570" w:rsidTr="00266D8F">
        <w:tc>
          <w:tcPr>
            <w:tcW w:w="704" w:type="dxa"/>
          </w:tcPr>
          <w:p w:rsidR="005D6BD3" w:rsidRPr="00E07570" w:rsidRDefault="005D6BD3" w:rsidP="003B73D7">
            <w:pPr>
              <w:tabs>
                <w:tab w:val="left" w:pos="1134"/>
              </w:tabs>
              <w:spacing w:before="60" w:after="60" w:line="220" w:lineRule="exact"/>
              <w:ind w:left="57" w:right="57"/>
              <w:jc w:val="center"/>
              <w:rPr>
                <w:b/>
                <w:bCs/>
              </w:rPr>
            </w:pPr>
            <w:r w:rsidRPr="00E07570">
              <w:rPr>
                <w:b/>
                <w:bCs/>
              </w:rPr>
              <w:t>B</w:t>
            </w:r>
          </w:p>
        </w:tc>
        <w:tc>
          <w:tcPr>
            <w:tcW w:w="1134" w:type="dxa"/>
          </w:tcPr>
          <w:p w:rsidR="005D6BD3" w:rsidRPr="00E07570" w:rsidRDefault="005D6BD3" w:rsidP="003B73D7">
            <w:pPr>
              <w:tabs>
                <w:tab w:val="left" w:pos="1134"/>
              </w:tabs>
              <w:spacing w:before="60" w:after="60" w:line="220" w:lineRule="exact"/>
              <w:ind w:left="57" w:right="57"/>
              <w:jc w:val="center"/>
              <w:rPr>
                <w:bCs/>
              </w:rPr>
            </w:pPr>
            <w:r w:rsidRPr="00E07570">
              <w:rPr>
                <w:bCs/>
              </w:rPr>
              <w:t>32</w:t>
            </w:r>
          </w:p>
        </w:tc>
        <w:tc>
          <w:tcPr>
            <w:tcW w:w="1418" w:type="dxa"/>
          </w:tcPr>
          <w:p w:rsidR="005D6BD3" w:rsidRPr="00E07570" w:rsidRDefault="005D6BD3" w:rsidP="003B73D7">
            <w:pPr>
              <w:tabs>
                <w:tab w:val="left" w:pos="1134"/>
              </w:tabs>
              <w:spacing w:before="60" w:after="60" w:line="220" w:lineRule="exact"/>
              <w:ind w:left="57" w:right="57"/>
              <w:jc w:val="center"/>
              <w:rPr>
                <w:bCs/>
              </w:rPr>
            </w:pPr>
            <w:r w:rsidRPr="00E07570">
              <w:rPr>
                <w:bCs/>
              </w:rPr>
              <w:t>60</w:t>
            </w:r>
          </w:p>
        </w:tc>
      </w:tr>
      <w:tr w:rsidR="005D6BD3" w:rsidRPr="00E07570" w:rsidTr="00266D8F">
        <w:tc>
          <w:tcPr>
            <w:tcW w:w="704" w:type="dxa"/>
          </w:tcPr>
          <w:p w:rsidR="005D6BD3" w:rsidRPr="00E07570" w:rsidRDefault="005D6BD3" w:rsidP="003B73D7">
            <w:pPr>
              <w:tabs>
                <w:tab w:val="left" w:pos="1134"/>
              </w:tabs>
              <w:spacing w:before="60" w:after="60" w:line="220" w:lineRule="exact"/>
              <w:ind w:left="57" w:right="57"/>
              <w:jc w:val="center"/>
              <w:rPr>
                <w:b/>
                <w:bCs/>
              </w:rPr>
            </w:pPr>
            <w:r w:rsidRPr="00E07570">
              <w:rPr>
                <w:b/>
                <w:bCs/>
              </w:rPr>
              <w:t>C</w:t>
            </w:r>
          </w:p>
        </w:tc>
        <w:tc>
          <w:tcPr>
            <w:tcW w:w="1134" w:type="dxa"/>
          </w:tcPr>
          <w:p w:rsidR="005D6BD3" w:rsidRPr="00E07570" w:rsidRDefault="005D6BD3" w:rsidP="003B73D7">
            <w:pPr>
              <w:tabs>
                <w:tab w:val="left" w:pos="1134"/>
              </w:tabs>
              <w:spacing w:before="60" w:after="60" w:line="220" w:lineRule="exact"/>
              <w:ind w:left="57" w:right="57"/>
              <w:jc w:val="center"/>
              <w:rPr>
                <w:bCs/>
              </w:rPr>
            </w:pPr>
            <w:r w:rsidRPr="00E07570">
              <w:rPr>
                <w:bCs/>
              </w:rPr>
              <w:t>35</w:t>
            </w:r>
          </w:p>
        </w:tc>
        <w:tc>
          <w:tcPr>
            <w:tcW w:w="1418" w:type="dxa"/>
          </w:tcPr>
          <w:p w:rsidR="005D6BD3" w:rsidRPr="00E07570" w:rsidRDefault="005D6BD3" w:rsidP="003B73D7">
            <w:pPr>
              <w:tabs>
                <w:tab w:val="left" w:pos="1134"/>
              </w:tabs>
              <w:spacing w:before="60" w:after="60" w:line="220" w:lineRule="exact"/>
              <w:ind w:left="57" w:right="57"/>
              <w:jc w:val="center"/>
              <w:rPr>
                <w:bCs/>
              </w:rPr>
            </w:pPr>
            <w:r w:rsidRPr="00E07570">
              <w:rPr>
                <w:bCs/>
              </w:rPr>
              <w:t>60</w:t>
            </w:r>
          </w:p>
        </w:tc>
      </w:tr>
      <w:tr w:rsidR="005D6BD3" w:rsidRPr="00E07570" w:rsidTr="00266D8F">
        <w:tc>
          <w:tcPr>
            <w:tcW w:w="704" w:type="dxa"/>
          </w:tcPr>
          <w:p w:rsidR="005D6BD3" w:rsidRPr="00E07570" w:rsidRDefault="005D6BD3" w:rsidP="003B73D7">
            <w:pPr>
              <w:tabs>
                <w:tab w:val="left" w:pos="1134"/>
              </w:tabs>
              <w:spacing w:before="60" w:after="60" w:line="220" w:lineRule="exact"/>
              <w:ind w:left="57" w:right="57"/>
              <w:jc w:val="center"/>
              <w:rPr>
                <w:b/>
                <w:bCs/>
              </w:rPr>
            </w:pPr>
            <w:r w:rsidRPr="00E07570">
              <w:rPr>
                <w:b/>
                <w:bCs/>
              </w:rPr>
              <w:t>D</w:t>
            </w:r>
          </w:p>
        </w:tc>
        <w:tc>
          <w:tcPr>
            <w:tcW w:w="1134" w:type="dxa"/>
          </w:tcPr>
          <w:p w:rsidR="005D6BD3" w:rsidRPr="00E07570" w:rsidRDefault="005D6BD3" w:rsidP="003B73D7">
            <w:pPr>
              <w:tabs>
                <w:tab w:val="left" w:pos="1134"/>
              </w:tabs>
              <w:spacing w:before="60" w:after="60" w:line="220" w:lineRule="exact"/>
              <w:ind w:left="57" w:right="57"/>
              <w:jc w:val="center"/>
              <w:rPr>
                <w:bCs/>
              </w:rPr>
            </w:pPr>
            <w:r w:rsidRPr="00E07570">
              <w:rPr>
                <w:bCs/>
              </w:rPr>
              <w:t>46</w:t>
            </w:r>
          </w:p>
        </w:tc>
        <w:tc>
          <w:tcPr>
            <w:tcW w:w="1418" w:type="dxa"/>
          </w:tcPr>
          <w:p w:rsidR="005D6BD3" w:rsidRPr="00E07570" w:rsidRDefault="005D6BD3" w:rsidP="003B73D7">
            <w:pPr>
              <w:tabs>
                <w:tab w:val="left" w:pos="1134"/>
              </w:tabs>
              <w:spacing w:before="60" w:after="60" w:line="220" w:lineRule="exact"/>
              <w:ind w:left="57" w:right="57"/>
              <w:jc w:val="center"/>
              <w:rPr>
                <w:bCs/>
              </w:rPr>
            </w:pPr>
            <w:r w:rsidRPr="00E07570">
              <w:rPr>
                <w:bCs/>
              </w:rPr>
              <w:t>0</w:t>
            </w:r>
          </w:p>
        </w:tc>
      </w:tr>
      <w:tr w:rsidR="005D6BD3" w:rsidRPr="00E07570" w:rsidTr="00266D8F">
        <w:tc>
          <w:tcPr>
            <w:tcW w:w="704" w:type="dxa"/>
          </w:tcPr>
          <w:p w:rsidR="005D6BD3" w:rsidRPr="00E07570" w:rsidRDefault="005D6BD3" w:rsidP="003B73D7">
            <w:pPr>
              <w:tabs>
                <w:tab w:val="left" w:pos="1134"/>
              </w:tabs>
              <w:spacing w:before="60" w:after="60" w:line="220" w:lineRule="exact"/>
              <w:ind w:left="57" w:right="57"/>
              <w:jc w:val="center"/>
              <w:rPr>
                <w:b/>
                <w:bCs/>
              </w:rPr>
            </w:pPr>
            <w:r w:rsidRPr="00E07570">
              <w:rPr>
                <w:b/>
                <w:bCs/>
              </w:rPr>
              <w:t>E</w:t>
            </w:r>
          </w:p>
        </w:tc>
        <w:tc>
          <w:tcPr>
            <w:tcW w:w="1134" w:type="dxa"/>
          </w:tcPr>
          <w:p w:rsidR="005D6BD3" w:rsidRPr="00E07570" w:rsidRDefault="005D6BD3" w:rsidP="003B73D7">
            <w:pPr>
              <w:tabs>
                <w:tab w:val="left" w:pos="1134"/>
              </w:tabs>
              <w:spacing w:before="60" w:after="60" w:line="220" w:lineRule="exact"/>
              <w:ind w:left="57" w:right="57"/>
              <w:jc w:val="center"/>
              <w:rPr>
                <w:bCs/>
              </w:rPr>
            </w:pPr>
            <w:r w:rsidRPr="00E07570">
              <w:rPr>
                <w:bCs/>
              </w:rPr>
              <w:t>0</w:t>
            </w:r>
          </w:p>
        </w:tc>
        <w:tc>
          <w:tcPr>
            <w:tcW w:w="1418" w:type="dxa"/>
          </w:tcPr>
          <w:p w:rsidR="005D6BD3" w:rsidRPr="00E07570" w:rsidRDefault="005D6BD3" w:rsidP="003B73D7">
            <w:pPr>
              <w:tabs>
                <w:tab w:val="left" w:pos="1134"/>
              </w:tabs>
              <w:spacing w:before="60" w:after="60" w:line="220" w:lineRule="exact"/>
              <w:ind w:left="57" w:right="57"/>
              <w:jc w:val="center"/>
              <w:rPr>
                <w:bCs/>
              </w:rPr>
            </w:pPr>
            <w:r w:rsidRPr="00E07570">
              <w:rPr>
                <w:bCs/>
              </w:rPr>
              <w:t>16</w:t>
            </w:r>
          </w:p>
        </w:tc>
      </w:tr>
      <w:tr w:rsidR="005D6BD3" w:rsidRPr="00E07570" w:rsidTr="00266D8F">
        <w:tc>
          <w:tcPr>
            <w:tcW w:w="704" w:type="dxa"/>
          </w:tcPr>
          <w:p w:rsidR="005D6BD3" w:rsidRPr="00E07570" w:rsidRDefault="005D6BD3" w:rsidP="003B73D7">
            <w:pPr>
              <w:tabs>
                <w:tab w:val="left" w:pos="1134"/>
              </w:tabs>
              <w:spacing w:before="60" w:after="60" w:line="220" w:lineRule="exact"/>
              <w:ind w:left="57" w:right="57"/>
              <w:jc w:val="center"/>
              <w:rPr>
                <w:b/>
                <w:bCs/>
              </w:rPr>
            </w:pPr>
            <w:r w:rsidRPr="00E07570">
              <w:rPr>
                <w:b/>
                <w:bCs/>
              </w:rPr>
              <w:t>F</w:t>
            </w:r>
          </w:p>
        </w:tc>
        <w:tc>
          <w:tcPr>
            <w:tcW w:w="1134" w:type="dxa"/>
          </w:tcPr>
          <w:p w:rsidR="005D6BD3" w:rsidRPr="00E07570" w:rsidRDefault="005D6BD3" w:rsidP="003B73D7">
            <w:pPr>
              <w:tabs>
                <w:tab w:val="left" w:pos="1134"/>
              </w:tabs>
              <w:spacing w:before="60" w:after="60" w:line="220" w:lineRule="exact"/>
              <w:ind w:left="57" w:right="57"/>
              <w:jc w:val="center"/>
              <w:rPr>
                <w:bCs/>
              </w:rPr>
            </w:pPr>
            <w:r w:rsidRPr="00E07570">
              <w:rPr>
                <w:bCs/>
              </w:rPr>
              <w:t>25</w:t>
            </w:r>
          </w:p>
        </w:tc>
        <w:tc>
          <w:tcPr>
            <w:tcW w:w="1418" w:type="dxa"/>
          </w:tcPr>
          <w:p w:rsidR="005D6BD3" w:rsidRPr="00E07570" w:rsidRDefault="005D6BD3" w:rsidP="003B73D7">
            <w:pPr>
              <w:tabs>
                <w:tab w:val="left" w:pos="1134"/>
              </w:tabs>
              <w:spacing w:before="60" w:after="60" w:line="220" w:lineRule="exact"/>
              <w:ind w:left="57" w:right="57"/>
              <w:jc w:val="center"/>
              <w:rPr>
                <w:bCs/>
              </w:rPr>
            </w:pPr>
            <w:r w:rsidRPr="00E07570">
              <w:rPr>
                <w:bCs/>
              </w:rPr>
              <w:t>77</w:t>
            </w:r>
          </w:p>
        </w:tc>
      </w:tr>
      <w:tr w:rsidR="005D6BD3" w:rsidRPr="00E07570" w:rsidTr="00266D8F">
        <w:tc>
          <w:tcPr>
            <w:tcW w:w="704" w:type="dxa"/>
            <w:tcBorders>
              <w:bottom w:val="single" w:sz="4" w:space="0" w:color="auto"/>
            </w:tcBorders>
          </w:tcPr>
          <w:p w:rsidR="005D6BD3" w:rsidRPr="00E07570" w:rsidRDefault="005D6BD3" w:rsidP="003B73D7">
            <w:pPr>
              <w:tabs>
                <w:tab w:val="left" w:pos="1134"/>
              </w:tabs>
              <w:spacing w:before="60" w:after="60" w:line="220" w:lineRule="exact"/>
              <w:ind w:left="57" w:right="57"/>
              <w:jc w:val="center"/>
              <w:rPr>
                <w:b/>
                <w:bCs/>
              </w:rPr>
            </w:pPr>
            <w:r w:rsidRPr="00E07570">
              <w:rPr>
                <w:b/>
                <w:bCs/>
              </w:rPr>
              <w:t>G</w:t>
            </w:r>
          </w:p>
        </w:tc>
        <w:tc>
          <w:tcPr>
            <w:tcW w:w="1134" w:type="dxa"/>
            <w:tcBorders>
              <w:bottom w:val="single" w:sz="4" w:space="0" w:color="auto"/>
            </w:tcBorders>
          </w:tcPr>
          <w:p w:rsidR="005D6BD3" w:rsidRPr="00E07570" w:rsidRDefault="005D6BD3" w:rsidP="003B73D7">
            <w:pPr>
              <w:tabs>
                <w:tab w:val="left" w:pos="1134"/>
              </w:tabs>
              <w:spacing w:before="60" w:after="60" w:line="220" w:lineRule="exact"/>
              <w:ind w:left="57" w:right="57"/>
              <w:jc w:val="center"/>
              <w:rPr>
                <w:bCs/>
              </w:rPr>
            </w:pPr>
            <w:r w:rsidRPr="00E07570">
              <w:rPr>
                <w:bCs/>
              </w:rPr>
              <w:t>47</w:t>
            </w:r>
          </w:p>
        </w:tc>
        <w:tc>
          <w:tcPr>
            <w:tcW w:w="1418" w:type="dxa"/>
            <w:tcBorders>
              <w:bottom w:val="single" w:sz="4" w:space="0" w:color="auto"/>
            </w:tcBorders>
          </w:tcPr>
          <w:p w:rsidR="005D6BD3" w:rsidRPr="00E07570" w:rsidRDefault="005D6BD3" w:rsidP="003B73D7">
            <w:pPr>
              <w:tabs>
                <w:tab w:val="left" w:pos="1134"/>
              </w:tabs>
              <w:spacing w:before="60" w:after="60" w:line="220" w:lineRule="exact"/>
              <w:ind w:left="57" w:right="57"/>
              <w:jc w:val="center"/>
              <w:rPr>
                <w:bCs/>
              </w:rPr>
            </w:pPr>
            <w:r w:rsidRPr="00E07570">
              <w:rPr>
                <w:bCs/>
              </w:rPr>
              <w:t>77</w:t>
            </w:r>
          </w:p>
        </w:tc>
      </w:tr>
      <w:tr w:rsidR="005D6BD3" w:rsidRPr="00E07570" w:rsidTr="00266D8F">
        <w:tc>
          <w:tcPr>
            <w:tcW w:w="704" w:type="dxa"/>
            <w:tcBorders>
              <w:bottom w:val="single" w:sz="12" w:space="0" w:color="auto"/>
            </w:tcBorders>
          </w:tcPr>
          <w:p w:rsidR="005D6BD3" w:rsidRPr="00E07570" w:rsidRDefault="005D6BD3" w:rsidP="003B73D7">
            <w:pPr>
              <w:tabs>
                <w:tab w:val="left" w:pos="1134"/>
              </w:tabs>
              <w:spacing w:before="60" w:after="60" w:line="220" w:lineRule="exact"/>
              <w:ind w:left="57" w:right="57"/>
              <w:jc w:val="center"/>
              <w:rPr>
                <w:b/>
                <w:bCs/>
              </w:rPr>
            </w:pPr>
            <w:r w:rsidRPr="00E07570">
              <w:rPr>
                <w:b/>
                <w:bCs/>
              </w:rPr>
              <w:t>H</w:t>
            </w:r>
          </w:p>
        </w:tc>
        <w:tc>
          <w:tcPr>
            <w:tcW w:w="1134" w:type="dxa"/>
            <w:tcBorders>
              <w:bottom w:val="single" w:sz="12" w:space="0" w:color="auto"/>
            </w:tcBorders>
          </w:tcPr>
          <w:p w:rsidR="005D6BD3" w:rsidRPr="00E07570" w:rsidRDefault="005D6BD3" w:rsidP="003B73D7">
            <w:pPr>
              <w:tabs>
                <w:tab w:val="left" w:pos="1134"/>
              </w:tabs>
              <w:spacing w:before="60" w:after="60" w:line="220" w:lineRule="exact"/>
              <w:ind w:left="57" w:right="57"/>
              <w:jc w:val="center"/>
              <w:rPr>
                <w:bCs/>
              </w:rPr>
            </w:pPr>
            <w:r w:rsidRPr="00E07570">
              <w:rPr>
                <w:bCs/>
              </w:rPr>
              <w:t>60</w:t>
            </w:r>
          </w:p>
        </w:tc>
        <w:tc>
          <w:tcPr>
            <w:tcW w:w="1418" w:type="dxa"/>
            <w:tcBorders>
              <w:bottom w:val="single" w:sz="12" w:space="0" w:color="auto"/>
            </w:tcBorders>
          </w:tcPr>
          <w:p w:rsidR="005D6BD3" w:rsidRPr="00E07570" w:rsidRDefault="005D6BD3" w:rsidP="003B73D7">
            <w:pPr>
              <w:tabs>
                <w:tab w:val="left" w:pos="1134"/>
              </w:tabs>
              <w:spacing w:before="60" w:after="60" w:line="220" w:lineRule="exact"/>
              <w:ind w:left="57" w:right="57"/>
              <w:jc w:val="center"/>
              <w:rPr>
                <w:bCs/>
              </w:rPr>
            </w:pPr>
            <w:r w:rsidRPr="00E07570">
              <w:rPr>
                <w:bCs/>
              </w:rPr>
              <w:t>0</w:t>
            </w:r>
          </w:p>
        </w:tc>
      </w:tr>
    </w:tbl>
    <w:p w:rsidR="005D6BD3" w:rsidRPr="00E07570" w:rsidRDefault="005D6BD3" w:rsidP="001A6666">
      <w:pPr>
        <w:pStyle w:val="SingleTxtG"/>
      </w:pPr>
    </w:p>
    <w:p w:rsidR="00B20909" w:rsidRPr="00E07570" w:rsidRDefault="00B20909" w:rsidP="00290201">
      <w:pPr>
        <w:pStyle w:val="SingleTxtG"/>
        <w:rPr>
          <w:vertAlign w:val="superscript"/>
        </w:rPr>
        <w:sectPr w:rsidR="00B20909" w:rsidRPr="00E07570" w:rsidSect="00CF30E3">
          <w:footnotePr>
            <w:numRestart w:val="eachSect"/>
          </w:footnotePr>
          <w:endnotePr>
            <w:numFmt w:val="decimal"/>
          </w:endnotePr>
          <w:pgSz w:w="11907" w:h="16840" w:code="9"/>
          <w:pgMar w:top="1701" w:right="1134" w:bottom="2268" w:left="1134" w:header="1134" w:footer="1701" w:gutter="0"/>
          <w:cols w:space="720"/>
          <w:docGrid w:linePitch="326"/>
        </w:sectPr>
      </w:pPr>
    </w:p>
    <w:p w:rsidR="00290201" w:rsidRPr="00E07570" w:rsidRDefault="00831FDD" w:rsidP="00831FDD">
      <w:pPr>
        <w:pStyle w:val="HChG"/>
      </w:pPr>
      <w:r w:rsidRPr="00E07570">
        <w:t xml:space="preserve">Annexe </w:t>
      </w:r>
      <w:r w:rsidR="000059DF" w:rsidRPr="00E07570">
        <w:t>10</w:t>
      </w:r>
    </w:p>
    <w:p w:rsidR="000059DF" w:rsidRPr="00E07570" w:rsidRDefault="000059DF" w:rsidP="000059DF">
      <w:pPr>
        <w:pStyle w:val="HChG"/>
      </w:pPr>
      <w:r w:rsidRPr="00E07570">
        <w:tab/>
      </w:r>
      <w:r w:rsidRPr="00E07570">
        <w:tab/>
        <w:t>Méthodes d</w:t>
      </w:r>
      <w:r w:rsidR="00145E4B">
        <w:t>’</w:t>
      </w:r>
      <w:r w:rsidRPr="00E07570">
        <w:t>essai pour les solutions de navigation</w:t>
      </w:r>
    </w:p>
    <w:p w:rsidR="00F37098" w:rsidRPr="00E07570" w:rsidRDefault="00F37098" w:rsidP="00F37098">
      <w:pPr>
        <w:pStyle w:val="SingleTxtG"/>
      </w:pPr>
      <w:r w:rsidRPr="00E07570">
        <w:t>Les essais visés dans la présente annexe ont pour objet de vérifier la conformité des caractéristiques de navigation de l</w:t>
      </w:r>
      <w:r w:rsidR="00145E4B">
        <w:t>’</w:t>
      </w:r>
      <w:r w:rsidRPr="00E07570">
        <w:t>AECD/AECS calculées par le récepteur GNSS.</w:t>
      </w:r>
    </w:p>
    <w:p w:rsidR="00F37098" w:rsidRPr="00E07570" w:rsidRDefault="00F37098" w:rsidP="00451268">
      <w:pPr>
        <w:pStyle w:val="SingleTxtG"/>
        <w:ind w:left="2268" w:hanging="1134"/>
      </w:pPr>
      <w:r w:rsidRPr="00E07570">
        <w:t>1.</w:t>
      </w:r>
      <w:r w:rsidRPr="00E07570">
        <w:tab/>
        <w:t>Conditions d</w:t>
      </w:r>
      <w:r w:rsidR="00145E4B">
        <w:t>’</w:t>
      </w:r>
      <w:r w:rsidRPr="00E07570">
        <w:t>essai</w:t>
      </w:r>
    </w:p>
    <w:p w:rsidR="00F37098" w:rsidRPr="00E07570" w:rsidRDefault="00F37098" w:rsidP="00451268">
      <w:pPr>
        <w:pStyle w:val="SingleTxtG"/>
        <w:ind w:left="2268" w:hanging="1134"/>
      </w:pPr>
      <w:r w:rsidRPr="00E07570">
        <w:t>1.1</w:t>
      </w:r>
      <w:r w:rsidRPr="00E07570">
        <w:tab/>
        <w:t>L</w:t>
      </w:r>
      <w:r w:rsidR="00145E4B">
        <w:t>’</w:t>
      </w:r>
      <w:r w:rsidRPr="00E07570">
        <w:t>essai porte sur l</w:t>
      </w:r>
      <w:r w:rsidR="00145E4B">
        <w:t>’</w:t>
      </w:r>
      <w:r w:rsidRPr="00E07570">
        <w:t>AECD/AECS, qui comprend un récepteur GNSS et une antenne GNSS, en précisant les caractéristiques de navigation et celles du système soumis à l</w:t>
      </w:r>
      <w:r w:rsidR="00145E4B">
        <w:t>’</w:t>
      </w:r>
      <w:r w:rsidRPr="00E07570">
        <w:t>essai.</w:t>
      </w:r>
    </w:p>
    <w:p w:rsidR="00F37098" w:rsidRPr="00E07570" w:rsidRDefault="00F37098" w:rsidP="00451268">
      <w:pPr>
        <w:pStyle w:val="SingleTxtG"/>
        <w:ind w:left="2268" w:hanging="1134"/>
      </w:pPr>
      <w:r w:rsidRPr="00E07570">
        <w:t>1.1.1</w:t>
      </w:r>
      <w:r w:rsidRPr="00E07570">
        <w:tab/>
        <w:t>Les échantillons d</w:t>
      </w:r>
      <w:r w:rsidR="00145E4B">
        <w:t>’</w:t>
      </w:r>
      <w:r w:rsidRPr="00E07570">
        <w:t>AECD/AECS doivent être au nombre de trois et peuvent être soumis à des essais en parallèle.</w:t>
      </w:r>
    </w:p>
    <w:p w:rsidR="00F37098" w:rsidRPr="00E07570" w:rsidRDefault="00F37098" w:rsidP="00451268">
      <w:pPr>
        <w:pStyle w:val="SingleTxtG"/>
        <w:ind w:left="2268" w:hanging="1134"/>
      </w:pPr>
      <w:r w:rsidRPr="00E07570">
        <w:t>1.1.2</w:t>
      </w:r>
      <w:r w:rsidRPr="00E07570">
        <w:tab/>
        <w:t>L</w:t>
      </w:r>
      <w:r w:rsidR="00145E4B">
        <w:t>’</w:t>
      </w:r>
      <w:r w:rsidRPr="00E07570">
        <w:t>AECD/AECS est soumis à l</w:t>
      </w:r>
      <w:r w:rsidR="00145E4B">
        <w:t>’</w:t>
      </w:r>
      <w:r w:rsidRPr="00E07570">
        <w:t>essai muni d</w:t>
      </w:r>
      <w:r w:rsidR="00145E4B">
        <w:t>’</w:t>
      </w:r>
      <w:r w:rsidRPr="00E07570">
        <w:t>une carte SIM, et accompagné du mode d</w:t>
      </w:r>
      <w:r w:rsidR="00145E4B">
        <w:t>’</w:t>
      </w:r>
      <w:r w:rsidRPr="00E07570">
        <w:t>emploi et du logiciel nécessaire (fourn</w:t>
      </w:r>
      <w:r w:rsidR="004545F1" w:rsidRPr="00E07570">
        <w:t>i sur un support électronique).</w:t>
      </w:r>
    </w:p>
    <w:p w:rsidR="00F37098" w:rsidRPr="00E07570" w:rsidRDefault="00F37098" w:rsidP="00451268">
      <w:pPr>
        <w:pStyle w:val="SingleTxtG"/>
        <w:ind w:left="2268" w:hanging="1134"/>
      </w:pPr>
      <w:r w:rsidRPr="00E07570">
        <w:t>1.1.3</w:t>
      </w:r>
      <w:r w:rsidRPr="00E07570">
        <w:tab/>
        <w:t>Les documents joints doivent contenir les données suivantes :</w:t>
      </w:r>
    </w:p>
    <w:p w:rsidR="00F37098" w:rsidRPr="00E07570" w:rsidRDefault="00F37098" w:rsidP="00451268">
      <w:pPr>
        <w:pStyle w:val="SingleTxtG"/>
        <w:ind w:left="2268"/>
      </w:pPr>
      <w:r w:rsidRPr="00E07570">
        <w:t>a)</w:t>
      </w:r>
      <w:r w:rsidRPr="00E07570">
        <w:tab/>
        <w:t>Numéro de série du dispositif ;</w:t>
      </w:r>
    </w:p>
    <w:p w:rsidR="00F37098" w:rsidRPr="00E07570" w:rsidRDefault="00F37098" w:rsidP="00451268">
      <w:pPr>
        <w:pStyle w:val="SingleTxtG"/>
        <w:ind w:left="2268"/>
      </w:pPr>
      <w:r w:rsidRPr="00E07570">
        <w:t>b)</w:t>
      </w:r>
      <w:r w:rsidRPr="00E07570">
        <w:tab/>
        <w:t>Version matériel ;</w:t>
      </w:r>
    </w:p>
    <w:p w:rsidR="00F37098" w:rsidRPr="00E07570" w:rsidRDefault="00F37098" w:rsidP="00451268">
      <w:pPr>
        <w:pStyle w:val="SingleTxtG"/>
        <w:ind w:left="2268"/>
      </w:pPr>
      <w:r w:rsidRPr="00E07570">
        <w:t>c)</w:t>
      </w:r>
      <w:r w:rsidRPr="00E07570">
        <w:tab/>
        <w:t>Version du logiciel ;</w:t>
      </w:r>
    </w:p>
    <w:p w:rsidR="00F37098" w:rsidRPr="00E07570" w:rsidRDefault="00F37098" w:rsidP="00451268">
      <w:pPr>
        <w:pStyle w:val="SingleTxtG"/>
        <w:ind w:left="2268"/>
      </w:pPr>
      <w:r w:rsidRPr="00E07570">
        <w:t>d)</w:t>
      </w:r>
      <w:r w:rsidRPr="00E07570">
        <w:tab/>
        <w:t>Le numéro d</w:t>
      </w:r>
      <w:r w:rsidR="00145E4B">
        <w:t>’</w:t>
      </w:r>
      <w:r w:rsidRPr="00E07570">
        <w:t>identification du fournisseur du dispositif ;</w:t>
      </w:r>
    </w:p>
    <w:p w:rsidR="00F37098" w:rsidRPr="00E07570" w:rsidRDefault="00F37098" w:rsidP="00451268">
      <w:pPr>
        <w:pStyle w:val="SingleTxtG"/>
        <w:ind w:left="2268"/>
      </w:pPr>
      <w:r w:rsidRPr="00E07570">
        <w:t>e)</w:t>
      </w:r>
      <w:r w:rsidRPr="00E07570">
        <w:tab/>
        <w:t>Des documents techniques nécessaires pour effectuer les essais.</w:t>
      </w:r>
    </w:p>
    <w:p w:rsidR="00F37098" w:rsidRPr="00E07570" w:rsidRDefault="00F37098" w:rsidP="00451268">
      <w:pPr>
        <w:pStyle w:val="SingleTxtG"/>
        <w:ind w:left="2268" w:hanging="1134"/>
      </w:pPr>
      <w:r w:rsidRPr="00E07570">
        <w:t>1.1.4</w:t>
      </w:r>
      <w:r w:rsidRPr="00E07570">
        <w:tab/>
        <w:t>Les essais sont effectués dans des conditions climatiques normales conformément à la norme ISO 16750-1:2006 :</w:t>
      </w:r>
    </w:p>
    <w:p w:rsidR="00F37098" w:rsidRPr="00E07570" w:rsidRDefault="00F37098" w:rsidP="00451268">
      <w:pPr>
        <w:pStyle w:val="SingleTxtG"/>
        <w:ind w:left="2268"/>
      </w:pPr>
      <w:r w:rsidRPr="00E07570">
        <w:t>a)</w:t>
      </w:r>
      <w:r w:rsidRPr="00E07570">
        <w:tab/>
        <w:t>Température de l</w:t>
      </w:r>
      <w:r w:rsidR="00145E4B">
        <w:t>’</w:t>
      </w:r>
      <w:r w:rsidRPr="00E07570">
        <w:t>air égale à 23 </w:t>
      </w:r>
      <w:r w:rsidRPr="00E07570">
        <w:sym w:font="Symbol" w:char="F0B1"/>
      </w:r>
      <w:r w:rsidRPr="00E07570">
        <w:t> 5 °C ;</w:t>
      </w:r>
    </w:p>
    <w:p w:rsidR="00F37098" w:rsidRPr="00E07570" w:rsidRDefault="00F37098" w:rsidP="00451268">
      <w:pPr>
        <w:pStyle w:val="SingleTxtG"/>
        <w:ind w:left="2268"/>
      </w:pPr>
      <w:r w:rsidRPr="00E07570">
        <w:t>b)</w:t>
      </w:r>
      <w:r w:rsidRPr="00E07570">
        <w:tab/>
        <w:t>Hygrométrie relative de l</w:t>
      </w:r>
      <w:r w:rsidR="00145E4B">
        <w:t>’</w:t>
      </w:r>
      <w:r w:rsidRPr="00E07570">
        <w:t>air comprise entre 25</w:t>
      </w:r>
      <w:r w:rsidR="00DE7470" w:rsidRPr="00E07570">
        <w:t xml:space="preserve"> % </w:t>
      </w:r>
      <w:r w:rsidRPr="00E07570">
        <w:t>et 75 %.</w:t>
      </w:r>
    </w:p>
    <w:p w:rsidR="00451268" w:rsidRPr="00E07570" w:rsidRDefault="00F37098" w:rsidP="00451268">
      <w:pPr>
        <w:pStyle w:val="SingleTxtG"/>
        <w:ind w:left="2268" w:hanging="1134"/>
      </w:pPr>
      <w:r w:rsidRPr="00E07570">
        <w:t>1.1.5</w:t>
      </w:r>
      <w:r w:rsidRPr="00E07570">
        <w:tab/>
        <w:t>Les essais effectués sur l</w:t>
      </w:r>
      <w:r w:rsidR="00145E4B">
        <w:t>’</w:t>
      </w:r>
      <w:r w:rsidRPr="00E07570">
        <w:t>AECD/AECS en ce qui concerne le récepteur GNSS doivent être effectués avec le matériel d</w:t>
      </w:r>
      <w:r w:rsidR="00145E4B">
        <w:t>’</w:t>
      </w:r>
      <w:r w:rsidRPr="00E07570">
        <w:t>essai et les accessoires visés au tableau </w:t>
      </w:r>
      <w:r w:rsidRPr="00E07570">
        <w:rPr>
          <w:b/>
        </w:rPr>
        <w:t>6</w:t>
      </w:r>
      <w:r w:rsidRPr="00E07570">
        <w:t>.</w:t>
      </w:r>
    </w:p>
    <w:p w:rsidR="000059DF" w:rsidRPr="00E07570" w:rsidRDefault="00451268" w:rsidP="00451268">
      <w:pPr>
        <w:pStyle w:val="Heading1"/>
        <w:spacing w:after="120"/>
        <w:rPr>
          <w:b/>
        </w:rPr>
      </w:pPr>
      <w:r w:rsidRPr="00E07570">
        <w:br w:type="page"/>
        <w:t xml:space="preserve">Tableau </w:t>
      </w:r>
      <w:r w:rsidRPr="00E07570">
        <w:rPr>
          <w:b/>
        </w:rPr>
        <w:t>6</w:t>
      </w:r>
      <w:r w:rsidRPr="00E07570">
        <w:br/>
      </w:r>
      <w:r w:rsidRPr="00E07570">
        <w:rPr>
          <w:b/>
        </w:rPr>
        <w:t>Liste recommandée des instruments de mesure, du matériel d</w:t>
      </w:r>
      <w:r w:rsidR="00145E4B">
        <w:rPr>
          <w:b/>
        </w:rPr>
        <w:t>’</w:t>
      </w:r>
      <w:r w:rsidRPr="00E07570">
        <w:rPr>
          <w:b/>
        </w:rPr>
        <w:t>essai et des accessoires</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65"/>
        <w:gridCol w:w="2423"/>
        <w:gridCol w:w="3282"/>
      </w:tblGrid>
      <w:tr w:rsidR="00451268" w:rsidRPr="00E07570" w:rsidTr="006B5502">
        <w:trPr>
          <w:cantSplit/>
          <w:trHeight w:val="453"/>
          <w:tblHeader/>
        </w:trPr>
        <w:tc>
          <w:tcPr>
            <w:tcW w:w="1665" w:type="dxa"/>
            <w:vMerge w:val="restart"/>
            <w:shd w:val="clear" w:color="auto" w:fill="auto"/>
            <w:tcMar>
              <w:left w:w="28" w:type="dxa"/>
              <w:right w:w="28" w:type="dxa"/>
            </w:tcMar>
            <w:vAlign w:val="bottom"/>
          </w:tcPr>
          <w:p w:rsidR="00451268" w:rsidRPr="00E07570" w:rsidRDefault="00451268" w:rsidP="006B5502">
            <w:pPr>
              <w:spacing w:before="80" w:after="80" w:line="200" w:lineRule="exact"/>
              <w:ind w:left="57" w:right="57"/>
              <w:rPr>
                <w:i/>
                <w:sz w:val="16"/>
              </w:rPr>
            </w:pPr>
            <w:r w:rsidRPr="00E07570">
              <w:rPr>
                <w:i/>
                <w:sz w:val="16"/>
              </w:rPr>
              <w:t>Nom de l</w:t>
            </w:r>
            <w:r w:rsidR="00145E4B">
              <w:rPr>
                <w:i/>
                <w:sz w:val="16"/>
              </w:rPr>
              <w:t>’</w:t>
            </w:r>
            <w:r w:rsidRPr="00E07570">
              <w:rPr>
                <w:i/>
                <w:sz w:val="16"/>
              </w:rPr>
              <w:t>équipement</w:t>
            </w:r>
          </w:p>
        </w:tc>
        <w:tc>
          <w:tcPr>
            <w:tcW w:w="5705" w:type="dxa"/>
            <w:gridSpan w:val="2"/>
            <w:shd w:val="clear" w:color="auto" w:fill="auto"/>
            <w:tcMar>
              <w:left w:w="28" w:type="dxa"/>
              <w:right w:w="28" w:type="dxa"/>
            </w:tcMar>
          </w:tcPr>
          <w:p w:rsidR="00451268" w:rsidRPr="00E07570" w:rsidRDefault="00451268" w:rsidP="006B5502">
            <w:pPr>
              <w:spacing w:before="80" w:after="80" w:line="200" w:lineRule="exact"/>
              <w:ind w:left="57" w:right="57"/>
              <w:jc w:val="center"/>
              <w:rPr>
                <w:i/>
                <w:sz w:val="16"/>
              </w:rPr>
            </w:pPr>
            <w:r w:rsidRPr="00E07570">
              <w:rPr>
                <w:i/>
                <w:sz w:val="16"/>
              </w:rPr>
              <w:t>Caractéristiques techniques requises du matériel d</w:t>
            </w:r>
            <w:r w:rsidR="00145E4B">
              <w:rPr>
                <w:i/>
                <w:sz w:val="16"/>
              </w:rPr>
              <w:t>’</w:t>
            </w:r>
            <w:r w:rsidRPr="00E07570">
              <w:rPr>
                <w:i/>
                <w:sz w:val="16"/>
              </w:rPr>
              <w:t>essai</w:t>
            </w:r>
          </w:p>
        </w:tc>
      </w:tr>
      <w:tr w:rsidR="00451268" w:rsidRPr="00E07570" w:rsidTr="00451268">
        <w:trPr>
          <w:cantSplit/>
          <w:tblHeader/>
        </w:trPr>
        <w:tc>
          <w:tcPr>
            <w:tcW w:w="1665" w:type="dxa"/>
            <w:vMerge/>
            <w:tcBorders>
              <w:bottom w:val="single" w:sz="12" w:space="0" w:color="auto"/>
            </w:tcBorders>
            <w:shd w:val="clear" w:color="auto" w:fill="auto"/>
            <w:tcMar>
              <w:left w:w="28" w:type="dxa"/>
              <w:right w:w="28" w:type="dxa"/>
            </w:tcMar>
          </w:tcPr>
          <w:p w:rsidR="00451268" w:rsidRPr="00E07570" w:rsidRDefault="00451268" w:rsidP="006B5502">
            <w:pPr>
              <w:spacing w:before="80" w:after="80" w:line="200" w:lineRule="exact"/>
              <w:ind w:left="57" w:right="57"/>
              <w:rPr>
                <w:lang w:eastAsia="ru-RU"/>
              </w:rPr>
            </w:pPr>
          </w:p>
        </w:tc>
        <w:tc>
          <w:tcPr>
            <w:tcW w:w="2423" w:type="dxa"/>
            <w:tcBorders>
              <w:bottom w:val="single" w:sz="12" w:space="0" w:color="auto"/>
            </w:tcBorders>
            <w:shd w:val="clear" w:color="auto" w:fill="auto"/>
            <w:tcMar>
              <w:left w:w="28" w:type="dxa"/>
              <w:right w:w="28" w:type="dxa"/>
            </w:tcMar>
          </w:tcPr>
          <w:p w:rsidR="00451268" w:rsidRPr="00E07570" w:rsidRDefault="00451268" w:rsidP="00683B03">
            <w:pPr>
              <w:spacing w:before="80" w:after="80" w:line="200" w:lineRule="exact"/>
              <w:ind w:left="57" w:right="57"/>
              <w:jc w:val="center"/>
              <w:rPr>
                <w:i/>
                <w:sz w:val="16"/>
              </w:rPr>
            </w:pPr>
            <w:r w:rsidRPr="00E07570">
              <w:rPr>
                <w:i/>
                <w:sz w:val="16"/>
              </w:rPr>
              <w:t>Plage de mesure</w:t>
            </w:r>
          </w:p>
        </w:tc>
        <w:tc>
          <w:tcPr>
            <w:tcW w:w="3282" w:type="dxa"/>
            <w:tcBorders>
              <w:bottom w:val="single" w:sz="12" w:space="0" w:color="auto"/>
            </w:tcBorders>
            <w:shd w:val="clear" w:color="auto" w:fill="auto"/>
            <w:tcMar>
              <w:left w:w="28" w:type="dxa"/>
              <w:right w:w="28" w:type="dxa"/>
            </w:tcMar>
          </w:tcPr>
          <w:p w:rsidR="00451268" w:rsidRPr="00E07570" w:rsidRDefault="00451268" w:rsidP="00683B03">
            <w:pPr>
              <w:spacing w:before="80" w:after="80" w:line="200" w:lineRule="exact"/>
              <w:ind w:left="57"/>
              <w:jc w:val="center"/>
              <w:rPr>
                <w:i/>
                <w:sz w:val="16"/>
              </w:rPr>
            </w:pPr>
            <w:r w:rsidRPr="00E07570">
              <w:rPr>
                <w:i/>
                <w:sz w:val="16"/>
              </w:rPr>
              <w:t>Exactitude de la mise à l</w:t>
            </w:r>
            <w:r w:rsidR="00145E4B">
              <w:rPr>
                <w:i/>
                <w:sz w:val="16"/>
              </w:rPr>
              <w:t>’</w:t>
            </w:r>
            <w:r w:rsidRPr="00E07570">
              <w:rPr>
                <w:i/>
                <w:sz w:val="16"/>
              </w:rPr>
              <w:t>échelle</w:t>
            </w:r>
          </w:p>
        </w:tc>
      </w:tr>
      <w:tr w:rsidR="00451268" w:rsidRPr="00E07570" w:rsidTr="00451268">
        <w:trPr>
          <w:cantSplit/>
        </w:trPr>
        <w:tc>
          <w:tcPr>
            <w:tcW w:w="1665" w:type="dxa"/>
            <w:tcBorders>
              <w:top w:val="single" w:sz="12" w:space="0" w:color="auto"/>
            </w:tcBorders>
            <w:shd w:val="clear" w:color="auto" w:fill="auto"/>
            <w:tcMar>
              <w:left w:w="28" w:type="dxa"/>
              <w:right w:w="0" w:type="dxa"/>
            </w:tcMar>
          </w:tcPr>
          <w:p w:rsidR="00451268" w:rsidRPr="00E07570" w:rsidRDefault="00451268" w:rsidP="006B5502">
            <w:pPr>
              <w:spacing w:before="60" w:after="60"/>
              <w:ind w:left="57" w:right="57"/>
              <w:rPr>
                <w:lang w:eastAsia="ru-RU"/>
              </w:rPr>
            </w:pPr>
            <w:r w:rsidRPr="00E07570">
              <w:rPr>
                <w:lang w:eastAsia="ru-RU"/>
              </w:rPr>
              <w:t xml:space="preserve">Simulateur </w:t>
            </w:r>
            <w:r w:rsidRPr="00E07570">
              <w:rPr>
                <w:lang w:eastAsia="ru-RU"/>
              </w:rPr>
              <w:br/>
              <w:t xml:space="preserve">de signaux </w:t>
            </w:r>
            <w:r w:rsidRPr="00E07570">
              <w:rPr>
                <w:lang w:eastAsia="ru-RU"/>
              </w:rPr>
              <w:br/>
              <w:t xml:space="preserve">émis par des systèmes mondiaux </w:t>
            </w:r>
            <w:r w:rsidRPr="00E07570">
              <w:rPr>
                <w:lang w:eastAsia="ru-RU"/>
              </w:rPr>
              <w:br/>
              <w:t xml:space="preserve">de navigation </w:t>
            </w:r>
            <w:r w:rsidRPr="00E07570">
              <w:rPr>
                <w:lang w:eastAsia="ru-RU"/>
              </w:rPr>
              <w:br/>
              <w:t xml:space="preserve">par satellite comme GLONASS, </w:t>
            </w:r>
            <w:r w:rsidR="002B669D" w:rsidRPr="00E07570">
              <w:rPr>
                <w:lang w:eastAsia="ru-RU"/>
              </w:rPr>
              <w:t>Galileo</w:t>
            </w:r>
            <w:r w:rsidRPr="00E07570">
              <w:rPr>
                <w:lang w:eastAsia="ru-RU"/>
              </w:rPr>
              <w:t xml:space="preserve"> </w:t>
            </w:r>
            <w:r w:rsidRPr="00E07570">
              <w:rPr>
                <w:lang w:eastAsia="ru-RU"/>
              </w:rPr>
              <w:br/>
              <w:t>ou GPS</w:t>
            </w:r>
          </w:p>
        </w:tc>
        <w:tc>
          <w:tcPr>
            <w:tcW w:w="2423" w:type="dxa"/>
            <w:tcBorders>
              <w:top w:val="single" w:sz="12" w:space="0" w:color="auto"/>
            </w:tcBorders>
            <w:shd w:val="clear" w:color="auto" w:fill="auto"/>
            <w:tcMar>
              <w:left w:w="28" w:type="dxa"/>
              <w:right w:w="0" w:type="dxa"/>
            </w:tcMar>
          </w:tcPr>
          <w:p w:rsidR="00451268" w:rsidRPr="00E07570" w:rsidRDefault="00451268" w:rsidP="006B5502">
            <w:pPr>
              <w:spacing w:before="60" w:after="60"/>
              <w:ind w:left="57" w:right="57"/>
              <w:rPr>
                <w:lang w:eastAsia="ru-RU"/>
              </w:rPr>
            </w:pPr>
            <w:r w:rsidRPr="00E07570">
              <w:rPr>
                <w:lang w:eastAsia="ru-RU"/>
              </w:rPr>
              <w:t xml:space="preserve">Nombre de signaux simulés : 18 </w:t>
            </w:r>
            <w:proofErr w:type="gramStart"/>
            <w:r w:rsidRPr="00E07570">
              <w:rPr>
                <w:lang w:eastAsia="ru-RU"/>
              </w:rPr>
              <w:t>minimum</w:t>
            </w:r>
            <w:proofErr w:type="gramEnd"/>
          </w:p>
        </w:tc>
        <w:tc>
          <w:tcPr>
            <w:tcW w:w="3282" w:type="dxa"/>
            <w:tcBorders>
              <w:top w:val="single" w:sz="12" w:space="0" w:color="auto"/>
            </w:tcBorders>
            <w:shd w:val="clear" w:color="auto" w:fill="auto"/>
            <w:tcMar>
              <w:left w:w="28" w:type="dxa"/>
              <w:right w:w="0" w:type="dxa"/>
            </w:tcMar>
          </w:tcPr>
          <w:p w:rsidR="00451268" w:rsidRPr="00E07570" w:rsidRDefault="00451268" w:rsidP="006C6ACE">
            <w:pPr>
              <w:spacing w:before="60"/>
              <w:ind w:left="57" w:right="57"/>
              <w:rPr>
                <w:lang w:eastAsia="ru-RU"/>
              </w:rPr>
            </w:pPr>
            <w:r w:rsidRPr="00E07570">
              <w:rPr>
                <w:lang w:eastAsia="ru-RU"/>
              </w:rPr>
              <w:t>Erreur type maximum de l</w:t>
            </w:r>
            <w:r w:rsidR="00145E4B">
              <w:rPr>
                <w:lang w:eastAsia="ru-RU"/>
              </w:rPr>
              <w:t>’</w:t>
            </w:r>
            <w:r w:rsidRPr="00E07570">
              <w:rPr>
                <w:lang w:eastAsia="ru-RU"/>
              </w:rPr>
              <w:t>élément exactitude aléatoire de la pseudo</w:t>
            </w:r>
            <w:r w:rsidRPr="00E07570">
              <w:rPr>
                <w:lang w:eastAsia="ru-RU"/>
              </w:rPr>
              <w:noBreakHyphen/>
              <w:t>distance jusqu</w:t>
            </w:r>
            <w:r w:rsidR="00145E4B">
              <w:rPr>
                <w:lang w:eastAsia="ru-RU"/>
              </w:rPr>
              <w:t>’</w:t>
            </w:r>
            <w:r w:rsidRPr="00E07570">
              <w:rPr>
                <w:lang w:eastAsia="ru-RU"/>
              </w:rPr>
              <w:t xml:space="preserve">aux systèmes GLONASS, </w:t>
            </w:r>
            <w:r w:rsidR="002B669D" w:rsidRPr="00E07570">
              <w:rPr>
                <w:lang w:eastAsia="ru-RU"/>
              </w:rPr>
              <w:t>Galileo</w:t>
            </w:r>
            <w:r w:rsidRPr="00E07570">
              <w:rPr>
                <w:lang w:eastAsia="ru-RU"/>
              </w:rPr>
              <w:t xml:space="preserve"> ou GPS : </w:t>
            </w:r>
          </w:p>
          <w:p w:rsidR="00451268" w:rsidRPr="00E07570" w:rsidRDefault="006B5502" w:rsidP="00FD1CD8">
            <w:pPr>
              <w:pStyle w:val="Bullet1G"/>
              <w:numPr>
                <w:ilvl w:val="0"/>
                <w:numId w:val="0"/>
              </w:numPr>
              <w:tabs>
                <w:tab w:val="left" w:pos="276"/>
              </w:tabs>
              <w:spacing w:before="60" w:after="60"/>
              <w:ind w:left="221" w:right="57" w:hanging="164"/>
              <w:jc w:val="left"/>
              <w:rPr>
                <w:lang w:eastAsia="ru-RU"/>
              </w:rPr>
            </w:pPr>
            <w:r w:rsidRPr="00E07570">
              <w:rPr>
                <w:lang w:eastAsia="ru-RU"/>
              </w:rPr>
              <w:t>-</w:t>
            </w:r>
            <w:r w:rsidR="00FD1CD8" w:rsidRPr="00E07570">
              <w:rPr>
                <w:lang w:eastAsia="ru-RU"/>
              </w:rPr>
              <w:tab/>
            </w:r>
            <w:r w:rsidRPr="00E07570">
              <w:rPr>
                <w:lang w:eastAsia="ru-RU"/>
              </w:rPr>
              <w:t>P</w:t>
            </w:r>
            <w:r w:rsidR="00451268" w:rsidRPr="00E07570">
              <w:rPr>
                <w:lang w:eastAsia="ru-RU"/>
              </w:rPr>
              <w:t xml:space="preserve">hase de code </w:t>
            </w:r>
            <w:proofErr w:type="spellStart"/>
            <w:r w:rsidR="00451268" w:rsidRPr="00E07570">
              <w:rPr>
                <w:lang w:eastAsia="ru-RU"/>
              </w:rPr>
              <w:t>stadiométrique</w:t>
            </w:r>
            <w:proofErr w:type="spellEnd"/>
            <w:r w:rsidR="00451268" w:rsidRPr="00E07570">
              <w:rPr>
                <w:lang w:eastAsia="ru-RU"/>
              </w:rPr>
              <w:t> : 0,1 m ;</w:t>
            </w:r>
          </w:p>
          <w:p w:rsidR="00451268" w:rsidRPr="00E07570" w:rsidRDefault="00451268" w:rsidP="00FD1CD8">
            <w:pPr>
              <w:pStyle w:val="Bullet1G"/>
              <w:numPr>
                <w:ilvl w:val="0"/>
                <w:numId w:val="0"/>
              </w:numPr>
              <w:tabs>
                <w:tab w:val="left" w:pos="276"/>
              </w:tabs>
              <w:spacing w:before="60" w:after="60"/>
              <w:ind w:left="221" w:right="57" w:hanging="164"/>
              <w:jc w:val="left"/>
              <w:rPr>
                <w:lang w:eastAsia="ru-RU"/>
              </w:rPr>
            </w:pPr>
            <w:r w:rsidRPr="00E07570">
              <w:rPr>
                <w:lang w:eastAsia="ru-RU"/>
              </w:rPr>
              <w:t>-</w:t>
            </w:r>
            <w:r w:rsidR="00FD1CD8" w:rsidRPr="00E07570">
              <w:rPr>
                <w:lang w:eastAsia="ru-RU"/>
              </w:rPr>
              <w:tab/>
            </w:r>
            <w:r w:rsidR="006C6ACE" w:rsidRPr="00E07570">
              <w:rPr>
                <w:lang w:eastAsia="ru-RU"/>
              </w:rPr>
              <w:t>P</w:t>
            </w:r>
            <w:r w:rsidRPr="00E07570">
              <w:rPr>
                <w:lang w:eastAsia="ru-RU"/>
              </w:rPr>
              <w:t>hase de porteuse de communication : 0,001 m ; et</w:t>
            </w:r>
          </w:p>
          <w:p w:rsidR="00451268" w:rsidRPr="00E07570" w:rsidRDefault="00451268" w:rsidP="00FD1CD8">
            <w:pPr>
              <w:pStyle w:val="Bullet1G"/>
              <w:numPr>
                <w:ilvl w:val="0"/>
                <w:numId w:val="0"/>
              </w:numPr>
              <w:tabs>
                <w:tab w:val="left" w:pos="276"/>
              </w:tabs>
              <w:spacing w:before="60" w:after="60"/>
              <w:ind w:left="221" w:right="57" w:hanging="164"/>
              <w:jc w:val="left"/>
              <w:rPr>
                <w:lang w:eastAsia="ru-RU"/>
              </w:rPr>
            </w:pPr>
            <w:r w:rsidRPr="00E07570">
              <w:rPr>
                <w:lang w:eastAsia="ru-RU"/>
              </w:rPr>
              <w:t>-</w:t>
            </w:r>
            <w:r w:rsidR="00FD1CD8" w:rsidRPr="00E07570">
              <w:rPr>
                <w:lang w:eastAsia="ru-RU"/>
              </w:rPr>
              <w:tab/>
            </w:r>
            <w:r w:rsidR="006C6ACE" w:rsidRPr="00E07570">
              <w:rPr>
                <w:lang w:eastAsia="ru-RU"/>
              </w:rPr>
              <w:t>P</w:t>
            </w:r>
            <w:r w:rsidRPr="00E07570">
              <w:rPr>
                <w:lang w:eastAsia="ru-RU"/>
              </w:rPr>
              <w:t>seudo vitesse : 0,005</w:t>
            </w:r>
            <w:r w:rsidR="006C6ACE" w:rsidRPr="00E07570">
              <w:rPr>
                <w:lang w:eastAsia="ru-RU"/>
              </w:rPr>
              <w:t> </w:t>
            </w:r>
            <w:r w:rsidRPr="00E07570">
              <w:rPr>
                <w:lang w:eastAsia="ru-RU"/>
              </w:rPr>
              <w:t>m/s.</w:t>
            </w:r>
          </w:p>
        </w:tc>
      </w:tr>
      <w:tr w:rsidR="00451268" w:rsidRPr="00E07570" w:rsidTr="00CF30E3">
        <w:trPr>
          <w:cantSplit/>
        </w:trPr>
        <w:tc>
          <w:tcPr>
            <w:tcW w:w="1665" w:type="dxa"/>
            <w:shd w:val="clear" w:color="auto" w:fill="auto"/>
            <w:tcMar>
              <w:left w:w="28" w:type="dxa"/>
              <w:right w:w="0" w:type="dxa"/>
            </w:tcMar>
          </w:tcPr>
          <w:p w:rsidR="00451268" w:rsidRPr="00E07570" w:rsidRDefault="00451268" w:rsidP="006B5502">
            <w:pPr>
              <w:spacing w:before="60" w:after="60"/>
              <w:ind w:left="57" w:right="57"/>
              <w:rPr>
                <w:lang w:eastAsia="ru-RU"/>
              </w:rPr>
            </w:pPr>
            <w:r w:rsidRPr="00E07570">
              <w:rPr>
                <w:lang w:eastAsia="ru-RU"/>
              </w:rPr>
              <w:t>Chronomètre numérique</w:t>
            </w:r>
          </w:p>
        </w:tc>
        <w:tc>
          <w:tcPr>
            <w:tcW w:w="2423" w:type="dxa"/>
            <w:shd w:val="clear" w:color="auto" w:fill="auto"/>
            <w:tcMar>
              <w:left w:w="28" w:type="dxa"/>
              <w:right w:w="0" w:type="dxa"/>
            </w:tcMar>
          </w:tcPr>
          <w:p w:rsidR="00451268" w:rsidRPr="00E07570" w:rsidRDefault="00451268" w:rsidP="006C6ACE">
            <w:pPr>
              <w:spacing w:before="60" w:after="60"/>
              <w:ind w:left="57" w:right="57"/>
              <w:rPr>
                <w:lang w:eastAsia="ru-RU"/>
              </w:rPr>
            </w:pPr>
            <w:r w:rsidRPr="00E07570">
              <w:rPr>
                <w:lang w:eastAsia="ru-RU"/>
              </w:rPr>
              <w:t xml:space="preserve">Totalisateur : </w:t>
            </w:r>
            <w:r w:rsidRPr="00E07570">
              <w:rPr>
                <w:lang w:eastAsia="ru-RU"/>
              </w:rPr>
              <w:br/>
              <w:t>9 h 59 min 59,99</w:t>
            </w:r>
            <w:r w:rsidR="006C6ACE" w:rsidRPr="00E07570">
              <w:rPr>
                <w:lang w:eastAsia="ru-RU"/>
              </w:rPr>
              <w:t> </w:t>
            </w:r>
            <w:r w:rsidRPr="00E07570">
              <w:rPr>
                <w:lang w:eastAsia="ru-RU"/>
              </w:rPr>
              <w:t>s</w:t>
            </w:r>
          </w:p>
        </w:tc>
        <w:tc>
          <w:tcPr>
            <w:tcW w:w="3282" w:type="dxa"/>
            <w:shd w:val="clear" w:color="auto" w:fill="auto"/>
            <w:tcMar>
              <w:left w:w="28" w:type="dxa"/>
              <w:right w:w="0" w:type="dxa"/>
            </w:tcMar>
          </w:tcPr>
          <w:p w:rsidR="00451268" w:rsidRPr="00E07570" w:rsidRDefault="00451268" w:rsidP="006C6ACE">
            <w:pPr>
              <w:spacing w:before="60"/>
              <w:ind w:left="57" w:right="57"/>
              <w:rPr>
                <w:lang w:eastAsia="ru-RU"/>
              </w:rPr>
            </w:pPr>
            <w:r w:rsidRPr="00E07570">
              <w:rPr>
                <w:lang w:eastAsia="ru-RU"/>
              </w:rPr>
              <w:t>Variation journalière (à une température de 25</w:t>
            </w:r>
            <w:r w:rsidR="006C6ACE" w:rsidRPr="00E07570">
              <w:rPr>
                <w:lang w:eastAsia="ru-RU"/>
              </w:rPr>
              <w:t> </w:t>
            </w:r>
            <w:r w:rsidRPr="00E07570">
              <w:rPr>
                <w:lang w:eastAsia="ru-RU"/>
              </w:rPr>
              <w:sym w:font="Symbol" w:char="F0B1"/>
            </w:r>
            <w:r w:rsidR="006C6ACE" w:rsidRPr="00E07570">
              <w:rPr>
                <w:lang w:eastAsia="ru-RU"/>
              </w:rPr>
              <w:t> </w:t>
            </w:r>
            <w:r w:rsidRPr="00E07570">
              <w:rPr>
                <w:lang w:eastAsia="ru-RU"/>
              </w:rPr>
              <w:t>5 °С) maximum +1,0</w:t>
            </w:r>
            <w:r w:rsidR="006C6ACE" w:rsidRPr="00E07570">
              <w:rPr>
                <w:lang w:eastAsia="ru-RU"/>
              </w:rPr>
              <w:t> </w:t>
            </w:r>
            <w:r w:rsidRPr="00E07570">
              <w:rPr>
                <w:lang w:eastAsia="ru-RU"/>
              </w:rPr>
              <w:t>s ;</w:t>
            </w:r>
          </w:p>
          <w:p w:rsidR="00451268" w:rsidRPr="00E07570" w:rsidRDefault="00451268" w:rsidP="006C6ACE">
            <w:pPr>
              <w:spacing w:after="60"/>
              <w:ind w:left="57" w:right="57"/>
              <w:rPr>
                <w:lang w:eastAsia="ru-RU"/>
              </w:rPr>
            </w:pPr>
            <w:r w:rsidRPr="00E07570">
              <w:rPr>
                <w:lang w:eastAsia="ru-RU"/>
              </w:rPr>
              <w:t>Pouvoir de résolution en temps : 0,01 s</w:t>
            </w:r>
          </w:p>
        </w:tc>
      </w:tr>
      <w:tr w:rsidR="00451268" w:rsidRPr="00E07570" w:rsidTr="00CF30E3">
        <w:trPr>
          <w:cantSplit/>
        </w:trPr>
        <w:tc>
          <w:tcPr>
            <w:tcW w:w="1665" w:type="dxa"/>
            <w:shd w:val="clear" w:color="auto" w:fill="auto"/>
            <w:tcMar>
              <w:left w:w="28" w:type="dxa"/>
              <w:right w:w="28" w:type="dxa"/>
            </w:tcMar>
          </w:tcPr>
          <w:p w:rsidR="00451268" w:rsidRPr="00E07570" w:rsidRDefault="00451268" w:rsidP="006B5502">
            <w:pPr>
              <w:spacing w:before="60" w:after="60"/>
              <w:ind w:left="57" w:right="57"/>
              <w:rPr>
                <w:lang w:eastAsia="ru-RU"/>
              </w:rPr>
            </w:pPr>
            <w:r w:rsidRPr="00E07570">
              <w:rPr>
                <w:lang w:eastAsia="ru-RU"/>
              </w:rPr>
              <w:t xml:space="preserve">Analyseur </w:t>
            </w:r>
            <w:r w:rsidRPr="00E07570">
              <w:rPr>
                <w:lang w:eastAsia="ru-RU"/>
              </w:rPr>
              <w:br/>
              <w:t xml:space="preserve">du réseau </w:t>
            </w:r>
            <w:r w:rsidRPr="00E07570">
              <w:rPr>
                <w:lang w:eastAsia="ru-RU"/>
              </w:rPr>
              <w:br/>
              <w:t>vecteur</w:t>
            </w:r>
          </w:p>
        </w:tc>
        <w:tc>
          <w:tcPr>
            <w:tcW w:w="2423" w:type="dxa"/>
            <w:shd w:val="clear" w:color="auto" w:fill="auto"/>
            <w:tcMar>
              <w:left w:w="28" w:type="dxa"/>
              <w:right w:w="28" w:type="dxa"/>
            </w:tcMar>
          </w:tcPr>
          <w:p w:rsidR="00451268" w:rsidRPr="00E07570" w:rsidRDefault="00451268" w:rsidP="006B5502">
            <w:pPr>
              <w:spacing w:before="60"/>
              <w:ind w:left="57" w:right="57"/>
              <w:rPr>
                <w:lang w:eastAsia="ru-RU"/>
              </w:rPr>
            </w:pPr>
            <w:r w:rsidRPr="00E07570">
              <w:rPr>
                <w:lang w:eastAsia="ru-RU"/>
              </w:rPr>
              <w:t>Plage de fréquences : 300 kHz … 4 000 kHz</w:t>
            </w:r>
          </w:p>
          <w:p w:rsidR="00451268" w:rsidRPr="00E07570" w:rsidRDefault="00451268" w:rsidP="006B5502">
            <w:pPr>
              <w:ind w:left="57" w:right="57"/>
              <w:rPr>
                <w:lang w:eastAsia="ru-RU"/>
              </w:rPr>
            </w:pPr>
            <w:r w:rsidRPr="00E07570">
              <w:rPr>
                <w:lang w:eastAsia="ru-RU"/>
              </w:rPr>
              <w:t>Plage dynamique :</w:t>
            </w:r>
          </w:p>
          <w:p w:rsidR="00451268" w:rsidRPr="00E07570" w:rsidRDefault="00451268" w:rsidP="006B5502">
            <w:pPr>
              <w:spacing w:after="60"/>
              <w:ind w:left="57" w:right="57"/>
              <w:rPr>
                <w:lang w:eastAsia="ru-RU"/>
              </w:rPr>
            </w:pPr>
            <w:r w:rsidRPr="00E07570">
              <w:rPr>
                <w:lang w:eastAsia="ru-RU"/>
              </w:rPr>
              <w:t>(-85 ... 40) dB</w:t>
            </w:r>
          </w:p>
        </w:tc>
        <w:tc>
          <w:tcPr>
            <w:tcW w:w="3282" w:type="dxa"/>
            <w:shd w:val="clear" w:color="auto" w:fill="auto"/>
            <w:tcMar>
              <w:left w:w="28" w:type="dxa"/>
              <w:right w:w="28" w:type="dxa"/>
            </w:tcMar>
          </w:tcPr>
          <w:p w:rsidR="00451268" w:rsidRPr="00E07570" w:rsidRDefault="00451268" w:rsidP="006C6ACE">
            <w:pPr>
              <w:spacing w:before="60"/>
              <w:ind w:left="57" w:right="57"/>
              <w:rPr>
                <w:lang w:eastAsia="ru-RU"/>
              </w:rPr>
            </w:pPr>
            <w:r w:rsidRPr="00E07570">
              <w:rPr>
                <w:lang w:eastAsia="ru-RU"/>
              </w:rPr>
              <w:t>Exactitude F : 1·10</w:t>
            </w:r>
            <w:r w:rsidRPr="00E07570">
              <w:rPr>
                <w:vertAlign w:val="superscript"/>
                <w:lang w:eastAsia="ru-RU"/>
              </w:rPr>
              <w:t>-6</w:t>
            </w:r>
          </w:p>
          <w:p w:rsidR="00451268" w:rsidRPr="00E07570" w:rsidRDefault="00451268" w:rsidP="006C6ACE">
            <w:pPr>
              <w:spacing w:after="60"/>
              <w:ind w:left="57" w:right="57"/>
              <w:rPr>
                <w:lang w:eastAsia="ru-RU"/>
              </w:rPr>
            </w:pPr>
            <w:r w:rsidRPr="00E07570">
              <w:rPr>
                <w:lang w:eastAsia="ru-RU"/>
              </w:rPr>
              <w:t>Exactitude D :</w:t>
            </w:r>
            <w:r w:rsidRPr="00E07570">
              <w:rPr>
                <w:b/>
                <w:lang w:eastAsia="ru-RU"/>
              </w:rPr>
              <w:t xml:space="preserve"> </w:t>
            </w:r>
            <w:r w:rsidRPr="00E07570">
              <w:rPr>
                <w:lang w:eastAsia="ru-RU"/>
              </w:rPr>
              <w:t>(0,1 ... 0,5) dB</w:t>
            </w:r>
          </w:p>
        </w:tc>
      </w:tr>
      <w:tr w:rsidR="00451268" w:rsidRPr="00E07570" w:rsidTr="00CF30E3">
        <w:trPr>
          <w:cantSplit/>
        </w:trPr>
        <w:tc>
          <w:tcPr>
            <w:tcW w:w="1665" w:type="dxa"/>
            <w:shd w:val="clear" w:color="auto" w:fill="auto"/>
            <w:tcMar>
              <w:left w:w="28" w:type="dxa"/>
              <w:right w:w="28" w:type="dxa"/>
            </w:tcMar>
          </w:tcPr>
          <w:p w:rsidR="00451268" w:rsidRPr="00E07570" w:rsidRDefault="00451268" w:rsidP="00E72DCA">
            <w:pPr>
              <w:spacing w:before="60" w:after="60"/>
              <w:ind w:left="57" w:right="57"/>
              <w:rPr>
                <w:lang w:eastAsia="ru-RU"/>
              </w:rPr>
            </w:pPr>
            <w:r w:rsidRPr="00E07570">
              <w:rPr>
                <w:lang w:eastAsia="ru-RU"/>
              </w:rPr>
              <w:t xml:space="preserve">Amplificateur </w:t>
            </w:r>
            <w:r w:rsidRPr="00E07570">
              <w:rPr>
                <w:lang w:eastAsia="ru-RU"/>
              </w:rPr>
              <w:br/>
              <w:t>à f</w:t>
            </w:r>
            <w:r w:rsidR="00E72DCA" w:rsidRPr="00E07570">
              <w:rPr>
                <w:lang w:eastAsia="ru-RU"/>
              </w:rPr>
              <w:t>aib</w:t>
            </w:r>
            <w:r w:rsidRPr="00E07570">
              <w:rPr>
                <w:lang w:eastAsia="ru-RU"/>
              </w:rPr>
              <w:t>le bruit</w:t>
            </w:r>
          </w:p>
        </w:tc>
        <w:tc>
          <w:tcPr>
            <w:tcW w:w="2423" w:type="dxa"/>
            <w:shd w:val="clear" w:color="auto" w:fill="auto"/>
            <w:tcMar>
              <w:left w:w="28" w:type="dxa"/>
              <w:right w:w="28" w:type="dxa"/>
            </w:tcMar>
          </w:tcPr>
          <w:p w:rsidR="00451268" w:rsidRPr="00E07570" w:rsidRDefault="00451268" w:rsidP="006B5502">
            <w:pPr>
              <w:spacing w:before="60"/>
              <w:ind w:left="57" w:right="57"/>
              <w:rPr>
                <w:lang w:eastAsia="ru-RU"/>
              </w:rPr>
            </w:pPr>
            <w:r w:rsidRPr="00E07570">
              <w:rPr>
                <w:lang w:eastAsia="ru-RU"/>
              </w:rPr>
              <w:t xml:space="preserve">Plage de fréquences : </w:t>
            </w:r>
            <w:r w:rsidRPr="00E07570">
              <w:rPr>
                <w:lang w:eastAsia="ru-RU"/>
              </w:rPr>
              <w:br/>
              <w:t>1 200 ... 1 700 MHz</w:t>
            </w:r>
          </w:p>
          <w:p w:rsidR="00451268" w:rsidRPr="00E07570" w:rsidRDefault="00451268" w:rsidP="006B5502">
            <w:pPr>
              <w:ind w:left="57" w:right="57"/>
              <w:rPr>
                <w:lang w:eastAsia="ru-RU"/>
              </w:rPr>
            </w:pPr>
            <w:r w:rsidRPr="00E07570">
              <w:rPr>
                <w:lang w:eastAsia="ru-RU"/>
              </w:rPr>
              <w:t>Coefficient de bruit : 2,0 dB maximum</w:t>
            </w:r>
          </w:p>
          <w:p w:rsidR="00451268" w:rsidRPr="00E07570" w:rsidRDefault="00451268" w:rsidP="006B5502">
            <w:pPr>
              <w:spacing w:after="60"/>
              <w:ind w:left="57" w:right="57"/>
              <w:rPr>
                <w:lang w:eastAsia="ru-RU"/>
              </w:rPr>
            </w:pPr>
            <w:r w:rsidRPr="00E07570">
              <w:rPr>
                <w:lang w:eastAsia="ru-RU"/>
              </w:rPr>
              <w:t>Coefficient de gain d</w:t>
            </w:r>
            <w:r w:rsidR="00145E4B">
              <w:rPr>
                <w:lang w:eastAsia="ru-RU"/>
              </w:rPr>
              <w:t>’</w:t>
            </w:r>
            <w:r w:rsidRPr="00E07570">
              <w:rPr>
                <w:lang w:eastAsia="ru-RU"/>
              </w:rPr>
              <w:t xml:space="preserve">amplification : 24 dB </w:t>
            </w:r>
          </w:p>
        </w:tc>
        <w:tc>
          <w:tcPr>
            <w:tcW w:w="3282" w:type="dxa"/>
            <w:shd w:val="clear" w:color="auto" w:fill="auto"/>
            <w:tcMar>
              <w:left w:w="28" w:type="dxa"/>
              <w:right w:w="28" w:type="dxa"/>
            </w:tcMar>
          </w:tcPr>
          <w:p w:rsidR="00451268" w:rsidRPr="00E07570" w:rsidRDefault="00451268" w:rsidP="006C6ACE">
            <w:pPr>
              <w:spacing w:before="40"/>
              <w:ind w:left="57" w:right="57"/>
              <w:rPr>
                <w:lang w:eastAsia="ru-RU"/>
              </w:rPr>
            </w:pPr>
          </w:p>
        </w:tc>
      </w:tr>
      <w:tr w:rsidR="00451268" w:rsidRPr="00E07570" w:rsidTr="00CF30E3">
        <w:trPr>
          <w:cantSplit/>
        </w:trPr>
        <w:tc>
          <w:tcPr>
            <w:tcW w:w="1665" w:type="dxa"/>
            <w:shd w:val="clear" w:color="auto" w:fill="auto"/>
            <w:tcMar>
              <w:left w:w="28" w:type="dxa"/>
              <w:right w:w="28" w:type="dxa"/>
            </w:tcMar>
          </w:tcPr>
          <w:p w:rsidR="00451268" w:rsidRPr="00E07570" w:rsidRDefault="00451268" w:rsidP="006B5502">
            <w:pPr>
              <w:spacing w:before="60" w:after="60"/>
              <w:ind w:left="57" w:right="57"/>
              <w:rPr>
                <w:lang w:eastAsia="ru-RU"/>
              </w:rPr>
            </w:pPr>
            <w:r w:rsidRPr="00E07570">
              <w:rPr>
                <w:lang w:eastAsia="ru-RU"/>
              </w:rPr>
              <w:t xml:space="preserve">Atténuateur </w:t>
            </w:r>
            <w:r w:rsidRPr="00E07570">
              <w:rPr>
                <w:rFonts w:eastAsia="MS Mincho"/>
                <w:lang w:eastAsia="ru-RU"/>
              </w:rPr>
              <w:t>n</w:t>
            </w:r>
            <w:r w:rsidRPr="00E07570">
              <w:rPr>
                <w:rFonts w:eastAsia="MS Mincho"/>
                <w:vertAlign w:val="superscript"/>
                <w:lang w:eastAsia="ru-RU"/>
              </w:rPr>
              <w:t>o</w:t>
            </w:r>
            <w:r w:rsidRPr="00E07570">
              <w:rPr>
                <w:lang w:eastAsia="ru-RU"/>
              </w:rPr>
              <w:t> 1</w:t>
            </w:r>
          </w:p>
        </w:tc>
        <w:tc>
          <w:tcPr>
            <w:tcW w:w="2423" w:type="dxa"/>
            <w:shd w:val="clear" w:color="auto" w:fill="auto"/>
            <w:tcMar>
              <w:left w:w="28" w:type="dxa"/>
              <w:right w:w="28" w:type="dxa"/>
            </w:tcMar>
          </w:tcPr>
          <w:p w:rsidR="00451268" w:rsidRPr="00E07570" w:rsidRDefault="00451268" w:rsidP="006B5502">
            <w:pPr>
              <w:spacing w:before="60" w:after="60"/>
              <w:ind w:left="57" w:right="57"/>
              <w:rPr>
                <w:lang w:eastAsia="ru-RU"/>
              </w:rPr>
            </w:pPr>
            <w:r w:rsidRPr="00E07570">
              <w:rPr>
                <w:lang w:eastAsia="ru-RU"/>
              </w:rPr>
              <w:t xml:space="preserve">Plage dynamique : </w:t>
            </w:r>
            <w:r w:rsidRPr="00E07570">
              <w:rPr>
                <w:lang w:eastAsia="ru-RU"/>
              </w:rPr>
              <w:br/>
              <w:t>(0 ... 11 dB)</w:t>
            </w:r>
          </w:p>
        </w:tc>
        <w:tc>
          <w:tcPr>
            <w:tcW w:w="3282" w:type="dxa"/>
            <w:shd w:val="clear" w:color="auto" w:fill="auto"/>
            <w:tcMar>
              <w:left w:w="28" w:type="dxa"/>
              <w:right w:w="28" w:type="dxa"/>
            </w:tcMar>
          </w:tcPr>
          <w:p w:rsidR="00451268" w:rsidRPr="00E07570" w:rsidRDefault="00451268" w:rsidP="006C6ACE">
            <w:pPr>
              <w:spacing w:before="40"/>
              <w:ind w:left="57" w:right="57"/>
              <w:rPr>
                <w:lang w:eastAsia="ru-RU"/>
              </w:rPr>
            </w:pPr>
            <w:r w:rsidRPr="00E07570">
              <w:rPr>
                <w:lang w:eastAsia="ru-RU"/>
              </w:rPr>
              <w:t xml:space="preserve">Précision </w:t>
            </w:r>
            <w:r w:rsidRPr="00E07570">
              <w:rPr>
                <w:lang w:eastAsia="ru-RU"/>
              </w:rPr>
              <w:sym w:font="Symbol" w:char="F0B1"/>
            </w:r>
            <w:r w:rsidRPr="00E07570">
              <w:rPr>
                <w:lang w:eastAsia="ru-RU"/>
              </w:rPr>
              <w:t>0,5 dB</w:t>
            </w:r>
          </w:p>
        </w:tc>
      </w:tr>
      <w:tr w:rsidR="00451268" w:rsidRPr="00E07570" w:rsidTr="00A8147A">
        <w:trPr>
          <w:cantSplit/>
        </w:trPr>
        <w:tc>
          <w:tcPr>
            <w:tcW w:w="1665" w:type="dxa"/>
            <w:tcBorders>
              <w:bottom w:val="single" w:sz="4" w:space="0" w:color="auto"/>
            </w:tcBorders>
            <w:shd w:val="clear" w:color="auto" w:fill="auto"/>
            <w:tcMar>
              <w:left w:w="28" w:type="dxa"/>
              <w:right w:w="28" w:type="dxa"/>
            </w:tcMar>
          </w:tcPr>
          <w:p w:rsidR="00451268" w:rsidRPr="00E07570" w:rsidRDefault="00451268" w:rsidP="006B5502">
            <w:pPr>
              <w:spacing w:before="60" w:after="60"/>
              <w:ind w:left="57" w:right="57"/>
              <w:rPr>
                <w:lang w:eastAsia="ru-RU"/>
              </w:rPr>
            </w:pPr>
            <w:r w:rsidRPr="00E07570">
              <w:rPr>
                <w:lang w:eastAsia="ru-RU"/>
              </w:rPr>
              <w:t xml:space="preserve">Atténuateur </w:t>
            </w:r>
            <w:r w:rsidRPr="00E07570">
              <w:rPr>
                <w:rFonts w:eastAsia="MS Mincho"/>
                <w:lang w:eastAsia="ru-RU"/>
              </w:rPr>
              <w:t>n</w:t>
            </w:r>
            <w:r w:rsidRPr="00E07570">
              <w:rPr>
                <w:rFonts w:eastAsia="MS Mincho"/>
                <w:vertAlign w:val="superscript"/>
                <w:lang w:eastAsia="ru-RU"/>
              </w:rPr>
              <w:t>o</w:t>
            </w:r>
            <w:r w:rsidRPr="00E07570">
              <w:rPr>
                <w:lang w:eastAsia="ru-RU"/>
              </w:rPr>
              <w:t> 2</w:t>
            </w:r>
          </w:p>
        </w:tc>
        <w:tc>
          <w:tcPr>
            <w:tcW w:w="2423" w:type="dxa"/>
            <w:tcBorders>
              <w:bottom w:val="single" w:sz="4" w:space="0" w:color="auto"/>
            </w:tcBorders>
            <w:shd w:val="clear" w:color="auto" w:fill="auto"/>
            <w:tcMar>
              <w:left w:w="28" w:type="dxa"/>
              <w:right w:w="28" w:type="dxa"/>
            </w:tcMar>
          </w:tcPr>
          <w:p w:rsidR="00451268" w:rsidRPr="00E07570" w:rsidRDefault="00451268" w:rsidP="006B5502">
            <w:pPr>
              <w:spacing w:before="60" w:after="60"/>
              <w:ind w:left="57" w:right="57"/>
              <w:rPr>
                <w:lang w:eastAsia="ru-RU"/>
              </w:rPr>
            </w:pPr>
            <w:r w:rsidRPr="00E07570">
              <w:rPr>
                <w:lang w:eastAsia="ru-RU"/>
              </w:rPr>
              <w:t xml:space="preserve">Plage dynamique : </w:t>
            </w:r>
            <w:r w:rsidRPr="00E07570">
              <w:rPr>
                <w:lang w:eastAsia="ru-RU"/>
              </w:rPr>
              <w:br/>
              <w:t>(0 ... 110 dB)</w:t>
            </w:r>
          </w:p>
        </w:tc>
        <w:tc>
          <w:tcPr>
            <w:tcW w:w="3282" w:type="dxa"/>
            <w:tcBorders>
              <w:bottom w:val="single" w:sz="4" w:space="0" w:color="auto"/>
            </w:tcBorders>
            <w:shd w:val="clear" w:color="auto" w:fill="auto"/>
            <w:tcMar>
              <w:left w:w="28" w:type="dxa"/>
              <w:right w:w="28" w:type="dxa"/>
            </w:tcMar>
          </w:tcPr>
          <w:p w:rsidR="00451268" w:rsidRPr="00E07570" w:rsidRDefault="00451268" w:rsidP="006C6ACE">
            <w:pPr>
              <w:spacing w:before="40"/>
              <w:ind w:left="57" w:right="57"/>
              <w:rPr>
                <w:lang w:eastAsia="ru-RU"/>
              </w:rPr>
            </w:pPr>
            <w:r w:rsidRPr="00E07570">
              <w:rPr>
                <w:lang w:eastAsia="ru-RU"/>
              </w:rPr>
              <w:t xml:space="preserve">Précision </w:t>
            </w:r>
            <w:r w:rsidRPr="00E07570">
              <w:rPr>
                <w:lang w:eastAsia="ru-RU"/>
              </w:rPr>
              <w:sym w:font="Symbol" w:char="F0B1"/>
            </w:r>
            <w:r w:rsidRPr="00E07570">
              <w:rPr>
                <w:lang w:eastAsia="ru-RU"/>
              </w:rPr>
              <w:t>0,5 dB</w:t>
            </w:r>
          </w:p>
        </w:tc>
      </w:tr>
      <w:tr w:rsidR="00451268" w:rsidRPr="00E07570" w:rsidTr="00A8147A">
        <w:trPr>
          <w:cantSplit/>
        </w:trPr>
        <w:tc>
          <w:tcPr>
            <w:tcW w:w="1665" w:type="dxa"/>
            <w:tcBorders>
              <w:bottom w:val="single" w:sz="12" w:space="0" w:color="auto"/>
            </w:tcBorders>
            <w:shd w:val="clear" w:color="auto" w:fill="auto"/>
            <w:tcMar>
              <w:left w:w="28" w:type="dxa"/>
              <w:right w:w="28" w:type="dxa"/>
            </w:tcMar>
          </w:tcPr>
          <w:p w:rsidR="00451268" w:rsidRPr="00E07570" w:rsidRDefault="00451268" w:rsidP="006B5502">
            <w:pPr>
              <w:spacing w:before="60" w:after="60"/>
              <w:ind w:left="57" w:right="57"/>
              <w:rPr>
                <w:lang w:eastAsia="ru-RU"/>
              </w:rPr>
            </w:pPr>
            <w:r w:rsidRPr="00E07570">
              <w:rPr>
                <w:lang w:eastAsia="ru-RU"/>
              </w:rPr>
              <w:t>Source d</w:t>
            </w:r>
            <w:r w:rsidR="00145E4B">
              <w:rPr>
                <w:lang w:eastAsia="ru-RU"/>
              </w:rPr>
              <w:t>’</w:t>
            </w:r>
            <w:r w:rsidRPr="00E07570">
              <w:rPr>
                <w:lang w:eastAsia="ru-RU"/>
              </w:rPr>
              <w:t>énergie</w:t>
            </w:r>
          </w:p>
        </w:tc>
        <w:tc>
          <w:tcPr>
            <w:tcW w:w="2423" w:type="dxa"/>
            <w:tcBorders>
              <w:bottom w:val="single" w:sz="12" w:space="0" w:color="auto"/>
            </w:tcBorders>
            <w:shd w:val="clear" w:color="auto" w:fill="auto"/>
            <w:tcMar>
              <w:left w:w="28" w:type="dxa"/>
              <w:right w:w="28" w:type="dxa"/>
            </w:tcMar>
          </w:tcPr>
          <w:p w:rsidR="00451268" w:rsidRPr="00E07570" w:rsidRDefault="00451268" w:rsidP="006B5502">
            <w:pPr>
              <w:spacing w:before="60"/>
              <w:ind w:left="57" w:right="57"/>
              <w:rPr>
                <w:lang w:eastAsia="ru-RU"/>
              </w:rPr>
            </w:pPr>
            <w:r w:rsidRPr="00E07570">
              <w:rPr>
                <w:lang w:eastAsia="ru-RU"/>
              </w:rPr>
              <w:t xml:space="preserve">Plage de tensions </w:t>
            </w:r>
            <w:r w:rsidRPr="00E07570">
              <w:rPr>
                <w:lang w:eastAsia="ru-RU"/>
              </w:rPr>
              <w:br/>
              <w:t xml:space="preserve">du courant continu : </w:t>
            </w:r>
            <w:r w:rsidRPr="00E07570">
              <w:rPr>
                <w:lang w:eastAsia="ru-RU"/>
              </w:rPr>
              <w:br/>
              <w:t>0,1 à 30 V</w:t>
            </w:r>
          </w:p>
          <w:p w:rsidR="00451268" w:rsidRPr="00E07570" w:rsidRDefault="00451268" w:rsidP="006B5502">
            <w:pPr>
              <w:spacing w:after="60"/>
              <w:ind w:left="57" w:right="57"/>
              <w:rPr>
                <w:lang w:eastAsia="ru-RU"/>
              </w:rPr>
            </w:pPr>
            <w:r w:rsidRPr="00E07570">
              <w:rPr>
                <w:lang w:eastAsia="ru-RU"/>
              </w:rPr>
              <w:t xml:space="preserve">Intensité du courant </w:t>
            </w:r>
            <w:r w:rsidRPr="00E07570">
              <w:rPr>
                <w:lang w:eastAsia="ru-RU"/>
              </w:rPr>
              <w:br/>
              <w:t xml:space="preserve">à la tension de sortie : </w:t>
            </w:r>
            <w:r w:rsidRPr="00E07570">
              <w:rPr>
                <w:lang w:eastAsia="ru-RU"/>
              </w:rPr>
              <w:br/>
              <w:t>3 A minimum</w:t>
            </w:r>
          </w:p>
        </w:tc>
        <w:tc>
          <w:tcPr>
            <w:tcW w:w="3282" w:type="dxa"/>
            <w:tcBorders>
              <w:bottom w:val="single" w:sz="12" w:space="0" w:color="auto"/>
            </w:tcBorders>
            <w:shd w:val="clear" w:color="auto" w:fill="auto"/>
            <w:tcMar>
              <w:left w:w="28" w:type="dxa"/>
              <w:right w:w="28" w:type="dxa"/>
            </w:tcMar>
          </w:tcPr>
          <w:p w:rsidR="00451268" w:rsidRPr="00E07570" w:rsidRDefault="00451268" w:rsidP="006C6ACE">
            <w:pPr>
              <w:spacing w:before="60"/>
              <w:ind w:left="57" w:right="57"/>
              <w:rPr>
                <w:lang w:eastAsia="ru-RU"/>
              </w:rPr>
            </w:pPr>
            <w:r w:rsidRPr="00E07570">
              <w:rPr>
                <w:lang w:eastAsia="ru-RU"/>
              </w:rPr>
              <w:t xml:space="preserve">Précision de la tension </w:t>
            </w:r>
            <w:r w:rsidRPr="00E07570">
              <w:rPr>
                <w:lang w:eastAsia="ru-RU"/>
              </w:rPr>
              <w:sym w:font="Symbol" w:char="F0B1"/>
            </w:r>
            <w:r w:rsidRPr="00E07570">
              <w:rPr>
                <w:lang w:eastAsia="ru-RU"/>
              </w:rPr>
              <w:t>3 %</w:t>
            </w:r>
          </w:p>
          <w:p w:rsidR="00451268" w:rsidRPr="00E07570" w:rsidRDefault="00451268" w:rsidP="006C6ACE">
            <w:pPr>
              <w:spacing w:after="60"/>
              <w:ind w:left="57" w:right="57"/>
              <w:rPr>
                <w:lang w:eastAsia="ru-RU"/>
              </w:rPr>
            </w:pPr>
            <w:r w:rsidRPr="00E07570">
              <w:rPr>
                <w:lang w:eastAsia="ru-RU"/>
              </w:rPr>
              <w:t>Précision de l</w:t>
            </w:r>
            <w:r w:rsidR="00145E4B">
              <w:rPr>
                <w:lang w:eastAsia="ru-RU"/>
              </w:rPr>
              <w:t>’</w:t>
            </w:r>
            <w:r w:rsidRPr="00E07570">
              <w:rPr>
                <w:lang w:eastAsia="ru-RU"/>
              </w:rPr>
              <w:t xml:space="preserve">intensité </w:t>
            </w:r>
            <w:r w:rsidRPr="00E07570">
              <w:rPr>
                <w:lang w:eastAsia="ru-RU"/>
              </w:rPr>
              <w:sym w:font="Symbol" w:char="F0B1"/>
            </w:r>
            <w:r w:rsidRPr="00E07570">
              <w:rPr>
                <w:lang w:eastAsia="ru-RU"/>
              </w:rPr>
              <w:t>1 %</w:t>
            </w:r>
          </w:p>
        </w:tc>
      </w:tr>
    </w:tbl>
    <w:p w:rsidR="00451268" w:rsidRPr="00E07570" w:rsidRDefault="001E3E84" w:rsidP="001E3E84">
      <w:pPr>
        <w:pStyle w:val="SingleTxtG"/>
        <w:spacing w:before="120"/>
        <w:ind w:firstLine="170"/>
        <w:jc w:val="left"/>
        <w:rPr>
          <w:sz w:val="18"/>
          <w:szCs w:val="18"/>
        </w:rPr>
      </w:pPr>
      <w:r w:rsidRPr="00E07570">
        <w:rPr>
          <w:i/>
          <w:sz w:val="18"/>
          <w:szCs w:val="18"/>
        </w:rPr>
        <w:t>Note</w:t>
      </w:r>
      <w:r w:rsidRPr="00E07570">
        <w:rPr>
          <w:sz w:val="18"/>
          <w:szCs w:val="18"/>
        </w:rPr>
        <w:t> : D</w:t>
      </w:r>
      <w:r w:rsidR="00145E4B">
        <w:rPr>
          <w:sz w:val="18"/>
          <w:szCs w:val="18"/>
        </w:rPr>
        <w:t>’</w:t>
      </w:r>
      <w:r w:rsidRPr="00E07570">
        <w:rPr>
          <w:sz w:val="18"/>
          <w:szCs w:val="18"/>
        </w:rPr>
        <w:t>autres types d</w:t>
      </w:r>
      <w:r w:rsidR="00145E4B">
        <w:rPr>
          <w:sz w:val="18"/>
          <w:szCs w:val="18"/>
        </w:rPr>
        <w:t>’</w:t>
      </w:r>
      <w:r w:rsidRPr="00E07570">
        <w:rPr>
          <w:sz w:val="18"/>
          <w:szCs w:val="18"/>
        </w:rPr>
        <w:t>équipements analogues peuvent être utilisés à condition qu</w:t>
      </w:r>
      <w:r w:rsidR="00145E4B">
        <w:rPr>
          <w:sz w:val="18"/>
          <w:szCs w:val="18"/>
        </w:rPr>
        <w:t>’</w:t>
      </w:r>
      <w:r w:rsidRPr="00E07570">
        <w:rPr>
          <w:sz w:val="18"/>
          <w:szCs w:val="18"/>
        </w:rPr>
        <w:t>ils permettent une détermination des caractéristiques avec la précision requise.</w:t>
      </w:r>
    </w:p>
    <w:p w:rsidR="00AF40E2" w:rsidRPr="00E07570" w:rsidRDefault="00AF40E2" w:rsidP="00A73F4C">
      <w:pPr>
        <w:pStyle w:val="SingleTxtG"/>
        <w:spacing w:before="240"/>
        <w:ind w:left="2268" w:hanging="1134"/>
      </w:pPr>
      <w:r w:rsidRPr="00E07570">
        <w:t>1.1.6</w:t>
      </w:r>
      <w:r w:rsidRPr="00E07570">
        <w:tab/>
        <w:t>Sauf indication contraire, la simulation de signaux GNSS doit suivre le mode « ciel ouvert » défini à la figure 1.</w:t>
      </w:r>
    </w:p>
    <w:p w:rsidR="00AE4A0E" w:rsidRPr="00E07570" w:rsidRDefault="00AF40E2" w:rsidP="00AF40E2">
      <w:pPr>
        <w:pStyle w:val="Heading1"/>
        <w:spacing w:after="120"/>
        <w:rPr>
          <w:b/>
        </w:rPr>
      </w:pPr>
      <w:r w:rsidRPr="00E07570">
        <w:br w:type="page"/>
        <w:t xml:space="preserve">Figure 1 </w:t>
      </w:r>
      <w:r w:rsidRPr="00E07570">
        <w:br/>
      </w:r>
      <w:r w:rsidRPr="00E07570">
        <w:rPr>
          <w:b/>
        </w:rPr>
        <w:t>Définition du mode « ciel ouvert »</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92"/>
        <w:gridCol w:w="2739"/>
        <w:gridCol w:w="2739"/>
      </w:tblGrid>
      <w:tr w:rsidR="00AF40E2" w:rsidRPr="00E07570" w:rsidTr="00CF30E3">
        <w:trPr>
          <w:tblHeader/>
        </w:trPr>
        <w:tc>
          <w:tcPr>
            <w:tcW w:w="1892" w:type="dxa"/>
            <w:tcBorders>
              <w:bottom w:val="single" w:sz="12" w:space="0" w:color="auto"/>
            </w:tcBorders>
            <w:shd w:val="clear" w:color="auto" w:fill="auto"/>
            <w:vAlign w:val="center"/>
          </w:tcPr>
          <w:p w:rsidR="00AF40E2" w:rsidRPr="00E07570" w:rsidRDefault="00AF40E2" w:rsidP="00F706DE">
            <w:pPr>
              <w:spacing w:before="80" w:after="80" w:line="200" w:lineRule="exact"/>
              <w:ind w:left="57" w:right="57"/>
              <w:jc w:val="center"/>
              <w:rPr>
                <w:i/>
                <w:sz w:val="16"/>
              </w:rPr>
            </w:pPr>
            <w:r w:rsidRPr="00E07570">
              <w:rPr>
                <w:i/>
                <w:sz w:val="16"/>
              </w:rPr>
              <w:t>Zone</w:t>
            </w:r>
          </w:p>
        </w:tc>
        <w:tc>
          <w:tcPr>
            <w:tcW w:w="2739" w:type="dxa"/>
            <w:tcBorders>
              <w:bottom w:val="single" w:sz="12" w:space="0" w:color="auto"/>
            </w:tcBorders>
            <w:shd w:val="clear" w:color="auto" w:fill="auto"/>
            <w:vAlign w:val="center"/>
          </w:tcPr>
          <w:p w:rsidR="00AF40E2" w:rsidRPr="00E07570" w:rsidRDefault="00AF40E2" w:rsidP="00F706DE">
            <w:pPr>
              <w:spacing w:before="80" w:after="80" w:line="200" w:lineRule="exact"/>
              <w:ind w:left="57" w:right="57"/>
              <w:jc w:val="center"/>
              <w:rPr>
                <w:i/>
                <w:sz w:val="16"/>
              </w:rPr>
            </w:pPr>
            <w:r w:rsidRPr="00E07570">
              <w:rPr>
                <w:i/>
                <w:sz w:val="16"/>
              </w:rPr>
              <w:t>Plage d</w:t>
            </w:r>
            <w:r w:rsidR="00145E4B">
              <w:rPr>
                <w:i/>
                <w:sz w:val="16"/>
              </w:rPr>
              <w:t>’</w:t>
            </w:r>
            <w:r w:rsidRPr="00E07570">
              <w:rPr>
                <w:i/>
                <w:sz w:val="16"/>
              </w:rPr>
              <w:t>élévations (en degrés)</w:t>
            </w:r>
          </w:p>
        </w:tc>
        <w:tc>
          <w:tcPr>
            <w:tcW w:w="2739" w:type="dxa"/>
            <w:tcBorders>
              <w:bottom w:val="single" w:sz="12" w:space="0" w:color="auto"/>
            </w:tcBorders>
            <w:shd w:val="clear" w:color="auto" w:fill="auto"/>
            <w:vAlign w:val="center"/>
          </w:tcPr>
          <w:p w:rsidR="00AF40E2" w:rsidRPr="00E07570" w:rsidRDefault="00AF40E2" w:rsidP="00F706DE">
            <w:pPr>
              <w:spacing w:before="80" w:after="80" w:line="200" w:lineRule="exact"/>
              <w:ind w:left="57" w:right="57"/>
              <w:jc w:val="center"/>
              <w:rPr>
                <w:i/>
                <w:sz w:val="16"/>
              </w:rPr>
            </w:pPr>
            <w:r w:rsidRPr="00E07570">
              <w:rPr>
                <w:i/>
                <w:sz w:val="16"/>
              </w:rPr>
              <w:t>Plage d</w:t>
            </w:r>
            <w:r w:rsidR="00145E4B">
              <w:rPr>
                <w:i/>
                <w:sz w:val="16"/>
              </w:rPr>
              <w:t>’</w:t>
            </w:r>
            <w:r w:rsidRPr="00E07570">
              <w:rPr>
                <w:i/>
                <w:sz w:val="16"/>
              </w:rPr>
              <w:t>azimuts (en degrés)</w:t>
            </w:r>
          </w:p>
        </w:tc>
      </w:tr>
      <w:tr w:rsidR="00AF40E2" w:rsidRPr="00E07570" w:rsidTr="00CF30E3">
        <w:tc>
          <w:tcPr>
            <w:tcW w:w="1892" w:type="dxa"/>
            <w:tcBorders>
              <w:top w:val="single" w:sz="12" w:space="0" w:color="auto"/>
              <w:left w:val="single" w:sz="4" w:space="0" w:color="auto"/>
              <w:bottom w:val="single" w:sz="4" w:space="0" w:color="auto"/>
              <w:right w:val="single" w:sz="4" w:space="0" w:color="auto"/>
            </w:tcBorders>
            <w:shd w:val="clear" w:color="auto" w:fill="auto"/>
            <w:vAlign w:val="center"/>
          </w:tcPr>
          <w:p w:rsidR="00AF40E2" w:rsidRPr="00E07570" w:rsidRDefault="00AF40E2" w:rsidP="00F706DE">
            <w:pPr>
              <w:spacing w:before="60" w:after="60"/>
              <w:ind w:left="57" w:right="57"/>
              <w:jc w:val="center"/>
            </w:pPr>
            <w:r w:rsidRPr="00E07570">
              <w:t>A</w:t>
            </w:r>
          </w:p>
        </w:tc>
        <w:tc>
          <w:tcPr>
            <w:tcW w:w="2739" w:type="dxa"/>
            <w:tcBorders>
              <w:top w:val="single" w:sz="12" w:space="0" w:color="auto"/>
              <w:left w:val="single" w:sz="4" w:space="0" w:color="auto"/>
              <w:bottom w:val="single" w:sz="4" w:space="0" w:color="auto"/>
              <w:right w:val="single" w:sz="4" w:space="0" w:color="auto"/>
            </w:tcBorders>
            <w:shd w:val="clear" w:color="auto" w:fill="auto"/>
            <w:vAlign w:val="center"/>
          </w:tcPr>
          <w:p w:rsidR="00AF40E2" w:rsidRPr="00E07570" w:rsidRDefault="00AF40E2" w:rsidP="00F706DE">
            <w:pPr>
              <w:spacing w:before="60" w:after="60"/>
              <w:ind w:left="57" w:right="57"/>
              <w:jc w:val="center"/>
            </w:pPr>
            <w:r w:rsidRPr="00E07570">
              <w:t>0 − 5</w:t>
            </w:r>
          </w:p>
        </w:tc>
        <w:tc>
          <w:tcPr>
            <w:tcW w:w="2739" w:type="dxa"/>
            <w:tcBorders>
              <w:top w:val="single" w:sz="12" w:space="0" w:color="auto"/>
              <w:left w:val="single" w:sz="4" w:space="0" w:color="auto"/>
              <w:bottom w:val="single" w:sz="4" w:space="0" w:color="auto"/>
              <w:right w:val="single" w:sz="4" w:space="0" w:color="auto"/>
            </w:tcBorders>
            <w:shd w:val="clear" w:color="auto" w:fill="auto"/>
            <w:vAlign w:val="center"/>
          </w:tcPr>
          <w:p w:rsidR="00AF40E2" w:rsidRPr="00E07570" w:rsidRDefault="00AF40E2" w:rsidP="00F706DE">
            <w:pPr>
              <w:spacing w:before="60" w:after="60"/>
              <w:ind w:left="57" w:right="57"/>
              <w:jc w:val="center"/>
            </w:pPr>
            <w:r w:rsidRPr="00E07570">
              <w:t>0 − 360</w:t>
            </w:r>
          </w:p>
        </w:tc>
      </w:tr>
      <w:tr w:rsidR="00AF40E2" w:rsidRPr="00E07570" w:rsidTr="00CF30E3">
        <w:tc>
          <w:tcPr>
            <w:tcW w:w="1892" w:type="dxa"/>
            <w:tcBorders>
              <w:top w:val="single" w:sz="4" w:space="0" w:color="auto"/>
              <w:bottom w:val="single" w:sz="12" w:space="0" w:color="auto"/>
            </w:tcBorders>
            <w:shd w:val="clear" w:color="auto" w:fill="auto"/>
            <w:vAlign w:val="center"/>
          </w:tcPr>
          <w:p w:rsidR="00AF40E2" w:rsidRPr="00E07570" w:rsidRDefault="00AF40E2" w:rsidP="00F706DE">
            <w:pPr>
              <w:spacing w:before="60" w:after="60"/>
              <w:ind w:left="57" w:right="57"/>
              <w:jc w:val="center"/>
            </w:pPr>
            <w:r w:rsidRPr="00E07570">
              <w:t>Fond</w:t>
            </w:r>
          </w:p>
        </w:tc>
        <w:tc>
          <w:tcPr>
            <w:tcW w:w="5478" w:type="dxa"/>
            <w:gridSpan w:val="2"/>
            <w:tcBorders>
              <w:top w:val="single" w:sz="4" w:space="0" w:color="auto"/>
              <w:bottom w:val="single" w:sz="12" w:space="0" w:color="auto"/>
            </w:tcBorders>
            <w:shd w:val="clear" w:color="auto" w:fill="auto"/>
            <w:vAlign w:val="center"/>
          </w:tcPr>
          <w:p w:rsidR="00AF40E2" w:rsidRPr="00E07570" w:rsidRDefault="00AF40E2" w:rsidP="00F706DE">
            <w:pPr>
              <w:spacing w:before="60" w:after="60"/>
              <w:ind w:left="57" w:right="57"/>
              <w:jc w:val="center"/>
            </w:pPr>
            <w:r w:rsidRPr="00E07570">
              <w:t>Zone hors de la zone A</w:t>
            </w:r>
          </w:p>
        </w:tc>
      </w:tr>
    </w:tbl>
    <w:p w:rsidR="00AF40E2" w:rsidRPr="00E07570" w:rsidRDefault="00AF40E2" w:rsidP="007C4496">
      <w:pPr>
        <w:pStyle w:val="SingleTxtG"/>
        <w:rPr>
          <w:noProof/>
          <w:lang w:eastAsia="fr-CH"/>
        </w:rPr>
      </w:pPr>
    </w:p>
    <w:p w:rsidR="007C4496" w:rsidRPr="00E07570" w:rsidRDefault="007C4496" w:rsidP="007C4496">
      <w:pPr>
        <w:spacing w:after="240" w:line="240" w:lineRule="auto"/>
        <w:ind w:left="1134"/>
        <w:rPr>
          <w:noProof/>
          <w:lang w:eastAsia="fr-CH"/>
        </w:rPr>
      </w:pPr>
      <w:r w:rsidRPr="00E07570">
        <w:rPr>
          <w:noProof/>
          <w:lang w:val="en-GB" w:eastAsia="en-GB"/>
        </w:rPr>
        <w:drawing>
          <wp:inline distT="0" distB="0" distL="0" distR="0" wp14:anchorId="1A920520" wp14:editId="6EDB5D96">
            <wp:extent cx="3086100" cy="2828925"/>
            <wp:effectExtent l="0" t="0" r="0"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86100" cy="2828925"/>
                    </a:xfrm>
                    <a:prstGeom prst="rect">
                      <a:avLst/>
                    </a:prstGeom>
                    <a:noFill/>
                    <a:ln>
                      <a:noFill/>
                    </a:ln>
                  </pic:spPr>
                </pic:pic>
              </a:graphicData>
            </a:graphic>
          </wp:inline>
        </w:drawing>
      </w:r>
    </w:p>
    <w:p w:rsidR="00AF40E2" w:rsidRPr="00E07570" w:rsidRDefault="00AF40E2" w:rsidP="00AF40E2">
      <w:pPr>
        <w:pStyle w:val="SingleTxtG"/>
        <w:spacing w:before="240"/>
      </w:pPr>
      <w:r w:rsidRPr="00E07570">
        <w:t>Diagramme d</w:t>
      </w:r>
      <w:r w:rsidR="00145E4B">
        <w:t>’</w:t>
      </w:r>
      <w:r w:rsidRPr="00E07570">
        <w:t>atténuation en mode « ciel ouvert » :</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51"/>
        <w:gridCol w:w="5319"/>
      </w:tblGrid>
      <w:tr w:rsidR="00AF40E2" w:rsidRPr="00E07570" w:rsidTr="00CF30E3">
        <w:trPr>
          <w:tblHeader/>
        </w:trPr>
        <w:tc>
          <w:tcPr>
            <w:tcW w:w="2051" w:type="dxa"/>
            <w:shd w:val="clear" w:color="auto" w:fill="99FF99"/>
            <w:vAlign w:val="center"/>
          </w:tcPr>
          <w:p w:rsidR="00AF40E2" w:rsidRPr="00E07570" w:rsidRDefault="00AF40E2" w:rsidP="00CF30E3">
            <w:pPr>
              <w:spacing w:before="60" w:after="60"/>
              <w:ind w:right="113"/>
              <w:jc w:val="center"/>
              <w:rPr>
                <w:iCs/>
              </w:rPr>
            </w:pPr>
          </w:p>
        </w:tc>
        <w:tc>
          <w:tcPr>
            <w:tcW w:w="5319" w:type="dxa"/>
            <w:shd w:val="clear" w:color="auto" w:fill="auto"/>
            <w:vAlign w:val="center"/>
          </w:tcPr>
          <w:p w:rsidR="00AF40E2" w:rsidRPr="00E07570" w:rsidRDefault="00AF40E2" w:rsidP="00CF30E3">
            <w:pPr>
              <w:spacing w:before="60" w:after="60"/>
              <w:ind w:right="113"/>
              <w:jc w:val="center"/>
              <w:rPr>
                <w:iCs/>
              </w:rPr>
            </w:pPr>
            <w:r w:rsidRPr="00E07570">
              <w:rPr>
                <w:iCs/>
              </w:rPr>
              <w:t>0 dB</w:t>
            </w:r>
          </w:p>
        </w:tc>
      </w:tr>
      <w:tr w:rsidR="00AF40E2" w:rsidRPr="00E07570" w:rsidTr="00CF30E3">
        <w:tc>
          <w:tcPr>
            <w:tcW w:w="2051" w:type="dxa"/>
            <w:shd w:val="clear" w:color="auto" w:fill="FFCCCC"/>
            <w:vAlign w:val="center"/>
          </w:tcPr>
          <w:p w:rsidR="00AF40E2" w:rsidRPr="00E07570" w:rsidRDefault="00AF40E2" w:rsidP="00CF30E3">
            <w:pPr>
              <w:spacing w:before="60" w:after="60"/>
              <w:ind w:right="113"/>
              <w:jc w:val="center"/>
              <w:rPr>
                <w:iCs/>
              </w:rPr>
            </w:pPr>
            <w:r w:rsidRPr="00E07570">
              <w:rPr>
                <w:iCs/>
              </w:rPr>
              <w:t>Zone A</w:t>
            </w:r>
          </w:p>
        </w:tc>
        <w:tc>
          <w:tcPr>
            <w:tcW w:w="5319" w:type="dxa"/>
            <w:shd w:val="clear" w:color="auto" w:fill="auto"/>
            <w:vAlign w:val="center"/>
          </w:tcPr>
          <w:p w:rsidR="00AF40E2" w:rsidRPr="00E07570" w:rsidRDefault="00AF40E2" w:rsidP="00CF30E3">
            <w:pPr>
              <w:spacing w:before="60" w:after="60"/>
              <w:ind w:right="113"/>
              <w:jc w:val="center"/>
              <w:rPr>
                <w:bCs/>
                <w:iCs/>
              </w:rPr>
            </w:pPr>
            <w:r w:rsidRPr="00E07570">
              <w:rPr>
                <w:iCs/>
              </w:rPr>
              <w:t>-100 dB</w:t>
            </w:r>
            <w:r w:rsidRPr="00E07570">
              <w:rPr>
                <w:b/>
                <w:iCs/>
              </w:rPr>
              <w:t xml:space="preserve"> </w:t>
            </w:r>
            <w:r w:rsidRPr="00E07570">
              <w:rPr>
                <w:bCs/>
                <w:iCs/>
              </w:rPr>
              <w:t>ou interruption du signal</w:t>
            </w:r>
          </w:p>
        </w:tc>
      </w:tr>
    </w:tbl>
    <w:p w:rsidR="00AF40E2" w:rsidRPr="00E07570" w:rsidRDefault="00AF40E2" w:rsidP="007C4496">
      <w:pPr>
        <w:pStyle w:val="SingleTxtG"/>
        <w:spacing w:before="240"/>
        <w:ind w:left="2268" w:hanging="1134"/>
      </w:pPr>
      <w:r w:rsidRPr="00E07570">
        <w:t>2.</w:t>
      </w:r>
      <w:r w:rsidRPr="00E07570">
        <w:tab/>
        <w:t>Procédures d</w:t>
      </w:r>
      <w:r w:rsidR="00145E4B">
        <w:t>’</w:t>
      </w:r>
      <w:r w:rsidRPr="00E07570">
        <w:t>essai</w:t>
      </w:r>
    </w:p>
    <w:p w:rsidR="00AF40E2" w:rsidRPr="00E07570" w:rsidRDefault="00AF40E2" w:rsidP="007C4496">
      <w:pPr>
        <w:pStyle w:val="SingleTxtG"/>
        <w:ind w:left="2268" w:hanging="1134"/>
      </w:pPr>
      <w:r w:rsidRPr="00E07570">
        <w:t>2.1</w:t>
      </w:r>
      <w:r w:rsidRPr="00E07570">
        <w:tab/>
        <w:t>Essai d</w:t>
      </w:r>
      <w:r w:rsidR="00145E4B">
        <w:t>’</w:t>
      </w:r>
      <w:r w:rsidRPr="00E07570">
        <w:t>émission de messages NMEA-0183</w:t>
      </w:r>
      <w:r w:rsidR="007C4496" w:rsidRPr="00E07570">
        <w:t>.</w:t>
      </w:r>
    </w:p>
    <w:p w:rsidR="00AF40E2" w:rsidRPr="00E07570" w:rsidRDefault="00AF40E2" w:rsidP="007C4496">
      <w:pPr>
        <w:pStyle w:val="SingleTxtG"/>
        <w:ind w:left="2268" w:hanging="1134"/>
      </w:pPr>
      <w:r w:rsidRPr="00E07570">
        <w:t>2.1.1</w:t>
      </w:r>
      <w:r w:rsidRPr="00E07570">
        <w:tab/>
        <w:t>Établir des connexions conformément à la figure</w:t>
      </w:r>
      <w:r w:rsidR="007C4496" w:rsidRPr="00E07570">
        <w:t> </w:t>
      </w:r>
      <w:r w:rsidRPr="00E07570">
        <w:t>2</w:t>
      </w:r>
      <w:r w:rsidR="007C4496" w:rsidRPr="00E07570">
        <w:t>.</w:t>
      </w:r>
    </w:p>
    <w:p w:rsidR="00AF40E2" w:rsidRPr="00E07570" w:rsidRDefault="00AF40E2" w:rsidP="00AF40E2">
      <w:pPr>
        <w:pStyle w:val="Heading1"/>
        <w:spacing w:after="120"/>
        <w:rPr>
          <w:b/>
          <w:bCs/>
        </w:rPr>
      </w:pPr>
      <w:r w:rsidRPr="00E07570">
        <w:t>Figure 2</w:t>
      </w:r>
      <w:r w:rsidR="007C4496" w:rsidRPr="00E07570">
        <w:t xml:space="preserve"> </w:t>
      </w:r>
      <w:r w:rsidRPr="00E07570">
        <w:br/>
      </w:r>
      <w:r w:rsidRPr="00E07570">
        <w:rPr>
          <w:b/>
        </w:rPr>
        <w:t>Organigramme de l</w:t>
      </w:r>
      <w:r w:rsidR="00145E4B">
        <w:rPr>
          <w:b/>
        </w:rPr>
        <w:t>’</w:t>
      </w:r>
      <w:r w:rsidRPr="00E07570">
        <w:rPr>
          <w:b/>
        </w:rPr>
        <w:t>installation d</w:t>
      </w:r>
      <w:r w:rsidR="00145E4B">
        <w:rPr>
          <w:b/>
        </w:rPr>
        <w:t>’</w:t>
      </w:r>
      <w:r w:rsidRPr="00E07570">
        <w:rPr>
          <w:b/>
        </w:rPr>
        <w:t>essai</w:t>
      </w:r>
    </w:p>
    <w:p w:rsidR="00AF40E2" w:rsidRPr="00E07570" w:rsidRDefault="00AF40E2" w:rsidP="007C4496">
      <w:pPr>
        <w:pStyle w:val="SingleTxtG"/>
        <w:spacing w:after="240"/>
      </w:pPr>
      <w:r w:rsidRPr="00E07570">
        <w:rPr>
          <w:noProof/>
          <w:lang w:val="en-GB" w:eastAsia="en-GB"/>
        </w:rPr>
        <mc:AlternateContent>
          <mc:Choice Requires="wps">
            <w:drawing>
              <wp:anchor distT="0" distB="0" distL="114300" distR="114300" simplePos="0" relativeHeight="251667456" behindDoc="0" locked="0" layoutInCell="1" allowOverlap="1" wp14:anchorId="3D435A53" wp14:editId="5BECF492">
                <wp:simplePos x="0" y="0"/>
                <wp:positionH relativeFrom="column">
                  <wp:posOffset>2322830</wp:posOffset>
                </wp:positionH>
                <wp:positionV relativeFrom="paragraph">
                  <wp:posOffset>13335</wp:posOffset>
                </wp:positionV>
                <wp:extent cx="1442720" cy="359410"/>
                <wp:effectExtent l="0" t="0" r="24130" b="21590"/>
                <wp:wrapNone/>
                <wp:docPr id="73" name="Flowchart: Process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359410"/>
                        </a:xfrm>
                        <a:prstGeom prst="flowChartProcess">
                          <a:avLst/>
                        </a:prstGeom>
                        <a:solidFill>
                          <a:srgbClr val="FFFFFF"/>
                        </a:solidFill>
                        <a:ln w="9525">
                          <a:solidFill>
                            <a:srgbClr val="000000"/>
                          </a:solidFill>
                          <a:miter lim="800000"/>
                          <a:headEnd/>
                          <a:tailEnd/>
                        </a:ln>
                      </wps:spPr>
                      <wps:txbx>
                        <w:txbxContent>
                          <w:p w:rsidR="00145E4B" w:rsidRPr="00B93BCE" w:rsidRDefault="00145E4B" w:rsidP="00AF40E2">
                            <w:pPr>
                              <w:spacing w:line="240" w:lineRule="auto"/>
                              <w:jc w:val="center"/>
                              <w:rPr>
                                <w:b/>
                                <w:lang w:val="en-US"/>
                              </w:rPr>
                            </w:pPr>
                            <w:r w:rsidRPr="00B93BCE">
                              <w:rPr>
                                <w:lang w:val="en-US"/>
                              </w:rPr>
                              <w:t>AECD/AECS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73" o:spid="_x0000_s1054" type="#_x0000_t109" style="position:absolute;left:0;text-align:left;margin-left:182.9pt;margin-top:1.05pt;width:113.6pt;height:2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">
                <v:textbox inset="0,0,0,0">
                  <w:txbxContent>
                    <w:p w:rsidR="00145E4B" w:rsidRPr="00B93BCE" w:rsidRDefault="00145E4B" w:rsidP="00AF40E2">
                      <w:pPr>
                        <w:spacing w:line="240" w:lineRule="auto"/>
                        <w:jc w:val="center"/>
                        <w:rPr>
                          <w:b/>
                          <w:lang w:val="en-US"/>
                        </w:rPr>
                      </w:pPr>
                      <w:r w:rsidRPr="00B93BCE">
                        <w:rPr>
                          <w:lang w:val="en-US"/>
                        </w:rPr>
                        <w:t>AECD/AECS</w:t>
                      </w:r>
                    </w:p>
                  </w:txbxContent>
                </v:textbox>
              </v:shape>
            </w:pict>
          </mc:Fallback>
        </mc:AlternateContent>
      </w:r>
      <w:r w:rsidRPr="00E07570">
        <w:rPr>
          <w:noProof/>
          <w:lang w:val="en-GB" w:eastAsia="en-GB"/>
        </w:rPr>
        <mc:AlternateContent>
          <mc:Choice Requires="wps">
            <w:drawing>
              <wp:anchor distT="4294967294" distB="4294967294" distL="114300" distR="114300" simplePos="0" relativeHeight="251671552" behindDoc="0" locked="0" layoutInCell="1" allowOverlap="1" wp14:anchorId="2C6F7DC0" wp14:editId="4C37FA21">
                <wp:simplePos x="0" y="0"/>
                <wp:positionH relativeFrom="column">
                  <wp:posOffset>2071370</wp:posOffset>
                </wp:positionH>
                <wp:positionV relativeFrom="paragraph">
                  <wp:posOffset>195580</wp:posOffset>
                </wp:positionV>
                <wp:extent cx="250825" cy="0"/>
                <wp:effectExtent l="0" t="76200" r="15875" b="9525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0" o:spid="_x0000_s1026" type="#_x0000_t32" style="position:absolute;margin-left:163.1pt;margin-top:15.4pt;width:19.75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">
                <v:stroke endarrow="block"/>
              </v:shape>
            </w:pict>
          </mc:Fallback>
        </mc:AlternateContent>
      </w:r>
      <w:r w:rsidRPr="00E07570">
        <w:rPr>
          <w:noProof/>
          <w:lang w:val="en-GB" w:eastAsia="en-GB"/>
        </w:rPr>
        <mc:AlternateContent>
          <mc:Choice Requires="wps">
            <w:drawing>
              <wp:anchor distT="4294967294" distB="4294967294" distL="114300" distR="114300" simplePos="0" relativeHeight="251672576" behindDoc="0" locked="0" layoutInCell="1" allowOverlap="1" wp14:anchorId="1A83937D" wp14:editId="44BDF189">
                <wp:simplePos x="0" y="0"/>
                <wp:positionH relativeFrom="column">
                  <wp:posOffset>3759200</wp:posOffset>
                </wp:positionH>
                <wp:positionV relativeFrom="paragraph">
                  <wp:posOffset>195580</wp:posOffset>
                </wp:positionV>
                <wp:extent cx="255270" cy="0"/>
                <wp:effectExtent l="38100" t="76200" r="0" b="9525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52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1" o:spid="_x0000_s1026" type="#_x0000_t32" style="position:absolute;margin-left:296pt;margin-top:15.4pt;width:20.1pt;height:0;flip:x;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">
                <v:stroke endarrow="block"/>
              </v:shape>
            </w:pict>
          </mc:Fallback>
        </mc:AlternateContent>
      </w:r>
      <w:r w:rsidRPr="00E07570">
        <w:rPr>
          <w:noProof/>
          <w:lang w:val="en-GB" w:eastAsia="en-GB"/>
        </w:rPr>
        <mc:AlternateContent>
          <mc:Choice Requires="wps">
            <w:drawing>
              <wp:anchor distT="0" distB="0" distL="114298" distR="114298" simplePos="0" relativeHeight="251673600" behindDoc="0" locked="0" layoutInCell="1" allowOverlap="1" wp14:anchorId="45E7E76A" wp14:editId="6CA5B4C2">
                <wp:simplePos x="0" y="0"/>
                <wp:positionH relativeFrom="column">
                  <wp:posOffset>3046692</wp:posOffset>
                </wp:positionH>
                <wp:positionV relativeFrom="paragraph">
                  <wp:posOffset>366509</wp:posOffset>
                </wp:positionV>
                <wp:extent cx="0" cy="443552"/>
                <wp:effectExtent l="76200" t="0" r="57150" b="5207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5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 o:spid="_x0000_s1026" type="#_x0000_t32" style="position:absolute;margin-left:239.9pt;margin-top:28.85pt;width:0;height:34.9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">
                <v:stroke endarrow="block"/>
              </v:shape>
            </w:pict>
          </mc:Fallback>
        </mc:AlternateContent>
      </w:r>
      <w:r w:rsidRPr="00E07570">
        <w:rPr>
          <w:noProof/>
          <w:lang w:val="en-GB" w:eastAsia="en-GB"/>
        </w:rPr>
        <mc:AlternateContent>
          <mc:Choice Requires="wps">
            <w:drawing>
              <wp:anchor distT="0" distB="0" distL="114300" distR="114300" simplePos="0" relativeHeight="251668480" behindDoc="0" locked="0" layoutInCell="1" allowOverlap="1" wp14:anchorId="2C145BDB" wp14:editId="2414B142">
                <wp:simplePos x="0" y="0"/>
                <wp:positionH relativeFrom="column">
                  <wp:posOffset>2317115</wp:posOffset>
                </wp:positionH>
                <wp:positionV relativeFrom="paragraph">
                  <wp:posOffset>811530</wp:posOffset>
                </wp:positionV>
                <wp:extent cx="1442720" cy="359410"/>
                <wp:effectExtent l="0" t="0" r="24130" b="21590"/>
                <wp:wrapNone/>
                <wp:docPr id="69" name="Flowchart: Process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359410"/>
                        </a:xfrm>
                        <a:prstGeom prst="flowChartProcess">
                          <a:avLst/>
                        </a:prstGeom>
                        <a:solidFill>
                          <a:srgbClr val="FFFFFF"/>
                        </a:solidFill>
                        <a:ln w="9525">
                          <a:solidFill>
                            <a:srgbClr val="000000"/>
                          </a:solidFill>
                          <a:miter lim="800000"/>
                          <a:headEnd/>
                          <a:tailEnd/>
                        </a:ln>
                      </wps:spPr>
                      <wps:txbx>
                        <w:txbxContent>
                          <w:p w:rsidR="00145E4B" w:rsidRPr="00B93BCE" w:rsidRDefault="00145E4B" w:rsidP="00AF40E2">
                            <w:pPr>
                              <w:spacing w:line="240" w:lineRule="auto"/>
                              <w:jc w:val="center"/>
                              <w:rPr>
                                <w:lang w:val="en-US"/>
                              </w:rPr>
                            </w:pPr>
                            <w:r w:rsidRPr="00B93BCE">
                              <w:rPr>
                                <w:lang w:val="en-US"/>
                              </w:rPr>
                              <w:t>PC</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69" o:spid="_x0000_s1055" type="#_x0000_t109" style="position:absolute;left:0;text-align:left;margin-left:182.45pt;margin-top:63.9pt;width:113.6pt;height:2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">
                <v:textbox inset="0,0,0,0">
                  <w:txbxContent>
                    <w:p w:rsidR="00145E4B" w:rsidRPr="00B93BCE" w:rsidRDefault="00145E4B" w:rsidP="00AF40E2">
                      <w:pPr>
                        <w:spacing w:line="240" w:lineRule="auto"/>
                        <w:jc w:val="center"/>
                        <w:rPr>
                          <w:lang w:val="en-US"/>
                        </w:rPr>
                      </w:pPr>
                      <w:r w:rsidRPr="00B93BCE">
                        <w:rPr>
                          <w:lang w:val="en-US"/>
                        </w:rPr>
                        <w:t>PC</w:t>
                      </w:r>
                    </w:p>
                  </w:txbxContent>
                </v:textbox>
              </v:shape>
            </w:pict>
          </mc:Fallback>
        </mc:AlternateContent>
      </w:r>
      <w:r w:rsidRPr="00E07570">
        <w:rPr>
          <w:noProof/>
          <w:lang w:val="en-GB" w:eastAsia="en-GB"/>
        </w:rPr>
        <mc:AlternateContent>
          <mc:Choice Requires="wps">
            <w:drawing>
              <wp:anchor distT="0" distB="0" distL="114300" distR="114300" simplePos="0" relativeHeight="251669504" behindDoc="0" locked="0" layoutInCell="1" allowOverlap="1" wp14:anchorId="48E0FC81" wp14:editId="7A43BE4C">
                <wp:simplePos x="0" y="0"/>
                <wp:positionH relativeFrom="column">
                  <wp:posOffset>4017645</wp:posOffset>
                </wp:positionH>
                <wp:positionV relativeFrom="paragraph">
                  <wp:posOffset>6985</wp:posOffset>
                </wp:positionV>
                <wp:extent cx="1331595" cy="360000"/>
                <wp:effectExtent l="0" t="0" r="20955" b="21590"/>
                <wp:wrapNone/>
                <wp:docPr id="76" name="Flowchart: Process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1595" cy="360000"/>
                        </a:xfrm>
                        <a:prstGeom prst="flowChartProcess">
                          <a:avLst/>
                        </a:prstGeom>
                        <a:solidFill>
                          <a:srgbClr val="FFFFFF"/>
                        </a:solidFill>
                        <a:ln w="9525">
                          <a:solidFill>
                            <a:srgbClr val="000000"/>
                          </a:solidFill>
                          <a:miter lim="800000"/>
                          <a:headEnd/>
                          <a:tailEnd/>
                        </a:ln>
                      </wps:spPr>
                      <wps:txbx>
                        <w:txbxContent>
                          <w:p w:rsidR="00145E4B" w:rsidRPr="00576244" w:rsidRDefault="00145E4B" w:rsidP="00AF40E2">
                            <w:pPr>
                              <w:spacing w:line="240" w:lineRule="auto"/>
                              <w:ind w:left="57" w:right="57"/>
                              <w:jc w:val="center"/>
                            </w:pPr>
                            <w:r w:rsidRPr="00576244">
                              <w:t>Adaptateur de l’alimentation électrique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76" o:spid="_x0000_s1056" type="#_x0000_t109" style="position:absolute;left:0;text-align:left;margin-left:316.35pt;margin-top:.55pt;width:104.8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">
                <v:textbox inset="0,0,0,0">
                  <w:txbxContent>
                    <w:p w:rsidR="00145E4B" w:rsidRPr="00576244" w:rsidRDefault="00145E4B" w:rsidP="00AF40E2">
                      <w:pPr>
                        <w:spacing w:line="240" w:lineRule="auto"/>
                        <w:ind w:left="57" w:right="57"/>
                        <w:jc w:val="center"/>
                      </w:pPr>
                      <w:r w:rsidRPr="00576244">
                        <w:t>Adaptateur de l’alimentation électrique</w:t>
                      </w:r>
                    </w:p>
                  </w:txbxContent>
                </v:textbox>
              </v:shape>
            </w:pict>
          </mc:Fallback>
        </mc:AlternateContent>
      </w:r>
      <w:r w:rsidRPr="00E07570">
        <w:rPr>
          <w:noProof/>
          <w:lang w:val="en-GB" w:eastAsia="en-GB"/>
        </w:rPr>
        <mc:AlternateContent>
          <mc:Choice Requires="wps">
            <w:drawing>
              <wp:anchor distT="0" distB="0" distL="114300" distR="114300" simplePos="0" relativeHeight="251670528" behindDoc="0" locked="0" layoutInCell="1" allowOverlap="1" wp14:anchorId="13E856DC" wp14:editId="5358E2F4">
                <wp:simplePos x="0" y="0"/>
                <wp:positionH relativeFrom="column">
                  <wp:posOffset>739775</wp:posOffset>
                </wp:positionH>
                <wp:positionV relativeFrom="paragraph">
                  <wp:posOffset>6985</wp:posOffset>
                </wp:positionV>
                <wp:extent cx="1332000" cy="360000"/>
                <wp:effectExtent l="0" t="0" r="20955" b="21590"/>
                <wp:wrapNone/>
                <wp:docPr id="75" name="Flowchart: Process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000" cy="360000"/>
                        </a:xfrm>
                        <a:prstGeom prst="flowChartProcess">
                          <a:avLst/>
                        </a:prstGeom>
                        <a:solidFill>
                          <a:srgbClr val="FFFFFF"/>
                        </a:solidFill>
                        <a:ln w="9525">
                          <a:solidFill>
                            <a:srgbClr val="000000"/>
                          </a:solidFill>
                          <a:miter lim="800000"/>
                          <a:headEnd/>
                          <a:tailEnd/>
                        </a:ln>
                      </wps:spPr>
                      <wps:txbx>
                        <w:txbxContent>
                          <w:p w:rsidR="00145E4B" w:rsidRPr="00576244" w:rsidRDefault="00145E4B" w:rsidP="00AF40E2">
                            <w:pPr>
                              <w:spacing w:line="240" w:lineRule="auto"/>
                              <w:jc w:val="center"/>
                            </w:pPr>
                            <w:r w:rsidRPr="00576244">
                              <w:t>Simulateur de signaux</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75" o:spid="_x0000_s1057" type="#_x0000_t109" style="position:absolute;left:0;text-align:left;margin-left:58.25pt;margin-top:.55pt;width:104.9pt;height:2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">
                <v:textbox inset="0,0,0,0">
                  <w:txbxContent>
                    <w:p w:rsidR="00145E4B" w:rsidRPr="00576244" w:rsidRDefault="00145E4B" w:rsidP="00AF40E2">
                      <w:pPr>
                        <w:spacing w:line="240" w:lineRule="auto"/>
                        <w:jc w:val="center"/>
                      </w:pPr>
                      <w:r w:rsidRPr="00576244">
                        <w:t>Simulateur de signaux</w:t>
                      </w:r>
                    </w:p>
                  </w:txbxContent>
                </v:textbox>
              </v:shape>
            </w:pict>
          </mc:Fallback>
        </mc:AlternateContent>
      </w:r>
      <w:r w:rsidRPr="00E07570">
        <w:rPr>
          <w:noProof/>
          <w:lang w:val="en-GB" w:eastAsia="en-GB"/>
        </w:rPr>
        <mc:AlternateContent>
          <mc:Choice Requires="wps">
            <w:drawing>
              <wp:inline distT="0" distB="0" distL="0" distR="0" wp14:anchorId="14078ADA" wp14:editId="0066895E">
                <wp:extent cx="4640239" cy="1187355"/>
                <wp:effectExtent l="0" t="0" r="8255" b="13335"/>
                <wp:docPr id="4" name="Zone de texte 4"/>
                <wp:cNvGraphicFramePr/>
                <a:graphic xmlns:a="http://schemas.openxmlformats.org/drawingml/2006/main">
                  <a:graphicData uri="http://schemas.microsoft.com/office/word/2010/wordprocessingShape">
                    <wps:wsp>
                      <wps:cNvSpPr txBox="1"/>
                      <wps:spPr>
                        <a:xfrm>
                          <a:off x="0" y="0"/>
                          <a:ext cx="4640239" cy="1187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E4B" w:rsidRDefault="00145E4B" w:rsidP="00AF40E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id="Zone de texte 4" o:spid="_x0000_s1058" type="#_x0000_t202" style="width:365.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" filled="f" stroked="f" strokeweight=".5pt">
                <v:textbox inset="0,0,0,0">
                  <w:txbxContent>
                    <w:p w:rsidR="00145E4B" w:rsidRDefault="00145E4B" w:rsidP="00AF40E2"/>
                  </w:txbxContent>
                </v:textbox>
                <w10:anchorlock/>
              </v:shape>
            </w:pict>
          </mc:Fallback>
        </mc:AlternateContent>
      </w:r>
    </w:p>
    <w:p w:rsidR="00AF40E2" w:rsidRPr="00E07570" w:rsidRDefault="00AF40E2" w:rsidP="006E3A9C">
      <w:pPr>
        <w:pStyle w:val="SingleTxtG"/>
        <w:ind w:left="2268" w:hanging="1134"/>
      </w:pPr>
      <w:r w:rsidRPr="00E07570">
        <w:t>2.1.2</w:t>
      </w:r>
      <w:r w:rsidRPr="00E07570">
        <w:tab/>
        <w:t>Préparer et allumer l</w:t>
      </w:r>
      <w:r w:rsidR="00145E4B">
        <w:t>’</w:t>
      </w:r>
      <w:r w:rsidRPr="00E07570">
        <w:t>AECD/AECS. À l</w:t>
      </w:r>
      <w:r w:rsidR="00145E4B">
        <w:t>’</w:t>
      </w:r>
      <w:r w:rsidRPr="00E07570">
        <w:t>aide du mode d</w:t>
      </w:r>
      <w:r w:rsidR="00145E4B">
        <w:t>’</w:t>
      </w:r>
      <w:r w:rsidRPr="00E07570">
        <w:t xml:space="preserve">emploi et du logiciel fournis par le fabriquant, régler le récepteur GNSS pour traiter les signaux émis par les systèmes GLONASS, </w:t>
      </w:r>
      <w:r w:rsidR="002B669D" w:rsidRPr="00E07570">
        <w:t>Galileo</w:t>
      </w:r>
      <w:r w:rsidRPr="00E07570">
        <w:t>, GPS et SBAS. Régler le récepteur GNSS pour émettre des messages NMEA-0183 (messages RMC, GGA, VTG, GSA et GSV).</w:t>
      </w:r>
    </w:p>
    <w:p w:rsidR="00AF40E2" w:rsidRPr="00E07570" w:rsidRDefault="00AF40E2" w:rsidP="006E3A9C">
      <w:pPr>
        <w:pStyle w:val="SingleTxtG"/>
        <w:ind w:left="2268" w:hanging="1134"/>
      </w:pPr>
      <w:r w:rsidRPr="00E07570">
        <w:t>2.1.3</w:t>
      </w:r>
      <w:r w:rsidRPr="00E07570">
        <w:tab/>
        <w:t>Régler le simulateur en suivant le mode d</w:t>
      </w:r>
      <w:r w:rsidR="00145E4B">
        <w:t>’</w:t>
      </w:r>
      <w:r w:rsidRPr="00E07570">
        <w:t>emploi. Initialiser le simulateur à l</w:t>
      </w:r>
      <w:r w:rsidR="00145E4B">
        <w:t>’</w:t>
      </w:r>
      <w:r w:rsidRPr="00E07570">
        <w:t>aide des paramètres indiqués au tableau </w:t>
      </w:r>
      <w:r w:rsidR="00AA219E" w:rsidRPr="00E07570">
        <w:rPr>
          <w:b/>
        </w:rPr>
        <w:t>7</w:t>
      </w:r>
      <w:r w:rsidRPr="00E07570">
        <w:t xml:space="preserve"> pour les signaux émis par les systèmes GLONASS, </w:t>
      </w:r>
      <w:r w:rsidR="002B669D" w:rsidRPr="00E07570">
        <w:t>Galileo</w:t>
      </w:r>
      <w:r w:rsidRPr="00E07570">
        <w:t>, GPS et SBAS.</w:t>
      </w:r>
    </w:p>
    <w:p w:rsidR="00AF40E2" w:rsidRPr="00E07570" w:rsidRDefault="00AF40E2" w:rsidP="00AF40E2">
      <w:pPr>
        <w:pStyle w:val="Heading1"/>
        <w:spacing w:after="120"/>
        <w:rPr>
          <w:b/>
        </w:rPr>
      </w:pPr>
      <w:r w:rsidRPr="00E07570">
        <w:rPr>
          <w:iCs/>
        </w:rPr>
        <w:t xml:space="preserve">Tableau </w:t>
      </w:r>
      <w:r w:rsidR="00692315" w:rsidRPr="00E07570">
        <w:rPr>
          <w:iCs/>
        </w:rPr>
        <w:t>7</w:t>
      </w:r>
      <w:r w:rsidRPr="00E07570">
        <w:rPr>
          <w:iCs/>
        </w:rPr>
        <w:br/>
      </w:r>
      <w:r w:rsidRPr="00E07570">
        <w:rPr>
          <w:b/>
        </w:rPr>
        <w:t>Principaux paramètres du scénario de simulation en mode statique</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65"/>
        <w:gridCol w:w="3905"/>
      </w:tblGrid>
      <w:tr w:rsidR="00AF40E2" w:rsidRPr="00E07570" w:rsidTr="00CF30E3">
        <w:trPr>
          <w:tblHeader/>
        </w:trPr>
        <w:tc>
          <w:tcPr>
            <w:tcW w:w="3465" w:type="dxa"/>
            <w:tcBorders>
              <w:bottom w:val="single" w:sz="12" w:space="0" w:color="auto"/>
            </w:tcBorders>
            <w:shd w:val="clear" w:color="auto" w:fill="auto"/>
            <w:vAlign w:val="bottom"/>
          </w:tcPr>
          <w:p w:rsidR="00AF40E2" w:rsidRPr="00E07570" w:rsidRDefault="00AF40E2" w:rsidP="006E3A9C">
            <w:pPr>
              <w:spacing w:before="80" w:after="80" w:line="200" w:lineRule="exact"/>
              <w:ind w:left="57" w:right="57"/>
              <w:rPr>
                <w:i/>
                <w:sz w:val="16"/>
                <w:szCs w:val="16"/>
              </w:rPr>
            </w:pPr>
            <w:r w:rsidRPr="00E07570">
              <w:rPr>
                <w:i/>
                <w:sz w:val="16"/>
                <w:szCs w:val="16"/>
              </w:rPr>
              <w:t>Paramètre simulé</w:t>
            </w:r>
          </w:p>
        </w:tc>
        <w:tc>
          <w:tcPr>
            <w:tcW w:w="3905" w:type="dxa"/>
            <w:tcBorders>
              <w:bottom w:val="single" w:sz="12" w:space="0" w:color="auto"/>
            </w:tcBorders>
            <w:shd w:val="clear" w:color="auto" w:fill="auto"/>
            <w:vAlign w:val="bottom"/>
          </w:tcPr>
          <w:p w:rsidR="00AF40E2" w:rsidRPr="00E07570" w:rsidRDefault="00AF40E2" w:rsidP="006E3A9C">
            <w:pPr>
              <w:spacing w:before="80" w:after="80" w:line="200" w:lineRule="exact"/>
              <w:ind w:left="57" w:right="57"/>
              <w:rPr>
                <w:i/>
                <w:sz w:val="16"/>
                <w:szCs w:val="16"/>
              </w:rPr>
            </w:pPr>
            <w:r w:rsidRPr="00E07570">
              <w:rPr>
                <w:i/>
                <w:sz w:val="16"/>
                <w:szCs w:val="16"/>
              </w:rPr>
              <w:t>Valeur</w:t>
            </w:r>
          </w:p>
        </w:tc>
      </w:tr>
      <w:tr w:rsidR="00AF40E2" w:rsidRPr="00E07570" w:rsidTr="00CF30E3">
        <w:tc>
          <w:tcPr>
            <w:tcW w:w="3465" w:type="dxa"/>
            <w:tcBorders>
              <w:top w:val="single" w:sz="12" w:space="0" w:color="auto"/>
            </w:tcBorders>
            <w:shd w:val="clear" w:color="auto" w:fill="auto"/>
          </w:tcPr>
          <w:p w:rsidR="00AF40E2" w:rsidRPr="00E07570" w:rsidRDefault="00AF40E2" w:rsidP="00AA219E">
            <w:pPr>
              <w:spacing w:before="60" w:after="60"/>
              <w:ind w:left="57" w:right="57"/>
              <w:rPr>
                <w:iCs/>
              </w:rPr>
            </w:pPr>
            <w:r w:rsidRPr="00E07570">
              <w:rPr>
                <w:iCs/>
              </w:rPr>
              <w:t>Durée de l</w:t>
            </w:r>
            <w:r w:rsidR="00145E4B">
              <w:rPr>
                <w:iCs/>
              </w:rPr>
              <w:t>’</w:t>
            </w:r>
            <w:r w:rsidRPr="00E07570">
              <w:rPr>
                <w:iCs/>
              </w:rPr>
              <w:t>essai (</w:t>
            </w:r>
            <w:r w:rsidR="00AA219E" w:rsidRPr="00E07570">
              <w:rPr>
                <w:iCs/>
              </w:rPr>
              <w:t>h </w:t>
            </w:r>
            <w:proofErr w:type="gramStart"/>
            <w:r w:rsidR="00AA219E" w:rsidRPr="00E07570">
              <w:rPr>
                <w:iCs/>
              </w:rPr>
              <w:t>:min</w:t>
            </w:r>
            <w:proofErr w:type="gramEnd"/>
            <w:r w:rsidR="00AA219E" w:rsidRPr="00E07570">
              <w:rPr>
                <w:iCs/>
              </w:rPr>
              <w:t> :</w:t>
            </w:r>
            <w:r w:rsidRPr="00E07570">
              <w:rPr>
                <w:iCs/>
              </w:rPr>
              <w:t>s)</w:t>
            </w:r>
          </w:p>
        </w:tc>
        <w:tc>
          <w:tcPr>
            <w:tcW w:w="3905" w:type="dxa"/>
            <w:tcBorders>
              <w:top w:val="single" w:sz="12" w:space="0" w:color="auto"/>
            </w:tcBorders>
            <w:shd w:val="clear" w:color="auto" w:fill="auto"/>
          </w:tcPr>
          <w:p w:rsidR="00AF40E2" w:rsidRPr="00E07570" w:rsidRDefault="00AF40E2" w:rsidP="006E3A9C">
            <w:pPr>
              <w:spacing w:before="60" w:after="60"/>
              <w:ind w:left="57" w:right="57"/>
              <w:rPr>
                <w:iCs/>
              </w:rPr>
            </w:pPr>
            <w:r w:rsidRPr="00E07570">
              <w:rPr>
                <w:iCs/>
              </w:rPr>
              <w:t>01:00:00</w:t>
            </w:r>
          </w:p>
        </w:tc>
      </w:tr>
      <w:tr w:rsidR="00AF40E2" w:rsidRPr="00E07570" w:rsidTr="00CF30E3">
        <w:tc>
          <w:tcPr>
            <w:tcW w:w="3465" w:type="dxa"/>
            <w:shd w:val="clear" w:color="auto" w:fill="auto"/>
          </w:tcPr>
          <w:p w:rsidR="00AF40E2" w:rsidRPr="00E07570" w:rsidRDefault="00AF40E2" w:rsidP="006E3A9C">
            <w:pPr>
              <w:spacing w:before="60" w:after="60"/>
              <w:ind w:left="57" w:right="57"/>
              <w:rPr>
                <w:iCs/>
              </w:rPr>
            </w:pPr>
            <w:r w:rsidRPr="00E07570">
              <w:rPr>
                <w:iCs/>
              </w:rPr>
              <w:t>Fréquence de sortie</w:t>
            </w:r>
          </w:p>
        </w:tc>
        <w:tc>
          <w:tcPr>
            <w:tcW w:w="3905" w:type="dxa"/>
            <w:shd w:val="clear" w:color="auto" w:fill="auto"/>
          </w:tcPr>
          <w:p w:rsidR="00AF40E2" w:rsidRPr="00E07570" w:rsidDel="00F16A40" w:rsidRDefault="00692315" w:rsidP="006E3A9C">
            <w:pPr>
              <w:spacing w:before="60" w:after="60"/>
              <w:ind w:left="57" w:right="57"/>
              <w:rPr>
                <w:iCs/>
              </w:rPr>
            </w:pPr>
            <w:r w:rsidRPr="00E07570">
              <w:rPr>
                <w:iCs/>
              </w:rPr>
              <w:t>1 </w:t>
            </w:r>
            <w:r w:rsidR="00AF40E2" w:rsidRPr="00E07570">
              <w:rPr>
                <w:iCs/>
              </w:rPr>
              <w:t>Hz</w:t>
            </w:r>
          </w:p>
        </w:tc>
      </w:tr>
      <w:tr w:rsidR="00AF40E2" w:rsidRPr="00E07570" w:rsidTr="00CF30E3">
        <w:tc>
          <w:tcPr>
            <w:tcW w:w="3465" w:type="dxa"/>
            <w:shd w:val="clear" w:color="auto" w:fill="auto"/>
          </w:tcPr>
          <w:p w:rsidR="00AF40E2" w:rsidRPr="00E07570" w:rsidRDefault="00AF40E2" w:rsidP="006E3A9C">
            <w:pPr>
              <w:spacing w:before="60" w:after="60"/>
              <w:ind w:left="57" w:right="57"/>
              <w:rPr>
                <w:iCs/>
              </w:rPr>
            </w:pPr>
            <w:r w:rsidRPr="00E07570">
              <w:rPr>
                <w:iCs/>
              </w:rPr>
              <w:t>Emplacement de l</w:t>
            </w:r>
            <w:r w:rsidR="00145E4B">
              <w:rPr>
                <w:iCs/>
              </w:rPr>
              <w:t>’</w:t>
            </w:r>
            <w:r w:rsidRPr="00E07570">
              <w:rPr>
                <w:iCs/>
              </w:rPr>
              <w:t>AECD/AECS</w:t>
            </w:r>
          </w:p>
        </w:tc>
        <w:tc>
          <w:tcPr>
            <w:tcW w:w="3905" w:type="dxa"/>
            <w:shd w:val="clear" w:color="auto" w:fill="auto"/>
          </w:tcPr>
          <w:p w:rsidR="00AF40E2" w:rsidRPr="00E07570" w:rsidRDefault="00AF40E2" w:rsidP="00AA219E">
            <w:pPr>
              <w:spacing w:before="60" w:after="60"/>
              <w:ind w:left="57" w:right="57"/>
              <w:rPr>
                <w:b/>
                <w:iCs/>
              </w:rPr>
            </w:pPr>
            <w:r w:rsidRPr="00E07570">
              <w:rPr>
                <w:iCs/>
              </w:rPr>
              <w:t>Tout point terrestre situé entre 80° de latitude</w:t>
            </w:r>
            <w:r w:rsidR="00AA219E" w:rsidRPr="00E07570">
              <w:rPr>
                <w:iCs/>
              </w:rPr>
              <w:t> N</w:t>
            </w:r>
            <w:r w:rsidRPr="00E07570">
              <w:rPr>
                <w:iCs/>
              </w:rPr>
              <w:t xml:space="preserve"> et 80° de latitude </w:t>
            </w:r>
            <w:r w:rsidR="00AA219E" w:rsidRPr="00E07570">
              <w:rPr>
                <w:iCs/>
              </w:rPr>
              <w:t xml:space="preserve">S </w:t>
            </w:r>
            <w:r w:rsidRPr="00E07570">
              <w:rPr>
                <w:iCs/>
              </w:rPr>
              <w:t>dans le système de coordonnées WGS84</w:t>
            </w:r>
            <w:r w:rsidR="00A73F4C" w:rsidRPr="00E07570">
              <w:rPr>
                <w:iCs/>
              </w:rPr>
              <w:t>.</w:t>
            </w:r>
          </w:p>
        </w:tc>
      </w:tr>
      <w:tr w:rsidR="00AF40E2" w:rsidRPr="00E07570" w:rsidTr="00CF30E3">
        <w:tc>
          <w:tcPr>
            <w:tcW w:w="3465" w:type="dxa"/>
            <w:shd w:val="clear" w:color="auto" w:fill="auto"/>
          </w:tcPr>
          <w:p w:rsidR="00AF40E2" w:rsidRPr="00E07570" w:rsidRDefault="00AF40E2" w:rsidP="006E3A9C">
            <w:pPr>
              <w:spacing w:before="60" w:after="60"/>
              <w:ind w:left="57" w:right="57"/>
              <w:rPr>
                <w:iCs/>
              </w:rPr>
            </w:pPr>
            <w:r w:rsidRPr="00E07570">
              <w:rPr>
                <w:iCs/>
              </w:rPr>
              <w:t>Troposphère :</w:t>
            </w:r>
          </w:p>
        </w:tc>
        <w:tc>
          <w:tcPr>
            <w:tcW w:w="3905" w:type="dxa"/>
            <w:shd w:val="clear" w:color="auto" w:fill="auto"/>
          </w:tcPr>
          <w:p w:rsidR="00AF40E2" w:rsidRPr="00E07570" w:rsidRDefault="00AF40E2" w:rsidP="006E3A9C">
            <w:pPr>
              <w:spacing w:before="60" w:after="60"/>
              <w:ind w:left="57" w:right="57"/>
              <w:rPr>
                <w:iCs/>
              </w:rPr>
            </w:pPr>
            <w:r w:rsidRPr="00E07570">
              <w:rPr>
                <w:iCs/>
              </w:rPr>
              <w:t>Modèle normalisé prédéfini par le simulateur de GNSS</w:t>
            </w:r>
            <w:r w:rsidR="00A73F4C" w:rsidRPr="00E07570">
              <w:rPr>
                <w:iCs/>
              </w:rPr>
              <w:t>.</w:t>
            </w:r>
          </w:p>
        </w:tc>
      </w:tr>
      <w:tr w:rsidR="00AF40E2" w:rsidRPr="00E07570" w:rsidTr="00CF30E3">
        <w:tc>
          <w:tcPr>
            <w:tcW w:w="3465" w:type="dxa"/>
            <w:shd w:val="clear" w:color="auto" w:fill="auto"/>
          </w:tcPr>
          <w:p w:rsidR="00AF40E2" w:rsidRPr="00E07570" w:rsidRDefault="00AF40E2" w:rsidP="006E3A9C">
            <w:pPr>
              <w:spacing w:before="60" w:after="60"/>
              <w:ind w:left="57" w:right="57"/>
              <w:rPr>
                <w:iCs/>
              </w:rPr>
            </w:pPr>
            <w:r w:rsidRPr="00E07570">
              <w:rPr>
                <w:iCs/>
              </w:rPr>
              <w:t>Ionosphère :</w:t>
            </w:r>
          </w:p>
        </w:tc>
        <w:tc>
          <w:tcPr>
            <w:tcW w:w="3905" w:type="dxa"/>
            <w:shd w:val="clear" w:color="auto" w:fill="auto"/>
          </w:tcPr>
          <w:p w:rsidR="00AF40E2" w:rsidRPr="00E07570" w:rsidRDefault="00AF40E2" w:rsidP="006E3A9C">
            <w:pPr>
              <w:spacing w:before="60" w:after="60"/>
              <w:ind w:left="57" w:right="57"/>
              <w:rPr>
                <w:iCs/>
              </w:rPr>
            </w:pPr>
            <w:r w:rsidRPr="00E07570">
              <w:rPr>
                <w:iCs/>
              </w:rPr>
              <w:t>Modèle normalisé prédéfini par le simulateur de GNSS</w:t>
            </w:r>
            <w:r w:rsidR="00A73F4C" w:rsidRPr="00E07570">
              <w:rPr>
                <w:iCs/>
              </w:rPr>
              <w:t>.</w:t>
            </w:r>
          </w:p>
        </w:tc>
      </w:tr>
      <w:tr w:rsidR="00AF40E2" w:rsidRPr="00E07570" w:rsidTr="00CF30E3">
        <w:tblPrEx>
          <w:tblLook w:val="0000" w:firstRow="0" w:lastRow="0" w:firstColumn="0" w:lastColumn="0" w:noHBand="0" w:noVBand="0"/>
        </w:tblPrEx>
        <w:tc>
          <w:tcPr>
            <w:tcW w:w="3465" w:type="dxa"/>
            <w:shd w:val="clear" w:color="auto" w:fill="auto"/>
          </w:tcPr>
          <w:p w:rsidR="00AF40E2" w:rsidRPr="00E07570" w:rsidRDefault="00AF40E2" w:rsidP="006E3A9C">
            <w:pPr>
              <w:spacing w:before="60" w:after="60"/>
              <w:ind w:left="57" w:right="57"/>
              <w:rPr>
                <w:iCs/>
              </w:rPr>
            </w:pPr>
            <w:r w:rsidRPr="00E07570">
              <w:rPr>
                <w:iCs/>
              </w:rPr>
              <w:t>Valeur PDOP</w:t>
            </w:r>
          </w:p>
        </w:tc>
        <w:tc>
          <w:tcPr>
            <w:tcW w:w="3905" w:type="dxa"/>
            <w:shd w:val="clear" w:color="auto" w:fill="auto"/>
          </w:tcPr>
          <w:p w:rsidR="00AF40E2" w:rsidRPr="00E07570" w:rsidRDefault="00AF40E2" w:rsidP="006E3A9C">
            <w:pPr>
              <w:spacing w:before="60" w:after="60"/>
              <w:ind w:left="57" w:right="57"/>
              <w:rPr>
                <w:iCs/>
              </w:rPr>
            </w:pPr>
            <w:r w:rsidRPr="00E07570">
              <w:rPr>
                <w:iCs/>
              </w:rPr>
              <w:t xml:space="preserve">2,0 </w:t>
            </w:r>
            <w:r w:rsidRPr="00E07570">
              <w:rPr>
                <w:iCs/>
              </w:rPr>
              <w:sym w:font="Symbol" w:char="F0A3"/>
            </w:r>
            <w:r w:rsidRPr="00E07570">
              <w:rPr>
                <w:iCs/>
              </w:rPr>
              <w:t xml:space="preserve"> PDOP </w:t>
            </w:r>
            <w:r w:rsidRPr="00E07570">
              <w:rPr>
                <w:iCs/>
              </w:rPr>
              <w:sym w:font="Symbol" w:char="F0A3"/>
            </w:r>
            <w:r w:rsidR="006E3A9C" w:rsidRPr="00E07570">
              <w:rPr>
                <w:iCs/>
              </w:rPr>
              <w:t xml:space="preserve"> </w:t>
            </w:r>
            <w:r w:rsidRPr="00E07570">
              <w:rPr>
                <w:iCs/>
              </w:rPr>
              <w:t>2,5 pendant la durée de l</w:t>
            </w:r>
            <w:r w:rsidR="00145E4B">
              <w:rPr>
                <w:iCs/>
              </w:rPr>
              <w:t>’</w:t>
            </w:r>
            <w:r w:rsidRPr="00E07570">
              <w:rPr>
                <w:iCs/>
              </w:rPr>
              <w:t>essai</w:t>
            </w:r>
          </w:p>
        </w:tc>
      </w:tr>
      <w:tr w:rsidR="00AF40E2" w:rsidRPr="00E07570" w:rsidTr="00CF30E3">
        <w:tblPrEx>
          <w:tblLook w:val="0000" w:firstRow="0" w:lastRow="0" w:firstColumn="0" w:lastColumn="0" w:noHBand="0" w:noVBand="0"/>
        </w:tblPrEx>
        <w:tc>
          <w:tcPr>
            <w:tcW w:w="3465" w:type="dxa"/>
            <w:shd w:val="clear" w:color="auto" w:fill="auto"/>
          </w:tcPr>
          <w:p w:rsidR="00AF40E2" w:rsidRPr="00E07570" w:rsidRDefault="00AF40E2" w:rsidP="006E3A9C">
            <w:pPr>
              <w:spacing w:before="60" w:after="60"/>
              <w:ind w:left="57" w:right="57"/>
              <w:rPr>
                <w:iCs/>
              </w:rPr>
            </w:pPr>
            <w:r w:rsidRPr="00E07570">
              <w:rPr>
                <w:iCs/>
              </w:rPr>
              <w:t>Signaux simulés</w:t>
            </w:r>
          </w:p>
        </w:tc>
        <w:tc>
          <w:tcPr>
            <w:tcW w:w="3905" w:type="dxa"/>
            <w:shd w:val="clear" w:color="auto" w:fill="auto"/>
          </w:tcPr>
          <w:p w:rsidR="00AF40E2" w:rsidRPr="00E07570" w:rsidRDefault="00FD1CD8" w:rsidP="00FD1CD8">
            <w:pPr>
              <w:pStyle w:val="Bullet1G"/>
              <w:numPr>
                <w:ilvl w:val="0"/>
                <w:numId w:val="0"/>
              </w:numPr>
              <w:tabs>
                <w:tab w:val="left" w:pos="276"/>
              </w:tabs>
              <w:spacing w:before="60" w:after="60"/>
              <w:ind w:left="221" w:right="57" w:hanging="164"/>
              <w:jc w:val="left"/>
              <w:rPr>
                <w:iCs/>
              </w:rPr>
            </w:pPr>
            <w:r w:rsidRPr="00E07570">
              <w:rPr>
                <w:iCs/>
              </w:rPr>
              <w:t>-</w:t>
            </w:r>
            <w:r w:rsidRPr="00E07570">
              <w:rPr>
                <w:iCs/>
              </w:rPr>
              <w:tab/>
            </w:r>
            <w:r w:rsidR="00AF40E2" w:rsidRPr="00E07570">
              <w:rPr>
                <w:lang w:eastAsia="ru-RU"/>
              </w:rPr>
              <w:t>GLONASS</w:t>
            </w:r>
            <w:r w:rsidR="00AF40E2" w:rsidRPr="00E07570">
              <w:rPr>
                <w:iCs/>
              </w:rPr>
              <w:t xml:space="preserve"> (bande de fréquences L1, </w:t>
            </w:r>
            <w:r w:rsidRPr="00E07570">
              <w:rPr>
                <w:iCs/>
              </w:rPr>
              <w:br/>
            </w:r>
            <w:r w:rsidR="00AF40E2" w:rsidRPr="00E07570">
              <w:rPr>
                <w:iCs/>
              </w:rPr>
              <w:t>code СТ) ;</w:t>
            </w:r>
          </w:p>
          <w:p w:rsidR="00AF40E2" w:rsidRPr="00E07570" w:rsidRDefault="00AF40E2" w:rsidP="00FD1CD8">
            <w:pPr>
              <w:pStyle w:val="Bullet1G"/>
              <w:numPr>
                <w:ilvl w:val="0"/>
                <w:numId w:val="0"/>
              </w:numPr>
              <w:tabs>
                <w:tab w:val="left" w:pos="276"/>
              </w:tabs>
              <w:spacing w:before="60" w:after="60"/>
              <w:ind w:left="221" w:right="57" w:hanging="164"/>
              <w:jc w:val="left"/>
              <w:rPr>
                <w:iCs/>
              </w:rPr>
            </w:pPr>
            <w:r w:rsidRPr="00E07570">
              <w:rPr>
                <w:iCs/>
              </w:rPr>
              <w:t>-</w:t>
            </w:r>
            <w:r w:rsidRPr="00E07570">
              <w:rPr>
                <w:iCs/>
              </w:rPr>
              <w:tab/>
            </w:r>
            <w:r w:rsidR="002B669D" w:rsidRPr="00E07570">
              <w:rPr>
                <w:iCs/>
              </w:rPr>
              <w:t>Galileo</w:t>
            </w:r>
            <w:r w:rsidRPr="00E07570">
              <w:rPr>
                <w:iCs/>
              </w:rPr>
              <w:t xml:space="preserve"> (bande de fréquences E1, </w:t>
            </w:r>
            <w:r w:rsidRPr="00E07570">
              <w:rPr>
                <w:iCs/>
              </w:rPr>
              <w:br/>
              <w:t>code OS) ;</w:t>
            </w:r>
          </w:p>
          <w:p w:rsidR="00AF40E2" w:rsidRPr="00E07570" w:rsidRDefault="00AF40E2" w:rsidP="00FD1CD8">
            <w:pPr>
              <w:pStyle w:val="Bullet1G"/>
              <w:numPr>
                <w:ilvl w:val="0"/>
                <w:numId w:val="0"/>
              </w:numPr>
              <w:tabs>
                <w:tab w:val="left" w:pos="276"/>
              </w:tabs>
              <w:spacing w:before="60" w:after="60"/>
              <w:ind w:left="221" w:right="57" w:hanging="164"/>
              <w:jc w:val="left"/>
              <w:rPr>
                <w:iCs/>
              </w:rPr>
            </w:pPr>
            <w:r w:rsidRPr="00E07570">
              <w:rPr>
                <w:iCs/>
              </w:rPr>
              <w:t>-</w:t>
            </w:r>
            <w:r w:rsidRPr="00E07570">
              <w:rPr>
                <w:iCs/>
              </w:rPr>
              <w:tab/>
              <w:t xml:space="preserve">GPS (bande de fréquences L1, </w:t>
            </w:r>
            <w:r w:rsidRPr="00E07570">
              <w:rPr>
                <w:iCs/>
              </w:rPr>
              <w:br/>
              <w:t>code C/A) ;</w:t>
            </w:r>
          </w:p>
          <w:p w:rsidR="00AF40E2" w:rsidRPr="00E07570" w:rsidRDefault="00AF40E2" w:rsidP="00FD1CD8">
            <w:pPr>
              <w:pStyle w:val="Bullet1G"/>
              <w:numPr>
                <w:ilvl w:val="0"/>
                <w:numId w:val="0"/>
              </w:numPr>
              <w:tabs>
                <w:tab w:val="left" w:pos="276"/>
              </w:tabs>
              <w:spacing w:before="60" w:after="60"/>
              <w:ind w:left="221" w:right="57" w:hanging="164"/>
              <w:jc w:val="left"/>
              <w:rPr>
                <w:iCs/>
              </w:rPr>
            </w:pPr>
            <w:r w:rsidRPr="00E07570">
              <w:rPr>
                <w:iCs/>
              </w:rPr>
              <w:t>-</w:t>
            </w:r>
            <w:r w:rsidRPr="00E07570">
              <w:rPr>
                <w:iCs/>
              </w:rPr>
              <w:tab/>
              <w:t>Combinaison GLONASS/</w:t>
            </w:r>
            <w:r w:rsidR="002B669D" w:rsidRPr="00E07570">
              <w:rPr>
                <w:iCs/>
              </w:rPr>
              <w:t>Galileo</w:t>
            </w:r>
            <w:r w:rsidRPr="00E07570">
              <w:rPr>
                <w:iCs/>
              </w:rPr>
              <w:t>/GPS/SBAS.</w:t>
            </w:r>
          </w:p>
        </w:tc>
      </w:tr>
      <w:tr w:rsidR="00AF40E2" w:rsidRPr="00E07570" w:rsidTr="00CF30E3">
        <w:tblPrEx>
          <w:tblLook w:val="0000" w:firstRow="0" w:lastRow="0" w:firstColumn="0" w:lastColumn="0" w:noHBand="0" w:noVBand="0"/>
        </w:tblPrEx>
        <w:tc>
          <w:tcPr>
            <w:tcW w:w="3465" w:type="dxa"/>
            <w:tcBorders>
              <w:bottom w:val="single" w:sz="4" w:space="0" w:color="auto"/>
            </w:tcBorders>
            <w:shd w:val="clear" w:color="auto" w:fill="auto"/>
          </w:tcPr>
          <w:p w:rsidR="00AF40E2" w:rsidRPr="00E07570" w:rsidRDefault="00AF40E2" w:rsidP="006E3A9C">
            <w:pPr>
              <w:spacing w:before="60" w:after="60"/>
              <w:ind w:left="57" w:right="57"/>
              <w:rPr>
                <w:iCs/>
              </w:rPr>
            </w:pPr>
            <w:r w:rsidRPr="00E07570">
              <w:rPr>
                <w:iCs/>
              </w:rPr>
              <w:t>Puissance du signal :</w:t>
            </w:r>
          </w:p>
          <w:p w:rsidR="00AF40E2" w:rsidRPr="00E07570" w:rsidRDefault="00AF40E2" w:rsidP="00D64038">
            <w:pPr>
              <w:pStyle w:val="Bullet1G"/>
              <w:numPr>
                <w:ilvl w:val="0"/>
                <w:numId w:val="0"/>
              </w:numPr>
              <w:tabs>
                <w:tab w:val="left" w:pos="276"/>
              </w:tabs>
              <w:spacing w:before="60" w:after="60"/>
              <w:ind w:left="221" w:right="57" w:hanging="164"/>
              <w:jc w:val="left"/>
              <w:rPr>
                <w:iCs/>
              </w:rPr>
            </w:pPr>
            <w:r w:rsidRPr="00E07570">
              <w:rPr>
                <w:iCs/>
              </w:rPr>
              <w:t>-</w:t>
            </w:r>
            <w:r w:rsidRPr="00E07570">
              <w:rPr>
                <w:iCs/>
              </w:rPr>
              <w:tab/>
              <w:t>GLONASS ;</w:t>
            </w:r>
          </w:p>
          <w:p w:rsidR="00AF40E2" w:rsidRPr="00E07570" w:rsidRDefault="00AF40E2" w:rsidP="00D64038">
            <w:pPr>
              <w:pStyle w:val="Bullet1G"/>
              <w:numPr>
                <w:ilvl w:val="0"/>
                <w:numId w:val="0"/>
              </w:numPr>
              <w:tabs>
                <w:tab w:val="left" w:pos="276"/>
              </w:tabs>
              <w:spacing w:before="60" w:after="60"/>
              <w:ind w:left="221" w:right="57" w:hanging="164"/>
              <w:jc w:val="left"/>
              <w:rPr>
                <w:iCs/>
              </w:rPr>
            </w:pPr>
            <w:r w:rsidRPr="00E07570">
              <w:rPr>
                <w:iCs/>
              </w:rPr>
              <w:t>-</w:t>
            </w:r>
            <w:r w:rsidRPr="00E07570">
              <w:rPr>
                <w:iCs/>
              </w:rPr>
              <w:tab/>
            </w:r>
            <w:r w:rsidR="002B669D" w:rsidRPr="00E07570">
              <w:rPr>
                <w:iCs/>
              </w:rPr>
              <w:t>Galileo</w:t>
            </w:r>
            <w:r w:rsidRPr="00E07570">
              <w:rPr>
                <w:iCs/>
              </w:rPr>
              <w:t> ;</w:t>
            </w:r>
          </w:p>
          <w:p w:rsidR="00AF40E2" w:rsidRPr="00E07570" w:rsidRDefault="00AF40E2" w:rsidP="00D64038">
            <w:pPr>
              <w:pStyle w:val="Bullet1G"/>
              <w:numPr>
                <w:ilvl w:val="0"/>
                <w:numId w:val="0"/>
              </w:numPr>
              <w:tabs>
                <w:tab w:val="left" w:pos="276"/>
              </w:tabs>
              <w:spacing w:before="60" w:after="60"/>
              <w:ind w:left="221" w:right="57" w:hanging="164"/>
              <w:jc w:val="left"/>
              <w:rPr>
                <w:iCs/>
              </w:rPr>
            </w:pPr>
            <w:r w:rsidRPr="00E07570">
              <w:rPr>
                <w:iCs/>
              </w:rPr>
              <w:t>-</w:t>
            </w:r>
            <w:r w:rsidRPr="00E07570">
              <w:rPr>
                <w:iCs/>
              </w:rPr>
              <w:tab/>
              <w:t>GPS.</w:t>
            </w:r>
          </w:p>
        </w:tc>
        <w:tc>
          <w:tcPr>
            <w:tcW w:w="3905" w:type="dxa"/>
            <w:tcBorders>
              <w:bottom w:val="single" w:sz="4" w:space="0" w:color="auto"/>
            </w:tcBorders>
            <w:shd w:val="clear" w:color="auto" w:fill="auto"/>
          </w:tcPr>
          <w:p w:rsidR="00AF40E2" w:rsidRPr="00E07570" w:rsidRDefault="00AF40E2" w:rsidP="006E3A9C">
            <w:pPr>
              <w:spacing w:before="60" w:after="60"/>
              <w:ind w:left="57" w:right="57"/>
              <w:rPr>
                <w:iCs/>
              </w:rPr>
            </w:pPr>
          </w:p>
          <w:p w:rsidR="00AF40E2" w:rsidRPr="00E07570" w:rsidRDefault="00A73F4C" w:rsidP="006E3A9C">
            <w:pPr>
              <w:spacing w:before="60" w:after="60"/>
              <w:ind w:left="57" w:right="57"/>
              <w:rPr>
                <w:iCs/>
              </w:rPr>
            </w:pPr>
            <w:r w:rsidRPr="00E07570">
              <w:rPr>
                <w:iCs/>
              </w:rPr>
              <w:t>-</w:t>
            </w:r>
            <w:r w:rsidR="00AF40E2" w:rsidRPr="00E07570">
              <w:rPr>
                <w:iCs/>
              </w:rPr>
              <w:t>141 dBm ;</w:t>
            </w:r>
          </w:p>
          <w:p w:rsidR="00AF40E2" w:rsidRPr="00E07570" w:rsidRDefault="00A73F4C" w:rsidP="006E3A9C">
            <w:pPr>
              <w:spacing w:before="60" w:after="60"/>
              <w:ind w:left="57" w:right="57"/>
              <w:rPr>
                <w:iCs/>
              </w:rPr>
            </w:pPr>
            <w:r w:rsidRPr="00E07570">
              <w:rPr>
                <w:iCs/>
              </w:rPr>
              <w:t>-</w:t>
            </w:r>
            <w:r w:rsidR="00AF40E2" w:rsidRPr="00E07570">
              <w:rPr>
                <w:iCs/>
              </w:rPr>
              <w:t>135 dBm ;</w:t>
            </w:r>
          </w:p>
          <w:p w:rsidR="00AF40E2" w:rsidRPr="00E07570" w:rsidRDefault="00A73F4C" w:rsidP="006E3A9C">
            <w:pPr>
              <w:spacing w:before="60" w:after="60"/>
              <w:ind w:left="57" w:right="57"/>
              <w:rPr>
                <w:iCs/>
              </w:rPr>
            </w:pPr>
            <w:r w:rsidRPr="00E07570">
              <w:rPr>
                <w:iCs/>
              </w:rPr>
              <w:t>-</w:t>
            </w:r>
            <w:r w:rsidR="00AF40E2" w:rsidRPr="00E07570">
              <w:rPr>
                <w:iCs/>
              </w:rPr>
              <w:t>138,5 dBm.</w:t>
            </w:r>
          </w:p>
        </w:tc>
      </w:tr>
      <w:tr w:rsidR="00AF40E2" w:rsidRPr="00E07570" w:rsidTr="00CF30E3">
        <w:tblPrEx>
          <w:tblLook w:val="0000" w:firstRow="0" w:lastRow="0" w:firstColumn="0" w:lastColumn="0" w:noHBand="0" w:noVBand="0"/>
        </w:tblPrEx>
        <w:tc>
          <w:tcPr>
            <w:tcW w:w="3465" w:type="dxa"/>
            <w:tcBorders>
              <w:bottom w:val="single" w:sz="12" w:space="0" w:color="auto"/>
            </w:tcBorders>
            <w:shd w:val="clear" w:color="auto" w:fill="auto"/>
          </w:tcPr>
          <w:p w:rsidR="00AF40E2" w:rsidRPr="00E07570" w:rsidRDefault="00AF40E2" w:rsidP="006E3A9C">
            <w:pPr>
              <w:spacing w:before="60" w:after="60"/>
              <w:ind w:left="57" w:right="57"/>
              <w:rPr>
                <w:iCs/>
              </w:rPr>
            </w:pPr>
            <w:r w:rsidRPr="00E07570">
              <w:rPr>
                <w:iCs/>
              </w:rPr>
              <w:t>Nombre de satellites simulés</w:t>
            </w:r>
          </w:p>
        </w:tc>
        <w:tc>
          <w:tcPr>
            <w:tcW w:w="3905" w:type="dxa"/>
            <w:tcBorders>
              <w:bottom w:val="single" w:sz="12" w:space="0" w:color="auto"/>
            </w:tcBorders>
            <w:shd w:val="clear" w:color="auto" w:fill="auto"/>
          </w:tcPr>
          <w:p w:rsidR="00AF40E2" w:rsidRPr="00E07570" w:rsidRDefault="00AF40E2" w:rsidP="00FD1CD8">
            <w:pPr>
              <w:pStyle w:val="Bullet1G"/>
              <w:numPr>
                <w:ilvl w:val="0"/>
                <w:numId w:val="0"/>
              </w:numPr>
              <w:tabs>
                <w:tab w:val="left" w:pos="276"/>
              </w:tabs>
              <w:spacing w:before="60" w:after="60"/>
              <w:ind w:left="221" w:right="57" w:hanging="164"/>
              <w:jc w:val="left"/>
              <w:rPr>
                <w:iCs/>
              </w:rPr>
            </w:pPr>
            <w:r w:rsidRPr="00E07570">
              <w:rPr>
                <w:iCs/>
              </w:rPr>
              <w:t>-</w:t>
            </w:r>
            <w:r w:rsidRPr="00E07570">
              <w:rPr>
                <w:iCs/>
              </w:rPr>
              <w:tab/>
              <w:t>au moins 6 satellites GLONASS ;</w:t>
            </w:r>
          </w:p>
          <w:p w:rsidR="00AF40E2" w:rsidRPr="00E07570" w:rsidRDefault="00AF40E2" w:rsidP="00FD1CD8">
            <w:pPr>
              <w:pStyle w:val="Bullet1G"/>
              <w:numPr>
                <w:ilvl w:val="0"/>
                <w:numId w:val="0"/>
              </w:numPr>
              <w:tabs>
                <w:tab w:val="left" w:pos="276"/>
              </w:tabs>
              <w:spacing w:before="60" w:after="60"/>
              <w:ind w:left="221" w:right="57" w:hanging="164"/>
              <w:jc w:val="left"/>
              <w:rPr>
                <w:iCs/>
              </w:rPr>
            </w:pPr>
            <w:r w:rsidRPr="00E07570">
              <w:rPr>
                <w:iCs/>
              </w:rPr>
              <w:t>-</w:t>
            </w:r>
            <w:r w:rsidRPr="00E07570">
              <w:rPr>
                <w:iCs/>
              </w:rPr>
              <w:tab/>
              <w:t xml:space="preserve">au moins 6 satellites </w:t>
            </w:r>
            <w:r w:rsidR="002B669D" w:rsidRPr="00E07570">
              <w:rPr>
                <w:iCs/>
              </w:rPr>
              <w:t>Galileo</w:t>
            </w:r>
            <w:r w:rsidRPr="00E07570">
              <w:rPr>
                <w:iCs/>
              </w:rPr>
              <w:t> ;</w:t>
            </w:r>
          </w:p>
          <w:p w:rsidR="00AF40E2" w:rsidRPr="00E07570" w:rsidRDefault="00AF40E2" w:rsidP="00FD1CD8">
            <w:pPr>
              <w:pStyle w:val="Bullet1G"/>
              <w:numPr>
                <w:ilvl w:val="0"/>
                <w:numId w:val="0"/>
              </w:numPr>
              <w:tabs>
                <w:tab w:val="left" w:pos="276"/>
              </w:tabs>
              <w:spacing w:before="60" w:after="60"/>
              <w:ind w:left="221" w:right="57" w:hanging="164"/>
              <w:jc w:val="left"/>
              <w:rPr>
                <w:iCs/>
              </w:rPr>
            </w:pPr>
            <w:r w:rsidRPr="00E07570">
              <w:rPr>
                <w:iCs/>
              </w:rPr>
              <w:t>-</w:t>
            </w:r>
            <w:r w:rsidRPr="00E07570">
              <w:rPr>
                <w:iCs/>
              </w:rPr>
              <w:tab/>
              <w:t>au moins 6 satellites GPS ;</w:t>
            </w:r>
          </w:p>
          <w:p w:rsidR="00AF40E2" w:rsidRPr="00E07570" w:rsidRDefault="00AF40E2" w:rsidP="00FD1CD8">
            <w:pPr>
              <w:pStyle w:val="Bullet1G"/>
              <w:numPr>
                <w:ilvl w:val="0"/>
                <w:numId w:val="0"/>
              </w:numPr>
              <w:tabs>
                <w:tab w:val="left" w:pos="276"/>
              </w:tabs>
              <w:spacing w:before="60" w:after="60"/>
              <w:ind w:left="221" w:right="57" w:hanging="164"/>
              <w:jc w:val="left"/>
              <w:rPr>
                <w:iCs/>
              </w:rPr>
            </w:pPr>
            <w:r w:rsidRPr="00E07570">
              <w:rPr>
                <w:iCs/>
              </w:rPr>
              <w:t>-</w:t>
            </w:r>
            <w:r w:rsidRPr="00E07570">
              <w:rPr>
                <w:iCs/>
              </w:rPr>
              <w:tab/>
              <w:t>au moins 2 satellites SBAS.</w:t>
            </w:r>
          </w:p>
        </w:tc>
      </w:tr>
    </w:tbl>
    <w:p w:rsidR="00AF40E2" w:rsidRPr="00E07570" w:rsidRDefault="00AF40E2" w:rsidP="00C91D20">
      <w:pPr>
        <w:pStyle w:val="SingleTxtG"/>
        <w:spacing w:before="240"/>
        <w:ind w:left="2268" w:hanging="1134"/>
      </w:pPr>
      <w:r w:rsidRPr="00E07570">
        <w:t>2.1.4</w:t>
      </w:r>
      <w:r w:rsidRPr="00E07570">
        <w:tab/>
        <w:t>À l</w:t>
      </w:r>
      <w:r w:rsidR="00145E4B">
        <w:t>’</w:t>
      </w:r>
      <w:r w:rsidRPr="00E07570">
        <w:t>aide de l</w:t>
      </w:r>
      <w:r w:rsidR="00145E4B">
        <w:t>’</w:t>
      </w:r>
      <w:r w:rsidRPr="00E07570">
        <w:t>interface série correspondant, établir la connexion entre l</w:t>
      </w:r>
      <w:r w:rsidR="00145E4B">
        <w:t>’</w:t>
      </w:r>
      <w:r w:rsidRPr="00E07570">
        <w:t>AECD/AECS et le PC. Vérifier qu</w:t>
      </w:r>
      <w:r w:rsidR="00145E4B">
        <w:t>’</w:t>
      </w:r>
      <w:r w:rsidRPr="00E07570">
        <w:t>il est pos</w:t>
      </w:r>
      <w:r w:rsidR="00AA219E" w:rsidRPr="00E07570">
        <w:t>sibl</w:t>
      </w:r>
      <w:r w:rsidRPr="00E07570">
        <w:t>e de recevoir les informations de navigation à l</w:t>
      </w:r>
      <w:r w:rsidR="00145E4B">
        <w:t>’</w:t>
      </w:r>
      <w:r w:rsidRPr="00E07570">
        <w:t>aide du protocole</w:t>
      </w:r>
      <w:r w:rsidR="003B0BA2" w:rsidRPr="00E07570">
        <w:t> </w:t>
      </w:r>
      <w:r w:rsidRPr="00E07570">
        <w:t>NMEA-0183. Dans les messages GGA</w:t>
      </w:r>
      <w:r w:rsidRPr="00E07570">
        <w:rPr>
          <w:rStyle w:val="FootnoteReference"/>
        </w:rPr>
        <w:footnoteReference w:id="22"/>
      </w:r>
      <w:r w:rsidRPr="00E07570">
        <w:t xml:space="preserve"> la valeur du champ </w:t>
      </w:r>
      <w:r w:rsidRPr="00E07570">
        <w:rPr>
          <w:rFonts w:eastAsia="MS Mincho"/>
        </w:rPr>
        <w:t>n</w:t>
      </w:r>
      <w:r w:rsidRPr="00E07570">
        <w:rPr>
          <w:rFonts w:eastAsia="MS Mincho"/>
          <w:vertAlign w:val="superscript"/>
        </w:rPr>
        <w:t>o</w:t>
      </w:r>
      <w:r w:rsidRPr="00E07570">
        <w:t> 6 est fixée à 2.</w:t>
      </w:r>
    </w:p>
    <w:p w:rsidR="00AF40E2" w:rsidRPr="00E07570" w:rsidRDefault="00AF40E2" w:rsidP="006E3A9C">
      <w:pPr>
        <w:pStyle w:val="SingleTxtG"/>
        <w:ind w:left="2268" w:hanging="1134"/>
      </w:pPr>
      <w:r w:rsidRPr="00E07570">
        <w:t>2.1.5</w:t>
      </w:r>
      <w:r w:rsidRPr="00E07570">
        <w:tab/>
      </w:r>
      <w:r w:rsidR="001C4D25" w:rsidRPr="00E07570">
        <w:t>L</w:t>
      </w:r>
      <w:r w:rsidR="00145E4B">
        <w:t>’</w:t>
      </w:r>
      <w:r w:rsidR="001C4D25" w:rsidRPr="00E07570">
        <w:t>essai est considéré comme réussi si les informations de navigation sont conformes, pour tous les échantillons AECD/AECS, aux prescriptions énoncées aux paragraphes </w:t>
      </w:r>
      <w:r w:rsidR="001C4D25" w:rsidRPr="00E07570">
        <w:rPr>
          <w:b/>
        </w:rPr>
        <w:t>17.3.1</w:t>
      </w:r>
      <w:r w:rsidR="001C4D25" w:rsidRPr="00E07570">
        <w:t xml:space="preserve"> </w:t>
      </w:r>
      <w:r w:rsidR="001C4D25" w:rsidRPr="00E07570">
        <w:rPr>
          <w:b/>
        </w:rPr>
        <w:t>à</w:t>
      </w:r>
      <w:r w:rsidR="001C4D25" w:rsidRPr="00E07570">
        <w:t xml:space="preserve"> </w:t>
      </w:r>
      <w:r w:rsidR="001C4D25" w:rsidRPr="00E07570">
        <w:rPr>
          <w:b/>
        </w:rPr>
        <w:t>17.3.5</w:t>
      </w:r>
      <w:r w:rsidR="001C4D25" w:rsidRPr="00E07570">
        <w:t xml:space="preserve">, </w:t>
      </w:r>
      <w:r w:rsidR="001C4D25" w:rsidRPr="00E07570">
        <w:rPr>
          <w:b/>
        </w:rPr>
        <w:t>26.3.1</w:t>
      </w:r>
      <w:r w:rsidR="001C4D25" w:rsidRPr="00E07570">
        <w:t xml:space="preserve"> </w:t>
      </w:r>
      <w:r w:rsidR="001C4D25" w:rsidRPr="00E07570">
        <w:rPr>
          <w:b/>
        </w:rPr>
        <w:t>à</w:t>
      </w:r>
      <w:r w:rsidR="001C4D25" w:rsidRPr="00E07570">
        <w:t xml:space="preserve"> </w:t>
      </w:r>
      <w:r w:rsidR="001C4D25" w:rsidRPr="00E07570">
        <w:rPr>
          <w:b/>
        </w:rPr>
        <w:t>26.3.5</w:t>
      </w:r>
      <w:r w:rsidR="001C4D25" w:rsidRPr="00E07570">
        <w:t xml:space="preserve"> ou </w:t>
      </w:r>
      <w:r w:rsidR="001C4D25" w:rsidRPr="00E07570">
        <w:rPr>
          <w:b/>
        </w:rPr>
        <w:t>35.3.1</w:t>
      </w:r>
      <w:r w:rsidR="001C4D25" w:rsidRPr="00E07570">
        <w:t xml:space="preserve"> </w:t>
      </w:r>
      <w:r w:rsidR="001C4D25" w:rsidRPr="00E07570">
        <w:rPr>
          <w:b/>
        </w:rPr>
        <w:t>à</w:t>
      </w:r>
      <w:r w:rsidR="001C4D25" w:rsidRPr="00E07570">
        <w:t xml:space="preserve"> </w:t>
      </w:r>
      <w:r w:rsidR="001C4D25" w:rsidRPr="00E07570">
        <w:rPr>
          <w:b/>
        </w:rPr>
        <w:t>35.3.5</w:t>
      </w:r>
      <w:r w:rsidR="001C4D25" w:rsidRPr="00E07570">
        <w:t xml:space="preserve"> du présent Règlement.</w:t>
      </w:r>
    </w:p>
    <w:p w:rsidR="00AF40E2" w:rsidRPr="00E07570" w:rsidRDefault="00AF40E2" w:rsidP="006E3A9C">
      <w:pPr>
        <w:pStyle w:val="SingleTxtG"/>
        <w:ind w:left="2268" w:hanging="1134"/>
      </w:pPr>
      <w:r w:rsidRPr="00E07570">
        <w:t>2.1.6</w:t>
      </w:r>
      <w:r w:rsidRPr="00E07570">
        <w:tab/>
        <w:t>L</w:t>
      </w:r>
      <w:r w:rsidR="00145E4B">
        <w:t>’</w:t>
      </w:r>
      <w:r w:rsidRPr="00E07570">
        <w:t>essai relatif à l</w:t>
      </w:r>
      <w:r w:rsidR="00145E4B">
        <w:t>’</w:t>
      </w:r>
      <w:r w:rsidRPr="00E07570">
        <w:t>émission de messages NMEA-0183 et l</w:t>
      </w:r>
      <w:r w:rsidR="00145E4B">
        <w:t>’</w:t>
      </w:r>
      <w:r w:rsidRPr="00E07570">
        <w:t>évaluation de la précision du positionnement en mode statique autonome peuvent être combinés.</w:t>
      </w:r>
    </w:p>
    <w:p w:rsidR="00AF40E2" w:rsidRPr="00E07570" w:rsidRDefault="00AF40E2" w:rsidP="006E3A9C">
      <w:pPr>
        <w:pStyle w:val="SingleTxtG"/>
        <w:ind w:left="2268" w:hanging="1134"/>
      </w:pPr>
      <w:r w:rsidRPr="00E07570">
        <w:t>2.2</w:t>
      </w:r>
      <w:r w:rsidRPr="00E07570">
        <w:tab/>
        <w:t>Évaluation de la précision du positionnement en mode statique autonome</w:t>
      </w:r>
    </w:p>
    <w:p w:rsidR="00AF40E2" w:rsidRPr="00E07570" w:rsidRDefault="00AF40E2" w:rsidP="006E3A9C">
      <w:pPr>
        <w:pStyle w:val="SingleTxtG"/>
        <w:ind w:left="2268" w:hanging="1134"/>
      </w:pPr>
      <w:r w:rsidRPr="00E07570">
        <w:t>2.2.1</w:t>
      </w:r>
      <w:r w:rsidRPr="00E07570">
        <w:tab/>
        <w:t>Effectuer les raccordements conformément à la figure</w:t>
      </w:r>
      <w:r w:rsidR="00C91D20" w:rsidRPr="00E07570">
        <w:t> </w:t>
      </w:r>
      <w:r w:rsidRPr="00E07570">
        <w:t>2.</w:t>
      </w:r>
    </w:p>
    <w:p w:rsidR="00AF40E2" w:rsidRPr="00E07570" w:rsidRDefault="00AF40E2" w:rsidP="00C91D20">
      <w:pPr>
        <w:pStyle w:val="SingleTxtG"/>
        <w:keepLines/>
        <w:ind w:left="2268" w:hanging="1134"/>
      </w:pPr>
      <w:r w:rsidRPr="00E07570">
        <w:t>2.2.2</w:t>
      </w:r>
      <w:r w:rsidRPr="00E07570">
        <w:tab/>
        <w:t>Préparer et allumer l</w:t>
      </w:r>
      <w:r w:rsidR="00145E4B">
        <w:t>’</w:t>
      </w:r>
      <w:r w:rsidRPr="00E07570">
        <w:t>AECD/AECS. À l</w:t>
      </w:r>
      <w:r w:rsidR="00145E4B">
        <w:t>’</w:t>
      </w:r>
      <w:r w:rsidRPr="00E07570">
        <w:t xml:space="preserve">aide du logiciel du fabricant </w:t>
      </w:r>
      <w:proofErr w:type="gramStart"/>
      <w:r w:rsidRPr="00E07570">
        <w:t>s</w:t>
      </w:r>
      <w:r w:rsidR="00145E4B">
        <w:t>’</w:t>
      </w:r>
      <w:r w:rsidRPr="00E07570">
        <w:t>assurer</w:t>
      </w:r>
      <w:proofErr w:type="gramEnd"/>
      <w:r w:rsidRPr="00E07570">
        <w:t xml:space="preserve"> que le récepteur GNSS est réglé pour recevoir les signaux combinés GLONASS, </w:t>
      </w:r>
      <w:r w:rsidR="002B669D" w:rsidRPr="00E07570">
        <w:t>Galileo</w:t>
      </w:r>
      <w:r w:rsidRPr="00E07570">
        <w:t xml:space="preserve">, GPS et SBAS. Régler le récepteur GNSS pour traiter les messages conformes au </w:t>
      </w:r>
      <w:r w:rsidR="00802878" w:rsidRPr="00E07570">
        <w:t>p</w:t>
      </w:r>
      <w:r w:rsidRPr="00E07570">
        <w:t>rotocole</w:t>
      </w:r>
      <w:r w:rsidR="003B0BA2" w:rsidRPr="00E07570">
        <w:t> </w:t>
      </w:r>
      <w:r w:rsidRPr="00E07570">
        <w:t>NMEA-0183 (messages GGA, RMC, VTG, VSA, GS</w:t>
      </w:r>
      <w:r w:rsidR="00C6207D" w:rsidRPr="00E07570">
        <w:t>V).</w:t>
      </w:r>
    </w:p>
    <w:p w:rsidR="00AF40E2" w:rsidRPr="00E07570" w:rsidRDefault="00AF40E2" w:rsidP="006E3A9C">
      <w:pPr>
        <w:pStyle w:val="SingleTxtG"/>
        <w:ind w:left="2268" w:hanging="1134"/>
      </w:pPr>
      <w:r w:rsidRPr="00E07570">
        <w:t>2.2.3</w:t>
      </w:r>
      <w:r w:rsidRPr="00E07570">
        <w:tab/>
        <w:t>Régler le simulateur à l</w:t>
      </w:r>
      <w:r w:rsidR="00145E4B">
        <w:t>’</w:t>
      </w:r>
      <w:r w:rsidRPr="00E07570">
        <w:t>aide du mode d</w:t>
      </w:r>
      <w:r w:rsidR="00145E4B">
        <w:t>’</w:t>
      </w:r>
      <w:r w:rsidRPr="00E07570">
        <w:t xml:space="preserve">emploi. Commencer la simulation, à la fois pour GLONASS, </w:t>
      </w:r>
      <w:r w:rsidR="002B669D" w:rsidRPr="00E07570">
        <w:t>Galileo</w:t>
      </w:r>
      <w:r w:rsidRPr="00E07570">
        <w:t>, GPS et SBAS des signaux en utilisant les paramètres prév</w:t>
      </w:r>
      <w:r w:rsidR="00C6207D" w:rsidRPr="00E07570">
        <w:t>us, qui sont définis au tableau </w:t>
      </w:r>
      <w:r w:rsidR="003B0BA2" w:rsidRPr="00E07570">
        <w:rPr>
          <w:b/>
        </w:rPr>
        <w:t>6</w:t>
      </w:r>
      <w:r w:rsidRPr="00E07570">
        <w:t>.</w:t>
      </w:r>
    </w:p>
    <w:p w:rsidR="00AF40E2" w:rsidRPr="00E07570" w:rsidRDefault="00AF40E2" w:rsidP="006E3A9C">
      <w:pPr>
        <w:pStyle w:val="SingleTxtG"/>
        <w:ind w:left="2268" w:hanging="1134"/>
      </w:pPr>
      <w:r w:rsidRPr="00E07570">
        <w:t>2.2.4</w:t>
      </w:r>
      <w:r w:rsidRPr="00E07570">
        <w:tab/>
        <w:t>Régler l</w:t>
      </w:r>
      <w:r w:rsidR="00145E4B">
        <w:t>’</w:t>
      </w:r>
      <w:r w:rsidRPr="00E07570">
        <w:t>enregistrement des messages NMEA-0183 après avoir reçu la solution de navigation. Aussi longtemps que la simulation n</w:t>
      </w:r>
      <w:r w:rsidR="00145E4B">
        <w:t>’</w:t>
      </w:r>
      <w:r w:rsidRPr="00E07570">
        <w:t>est pas complète, les messages NMEA-0183 sont envoyés par le récepteur GNSS dans un classeur.</w:t>
      </w:r>
    </w:p>
    <w:p w:rsidR="00AF40E2" w:rsidRPr="00E07570" w:rsidRDefault="00AF40E2" w:rsidP="006E3A9C">
      <w:pPr>
        <w:pStyle w:val="SingleTxtG"/>
        <w:ind w:left="2268" w:hanging="1134"/>
      </w:pPr>
      <w:r w:rsidRPr="00E07570">
        <w:t>2.2.5</w:t>
      </w:r>
      <w:r w:rsidRPr="00E07570">
        <w:tab/>
        <w:t>Dès réception de la solution de navigation, enclencher l</w:t>
      </w:r>
      <w:r w:rsidR="00145E4B">
        <w:t>’</w:t>
      </w:r>
      <w:r w:rsidRPr="00E07570">
        <w:t>enregistrement des messages NMEA-0183 pour qu</w:t>
      </w:r>
      <w:r w:rsidR="00145E4B">
        <w:t>’</w:t>
      </w:r>
      <w:r w:rsidRPr="00E07570">
        <w:t>ils soient envoyés par le récepteur GNSS dans un fichier jusqu</w:t>
      </w:r>
      <w:r w:rsidR="00145E4B">
        <w:t>’</w:t>
      </w:r>
      <w:r w:rsidRPr="00E07570">
        <w:t>à la fin de la simulation.</w:t>
      </w:r>
    </w:p>
    <w:p w:rsidR="00AF40E2" w:rsidRPr="00E07570" w:rsidRDefault="00AF40E2" w:rsidP="006E3A9C">
      <w:pPr>
        <w:pStyle w:val="SingleTxtG"/>
        <w:ind w:left="2268" w:hanging="1134"/>
      </w:pPr>
      <w:r w:rsidRPr="00E07570">
        <w:t>2.2.6</w:t>
      </w:r>
      <w:r w:rsidRPr="00E07570">
        <w:tab/>
        <w:t>Extraire la latitude (B) et la longitude (L) indiquées dans les messages GGA (RMC).</w:t>
      </w:r>
    </w:p>
    <w:p w:rsidR="00AF40E2" w:rsidRPr="00E07570" w:rsidRDefault="00AF40E2" w:rsidP="006E3A9C">
      <w:pPr>
        <w:pStyle w:val="SingleTxtG"/>
        <w:ind w:left="2268" w:hanging="1134"/>
      </w:pPr>
      <w:r w:rsidRPr="00E07570">
        <w:t>2.2.7</w:t>
      </w:r>
      <w:r w:rsidRPr="00E07570">
        <w:tab/>
        <w:t>Calculer l</w:t>
      </w:r>
      <w:r w:rsidR="00145E4B">
        <w:t>’</w:t>
      </w:r>
      <w:r w:rsidRPr="00E07570">
        <w:t>inexactitude systématique de la détermination des coordonnées à des intervalles fixes conformément aux formules</w:t>
      </w:r>
      <w:r w:rsidR="00C6207D" w:rsidRPr="00E07570">
        <w:t> </w:t>
      </w:r>
      <w:r w:rsidR="002A1EF4" w:rsidRPr="00E07570">
        <w:t>(</w:t>
      </w:r>
      <w:r w:rsidRPr="00E07570">
        <w:t>1</w:t>
      </w:r>
      <w:r w:rsidR="002A1EF4" w:rsidRPr="00E07570">
        <w:t>)</w:t>
      </w:r>
      <w:r w:rsidRPr="00E07570">
        <w:t xml:space="preserve"> et </w:t>
      </w:r>
      <w:r w:rsidR="002A1EF4" w:rsidRPr="00E07570">
        <w:t>(</w:t>
      </w:r>
      <w:r w:rsidRPr="00E07570">
        <w:t>2</w:t>
      </w:r>
      <w:r w:rsidR="002A1EF4" w:rsidRPr="00E07570">
        <w:t>)</w:t>
      </w:r>
      <w:r w:rsidRPr="00E07570">
        <w:t>, par exemple pour la latitude (B) :</w:t>
      </w:r>
    </w:p>
    <w:p w:rsidR="002609DD" w:rsidRPr="00E07570" w:rsidRDefault="002609DD" w:rsidP="001B12A0">
      <w:pPr>
        <w:suppressAutoHyphens w:val="0"/>
        <w:spacing w:after="120" w:line="240" w:lineRule="auto"/>
        <w:ind w:left="2268" w:right="1134"/>
        <w:jc w:val="both"/>
      </w:pPr>
      <w:r w:rsidRPr="00E07570">
        <w:t>(1</w:t>
      </w:r>
      <w:proofErr w:type="gramStart"/>
      <w:r w:rsidRPr="00E07570">
        <w:t xml:space="preserve">) </w:t>
      </w:r>
      <w:proofErr w:type="gramEnd"/>
      <w:r w:rsidR="00AB22D3" w:rsidRPr="00E07570">
        <w:rPr>
          <w:position w:val="-14"/>
        </w:rPr>
        <w:object w:dxaOrig="1640" w:dyaOrig="340">
          <v:shape id="_x0000_i1029" type="#_x0000_t75" style="width:173.5pt;height:23pt" o:ole="">
            <v:imagedata r:id="rId21" o:title=""/>
          </v:shape>
          <o:OLEObject Type="Embed" ProgID="Equation.3" ShapeID="_x0000_i1029" DrawAspect="Content" ObjectID="_1551078327" r:id="rId22"/>
        </w:object>
      </w:r>
      <w:r w:rsidRPr="00E07570">
        <w:t>,</w:t>
      </w:r>
    </w:p>
    <w:p w:rsidR="002609DD" w:rsidRPr="00E07570" w:rsidRDefault="002609DD" w:rsidP="001B12A0">
      <w:pPr>
        <w:suppressAutoHyphens w:val="0"/>
        <w:spacing w:after="120" w:line="240" w:lineRule="auto"/>
        <w:ind w:left="2268" w:right="1134"/>
        <w:jc w:val="both"/>
      </w:pPr>
      <w:r w:rsidRPr="00E07570">
        <w:t xml:space="preserve">(2) </w:t>
      </w:r>
      <w:r w:rsidRPr="00E07570">
        <w:rPr>
          <w:position w:val="-32"/>
          <w:sz w:val="18"/>
          <w:szCs w:val="18"/>
        </w:rPr>
        <w:object w:dxaOrig="1540" w:dyaOrig="720">
          <v:shape id="_x0000_i1030" type="#_x0000_t75" style="width:100.5pt;height:48pt" o:ole="">
            <v:imagedata r:id="rId23" o:title=""/>
          </v:shape>
          <o:OLEObject Type="Embed" ProgID="Equation.3" ShapeID="_x0000_i1030" DrawAspect="Content" ObjectID="_1551078328" r:id="rId24"/>
        </w:object>
      </w:r>
    </w:p>
    <w:p w:rsidR="00045431" w:rsidRPr="00E07570" w:rsidRDefault="00045431" w:rsidP="00045431">
      <w:pPr>
        <w:pStyle w:val="SingleTxtG"/>
        <w:ind w:left="2268"/>
      </w:pPr>
      <w:proofErr w:type="gramStart"/>
      <w:r w:rsidRPr="00E07570">
        <w:t>où</w:t>
      </w:r>
      <w:proofErr w:type="gramEnd"/>
      <w:r w:rsidRPr="00E07570">
        <w:t> :</w:t>
      </w:r>
    </w:p>
    <w:p w:rsidR="00045431" w:rsidRPr="00E07570" w:rsidRDefault="00045431" w:rsidP="00045431">
      <w:pPr>
        <w:pStyle w:val="SingleTxtG"/>
        <w:ind w:left="2268"/>
      </w:pPr>
      <w:proofErr w:type="spellStart"/>
      <w:r w:rsidRPr="00E07570">
        <w:t>B</w:t>
      </w:r>
      <w:r w:rsidRPr="00E07570">
        <w:rPr>
          <w:vertAlign w:val="subscript"/>
        </w:rPr>
        <w:t>truej</w:t>
      </w:r>
      <w:proofErr w:type="spellEnd"/>
      <w:r w:rsidRPr="00E07570">
        <w:t xml:space="preserve"> est la valeur réelle de la coordonnée</w:t>
      </w:r>
      <w:r w:rsidR="002D507C" w:rsidRPr="00E07570">
        <w:t> </w:t>
      </w:r>
      <w:r w:rsidRPr="00E07570">
        <w:t>B à l</w:t>
      </w:r>
      <w:r w:rsidR="00145E4B">
        <w:t>’</w:t>
      </w:r>
      <w:r w:rsidRPr="00E07570">
        <w:t>instant « j », mesurée en secondes d</w:t>
      </w:r>
      <w:r w:rsidR="00145E4B">
        <w:t>’</w:t>
      </w:r>
      <w:r w:rsidRPr="00E07570">
        <w:t>arc ;</w:t>
      </w:r>
    </w:p>
    <w:p w:rsidR="002609DD" w:rsidRPr="00E07570" w:rsidRDefault="00045431" w:rsidP="00045431">
      <w:pPr>
        <w:pStyle w:val="SingleTxtG"/>
        <w:ind w:left="2268"/>
      </w:pPr>
      <w:r w:rsidRPr="00E07570">
        <w:t>B(j) est la valeur de la coordonnée B à l</w:t>
      </w:r>
      <w:r w:rsidR="00145E4B">
        <w:t>’</w:t>
      </w:r>
      <w:r w:rsidRPr="00E07570">
        <w:t>instant « j », calculée par le récepteur GNSS, en secondes d</w:t>
      </w:r>
      <w:r w:rsidR="00145E4B">
        <w:t>’</w:t>
      </w:r>
      <w:r w:rsidRPr="00E07570">
        <w:t>arc ;</w:t>
      </w:r>
    </w:p>
    <w:p w:rsidR="00045431" w:rsidRPr="00E07570" w:rsidRDefault="00045431" w:rsidP="00045431">
      <w:pPr>
        <w:pStyle w:val="SingleTxtG"/>
        <w:ind w:left="2268"/>
      </w:pPr>
      <w:r w:rsidRPr="00E07570">
        <w:t>N est le nombre de messages GGA (RMC) reçus pendant l</w:t>
      </w:r>
      <w:r w:rsidR="00145E4B">
        <w:t>’</w:t>
      </w:r>
      <w:r w:rsidRPr="00E07570">
        <w:t>essai du récepteur GNSS.</w:t>
      </w:r>
    </w:p>
    <w:p w:rsidR="00045431" w:rsidRPr="00E07570" w:rsidRDefault="00045431" w:rsidP="00045431">
      <w:pPr>
        <w:pStyle w:val="SingleTxtG"/>
        <w:ind w:left="2268"/>
      </w:pPr>
      <w:r w:rsidRPr="00E07570">
        <w:t>De la même façon, calculer l</w:t>
      </w:r>
      <w:r w:rsidR="00145E4B">
        <w:t>’</w:t>
      </w:r>
      <w:r w:rsidRPr="00E07570">
        <w:t>inexactitude systématique de la longitude (L).</w:t>
      </w:r>
    </w:p>
    <w:p w:rsidR="00045431" w:rsidRPr="00E07570" w:rsidRDefault="00045431" w:rsidP="00045431">
      <w:pPr>
        <w:pStyle w:val="SingleTxtG"/>
        <w:ind w:left="2268" w:hanging="1134"/>
      </w:pPr>
      <w:r w:rsidRPr="00E07570">
        <w:t>2.2.8</w:t>
      </w:r>
      <w:r w:rsidRPr="00E07570">
        <w:tab/>
        <w:t>Calculer la valeur de l</w:t>
      </w:r>
      <w:r w:rsidR="00145E4B">
        <w:t>’</w:t>
      </w:r>
      <w:r w:rsidRPr="00E07570">
        <w:t>écart type d</w:t>
      </w:r>
      <w:r w:rsidR="00145E4B">
        <w:t>’</w:t>
      </w:r>
      <w:r w:rsidRPr="00E07570">
        <w:t xml:space="preserve">après la formule </w:t>
      </w:r>
      <w:r w:rsidR="002A1EF4" w:rsidRPr="00E07570">
        <w:t>(</w:t>
      </w:r>
      <w:r w:rsidRPr="00E07570">
        <w:t>3</w:t>
      </w:r>
      <w:r w:rsidR="002A1EF4" w:rsidRPr="00E07570">
        <w:t>)</w:t>
      </w:r>
      <w:r w:rsidRPr="00E07570">
        <w:t xml:space="preserve"> pour la latitude (B) :</w:t>
      </w:r>
    </w:p>
    <w:p w:rsidR="00045431" w:rsidRPr="00E07570" w:rsidRDefault="00045431" w:rsidP="001B12A0">
      <w:pPr>
        <w:suppressAutoHyphens w:val="0"/>
        <w:spacing w:after="120" w:line="240" w:lineRule="auto"/>
        <w:ind w:left="2268" w:right="1134"/>
        <w:jc w:val="both"/>
      </w:pPr>
      <w:r w:rsidRPr="00E07570">
        <w:t>(3)</w:t>
      </w:r>
      <w:r w:rsidRPr="00E07570">
        <w:rPr>
          <w:i/>
        </w:rPr>
        <w:t xml:space="preserve"> </w:t>
      </w:r>
      <w:r w:rsidRPr="00E07570">
        <w:rPr>
          <w:i/>
          <w:position w:val="-22"/>
        </w:rPr>
        <w:object w:dxaOrig="2120" w:dyaOrig="999">
          <v:shape id="_x0000_i1031" type="#_x0000_t75" style="width:163pt;height:48.5pt" o:ole="" fillcolor="window">
            <v:imagedata r:id="rId25" o:title=""/>
          </v:shape>
          <o:OLEObject Type="Embed" ProgID="Equation.3" ShapeID="_x0000_i1031" DrawAspect="Content" ObjectID="_1551078329" r:id="rId26"/>
        </w:object>
      </w:r>
    </w:p>
    <w:p w:rsidR="00045431" w:rsidRPr="00E07570" w:rsidRDefault="00045431" w:rsidP="00045431">
      <w:pPr>
        <w:pStyle w:val="SingleTxtG"/>
        <w:ind w:left="2268"/>
      </w:pPr>
      <w:r w:rsidRPr="00E07570">
        <w:t>De la même façon, calculer la valeur de l</w:t>
      </w:r>
      <w:r w:rsidR="00145E4B">
        <w:t>’</w:t>
      </w:r>
      <w:r w:rsidRPr="00E07570">
        <w:t>écart type pour la longitude (L).</w:t>
      </w:r>
    </w:p>
    <w:p w:rsidR="00045431" w:rsidRPr="00E07570" w:rsidRDefault="00045431" w:rsidP="00045431">
      <w:pPr>
        <w:pStyle w:val="SingleTxtG"/>
        <w:ind w:left="2268" w:hanging="1134"/>
      </w:pPr>
      <w:r w:rsidRPr="00E07570">
        <w:t>2.2.9</w:t>
      </w:r>
      <w:r w:rsidRPr="00E07570">
        <w:tab/>
        <w:t>Convertir les coordonnées obtenues et les valeurs de l</w:t>
      </w:r>
      <w:r w:rsidR="00145E4B">
        <w:t>’</w:t>
      </w:r>
      <w:r w:rsidRPr="00E07570">
        <w:t>écart type de la latitude et de la longitude de secondes d</w:t>
      </w:r>
      <w:r w:rsidR="00145E4B">
        <w:t>’</w:t>
      </w:r>
      <w:r w:rsidRPr="00E07570">
        <w:t>arc en mètres, en utilisant les formules </w:t>
      </w:r>
      <w:r w:rsidR="002A1EF4" w:rsidRPr="00E07570">
        <w:t>(</w:t>
      </w:r>
      <w:r w:rsidRPr="00E07570">
        <w:t>4</w:t>
      </w:r>
      <w:r w:rsidR="002A1EF4" w:rsidRPr="00E07570">
        <w:t>)</w:t>
      </w:r>
      <w:r w:rsidRPr="00E07570">
        <w:t xml:space="preserve"> à </w:t>
      </w:r>
      <w:r w:rsidR="002A1EF4" w:rsidRPr="00E07570">
        <w:t>(</w:t>
      </w:r>
      <w:r w:rsidRPr="00E07570">
        <w:t>5</w:t>
      </w:r>
      <w:r w:rsidR="002A1EF4" w:rsidRPr="00E07570">
        <w:t>)</w:t>
      </w:r>
      <w:r w:rsidRPr="00E07570">
        <w:t xml:space="preserve"> ci</w:t>
      </w:r>
      <w:r w:rsidRPr="00E07570">
        <w:noBreakHyphen/>
        <w:t>dessous.</w:t>
      </w:r>
    </w:p>
    <w:p w:rsidR="00045431" w:rsidRPr="00E07570" w:rsidRDefault="00045431" w:rsidP="00045431">
      <w:pPr>
        <w:pStyle w:val="SingleTxtG"/>
        <w:ind w:left="2268"/>
      </w:pPr>
      <w:r w:rsidRPr="00E07570">
        <w:t>Pour la latitude :</w:t>
      </w:r>
    </w:p>
    <w:p w:rsidR="00045431" w:rsidRPr="00E07570" w:rsidRDefault="00045431" w:rsidP="001B12A0">
      <w:pPr>
        <w:suppressAutoHyphens w:val="0"/>
        <w:spacing w:after="120" w:line="240" w:lineRule="auto"/>
        <w:ind w:left="2268" w:right="1134"/>
        <w:jc w:val="both"/>
      </w:pPr>
      <w:r w:rsidRPr="00E07570">
        <w:t xml:space="preserve">(4-1) </w:t>
      </w:r>
      <w:r w:rsidRPr="00E07570">
        <w:rPr>
          <w:position w:val="-28"/>
        </w:rPr>
        <w:object w:dxaOrig="3600" w:dyaOrig="660">
          <v:shape id="_x0000_i1032" type="#_x0000_t75" style="width:205.5pt;height:39.5pt" o:ole="" fillcolor="window">
            <v:imagedata r:id="rId27" o:title=""/>
          </v:shape>
          <o:OLEObject Type="Embed" ProgID="Equation.3" ShapeID="_x0000_i1032" DrawAspect="Content" ObjectID="_1551078330" r:id="rId28"/>
        </w:object>
      </w:r>
    </w:p>
    <w:p w:rsidR="00045431" w:rsidRPr="00E07570" w:rsidRDefault="00045431" w:rsidP="001B12A0">
      <w:pPr>
        <w:suppressAutoHyphens w:val="0"/>
        <w:spacing w:after="120" w:line="240" w:lineRule="auto"/>
        <w:ind w:left="2268" w:right="1134"/>
        <w:jc w:val="both"/>
      </w:pPr>
      <w:r w:rsidRPr="00E07570">
        <w:t xml:space="preserve">(4-2) </w:t>
      </w:r>
      <w:r w:rsidRPr="00E07570">
        <w:rPr>
          <w:position w:val="-26"/>
        </w:rPr>
        <w:object w:dxaOrig="3580" w:dyaOrig="639">
          <v:shape id="_x0000_i1033" type="#_x0000_t75" style="width:206.5pt;height:38pt" o:ole="" fillcolor="window">
            <v:imagedata r:id="rId29" o:title=""/>
          </v:shape>
          <o:OLEObject Type="Embed" ProgID="Equation.3" ShapeID="_x0000_i1033" DrawAspect="Content" ObjectID="_1551078331" r:id="rId30"/>
        </w:object>
      </w:r>
    </w:p>
    <w:p w:rsidR="00045431" w:rsidRPr="00E07570" w:rsidRDefault="00045431" w:rsidP="001B12A0">
      <w:pPr>
        <w:suppressAutoHyphens w:val="0"/>
        <w:spacing w:after="120" w:line="240" w:lineRule="auto"/>
        <w:ind w:left="2268" w:right="1134"/>
        <w:jc w:val="both"/>
      </w:pPr>
      <w:r w:rsidRPr="00E07570">
        <w:t xml:space="preserve">(4-3) </w:t>
      </w:r>
      <w:r w:rsidRPr="00E07570">
        <w:rPr>
          <w:position w:val="-28"/>
        </w:rPr>
        <w:object w:dxaOrig="3960" w:dyaOrig="660">
          <v:shape id="_x0000_i1034" type="#_x0000_t75" style="width:227pt;height:39.5pt" o:ole="" fillcolor="window">
            <v:imagedata r:id="rId31" o:title=""/>
          </v:shape>
          <o:OLEObject Type="Embed" ProgID="Equation.3" ShapeID="_x0000_i1034" DrawAspect="Content" ObjectID="_1551078332" r:id="rId32"/>
        </w:object>
      </w:r>
    </w:p>
    <w:p w:rsidR="00045431" w:rsidRPr="00E07570" w:rsidRDefault="00045431" w:rsidP="001B12A0">
      <w:pPr>
        <w:pStyle w:val="SingleTxtG"/>
        <w:ind w:left="2268"/>
      </w:pPr>
      <w:r w:rsidRPr="00E07570">
        <w:t>Pour la longitude :</w:t>
      </w:r>
    </w:p>
    <w:p w:rsidR="00045431" w:rsidRPr="00E07570" w:rsidRDefault="00045431" w:rsidP="001B12A0">
      <w:pPr>
        <w:suppressAutoHyphens w:val="0"/>
        <w:spacing w:after="120" w:line="240" w:lineRule="auto"/>
        <w:ind w:left="2268" w:right="1134"/>
        <w:jc w:val="both"/>
      </w:pPr>
      <w:r w:rsidRPr="00E07570">
        <w:t xml:space="preserve">(5-1) </w:t>
      </w:r>
      <w:r w:rsidRPr="00E07570">
        <w:rPr>
          <w:position w:val="-34"/>
        </w:rPr>
        <w:object w:dxaOrig="3379" w:dyaOrig="660">
          <v:shape id="_x0000_i1035" type="#_x0000_t75" style="width:213.5pt;height:40pt" o:ole="" fillcolor="window">
            <v:imagedata r:id="rId33" o:title=""/>
          </v:shape>
          <o:OLEObject Type="Embed" ProgID="Equation.3" ShapeID="_x0000_i1035" DrawAspect="Content" ObjectID="_1551078333" r:id="rId34"/>
        </w:object>
      </w:r>
    </w:p>
    <w:p w:rsidR="00045431" w:rsidRPr="00E07570" w:rsidRDefault="00045431" w:rsidP="001B12A0">
      <w:pPr>
        <w:suppressAutoHyphens w:val="0"/>
        <w:spacing w:after="120" w:line="240" w:lineRule="auto"/>
        <w:ind w:left="2268" w:right="1134"/>
        <w:jc w:val="both"/>
      </w:pPr>
      <w:r w:rsidRPr="00E07570">
        <w:t xml:space="preserve">(5-2) </w:t>
      </w:r>
      <w:r w:rsidRPr="00E07570">
        <w:rPr>
          <w:position w:val="-34"/>
        </w:rPr>
        <w:object w:dxaOrig="3420" w:dyaOrig="660">
          <v:shape id="_x0000_i1036" type="#_x0000_t75" style="width:216.5pt;height:40pt" o:ole="" fillcolor="window">
            <v:imagedata r:id="rId35" o:title=""/>
          </v:shape>
          <o:OLEObject Type="Embed" ProgID="Equation.3" ShapeID="_x0000_i1036" DrawAspect="Content" ObjectID="_1551078334" r:id="rId36"/>
        </w:object>
      </w:r>
    </w:p>
    <w:p w:rsidR="00045431" w:rsidRPr="00E07570" w:rsidRDefault="00045431" w:rsidP="001B12A0">
      <w:pPr>
        <w:suppressAutoHyphens w:val="0"/>
        <w:spacing w:after="120" w:line="240" w:lineRule="auto"/>
        <w:ind w:left="2268" w:right="1134"/>
        <w:jc w:val="both"/>
      </w:pPr>
      <w:r w:rsidRPr="00E07570">
        <w:t xml:space="preserve">(5-3) </w:t>
      </w:r>
      <w:r w:rsidRPr="00E07570">
        <w:rPr>
          <w:position w:val="-34"/>
        </w:rPr>
        <w:object w:dxaOrig="3720" w:dyaOrig="660">
          <v:shape id="_x0000_i1037" type="#_x0000_t75" style="width:234.5pt;height:40pt" o:ole="" fillcolor="window">
            <v:imagedata r:id="rId37" o:title=""/>
          </v:shape>
          <o:OLEObject Type="Embed" ProgID="Equation.3" ShapeID="_x0000_i1037" DrawAspect="Content" ObjectID="_1551078335" r:id="rId38"/>
        </w:object>
      </w:r>
    </w:p>
    <w:p w:rsidR="00045431" w:rsidRPr="00E07570" w:rsidRDefault="00045431" w:rsidP="001B12A0">
      <w:pPr>
        <w:pStyle w:val="SingleTxtG"/>
        <w:ind w:left="2268"/>
      </w:pPr>
      <w:proofErr w:type="gramStart"/>
      <w:r w:rsidRPr="00E07570">
        <w:t>où</w:t>
      </w:r>
      <w:proofErr w:type="gramEnd"/>
      <w:r w:rsidRPr="00E07570">
        <w:t> :</w:t>
      </w:r>
    </w:p>
    <w:p w:rsidR="00045431" w:rsidRPr="00E07570" w:rsidRDefault="00045431" w:rsidP="001B12A0">
      <w:pPr>
        <w:pStyle w:val="SingleTxtG"/>
        <w:ind w:left="2268"/>
      </w:pPr>
      <w:r w:rsidRPr="00E07570">
        <w:tab/>
      </w:r>
      <w:proofErr w:type="gramStart"/>
      <w:r w:rsidRPr="00E07570">
        <w:t>a</w:t>
      </w:r>
      <w:proofErr w:type="gramEnd"/>
      <w:r w:rsidRPr="00E07570">
        <w:t xml:space="preserve"> est le demi grand</w:t>
      </w:r>
      <w:r w:rsidR="001B12A0" w:rsidRPr="00E07570">
        <w:t>-</w:t>
      </w:r>
      <w:r w:rsidRPr="00E07570">
        <w:t>axe de l</w:t>
      </w:r>
      <w:r w:rsidR="00145E4B">
        <w:t>’</w:t>
      </w:r>
      <w:r w:rsidRPr="00E07570">
        <w:t>ellipsoïde, en mètres ;</w:t>
      </w:r>
    </w:p>
    <w:p w:rsidR="00045431" w:rsidRPr="00E07570" w:rsidRDefault="00045431" w:rsidP="001B12A0">
      <w:pPr>
        <w:pStyle w:val="SingleTxtG"/>
        <w:ind w:left="2268"/>
      </w:pPr>
      <w:r w:rsidRPr="00E07570">
        <w:tab/>
      </w:r>
      <w:proofErr w:type="gramStart"/>
      <w:r w:rsidRPr="00E07570">
        <w:t>e</w:t>
      </w:r>
      <w:proofErr w:type="gramEnd"/>
      <w:r w:rsidRPr="00E07570">
        <w:t xml:space="preserve"> est la première excentricité ;</w:t>
      </w:r>
    </w:p>
    <w:p w:rsidR="00045431" w:rsidRPr="00E07570" w:rsidRDefault="00045431" w:rsidP="001B12A0">
      <w:pPr>
        <w:pStyle w:val="SingleTxtG"/>
        <w:ind w:left="2268"/>
      </w:pPr>
      <w:r w:rsidRPr="00E07570">
        <w:tab/>
      </w:r>
      <w:proofErr w:type="gramStart"/>
      <w:r w:rsidRPr="00E07570">
        <w:t>φ</w:t>
      </w:r>
      <w:proofErr w:type="gramEnd"/>
      <w:r w:rsidRPr="00E07570">
        <w:t xml:space="preserve"> est la valeur obtenue de la latitude, en radians. </w:t>
      </w:r>
    </w:p>
    <w:p w:rsidR="00045431" w:rsidRPr="00E07570" w:rsidRDefault="00045431" w:rsidP="001B12A0">
      <w:pPr>
        <w:pStyle w:val="SingleTxtG"/>
        <w:ind w:left="2268" w:hanging="1134"/>
      </w:pPr>
      <w:r w:rsidRPr="00E07570">
        <w:t>2.2.10</w:t>
      </w:r>
      <w:r w:rsidRPr="00E07570">
        <w:tab/>
        <w:t>Calculer l</w:t>
      </w:r>
      <w:r w:rsidR="00145E4B">
        <w:t>’</w:t>
      </w:r>
      <w:r w:rsidRPr="00E07570">
        <w:t xml:space="preserve">erreur des coordonnées horizontales selon la formule </w:t>
      </w:r>
      <w:r w:rsidR="002A1EF4" w:rsidRPr="00E07570">
        <w:t>(</w:t>
      </w:r>
      <w:r w:rsidRPr="00E07570">
        <w:t>6</w:t>
      </w:r>
      <w:r w:rsidR="002A1EF4" w:rsidRPr="00E07570">
        <w:t>)</w:t>
      </w:r>
      <w:r w:rsidRPr="00E07570">
        <w:t xml:space="preserve"> ou les erreurs linéaires pour chaque mesure selon la formule </w:t>
      </w:r>
      <w:r w:rsidR="002A1EF4" w:rsidRPr="00E07570">
        <w:t>(</w:t>
      </w:r>
      <w:r w:rsidRPr="00E07570">
        <w:t>7</w:t>
      </w:r>
      <w:r w:rsidR="002A1EF4" w:rsidRPr="00E07570">
        <w:t>)</w:t>
      </w:r>
      <w:r w:rsidRPr="00E07570">
        <w:t> :</w:t>
      </w:r>
    </w:p>
    <w:p w:rsidR="00045431" w:rsidRPr="00E07570" w:rsidRDefault="00045431" w:rsidP="001B12A0">
      <w:pPr>
        <w:suppressAutoHyphens w:val="0"/>
        <w:spacing w:after="120" w:line="240" w:lineRule="auto"/>
        <w:ind w:left="2268" w:right="1134"/>
        <w:jc w:val="both"/>
        <w:rPr>
          <w:spacing w:val="-2"/>
        </w:rPr>
      </w:pPr>
      <w:r w:rsidRPr="00E07570">
        <w:rPr>
          <w:spacing w:val="-2"/>
        </w:rPr>
        <w:t xml:space="preserve">(6) </w:t>
      </w:r>
      <w:r w:rsidRPr="00E07570">
        <w:rPr>
          <w:spacing w:val="-2"/>
          <w:position w:val="-12"/>
        </w:rPr>
        <w:object w:dxaOrig="3860" w:dyaOrig="420">
          <v:shape id="_x0000_i1038" type="#_x0000_t75" style="width:257.5pt;height:27pt" o:ole="">
            <v:imagedata r:id="rId39" o:title=""/>
          </v:shape>
          <o:OLEObject Type="Embed" ProgID="Equation.3" ShapeID="_x0000_i1038" DrawAspect="Content" ObjectID="_1551078336" r:id="rId40"/>
        </w:object>
      </w:r>
    </w:p>
    <w:p w:rsidR="00045431" w:rsidRPr="00E07570" w:rsidRDefault="00045431" w:rsidP="001B12A0">
      <w:pPr>
        <w:suppressAutoHyphens w:val="0"/>
        <w:spacing w:after="120" w:line="240" w:lineRule="auto"/>
        <w:ind w:left="2268" w:right="1134"/>
        <w:jc w:val="both"/>
        <w:rPr>
          <w:b/>
        </w:rPr>
      </w:pPr>
      <w:r w:rsidRPr="00E07570">
        <w:t>(7)</w:t>
      </w:r>
      <w:r w:rsidRPr="00E07570">
        <w:rPr>
          <w:b/>
        </w:rPr>
        <w:t xml:space="preserve"> </w:t>
      </w:r>
      <w:r w:rsidR="00E26107" w:rsidRPr="00E07570">
        <w:rPr>
          <w:b/>
          <w:position w:val="-12"/>
        </w:rPr>
        <w:object w:dxaOrig="2760" w:dyaOrig="420">
          <v:shape id="_x0000_i1039" type="#_x0000_t75" style="width:188.5pt;height:28.5pt" o:ole="">
            <v:imagedata r:id="rId41" o:title=""/>
          </v:shape>
          <o:OLEObject Type="Embed" ProgID="Equation.3" ShapeID="_x0000_i1039" DrawAspect="Content" ObjectID="_1551078337" r:id="rId42"/>
        </w:object>
      </w:r>
    </w:p>
    <w:p w:rsidR="00045431" w:rsidRPr="00E07570" w:rsidRDefault="00045431" w:rsidP="001B12A0">
      <w:pPr>
        <w:pStyle w:val="SingleTxtG"/>
        <w:ind w:left="2268" w:hanging="1134"/>
      </w:pPr>
      <w:r w:rsidRPr="00E07570">
        <w:t>2.2.11</w:t>
      </w:r>
      <w:r w:rsidRPr="00E07570">
        <w:tab/>
      </w:r>
      <w:r w:rsidRPr="00E07570">
        <w:rPr>
          <w:spacing w:val="-2"/>
        </w:rPr>
        <w:t>Répéter la procédure d</w:t>
      </w:r>
      <w:r w:rsidR="00145E4B">
        <w:rPr>
          <w:spacing w:val="-2"/>
        </w:rPr>
        <w:t>’</w:t>
      </w:r>
      <w:r w:rsidRPr="00E07570">
        <w:rPr>
          <w:spacing w:val="-2"/>
        </w:rPr>
        <w:t>essai visée aux paragraphes</w:t>
      </w:r>
      <w:r w:rsidR="001B12A0" w:rsidRPr="00E07570">
        <w:rPr>
          <w:spacing w:val="-2"/>
        </w:rPr>
        <w:t> </w:t>
      </w:r>
      <w:r w:rsidRPr="00E07570">
        <w:rPr>
          <w:spacing w:val="-2"/>
        </w:rPr>
        <w:t>2.2.3 à 2.2.10 uniquement pour les signaux GLONASS avec les paramètres de simulation définis au tableau </w:t>
      </w:r>
      <w:r w:rsidRPr="00E07570">
        <w:rPr>
          <w:b/>
          <w:spacing w:val="-2"/>
        </w:rPr>
        <w:t>6</w:t>
      </w:r>
      <w:r w:rsidRPr="00E07570">
        <w:rPr>
          <w:spacing w:val="-2"/>
        </w:rPr>
        <w:t>.</w:t>
      </w:r>
    </w:p>
    <w:p w:rsidR="00045431" w:rsidRPr="00E07570" w:rsidRDefault="00045431" w:rsidP="001B12A0">
      <w:pPr>
        <w:pStyle w:val="SingleTxtG"/>
        <w:ind w:left="2268" w:hanging="1134"/>
      </w:pPr>
      <w:r w:rsidRPr="00E07570">
        <w:t>2.2.12</w:t>
      </w:r>
      <w:r w:rsidRPr="00E07570">
        <w:tab/>
        <w:t>Répéter la procédure d</w:t>
      </w:r>
      <w:r w:rsidR="00145E4B">
        <w:t>’</w:t>
      </w:r>
      <w:r w:rsidRPr="00E07570">
        <w:t>essai visée aux paragraphes</w:t>
      </w:r>
      <w:r w:rsidR="001B12A0" w:rsidRPr="00E07570">
        <w:t> </w:t>
      </w:r>
      <w:r w:rsidRPr="00E07570">
        <w:t>2.2.3 à 2.2.10 uniquement pour les signaux GPS avec les paramètres de simulation indiqués au tableau</w:t>
      </w:r>
      <w:r w:rsidR="001B12A0" w:rsidRPr="00E07570">
        <w:t> </w:t>
      </w:r>
      <w:r w:rsidRPr="00E07570">
        <w:rPr>
          <w:b/>
        </w:rPr>
        <w:t>6</w:t>
      </w:r>
      <w:r w:rsidRPr="00E07570">
        <w:t>.</w:t>
      </w:r>
    </w:p>
    <w:p w:rsidR="00045431" w:rsidRPr="00E07570" w:rsidRDefault="00045431" w:rsidP="001B12A0">
      <w:pPr>
        <w:pStyle w:val="SingleTxtG"/>
        <w:ind w:left="2268" w:hanging="1134"/>
      </w:pPr>
      <w:r w:rsidRPr="00E07570">
        <w:t>2.2.13</w:t>
      </w:r>
      <w:r w:rsidRPr="00E07570">
        <w:tab/>
        <w:t>Répéter la procédure d</w:t>
      </w:r>
      <w:r w:rsidR="00145E4B">
        <w:t>’</w:t>
      </w:r>
      <w:r w:rsidRPr="00E07570">
        <w:t>essai prescrite aux paragraphes</w:t>
      </w:r>
      <w:r w:rsidR="001B12A0" w:rsidRPr="00E07570">
        <w:t> </w:t>
      </w:r>
      <w:r w:rsidRPr="00E07570">
        <w:t xml:space="preserve">2.2.3 à 2.2.10 pour les signaux </w:t>
      </w:r>
      <w:r w:rsidR="002B669D" w:rsidRPr="00E07570">
        <w:t>Galileo</w:t>
      </w:r>
      <w:r w:rsidRPr="00E07570">
        <w:t xml:space="preserve"> avec les paramètres de simulation indiqués au tableau </w:t>
      </w:r>
      <w:r w:rsidRPr="00E07570">
        <w:rPr>
          <w:b/>
        </w:rPr>
        <w:t>6</w:t>
      </w:r>
      <w:r w:rsidR="001B12A0" w:rsidRPr="00E07570">
        <w:t>.</w:t>
      </w:r>
    </w:p>
    <w:p w:rsidR="00045431" w:rsidRPr="00E07570" w:rsidRDefault="00045431" w:rsidP="001B12A0">
      <w:pPr>
        <w:pStyle w:val="SingleTxtG"/>
        <w:ind w:left="2268" w:hanging="1134"/>
      </w:pPr>
      <w:r w:rsidRPr="00E07570">
        <w:t>2.2.14</w:t>
      </w:r>
      <w:r w:rsidRPr="00E07570">
        <w:tab/>
        <w:t>Répéter la procédure d</w:t>
      </w:r>
      <w:r w:rsidR="00145E4B">
        <w:t>’</w:t>
      </w:r>
      <w:r w:rsidRPr="00E07570">
        <w:t>essai prescrite aux paragraphes</w:t>
      </w:r>
      <w:r w:rsidR="001B12A0" w:rsidRPr="00E07570">
        <w:t> </w:t>
      </w:r>
      <w:r w:rsidRPr="00E07570">
        <w:t>2.2.3 à 2.2.10, avec d</w:t>
      </w:r>
      <w:r w:rsidR="00145E4B">
        <w:t>’</w:t>
      </w:r>
      <w:r w:rsidRPr="00E07570">
        <w:t>autres échantillons AECD/AECS fournis pour l</w:t>
      </w:r>
      <w:r w:rsidR="00145E4B">
        <w:t>’</w:t>
      </w:r>
      <w:r w:rsidRPr="00E07570">
        <w:t>essai.</w:t>
      </w:r>
    </w:p>
    <w:p w:rsidR="00045431" w:rsidRPr="00E07570" w:rsidRDefault="00045431" w:rsidP="001B12A0">
      <w:pPr>
        <w:pStyle w:val="SingleTxtG"/>
        <w:ind w:left="2268" w:hanging="1134"/>
      </w:pPr>
      <w:r w:rsidRPr="00E07570">
        <w:t>2.2.15</w:t>
      </w:r>
      <w:r w:rsidRPr="00E07570">
        <w:tab/>
        <w:t>Calculer les valeurs moyennes obtenues à l</w:t>
      </w:r>
      <w:r w:rsidR="00145E4B">
        <w:t>’</w:t>
      </w:r>
      <w:r w:rsidRPr="00E07570">
        <w:t>aide de la formule</w:t>
      </w:r>
      <w:r w:rsidR="001B12A0" w:rsidRPr="00E07570">
        <w:t> </w:t>
      </w:r>
      <w:r w:rsidR="002A1EF4" w:rsidRPr="00E07570">
        <w:t>(</w:t>
      </w:r>
      <w:r w:rsidRPr="00E07570">
        <w:t>6</w:t>
      </w:r>
      <w:r w:rsidR="002A1EF4" w:rsidRPr="00E07570">
        <w:t>)</w:t>
      </w:r>
      <w:r w:rsidRPr="00E07570">
        <w:t xml:space="preserve"> pour tous les échantillons d</w:t>
      </w:r>
      <w:r w:rsidR="00145E4B">
        <w:t>’</w:t>
      </w:r>
      <w:r w:rsidRPr="00E07570">
        <w:t>AECD/AECS soumis à l</w:t>
      </w:r>
      <w:r w:rsidR="00145E4B">
        <w:t>’</w:t>
      </w:r>
      <w:r w:rsidRPr="00E07570">
        <w:t>essai.</w:t>
      </w:r>
    </w:p>
    <w:p w:rsidR="00045431" w:rsidRPr="00E07570" w:rsidRDefault="00045431" w:rsidP="001B12A0">
      <w:pPr>
        <w:pStyle w:val="SingleTxtG"/>
        <w:ind w:left="2268" w:hanging="1134"/>
      </w:pPr>
      <w:r w:rsidRPr="00E07570">
        <w:t>2.2.16</w:t>
      </w:r>
      <w:r w:rsidRPr="00E07570">
        <w:tab/>
        <w:t>Les résultats des essais sont considérés comme satisfaisants si au moins une des conditions suivantes est remplie :</w:t>
      </w:r>
    </w:p>
    <w:p w:rsidR="00045431" w:rsidRPr="00E07570" w:rsidRDefault="00045431" w:rsidP="001B12A0">
      <w:pPr>
        <w:pStyle w:val="SingleTxtG"/>
        <w:ind w:left="2835" w:hanging="567"/>
      </w:pPr>
      <w:r w:rsidRPr="00E07570">
        <w:t>a)</w:t>
      </w:r>
      <w:r w:rsidRPr="00E07570">
        <w:tab/>
        <w:t>Les erreurs de position horizontale obtenues à l</w:t>
      </w:r>
      <w:r w:rsidR="00145E4B">
        <w:t>’</w:t>
      </w:r>
      <w:r w:rsidRPr="00E07570">
        <w:t>aide de la formule (6) pour tous les échantillons d</w:t>
      </w:r>
      <w:r w:rsidR="00145E4B">
        <w:t>’</w:t>
      </w:r>
      <w:r w:rsidRPr="00E07570">
        <w:t>AECD/AECS ne dépassent pas 15 m en mode « ciel ouvert » pour tous les scénarios de simulation ; ou</w:t>
      </w:r>
    </w:p>
    <w:p w:rsidR="00045431" w:rsidRPr="00E07570" w:rsidRDefault="00045431" w:rsidP="00565BAB">
      <w:pPr>
        <w:pStyle w:val="SingleTxtG"/>
        <w:ind w:left="2835" w:hanging="567"/>
      </w:pPr>
      <w:r w:rsidRPr="00E07570">
        <w:t>b)</w:t>
      </w:r>
      <w:r w:rsidRPr="00E07570">
        <w:tab/>
        <w:t>Les erreurs linéaires pour chaque mesure effectuée à l</w:t>
      </w:r>
      <w:r w:rsidR="00145E4B">
        <w:t>’</w:t>
      </w:r>
      <w:r w:rsidRPr="00E07570">
        <w:t>aide de la formule (7) obtenues pour tous les échantillons d</w:t>
      </w:r>
      <w:r w:rsidR="00145E4B">
        <w:t>’</w:t>
      </w:r>
      <w:r w:rsidRPr="00E07570">
        <w:t>AECD/AECS ne dépassent pas 15 m en mode « ciel ouvert » pour tous les scénarios de simulation et pour au moins 95 % de l</w:t>
      </w:r>
      <w:r w:rsidR="00145E4B">
        <w:t>’</w:t>
      </w:r>
      <w:r w:rsidRPr="00E07570">
        <w:t>ensemble des mesures.</w:t>
      </w:r>
    </w:p>
    <w:p w:rsidR="00045431" w:rsidRPr="00E07570" w:rsidRDefault="00045431" w:rsidP="00565BAB">
      <w:pPr>
        <w:pStyle w:val="SingleTxtG"/>
        <w:ind w:left="2268" w:hanging="1134"/>
      </w:pPr>
      <w:r w:rsidRPr="00E07570">
        <w:t>2.3</w:t>
      </w:r>
      <w:r w:rsidRPr="00E07570">
        <w:tab/>
        <w:t>Évaluation de la précision du positionnement en mode dynamique autonome</w:t>
      </w:r>
    </w:p>
    <w:p w:rsidR="008840F2" w:rsidRPr="00E07570" w:rsidRDefault="00045431" w:rsidP="00565BAB">
      <w:pPr>
        <w:pStyle w:val="SingleTxtG"/>
        <w:ind w:left="2268" w:hanging="1134"/>
      </w:pPr>
      <w:r w:rsidRPr="00E07570">
        <w:t>2.3.1</w:t>
      </w:r>
      <w:r w:rsidRPr="00E07570">
        <w:tab/>
        <w:t>Répéter la procédure d</w:t>
      </w:r>
      <w:r w:rsidR="00145E4B">
        <w:t>’</w:t>
      </w:r>
      <w:r w:rsidRPr="00E07570">
        <w:t>essai prescrite au paragraphe</w:t>
      </w:r>
      <w:r w:rsidR="00565BAB" w:rsidRPr="00E07570">
        <w:t> </w:t>
      </w:r>
      <w:r w:rsidRPr="00E07570">
        <w:t>2.2, à l</w:t>
      </w:r>
      <w:r w:rsidR="00145E4B">
        <w:t>’</w:t>
      </w:r>
      <w:r w:rsidRPr="00E07570">
        <w:t>exclusion des paragraphes</w:t>
      </w:r>
      <w:r w:rsidR="00565BAB" w:rsidRPr="00E07570">
        <w:t> </w:t>
      </w:r>
      <w:r w:rsidRPr="00E07570">
        <w:t>2.2.11 à 2.2.13, en utilisant le scénario de simulation des déplacements indiqués au tableau</w:t>
      </w:r>
      <w:r w:rsidR="00565BAB" w:rsidRPr="00E07570">
        <w:t> </w:t>
      </w:r>
      <w:r w:rsidRPr="00E07570">
        <w:rPr>
          <w:b/>
        </w:rPr>
        <w:t>8</w:t>
      </w:r>
      <w:r w:rsidRPr="00E07570">
        <w:t>.</w:t>
      </w:r>
    </w:p>
    <w:p w:rsidR="00045431" w:rsidRPr="00E07570" w:rsidRDefault="008840F2" w:rsidP="008840F2">
      <w:pPr>
        <w:pStyle w:val="Heading1"/>
        <w:spacing w:after="120"/>
        <w:rPr>
          <w:b/>
          <w:bCs/>
        </w:rPr>
      </w:pPr>
      <w:r w:rsidRPr="00E07570">
        <w:t xml:space="preserve">Tableau </w:t>
      </w:r>
      <w:r w:rsidRPr="00E07570">
        <w:rPr>
          <w:b/>
        </w:rPr>
        <w:t xml:space="preserve">8 </w:t>
      </w:r>
      <w:r w:rsidRPr="00E07570">
        <w:br/>
      </w:r>
      <w:r w:rsidRPr="00E07570">
        <w:rPr>
          <w:b/>
          <w:bCs/>
        </w:rPr>
        <w:t>Principaux paramètres du scénario de simulation en mode dynamique</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65"/>
        <w:gridCol w:w="3905"/>
      </w:tblGrid>
      <w:tr w:rsidR="008840F2" w:rsidRPr="00E07570" w:rsidTr="00CF30E3">
        <w:trPr>
          <w:tblHeader/>
        </w:trPr>
        <w:tc>
          <w:tcPr>
            <w:tcW w:w="3465" w:type="dxa"/>
            <w:tcBorders>
              <w:bottom w:val="single" w:sz="12" w:space="0" w:color="auto"/>
            </w:tcBorders>
            <w:shd w:val="clear" w:color="auto" w:fill="auto"/>
            <w:vAlign w:val="bottom"/>
          </w:tcPr>
          <w:p w:rsidR="008840F2" w:rsidRPr="00E07570" w:rsidRDefault="008840F2" w:rsidP="008840F2">
            <w:pPr>
              <w:spacing w:before="80" w:after="80" w:line="200" w:lineRule="exact"/>
              <w:ind w:left="57" w:right="57"/>
              <w:rPr>
                <w:i/>
                <w:sz w:val="16"/>
                <w:szCs w:val="16"/>
              </w:rPr>
            </w:pPr>
            <w:r w:rsidRPr="00E07570">
              <w:rPr>
                <w:i/>
                <w:sz w:val="16"/>
                <w:szCs w:val="16"/>
              </w:rPr>
              <w:t>Paramètre simulé</w:t>
            </w:r>
          </w:p>
        </w:tc>
        <w:tc>
          <w:tcPr>
            <w:tcW w:w="3905" w:type="dxa"/>
            <w:tcBorders>
              <w:bottom w:val="single" w:sz="12" w:space="0" w:color="auto"/>
            </w:tcBorders>
            <w:shd w:val="clear" w:color="auto" w:fill="auto"/>
            <w:vAlign w:val="bottom"/>
          </w:tcPr>
          <w:p w:rsidR="008840F2" w:rsidRPr="00E07570" w:rsidRDefault="008840F2" w:rsidP="008840F2">
            <w:pPr>
              <w:spacing w:before="80" w:after="80" w:line="200" w:lineRule="exact"/>
              <w:ind w:left="57" w:right="57"/>
              <w:rPr>
                <w:i/>
                <w:sz w:val="16"/>
                <w:szCs w:val="16"/>
              </w:rPr>
            </w:pPr>
            <w:r w:rsidRPr="00E07570">
              <w:rPr>
                <w:i/>
                <w:sz w:val="16"/>
                <w:szCs w:val="16"/>
              </w:rPr>
              <w:t>Valeur</w:t>
            </w:r>
          </w:p>
        </w:tc>
      </w:tr>
      <w:tr w:rsidR="008840F2" w:rsidRPr="00E07570" w:rsidTr="00CF30E3">
        <w:tc>
          <w:tcPr>
            <w:tcW w:w="3465" w:type="dxa"/>
            <w:tcBorders>
              <w:top w:val="single" w:sz="12" w:space="0" w:color="auto"/>
            </w:tcBorders>
            <w:shd w:val="clear" w:color="auto" w:fill="auto"/>
          </w:tcPr>
          <w:p w:rsidR="008840F2" w:rsidRPr="00E07570" w:rsidRDefault="008840F2" w:rsidP="00660CAA">
            <w:pPr>
              <w:spacing w:before="60" w:after="60"/>
              <w:ind w:left="57" w:right="57"/>
              <w:rPr>
                <w:iCs/>
              </w:rPr>
            </w:pPr>
            <w:r w:rsidRPr="00E07570">
              <w:rPr>
                <w:iCs/>
              </w:rPr>
              <w:t>Durée de l</w:t>
            </w:r>
            <w:r w:rsidR="00145E4B">
              <w:rPr>
                <w:iCs/>
              </w:rPr>
              <w:t>’</w:t>
            </w:r>
            <w:r w:rsidRPr="00E07570">
              <w:rPr>
                <w:iCs/>
              </w:rPr>
              <w:t>essai (</w:t>
            </w:r>
            <w:r w:rsidR="00660CAA" w:rsidRPr="00E07570">
              <w:rPr>
                <w:iCs/>
              </w:rPr>
              <w:t>h </w:t>
            </w:r>
            <w:proofErr w:type="gramStart"/>
            <w:r w:rsidR="00660CAA" w:rsidRPr="00E07570">
              <w:rPr>
                <w:iCs/>
              </w:rPr>
              <w:t>:min</w:t>
            </w:r>
            <w:proofErr w:type="gramEnd"/>
            <w:r w:rsidR="00660CAA" w:rsidRPr="00E07570">
              <w:rPr>
                <w:iCs/>
              </w:rPr>
              <w:t> :s)</w:t>
            </w:r>
          </w:p>
        </w:tc>
        <w:tc>
          <w:tcPr>
            <w:tcW w:w="3905" w:type="dxa"/>
            <w:tcBorders>
              <w:top w:val="single" w:sz="12" w:space="0" w:color="auto"/>
            </w:tcBorders>
            <w:shd w:val="clear" w:color="auto" w:fill="auto"/>
          </w:tcPr>
          <w:p w:rsidR="008840F2" w:rsidRPr="00E07570" w:rsidRDefault="008840F2" w:rsidP="00D64038">
            <w:pPr>
              <w:spacing w:before="60" w:after="60"/>
              <w:ind w:left="57" w:right="57"/>
              <w:rPr>
                <w:iCs/>
              </w:rPr>
            </w:pPr>
            <w:r w:rsidRPr="00E07570">
              <w:rPr>
                <w:iCs/>
              </w:rPr>
              <w:t>01:00:00</w:t>
            </w:r>
          </w:p>
        </w:tc>
      </w:tr>
      <w:tr w:rsidR="008840F2" w:rsidRPr="00E07570" w:rsidTr="00CF30E3">
        <w:tc>
          <w:tcPr>
            <w:tcW w:w="3465" w:type="dxa"/>
            <w:shd w:val="clear" w:color="auto" w:fill="auto"/>
          </w:tcPr>
          <w:p w:rsidR="008840F2" w:rsidRPr="00E07570" w:rsidRDefault="008840F2" w:rsidP="00D64038">
            <w:pPr>
              <w:spacing w:before="60" w:after="60"/>
              <w:ind w:left="57" w:right="57"/>
              <w:rPr>
                <w:iCs/>
              </w:rPr>
            </w:pPr>
            <w:r w:rsidRPr="00E07570">
              <w:rPr>
                <w:iCs/>
              </w:rPr>
              <w:t>Fréquence de sortie</w:t>
            </w:r>
          </w:p>
        </w:tc>
        <w:tc>
          <w:tcPr>
            <w:tcW w:w="3905" w:type="dxa"/>
            <w:shd w:val="clear" w:color="auto" w:fill="auto"/>
          </w:tcPr>
          <w:p w:rsidR="008840F2" w:rsidRPr="00E07570" w:rsidDel="00F16A40" w:rsidRDefault="008840F2" w:rsidP="00D64038">
            <w:pPr>
              <w:spacing w:before="60" w:after="60"/>
              <w:ind w:left="57" w:right="57"/>
              <w:rPr>
                <w:iCs/>
              </w:rPr>
            </w:pPr>
            <w:r w:rsidRPr="00E07570">
              <w:rPr>
                <w:iCs/>
              </w:rPr>
              <w:t>1</w:t>
            </w:r>
            <w:r w:rsidR="00D64038" w:rsidRPr="00E07570">
              <w:rPr>
                <w:iCs/>
              </w:rPr>
              <w:t> </w:t>
            </w:r>
            <w:r w:rsidRPr="00E07570">
              <w:rPr>
                <w:iCs/>
              </w:rPr>
              <w:t>Hz</w:t>
            </w:r>
          </w:p>
        </w:tc>
      </w:tr>
      <w:tr w:rsidR="008840F2" w:rsidRPr="00E07570" w:rsidTr="00CF30E3">
        <w:tc>
          <w:tcPr>
            <w:tcW w:w="3465" w:type="dxa"/>
            <w:shd w:val="clear" w:color="auto" w:fill="auto"/>
          </w:tcPr>
          <w:p w:rsidR="008840F2" w:rsidRPr="00E07570" w:rsidRDefault="008840F2" w:rsidP="00D64038">
            <w:pPr>
              <w:spacing w:before="60" w:after="60"/>
              <w:ind w:left="57" w:right="57"/>
              <w:rPr>
                <w:iCs/>
              </w:rPr>
            </w:pPr>
            <w:r w:rsidRPr="00E07570">
              <w:rPr>
                <w:iCs/>
              </w:rPr>
              <w:t>Emplacement de l</w:t>
            </w:r>
            <w:r w:rsidR="00145E4B">
              <w:rPr>
                <w:iCs/>
              </w:rPr>
              <w:t>’</w:t>
            </w:r>
            <w:r w:rsidRPr="00E07570">
              <w:rPr>
                <w:iCs/>
              </w:rPr>
              <w:t>AECD</w:t>
            </w:r>
          </w:p>
          <w:p w:rsidR="008840F2" w:rsidRPr="00E07570" w:rsidRDefault="008840F2" w:rsidP="00D64038">
            <w:pPr>
              <w:pStyle w:val="Bullet1G"/>
              <w:numPr>
                <w:ilvl w:val="0"/>
                <w:numId w:val="0"/>
              </w:numPr>
              <w:tabs>
                <w:tab w:val="left" w:pos="284"/>
              </w:tabs>
              <w:spacing w:before="60" w:after="60"/>
              <w:ind w:left="221" w:right="57" w:hanging="164"/>
              <w:jc w:val="left"/>
              <w:rPr>
                <w:iCs/>
              </w:rPr>
            </w:pPr>
            <w:r w:rsidRPr="00E07570">
              <w:rPr>
                <w:iCs/>
              </w:rPr>
              <w:t>-</w:t>
            </w:r>
            <w:r w:rsidRPr="00E07570">
              <w:rPr>
                <w:iCs/>
              </w:rPr>
              <w:tab/>
              <w:t>CS WGS-84</w:t>
            </w:r>
          </w:p>
        </w:tc>
        <w:tc>
          <w:tcPr>
            <w:tcW w:w="3905" w:type="dxa"/>
            <w:shd w:val="clear" w:color="auto" w:fill="auto"/>
          </w:tcPr>
          <w:p w:rsidR="008840F2" w:rsidRPr="00E07570" w:rsidRDefault="008840F2" w:rsidP="002A1EF4">
            <w:pPr>
              <w:spacing w:before="60" w:after="60"/>
              <w:ind w:left="57" w:right="57"/>
              <w:rPr>
                <w:b/>
                <w:iCs/>
              </w:rPr>
            </w:pPr>
            <w:r w:rsidRPr="00E07570">
              <w:rPr>
                <w:iCs/>
              </w:rPr>
              <w:t>Tout point terres</w:t>
            </w:r>
            <w:r w:rsidR="002A1EF4" w:rsidRPr="00E07570">
              <w:rPr>
                <w:iCs/>
              </w:rPr>
              <w:t>tre situé entre 80° de latitude N</w:t>
            </w:r>
            <w:r w:rsidRPr="00E07570">
              <w:rPr>
                <w:iCs/>
              </w:rPr>
              <w:t xml:space="preserve"> et 80° de latitude </w:t>
            </w:r>
            <w:r w:rsidR="002A1EF4" w:rsidRPr="00E07570">
              <w:rPr>
                <w:iCs/>
              </w:rPr>
              <w:t xml:space="preserve">S </w:t>
            </w:r>
            <w:r w:rsidRPr="00E07570">
              <w:rPr>
                <w:iCs/>
              </w:rPr>
              <w:t>dans le système de coordonnées WGS84</w:t>
            </w:r>
            <w:r w:rsidR="002A1EF4" w:rsidRPr="00E07570">
              <w:rPr>
                <w:iCs/>
              </w:rPr>
              <w:t>.</w:t>
            </w:r>
          </w:p>
        </w:tc>
      </w:tr>
      <w:tr w:rsidR="008840F2" w:rsidRPr="00E07570" w:rsidTr="00CF30E3">
        <w:tc>
          <w:tcPr>
            <w:tcW w:w="3465" w:type="dxa"/>
            <w:shd w:val="clear" w:color="auto" w:fill="auto"/>
          </w:tcPr>
          <w:p w:rsidR="008840F2" w:rsidRPr="00E07570" w:rsidRDefault="008840F2" w:rsidP="00D64038">
            <w:pPr>
              <w:spacing w:before="60" w:after="60"/>
              <w:ind w:left="57" w:right="57"/>
              <w:rPr>
                <w:iCs/>
              </w:rPr>
            </w:pPr>
            <w:r w:rsidRPr="00E07570">
              <w:rPr>
                <w:iCs/>
              </w:rPr>
              <w:t>Type de déplacement :</w:t>
            </w:r>
          </w:p>
          <w:p w:rsidR="008840F2" w:rsidRPr="00E07570" w:rsidRDefault="008840F2" w:rsidP="00D64038">
            <w:pPr>
              <w:pStyle w:val="Bullet1G"/>
              <w:numPr>
                <w:ilvl w:val="0"/>
                <w:numId w:val="0"/>
              </w:numPr>
              <w:tabs>
                <w:tab w:val="left" w:pos="284"/>
              </w:tabs>
              <w:spacing w:before="60" w:after="60"/>
              <w:ind w:left="221" w:right="57" w:hanging="164"/>
              <w:jc w:val="left"/>
              <w:rPr>
                <w:iCs/>
              </w:rPr>
            </w:pPr>
            <w:r w:rsidRPr="00E07570">
              <w:rPr>
                <w:iCs/>
              </w:rPr>
              <w:t>-</w:t>
            </w:r>
            <w:r w:rsidRPr="00E07570">
              <w:rPr>
                <w:iCs/>
              </w:rPr>
              <w:tab/>
              <w:t>Vitesse (en km/h) ;</w:t>
            </w:r>
          </w:p>
          <w:p w:rsidR="008840F2" w:rsidRPr="00E07570" w:rsidRDefault="008840F2" w:rsidP="00D64038">
            <w:pPr>
              <w:pStyle w:val="Bullet1G"/>
              <w:numPr>
                <w:ilvl w:val="0"/>
                <w:numId w:val="0"/>
              </w:numPr>
              <w:tabs>
                <w:tab w:val="left" w:pos="284"/>
              </w:tabs>
              <w:spacing w:before="60" w:after="60"/>
              <w:ind w:left="221" w:right="57" w:hanging="164"/>
              <w:jc w:val="left"/>
              <w:rPr>
                <w:iCs/>
              </w:rPr>
            </w:pPr>
            <w:r w:rsidRPr="00E07570">
              <w:rPr>
                <w:iCs/>
              </w:rPr>
              <w:t>-</w:t>
            </w:r>
            <w:r w:rsidRPr="00E07570">
              <w:rPr>
                <w:iCs/>
              </w:rPr>
              <w:tab/>
              <w:t>Rayon de virage (en m) ;</w:t>
            </w:r>
          </w:p>
          <w:p w:rsidR="008840F2" w:rsidRPr="00E07570" w:rsidRDefault="008840F2" w:rsidP="00D64038">
            <w:pPr>
              <w:pStyle w:val="Bullet1G"/>
              <w:numPr>
                <w:ilvl w:val="0"/>
                <w:numId w:val="0"/>
              </w:numPr>
              <w:tabs>
                <w:tab w:val="left" w:pos="284"/>
              </w:tabs>
              <w:spacing w:before="60" w:after="60"/>
              <w:ind w:left="221" w:right="57" w:hanging="164"/>
              <w:jc w:val="left"/>
              <w:rPr>
                <w:iCs/>
              </w:rPr>
            </w:pPr>
            <w:r w:rsidRPr="00E07570">
              <w:rPr>
                <w:iCs/>
              </w:rPr>
              <w:t>-</w:t>
            </w:r>
            <w:r w:rsidRPr="00E07570">
              <w:rPr>
                <w:iCs/>
              </w:rPr>
              <w:tab/>
              <w:t>Accélération en virage (m/s</w:t>
            </w:r>
            <w:r w:rsidRPr="00E07570">
              <w:rPr>
                <w:iCs/>
                <w:vertAlign w:val="superscript"/>
              </w:rPr>
              <w:t>2</w:t>
            </w:r>
            <w:r w:rsidRPr="00E07570">
              <w:rPr>
                <w:iCs/>
              </w:rPr>
              <w:t>).</w:t>
            </w:r>
          </w:p>
        </w:tc>
        <w:tc>
          <w:tcPr>
            <w:tcW w:w="3905" w:type="dxa"/>
            <w:shd w:val="clear" w:color="auto" w:fill="auto"/>
          </w:tcPr>
          <w:p w:rsidR="008840F2" w:rsidRPr="00E07570" w:rsidRDefault="008840F2" w:rsidP="00D64038">
            <w:pPr>
              <w:spacing w:before="60" w:after="60"/>
              <w:ind w:left="57" w:right="57"/>
              <w:rPr>
                <w:iCs/>
              </w:rPr>
            </w:pPr>
          </w:p>
          <w:p w:rsidR="008840F2" w:rsidRPr="00E07570" w:rsidRDefault="008840F2" w:rsidP="00D64038">
            <w:pPr>
              <w:spacing w:before="60" w:after="60"/>
              <w:ind w:left="57" w:right="57"/>
              <w:rPr>
                <w:iCs/>
              </w:rPr>
            </w:pPr>
            <w:r w:rsidRPr="00E07570">
              <w:rPr>
                <w:iCs/>
              </w:rPr>
              <w:t>140</w:t>
            </w:r>
          </w:p>
          <w:p w:rsidR="008840F2" w:rsidRPr="00E07570" w:rsidRDefault="008840F2" w:rsidP="00D64038">
            <w:pPr>
              <w:spacing w:before="60" w:after="60"/>
              <w:ind w:left="57" w:right="57"/>
              <w:rPr>
                <w:iCs/>
              </w:rPr>
            </w:pPr>
            <w:r w:rsidRPr="00E07570">
              <w:rPr>
                <w:iCs/>
              </w:rPr>
              <w:t>500</w:t>
            </w:r>
          </w:p>
          <w:p w:rsidR="008840F2" w:rsidRPr="00E07570" w:rsidRDefault="008840F2" w:rsidP="00D64038">
            <w:pPr>
              <w:pStyle w:val="Bullet1G"/>
              <w:numPr>
                <w:ilvl w:val="0"/>
                <w:numId w:val="0"/>
              </w:numPr>
              <w:tabs>
                <w:tab w:val="left" w:pos="284"/>
                <w:tab w:val="left" w:pos="381"/>
              </w:tabs>
              <w:spacing w:before="60" w:after="60"/>
              <w:ind w:left="57" w:right="57"/>
              <w:jc w:val="left"/>
              <w:rPr>
                <w:iCs/>
              </w:rPr>
            </w:pPr>
            <w:r w:rsidRPr="00E07570">
              <w:rPr>
                <w:iCs/>
              </w:rPr>
              <w:t>0,2</w:t>
            </w:r>
          </w:p>
        </w:tc>
      </w:tr>
      <w:tr w:rsidR="008840F2" w:rsidRPr="00E07570" w:rsidTr="00CF30E3">
        <w:tc>
          <w:tcPr>
            <w:tcW w:w="3465" w:type="dxa"/>
            <w:shd w:val="clear" w:color="auto" w:fill="auto"/>
          </w:tcPr>
          <w:p w:rsidR="008840F2" w:rsidRPr="00E07570" w:rsidRDefault="008840F2" w:rsidP="00D64038">
            <w:pPr>
              <w:spacing w:before="60" w:after="60"/>
              <w:ind w:left="57" w:right="57"/>
              <w:rPr>
                <w:iCs/>
              </w:rPr>
            </w:pPr>
            <w:r w:rsidRPr="00E07570">
              <w:rPr>
                <w:iCs/>
              </w:rPr>
              <w:t>Troposphère :</w:t>
            </w:r>
          </w:p>
        </w:tc>
        <w:tc>
          <w:tcPr>
            <w:tcW w:w="3905" w:type="dxa"/>
            <w:shd w:val="clear" w:color="auto" w:fill="auto"/>
          </w:tcPr>
          <w:p w:rsidR="008840F2" w:rsidRPr="00E07570" w:rsidRDefault="008840F2" w:rsidP="00D64038">
            <w:pPr>
              <w:spacing w:before="60" w:after="60"/>
              <w:ind w:left="57" w:right="57"/>
              <w:rPr>
                <w:iCs/>
              </w:rPr>
            </w:pPr>
            <w:r w:rsidRPr="00E07570">
              <w:rPr>
                <w:iCs/>
              </w:rPr>
              <w:t>Modèle normalisé prédéfini par le simulateur de GNSS</w:t>
            </w:r>
            <w:r w:rsidR="002A1EF4" w:rsidRPr="00E07570">
              <w:rPr>
                <w:iCs/>
              </w:rPr>
              <w:t>.</w:t>
            </w:r>
          </w:p>
        </w:tc>
      </w:tr>
      <w:tr w:rsidR="008840F2" w:rsidRPr="00E07570" w:rsidTr="00CF30E3">
        <w:tc>
          <w:tcPr>
            <w:tcW w:w="3465" w:type="dxa"/>
            <w:shd w:val="clear" w:color="auto" w:fill="auto"/>
          </w:tcPr>
          <w:p w:rsidR="008840F2" w:rsidRPr="00E07570" w:rsidRDefault="008840F2" w:rsidP="00D64038">
            <w:pPr>
              <w:spacing w:before="60" w:after="60"/>
              <w:ind w:left="57" w:right="57"/>
              <w:rPr>
                <w:iCs/>
              </w:rPr>
            </w:pPr>
            <w:r w:rsidRPr="00E07570">
              <w:rPr>
                <w:iCs/>
              </w:rPr>
              <w:t>Ionosphère :</w:t>
            </w:r>
          </w:p>
        </w:tc>
        <w:tc>
          <w:tcPr>
            <w:tcW w:w="3905" w:type="dxa"/>
            <w:shd w:val="clear" w:color="auto" w:fill="auto"/>
          </w:tcPr>
          <w:p w:rsidR="008840F2" w:rsidRPr="00E07570" w:rsidRDefault="008840F2" w:rsidP="00D64038">
            <w:pPr>
              <w:spacing w:before="60" w:after="60"/>
              <w:ind w:left="57" w:right="57"/>
              <w:rPr>
                <w:iCs/>
              </w:rPr>
            </w:pPr>
            <w:r w:rsidRPr="00E07570">
              <w:rPr>
                <w:iCs/>
              </w:rPr>
              <w:t>Modèle normalisé prédéfini par le simulateur de GNSS</w:t>
            </w:r>
            <w:r w:rsidR="002A1EF4" w:rsidRPr="00E07570">
              <w:rPr>
                <w:iCs/>
              </w:rPr>
              <w:t>.</w:t>
            </w:r>
          </w:p>
        </w:tc>
      </w:tr>
      <w:tr w:rsidR="008840F2" w:rsidRPr="00E07570" w:rsidTr="00CF30E3">
        <w:tblPrEx>
          <w:tblLook w:val="0000" w:firstRow="0" w:lastRow="0" w:firstColumn="0" w:lastColumn="0" w:noHBand="0" w:noVBand="0"/>
        </w:tblPrEx>
        <w:tc>
          <w:tcPr>
            <w:tcW w:w="3465" w:type="dxa"/>
            <w:shd w:val="clear" w:color="auto" w:fill="auto"/>
          </w:tcPr>
          <w:p w:rsidR="008840F2" w:rsidRPr="00E07570" w:rsidRDefault="008840F2" w:rsidP="00D64038">
            <w:pPr>
              <w:spacing w:before="60" w:after="60"/>
              <w:ind w:left="57" w:right="57"/>
              <w:rPr>
                <w:iCs/>
              </w:rPr>
            </w:pPr>
            <w:r w:rsidRPr="00E07570">
              <w:rPr>
                <w:iCs/>
              </w:rPr>
              <w:t>Valeur PDOP</w:t>
            </w:r>
          </w:p>
        </w:tc>
        <w:tc>
          <w:tcPr>
            <w:tcW w:w="3905" w:type="dxa"/>
            <w:shd w:val="clear" w:color="auto" w:fill="auto"/>
          </w:tcPr>
          <w:p w:rsidR="008840F2" w:rsidRPr="00E07570" w:rsidRDefault="008840F2" w:rsidP="00D64038">
            <w:pPr>
              <w:spacing w:before="60" w:after="60"/>
              <w:ind w:left="57" w:right="57"/>
              <w:rPr>
                <w:iCs/>
              </w:rPr>
            </w:pPr>
            <w:r w:rsidRPr="00E07570">
              <w:rPr>
                <w:iCs/>
              </w:rPr>
              <w:t xml:space="preserve">2,0 </w:t>
            </w:r>
            <w:r w:rsidRPr="00E07570">
              <w:rPr>
                <w:iCs/>
              </w:rPr>
              <w:sym w:font="Symbol" w:char="F0A3"/>
            </w:r>
            <w:r w:rsidRPr="00E07570">
              <w:rPr>
                <w:iCs/>
              </w:rPr>
              <w:t xml:space="preserve"> PDOP </w:t>
            </w:r>
            <w:r w:rsidRPr="00E07570">
              <w:rPr>
                <w:iCs/>
              </w:rPr>
              <w:sym w:font="Symbol" w:char="F0A3"/>
            </w:r>
            <w:r w:rsidRPr="00E07570">
              <w:rPr>
                <w:iCs/>
              </w:rPr>
              <w:t xml:space="preserve"> 2,5 pendant la durée de l</w:t>
            </w:r>
            <w:r w:rsidR="00145E4B">
              <w:rPr>
                <w:iCs/>
              </w:rPr>
              <w:t>’</w:t>
            </w:r>
            <w:r w:rsidRPr="00E07570">
              <w:rPr>
                <w:iCs/>
              </w:rPr>
              <w:t>essai</w:t>
            </w:r>
            <w:r w:rsidR="002A1EF4" w:rsidRPr="00E07570">
              <w:rPr>
                <w:iCs/>
              </w:rPr>
              <w:t>.</w:t>
            </w:r>
          </w:p>
        </w:tc>
      </w:tr>
      <w:tr w:rsidR="008840F2" w:rsidRPr="00E07570" w:rsidTr="00CF30E3">
        <w:tblPrEx>
          <w:tblLook w:val="0000" w:firstRow="0" w:lastRow="0" w:firstColumn="0" w:lastColumn="0" w:noHBand="0" w:noVBand="0"/>
        </w:tblPrEx>
        <w:tc>
          <w:tcPr>
            <w:tcW w:w="3465" w:type="dxa"/>
            <w:shd w:val="clear" w:color="auto" w:fill="auto"/>
          </w:tcPr>
          <w:p w:rsidR="008840F2" w:rsidRPr="00E07570" w:rsidRDefault="008840F2" w:rsidP="00D64038">
            <w:pPr>
              <w:spacing w:before="60" w:after="60"/>
              <w:ind w:left="57" w:right="57"/>
              <w:rPr>
                <w:iCs/>
              </w:rPr>
            </w:pPr>
            <w:r w:rsidRPr="00E07570">
              <w:rPr>
                <w:iCs/>
              </w:rPr>
              <w:t>Signaux simulés</w:t>
            </w:r>
          </w:p>
        </w:tc>
        <w:tc>
          <w:tcPr>
            <w:tcW w:w="3905" w:type="dxa"/>
            <w:shd w:val="clear" w:color="auto" w:fill="auto"/>
          </w:tcPr>
          <w:p w:rsidR="008840F2" w:rsidRPr="00E07570" w:rsidRDefault="008840F2" w:rsidP="00D64038">
            <w:pPr>
              <w:spacing w:before="60" w:after="60"/>
              <w:ind w:left="57" w:right="57"/>
              <w:rPr>
                <w:iCs/>
              </w:rPr>
            </w:pPr>
            <w:r w:rsidRPr="00E07570">
              <w:rPr>
                <w:iCs/>
              </w:rPr>
              <w:t>Combinaison GLONASS/</w:t>
            </w:r>
            <w:r w:rsidR="002B669D" w:rsidRPr="00E07570">
              <w:rPr>
                <w:iCs/>
              </w:rPr>
              <w:t>Galileo</w:t>
            </w:r>
            <w:r w:rsidRPr="00E07570">
              <w:rPr>
                <w:iCs/>
              </w:rPr>
              <w:t>/GPS/ SBAS</w:t>
            </w:r>
            <w:r w:rsidR="002A1EF4" w:rsidRPr="00E07570">
              <w:rPr>
                <w:iCs/>
              </w:rPr>
              <w:t>.</w:t>
            </w:r>
          </w:p>
        </w:tc>
      </w:tr>
      <w:tr w:rsidR="008840F2" w:rsidRPr="00E07570" w:rsidTr="00CF30E3">
        <w:tblPrEx>
          <w:tblLook w:val="0000" w:firstRow="0" w:lastRow="0" w:firstColumn="0" w:lastColumn="0" w:noHBand="0" w:noVBand="0"/>
        </w:tblPrEx>
        <w:tc>
          <w:tcPr>
            <w:tcW w:w="3465" w:type="dxa"/>
            <w:tcBorders>
              <w:bottom w:val="single" w:sz="4" w:space="0" w:color="auto"/>
            </w:tcBorders>
            <w:shd w:val="clear" w:color="auto" w:fill="auto"/>
          </w:tcPr>
          <w:p w:rsidR="008840F2" w:rsidRPr="00E07570" w:rsidRDefault="008840F2" w:rsidP="00D64038">
            <w:pPr>
              <w:spacing w:before="60" w:after="60"/>
              <w:ind w:left="57" w:right="57"/>
              <w:rPr>
                <w:iCs/>
              </w:rPr>
            </w:pPr>
            <w:r w:rsidRPr="00E07570">
              <w:rPr>
                <w:iCs/>
              </w:rPr>
              <w:t>Puissance du signal :</w:t>
            </w:r>
          </w:p>
          <w:p w:rsidR="008840F2" w:rsidRPr="00E07570" w:rsidRDefault="008840F2" w:rsidP="00D64038">
            <w:pPr>
              <w:pStyle w:val="Bullet1G"/>
              <w:numPr>
                <w:ilvl w:val="0"/>
                <w:numId w:val="0"/>
              </w:numPr>
              <w:tabs>
                <w:tab w:val="left" w:pos="284"/>
              </w:tabs>
              <w:spacing w:before="60" w:after="60"/>
              <w:ind w:left="221" w:right="57" w:hanging="164"/>
              <w:jc w:val="left"/>
              <w:rPr>
                <w:iCs/>
              </w:rPr>
            </w:pPr>
            <w:r w:rsidRPr="00E07570">
              <w:rPr>
                <w:iCs/>
              </w:rPr>
              <w:t>-</w:t>
            </w:r>
            <w:r w:rsidRPr="00E07570">
              <w:rPr>
                <w:iCs/>
              </w:rPr>
              <w:tab/>
              <w:t>GLONASS ;</w:t>
            </w:r>
          </w:p>
          <w:p w:rsidR="008840F2" w:rsidRPr="00E07570" w:rsidRDefault="008840F2" w:rsidP="00D64038">
            <w:pPr>
              <w:pStyle w:val="Bullet1G"/>
              <w:numPr>
                <w:ilvl w:val="0"/>
                <w:numId w:val="0"/>
              </w:numPr>
              <w:tabs>
                <w:tab w:val="left" w:pos="284"/>
              </w:tabs>
              <w:spacing w:before="60" w:after="60"/>
              <w:ind w:left="221" w:right="57" w:hanging="164"/>
              <w:jc w:val="left"/>
              <w:rPr>
                <w:iCs/>
              </w:rPr>
            </w:pPr>
            <w:r w:rsidRPr="00E07570">
              <w:rPr>
                <w:iCs/>
              </w:rPr>
              <w:t>-</w:t>
            </w:r>
            <w:r w:rsidRPr="00E07570">
              <w:rPr>
                <w:iCs/>
              </w:rPr>
              <w:tab/>
            </w:r>
            <w:r w:rsidR="002B669D" w:rsidRPr="00E07570">
              <w:rPr>
                <w:iCs/>
              </w:rPr>
              <w:t>Galileo</w:t>
            </w:r>
            <w:r w:rsidRPr="00E07570">
              <w:rPr>
                <w:iCs/>
              </w:rPr>
              <w:t> ;</w:t>
            </w:r>
          </w:p>
          <w:p w:rsidR="008840F2" w:rsidRPr="00E07570" w:rsidRDefault="008840F2" w:rsidP="00D64038">
            <w:pPr>
              <w:pStyle w:val="Bullet1G"/>
              <w:numPr>
                <w:ilvl w:val="0"/>
                <w:numId w:val="0"/>
              </w:numPr>
              <w:tabs>
                <w:tab w:val="left" w:pos="284"/>
              </w:tabs>
              <w:spacing w:before="60" w:after="60"/>
              <w:ind w:left="221" w:right="57" w:hanging="164"/>
              <w:jc w:val="left"/>
              <w:rPr>
                <w:iCs/>
              </w:rPr>
            </w:pPr>
            <w:r w:rsidRPr="00E07570">
              <w:rPr>
                <w:iCs/>
              </w:rPr>
              <w:t>-</w:t>
            </w:r>
            <w:r w:rsidRPr="00E07570">
              <w:rPr>
                <w:iCs/>
              </w:rPr>
              <w:tab/>
              <w:t>GPS.</w:t>
            </w:r>
          </w:p>
        </w:tc>
        <w:tc>
          <w:tcPr>
            <w:tcW w:w="3905" w:type="dxa"/>
            <w:tcBorders>
              <w:bottom w:val="single" w:sz="4" w:space="0" w:color="auto"/>
            </w:tcBorders>
            <w:shd w:val="clear" w:color="auto" w:fill="auto"/>
          </w:tcPr>
          <w:p w:rsidR="008840F2" w:rsidRPr="00E07570" w:rsidRDefault="008840F2" w:rsidP="00D64038">
            <w:pPr>
              <w:spacing w:before="60" w:after="60"/>
              <w:ind w:left="57" w:right="57"/>
              <w:rPr>
                <w:iCs/>
              </w:rPr>
            </w:pPr>
          </w:p>
          <w:p w:rsidR="008840F2" w:rsidRPr="00E07570" w:rsidRDefault="00DA623A" w:rsidP="00D64038">
            <w:pPr>
              <w:spacing w:before="60" w:after="60"/>
              <w:ind w:left="57" w:right="57"/>
              <w:rPr>
                <w:iCs/>
              </w:rPr>
            </w:pPr>
            <w:r w:rsidRPr="00E07570">
              <w:rPr>
                <w:iCs/>
              </w:rPr>
              <w:t>-</w:t>
            </w:r>
            <w:r w:rsidR="008840F2" w:rsidRPr="00E07570">
              <w:rPr>
                <w:iCs/>
              </w:rPr>
              <w:t>141 dBm ;</w:t>
            </w:r>
          </w:p>
          <w:p w:rsidR="008840F2" w:rsidRPr="00E07570" w:rsidRDefault="00DA623A" w:rsidP="00D64038">
            <w:pPr>
              <w:spacing w:before="60" w:after="60"/>
              <w:ind w:left="57" w:right="57"/>
              <w:rPr>
                <w:iCs/>
              </w:rPr>
            </w:pPr>
            <w:r w:rsidRPr="00E07570">
              <w:rPr>
                <w:iCs/>
              </w:rPr>
              <w:t>-</w:t>
            </w:r>
            <w:r w:rsidR="008840F2" w:rsidRPr="00E07570">
              <w:rPr>
                <w:iCs/>
              </w:rPr>
              <w:t>135 dBm ;</w:t>
            </w:r>
          </w:p>
          <w:p w:rsidR="008840F2" w:rsidRPr="00E07570" w:rsidRDefault="00DA623A" w:rsidP="00DA623A">
            <w:pPr>
              <w:spacing w:before="60" w:after="60"/>
              <w:ind w:left="57" w:right="57"/>
              <w:rPr>
                <w:iCs/>
              </w:rPr>
            </w:pPr>
            <w:r w:rsidRPr="00E07570">
              <w:rPr>
                <w:iCs/>
              </w:rPr>
              <w:t>-</w:t>
            </w:r>
            <w:r w:rsidR="008840F2" w:rsidRPr="00E07570">
              <w:rPr>
                <w:iCs/>
              </w:rPr>
              <w:t>138,5 dBm.</w:t>
            </w:r>
          </w:p>
        </w:tc>
      </w:tr>
      <w:tr w:rsidR="008840F2" w:rsidRPr="00E07570" w:rsidTr="00CF30E3">
        <w:tblPrEx>
          <w:tblLook w:val="0000" w:firstRow="0" w:lastRow="0" w:firstColumn="0" w:lastColumn="0" w:noHBand="0" w:noVBand="0"/>
        </w:tblPrEx>
        <w:tc>
          <w:tcPr>
            <w:tcW w:w="3465" w:type="dxa"/>
            <w:tcBorders>
              <w:bottom w:val="single" w:sz="12" w:space="0" w:color="auto"/>
            </w:tcBorders>
            <w:shd w:val="clear" w:color="auto" w:fill="auto"/>
          </w:tcPr>
          <w:p w:rsidR="008840F2" w:rsidRPr="00E07570" w:rsidRDefault="008840F2" w:rsidP="00D64038">
            <w:pPr>
              <w:spacing w:before="60" w:after="60"/>
              <w:ind w:left="57" w:right="57"/>
              <w:rPr>
                <w:iCs/>
              </w:rPr>
            </w:pPr>
            <w:r w:rsidRPr="00E07570">
              <w:rPr>
                <w:iCs/>
              </w:rPr>
              <w:t>Nombre de satellites simulés</w:t>
            </w:r>
          </w:p>
        </w:tc>
        <w:tc>
          <w:tcPr>
            <w:tcW w:w="3905" w:type="dxa"/>
            <w:tcBorders>
              <w:bottom w:val="single" w:sz="12" w:space="0" w:color="auto"/>
            </w:tcBorders>
            <w:shd w:val="clear" w:color="auto" w:fill="auto"/>
          </w:tcPr>
          <w:p w:rsidR="008840F2" w:rsidRPr="00E07570" w:rsidRDefault="008840F2" w:rsidP="00D64038">
            <w:pPr>
              <w:pStyle w:val="Bullet1G"/>
              <w:numPr>
                <w:ilvl w:val="0"/>
                <w:numId w:val="0"/>
              </w:numPr>
              <w:tabs>
                <w:tab w:val="left" w:pos="284"/>
              </w:tabs>
              <w:spacing w:before="60" w:after="60"/>
              <w:ind w:left="221" w:right="57" w:hanging="164"/>
              <w:jc w:val="left"/>
              <w:rPr>
                <w:iCs/>
              </w:rPr>
            </w:pPr>
            <w:r w:rsidRPr="00E07570">
              <w:rPr>
                <w:iCs/>
              </w:rPr>
              <w:t>-</w:t>
            </w:r>
            <w:r w:rsidRPr="00E07570">
              <w:rPr>
                <w:iCs/>
              </w:rPr>
              <w:tab/>
              <w:t>au moins 6 satellites GLONASS ;</w:t>
            </w:r>
          </w:p>
          <w:p w:rsidR="008840F2" w:rsidRPr="00E07570" w:rsidRDefault="008840F2" w:rsidP="00D64038">
            <w:pPr>
              <w:pStyle w:val="Bullet1G"/>
              <w:numPr>
                <w:ilvl w:val="0"/>
                <w:numId w:val="0"/>
              </w:numPr>
              <w:tabs>
                <w:tab w:val="left" w:pos="284"/>
              </w:tabs>
              <w:spacing w:before="60" w:after="60"/>
              <w:ind w:left="221" w:right="57" w:hanging="164"/>
              <w:jc w:val="left"/>
              <w:rPr>
                <w:iCs/>
              </w:rPr>
            </w:pPr>
            <w:r w:rsidRPr="00E07570">
              <w:rPr>
                <w:iCs/>
              </w:rPr>
              <w:t>-</w:t>
            </w:r>
            <w:r w:rsidRPr="00E07570">
              <w:rPr>
                <w:iCs/>
              </w:rPr>
              <w:tab/>
              <w:t xml:space="preserve">au moins 6 satellites </w:t>
            </w:r>
            <w:r w:rsidR="002B669D" w:rsidRPr="00E07570">
              <w:rPr>
                <w:iCs/>
              </w:rPr>
              <w:t>Galileo</w:t>
            </w:r>
            <w:r w:rsidRPr="00E07570">
              <w:rPr>
                <w:iCs/>
              </w:rPr>
              <w:t> ;</w:t>
            </w:r>
          </w:p>
          <w:p w:rsidR="008840F2" w:rsidRPr="00E07570" w:rsidRDefault="008840F2" w:rsidP="00D64038">
            <w:pPr>
              <w:pStyle w:val="Bullet1G"/>
              <w:numPr>
                <w:ilvl w:val="0"/>
                <w:numId w:val="0"/>
              </w:numPr>
              <w:tabs>
                <w:tab w:val="left" w:pos="284"/>
              </w:tabs>
              <w:spacing w:before="60" w:after="60"/>
              <w:ind w:left="221" w:right="57" w:hanging="164"/>
              <w:jc w:val="left"/>
              <w:rPr>
                <w:iCs/>
              </w:rPr>
            </w:pPr>
            <w:r w:rsidRPr="00E07570">
              <w:rPr>
                <w:iCs/>
              </w:rPr>
              <w:t>-</w:t>
            </w:r>
            <w:r w:rsidRPr="00E07570">
              <w:rPr>
                <w:iCs/>
              </w:rPr>
              <w:tab/>
              <w:t>au moins 6 satellites GPS ;</w:t>
            </w:r>
          </w:p>
          <w:p w:rsidR="008840F2" w:rsidRPr="00E07570" w:rsidRDefault="008840F2" w:rsidP="00D64038">
            <w:pPr>
              <w:pStyle w:val="Bullet1G"/>
              <w:numPr>
                <w:ilvl w:val="0"/>
                <w:numId w:val="0"/>
              </w:numPr>
              <w:tabs>
                <w:tab w:val="left" w:pos="284"/>
              </w:tabs>
              <w:spacing w:before="60" w:after="60"/>
              <w:ind w:left="221" w:right="57" w:hanging="164"/>
              <w:jc w:val="left"/>
              <w:rPr>
                <w:iCs/>
              </w:rPr>
            </w:pPr>
            <w:r w:rsidRPr="00E07570">
              <w:rPr>
                <w:iCs/>
              </w:rPr>
              <w:t>-</w:t>
            </w:r>
            <w:r w:rsidRPr="00E07570">
              <w:rPr>
                <w:iCs/>
              </w:rPr>
              <w:tab/>
              <w:t>au moins 2 satellites SBAS.</w:t>
            </w:r>
          </w:p>
        </w:tc>
      </w:tr>
    </w:tbl>
    <w:p w:rsidR="00522BA4" w:rsidRPr="00E07570" w:rsidRDefault="00522BA4" w:rsidP="00AD3BE3">
      <w:pPr>
        <w:pStyle w:val="SingleTxtG"/>
        <w:spacing w:before="240"/>
        <w:ind w:left="2268" w:hanging="1134"/>
      </w:pPr>
      <w:r w:rsidRPr="00E07570">
        <w:t>2.3.2</w:t>
      </w:r>
      <w:r w:rsidRPr="00E07570">
        <w:tab/>
        <w:t>Calculer les valeurs moyennes à l</w:t>
      </w:r>
      <w:r w:rsidR="00145E4B">
        <w:t>’</w:t>
      </w:r>
      <w:r w:rsidRPr="00E07570">
        <w:t>aide de la formule</w:t>
      </w:r>
      <w:r w:rsidR="00AD3BE3" w:rsidRPr="00E07570">
        <w:t> </w:t>
      </w:r>
      <w:r w:rsidR="007152D3" w:rsidRPr="00E07570">
        <w:t>(</w:t>
      </w:r>
      <w:r w:rsidRPr="00E07570">
        <w:t>6</w:t>
      </w:r>
      <w:r w:rsidR="007152D3" w:rsidRPr="00E07570">
        <w:t>)</w:t>
      </w:r>
      <w:r w:rsidRPr="00E07570">
        <w:t xml:space="preserve"> obtenues pour tous les échantillons d</w:t>
      </w:r>
      <w:r w:rsidR="00145E4B">
        <w:t>’</w:t>
      </w:r>
      <w:r w:rsidRPr="00E07570">
        <w:t>AECD/AECS soumis à l</w:t>
      </w:r>
      <w:r w:rsidR="00145E4B">
        <w:t>’</w:t>
      </w:r>
      <w:r w:rsidRPr="00E07570">
        <w:t>essai.</w:t>
      </w:r>
    </w:p>
    <w:p w:rsidR="00522BA4" w:rsidRPr="00E07570" w:rsidRDefault="00522BA4" w:rsidP="00AD3BE3">
      <w:pPr>
        <w:pStyle w:val="SingleTxtG"/>
        <w:ind w:left="2268" w:hanging="1134"/>
      </w:pPr>
      <w:r w:rsidRPr="00E07570">
        <w:t>2.3.3</w:t>
      </w:r>
      <w:r w:rsidRPr="00E07570">
        <w:tab/>
        <w:t>Les résultats des essais sont considérés comme satisfaisants si au moins une des conditions suivantes est remplie :</w:t>
      </w:r>
    </w:p>
    <w:p w:rsidR="00522BA4" w:rsidRPr="00E07570" w:rsidRDefault="00522BA4" w:rsidP="00AD3BE3">
      <w:pPr>
        <w:pStyle w:val="SingleTxtG"/>
        <w:ind w:left="2835" w:hanging="567"/>
      </w:pPr>
      <w:r w:rsidRPr="00E07570">
        <w:t>a)</w:t>
      </w:r>
      <w:r w:rsidRPr="00E07570">
        <w:tab/>
        <w:t>Les erreurs de position horizontale obtenues à l</w:t>
      </w:r>
      <w:r w:rsidR="00145E4B">
        <w:t>’</w:t>
      </w:r>
      <w:r w:rsidRPr="00E07570">
        <w:t>aide de la formule (6) pour tous les échantillons d</w:t>
      </w:r>
      <w:r w:rsidR="00145E4B">
        <w:t>’</w:t>
      </w:r>
      <w:r w:rsidRPr="00E07570">
        <w:t>AECD/AECS ne dépassent pas 15 m en mode « ciel ouvert » pour tous les scénarios de simulation ; ou</w:t>
      </w:r>
    </w:p>
    <w:p w:rsidR="00522BA4" w:rsidRPr="00E07570" w:rsidRDefault="00522BA4" w:rsidP="00AD3BE3">
      <w:pPr>
        <w:pStyle w:val="SingleTxtG"/>
        <w:ind w:left="2835" w:hanging="567"/>
      </w:pPr>
      <w:r w:rsidRPr="00E07570">
        <w:t>b)</w:t>
      </w:r>
      <w:r w:rsidRPr="00E07570">
        <w:tab/>
        <w:t>Les erreurs linéaires pour chaque mesure effectuée à l</w:t>
      </w:r>
      <w:r w:rsidR="00145E4B">
        <w:t>’</w:t>
      </w:r>
      <w:r w:rsidRPr="00E07570">
        <w:t>aide de la formule (7) obtenues pour tous les échantillons d</w:t>
      </w:r>
      <w:r w:rsidR="00145E4B">
        <w:t>’</w:t>
      </w:r>
      <w:r w:rsidRPr="00E07570">
        <w:t>AECD/AECS ne dépassent pas 15 m en mode « ciel ouvert » pour tous les scénarios de simulation et pour au moins 95 % de l</w:t>
      </w:r>
      <w:r w:rsidR="00145E4B">
        <w:t>’</w:t>
      </w:r>
      <w:r w:rsidRPr="00E07570">
        <w:t>ensemble des mesures.</w:t>
      </w:r>
    </w:p>
    <w:p w:rsidR="00522BA4" w:rsidRPr="00E07570" w:rsidRDefault="00522BA4" w:rsidP="00AD3BE3">
      <w:pPr>
        <w:pStyle w:val="SingleTxtG"/>
        <w:ind w:left="2268" w:hanging="1134"/>
      </w:pPr>
      <w:r w:rsidRPr="00E07570">
        <w:t>2.4</w:t>
      </w:r>
      <w:r w:rsidRPr="00E07570">
        <w:tab/>
        <w:t>Mouvement dans les zones d</w:t>
      </w:r>
      <w:r w:rsidR="00145E4B">
        <w:t>’</w:t>
      </w:r>
      <w:r w:rsidRPr="00E07570">
        <w:t>ombre, les zones de réception intermittente des signaux de navigation et les canyons urbains</w:t>
      </w:r>
    </w:p>
    <w:p w:rsidR="00522BA4" w:rsidRPr="00E07570" w:rsidRDefault="00522BA4" w:rsidP="00AD3BE3">
      <w:pPr>
        <w:pStyle w:val="SingleTxtG"/>
        <w:ind w:left="2268" w:hanging="1134"/>
      </w:pPr>
      <w:r w:rsidRPr="00E07570">
        <w:t>2.4.1</w:t>
      </w:r>
      <w:r w:rsidRPr="00E07570">
        <w:tab/>
        <w:t>Répéter la procédure d</w:t>
      </w:r>
      <w:r w:rsidR="00145E4B">
        <w:t>’</w:t>
      </w:r>
      <w:r w:rsidRPr="00E07570">
        <w:t>essai prescrite au paragraphe 2.3 pour le scénario de simulation du mouvement dans les zones d</w:t>
      </w:r>
      <w:r w:rsidR="00145E4B">
        <w:t>’</w:t>
      </w:r>
      <w:r w:rsidRPr="00E07570">
        <w:t>ombre et les zones de réception intermittentes des signaux de navigation (tableau</w:t>
      </w:r>
      <w:r w:rsidR="00FE0F49" w:rsidRPr="00E07570">
        <w:t> </w:t>
      </w:r>
      <w:r w:rsidRPr="00E07570">
        <w:rPr>
          <w:b/>
        </w:rPr>
        <w:t>9</w:t>
      </w:r>
      <w:r w:rsidRPr="00E07570">
        <w:t>), en mode « canyon urbain » défini à la figure</w:t>
      </w:r>
      <w:r w:rsidR="00AD3BE3" w:rsidRPr="00E07570">
        <w:t> </w:t>
      </w:r>
      <w:r w:rsidRPr="00E07570">
        <w:t>3.</w:t>
      </w:r>
    </w:p>
    <w:p w:rsidR="008840F2" w:rsidRPr="00E07570" w:rsidRDefault="00522BA4" w:rsidP="00DF1E67">
      <w:pPr>
        <w:pStyle w:val="Heading1"/>
        <w:spacing w:after="120"/>
        <w:rPr>
          <w:b/>
        </w:rPr>
      </w:pPr>
      <w:r w:rsidRPr="00E07570">
        <w:t xml:space="preserve">Tableau </w:t>
      </w:r>
      <w:r w:rsidRPr="00E07570">
        <w:rPr>
          <w:b/>
        </w:rPr>
        <w:t>9</w:t>
      </w:r>
      <w:r w:rsidR="00FE0F49" w:rsidRPr="00E07570">
        <w:t xml:space="preserve"> </w:t>
      </w:r>
      <w:r w:rsidRPr="00E07570">
        <w:br/>
      </w:r>
      <w:r w:rsidRPr="00E07570">
        <w:rPr>
          <w:b/>
        </w:rPr>
        <w:t>Principaux paramètres de déplacement dans les zones d</w:t>
      </w:r>
      <w:r w:rsidR="00145E4B">
        <w:rPr>
          <w:b/>
        </w:rPr>
        <w:t>’</w:t>
      </w:r>
      <w:r w:rsidRPr="00E07570">
        <w:rPr>
          <w:b/>
        </w:rPr>
        <w:t xml:space="preserve">ombre et les zones </w:t>
      </w:r>
      <w:r w:rsidR="007152D3" w:rsidRPr="00E07570">
        <w:rPr>
          <w:b/>
        </w:rPr>
        <w:br/>
      </w:r>
      <w:r w:rsidRPr="00E07570">
        <w:rPr>
          <w:b/>
        </w:rPr>
        <w:t>de réception intermittente des signaux de navigation</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65"/>
        <w:gridCol w:w="3905"/>
      </w:tblGrid>
      <w:tr w:rsidR="00DF1E67" w:rsidRPr="00E07570" w:rsidTr="00CF30E3">
        <w:trPr>
          <w:tblHeader/>
        </w:trPr>
        <w:tc>
          <w:tcPr>
            <w:tcW w:w="3465" w:type="dxa"/>
            <w:tcBorders>
              <w:bottom w:val="single" w:sz="12" w:space="0" w:color="auto"/>
            </w:tcBorders>
            <w:shd w:val="clear" w:color="auto" w:fill="auto"/>
            <w:vAlign w:val="bottom"/>
          </w:tcPr>
          <w:p w:rsidR="00DF1E67" w:rsidRPr="00E07570" w:rsidRDefault="00DF1E67" w:rsidP="00CF30E3">
            <w:pPr>
              <w:spacing w:before="80" w:after="80" w:line="200" w:lineRule="exact"/>
              <w:ind w:left="57" w:right="57"/>
              <w:rPr>
                <w:i/>
                <w:sz w:val="16"/>
                <w:szCs w:val="16"/>
              </w:rPr>
            </w:pPr>
            <w:r w:rsidRPr="00E07570">
              <w:rPr>
                <w:i/>
                <w:sz w:val="16"/>
                <w:szCs w:val="16"/>
              </w:rPr>
              <w:t>Paramètre simulé</w:t>
            </w:r>
          </w:p>
        </w:tc>
        <w:tc>
          <w:tcPr>
            <w:tcW w:w="3905" w:type="dxa"/>
            <w:tcBorders>
              <w:bottom w:val="single" w:sz="12" w:space="0" w:color="auto"/>
            </w:tcBorders>
            <w:shd w:val="clear" w:color="auto" w:fill="auto"/>
            <w:vAlign w:val="bottom"/>
          </w:tcPr>
          <w:p w:rsidR="00DF1E67" w:rsidRPr="00E07570" w:rsidRDefault="00DF1E67" w:rsidP="00CF30E3">
            <w:pPr>
              <w:spacing w:before="80" w:after="80" w:line="200" w:lineRule="exact"/>
              <w:ind w:left="57" w:right="57"/>
              <w:rPr>
                <w:i/>
                <w:sz w:val="16"/>
                <w:szCs w:val="16"/>
              </w:rPr>
            </w:pPr>
            <w:r w:rsidRPr="00E07570">
              <w:rPr>
                <w:i/>
                <w:sz w:val="16"/>
                <w:szCs w:val="16"/>
              </w:rPr>
              <w:t>Valeur</w:t>
            </w:r>
          </w:p>
        </w:tc>
      </w:tr>
      <w:tr w:rsidR="00DF1E67" w:rsidRPr="00E07570" w:rsidTr="00CF30E3">
        <w:tc>
          <w:tcPr>
            <w:tcW w:w="3465" w:type="dxa"/>
            <w:tcBorders>
              <w:top w:val="single" w:sz="12" w:space="0" w:color="auto"/>
            </w:tcBorders>
            <w:shd w:val="clear" w:color="auto" w:fill="auto"/>
          </w:tcPr>
          <w:p w:rsidR="00DF1E67" w:rsidRPr="00E07570" w:rsidRDefault="00DF1E67" w:rsidP="007152D3">
            <w:pPr>
              <w:spacing w:before="60" w:after="60"/>
              <w:ind w:left="57" w:right="57"/>
              <w:rPr>
                <w:iCs/>
              </w:rPr>
            </w:pPr>
            <w:r w:rsidRPr="00E07570">
              <w:rPr>
                <w:iCs/>
              </w:rPr>
              <w:t>Durée de l</w:t>
            </w:r>
            <w:r w:rsidR="00145E4B">
              <w:rPr>
                <w:iCs/>
              </w:rPr>
              <w:t>’</w:t>
            </w:r>
            <w:r w:rsidRPr="00E07570">
              <w:rPr>
                <w:iCs/>
              </w:rPr>
              <w:t>essai (h</w:t>
            </w:r>
            <w:r w:rsidR="007152D3" w:rsidRPr="00E07570">
              <w:rPr>
                <w:iCs/>
              </w:rPr>
              <w:t> </w:t>
            </w:r>
            <w:proofErr w:type="gramStart"/>
            <w:r w:rsidR="007152D3" w:rsidRPr="00E07570">
              <w:rPr>
                <w:iCs/>
              </w:rPr>
              <w:t>:min</w:t>
            </w:r>
            <w:proofErr w:type="gramEnd"/>
            <w:r w:rsidR="007152D3" w:rsidRPr="00E07570">
              <w:rPr>
                <w:iCs/>
              </w:rPr>
              <w:t> :s</w:t>
            </w:r>
            <w:r w:rsidRPr="00E07570">
              <w:rPr>
                <w:iCs/>
              </w:rPr>
              <w:t>)</w:t>
            </w:r>
          </w:p>
        </w:tc>
        <w:tc>
          <w:tcPr>
            <w:tcW w:w="3905" w:type="dxa"/>
            <w:tcBorders>
              <w:top w:val="single" w:sz="12" w:space="0" w:color="auto"/>
            </w:tcBorders>
            <w:shd w:val="clear" w:color="auto" w:fill="auto"/>
          </w:tcPr>
          <w:p w:rsidR="00DF1E67" w:rsidRPr="00E07570" w:rsidRDefault="00DF1E67" w:rsidP="00CF30E3">
            <w:pPr>
              <w:spacing w:before="60" w:after="60"/>
              <w:ind w:left="57" w:right="57"/>
              <w:rPr>
                <w:iCs/>
              </w:rPr>
            </w:pPr>
            <w:r w:rsidRPr="00E07570">
              <w:rPr>
                <w:iCs/>
              </w:rPr>
              <w:t>01:00:00</w:t>
            </w:r>
          </w:p>
        </w:tc>
      </w:tr>
      <w:tr w:rsidR="00DF1E67" w:rsidRPr="00E07570" w:rsidTr="00CF30E3">
        <w:tc>
          <w:tcPr>
            <w:tcW w:w="3465" w:type="dxa"/>
            <w:shd w:val="clear" w:color="auto" w:fill="auto"/>
          </w:tcPr>
          <w:p w:rsidR="00DF1E67" w:rsidRPr="00E07570" w:rsidRDefault="00DF1E67" w:rsidP="00CF30E3">
            <w:pPr>
              <w:spacing w:before="60" w:after="60"/>
              <w:ind w:left="57" w:right="57"/>
              <w:rPr>
                <w:iCs/>
              </w:rPr>
            </w:pPr>
            <w:r w:rsidRPr="00E07570">
              <w:rPr>
                <w:iCs/>
              </w:rPr>
              <w:t>Fréquence de sortie</w:t>
            </w:r>
          </w:p>
        </w:tc>
        <w:tc>
          <w:tcPr>
            <w:tcW w:w="3905" w:type="dxa"/>
            <w:shd w:val="clear" w:color="auto" w:fill="auto"/>
          </w:tcPr>
          <w:p w:rsidR="00DF1E67" w:rsidRPr="00E07570" w:rsidDel="00F16A40" w:rsidRDefault="00DF1E67" w:rsidP="00CF30E3">
            <w:pPr>
              <w:spacing w:before="60" w:after="60"/>
              <w:ind w:left="57" w:right="57"/>
              <w:rPr>
                <w:iCs/>
              </w:rPr>
            </w:pPr>
            <w:r w:rsidRPr="00E07570">
              <w:rPr>
                <w:iCs/>
              </w:rPr>
              <w:t>1 Hz</w:t>
            </w:r>
          </w:p>
        </w:tc>
      </w:tr>
      <w:tr w:rsidR="00DF1E67" w:rsidRPr="00E07570" w:rsidTr="00CF30E3">
        <w:tc>
          <w:tcPr>
            <w:tcW w:w="3465" w:type="dxa"/>
            <w:shd w:val="clear" w:color="auto" w:fill="auto"/>
          </w:tcPr>
          <w:p w:rsidR="00DF1E67" w:rsidRPr="00E07570" w:rsidRDefault="00DF1E67" w:rsidP="00DF1E67">
            <w:pPr>
              <w:spacing w:before="60" w:after="60"/>
              <w:ind w:left="57" w:right="57"/>
              <w:rPr>
                <w:iCs/>
              </w:rPr>
            </w:pPr>
            <w:r w:rsidRPr="00E07570">
              <w:rPr>
                <w:iCs/>
              </w:rPr>
              <w:t>Emplacement de l</w:t>
            </w:r>
            <w:r w:rsidR="00145E4B">
              <w:rPr>
                <w:iCs/>
              </w:rPr>
              <w:t>’</w:t>
            </w:r>
            <w:r w:rsidRPr="00E07570">
              <w:rPr>
                <w:iCs/>
              </w:rPr>
              <w:t>AECD/AECS</w:t>
            </w:r>
          </w:p>
        </w:tc>
        <w:tc>
          <w:tcPr>
            <w:tcW w:w="3905" w:type="dxa"/>
            <w:shd w:val="clear" w:color="auto" w:fill="auto"/>
          </w:tcPr>
          <w:p w:rsidR="00DF1E67" w:rsidRPr="00E07570" w:rsidRDefault="00DF1E67" w:rsidP="007152D3">
            <w:pPr>
              <w:spacing w:before="60" w:after="60"/>
              <w:ind w:left="57" w:right="57"/>
              <w:rPr>
                <w:b/>
                <w:iCs/>
              </w:rPr>
            </w:pPr>
            <w:r w:rsidRPr="00E07570">
              <w:rPr>
                <w:iCs/>
              </w:rPr>
              <w:t>Tout point terrestre situé entre 80° de latitude</w:t>
            </w:r>
            <w:r w:rsidR="007152D3" w:rsidRPr="00E07570">
              <w:rPr>
                <w:iCs/>
              </w:rPr>
              <w:t> N</w:t>
            </w:r>
            <w:r w:rsidRPr="00E07570">
              <w:rPr>
                <w:iCs/>
              </w:rPr>
              <w:t xml:space="preserve"> et 80° de latitude </w:t>
            </w:r>
            <w:r w:rsidR="007152D3" w:rsidRPr="00E07570">
              <w:rPr>
                <w:iCs/>
              </w:rPr>
              <w:t>S</w:t>
            </w:r>
            <w:r w:rsidRPr="00E07570">
              <w:rPr>
                <w:iCs/>
              </w:rPr>
              <w:t xml:space="preserve"> dans le système de coordonnées WGS84</w:t>
            </w:r>
            <w:r w:rsidR="007152D3" w:rsidRPr="00E07570">
              <w:rPr>
                <w:iCs/>
              </w:rPr>
              <w:t>.</w:t>
            </w:r>
          </w:p>
        </w:tc>
      </w:tr>
      <w:tr w:rsidR="00DF1E67" w:rsidRPr="00E07570" w:rsidTr="00CF30E3">
        <w:tc>
          <w:tcPr>
            <w:tcW w:w="3465" w:type="dxa"/>
            <w:shd w:val="clear" w:color="auto" w:fill="auto"/>
          </w:tcPr>
          <w:p w:rsidR="00DF1E67" w:rsidRPr="00E07570" w:rsidRDefault="00DF1E67" w:rsidP="00CF30E3">
            <w:pPr>
              <w:spacing w:before="60" w:after="60"/>
              <w:ind w:left="57" w:right="57"/>
              <w:rPr>
                <w:iCs/>
              </w:rPr>
            </w:pPr>
            <w:r w:rsidRPr="00E07570">
              <w:rPr>
                <w:iCs/>
              </w:rPr>
              <w:t>Type de déplacement :</w:t>
            </w:r>
          </w:p>
          <w:p w:rsidR="00DF1E67" w:rsidRPr="00E07570" w:rsidRDefault="00DF1E67" w:rsidP="00CF30E3">
            <w:pPr>
              <w:pStyle w:val="Bullet1G"/>
              <w:numPr>
                <w:ilvl w:val="0"/>
                <w:numId w:val="0"/>
              </w:numPr>
              <w:tabs>
                <w:tab w:val="left" w:pos="284"/>
              </w:tabs>
              <w:spacing w:before="60" w:after="60"/>
              <w:ind w:left="221" w:right="57" w:hanging="164"/>
              <w:jc w:val="left"/>
              <w:rPr>
                <w:iCs/>
              </w:rPr>
            </w:pPr>
            <w:r w:rsidRPr="00E07570">
              <w:rPr>
                <w:iCs/>
              </w:rPr>
              <w:t>-</w:t>
            </w:r>
            <w:r w:rsidRPr="00E07570">
              <w:rPr>
                <w:iCs/>
              </w:rPr>
              <w:tab/>
              <w:t>Vitesse (en km/h) ;</w:t>
            </w:r>
          </w:p>
          <w:p w:rsidR="00DF1E67" w:rsidRPr="00E07570" w:rsidRDefault="00DF1E67" w:rsidP="00CF30E3">
            <w:pPr>
              <w:pStyle w:val="Bullet1G"/>
              <w:numPr>
                <w:ilvl w:val="0"/>
                <w:numId w:val="0"/>
              </w:numPr>
              <w:tabs>
                <w:tab w:val="left" w:pos="284"/>
              </w:tabs>
              <w:spacing w:before="60" w:after="60"/>
              <w:ind w:left="221" w:right="57" w:hanging="164"/>
              <w:jc w:val="left"/>
              <w:rPr>
                <w:iCs/>
              </w:rPr>
            </w:pPr>
            <w:r w:rsidRPr="00E07570">
              <w:rPr>
                <w:iCs/>
              </w:rPr>
              <w:t>-</w:t>
            </w:r>
            <w:r w:rsidRPr="00E07570">
              <w:rPr>
                <w:iCs/>
              </w:rPr>
              <w:tab/>
              <w:t>Rayon de virage (en m) ;</w:t>
            </w:r>
          </w:p>
          <w:p w:rsidR="00DF1E67" w:rsidRPr="00E07570" w:rsidRDefault="00DF1E67" w:rsidP="00CF30E3">
            <w:pPr>
              <w:pStyle w:val="Bullet1G"/>
              <w:numPr>
                <w:ilvl w:val="0"/>
                <w:numId w:val="0"/>
              </w:numPr>
              <w:tabs>
                <w:tab w:val="left" w:pos="284"/>
              </w:tabs>
              <w:spacing w:before="60" w:after="60"/>
              <w:ind w:left="221" w:right="57" w:hanging="164"/>
              <w:jc w:val="left"/>
              <w:rPr>
                <w:iCs/>
              </w:rPr>
            </w:pPr>
            <w:r w:rsidRPr="00E07570">
              <w:rPr>
                <w:iCs/>
              </w:rPr>
              <w:t>-</w:t>
            </w:r>
            <w:r w:rsidRPr="00E07570">
              <w:rPr>
                <w:iCs/>
              </w:rPr>
              <w:tab/>
              <w:t>Accélération en virage (m/s</w:t>
            </w:r>
            <w:r w:rsidRPr="00E07570">
              <w:rPr>
                <w:iCs/>
                <w:vertAlign w:val="superscript"/>
              </w:rPr>
              <w:t>2</w:t>
            </w:r>
            <w:r w:rsidRPr="00E07570">
              <w:rPr>
                <w:iCs/>
              </w:rPr>
              <w:t>).</w:t>
            </w:r>
          </w:p>
        </w:tc>
        <w:tc>
          <w:tcPr>
            <w:tcW w:w="3905" w:type="dxa"/>
            <w:shd w:val="clear" w:color="auto" w:fill="auto"/>
          </w:tcPr>
          <w:p w:rsidR="00DF1E67" w:rsidRPr="00E07570" w:rsidRDefault="00DF1E67" w:rsidP="00CF30E3">
            <w:pPr>
              <w:spacing w:before="60" w:after="60"/>
              <w:ind w:left="57" w:right="57"/>
              <w:rPr>
                <w:iCs/>
              </w:rPr>
            </w:pPr>
          </w:p>
          <w:p w:rsidR="00DF1E67" w:rsidRPr="00E07570" w:rsidRDefault="00DF1E67" w:rsidP="00CF30E3">
            <w:pPr>
              <w:spacing w:before="60" w:after="60"/>
              <w:ind w:left="57" w:right="57"/>
              <w:rPr>
                <w:iCs/>
              </w:rPr>
            </w:pPr>
            <w:r w:rsidRPr="00E07570">
              <w:rPr>
                <w:iCs/>
              </w:rPr>
              <w:t>140</w:t>
            </w:r>
          </w:p>
          <w:p w:rsidR="00DF1E67" w:rsidRPr="00E07570" w:rsidRDefault="00DF1E67" w:rsidP="00CF30E3">
            <w:pPr>
              <w:spacing w:before="60" w:after="60"/>
              <w:ind w:left="57" w:right="57"/>
              <w:rPr>
                <w:iCs/>
              </w:rPr>
            </w:pPr>
            <w:r w:rsidRPr="00E07570">
              <w:rPr>
                <w:iCs/>
              </w:rPr>
              <w:t>500</w:t>
            </w:r>
          </w:p>
          <w:p w:rsidR="00DF1E67" w:rsidRPr="00E07570" w:rsidRDefault="00DF1E67" w:rsidP="00CF30E3">
            <w:pPr>
              <w:pStyle w:val="Bullet1G"/>
              <w:numPr>
                <w:ilvl w:val="0"/>
                <w:numId w:val="0"/>
              </w:numPr>
              <w:tabs>
                <w:tab w:val="left" w:pos="284"/>
                <w:tab w:val="left" w:pos="381"/>
              </w:tabs>
              <w:spacing w:before="60" w:after="60"/>
              <w:ind w:left="57" w:right="57"/>
              <w:jc w:val="left"/>
              <w:rPr>
                <w:iCs/>
              </w:rPr>
            </w:pPr>
            <w:r w:rsidRPr="00E07570">
              <w:rPr>
                <w:iCs/>
              </w:rPr>
              <w:t>0,2</w:t>
            </w:r>
          </w:p>
        </w:tc>
      </w:tr>
      <w:tr w:rsidR="00DF1E67" w:rsidRPr="00E07570" w:rsidTr="00CF30E3">
        <w:tc>
          <w:tcPr>
            <w:tcW w:w="3465" w:type="dxa"/>
            <w:shd w:val="clear" w:color="auto" w:fill="auto"/>
          </w:tcPr>
          <w:p w:rsidR="00DF1E67" w:rsidRPr="00E07570" w:rsidRDefault="00305F8B" w:rsidP="00DF1E67">
            <w:pPr>
              <w:spacing w:before="60" w:after="60"/>
              <w:ind w:left="57" w:right="57"/>
              <w:rPr>
                <w:iCs/>
              </w:rPr>
            </w:pPr>
            <w:r w:rsidRPr="00E07570">
              <w:rPr>
                <w:iCs/>
              </w:rPr>
              <w:t>Visibilité</w:t>
            </w:r>
            <w:r w:rsidR="009F5B82" w:rsidRPr="00E07570">
              <w:rPr>
                <w:iCs/>
              </w:rPr>
              <w:t xml:space="preserve"> </w:t>
            </w:r>
            <w:r w:rsidR="00DF1E67" w:rsidRPr="00E07570">
              <w:rPr>
                <w:iCs/>
              </w:rPr>
              <w:t>des satellites :</w:t>
            </w:r>
          </w:p>
          <w:p w:rsidR="00DF1E67" w:rsidRPr="00E07570" w:rsidRDefault="00DF1E67" w:rsidP="00DF1E67">
            <w:pPr>
              <w:pStyle w:val="Bullet1G"/>
              <w:numPr>
                <w:ilvl w:val="0"/>
                <w:numId w:val="0"/>
              </w:numPr>
              <w:tabs>
                <w:tab w:val="left" w:pos="284"/>
              </w:tabs>
              <w:spacing w:before="60" w:after="60"/>
              <w:ind w:left="221" w:right="57" w:hanging="164"/>
              <w:jc w:val="left"/>
              <w:rPr>
                <w:iCs/>
              </w:rPr>
            </w:pPr>
            <w:r w:rsidRPr="00E07570">
              <w:rPr>
                <w:iCs/>
              </w:rPr>
              <w:t>-</w:t>
            </w:r>
            <w:r w:rsidRPr="00E07570">
              <w:rPr>
                <w:iCs/>
              </w:rPr>
              <w:tab/>
              <w:t xml:space="preserve">Intervalles de </w:t>
            </w:r>
            <w:r w:rsidR="00305F8B" w:rsidRPr="00E07570">
              <w:rPr>
                <w:iCs/>
              </w:rPr>
              <w:t>visibilité</w:t>
            </w:r>
            <w:r w:rsidR="009F5B82" w:rsidRPr="00E07570">
              <w:rPr>
                <w:iCs/>
              </w:rPr>
              <w:t xml:space="preserve"> </w:t>
            </w:r>
            <w:r w:rsidRPr="00E07570">
              <w:rPr>
                <w:iCs/>
              </w:rPr>
              <w:t xml:space="preserve">des signaux </w:t>
            </w:r>
            <w:r w:rsidRPr="00E07570">
              <w:rPr>
                <w:iCs/>
              </w:rPr>
              <w:br/>
              <w:t>(en s) ;</w:t>
            </w:r>
          </w:p>
          <w:p w:rsidR="00DF1E67" w:rsidRPr="00E07570" w:rsidRDefault="00DF1E67" w:rsidP="00DF1E67">
            <w:pPr>
              <w:pStyle w:val="Bullet1G"/>
              <w:numPr>
                <w:ilvl w:val="0"/>
                <w:numId w:val="0"/>
              </w:numPr>
              <w:tabs>
                <w:tab w:val="left" w:pos="284"/>
              </w:tabs>
              <w:spacing w:before="60" w:after="60"/>
              <w:ind w:left="221" w:right="57" w:hanging="164"/>
              <w:jc w:val="left"/>
              <w:rPr>
                <w:iCs/>
              </w:rPr>
            </w:pPr>
            <w:r w:rsidRPr="00E07570">
              <w:rPr>
                <w:iCs/>
              </w:rPr>
              <w:t>-</w:t>
            </w:r>
            <w:r w:rsidRPr="00E07570">
              <w:rPr>
                <w:iCs/>
              </w:rPr>
              <w:tab/>
              <w:t>Intervalles d</w:t>
            </w:r>
            <w:r w:rsidR="00145E4B">
              <w:rPr>
                <w:iCs/>
              </w:rPr>
              <w:t>’</w:t>
            </w:r>
            <w:r w:rsidRPr="00E07570">
              <w:rPr>
                <w:iCs/>
              </w:rPr>
              <w:t xml:space="preserve">absence des signaux </w:t>
            </w:r>
            <w:r w:rsidRPr="00E07570">
              <w:rPr>
                <w:iCs/>
              </w:rPr>
              <w:br/>
              <w:t>(en s).</w:t>
            </w:r>
          </w:p>
        </w:tc>
        <w:tc>
          <w:tcPr>
            <w:tcW w:w="3905" w:type="dxa"/>
            <w:shd w:val="clear" w:color="auto" w:fill="auto"/>
          </w:tcPr>
          <w:p w:rsidR="00DF1E67" w:rsidRPr="00E07570" w:rsidRDefault="00DF1E67" w:rsidP="00CF30E3">
            <w:pPr>
              <w:spacing w:before="60" w:after="60"/>
              <w:ind w:left="57" w:right="57"/>
              <w:rPr>
                <w:iCs/>
              </w:rPr>
            </w:pPr>
          </w:p>
          <w:p w:rsidR="00524EB9" w:rsidRPr="00E07570" w:rsidRDefault="00524EB9" w:rsidP="00CF30E3">
            <w:pPr>
              <w:spacing w:before="60" w:after="60"/>
              <w:ind w:left="57" w:right="57"/>
              <w:rPr>
                <w:iCs/>
              </w:rPr>
            </w:pPr>
            <w:r w:rsidRPr="00E07570">
              <w:rPr>
                <w:iCs/>
              </w:rPr>
              <w:t>300</w:t>
            </w:r>
          </w:p>
          <w:p w:rsidR="00524EB9" w:rsidRPr="00E07570" w:rsidRDefault="00524EB9" w:rsidP="00CF30E3">
            <w:pPr>
              <w:spacing w:before="60" w:after="60"/>
              <w:ind w:left="57" w:right="57"/>
              <w:rPr>
                <w:iCs/>
              </w:rPr>
            </w:pPr>
          </w:p>
          <w:p w:rsidR="00524EB9" w:rsidRPr="00E07570" w:rsidRDefault="00524EB9" w:rsidP="00CF30E3">
            <w:pPr>
              <w:spacing w:before="60" w:after="60"/>
              <w:ind w:left="57" w:right="57"/>
              <w:rPr>
                <w:iCs/>
              </w:rPr>
            </w:pPr>
            <w:r w:rsidRPr="00E07570">
              <w:rPr>
                <w:iCs/>
              </w:rPr>
              <w:t>600</w:t>
            </w:r>
          </w:p>
        </w:tc>
      </w:tr>
      <w:tr w:rsidR="00DF1E67" w:rsidRPr="00E07570" w:rsidTr="00CF30E3">
        <w:tc>
          <w:tcPr>
            <w:tcW w:w="3465" w:type="dxa"/>
            <w:shd w:val="clear" w:color="auto" w:fill="auto"/>
          </w:tcPr>
          <w:p w:rsidR="00DF1E67" w:rsidRPr="00E07570" w:rsidRDefault="00DF1E67" w:rsidP="00CF30E3">
            <w:pPr>
              <w:spacing w:before="60" w:after="60"/>
              <w:ind w:left="57" w:right="57"/>
              <w:rPr>
                <w:iCs/>
              </w:rPr>
            </w:pPr>
            <w:r w:rsidRPr="00E07570">
              <w:rPr>
                <w:iCs/>
              </w:rPr>
              <w:t>Troposphère :</w:t>
            </w:r>
          </w:p>
        </w:tc>
        <w:tc>
          <w:tcPr>
            <w:tcW w:w="3905" w:type="dxa"/>
            <w:shd w:val="clear" w:color="auto" w:fill="auto"/>
          </w:tcPr>
          <w:p w:rsidR="00DF1E67" w:rsidRPr="00E07570" w:rsidRDefault="00DF1E67" w:rsidP="00CF30E3">
            <w:pPr>
              <w:spacing w:before="60" w:after="60"/>
              <w:ind w:left="57" w:right="57"/>
              <w:rPr>
                <w:iCs/>
              </w:rPr>
            </w:pPr>
            <w:r w:rsidRPr="00E07570">
              <w:rPr>
                <w:iCs/>
              </w:rPr>
              <w:t>Modèle normalisé prédéfini par le simulateur de GNSS</w:t>
            </w:r>
            <w:r w:rsidR="007152D3" w:rsidRPr="00E07570">
              <w:rPr>
                <w:iCs/>
              </w:rPr>
              <w:t>.</w:t>
            </w:r>
          </w:p>
        </w:tc>
      </w:tr>
      <w:tr w:rsidR="00DF1E67" w:rsidRPr="00E07570" w:rsidTr="00CF30E3">
        <w:tc>
          <w:tcPr>
            <w:tcW w:w="3465" w:type="dxa"/>
            <w:shd w:val="clear" w:color="auto" w:fill="auto"/>
          </w:tcPr>
          <w:p w:rsidR="00DF1E67" w:rsidRPr="00E07570" w:rsidRDefault="00DF1E67" w:rsidP="00CF30E3">
            <w:pPr>
              <w:spacing w:before="60" w:after="60"/>
              <w:ind w:left="57" w:right="57"/>
              <w:rPr>
                <w:iCs/>
              </w:rPr>
            </w:pPr>
            <w:r w:rsidRPr="00E07570">
              <w:rPr>
                <w:iCs/>
              </w:rPr>
              <w:t>Ionosphère :</w:t>
            </w:r>
          </w:p>
        </w:tc>
        <w:tc>
          <w:tcPr>
            <w:tcW w:w="3905" w:type="dxa"/>
            <w:shd w:val="clear" w:color="auto" w:fill="auto"/>
          </w:tcPr>
          <w:p w:rsidR="00DF1E67" w:rsidRPr="00E07570" w:rsidRDefault="00DF1E67" w:rsidP="00CF30E3">
            <w:pPr>
              <w:spacing w:before="60" w:after="60"/>
              <w:ind w:left="57" w:right="57"/>
              <w:rPr>
                <w:iCs/>
              </w:rPr>
            </w:pPr>
            <w:r w:rsidRPr="00E07570">
              <w:rPr>
                <w:iCs/>
              </w:rPr>
              <w:t>Modèle normalisé prédéfini par le simulateur de GNSS</w:t>
            </w:r>
            <w:r w:rsidR="007152D3" w:rsidRPr="00E07570">
              <w:rPr>
                <w:iCs/>
              </w:rPr>
              <w:t>.</w:t>
            </w:r>
          </w:p>
        </w:tc>
      </w:tr>
      <w:tr w:rsidR="00DF1E67" w:rsidRPr="00E07570" w:rsidTr="00CF30E3">
        <w:tblPrEx>
          <w:tblLook w:val="0000" w:firstRow="0" w:lastRow="0" w:firstColumn="0" w:lastColumn="0" w:noHBand="0" w:noVBand="0"/>
        </w:tblPrEx>
        <w:tc>
          <w:tcPr>
            <w:tcW w:w="3465" w:type="dxa"/>
            <w:shd w:val="clear" w:color="auto" w:fill="auto"/>
          </w:tcPr>
          <w:p w:rsidR="00DF1E67" w:rsidRPr="00E07570" w:rsidRDefault="00DF1E67" w:rsidP="00CF30E3">
            <w:pPr>
              <w:spacing w:before="60" w:after="60"/>
              <w:ind w:left="57" w:right="57"/>
              <w:rPr>
                <w:iCs/>
              </w:rPr>
            </w:pPr>
            <w:r w:rsidRPr="00E07570">
              <w:rPr>
                <w:iCs/>
              </w:rPr>
              <w:t>Valeur PDOP</w:t>
            </w:r>
          </w:p>
        </w:tc>
        <w:tc>
          <w:tcPr>
            <w:tcW w:w="3905" w:type="dxa"/>
            <w:shd w:val="clear" w:color="auto" w:fill="auto"/>
          </w:tcPr>
          <w:p w:rsidR="00DF1E67" w:rsidRPr="00E07570" w:rsidRDefault="00524EB9" w:rsidP="00CF30E3">
            <w:pPr>
              <w:spacing w:before="60" w:after="60"/>
              <w:ind w:left="57" w:right="57"/>
              <w:rPr>
                <w:iCs/>
              </w:rPr>
            </w:pPr>
            <w:r w:rsidRPr="00E07570">
              <w:rPr>
                <w:iCs/>
              </w:rPr>
              <w:t xml:space="preserve">3,5 </w:t>
            </w:r>
            <w:r w:rsidRPr="00E07570">
              <w:rPr>
                <w:iCs/>
              </w:rPr>
              <w:sym w:font="Symbol" w:char="F0A3"/>
            </w:r>
            <w:r w:rsidRPr="00E07570">
              <w:rPr>
                <w:iCs/>
              </w:rPr>
              <w:t xml:space="preserve"> PDOP </w:t>
            </w:r>
            <w:r w:rsidRPr="00E07570">
              <w:rPr>
                <w:iCs/>
              </w:rPr>
              <w:sym w:font="Symbol" w:char="F0A3"/>
            </w:r>
            <w:r w:rsidRPr="00E07570">
              <w:rPr>
                <w:iCs/>
              </w:rPr>
              <w:t xml:space="preserve"> 4 pendant la durée de l</w:t>
            </w:r>
            <w:r w:rsidR="00145E4B">
              <w:rPr>
                <w:iCs/>
              </w:rPr>
              <w:t>’</w:t>
            </w:r>
            <w:r w:rsidRPr="00E07570">
              <w:rPr>
                <w:iCs/>
              </w:rPr>
              <w:t>essai</w:t>
            </w:r>
            <w:r w:rsidR="007152D3" w:rsidRPr="00E07570">
              <w:rPr>
                <w:iCs/>
              </w:rPr>
              <w:t>.</w:t>
            </w:r>
          </w:p>
        </w:tc>
      </w:tr>
      <w:tr w:rsidR="00DF1E67" w:rsidRPr="00E07570" w:rsidTr="00CF30E3">
        <w:tblPrEx>
          <w:tblLook w:val="0000" w:firstRow="0" w:lastRow="0" w:firstColumn="0" w:lastColumn="0" w:noHBand="0" w:noVBand="0"/>
        </w:tblPrEx>
        <w:tc>
          <w:tcPr>
            <w:tcW w:w="3465" w:type="dxa"/>
            <w:shd w:val="clear" w:color="auto" w:fill="auto"/>
          </w:tcPr>
          <w:p w:rsidR="00DF1E67" w:rsidRPr="00E07570" w:rsidRDefault="00DF1E67" w:rsidP="00CF30E3">
            <w:pPr>
              <w:spacing w:before="60" w:after="60"/>
              <w:ind w:left="57" w:right="57"/>
              <w:rPr>
                <w:iCs/>
              </w:rPr>
            </w:pPr>
            <w:r w:rsidRPr="00E07570">
              <w:rPr>
                <w:iCs/>
              </w:rPr>
              <w:t>Signaux simulés</w:t>
            </w:r>
          </w:p>
        </w:tc>
        <w:tc>
          <w:tcPr>
            <w:tcW w:w="3905" w:type="dxa"/>
            <w:shd w:val="clear" w:color="auto" w:fill="auto"/>
          </w:tcPr>
          <w:p w:rsidR="00DF1E67" w:rsidRPr="00E07570" w:rsidRDefault="00DF1E67" w:rsidP="00CF30E3">
            <w:pPr>
              <w:spacing w:before="60" w:after="60"/>
              <w:ind w:left="57" w:right="57"/>
              <w:rPr>
                <w:iCs/>
              </w:rPr>
            </w:pPr>
            <w:r w:rsidRPr="00E07570">
              <w:rPr>
                <w:iCs/>
              </w:rPr>
              <w:t>Combinaison GLONASS/</w:t>
            </w:r>
            <w:r w:rsidR="002B669D" w:rsidRPr="00E07570">
              <w:rPr>
                <w:iCs/>
              </w:rPr>
              <w:t>Galileo</w:t>
            </w:r>
            <w:r w:rsidRPr="00E07570">
              <w:rPr>
                <w:iCs/>
              </w:rPr>
              <w:t>/GPS/ SBAS</w:t>
            </w:r>
            <w:r w:rsidR="00BE56A1" w:rsidRPr="00E07570">
              <w:rPr>
                <w:iCs/>
              </w:rPr>
              <w:t>.</w:t>
            </w:r>
          </w:p>
        </w:tc>
      </w:tr>
      <w:tr w:rsidR="00DF1E67" w:rsidRPr="00E07570" w:rsidTr="00CF30E3">
        <w:tblPrEx>
          <w:tblLook w:val="0000" w:firstRow="0" w:lastRow="0" w:firstColumn="0" w:lastColumn="0" w:noHBand="0" w:noVBand="0"/>
        </w:tblPrEx>
        <w:tc>
          <w:tcPr>
            <w:tcW w:w="3465" w:type="dxa"/>
            <w:tcBorders>
              <w:bottom w:val="single" w:sz="4" w:space="0" w:color="auto"/>
            </w:tcBorders>
            <w:shd w:val="clear" w:color="auto" w:fill="auto"/>
          </w:tcPr>
          <w:p w:rsidR="00DF1E67" w:rsidRPr="00E07570" w:rsidRDefault="00DF1E67" w:rsidP="00CF30E3">
            <w:pPr>
              <w:spacing w:before="60" w:after="60"/>
              <w:ind w:left="57" w:right="57"/>
              <w:rPr>
                <w:iCs/>
              </w:rPr>
            </w:pPr>
            <w:r w:rsidRPr="00E07570">
              <w:rPr>
                <w:iCs/>
              </w:rPr>
              <w:t>Puissance du signal :</w:t>
            </w:r>
          </w:p>
          <w:p w:rsidR="00DF1E67" w:rsidRPr="00E07570" w:rsidRDefault="00DF1E67" w:rsidP="00CF30E3">
            <w:pPr>
              <w:pStyle w:val="Bullet1G"/>
              <w:numPr>
                <w:ilvl w:val="0"/>
                <w:numId w:val="0"/>
              </w:numPr>
              <w:tabs>
                <w:tab w:val="left" w:pos="284"/>
              </w:tabs>
              <w:spacing w:before="60" w:after="60"/>
              <w:ind w:left="221" w:right="57" w:hanging="164"/>
              <w:jc w:val="left"/>
              <w:rPr>
                <w:iCs/>
              </w:rPr>
            </w:pPr>
            <w:r w:rsidRPr="00E07570">
              <w:rPr>
                <w:iCs/>
              </w:rPr>
              <w:t>-</w:t>
            </w:r>
            <w:r w:rsidRPr="00E07570">
              <w:rPr>
                <w:iCs/>
              </w:rPr>
              <w:tab/>
              <w:t>GLONASS ;</w:t>
            </w:r>
          </w:p>
          <w:p w:rsidR="00DF1E67" w:rsidRPr="00E07570" w:rsidRDefault="00DF1E67" w:rsidP="00CF30E3">
            <w:pPr>
              <w:pStyle w:val="Bullet1G"/>
              <w:numPr>
                <w:ilvl w:val="0"/>
                <w:numId w:val="0"/>
              </w:numPr>
              <w:tabs>
                <w:tab w:val="left" w:pos="284"/>
              </w:tabs>
              <w:spacing w:before="60" w:after="60"/>
              <w:ind w:left="221" w:right="57" w:hanging="164"/>
              <w:jc w:val="left"/>
              <w:rPr>
                <w:iCs/>
              </w:rPr>
            </w:pPr>
            <w:r w:rsidRPr="00E07570">
              <w:rPr>
                <w:iCs/>
              </w:rPr>
              <w:t>-</w:t>
            </w:r>
            <w:r w:rsidRPr="00E07570">
              <w:rPr>
                <w:iCs/>
              </w:rPr>
              <w:tab/>
            </w:r>
            <w:r w:rsidR="002B669D" w:rsidRPr="00E07570">
              <w:rPr>
                <w:iCs/>
              </w:rPr>
              <w:t>Galileo</w:t>
            </w:r>
            <w:r w:rsidRPr="00E07570">
              <w:rPr>
                <w:iCs/>
              </w:rPr>
              <w:t> ;</w:t>
            </w:r>
          </w:p>
          <w:p w:rsidR="00DF1E67" w:rsidRPr="00E07570" w:rsidRDefault="00DF1E67" w:rsidP="00CF30E3">
            <w:pPr>
              <w:pStyle w:val="Bullet1G"/>
              <w:numPr>
                <w:ilvl w:val="0"/>
                <w:numId w:val="0"/>
              </w:numPr>
              <w:tabs>
                <w:tab w:val="left" w:pos="284"/>
              </w:tabs>
              <w:spacing w:before="60" w:after="60"/>
              <w:ind w:left="221" w:right="57" w:hanging="164"/>
              <w:jc w:val="left"/>
              <w:rPr>
                <w:iCs/>
              </w:rPr>
            </w:pPr>
            <w:r w:rsidRPr="00E07570">
              <w:rPr>
                <w:iCs/>
              </w:rPr>
              <w:t>-</w:t>
            </w:r>
            <w:r w:rsidRPr="00E07570">
              <w:rPr>
                <w:iCs/>
              </w:rPr>
              <w:tab/>
              <w:t>GPS.</w:t>
            </w:r>
          </w:p>
        </w:tc>
        <w:tc>
          <w:tcPr>
            <w:tcW w:w="3905" w:type="dxa"/>
            <w:tcBorders>
              <w:bottom w:val="single" w:sz="4" w:space="0" w:color="auto"/>
            </w:tcBorders>
            <w:shd w:val="clear" w:color="auto" w:fill="auto"/>
          </w:tcPr>
          <w:p w:rsidR="00DF1E67" w:rsidRPr="00E07570" w:rsidRDefault="00DF1E67" w:rsidP="00CF30E3">
            <w:pPr>
              <w:spacing w:before="60" w:after="60"/>
              <w:ind w:left="57" w:right="57"/>
              <w:rPr>
                <w:iCs/>
              </w:rPr>
            </w:pPr>
          </w:p>
          <w:p w:rsidR="00DF1E67" w:rsidRPr="00E07570" w:rsidRDefault="007152D3" w:rsidP="00CF30E3">
            <w:pPr>
              <w:spacing w:before="60" w:after="60"/>
              <w:ind w:left="57" w:right="57"/>
              <w:rPr>
                <w:iCs/>
              </w:rPr>
            </w:pPr>
            <w:r w:rsidRPr="00E07570">
              <w:rPr>
                <w:iCs/>
              </w:rPr>
              <w:t>-</w:t>
            </w:r>
            <w:r w:rsidR="00DF1E67" w:rsidRPr="00E07570">
              <w:rPr>
                <w:iCs/>
              </w:rPr>
              <w:t>141 dBm ;</w:t>
            </w:r>
          </w:p>
          <w:p w:rsidR="00DF1E67" w:rsidRPr="00E07570" w:rsidRDefault="007152D3" w:rsidP="00CF30E3">
            <w:pPr>
              <w:spacing w:before="60" w:after="60"/>
              <w:ind w:left="57" w:right="57"/>
              <w:rPr>
                <w:iCs/>
              </w:rPr>
            </w:pPr>
            <w:r w:rsidRPr="00E07570">
              <w:rPr>
                <w:iCs/>
              </w:rPr>
              <w:t>-</w:t>
            </w:r>
            <w:r w:rsidR="00DF1E67" w:rsidRPr="00E07570">
              <w:rPr>
                <w:iCs/>
              </w:rPr>
              <w:t>135 dBm ;</w:t>
            </w:r>
          </w:p>
          <w:p w:rsidR="00DF1E67" w:rsidRPr="00E07570" w:rsidRDefault="007152D3" w:rsidP="00CF30E3">
            <w:pPr>
              <w:spacing w:before="60" w:after="60"/>
              <w:ind w:left="57" w:right="57"/>
              <w:rPr>
                <w:iCs/>
              </w:rPr>
            </w:pPr>
            <w:r w:rsidRPr="00E07570">
              <w:rPr>
                <w:iCs/>
              </w:rPr>
              <w:t>-</w:t>
            </w:r>
            <w:r w:rsidR="00DF1E67" w:rsidRPr="00E07570">
              <w:rPr>
                <w:iCs/>
              </w:rPr>
              <w:t>138,5 dBm.</w:t>
            </w:r>
          </w:p>
        </w:tc>
      </w:tr>
      <w:tr w:rsidR="00DF1E67" w:rsidRPr="00E07570" w:rsidTr="00CF30E3">
        <w:tblPrEx>
          <w:tblLook w:val="0000" w:firstRow="0" w:lastRow="0" w:firstColumn="0" w:lastColumn="0" w:noHBand="0" w:noVBand="0"/>
        </w:tblPrEx>
        <w:tc>
          <w:tcPr>
            <w:tcW w:w="3465" w:type="dxa"/>
            <w:tcBorders>
              <w:bottom w:val="single" w:sz="12" w:space="0" w:color="auto"/>
            </w:tcBorders>
            <w:shd w:val="clear" w:color="auto" w:fill="auto"/>
          </w:tcPr>
          <w:p w:rsidR="00DF1E67" w:rsidRPr="00E07570" w:rsidRDefault="00DF1E67" w:rsidP="00CF30E3">
            <w:pPr>
              <w:spacing w:before="60" w:after="60"/>
              <w:ind w:left="57" w:right="57"/>
              <w:rPr>
                <w:iCs/>
              </w:rPr>
            </w:pPr>
            <w:r w:rsidRPr="00E07570">
              <w:rPr>
                <w:iCs/>
              </w:rPr>
              <w:t>Nombre de satellites simulés</w:t>
            </w:r>
          </w:p>
        </w:tc>
        <w:tc>
          <w:tcPr>
            <w:tcW w:w="3905" w:type="dxa"/>
            <w:tcBorders>
              <w:bottom w:val="single" w:sz="12" w:space="0" w:color="auto"/>
            </w:tcBorders>
            <w:shd w:val="clear" w:color="auto" w:fill="auto"/>
          </w:tcPr>
          <w:p w:rsidR="00DF1E67" w:rsidRPr="00E07570" w:rsidRDefault="00DF1E67" w:rsidP="00CF30E3">
            <w:pPr>
              <w:pStyle w:val="Bullet1G"/>
              <w:numPr>
                <w:ilvl w:val="0"/>
                <w:numId w:val="0"/>
              </w:numPr>
              <w:tabs>
                <w:tab w:val="left" w:pos="284"/>
              </w:tabs>
              <w:spacing w:before="60" w:after="60"/>
              <w:ind w:left="221" w:right="57" w:hanging="164"/>
              <w:jc w:val="left"/>
              <w:rPr>
                <w:iCs/>
              </w:rPr>
            </w:pPr>
            <w:r w:rsidRPr="00E07570">
              <w:rPr>
                <w:iCs/>
              </w:rPr>
              <w:t>-</w:t>
            </w:r>
            <w:r w:rsidRPr="00E07570">
              <w:rPr>
                <w:iCs/>
              </w:rPr>
              <w:tab/>
              <w:t>au moins 6 satellites GLONASS ;</w:t>
            </w:r>
          </w:p>
          <w:p w:rsidR="00DF1E67" w:rsidRPr="00E07570" w:rsidRDefault="00DF1E67" w:rsidP="00CF30E3">
            <w:pPr>
              <w:pStyle w:val="Bullet1G"/>
              <w:numPr>
                <w:ilvl w:val="0"/>
                <w:numId w:val="0"/>
              </w:numPr>
              <w:tabs>
                <w:tab w:val="left" w:pos="284"/>
              </w:tabs>
              <w:spacing w:before="60" w:after="60"/>
              <w:ind w:left="221" w:right="57" w:hanging="164"/>
              <w:jc w:val="left"/>
              <w:rPr>
                <w:iCs/>
              </w:rPr>
            </w:pPr>
            <w:r w:rsidRPr="00E07570">
              <w:rPr>
                <w:iCs/>
              </w:rPr>
              <w:t>-</w:t>
            </w:r>
            <w:r w:rsidRPr="00E07570">
              <w:rPr>
                <w:iCs/>
              </w:rPr>
              <w:tab/>
              <w:t xml:space="preserve">au moins 6 satellites </w:t>
            </w:r>
            <w:r w:rsidR="002B669D" w:rsidRPr="00E07570">
              <w:rPr>
                <w:iCs/>
              </w:rPr>
              <w:t>Galileo</w:t>
            </w:r>
            <w:r w:rsidRPr="00E07570">
              <w:rPr>
                <w:iCs/>
              </w:rPr>
              <w:t> ;</w:t>
            </w:r>
          </w:p>
          <w:p w:rsidR="00DF1E67" w:rsidRPr="00E07570" w:rsidRDefault="00DF1E67" w:rsidP="00CF30E3">
            <w:pPr>
              <w:pStyle w:val="Bullet1G"/>
              <w:numPr>
                <w:ilvl w:val="0"/>
                <w:numId w:val="0"/>
              </w:numPr>
              <w:tabs>
                <w:tab w:val="left" w:pos="284"/>
              </w:tabs>
              <w:spacing w:before="60" w:after="60"/>
              <w:ind w:left="221" w:right="57" w:hanging="164"/>
              <w:jc w:val="left"/>
              <w:rPr>
                <w:iCs/>
              </w:rPr>
            </w:pPr>
            <w:r w:rsidRPr="00E07570">
              <w:rPr>
                <w:iCs/>
              </w:rPr>
              <w:t>-</w:t>
            </w:r>
            <w:r w:rsidRPr="00E07570">
              <w:rPr>
                <w:iCs/>
              </w:rPr>
              <w:tab/>
              <w:t>au moins 6 satellites GPS ;</w:t>
            </w:r>
          </w:p>
          <w:p w:rsidR="00DF1E67" w:rsidRPr="00E07570" w:rsidRDefault="00DF1E67" w:rsidP="00CF30E3">
            <w:pPr>
              <w:pStyle w:val="Bullet1G"/>
              <w:numPr>
                <w:ilvl w:val="0"/>
                <w:numId w:val="0"/>
              </w:numPr>
              <w:tabs>
                <w:tab w:val="left" w:pos="284"/>
              </w:tabs>
              <w:spacing w:before="60" w:after="60"/>
              <w:ind w:left="221" w:right="57" w:hanging="164"/>
              <w:jc w:val="left"/>
              <w:rPr>
                <w:iCs/>
              </w:rPr>
            </w:pPr>
            <w:r w:rsidRPr="00E07570">
              <w:rPr>
                <w:iCs/>
              </w:rPr>
              <w:t>-</w:t>
            </w:r>
            <w:r w:rsidRPr="00E07570">
              <w:rPr>
                <w:iCs/>
              </w:rPr>
              <w:tab/>
              <w:t>au moins 2 satellites SBAS.</w:t>
            </w:r>
          </w:p>
        </w:tc>
      </w:tr>
    </w:tbl>
    <w:p w:rsidR="00FE0F49" w:rsidRPr="00E07570" w:rsidRDefault="00524EB9" w:rsidP="00C1730C">
      <w:pPr>
        <w:pStyle w:val="Heading1"/>
        <w:spacing w:before="240" w:after="120"/>
        <w:rPr>
          <w:b/>
        </w:rPr>
      </w:pPr>
      <w:r w:rsidRPr="00E07570">
        <w:t xml:space="preserve">Figure 3 </w:t>
      </w:r>
      <w:r w:rsidRPr="00E07570">
        <w:br/>
      </w:r>
      <w:r w:rsidRPr="00E07570">
        <w:rPr>
          <w:b/>
        </w:rPr>
        <w:t>Définition du mode « canyon urbain »</w:t>
      </w:r>
    </w:p>
    <w:tbl>
      <w:tblPr>
        <w:tblStyle w:val="TableGrid"/>
        <w:tblW w:w="7370" w:type="dxa"/>
        <w:jc w:val="center"/>
        <w:tblBorders>
          <w:bottom w:val="single" w:sz="12" w:space="0" w:color="auto"/>
        </w:tblBorders>
        <w:tblLayout w:type="fixed"/>
        <w:tblLook w:val="04A0" w:firstRow="1" w:lastRow="0" w:firstColumn="1" w:lastColumn="0" w:noHBand="0" w:noVBand="1"/>
      </w:tblPr>
      <w:tblGrid>
        <w:gridCol w:w="1560"/>
        <w:gridCol w:w="3260"/>
        <w:gridCol w:w="2550"/>
      </w:tblGrid>
      <w:tr w:rsidR="00CF30E3" w:rsidRPr="00E07570" w:rsidTr="00CF30E3">
        <w:trPr>
          <w:tblHeader/>
          <w:jc w:val="center"/>
        </w:trPr>
        <w:tc>
          <w:tcPr>
            <w:tcW w:w="1560" w:type="dxa"/>
            <w:tcBorders>
              <w:bottom w:val="single" w:sz="12" w:space="0" w:color="auto"/>
            </w:tcBorders>
            <w:shd w:val="clear" w:color="auto" w:fill="auto"/>
            <w:vAlign w:val="center"/>
          </w:tcPr>
          <w:p w:rsidR="00CF30E3" w:rsidRPr="00E07570" w:rsidRDefault="00CF30E3" w:rsidP="00C1730C">
            <w:pPr>
              <w:keepNext/>
              <w:suppressAutoHyphens w:val="0"/>
              <w:spacing w:before="80" w:after="80" w:line="200" w:lineRule="exact"/>
              <w:jc w:val="center"/>
              <w:rPr>
                <w:i/>
                <w:sz w:val="16"/>
              </w:rPr>
            </w:pPr>
            <w:r w:rsidRPr="00E07570">
              <w:rPr>
                <w:i/>
                <w:sz w:val="16"/>
              </w:rPr>
              <w:t>Zone</w:t>
            </w:r>
          </w:p>
        </w:tc>
        <w:tc>
          <w:tcPr>
            <w:tcW w:w="3260" w:type="dxa"/>
            <w:tcBorders>
              <w:bottom w:val="single" w:sz="12" w:space="0" w:color="auto"/>
            </w:tcBorders>
            <w:shd w:val="clear" w:color="auto" w:fill="auto"/>
            <w:vAlign w:val="center"/>
          </w:tcPr>
          <w:p w:rsidR="00CF30E3" w:rsidRPr="00E07570" w:rsidRDefault="00CF30E3" w:rsidP="00C1730C">
            <w:pPr>
              <w:keepNext/>
              <w:suppressAutoHyphens w:val="0"/>
              <w:spacing w:before="80" w:after="80" w:line="200" w:lineRule="exact"/>
              <w:jc w:val="center"/>
              <w:rPr>
                <w:i/>
                <w:sz w:val="16"/>
              </w:rPr>
            </w:pPr>
            <w:r w:rsidRPr="00E07570">
              <w:rPr>
                <w:i/>
                <w:sz w:val="16"/>
              </w:rPr>
              <w:t>Plage d</w:t>
            </w:r>
            <w:r w:rsidR="00145E4B">
              <w:rPr>
                <w:i/>
                <w:sz w:val="16"/>
              </w:rPr>
              <w:t>’</w:t>
            </w:r>
            <w:r w:rsidRPr="00E07570">
              <w:rPr>
                <w:i/>
                <w:sz w:val="16"/>
              </w:rPr>
              <w:t>élévations (en degrés)</w:t>
            </w:r>
          </w:p>
        </w:tc>
        <w:tc>
          <w:tcPr>
            <w:tcW w:w="2550" w:type="dxa"/>
            <w:tcBorders>
              <w:bottom w:val="single" w:sz="12" w:space="0" w:color="auto"/>
            </w:tcBorders>
            <w:shd w:val="clear" w:color="auto" w:fill="auto"/>
            <w:vAlign w:val="center"/>
          </w:tcPr>
          <w:p w:rsidR="00CF30E3" w:rsidRPr="00E07570" w:rsidRDefault="00CF30E3" w:rsidP="00C1730C">
            <w:pPr>
              <w:keepNext/>
              <w:suppressAutoHyphens w:val="0"/>
              <w:spacing w:before="80" w:after="80" w:line="200" w:lineRule="exact"/>
              <w:jc w:val="center"/>
              <w:rPr>
                <w:i/>
                <w:sz w:val="16"/>
              </w:rPr>
            </w:pPr>
            <w:r w:rsidRPr="00E07570">
              <w:rPr>
                <w:i/>
                <w:sz w:val="16"/>
              </w:rPr>
              <w:t>Plage d</w:t>
            </w:r>
            <w:r w:rsidR="00145E4B">
              <w:rPr>
                <w:i/>
                <w:sz w:val="16"/>
              </w:rPr>
              <w:t>’</w:t>
            </w:r>
            <w:r w:rsidRPr="00E07570">
              <w:rPr>
                <w:i/>
                <w:sz w:val="16"/>
              </w:rPr>
              <w:t>azimuts (en degrés)</w:t>
            </w:r>
          </w:p>
        </w:tc>
      </w:tr>
      <w:tr w:rsidR="00CF30E3" w:rsidRPr="00E07570" w:rsidTr="00CF30E3">
        <w:trPr>
          <w:jc w:val="center"/>
        </w:trPr>
        <w:tc>
          <w:tcPr>
            <w:tcW w:w="1560" w:type="dxa"/>
            <w:shd w:val="clear" w:color="auto" w:fill="auto"/>
            <w:vAlign w:val="center"/>
          </w:tcPr>
          <w:p w:rsidR="00CF30E3" w:rsidRPr="00E07570" w:rsidRDefault="00CF30E3" w:rsidP="00C1730C">
            <w:pPr>
              <w:keepNext/>
              <w:suppressAutoHyphens w:val="0"/>
              <w:spacing w:before="60" w:after="60"/>
              <w:jc w:val="center"/>
            </w:pPr>
            <w:r w:rsidRPr="00E07570">
              <w:t>A</w:t>
            </w:r>
          </w:p>
        </w:tc>
        <w:tc>
          <w:tcPr>
            <w:tcW w:w="3260" w:type="dxa"/>
            <w:shd w:val="clear" w:color="auto" w:fill="auto"/>
            <w:vAlign w:val="center"/>
          </w:tcPr>
          <w:p w:rsidR="00CF30E3" w:rsidRPr="00E07570" w:rsidRDefault="00CF30E3" w:rsidP="00C1730C">
            <w:pPr>
              <w:keepNext/>
              <w:suppressAutoHyphens w:val="0"/>
              <w:spacing w:before="60" w:after="60"/>
              <w:jc w:val="center"/>
            </w:pPr>
            <w:r w:rsidRPr="00E07570">
              <w:t>0 − 5</w:t>
            </w:r>
          </w:p>
        </w:tc>
        <w:tc>
          <w:tcPr>
            <w:tcW w:w="2550" w:type="dxa"/>
            <w:shd w:val="clear" w:color="auto" w:fill="auto"/>
            <w:vAlign w:val="center"/>
          </w:tcPr>
          <w:p w:rsidR="00CF30E3" w:rsidRPr="00E07570" w:rsidRDefault="00CF30E3" w:rsidP="00C1730C">
            <w:pPr>
              <w:keepNext/>
              <w:suppressAutoHyphens w:val="0"/>
              <w:spacing w:before="60" w:after="60"/>
              <w:jc w:val="center"/>
            </w:pPr>
            <w:r w:rsidRPr="00E07570">
              <w:t>0 − 360</w:t>
            </w:r>
          </w:p>
        </w:tc>
      </w:tr>
      <w:tr w:rsidR="00CF30E3" w:rsidRPr="00E07570" w:rsidTr="00CF30E3">
        <w:trPr>
          <w:jc w:val="center"/>
        </w:trPr>
        <w:tc>
          <w:tcPr>
            <w:tcW w:w="1560" w:type="dxa"/>
            <w:shd w:val="clear" w:color="auto" w:fill="auto"/>
            <w:vAlign w:val="center"/>
          </w:tcPr>
          <w:p w:rsidR="00CF30E3" w:rsidRPr="00E07570" w:rsidRDefault="00CF30E3" w:rsidP="00C1730C">
            <w:pPr>
              <w:keepNext/>
              <w:suppressAutoHyphens w:val="0"/>
              <w:spacing w:before="60" w:after="60"/>
              <w:jc w:val="center"/>
            </w:pPr>
            <w:r w:rsidRPr="00E07570">
              <w:t>B</w:t>
            </w:r>
          </w:p>
        </w:tc>
        <w:tc>
          <w:tcPr>
            <w:tcW w:w="3260" w:type="dxa"/>
            <w:shd w:val="clear" w:color="auto" w:fill="auto"/>
            <w:vAlign w:val="center"/>
          </w:tcPr>
          <w:p w:rsidR="00CF30E3" w:rsidRPr="00E07570" w:rsidRDefault="00CF30E3" w:rsidP="00C1730C">
            <w:pPr>
              <w:keepNext/>
              <w:suppressAutoHyphens w:val="0"/>
              <w:spacing w:before="60" w:after="60"/>
              <w:jc w:val="center"/>
            </w:pPr>
            <w:r w:rsidRPr="00E07570">
              <w:t>5 − 30</w:t>
            </w:r>
          </w:p>
        </w:tc>
        <w:tc>
          <w:tcPr>
            <w:tcW w:w="2550" w:type="dxa"/>
            <w:shd w:val="clear" w:color="auto" w:fill="auto"/>
            <w:vAlign w:val="center"/>
          </w:tcPr>
          <w:p w:rsidR="00CF30E3" w:rsidRPr="00E07570" w:rsidRDefault="00CF30E3" w:rsidP="00C1730C">
            <w:pPr>
              <w:keepNext/>
              <w:suppressAutoHyphens w:val="0"/>
              <w:spacing w:before="60" w:after="60"/>
              <w:jc w:val="center"/>
            </w:pPr>
            <w:r w:rsidRPr="00E07570">
              <w:t>210 − 330</w:t>
            </w:r>
          </w:p>
        </w:tc>
      </w:tr>
      <w:tr w:rsidR="00CF30E3" w:rsidRPr="00E07570" w:rsidTr="00CF30E3">
        <w:trPr>
          <w:jc w:val="center"/>
        </w:trPr>
        <w:tc>
          <w:tcPr>
            <w:tcW w:w="1560" w:type="dxa"/>
            <w:shd w:val="clear" w:color="auto" w:fill="auto"/>
            <w:vAlign w:val="center"/>
          </w:tcPr>
          <w:p w:rsidR="00CF30E3" w:rsidRPr="00E07570" w:rsidRDefault="00CF30E3" w:rsidP="00C1730C">
            <w:pPr>
              <w:keepNext/>
              <w:suppressAutoHyphens w:val="0"/>
              <w:spacing w:before="60" w:after="60"/>
              <w:jc w:val="center"/>
            </w:pPr>
            <w:r w:rsidRPr="00E07570">
              <w:t>C</w:t>
            </w:r>
          </w:p>
        </w:tc>
        <w:tc>
          <w:tcPr>
            <w:tcW w:w="3260" w:type="dxa"/>
            <w:shd w:val="clear" w:color="auto" w:fill="auto"/>
            <w:vAlign w:val="center"/>
          </w:tcPr>
          <w:p w:rsidR="00CF30E3" w:rsidRPr="00E07570" w:rsidRDefault="00CF30E3" w:rsidP="00C1730C">
            <w:pPr>
              <w:keepNext/>
              <w:suppressAutoHyphens w:val="0"/>
              <w:spacing w:before="60" w:after="60"/>
              <w:jc w:val="center"/>
            </w:pPr>
            <w:r w:rsidRPr="00E07570">
              <w:t>5 − 30</w:t>
            </w:r>
          </w:p>
        </w:tc>
        <w:tc>
          <w:tcPr>
            <w:tcW w:w="2550" w:type="dxa"/>
            <w:tcBorders>
              <w:bottom w:val="single" w:sz="4" w:space="0" w:color="auto"/>
            </w:tcBorders>
            <w:shd w:val="clear" w:color="auto" w:fill="auto"/>
            <w:vAlign w:val="center"/>
          </w:tcPr>
          <w:p w:rsidR="00CF30E3" w:rsidRPr="00E07570" w:rsidRDefault="00CF30E3" w:rsidP="00C1730C">
            <w:pPr>
              <w:keepNext/>
              <w:suppressAutoHyphens w:val="0"/>
              <w:spacing w:before="60" w:after="60"/>
              <w:jc w:val="center"/>
            </w:pPr>
            <w:r w:rsidRPr="00E07570">
              <w:t>30 − 150</w:t>
            </w:r>
          </w:p>
        </w:tc>
      </w:tr>
      <w:tr w:rsidR="00CF30E3" w:rsidRPr="00E07570" w:rsidTr="00CF30E3">
        <w:trPr>
          <w:jc w:val="center"/>
        </w:trPr>
        <w:tc>
          <w:tcPr>
            <w:tcW w:w="1560" w:type="dxa"/>
            <w:shd w:val="clear" w:color="auto" w:fill="auto"/>
            <w:vAlign w:val="center"/>
          </w:tcPr>
          <w:p w:rsidR="00CF30E3" w:rsidRPr="00E07570" w:rsidRDefault="00CF30E3" w:rsidP="00CF30E3">
            <w:pPr>
              <w:suppressAutoHyphens w:val="0"/>
              <w:spacing w:before="60" w:after="60"/>
              <w:jc w:val="center"/>
            </w:pPr>
            <w:r w:rsidRPr="00E07570">
              <w:t>Fond</w:t>
            </w:r>
          </w:p>
        </w:tc>
        <w:tc>
          <w:tcPr>
            <w:tcW w:w="3260" w:type="dxa"/>
            <w:tcBorders>
              <w:right w:val="nil"/>
            </w:tcBorders>
            <w:shd w:val="clear" w:color="auto" w:fill="auto"/>
            <w:vAlign w:val="center"/>
          </w:tcPr>
          <w:p w:rsidR="00CF30E3" w:rsidRPr="00E07570" w:rsidRDefault="00CF30E3" w:rsidP="00CF30E3">
            <w:pPr>
              <w:suppressAutoHyphens w:val="0"/>
              <w:spacing w:before="60" w:after="60"/>
              <w:jc w:val="center"/>
            </w:pPr>
            <w:r w:rsidRPr="00E07570">
              <w:t>Zone extérieure aux zones A, B et C</w:t>
            </w:r>
          </w:p>
        </w:tc>
        <w:tc>
          <w:tcPr>
            <w:tcW w:w="2550" w:type="dxa"/>
            <w:tcBorders>
              <w:left w:val="nil"/>
              <w:bottom w:val="single" w:sz="12" w:space="0" w:color="auto"/>
            </w:tcBorders>
            <w:shd w:val="clear" w:color="auto" w:fill="auto"/>
            <w:vAlign w:val="center"/>
          </w:tcPr>
          <w:p w:rsidR="00CF30E3" w:rsidRPr="00E07570" w:rsidRDefault="00CF30E3" w:rsidP="00CF30E3">
            <w:pPr>
              <w:suppressAutoHyphens w:val="0"/>
              <w:spacing w:before="60" w:after="60"/>
              <w:jc w:val="center"/>
            </w:pPr>
          </w:p>
        </w:tc>
      </w:tr>
    </w:tbl>
    <w:p w:rsidR="000E22C4" w:rsidRPr="00E07570" w:rsidRDefault="000E22C4" w:rsidP="000E22C4">
      <w:pPr>
        <w:pStyle w:val="SingleTxtG"/>
      </w:pPr>
    </w:p>
    <w:p w:rsidR="00C1730C" w:rsidRPr="00E07570" w:rsidRDefault="00292ECF" w:rsidP="00B66E8F">
      <w:pPr>
        <w:spacing w:after="240" w:line="240" w:lineRule="auto"/>
        <w:ind w:left="1134" w:right="1134"/>
      </w:pPr>
      <w:r w:rsidRPr="00E07570">
        <w:rPr>
          <w:noProof/>
          <w:lang w:val="en-GB" w:eastAsia="en-GB"/>
        </w:rPr>
        <mc:AlternateContent>
          <mc:Choice Requires="wps">
            <w:drawing>
              <wp:anchor distT="0" distB="0" distL="114300" distR="114300" simplePos="0" relativeHeight="251678720" behindDoc="0" locked="0" layoutInCell="1" allowOverlap="1" wp14:anchorId="7F7A212F" wp14:editId="0B57FFE3">
                <wp:simplePos x="0" y="0"/>
                <wp:positionH relativeFrom="column">
                  <wp:posOffset>715010</wp:posOffset>
                </wp:positionH>
                <wp:positionV relativeFrom="paragraph">
                  <wp:posOffset>1297940</wp:posOffset>
                </wp:positionV>
                <wp:extent cx="406400" cy="190500"/>
                <wp:effectExtent l="0" t="0" r="12700" b="0"/>
                <wp:wrapNone/>
                <wp:docPr id="5" name="Zone de texte 5"/>
                <wp:cNvGraphicFramePr/>
                <a:graphic xmlns:a="http://schemas.openxmlformats.org/drawingml/2006/main">
                  <a:graphicData uri="http://schemas.microsoft.com/office/word/2010/wordprocessingShape">
                    <wps:wsp>
                      <wps:cNvSpPr txBox="1"/>
                      <wps:spPr>
                        <a:xfrm>
                          <a:off x="0" y="0"/>
                          <a:ext cx="406400"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E4B" w:rsidRPr="00553F3A" w:rsidRDefault="00145E4B" w:rsidP="00C1730C">
                            <w:pPr>
                              <w:rPr>
                                <w:sz w:val="16"/>
                                <w:szCs w:val="16"/>
                              </w:rPr>
                            </w:pPr>
                            <w:r>
                              <w:rPr>
                                <w:sz w:val="16"/>
                                <w:szCs w:val="16"/>
                              </w:rPr>
                              <w:t>Gauche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59" type="#_x0000_t202" style="position:absolute;left:0;text-align:left;margin-left:56.3pt;margin-top:102.2pt;width:32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" filled="f" stroked="f" strokeweight=".5pt">
                <v:textbox inset="0,0,0,0">
                  <w:txbxContent>
                    <w:p w:rsidR="00145E4B" w:rsidRPr="00553F3A" w:rsidRDefault="00145E4B" w:rsidP="00C1730C">
                      <w:pPr>
                        <w:rPr>
                          <w:sz w:val="16"/>
                          <w:szCs w:val="16"/>
                        </w:rPr>
                      </w:pPr>
                      <w:r>
                        <w:rPr>
                          <w:sz w:val="16"/>
                          <w:szCs w:val="16"/>
                        </w:rPr>
                        <w:t>Gauche</w:t>
                      </w:r>
                    </w:p>
                  </w:txbxContent>
                </v:textbox>
              </v:shape>
            </w:pict>
          </mc:Fallback>
        </mc:AlternateContent>
      </w:r>
      <w:r w:rsidRPr="00E07570">
        <w:rPr>
          <w:noProof/>
          <w:lang w:val="en-GB" w:eastAsia="en-GB"/>
        </w:rPr>
        <mc:AlternateContent>
          <mc:Choice Requires="wps">
            <w:drawing>
              <wp:anchor distT="0" distB="0" distL="114300" distR="114300" simplePos="0" relativeHeight="251677696" behindDoc="0" locked="0" layoutInCell="1" allowOverlap="1" wp14:anchorId="4A006C06" wp14:editId="0D3D03BD">
                <wp:simplePos x="0" y="0"/>
                <wp:positionH relativeFrom="column">
                  <wp:posOffset>3096260</wp:posOffset>
                </wp:positionH>
                <wp:positionV relativeFrom="paragraph">
                  <wp:posOffset>1291590</wp:posOffset>
                </wp:positionV>
                <wp:extent cx="412750" cy="222250"/>
                <wp:effectExtent l="0" t="0" r="6350" b="6350"/>
                <wp:wrapNone/>
                <wp:docPr id="9" name="Zone de texte 9"/>
                <wp:cNvGraphicFramePr/>
                <a:graphic xmlns:a="http://schemas.openxmlformats.org/drawingml/2006/main">
                  <a:graphicData uri="http://schemas.microsoft.com/office/word/2010/wordprocessingShape">
                    <wps:wsp>
                      <wps:cNvSpPr txBox="1"/>
                      <wps:spPr>
                        <a:xfrm>
                          <a:off x="0" y="0"/>
                          <a:ext cx="412750"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E4B" w:rsidRPr="00553F3A" w:rsidRDefault="00145E4B" w:rsidP="00C1730C">
                            <w:pPr>
                              <w:jc w:val="center"/>
                              <w:rPr>
                                <w:sz w:val="16"/>
                                <w:szCs w:val="16"/>
                              </w:rPr>
                            </w:pPr>
                            <w:r>
                              <w:rPr>
                                <w:sz w:val="16"/>
                                <w:szCs w:val="16"/>
                              </w:rPr>
                              <w:t>Droite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60" type="#_x0000_t202" style="position:absolute;left:0;text-align:left;margin-left:243.8pt;margin-top:101.7pt;width:32.5pt;height: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" filled="f" stroked="f" strokeweight=".5pt">
                <v:textbox inset="0,0,0,0">
                  <w:txbxContent>
                    <w:p w:rsidR="00145E4B" w:rsidRPr="00553F3A" w:rsidRDefault="00145E4B" w:rsidP="00C1730C">
                      <w:pPr>
                        <w:jc w:val="center"/>
                        <w:rPr>
                          <w:sz w:val="16"/>
                          <w:szCs w:val="16"/>
                        </w:rPr>
                      </w:pPr>
                      <w:r>
                        <w:rPr>
                          <w:sz w:val="16"/>
                          <w:szCs w:val="16"/>
                        </w:rPr>
                        <w:t>Droite</w:t>
                      </w:r>
                    </w:p>
                  </w:txbxContent>
                </v:textbox>
              </v:shape>
            </w:pict>
          </mc:Fallback>
        </mc:AlternateContent>
      </w:r>
      <w:r w:rsidRPr="00E07570">
        <w:rPr>
          <w:noProof/>
          <w:lang w:val="en-GB" w:eastAsia="en-GB"/>
        </w:rPr>
        <mc:AlternateContent>
          <mc:Choice Requires="wps">
            <w:drawing>
              <wp:anchor distT="0" distB="0" distL="114300" distR="114300" simplePos="0" relativeHeight="251681792" behindDoc="0" locked="0" layoutInCell="1" allowOverlap="1" wp14:anchorId="78C5302A" wp14:editId="3FD5B88A">
                <wp:simplePos x="0" y="0"/>
                <wp:positionH relativeFrom="column">
                  <wp:posOffset>2444750</wp:posOffset>
                </wp:positionH>
                <wp:positionV relativeFrom="paragraph">
                  <wp:posOffset>156210</wp:posOffset>
                </wp:positionV>
                <wp:extent cx="723900" cy="299720"/>
                <wp:effectExtent l="0" t="0" r="0" b="5080"/>
                <wp:wrapNone/>
                <wp:docPr id="8" name="Zone de texte 8"/>
                <wp:cNvGraphicFramePr/>
                <a:graphic xmlns:a="http://schemas.openxmlformats.org/drawingml/2006/main">
                  <a:graphicData uri="http://schemas.microsoft.com/office/word/2010/wordprocessingShape">
                    <wps:wsp>
                      <wps:cNvSpPr txBox="1"/>
                      <wps:spPr>
                        <a:xfrm>
                          <a:off x="0" y="0"/>
                          <a:ext cx="723900" cy="299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E4B" w:rsidRPr="00553F3A" w:rsidRDefault="00145E4B" w:rsidP="00C1730C">
                            <w:pPr>
                              <w:spacing w:line="140" w:lineRule="exact"/>
                              <w:rPr>
                                <w:sz w:val="14"/>
                                <w:szCs w:val="14"/>
                              </w:rPr>
                            </w:pPr>
                            <w:r w:rsidRPr="00553F3A">
                              <w:rPr>
                                <w:sz w:val="14"/>
                                <w:szCs w:val="14"/>
                              </w:rPr>
                              <w:t xml:space="preserve">Atténuation : </w:t>
                            </w:r>
                            <w:r w:rsidRPr="00553F3A">
                              <w:rPr>
                                <w:sz w:val="14"/>
                                <w:szCs w:val="14"/>
                              </w:rPr>
                              <w:br/>
                              <w:t>x</w:t>
                            </w:r>
                            <w:r w:rsidRPr="00141506">
                              <w:rPr>
                                <w:sz w:val="14"/>
                                <w:szCs w:val="14"/>
                                <w:vertAlign w:val="subscript"/>
                              </w:rPr>
                              <w:t>3</w:t>
                            </w:r>
                            <w:r w:rsidRPr="00553F3A">
                              <w:rPr>
                                <w:sz w:val="14"/>
                                <w:szCs w:val="14"/>
                              </w:rPr>
                              <w:t> 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61" type="#_x0000_t202" style="position:absolute;left:0;text-align:left;margin-left:192.5pt;margin-top:12.3pt;width:57pt;height:2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" filled="f" stroked="f" strokeweight=".5pt">
                <v:textbox>
                  <w:txbxContent>
                    <w:p w:rsidR="00145E4B" w:rsidRPr="00553F3A" w:rsidRDefault="00145E4B" w:rsidP="00C1730C">
                      <w:pPr>
                        <w:spacing w:line="140" w:lineRule="exact"/>
                        <w:rPr>
                          <w:sz w:val="14"/>
                          <w:szCs w:val="14"/>
                        </w:rPr>
                      </w:pPr>
                      <w:r w:rsidRPr="00553F3A">
                        <w:rPr>
                          <w:sz w:val="14"/>
                          <w:szCs w:val="14"/>
                        </w:rPr>
                        <w:t xml:space="preserve">Atténuation : </w:t>
                      </w:r>
                      <w:r w:rsidRPr="00553F3A">
                        <w:rPr>
                          <w:sz w:val="14"/>
                          <w:szCs w:val="14"/>
                        </w:rPr>
                        <w:br/>
                        <w:t>x</w:t>
                      </w:r>
                      <w:r w:rsidRPr="00141506">
                        <w:rPr>
                          <w:sz w:val="14"/>
                          <w:szCs w:val="14"/>
                          <w:vertAlign w:val="subscript"/>
                        </w:rPr>
                        <w:t>3</w:t>
                      </w:r>
                      <w:r w:rsidRPr="00553F3A">
                        <w:rPr>
                          <w:sz w:val="14"/>
                          <w:szCs w:val="14"/>
                        </w:rPr>
                        <w:t> dB</w:t>
                      </w:r>
                    </w:p>
                  </w:txbxContent>
                </v:textbox>
              </v:shape>
            </w:pict>
          </mc:Fallback>
        </mc:AlternateContent>
      </w:r>
      <w:r w:rsidRPr="00E07570">
        <w:rPr>
          <w:noProof/>
          <w:lang w:val="en-GB" w:eastAsia="en-GB"/>
        </w:rPr>
        <mc:AlternateContent>
          <mc:Choice Requires="wps">
            <w:drawing>
              <wp:anchor distT="0" distB="0" distL="114300" distR="114300" simplePos="0" relativeHeight="251680768" behindDoc="0" locked="0" layoutInCell="1" allowOverlap="1" wp14:anchorId="05155496" wp14:editId="1E5AB8CA">
                <wp:simplePos x="0" y="0"/>
                <wp:positionH relativeFrom="column">
                  <wp:posOffset>1130935</wp:posOffset>
                </wp:positionH>
                <wp:positionV relativeFrom="paragraph">
                  <wp:posOffset>354965</wp:posOffset>
                </wp:positionV>
                <wp:extent cx="723900" cy="299720"/>
                <wp:effectExtent l="0" t="0" r="0" b="5080"/>
                <wp:wrapNone/>
                <wp:docPr id="7" name="Zone de texte 7"/>
                <wp:cNvGraphicFramePr/>
                <a:graphic xmlns:a="http://schemas.openxmlformats.org/drawingml/2006/main">
                  <a:graphicData uri="http://schemas.microsoft.com/office/word/2010/wordprocessingShape">
                    <wps:wsp>
                      <wps:cNvSpPr txBox="1"/>
                      <wps:spPr>
                        <a:xfrm>
                          <a:off x="0" y="0"/>
                          <a:ext cx="723900" cy="299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E4B" w:rsidRPr="00553F3A" w:rsidRDefault="00145E4B" w:rsidP="00C1730C">
                            <w:pPr>
                              <w:spacing w:line="140" w:lineRule="exact"/>
                              <w:rPr>
                                <w:sz w:val="14"/>
                                <w:szCs w:val="14"/>
                              </w:rPr>
                            </w:pPr>
                            <w:r w:rsidRPr="00553F3A">
                              <w:rPr>
                                <w:sz w:val="14"/>
                                <w:szCs w:val="14"/>
                              </w:rPr>
                              <w:t xml:space="preserve">Atténuation : </w:t>
                            </w:r>
                            <w:r w:rsidRPr="00553F3A">
                              <w:rPr>
                                <w:sz w:val="14"/>
                                <w:szCs w:val="14"/>
                              </w:rPr>
                              <w:br/>
                              <w:t>x</w:t>
                            </w:r>
                            <w:r w:rsidRPr="00141506">
                              <w:rPr>
                                <w:sz w:val="14"/>
                                <w:szCs w:val="14"/>
                                <w:vertAlign w:val="subscript"/>
                              </w:rPr>
                              <w:t>2</w:t>
                            </w:r>
                            <w:r w:rsidRPr="00553F3A">
                              <w:rPr>
                                <w:sz w:val="14"/>
                                <w:szCs w:val="14"/>
                              </w:rPr>
                              <w:t> 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 o:spid="_x0000_s1062" type="#_x0000_t202" style="position:absolute;left:0;text-align:left;margin-left:89.05pt;margin-top:27.95pt;width:57pt;height:2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" filled="f" stroked="f" strokeweight=".5pt">
                <v:textbox>
                  <w:txbxContent>
                    <w:p w:rsidR="00145E4B" w:rsidRPr="00553F3A" w:rsidRDefault="00145E4B" w:rsidP="00C1730C">
                      <w:pPr>
                        <w:spacing w:line="140" w:lineRule="exact"/>
                        <w:rPr>
                          <w:sz w:val="14"/>
                          <w:szCs w:val="14"/>
                        </w:rPr>
                      </w:pPr>
                      <w:r w:rsidRPr="00553F3A">
                        <w:rPr>
                          <w:sz w:val="14"/>
                          <w:szCs w:val="14"/>
                        </w:rPr>
                        <w:t xml:space="preserve">Atténuation : </w:t>
                      </w:r>
                      <w:r w:rsidRPr="00553F3A">
                        <w:rPr>
                          <w:sz w:val="14"/>
                          <w:szCs w:val="14"/>
                        </w:rPr>
                        <w:br/>
                        <w:t>x</w:t>
                      </w:r>
                      <w:r w:rsidRPr="00141506">
                        <w:rPr>
                          <w:sz w:val="14"/>
                          <w:szCs w:val="14"/>
                          <w:vertAlign w:val="subscript"/>
                        </w:rPr>
                        <w:t>2</w:t>
                      </w:r>
                      <w:r w:rsidRPr="00553F3A">
                        <w:rPr>
                          <w:sz w:val="14"/>
                          <w:szCs w:val="14"/>
                        </w:rPr>
                        <w:t> dB</w:t>
                      </w:r>
                    </w:p>
                  </w:txbxContent>
                </v:textbox>
              </v:shape>
            </w:pict>
          </mc:Fallback>
        </mc:AlternateContent>
      </w:r>
      <w:r w:rsidRPr="00E07570">
        <w:rPr>
          <w:noProof/>
          <w:lang w:val="en-GB" w:eastAsia="en-GB"/>
        </w:rPr>
        <mc:AlternateContent>
          <mc:Choice Requires="wps">
            <w:drawing>
              <wp:anchor distT="0" distB="0" distL="114300" distR="114300" simplePos="0" relativeHeight="251679744" behindDoc="0" locked="0" layoutInCell="1" allowOverlap="1" wp14:anchorId="196FDD00" wp14:editId="737E04A4">
                <wp:simplePos x="0" y="0"/>
                <wp:positionH relativeFrom="column">
                  <wp:posOffset>1126490</wp:posOffset>
                </wp:positionH>
                <wp:positionV relativeFrom="paragraph">
                  <wp:posOffset>136525</wp:posOffset>
                </wp:positionV>
                <wp:extent cx="723900" cy="299720"/>
                <wp:effectExtent l="0" t="0" r="0" b="5080"/>
                <wp:wrapNone/>
                <wp:docPr id="6" name="Zone de texte 6"/>
                <wp:cNvGraphicFramePr/>
                <a:graphic xmlns:a="http://schemas.openxmlformats.org/drawingml/2006/main">
                  <a:graphicData uri="http://schemas.microsoft.com/office/word/2010/wordprocessingShape">
                    <wps:wsp>
                      <wps:cNvSpPr txBox="1"/>
                      <wps:spPr>
                        <a:xfrm>
                          <a:off x="0" y="0"/>
                          <a:ext cx="723900" cy="299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E4B" w:rsidRPr="00553F3A" w:rsidRDefault="00145E4B" w:rsidP="00C1730C">
                            <w:pPr>
                              <w:spacing w:line="140" w:lineRule="exact"/>
                              <w:rPr>
                                <w:sz w:val="14"/>
                                <w:szCs w:val="14"/>
                              </w:rPr>
                            </w:pPr>
                            <w:r w:rsidRPr="00553F3A">
                              <w:rPr>
                                <w:sz w:val="14"/>
                                <w:szCs w:val="14"/>
                              </w:rPr>
                              <w:t xml:space="preserve">Atténuation : </w:t>
                            </w:r>
                            <w:r w:rsidRPr="00553F3A">
                              <w:rPr>
                                <w:sz w:val="14"/>
                                <w:szCs w:val="14"/>
                              </w:rPr>
                              <w:br/>
                              <w:t>x</w:t>
                            </w:r>
                            <w:r w:rsidRPr="00553F3A">
                              <w:rPr>
                                <w:sz w:val="14"/>
                                <w:szCs w:val="14"/>
                                <w:vertAlign w:val="subscript"/>
                              </w:rPr>
                              <w:t>1</w:t>
                            </w:r>
                            <w:r w:rsidRPr="00553F3A">
                              <w:rPr>
                                <w:sz w:val="14"/>
                                <w:szCs w:val="14"/>
                              </w:rPr>
                              <w:t> 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63" type="#_x0000_t202" style="position:absolute;left:0;text-align:left;margin-left:88.7pt;margin-top:10.75pt;width:57pt;height:2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" filled="f" stroked="f" strokeweight=".5pt">
                <v:textbox>
                  <w:txbxContent>
                    <w:p w:rsidR="00145E4B" w:rsidRPr="00553F3A" w:rsidRDefault="00145E4B" w:rsidP="00C1730C">
                      <w:pPr>
                        <w:spacing w:line="140" w:lineRule="exact"/>
                        <w:rPr>
                          <w:sz w:val="14"/>
                          <w:szCs w:val="14"/>
                        </w:rPr>
                      </w:pPr>
                      <w:r w:rsidRPr="00553F3A">
                        <w:rPr>
                          <w:sz w:val="14"/>
                          <w:szCs w:val="14"/>
                        </w:rPr>
                        <w:t xml:space="preserve">Atténuation : </w:t>
                      </w:r>
                      <w:r w:rsidRPr="00553F3A">
                        <w:rPr>
                          <w:sz w:val="14"/>
                          <w:szCs w:val="14"/>
                        </w:rPr>
                        <w:br/>
                        <w:t>x</w:t>
                      </w:r>
                      <w:r w:rsidRPr="00553F3A">
                        <w:rPr>
                          <w:sz w:val="14"/>
                          <w:szCs w:val="14"/>
                          <w:vertAlign w:val="subscript"/>
                        </w:rPr>
                        <w:t>1</w:t>
                      </w:r>
                      <w:r w:rsidRPr="00553F3A">
                        <w:rPr>
                          <w:sz w:val="14"/>
                          <w:szCs w:val="14"/>
                        </w:rPr>
                        <w:t> dB</w:t>
                      </w:r>
                    </w:p>
                  </w:txbxContent>
                </v:textbox>
              </v:shape>
            </w:pict>
          </mc:Fallback>
        </mc:AlternateContent>
      </w:r>
      <w:r w:rsidRPr="00E07570">
        <w:rPr>
          <w:noProof/>
          <w:lang w:val="en-GB" w:eastAsia="en-GB"/>
        </w:rPr>
        <mc:AlternateContent>
          <mc:Choice Requires="wps">
            <w:drawing>
              <wp:anchor distT="0" distB="0" distL="114300" distR="114300" simplePos="0" relativeHeight="251676672" behindDoc="0" locked="0" layoutInCell="1" allowOverlap="1" wp14:anchorId="4484F7E5" wp14:editId="3C26F0D2">
                <wp:simplePos x="0" y="0"/>
                <wp:positionH relativeFrom="column">
                  <wp:posOffset>1746885</wp:posOffset>
                </wp:positionH>
                <wp:positionV relativeFrom="paragraph">
                  <wp:posOffset>2359660</wp:posOffset>
                </wp:positionV>
                <wp:extent cx="606425" cy="27686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606425"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E4B" w:rsidRPr="00553F3A" w:rsidRDefault="00145E4B" w:rsidP="00C1730C">
                            <w:pPr>
                              <w:jc w:val="center"/>
                              <w:rPr>
                                <w:sz w:val="16"/>
                                <w:szCs w:val="16"/>
                              </w:rPr>
                            </w:pPr>
                            <w:r w:rsidRPr="00553F3A">
                              <w:rPr>
                                <w:sz w:val="16"/>
                                <w:szCs w:val="16"/>
                              </w:rPr>
                              <w:t>A</w:t>
                            </w:r>
                            <w:r>
                              <w:rPr>
                                <w:sz w:val="16"/>
                                <w:szCs w:val="16"/>
                              </w:rPr>
                              <w:t>rrière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64" type="#_x0000_t202" style="position:absolute;left:0;text-align:left;margin-left:137.55pt;margin-top:185.8pt;width:47.75pt;height:2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" filled="f" stroked="f" strokeweight=".5pt">
                <v:textbox>
                  <w:txbxContent>
                    <w:p w:rsidR="00145E4B" w:rsidRPr="00553F3A" w:rsidRDefault="00145E4B" w:rsidP="00C1730C">
                      <w:pPr>
                        <w:jc w:val="center"/>
                        <w:rPr>
                          <w:sz w:val="16"/>
                          <w:szCs w:val="16"/>
                        </w:rPr>
                      </w:pPr>
                      <w:r w:rsidRPr="00553F3A">
                        <w:rPr>
                          <w:sz w:val="16"/>
                          <w:szCs w:val="16"/>
                        </w:rPr>
                        <w:t>A</w:t>
                      </w:r>
                      <w:r>
                        <w:rPr>
                          <w:sz w:val="16"/>
                          <w:szCs w:val="16"/>
                        </w:rPr>
                        <w:t>rrière</w:t>
                      </w:r>
                    </w:p>
                  </w:txbxContent>
                </v:textbox>
              </v:shape>
            </w:pict>
          </mc:Fallback>
        </mc:AlternateContent>
      </w:r>
      <w:r w:rsidRPr="00E07570">
        <w:rPr>
          <w:noProof/>
          <w:lang w:val="en-GB" w:eastAsia="en-GB"/>
        </w:rPr>
        <mc:AlternateContent>
          <mc:Choice Requires="wps">
            <w:drawing>
              <wp:anchor distT="0" distB="0" distL="114300" distR="114300" simplePos="0" relativeHeight="251675648" behindDoc="0" locked="0" layoutInCell="1" allowOverlap="1" wp14:anchorId="3CF17FF5" wp14:editId="17C6A16A">
                <wp:simplePos x="0" y="0"/>
                <wp:positionH relativeFrom="column">
                  <wp:posOffset>1742440</wp:posOffset>
                </wp:positionH>
                <wp:positionV relativeFrom="paragraph">
                  <wp:posOffset>106045</wp:posOffset>
                </wp:positionV>
                <wp:extent cx="606425" cy="276860"/>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606425"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E4B" w:rsidRPr="00553F3A" w:rsidRDefault="00145E4B" w:rsidP="00C1730C">
                            <w:pPr>
                              <w:jc w:val="center"/>
                              <w:rPr>
                                <w:sz w:val="16"/>
                                <w:szCs w:val="16"/>
                              </w:rPr>
                            </w:pPr>
                            <w:r w:rsidRPr="00553F3A">
                              <w:rPr>
                                <w:sz w:val="16"/>
                                <w:szCs w:val="16"/>
                              </w:rPr>
                              <w:t>Avant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65" type="#_x0000_t202" style="position:absolute;left:0;text-align:left;margin-left:137.2pt;margin-top:8.35pt;width:47.75pt;height:2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" filled="f" stroked="f" strokeweight=".5pt">
                <v:textbox>
                  <w:txbxContent>
                    <w:p w:rsidR="00145E4B" w:rsidRPr="00553F3A" w:rsidRDefault="00145E4B" w:rsidP="00C1730C">
                      <w:pPr>
                        <w:jc w:val="center"/>
                        <w:rPr>
                          <w:sz w:val="16"/>
                          <w:szCs w:val="16"/>
                        </w:rPr>
                      </w:pPr>
                      <w:r w:rsidRPr="00553F3A">
                        <w:rPr>
                          <w:sz w:val="16"/>
                          <w:szCs w:val="16"/>
                        </w:rPr>
                        <w:t>Avant</w:t>
                      </w:r>
                    </w:p>
                  </w:txbxContent>
                </v:textbox>
              </v:shape>
            </w:pict>
          </mc:Fallback>
        </mc:AlternateContent>
      </w:r>
      <w:r w:rsidR="00C1730C" w:rsidRPr="00E07570">
        <w:rPr>
          <w:noProof/>
          <w:lang w:val="en-GB" w:eastAsia="en-GB"/>
        </w:rPr>
        <w:drawing>
          <wp:inline distT="0" distB="0" distL="0" distR="0" wp14:anchorId="3A2B16F5" wp14:editId="221C785E">
            <wp:extent cx="2880883" cy="2660650"/>
            <wp:effectExtent l="0" t="0" r="0" b="635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3">
                      <a:extLst>
                        <a:ext uri="{28A0092B-C50C-407E-A947-70E740481C1C}">
                          <a14:useLocalDpi xmlns:a14="http://schemas.microsoft.com/office/drawing/2010/main" val="0"/>
                        </a:ext>
                      </a:extLst>
                    </a:blip>
                    <a:srcRect b="4556"/>
                    <a:stretch/>
                  </pic:blipFill>
                  <pic:spPr bwMode="auto">
                    <a:xfrm>
                      <a:off x="0" y="0"/>
                      <a:ext cx="2880000" cy="2659835"/>
                    </a:xfrm>
                    <a:prstGeom prst="rect">
                      <a:avLst/>
                    </a:prstGeom>
                    <a:noFill/>
                    <a:ln>
                      <a:noFill/>
                    </a:ln>
                    <a:extLst>
                      <a:ext uri="{53640926-AAD7-44D8-BBD7-CCE9431645EC}">
                        <a14:shadowObscured xmlns:a14="http://schemas.microsoft.com/office/drawing/2010/main"/>
                      </a:ext>
                    </a:extLst>
                  </pic:spPr>
                </pic:pic>
              </a:graphicData>
            </a:graphic>
          </wp:inline>
        </w:drawing>
      </w:r>
    </w:p>
    <w:p w:rsidR="00B66E8F" w:rsidRPr="00E07570" w:rsidRDefault="00B66E8F" w:rsidP="00B66E8F">
      <w:pPr>
        <w:pStyle w:val="SingleTxtG"/>
      </w:pPr>
      <w:r w:rsidRPr="00E07570">
        <w:t>Diagramme d</w:t>
      </w:r>
      <w:r w:rsidR="00145E4B">
        <w:t>’</w:t>
      </w:r>
      <w:r w:rsidRPr="00E07570">
        <w:t>atténuation en mode « canyon urbain »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3998"/>
      </w:tblGrid>
      <w:tr w:rsidR="00B66E8F" w:rsidRPr="00E07570" w:rsidTr="008A69D3">
        <w:trPr>
          <w:trHeight w:val="269"/>
        </w:trPr>
        <w:tc>
          <w:tcPr>
            <w:tcW w:w="680" w:type="dxa"/>
            <w:tcBorders>
              <w:bottom w:val="single" w:sz="4" w:space="0" w:color="auto"/>
            </w:tcBorders>
            <w:shd w:val="clear" w:color="auto" w:fill="99FF99"/>
          </w:tcPr>
          <w:p w:rsidR="00B66E8F" w:rsidRPr="00E07570" w:rsidRDefault="00B66E8F" w:rsidP="00B66E8F">
            <w:pPr>
              <w:spacing w:before="60" w:after="60"/>
              <w:jc w:val="center"/>
            </w:pPr>
          </w:p>
        </w:tc>
        <w:tc>
          <w:tcPr>
            <w:tcW w:w="3998" w:type="dxa"/>
            <w:shd w:val="clear" w:color="auto" w:fill="auto"/>
          </w:tcPr>
          <w:p w:rsidR="00B66E8F" w:rsidRPr="00E07570" w:rsidRDefault="00B66E8F" w:rsidP="00B66E8F">
            <w:pPr>
              <w:spacing w:before="60" w:after="60"/>
            </w:pPr>
            <w:r w:rsidRPr="00E07570">
              <w:t>0 dB</w:t>
            </w:r>
          </w:p>
        </w:tc>
      </w:tr>
      <w:tr w:rsidR="00B66E8F" w:rsidRPr="00E07570" w:rsidTr="008A69D3">
        <w:trPr>
          <w:trHeight w:val="266"/>
        </w:trPr>
        <w:tc>
          <w:tcPr>
            <w:tcW w:w="680" w:type="dxa"/>
            <w:tcBorders>
              <w:bottom w:val="single" w:sz="4" w:space="0" w:color="auto"/>
            </w:tcBorders>
            <w:shd w:val="clear" w:color="auto" w:fill="FFFF99"/>
          </w:tcPr>
          <w:p w:rsidR="00B66E8F" w:rsidRPr="00E07570" w:rsidRDefault="00B66E8F" w:rsidP="00B66E8F">
            <w:pPr>
              <w:spacing w:before="60" w:after="60"/>
              <w:jc w:val="center"/>
            </w:pPr>
            <w:r w:rsidRPr="00E07570">
              <w:t>B</w:t>
            </w:r>
          </w:p>
        </w:tc>
        <w:tc>
          <w:tcPr>
            <w:tcW w:w="3998" w:type="dxa"/>
            <w:shd w:val="clear" w:color="auto" w:fill="auto"/>
          </w:tcPr>
          <w:p w:rsidR="00B66E8F" w:rsidRPr="00E07570" w:rsidRDefault="00B66E8F" w:rsidP="00B66E8F">
            <w:pPr>
              <w:spacing w:before="60" w:after="60"/>
            </w:pPr>
            <w:r w:rsidRPr="00E07570">
              <w:t>-40 dB</w:t>
            </w:r>
          </w:p>
        </w:tc>
      </w:tr>
      <w:tr w:rsidR="00B66E8F" w:rsidRPr="00E07570" w:rsidTr="008A69D3">
        <w:trPr>
          <w:trHeight w:val="266"/>
        </w:trPr>
        <w:tc>
          <w:tcPr>
            <w:tcW w:w="680" w:type="dxa"/>
            <w:tcBorders>
              <w:bottom w:val="single" w:sz="4" w:space="0" w:color="auto"/>
            </w:tcBorders>
            <w:shd w:val="clear" w:color="auto" w:fill="FFFF99"/>
          </w:tcPr>
          <w:p w:rsidR="00B66E8F" w:rsidRPr="00E07570" w:rsidRDefault="00B66E8F" w:rsidP="00B66E8F">
            <w:pPr>
              <w:spacing w:before="60" w:after="60"/>
              <w:jc w:val="center"/>
            </w:pPr>
            <w:r w:rsidRPr="00E07570">
              <w:t>C</w:t>
            </w:r>
          </w:p>
        </w:tc>
        <w:tc>
          <w:tcPr>
            <w:tcW w:w="3998" w:type="dxa"/>
            <w:shd w:val="clear" w:color="auto" w:fill="auto"/>
          </w:tcPr>
          <w:p w:rsidR="00B66E8F" w:rsidRPr="00E07570" w:rsidRDefault="00B66E8F" w:rsidP="00B66E8F">
            <w:pPr>
              <w:spacing w:before="60" w:after="60"/>
            </w:pPr>
            <w:r w:rsidRPr="00E07570">
              <w:t>-40 dB</w:t>
            </w:r>
          </w:p>
        </w:tc>
      </w:tr>
      <w:tr w:rsidR="00B66E8F" w:rsidRPr="00E07570" w:rsidTr="008A69D3">
        <w:trPr>
          <w:trHeight w:val="266"/>
        </w:trPr>
        <w:tc>
          <w:tcPr>
            <w:tcW w:w="680" w:type="dxa"/>
            <w:shd w:val="clear" w:color="auto" w:fill="FFCCCC"/>
          </w:tcPr>
          <w:p w:rsidR="00B66E8F" w:rsidRPr="00E07570" w:rsidRDefault="00B66E8F" w:rsidP="00B66E8F">
            <w:pPr>
              <w:spacing w:before="60" w:after="60"/>
              <w:jc w:val="center"/>
            </w:pPr>
            <w:r w:rsidRPr="00E07570">
              <w:t>A</w:t>
            </w:r>
          </w:p>
        </w:tc>
        <w:tc>
          <w:tcPr>
            <w:tcW w:w="3998" w:type="dxa"/>
            <w:shd w:val="clear" w:color="auto" w:fill="auto"/>
          </w:tcPr>
          <w:p w:rsidR="00B66E8F" w:rsidRPr="00E07570" w:rsidRDefault="00B66E8F" w:rsidP="00B66E8F">
            <w:pPr>
              <w:spacing w:before="60" w:after="60"/>
            </w:pPr>
            <w:r w:rsidRPr="00E07570">
              <w:t xml:space="preserve">-100 dB ou coupure du signal </w:t>
            </w:r>
          </w:p>
        </w:tc>
      </w:tr>
    </w:tbl>
    <w:p w:rsidR="00E26107" w:rsidRPr="00E07570" w:rsidRDefault="00E26107" w:rsidP="00E26107">
      <w:pPr>
        <w:pStyle w:val="SingleTxtG"/>
        <w:spacing w:before="240"/>
        <w:ind w:left="2268" w:hanging="1134"/>
      </w:pPr>
      <w:r w:rsidRPr="00E07570">
        <w:t>2.4.2</w:t>
      </w:r>
      <w:r w:rsidRPr="00E07570">
        <w:tab/>
        <w:t>Les résultats de l</w:t>
      </w:r>
      <w:r w:rsidR="00145E4B">
        <w:t>’</w:t>
      </w:r>
      <w:r w:rsidRPr="00E07570">
        <w:t>essai sont considérés comme satisfaisants si au moins une des deux conditions ci-dessous est remplie :</w:t>
      </w:r>
    </w:p>
    <w:p w:rsidR="00E26107" w:rsidRPr="00E07570" w:rsidRDefault="00E26107" w:rsidP="00E26107">
      <w:pPr>
        <w:pStyle w:val="SingleTxtG"/>
        <w:ind w:left="2835" w:hanging="567"/>
      </w:pPr>
      <w:r w:rsidRPr="00E07570">
        <w:t>a)</w:t>
      </w:r>
      <w:r w:rsidRPr="00E07570">
        <w:tab/>
        <w:t>Les erreurs de position horizontale obtenues à l</w:t>
      </w:r>
      <w:r w:rsidR="00145E4B">
        <w:t>’</w:t>
      </w:r>
      <w:r w:rsidRPr="00E07570">
        <w:t>aide de la formule (6) pour tous les échantillons d</w:t>
      </w:r>
      <w:r w:rsidR="00145E4B">
        <w:t>’</w:t>
      </w:r>
      <w:r w:rsidRPr="00E07570">
        <w:t>AECD ne dépassent pas 40 m en mode « canyon urbain » pour tous les scénarios de simulation ; ou</w:t>
      </w:r>
    </w:p>
    <w:p w:rsidR="00E26107" w:rsidRPr="00E07570" w:rsidRDefault="00E26107" w:rsidP="00E26107">
      <w:pPr>
        <w:pStyle w:val="SingleTxtG"/>
        <w:ind w:left="2835" w:hanging="567"/>
      </w:pPr>
      <w:r w:rsidRPr="00E07570">
        <w:t>b)</w:t>
      </w:r>
      <w:r w:rsidRPr="00E07570">
        <w:tab/>
        <w:t>Les erreurs linéaires de toutes les mesures obtenues à l</w:t>
      </w:r>
      <w:r w:rsidR="00145E4B">
        <w:t>’</w:t>
      </w:r>
      <w:r w:rsidRPr="00E07570">
        <w:t>aide de la formule (7) pour tous les échantillons d</w:t>
      </w:r>
      <w:r w:rsidR="00145E4B">
        <w:t>’</w:t>
      </w:r>
      <w:r w:rsidRPr="00E07570">
        <w:t>AECD/AECS ne dépassent pas 40 m en mode « ciel ouvert » pour tous les scénarios de simulation et au moins 95 % de toutes les mesures.</w:t>
      </w:r>
    </w:p>
    <w:p w:rsidR="00E26107" w:rsidRPr="00E07570" w:rsidRDefault="00E26107" w:rsidP="00E26107">
      <w:pPr>
        <w:pStyle w:val="SingleTxtG"/>
        <w:ind w:left="2268" w:hanging="1134"/>
      </w:pPr>
      <w:r w:rsidRPr="00E07570">
        <w:t>2.5</w:t>
      </w:r>
      <w:r w:rsidRPr="00E07570">
        <w:tab/>
        <w:t>Délai de premier positionnement à froid</w:t>
      </w:r>
    </w:p>
    <w:p w:rsidR="00E26107" w:rsidRPr="00E07570" w:rsidRDefault="00E26107" w:rsidP="00E26107">
      <w:pPr>
        <w:pStyle w:val="SingleTxtG"/>
        <w:ind w:left="2268" w:hanging="1134"/>
      </w:pPr>
      <w:r w:rsidRPr="00E07570">
        <w:t>2.5.1</w:t>
      </w:r>
      <w:r w:rsidRPr="00E07570">
        <w:tab/>
        <w:t>Préparer et allumer l</w:t>
      </w:r>
      <w:r w:rsidR="00145E4B">
        <w:t>’</w:t>
      </w:r>
      <w:r w:rsidRPr="00E07570">
        <w:t>AECD/AECS. À l</w:t>
      </w:r>
      <w:r w:rsidR="00145E4B">
        <w:t>’</w:t>
      </w:r>
      <w:r w:rsidRPr="00E07570">
        <w:t>aide du logiciel fourni par le fabricant, s</w:t>
      </w:r>
      <w:r w:rsidR="00145E4B">
        <w:t>’</w:t>
      </w:r>
      <w:r w:rsidRPr="00E07570">
        <w:t xml:space="preserve">assurer que le module GNSS est réglé pour recevoir les signaux des systèmes GLONASS, </w:t>
      </w:r>
      <w:r w:rsidR="002B669D" w:rsidRPr="00E07570">
        <w:t>Galileo</w:t>
      </w:r>
      <w:r w:rsidRPr="00E07570">
        <w:t xml:space="preserve"> et GPS.</w:t>
      </w:r>
    </w:p>
    <w:p w:rsidR="00E26107" w:rsidRPr="00E07570" w:rsidRDefault="00E26107" w:rsidP="00E26107">
      <w:pPr>
        <w:pStyle w:val="SingleTxtG"/>
        <w:ind w:left="2268" w:hanging="1134"/>
      </w:pPr>
      <w:r w:rsidRPr="00E07570">
        <w:t>2.5.2</w:t>
      </w:r>
      <w:r w:rsidRPr="00E07570">
        <w:tab/>
        <w:t>Supprimer du récepteur GNSS toutes les données concernant la position, la vitesse, le temps, le calendrier et les éphémérides.</w:t>
      </w:r>
    </w:p>
    <w:p w:rsidR="00E26107" w:rsidRPr="00E07570" w:rsidRDefault="00E26107" w:rsidP="00610435">
      <w:pPr>
        <w:pStyle w:val="SingleTxtG"/>
        <w:ind w:left="2268" w:hanging="1134"/>
      </w:pPr>
      <w:r w:rsidRPr="00E07570">
        <w:t>2.5.3</w:t>
      </w:r>
      <w:r w:rsidRPr="00E07570">
        <w:tab/>
        <w:t>Régler le simulateur à l</w:t>
      </w:r>
      <w:r w:rsidR="00145E4B">
        <w:t>’</w:t>
      </w:r>
      <w:r w:rsidRPr="00E07570">
        <w:t>aide du mode d</w:t>
      </w:r>
      <w:r w:rsidR="00145E4B">
        <w:t>’</w:t>
      </w:r>
      <w:r w:rsidRPr="00E07570">
        <w:t>emploi. Initialiser le simulateur à l</w:t>
      </w:r>
      <w:r w:rsidR="00145E4B">
        <w:t>’</w:t>
      </w:r>
      <w:r w:rsidRPr="00E07570">
        <w:t>aide des paramètres indiqués dans le tableau </w:t>
      </w:r>
      <w:r w:rsidRPr="00E07570">
        <w:rPr>
          <w:b/>
        </w:rPr>
        <w:t>6</w:t>
      </w:r>
      <w:r w:rsidRPr="00E07570">
        <w:t xml:space="preserve"> pour les signaux des systèmes GLONASS, </w:t>
      </w:r>
      <w:r w:rsidR="002B669D" w:rsidRPr="00E07570">
        <w:t>Galileo</w:t>
      </w:r>
      <w:r w:rsidRPr="00E07570">
        <w:t xml:space="preserve"> et GPS dont le niveau de signal est de -130 dBm.</w:t>
      </w:r>
    </w:p>
    <w:p w:rsidR="00E26107" w:rsidRPr="00E07570" w:rsidRDefault="00E26107" w:rsidP="00610435">
      <w:pPr>
        <w:pStyle w:val="SingleTxtG"/>
        <w:ind w:left="2268" w:hanging="1134"/>
      </w:pPr>
      <w:r w:rsidRPr="00E07570">
        <w:t>2.5.4</w:t>
      </w:r>
      <w:r w:rsidRPr="00E07570">
        <w:tab/>
        <w:t>À l</w:t>
      </w:r>
      <w:r w:rsidR="00145E4B">
        <w:t>’</w:t>
      </w:r>
      <w:r w:rsidRPr="00E07570">
        <w:t>aide d</w:t>
      </w:r>
      <w:r w:rsidR="00145E4B">
        <w:t>’</w:t>
      </w:r>
      <w:r w:rsidRPr="00E07570">
        <w:t>un chronomètre, mesurer les intervalles entre le début de la simulation des signaux et les premiers résultats de la solution de navigation.</w:t>
      </w:r>
    </w:p>
    <w:p w:rsidR="00E26107" w:rsidRPr="00E07570" w:rsidRDefault="00E26107" w:rsidP="00610435">
      <w:pPr>
        <w:pStyle w:val="SingleTxtG"/>
        <w:ind w:left="2268" w:hanging="1134"/>
      </w:pPr>
      <w:r w:rsidRPr="00E07570">
        <w:t>2.5.5</w:t>
      </w:r>
      <w:r w:rsidRPr="00E07570">
        <w:tab/>
        <w:t>Effectuer la procédure d</w:t>
      </w:r>
      <w:r w:rsidR="00145E4B">
        <w:t>’</w:t>
      </w:r>
      <w:r w:rsidRPr="00E07570">
        <w:t>essai conformément aux paragraphes 2.5.2 à 2.5.4, au moins à 10 reprises.</w:t>
      </w:r>
    </w:p>
    <w:p w:rsidR="00E26107" w:rsidRPr="00E07570" w:rsidRDefault="00E26107" w:rsidP="00610435">
      <w:pPr>
        <w:pStyle w:val="SingleTxtG"/>
        <w:ind w:left="2268" w:hanging="1134"/>
      </w:pPr>
      <w:r w:rsidRPr="00E07570">
        <w:t>2.5.6</w:t>
      </w:r>
      <w:r w:rsidRPr="00E07570">
        <w:tab/>
        <w:t>Calculer le délai de premier positionnement à froid à l</w:t>
      </w:r>
      <w:r w:rsidR="00145E4B">
        <w:t>’</w:t>
      </w:r>
      <w:r w:rsidRPr="00E07570">
        <w:t>aide des mesures relevées pour les échantillons AECD/AECS fournis pour l</w:t>
      </w:r>
      <w:r w:rsidR="00145E4B">
        <w:t>’</w:t>
      </w:r>
      <w:r w:rsidRPr="00E07570">
        <w:t>essai.</w:t>
      </w:r>
    </w:p>
    <w:p w:rsidR="00E26107" w:rsidRPr="00E07570" w:rsidRDefault="00E26107" w:rsidP="00610435">
      <w:pPr>
        <w:pStyle w:val="SingleTxtG"/>
        <w:ind w:left="2268" w:hanging="1134"/>
      </w:pPr>
      <w:r w:rsidRPr="00E07570">
        <w:t>2.5.7</w:t>
      </w:r>
      <w:r w:rsidRPr="00E07570">
        <w:tab/>
        <w:t>L</w:t>
      </w:r>
      <w:r w:rsidR="00145E4B">
        <w:t>’</w:t>
      </w:r>
      <w:r w:rsidRPr="00E07570">
        <w:t>essai est considéré comme réussi si les valeurs moyennes du délai de premier positionnement, calculées conformément aux prescriptions du paragraphe 2.5.6, ne dépassent pas 60 s pour un niveau de signal pouvant atteindre -130</w:t>
      </w:r>
      <w:r w:rsidR="00E427CC" w:rsidRPr="00E07570">
        <w:t> </w:t>
      </w:r>
      <w:r w:rsidRPr="00E07570">
        <w:t>dBm pour tous les signaux simulés.</w:t>
      </w:r>
    </w:p>
    <w:p w:rsidR="00E26107" w:rsidRPr="00E07570" w:rsidRDefault="00E26107" w:rsidP="00610435">
      <w:pPr>
        <w:pStyle w:val="SingleTxtG"/>
        <w:ind w:left="2268" w:hanging="1134"/>
      </w:pPr>
      <w:r w:rsidRPr="00E07570">
        <w:t>2.5.8</w:t>
      </w:r>
      <w:r w:rsidRPr="00E07570">
        <w:tab/>
        <w:t>Répéter la procédure d</w:t>
      </w:r>
      <w:r w:rsidR="00145E4B">
        <w:t>’</w:t>
      </w:r>
      <w:r w:rsidRPr="00E07570">
        <w:t>essai prescrite aux paragraphes 2.5.1 à 2.5.5 avec un niveau de signal de -140 dBm.</w:t>
      </w:r>
    </w:p>
    <w:p w:rsidR="00E26107" w:rsidRPr="00E07570" w:rsidRDefault="00E26107" w:rsidP="00610435">
      <w:pPr>
        <w:pStyle w:val="SingleTxtG"/>
        <w:ind w:left="2268" w:hanging="1134"/>
      </w:pPr>
      <w:r w:rsidRPr="00E07570">
        <w:t>2.5.9</w:t>
      </w:r>
      <w:r w:rsidRPr="00E07570">
        <w:tab/>
        <w:t>L</w:t>
      </w:r>
      <w:r w:rsidR="00145E4B">
        <w:t>’</w:t>
      </w:r>
      <w:r w:rsidRPr="00E07570">
        <w:t>essai prescrit au paragraphe 2.5.8 est considéré comme réussi si les valeurs moyennes du délai de premier positionnement fixées au paragraphe 2.5.6 de la présente annexe sont conformes, pour tous les échantillons d</w:t>
      </w:r>
      <w:r w:rsidR="00145E4B">
        <w:t>’</w:t>
      </w:r>
      <w:r w:rsidRPr="00E07570">
        <w:t>AECD/AECS, aux prescriptions énoncées aux paragraphes </w:t>
      </w:r>
      <w:r w:rsidRPr="00E07570">
        <w:rPr>
          <w:b/>
        </w:rPr>
        <w:t>17.3.8</w:t>
      </w:r>
      <w:r w:rsidRPr="00E07570">
        <w:t xml:space="preserve">, </w:t>
      </w:r>
      <w:r w:rsidRPr="00E07570">
        <w:rPr>
          <w:b/>
        </w:rPr>
        <w:t>26.3.8</w:t>
      </w:r>
      <w:r w:rsidRPr="00E07570">
        <w:t xml:space="preserve"> ou </w:t>
      </w:r>
      <w:r w:rsidRPr="00E07570">
        <w:rPr>
          <w:b/>
        </w:rPr>
        <w:t>35.3.8</w:t>
      </w:r>
      <w:r w:rsidRPr="00E07570">
        <w:t xml:space="preserve"> du présent Règlement.</w:t>
      </w:r>
    </w:p>
    <w:p w:rsidR="00E26107" w:rsidRPr="00E07570" w:rsidRDefault="00E26107" w:rsidP="00610435">
      <w:pPr>
        <w:pStyle w:val="SingleTxtG"/>
        <w:ind w:left="2268" w:hanging="1134"/>
      </w:pPr>
      <w:r w:rsidRPr="00E07570">
        <w:t>2.6</w:t>
      </w:r>
      <w:r w:rsidRPr="00E07570">
        <w:tab/>
        <w:t>Essai de rétablissement des signaux de recherche après un arrêt de 60 s</w:t>
      </w:r>
    </w:p>
    <w:p w:rsidR="00E26107" w:rsidRPr="00E07570" w:rsidRDefault="00E26107" w:rsidP="00610435">
      <w:pPr>
        <w:pStyle w:val="SingleTxtG"/>
        <w:ind w:left="2268" w:hanging="1134"/>
      </w:pPr>
      <w:r w:rsidRPr="00E07570">
        <w:t>2.6.1</w:t>
      </w:r>
      <w:r w:rsidRPr="00E07570">
        <w:tab/>
        <w:t>Préparer et allumer l</w:t>
      </w:r>
      <w:r w:rsidR="00145E4B">
        <w:t>’</w:t>
      </w:r>
      <w:r w:rsidRPr="00E07570">
        <w:t>AECD à l</w:t>
      </w:r>
      <w:r w:rsidR="00145E4B">
        <w:t>’</w:t>
      </w:r>
      <w:r w:rsidRPr="00E07570">
        <w:t>aide du mode d</w:t>
      </w:r>
      <w:r w:rsidR="00145E4B">
        <w:t>’</w:t>
      </w:r>
      <w:r w:rsidRPr="00E07570">
        <w:t>emploi. À l</w:t>
      </w:r>
      <w:r w:rsidR="00145E4B">
        <w:t>’</w:t>
      </w:r>
      <w:r w:rsidRPr="00E07570">
        <w:t>aide du logiciel fourni par le fabricant, s</w:t>
      </w:r>
      <w:r w:rsidR="00145E4B">
        <w:t>’</w:t>
      </w:r>
      <w:r w:rsidRPr="00E07570">
        <w:t xml:space="preserve">assurer que le récepteur GNSS est réglé pour recevoir les signaux des systèmes GLONASS, </w:t>
      </w:r>
      <w:r w:rsidR="002B669D" w:rsidRPr="00E07570">
        <w:t>Galileo</w:t>
      </w:r>
      <w:r w:rsidRPr="00E07570">
        <w:t xml:space="preserve"> et GPS.</w:t>
      </w:r>
    </w:p>
    <w:p w:rsidR="00E26107" w:rsidRPr="00E07570" w:rsidRDefault="00E26107" w:rsidP="00610435">
      <w:pPr>
        <w:pStyle w:val="SingleTxtG"/>
        <w:ind w:left="2268" w:hanging="1134"/>
      </w:pPr>
      <w:r w:rsidRPr="00E07570">
        <w:t>2.6.2</w:t>
      </w:r>
      <w:r w:rsidRPr="00E07570">
        <w:tab/>
        <w:t>Régler le simulateur à l</w:t>
      </w:r>
      <w:r w:rsidR="00145E4B">
        <w:t>’</w:t>
      </w:r>
      <w:r w:rsidRPr="00E07570">
        <w:t>aide du mode d</w:t>
      </w:r>
      <w:r w:rsidR="00145E4B">
        <w:t>’</w:t>
      </w:r>
      <w:r w:rsidRPr="00E07570">
        <w:t>emploi. Initialiser le scénario des simulations à l</w:t>
      </w:r>
      <w:r w:rsidR="00145E4B">
        <w:t>’</w:t>
      </w:r>
      <w:r w:rsidRPr="00E07570">
        <w:t>aide des paramètres indiqués au tableau </w:t>
      </w:r>
      <w:r w:rsidRPr="00E07570">
        <w:rPr>
          <w:b/>
        </w:rPr>
        <w:t>6</w:t>
      </w:r>
      <w:r w:rsidRPr="00E07570">
        <w:t xml:space="preserve"> pour les signaux des systèmes GLONASS, </w:t>
      </w:r>
      <w:r w:rsidR="002B669D" w:rsidRPr="00E07570">
        <w:t>Galileo</w:t>
      </w:r>
      <w:r w:rsidRPr="00E07570">
        <w:t xml:space="preserve"> et GPS dont le niveau de signal est de </w:t>
      </w:r>
      <w:r w:rsidR="00315142" w:rsidRPr="00E07570">
        <w:noBreakHyphen/>
      </w:r>
      <w:r w:rsidRPr="00E07570">
        <w:t>130</w:t>
      </w:r>
      <w:r w:rsidR="00610435" w:rsidRPr="00E07570">
        <w:t> </w:t>
      </w:r>
      <w:r w:rsidRPr="00E07570">
        <w:t>dBm.</w:t>
      </w:r>
    </w:p>
    <w:p w:rsidR="00E26107" w:rsidRPr="00E07570" w:rsidRDefault="00E26107" w:rsidP="00610435">
      <w:pPr>
        <w:pStyle w:val="SingleTxtG"/>
        <w:ind w:left="2268" w:hanging="1134"/>
      </w:pPr>
      <w:r w:rsidRPr="00E07570">
        <w:t>2.6.3</w:t>
      </w:r>
      <w:r w:rsidRPr="00E07570">
        <w:tab/>
        <w:t xml:space="preserve">Au bout de </w:t>
      </w:r>
      <w:r w:rsidR="00610435" w:rsidRPr="00E07570">
        <w:t>15 </w:t>
      </w:r>
      <w:r w:rsidRPr="00E07570">
        <w:t>minutes, vérifier que le récepteur GNSS a bien calculé la position de l</w:t>
      </w:r>
      <w:r w:rsidR="00145E4B">
        <w:t>’</w:t>
      </w:r>
      <w:r w:rsidRPr="00E07570">
        <w:t>AECD/AECS.</w:t>
      </w:r>
    </w:p>
    <w:p w:rsidR="00E26107" w:rsidRPr="00E07570" w:rsidRDefault="00E26107" w:rsidP="00610435">
      <w:pPr>
        <w:pStyle w:val="SingleTxtG"/>
        <w:ind w:left="2268" w:hanging="1134"/>
      </w:pPr>
      <w:r w:rsidRPr="00E07570">
        <w:t>2.6.4</w:t>
      </w:r>
      <w:r w:rsidRPr="00E07570">
        <w:tab/>
        <w:t>Débrancher le câble d</w:t>
      </w:r>
      <w:r w:rsidR="00145E4B">
        <w:t>’</w:t>
      </w:r>
      <w:r w:rsidRPr="00E07570">
        <w:t>antenne GNSS de l</w:t>
      </w:r>
      <w:r w:rsidR="00145E4B">
        <w:t>’</w:t>
      </w:r>
      <w:r w:rsidRPr="00E07570">
        <w:t>AECD/AECS et rebrancher celui-ci au bout de 60 s. À l</w:t>
      </w:r>
      <w:r w:rsidR="00145E4B">
        <w:t>’</w:t>
      </w:r>
      <w:r w:rsidRPr="00E07570">
        <w:t>aide d</w:t>
      </w:r>
      <w:r w:rsidR="00145E4B">
        <w:t>’</w:t>
      </w:r>
      <w:r w:rsidRPr="00E07570">
        <w:t>un chronomètre, calculer le temps qui s</w:t>
      </w:r>
      <w:r w:rsidR="00145E4B">
        <w:t>’</w:t>
      </w:r>
      <w:r w:rsidRPr="00E07570">
        <w:t>écoule entre d</w:t>
      </w:r>
      <w:r w:rsidR="00145E4B">
        <w:t>’</w:t>
      </w:r>
      <w:r w:rsidRPr="00E07570">
        <w:t>une part le branchement du câble d</w:t>
      </w:r>
      <w:r w:rsidR="00145E4B">
        <w:t>’</w:t>
      </w:r>
      <w:r w:rsidRPr="00E07570">
        <w:t>antenne et d</w:t>
      </w:r>
      <w:r w:rsidR="00145E4B">
        <w:t>’</w:t>
      </w:r>
      <w:r w:rsidRPr="00E07570">
        <w:t>autre part la reprise de la recherche de satellites et le calcul de la solution de navigation.</w:t>
      </w:r>
    </w:p>
    <w:p w:rsidR="00E26107" w:rsidRPr="00E07570" w:rsidRDefault="00E26107" w:rsidP="00610435">
      <w:pPr>
        <w:pStyle w:val="SingleTxtG"/>
        <w:ind w:left="2268" w:hanging="1134"/>
      </w:pPr>
      <w:r w:rsidRPr="00E07570">
        <w:t>2.6.5</w:t>
      </w:r>
      <w:r w:rsidRPr="00E07570">
        <w:tab/>
        <w:t>Répéter la procédure d</w:t>
      </w:r>
      <w:r w:rsidR="00145E4B">
        <w:t>’</w:t>
      </w:r>
      <w:r w:rsidRPr="00E07570">
        <w:t>essai prescrite au paragraphe 2.6.4 à au moins 10 reprises.</w:t>
      </w:r>
    </w:p>
    <w:p w:rsidR="00E26107" w:rsidRPr="00E07570" w:rsidRDefault="00E26107" w:rsidP="00610435">
      <w:pPr>
        <w:pStyle w:val="SingleTxtG"/>
        <w:ind w:left="2268" w:hanging="1134"/>
      </w:pPr>
      <w:r w:rsidRPr="00E07570">
        <w:t>2.6.6</w:t>
      </w:r>
      <w:r w:rsidRPr="00E07570">
        <w:tab/>
        <w:t>Calculer la valeur moyenne du temps de rétablissement des signaux de recherche des satellites à l</w:t>
      </w:r>
      <w:r w:rsidR="00145E4B">
        <w:t>’</w:t>
      </w:r>
      <w:r w:rsidRPr="00E07570">
        <w:t>aide de l</w:t>
      </w:r>
      <w:r w:rsidR="00145E4B">
        <w:t>’</w:t>
      </w:r>
      <w:r w:rsidRPr="00E07570">
        <w:t>AECD/AECS pour toutes les mesures effectuées et tous les échantillons d</w:t>
      </w:r>
      <w:r w:rsidR="00145E4B">
        <w:t>’</w:t>
      </w:r>
      <w:r w:rsidRPr="00E07570">
        <w:t>AECD/AECS fournis pour l</w:t>
      </w:r>
      <w:r w:rsidR="00145E4B">
        <w:t>’</w:t>
      </w:r>
      <w:r w:rsidRPr="00E07570">
        <w:t>essai.</w:t>
      </w:r>
    </w:p>
    <w:p w:rsidR="00E26107" w:rsidRPr="00E07570" w:rsidRDefault="00E26107" w:rsidP="00610435">
      <w:pPr>
        <w:pStyle w:val="SingleTxtG"/>
        <w:ind w:left="2268" w:hanging="1134"/>
      </w:pPr>
      <w:r w:rsidRPr="00E07570">
        <w:t>2.6.7</w:t>
      </w:r>
      <w:r w:rsidRPr="00E07570">
        <w:tab/>
        <w:t>L</w:t>
      </w:r>
      <w:r w:rsidR="00145E4B">
        <w:t>’</w:t>
      </w:r>
      <w:r w:rsidRPr="00E07570">
        <w:t>essai est considéré comme réussi si les valeurs moyennes mesurées au paragraphe 2.6.6 de la présente annexe sont conformes, pour tous les échantillons d</w:t>
      </w:r>
      <w:r w:rsidR="00145E4B">
        <w:t>’</w:t>
      </w:r>
      <w:r w:rsidRPr="00E07570">
        <w:t>AECD/AECS, aux prescriptions définies aux paragraphes </w:t>
      </w:r>
      <w:r w:rsidRPr="00E07570">
        <w:rPr>
          <w:b/>
        </w:rPr>
        <w:t>17.3.9</w:t>
      </w:r>
      <w:r w:rsidRPr="00E07570">
        <w:t xml:space="preserve">, </w:t>
      </w:r>
      <w:r w:rsidRPr="00E07570">
        <w:rPr>
          <w:b/>
        </w:rPr>
        <w:t>26.3.9</w:t>
      </w:r>
      <w:r w:rsidRPr="00E07570">
        <w:t xml:space="preserve"> ou </w:t>
      </w:r>
      <w:r w:rsidRPr="00E07570">
        <w:rPr>
          <w:b/>
        </w:rPr>
        <w:t>35.3.9</w:t>
      </w:r>
      <w:r w:rsidRPr="00E07570">
        <w:t xml:space="preserve"> du présent Règlement.</w:t>
      </w:r>
    </w:p>
    <w:p w:rsidR="00E26107" w:rsidRPr="00E07570" w:rsidRDefault="00E26107" w:rsidP="00610435">
      <w:pPr>
        <w:pStyle w:val="SingleTxtG"/>
        <w:ind w:left="2268" w:hanging="1134"/>
      </w:pPr>
      <w:r w:rsidRPr="00E07570">
        <w:t>2.7</w:t>
      </w:r>
      <w:r w:rsidRPr="00E07570">
        <w:tab/>
        <w:t>Essai de sen</w:t>
      </w:r>
      <w:r w:rsidR="00BE56A1" w:rsidRPr="00E07570">
        <w:t>sib</w:t>
      </w:r>
      <w:r w:rsidRPr="00E07570">
        <w:t>i</w:t>
      </w:r>
      <w:r w:rsidR="00BE56A1" w:rsidRPr="00E07570">
        <w:t>li</w:t>
      </w:r>
      <w:r w:rsidRPr="00E07570">
        <w:t>té du récepteur GNSS en mode démarrage à froid et en mode recherche, et scénario de rétablissement</w:t>
      </w:r>
    </w:p>
    <w:p w:rsidR="00E26107" w:rsidRPr="00E07570" w:rsidRDefault="00E26107" w:rsidP="00610435">
      <w:pPr>
        <w:pStyle w:val="SingleTxtG"/>
        <w:ind w:left="2268" w:hanging="1134"/>
      </w:pPr>
      <w:r w:rsidRPr="00E07570">
        <w:t>2.7.1</w:t>
      </w:r>
      <w:r w:rsidRPr="00E07570">
        <w:tab/>
        <w:t>Allumer l</w:t>
      </w:r>
      <w:r w:rsidR="00145E4B">
        <w:t>’</w:t>
      </w:r>
      <w:r w:rsidRPr="00E07570">
        <w:t>analyseur de réseau vecteur et étalonner celui-ci à l</w:t>
      </w:r>
      <w:r w:rsidR="00145E4B">
        <w:t>’</w:t>
      </w:r>
      <w:r w:rsidRPr="00E07570">
        <w:t>aide du mode d</w:t>
      </w:r>
      <w:r w:rsidR="00145E4B">
        <w:t>’</w:t>
      </w:r>
      <w:r w:rsidRPr="00E07570">
        <w:t>emploi.</w:t>
      </w:r>
    </w:p>
    <w:p w:rsidR="00C1730C" w:rsidRPr="00E07570" w:rsidRDefault="00E26107" w:rsidP="00610435">
      <w:pPr>
        <w:pStyle w:val="SingleTxtG"/>
        <w:ind w:left="2268" w:hanging="1134"/>
      </w:pPr>
      <w:r w:rsidRPr="00E07570">
        <w:t>2.7.2</w:t>
      </w:r>
      <w:r w:rsidRPr="00E07570">
        <w:tab/>
        <w:t>Établir le diagramme comme indiqué dans la figure 4.</w:t>
      </w:r>
    </w:p>
    <w:p w:rsidR="00E427CC" w:rsidRPr="00E07570" w:rsidRDefault="00E427CC" w:rsidP="006E0F16">
      <w:pPr>
        <w:pStyle w:val="Heading1"/>
        <w:spacing w:after="240"/>
        <w:rPr>
          <w:b/>
        </w:rPr>
      </w:pPr>
      <w:r w:rsidRPr="00E07570">
        <w:t xml:space="preserve">Figure 4 </w:t>
      </w:r>
      <w:r w:rsidRPr="00E07570">
        <w:br/>
      </w:r>
      <w:r w:rsidRPr="00E07570">
        <w:rPr>
          <w:b/>
        </w:rPr>
        <w:t>Diagramme de l</w:t>
      </w:r>
      <w:r w:rsidR="00145E4B">
        <w:rPr>
          <w:b/>
        </w:rPr>
        <w:t>’</w:t>
      </w:r>
      <w:r w:rsidRPr="00E07570">
        <w:rPr>
          <w:b/>
        </w:rPr>
        <w:t>étalonnage du trajet</w:t>
      </w:r>
    </w:p>
    <w:p w:rsidR="004C1218" w:rsidRPr="00E07570" w:rsidRDefault="004C1218" w:rsidP="00B97C65">
      <w:pPr>
        <w:pStyle w:val="SingleTxtG"/>
        <w:spacing w:after="240"/>
        <w:jc w:val="left"/>
        <w:rPr>
          <w:rFonts w:eastAsiaTheme="minorHAnsi"/>
        </w:rPr>
      </w:pPr>
      <w:r w:rsidRPr="00E07570">
        <w:rPr>
          <w:rFonts w:eastAsiaTheme="minorHAnsi"/>
          <w:noProof/>
          <w:lang w:val="en-GB" w:eastAsia="en-GB"/>
        </w:rPr>
        <mc:AlternateContent>
          <mc:Choice Requires="wpg">
            <w:drawing>
              <wp:inline distT="0" distB="0" distL="0" distR="0" wp14:anchorId="56757143" wp14:editId="7286FF1D">
                <wp:extent cx="4351550" cy="1410793"/>
                <wp:effectExtent l="114300" t="0" r="125730" b="18415"/>
                <wp:docPr id="13" name="Группа 115"/>
                <wp:cNvGraphicFramePr/>
                <a:graphic xmlns:a="http://schemas.openxmlformats.org/drawingml/2006/main">
                  <a:graphicData uri="http://schemas.microsoft.com/office/word/2010/wordprocessingGroup">
                    <wpg:wgp>
                      <wpg:cNvGrpSpPr/>
                      <wpg:grpSpPr>
                        <a:xfrm>
                          <a:off x="0" y="0"/>
                          <a:ext cx="4351550" cy="1410793"/>
                          <a:chOff x="0" y="0"/>
                          <a:chExt cx="4351550" cy="1410793"/>
                        </a:xfrm>
                      </wpg:grpSpPr>
                      <wps:wsp>
                        <wps:cNvPr id="14" name="Flowchart: Process 67"/>
                        <wps:cNvSpPr>
                          <a:spLocks noChangeArrowheads="1"/>
                        </wps:cNvSpPr>
                        <wps:spPr bwMode="auto">
                          <a:xfrm>
                            <a:off x="1446835" y="0"/>
                            <a:ext cx="1442720" cy="612140"/>
                          </a:xfrm>
                          <a:prstGeom prst="flowChartProcess">
                            <a:avLst/>
                          </a:prstGeom>
                          <a:solidFill>
                            <a:srgbClr val="FFFFFF"/>
                          </a:solidFill>
                          <a:ln w="9525">
                            <a:solidFill>
                              <a:srgbClr val="000000"/>
                            </a:solidFill>
                            <a:miter lim="800000"/>
                            <a:headEnd/>
                            <a:tailEnd/>
                          </a:ln>
                        </wps:spPr>
                        <wps:txbx>
                          <w:txbxContent>
                            <w:p w:rsidR="00145E4B" w:rsidRPr="00A408F9" w:rsidRDefault="00145E4B" w:rsidP="004C1218">
                              <w:pPr>
                                <w:spacing w:line="360" w:lineRule="auto"/>
                                <w:jc w:val="center"/>
                              </w:pPr>
                              <w:r>
                                <w:rPr>
                                  <w:lang w:eastAsia="ru-RU"/>
                                </w:rPr>
                                <w:t>Analyseur du réseau vecteur</w:t>
                              </w:r>
                            </w:p>
                          </w:txbxContent>
                        </wps:txbx>
                        <wps:bodyPr rot="0" vert="horz" wrap="square" lIns="91440" tIns="45720" rIns="91440" bIns="45720" anchor="t" anchorCtr="0" upright="1">
                          <a:noAutofit/>
                        </wps:bodyPr>
                      </wps:wsp>
                      <wps:wsp>
                        <wps:cNvPr id="23" name="Flowchart: Process 63"/>
                        <wps:cNvSpPr>
                          <a:spLocks noChangeArrowheads="1"/>
                        </wps:cNvSpPr>
                        <wps:spPr bwMode="auto">
                          <a:xfrm>
                            <a:off x="3090440" y="798653"/>
                            <a:ext cx="1261110" cy="612140"/>
                          </a:xfrm>
                          <a:prstGeom prst="flowChartProcess">
                            <a:avLst/>
                          </a:prstGeom>
                          <a:solidFill>
                            <a:srgbClr val="FFFFFF"/>
                          </a:solidFill>
                          <a:ln w="9525">
                            <a:solidFill>
                              <a:srgbClr val="000000"/>
                            </a:solidFill>
                            <a:miter lim="800000"/>
                            <a:headEnd/>
                            <a:tailEnd/>
                          </a:ln>
                        </wps:spPr>
                        <wps:txbx>
                          <w:txbxContent>
                            <w:p w:rsidR="00145E4B" w:rsidRPr="0013181A" w:rsidRDefault="00145E4B" w:rsidP="004C1218">
                              <w:pPr>
                                <w:spacing w:line="360" w:lineRule="auto"/>
                                <w:jc w:val="center"/>
                                <w:rPr>
                                  <w:szCs w:val="28"/>
                                </w:rPr>
                              </w:pPr>
                              <w:r>
                                <w:rPr>
                                  <w:lang w:eastAsia="ru-RU"/>
                                </w:rPr>
                                <w:t xml:space="preserve">Atténuateur 2 </w:t>
                              </w:r>
                              <w:r>
                                <w:rPr>
                                  <w:lang w:eastAsia="ru-RU"/>
                                </w:rPr>
                                <w:br/>
                                <w:t>(0 … 110 dB)</w:t>
                              </w:r>
                            </w:p>
                          </w:txbxContent>
                        </wps:txbx>
                        <wps:bodyPr rot="0" vert="horz" wrap="square" lIns="91440" tIns="45720" rIns="91440" bIns="45720" anchor="t" anchorCtr="0" upright="1">
                          <a:noAutofit/>
                        </wps:bodyPr>
                      </wps:wsp>
                      <wps:wsp>
                        <wps:cNvPr id="24" name="Flowchart: Process 62"/>
                        <wps:cNvSpPr>
                          <a:spLocks noChangeArrowheads="1"/>
                        </wps:cNvSpPr>
                        <wps:spPr bwMode="auto">
                          <a:xfrm>
                            <a:off x="0" y="792866"/>
                            <a:ext cx="1284605" cy="612140"/>
                          </a:xfrm>
                          <a:prstGeom prst="flowChartProcess">
                            <a:avLst/>
                          </a:prstGeom>
                          <a:solidFill>
                            <a:srgbClr val="FFFFFF"/>
                          </a:solidFill>
                          <a:ln w="9525">
                            <a:solidFill>
                              <a:srgbClr val="000000"/>
                            </a:solidFill>
                            <a:miter lim="800000"/>
                            <a:headEnd/>
                            <a:tailEnd/>
                          </a:ln>
                        </wps:spPr>
                        <wps:txbx>
                          <w:txbxContent>
                            <w:p w:rsidR="00145E4B" w:rsidRPr="00A408F9" w:rsidRDefault="00145E4B" w:rsidP="004C1218">
                              <w:pPr>
                                <w:spacing w:line="360" w:lineRule="auto"/>
                                <w:jc w:val="center"/>
                              </w:pPr>
                              <w:r>
                                <w:rPr>
                                  <w:lang w:eastAsia="ru-RU"/>
                                </w:rPr>
                                <w:t xml:space="preserve">Amplificateur </w:t>
                              </w:r>
                              <w:r>
                                <w:rPr>
                                  <w:lang w:eastAsia="ru-RU"/>
                                </w:rPr>
                                <w:br/>
                                <w:t>à faible bruit</w:t>
                              </w:r>
                            </w:p>
                          </w:txbxContent>
                        </wps:txbx>
                        <wps:bodyPr rot="0" vert="horz" wrap="square" lIns="91440" tIns="45720" rIns="91440" bIns="45720" anchor="t" anchorCtr="0" upright="1">
                          <a:noAutofit/>
                        </wps:bodyPr>
                      </wps:wsp>
                      <wps:wsp>
                        <wps:cNvPr id="25" name="Flowchart: Process 61"/>
                        <wps:cNvSpPr>
                          <a:spLocks noChangeArrowheads="1"/>
                        </wps:cNvSpPr>
                        <wps:spPr bwMode="auto">
                          <a:xfrm>
                            <a:off x="1446835" y="798653"/>
                            <a:ext cx="1442720" cy="612140"/>
                          </a:xfrm>
                          <a:prstGeom prst="flowChartProcess">
                            <a:avLst/>
                          </a:prstGeom>
                          <a:solidFill>
                            <a:srgbClr val="FFFFFF"/>
                          </a:solidFill>
                          <a:ln w="9525">
                            <a:solidFill>
                              <a:srgbClr val="000000"/>
                            </a:solidFill>
                            <a:miter lim="800000"/>
                            <a:headEnd/>
                            <a:tailEnd/>
                          </a:ln>
                        </wps:spPr>
                        <wps:txbx>
                          <w:txbxContent>
                            <w:p w:rsidR="00145E4B" w:rsidRPr="0013181A" w:rsidRDefault="00145E4B" w:rsidP="004C1218">
                              <w:pPr>
                                <w:spacing w:line="360" w:lineRule="auto"/>
                                <w:jc w:val="center"/>
                                <w:rPr>
                                  <w:szCs w:val="28"/>
                                </w:rPr>
                              </w:pPr>
                              <w:r>
                                <w:rPr>
                                  <w:lang w:eastAsia="ru-RU"/>
                                </w:rPr>
                                <w:t xml:space="preserve">Atténuateur 1 </w:t>
                              </w:r>
                              <w:r>
                                <w:rPr>
                                  <w:lang w:eastAsia="ru-RU"/>
                                </w:rPr>
                                <w:br/>
                                <w:t>(0 … 11 dB)</w:t>
                              </w:r>
                            </w:p>
                          </w:txbxContent>
                        </wps:txbx>
                        <wps:bodyPr rot="0" vert="horz" wrap="square" lIns="91440" tIns="45720" rIns="91440" bIns="45720" anchor="t" anchorCtr="0" upright="1">
                          <a:noAutofit/>
                        </wps:bodyPr>
                      </wps:wsp>
                      <wps:wsp>
                        <wps:cNvPr id="26" name="Elbow Connector 66"/>
                        <wps:cNvCnPr>
                          <a:cxnSpLocks noChangeShapeType="1"/>
                        </wps:cNvCnPr>
                        <wps:spPr bwMode="auto">
                          <a:xfrm>
                            <a:off x="2887883" y="156258"/>
                            <a:ext cx="1461770" cy="1115695"/>
                          </a:xfrm>
                          <a:prstGeom prst="bentConnector3">
                            <a:avLst>
                              <a:gd name="adj1" fmla="val 10656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Elbow Connector 64"/>
                        <wps:cNvCnPr>
                          <a:cxnSpLocks noChangeShapeType="1"/>
                        </wps:cNvCnPr>
                        <wps:spPr bwMode="auto">
                          <a:xfrm rot="10800000" flipV="1">
                            <a:off x="0" y="156258"/>
                            <a:ext cx="1446530" cy="1115695"/>
                          </a:xfrm>
                          <a:prstGeom prst="bentConnector3">
                            <a:avLst>
                              <a:gd name="adj1" fmla="val 10662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Straight Arrow Connector 59"/>
                        <wps:cNvCnPr>
                          <a:cxnSpLocks noChangeShapeType="1"/>
                        </wps:cNvCnPr>
                        <wps:spPr bwMode="auto">
                          <a:xfrm>
                            <a:off x="1284790" y="972273"/>
                            <a:ext cx="1619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Straight Arrow Connector 60"/>
                        <wps:cNvCnPr>
                          <a:cxnSpLocks noChangeShapeType="1"/>
                        </wps:cNvCnPr>
                        <wps:spPr bwMode="auto">
                          <a:xfrm>
                            <a:off x="2887883" y="972273"/>
                            <a:ext cx="200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15" o:spid="_x0000_s1066" style="width:342.65pt;height:111.1pt;mso-position-horizontal-relative:char;mso-position-vertical-relative:line" coordsize="43515,14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">
                <v:shape id="Flowchart: Process 67" o:spid="_x0000_s1067" type="#_x0000_t109" style="position:absolute;left:14468;width:14427;height:6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OMIA&#10;AADbAAAADwAAAGRycy9kb3ducmV2LnhtbERPS4vCMBC+C/sfwizsRTT1iVSjLEIXPXiwuxdvYzO2&#10;ZZtJaWKt/94Igrf5+J6z2nSmEi01rrSsYDSMQBBnVpecK/j7TQYLEM4ja6wsk4I7OdisP3orjLW9&#10;8ZHa1OcihLCLUUHhfR1L6bKCDLqhrYkDd7GNQR9gk0vd4C2Em0qOo2guDZYcGgqsaVtQ9p9ejYLx&#10;op/+8CHZTc97neBsdGr7k71SX5/d9xKEp86/xS/3Tof5U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6CQ4wgAAANsAAAAPAAAAAAAAAAAAAAAAAJgCAABkcnMvZG93&#10;bnJldi54bWxQSwUGAAAAAAQABAD1AAAAhwMAAAAA&#10;">
                  <v:textbox>
                    <w:txbxContent>
                      <w:p w:rsidR="00145E4B" w:rsidRPr="00A408F9" w:rsidRDefault="00145E4B" w:rsidP="004C1218">
                        <w:pPr>
                          <w:spacing w:line="360" w:lineRule="auto"/>
                          <w:jc w:val="center"/>
                        </w:pPr>
                        <w:r>
                          <w:rPr>
                            <w:lang w:eastAsia="ru-RU"/>
                          </w:rPr>
                          <w:t>Analyseur du réseau vecteur</w:t>
                        </w:r>
                      </w:p>
                    </w:txbxContent>
                  </v:textbox>
                </v:shape>
                <v:shape id="Flowchart: Process 63" o:spid="_x0000_s1068" type="#_x0000_t109" style="position:absolute;left:30904;top:7986;width:12611;height:6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128cUA&#10;AADbAAAADwAAAGRycy9kb3ducmV2LnhtbESPzWrDMBCE74W+g9hCLyaW89Ng3CihBFziQw51e+lt&#10;a21tU2tlLMVx3j4KBHocZr4ZZrObTCdGGlxrWcE8TkAQV1a3XCv4+sxnKQjnkTV2lknBhRzsto8P&#10;G8y0PfMHjaWvRShhl6GCxvs+k9JVDRl0se2Jg/drB4M+yKGWesBzKDedXCTJWhpsOSw02NO+oeqv&#10;PBkFizQq3/mYH1Y/hc7xZf49RstCqeen6e0VhKfJ/4fv9EEHbgm3L+EHyO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XbxxQAAANsAAAAPAAAAAAAAAAAAAAAAAJgCAABkcnMv&#10;ZG93bnJldi54bWxQSwUGAAAAAAQABAD1AAAAigMAAAAA&#10;">
                  <v:textbox>
                    <w:txbxContent>
                      <w:p w:rsidR="00145E4B" w:rsidRPr="0013181A" w:rsidRDefault="00145E4B" w:rsidP="004C1218">
                        <w:pPr>
                          <w:spacing w:line="360" w:lineRule="auto"/>
                          <w:jc w:val="center"/>
                          <w:rPr>
                            <w:szCs w:val="28"/>
                          </w:rPr>
                        </w:pPr>
                        <w:r>
                          <w:rPr>
                            <w:lang w:eastAsia="ru-RU"/>
                          </w:rPr>
                          <w:t xml:space="preserve">Atténuateur 2 </w:t>
                        </w:r>
                        <w:r>
                          <w:rPr>
                            <w:lang w:eastAsia="ru-RU"/>
                          </w:rPr>
                          <w:br/>
                          <w:t>(0 … 110 dB)</w:t>
                        </w:r>
                      </w:p>
                    </w:txbxContent>
                  </v:textbox>
                </v:shape>
                <v:shape id="Flowchart: Process 62" o:spid="_x0000_s1069" type="#_x0000_t109" style="position:absolute;top:7928;width:12846;height:6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TuhcQA&#10;AADbAAAADwAAAGRycy9kb3ducmV2LnhtbESPT4vCMBTE78J+h/AW9iKa+hepRlmELnrwYHcv3p7N&#10;sy3bvJQm1vrtjSB4HGZ+M8xq05lKtNS40rKC0TACQZxZXXKu4O83GSxAOI+ssbJMCu7kYLP+6K0w&#10;1vbGR2pTn4tQwi5GBYX3dSylywoy6Ia2Jg7exTYGfZBNLnWDt1BuKjmOork0WHJYKLCmbUHZf3o1&#10;CsaLfvrDh2Q3Pe91grPRqe1P9kp9fXbfSxCeOv8Ov+idDtwUnl/C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E7oXEAAAA2wAAAA8AAAAAAAAAAAAAAAAAmAIAAGRycy9k&#10;b3ducmV2LnhtbFBLBQYAAAAABAAEAPUAAACJAwAAAAA=&#10;">
                  <v:textbox>
                    <w:txbxContent>
                      <w:p w:rsidR="00145E4B" w:rsidRPr="00A408F9" w:rsidRDefault="00145E4B" w:rsidP="004C1218">
                        <w:pPr>
                          <w:spacing w:line="360" w:lineRule="auto"/>
                          <w:jc w:val="center"/>
                        </w:pPr>
                        <w:r>
                          <w:rPr>
                            <w:lang w:eastAsia="ru-RU"/>
                          </w:rPr>
                          <w:t xml:space="preserve">Amplificateur </w:t>
                        </w:r>
                        <w:r>
                          <w:rPr>
                            <w:lang w:eastAsia="ru-RU"/>
                          </w:rPr>
                          <w:br/>
                          <w:t>à faible bruit</w:t>
                        </w:r>
                      </w:p>
                    </w:txbxContent>
                  </v:textbox>
                </v:shape>
                <v:shape id="Flowchart: Process 61" o:spid="_x0000_s1070" type="#_x0000_t109" style="position:absolute;left:14468;top:7986;width:14427;height:6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LHsQA&#10;AADbAAAADwAAAGRycy9kb3ducmV2LnhtbESPT4vCMBTE78J+h/AW9iKa+hepRlmELnrwYHcv3p7N&#10;sy3bvJQm1vrtjSB4HGZ+M8xq05lKtNS40rKC0TACQZxZXXKu4O83GSxAOI+ssbJMCu7kYLP+6K0w&#10;1vbGR2pTn4tQwi5GBYX3dSylywoy6Ia2Jg7exTYGfZBNLnWDt1BuKjmOork0WHJYKLCmbUHZf3o1&#10;CsaLfvrDh2Q3Pe91grPRqe1P9kp9fXbfSxCeOv8Ov+idDtwMnl/C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ISx7EAAAA2wAAAA8AAAAAAAAAAAAAAAAAmAIAAGRycy9k&#10;b3ducmV2LnhtbFBLBQYAAAAABAAEAPUAAACJAwAAAAA=&#10;">
                  <v:textbox>
                    <w:txbxContent>
                      <w:p w:rsidR="00145E4B" w:rsidRPr="0013181A" w:rsidRDefault="00145E4B" w:rsidP="004C1218">
                        <w:pPr>
                          <w:spacing w:line="360" w:lineRule="auto"/>
                          <w:jc w:val="center"/>
                          <w:rPr>
                            <w:szCs w:val="28"/>
                          </w:rPr>
                        </w:pPr>
                        <w:r>
                          <w:rPr>
                            <w:lang w:eastAsia="ru-RU"/>
                          </w:rPr>
                          <w:t xml:space="preserve">Atténuateur 1 </w:t>
                        </w:r>
                        <w:r>
                          <w:rPr>
                            <w:lang w:eastAsia="ru-RU"/>
                          </w:rPr>
                          <w:br/>
                          <w:t>(0 … 11 dB)</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6" o:spid="_x0000_s1071" type="#_x0000_t34" style="position:absolute;left:28878;top:1562;width:14618;height:1115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ycsMAAADbAAAADwAAAGRycy9kb3ducmV2LnhtbESPT2vCQBTE74LfYXlCb7oxB5HUVUqp&#10;RQQFEy+9vWZf/pDs27C71fTbu4WCx2FmfsNsdqPpxY2cby0rWC4SEMSl1S3XCq7Ffr4G4QOyxt4y&#10;KfglD7vtdLLBTNs7X+iWh1pECPsMFTQhDJmUvmzIoF/YgTh6lXUGQ5SultrhPcJNL9MkWUmDLceF&#10;Bgd6b6js8h+j4LP4PrtTnjstUz5WVfLx1blOqZfZ+PYKItAYnuH/9kErSFfw9yX+AL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8nLDAAAA2wAAAA8AAAAAAAAAAAAA&#10;AAAAoQIAAGRycy9kb3ducmV2LnhtbFBLBQYAAAAABAAEAPkAAACRAwAAAAA=&#10;" adj="23017"/>
                <v:shape id="Elbow Connector 64" o:spid="_x0000_s1072" type="#_x0000_t34" style="position:absolute;top:1562;width:14465;height:1115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aSvcIAAADbAAAADwAAAGRycy9kb3ducmV2LnhtbESPQUsDMRSE70L/Q3gFbzbbKqtdm5Yi&#10;Vjza6qW3R/LcLN28LMmzXf+9EQSPw8x8w6w2Y+jVmVLuIhuYzypQxDa6jlsDH++7mwdQWZAd9pHJ&#10;wDdl2KwnVytsXLzwns4HaVWBcG7QgBcZGq2z9RQwz+JAXLzPmAJKkanVLuGlwEOvF1VV64AdlwWP&#10;Az15sqfDVzAgOr3ZI7/c+VpsxUs7r2+fd8ZcT8ftIyihUf7Df+1XZ2BxD79fyg/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baSvcIAAADbAAAADwAAAAAAAAAAAAAA&#10;AAChAgAAZHJzL2Rvd25yZXYueG1sUEsFBgAAAAAEAAQA+QAAAJADAAAAAA==&#10;" adj="23031"/>
                <v:shapetype id="_x0000_t32" coordsize="21600,21600" o:spt="32" o:oned="t" path="m,l21600,21600e" filled="f">
                  <v:path arrowok="t" fillok="f" o:connecttype="none"/>
                  <o:lock v:ext="edit" shapetype="t"/>
                </v:shapetype>
                <v:shape id="Straight Arrow Connector 59" o:spid="_x0000_s1073" type="#_x0000_t32" style="position:absolute;left:12847;top:9722;width:162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Straight Arrow Connector 60" o:spid="_x0000_s1074" type="#_x0000_t32" style="position:absolute;left:28878;top:9722;width:200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w10:anchorlock/>
              </v:group>
            </w:pict>
          </mc:Fallback>
        </mc:AlternateContent>
      </w:r>
    </w:p>
    <w:p w:rsidR="0096066C" w:rsidRPr="00E07570" w:rsidRDefault="0096066C" w:rsidP="00BE56A1">
      <w:pPr>
        <w:pStyle w:val="SingleTxtG"/>
        <w:keepNext/>
        <w:keepLines/>
        <w:ind w:left="2268" w:hanging="1134"/>
      </w:pPr>
      <w:r w:rsidRPr="00E07570">
        <w:t>2.7.3</w:t>
      </w:r>
      <w:r w:rsidRPr="00E07570">
        <w:tab/>
        <w:t>Sur les atténuateurs, régler l</w:t>
      </w:r>
      <w:r w:rsidR="00145E4B">
        <w:t>’</w:t>
      </w:r>
      <w:r w:rsidRPr="00E07570">
        <w:t xml:space="preserve">atténuation du trajet signal sur zéro. Mesurer la réponse en fréquence pour un trajet signal donné dans la bande L1/E1 du récepteur pour les systèmes GLONASS, </w:t>
      </w:r>
      <w:r w:rsidR="002B669D" w:rsidRPr="00E07570">
        <w:t>Galileo</w:t>
      </w:r>
      <w:r w:rsidRPr="00E07570">
        <w:t xml:space="preserve"> ou GPS. Enregistrer le facteur de transmis</w:t>
      </w:r>
      <w:r w:rsidR="00BE56A1" w:rsidRPr="00E07570">
        <w:t>sion moyen sur le trajet, en décib</w:t>
      </w:r>
      <w:r w:rsidRPr="00E07570">
        <w:t>els, dans cette bande de fréquences.</w:t>
      </w:r>
    </w:p>
    <w:p w:rsidR="0096066C" w:rsidRPr="00E07570" w:rsidRDefault="0096066C" w:rsidP="0096066C">
      <w:pPr>
        <w:pStyle w:val="SingleTxtG"/>
        <w:ind w:left="2268" w:hanging="1134"/>
      </w:pPr>
      <w:r w:rsidRPr="00E07570">
        <w:t>2.7.4</w:t>
      </w:r>
      <w:r w:rsidRPr="00E07570">
        <w:tab/>
        <w:t>Établir l</w:t>
      </w:r>
      <w:r w:rsidR="00145E4B">
        <w:t>’</w:t>
      </w:r>
      <w:r w:rsidRPr="00E07570">
        <w:t>organigramme indiqué dans la figure 5.</w:t>
      </w:r>
    </w:p>
    <w:p w:rsidR="0096066C" w:rsidRPr="00E07570" w:rsidRDefault="0096066C" w:rsidP="006E0F16">
      <w:pPr>
        <w:pStyle w:val="Heading1"/>
        <w:spacing w:after="240"/>
        <w:rPr>
          <w:b/>
        </w:rPr>
      </w:pPr>
      <w:r w:rsidRPr="00E07570">
        <w:t>Figure 5</w:t>
      </w:r>
      <w:r w:rsidRPr="00E07570">
        <w:br/>
      </w:r>
      <w:r w:rsidRPr="00E07570">
        <w:rPr>
          <w:b/>
        </w:rPr>
        <w:t>Organigramme d</w:t>
      </w:r>
      <w:r w:rsidR="00145E4B">
        <w:rPr>
          <w:b/>
        </w:rPr>
        <w:t>’</w:t>
      </w:r>
      <w:r w:rsidRPr="00E07570">
        <w:rPr>
          <w:b/>
        </w:rPr>
        <w:t>évaluation de la sen</w:t>
      </w:r>
      <w:r w:rsidR="00E72DCA" w:rsidRPr="00E07570">
        <w:rPr>
          <w:b/>
        </w:rPr>
        <w:t>sib</w:t>
      </w:r>
      <w:r w:rsidRPr="00E07570">
        <w:rPr>
          <w:b/>
        </w:rPr>
        <w:t>ilité du module GNSS</w:t>
      </w:r>
    </w:p>
    <w:p w:rsidR="00B97C65" w:rsidRPr="00E07570" w:rsidRDefault="00B97C65" w:rsidP="00607E34">
      <w:pPr>
        <w:pStyle w:val="SingleTxtG"/>
        <w:spacing w:after="240"/>
        <w:jc w:val="left"/>
        <w:rPr>
          <w:rFonts w:eastAsiaTheme="minorHAnsi"/>
        </w:rPr>
      </w:pPr>
      <w:r w:rsidRPr="00E07570">
        <w:rPr>
          <w:rFonts w:eastAsiaTheme="minorHAnsi"/>
          <w:noProof/>
          <w:lang w:val="en-GB" w:eastAsia="en-GB"/>
        </w:rPr>
        <mc:AlternateContent>
          <mc:Choice Requires="wpg">
            <w:drawing>
              <wp:inline distT="0" distB="0" distL="0" distR="0" wp14:anchorId="71FCE9E1" wp14:editId="0EA54724">
                <wp:extent cx="4505783" cy="1186180"/>
                <wp:effectExtent l="0" t="0" r="28575" b="13970"/>
                <wp:docPr id="30" name="Группа 117"/>
                <wp:cNvGraphicFramePr/>
                <a:graphic xmlns:a="http://schemas.openxmlformats.org/drawingml/2006/main">
                  <a:graphicData uri="http://schemas.microsoft.com/office/word/2010/wordprocessingGroup">
                    <wpg:wgp>
                      <wpg:cNvGrpSpPr/>
                      <wpg:grpSpPr>
                        <a:xfrm>
                          <a:off x="0" y="0"/>
                          <a:ext cx="4505783" cy="1186180"/>
                          <a:chOff x="0" y="0"/>
                          <a:chExt cx="4505783" cy="1142083"/>
                        </a:xfrm>
                      </wpg:grpSpPr>
                      <wps:wsp>
                        <wps:cNvPr id="31" name="Flowchart: Process 50"/>
                        <wps:cNvSpPr>
                          <a:spLocks noChangeArrowheads="1"/>
                        </wps:cNvSpPr>
                        <wps:spPr bwMode="auto">
                          <a:xfrm>
                            <a:off x="0" y="688693"/>
                            <a:ext cx="728980" cy="453390"/>
                          </a:xfrm>
                          <a:prstGeom prst="flowChartProcess">
                            <a:avLst/>
                          </a:prstGeom>
                          <a:solidFill>
                            <a:srgbClr val="FFFFFF"/>
                          </a:solidFill>
                          <a:ln w="9525">
                            <a:solidFill>
                              <a:srgbClr val="000000"/>
                            </a:solidFill>
                            <a:miter lim="800000"/>
                            <a:headEnd/>
                            <a:tailEnd/>
                          </a:ln>
                        </wps:spPr>
                        <wps:txbx>
                          <w:txbxContent>
                            <w:p w:rsidR="00145E4B" w:rsidRPr="00A408F9" w:rsidRDefault="00145E4B" w:rsidP="00C50ED6">
                              <w:pPr>
                                <w:spacing w:line="280" w:lineRule="atLeast"/>
                                <w:jc w:val="center"/>
                              </w:pPr>
                              <w:r>
                                <w:t>Simulateur</w:t>
                              </w:r>
                              <w:r>
                                <w:br/>
                                <w:t>de signaux</w:t>
                              </w:r>
                            </w:p>
                          </w:txbxContent>
                        </wps:txbx>
                        <wps:bodyPr rot="0" vert="horz" wrap="square" lIns="0" tIns="0" rIns="0" bIns="0" anchor="t" anchorCtr="0" upright="1">
                          <a:noAutofit/>
                        </wps:bodyPr>
                      </wps:wsp>
                      <wps:wsp>
                        <wps:cNvPr id="32" name="Flowchart: Process 55"/>
                        <wps:cNvSpPr>
                          <a:spLocks noChangeArrowheads="1"/>
                        </wps:cNvSpPr>
                        <wps:spPr bwMode="auto">
                          <a:xfrm>
                            <a:off x="0" y="0"/>
                            <a:ext cx="983615" cy="453390"/>
                          </a:xfrm>
                          <a:prstGeom prst="flowChartProcess">
                            <a:avLst/>
                          </a:prstGeom>
                          <a:solidFill>
                            <a:srgbClr val="FFFFFF"/>
                          </a:solidFill>
                          <a:ln w="9525">
                            <a:solidFill>
                              <a:srgbClr val="000000"/>
                            </a:solidFill>
                            <a:miter lim="800000"/>
                            <a:headEnd/>
                            <a:tailEnd/>
                          </a:ln>
                        </wps:spPr>
                        <wps:txbx>
                          <w:txbxContent>
                            <w:p w:rsidR="00145E4B" w:rsidRPr="0013181A" w:rsidRDefault="00145E4B" w:rsidP="00C50ED6">
                              <w:pPr>
                                <w:spacing w:line="280" w:lineRule="atLeast"/>
                                <w:jc w:val="center"/>
                              </w:pPr>
                              <w:proofErr w:type="spellStart"/>
                              <w:r w:rsidRPr="00A408F9">
                                <w:rPr>
                                  <w:lang w:val="ru-RU"/>
                                </w:rPr>
                                <w:t>Att</w:t>
                              </w:r>
                              <w:r>
                                <w:t>énuateur</w:t>
                              </w:r>
                              <w:proofErr w:type="spellEnd"/>
                              <w:r>
                                <w:rPr>
                                  <w:lang w:val="fr-FR"/>
                                </w:rPr>
                                <w:t xml:space="preserve"> </w:t>
                              </w:r>
                              <w:r w:rsidRPr="00A408F9">
                                <w:rPr>
                                  <w:lang w:val="fr-FR"/>
                                </w:rPr>
                                <w:t>2</w:t>
                              </w:r>
                              <w:r>
                                <w:rPr>
                                  <w:lang w:val="fr-FR"/>
                                </w:rPr>
                                <w:br/>
                              </w:r>
                              <w:r>
                                <w:t>(</w:t>
                              </w:r>
                              <w:r w:rsidRPr="00A408F9">
                                <w:rPr>
                                  <w:lang w:val="ru-RU"/>
                                </w:rPr>
                                <w:t>0</w:t>
                              </w:r>
                              <w:r>
                                <w:t xml:space="preserve"> … 1</w:t>
                              </w:r>
                              <w:r w:rsidRPr="00A408F9">
                                <w:rPr>
                                  <w:lang w:val="ru-RU"/>
                                </w:rPr>
                                <w:t>10</w:t>
                              </w:r>
                              <w:r w:rsidRPr="00A408F9">
                                <w:t xml:space="preserve"> dB</w:t>
                              </w:r>
                              <w:r>
                                <w:t>)</w:t>
                              </w:r>
                            </w:p>
                            <w:p w:rsidR="00145E4B" w:rsidRPr="00D3282F" w:rsidRDefault="00145E4B" w:rsidP="00B97C65"/>
                          </w:txbxContent>
                        </wps:txbx>
                        <wps:bodyPr rot="0" vert="horz" wrap="square" lIns="36000" tIns="36000" rIns="36000" bIns="36000" anchor="t" anchorCtr="0" upright="1">
                          <a:noAutofit/>
                        </wps:bodyPr>
                      </wps:wsp>
                      <wps:wsp>
                        <wps:cNvPr id="33" name="Flowchart: Process 56"/>
                        <wps:cNvSpPr>
                          <a:spLocks noChangeArrowheads="1"/>
                        </wps:cNvSpPr>
                        <wps:spPr bwMode="auto">
                          <a:xfrm>
                            <a:off x="1186405" y="0"/>
                            <a:ext cx="878840" cy="453390"/>
                          </a:xfrm>
                          <a:prstGeom prst="flowChartProcess">
                            <a:avLst/>
                          </a:prstGeom>
                          <a:solidFill>
                            <a:srgbClr val="FFFFFF"/>
                          </a:solidFill>
                          <a:ln w="9525">
                            <a:solidFill>
                              <a:srgbClr val="000000"/>
                            </a:solidFill>
                            <a:miter lim="800000"/>
                            <a:headEnd/>
                            <a:tailEnd/>
                          </a:ln>
                        </wps:spPr>
                        <wps:txbx>
                          <w:txbxContent>
                            <w:p w:rsidR="00145E4B" w:rsidRPr="0013181A" w:rsidRDefault="00145E4B" w:rsidP="00C50ED6">
                              <w:pPr>
                                <w:spacing w:line="280" w:lineRule="atLeast"/>
                                <w:jc w:val="center"/>
                              </w:pPr>
                              <w:proofErr w:type="spellStart"/>
                              <w:r w:rsidRPr="00A408F9">
                                <w:rPr>
                                  <w:lang w:val="ru-RU"/>
                                </w:rPr>
                                <w:t>Att</w:t>
                              </w:r>
                              <w:r>
                                <w:t>énuateur</w:t>
                              </w:r>
                              <w:proofErr w:type="spellEnd"/>
                              <w:r>
                                <w:t xml:space="preserve"> </w:t>
                              </w:r>
                              <w:r w:rsidRPr="005F7EE5">
                                <w:rPr>
                                  <w:lang w:val="fr-FR"/>
                                </w:rPr>
                                <w:t>1</w:t>
                              </w:r>
                              <w:r>
                                <w:rPr>
                                  <w:lang w:val="fr-FR"/>
                                </w:rPr>
                                <w:t xml:space="preserve"> </w:t>
                              </w:r>
                              <w:r>
                                <w:t>(</w:t>
                              </w:r>
                              <w:r w:rsidRPr="00C765DD">
                                <w:rPr>
                                  <w:lang w:val="ru-RU"/>
                                </w:rPr>
                                <w:t>0</w:t>
                              </w:r>
                              <w:r>
                                <w:t xml:space="preserve"> … 1</w:t>
                              </w:r>
                              <w:r w:rsidRPr="00C765DD">
                                <w:rPr>
                                  <w:lang w:val="ru-RU"/>
                                </w:rPr>
                                <w:t>1</w:t>
                              </w:r>
                              <w:r>
                                <w:t xml:space="preserve"> </w:t>
                              </w:r>
                              <w:r w:rsidRPr="00C765DD">
                                <w:t>dB</w:t>
                              </w:r>
                              <w:r>
                                <w:t>)</w:t>
                              </w:r>
                            </w:p>
                            <w:p w:rsidR="00145E4B" w:rsidRPr="00082EDF" w:rsidRDefault="00145E4B" w:rsidP="00B97C65">
                              <w:pPr>
                                <w:spacing w:line="360" w:lineRule="auto"/>
                                <w:jc w:val="center"/>
                              </w:pPr>
                            </w:p>
                          </w:txbxContent>
                        </wps:txbx>
                        <wps:bodyPr rot="0" vert="horz" wrap="square" lIns="36000" tIns="36000" rIns="36000" bIns="36000" anchor="t" anchorCtr="0" upright="1">
                          <a:noAutofit/>
                        </wps:bodyPr>
                      </wps:wsp>
                      <wps:wsp>
                        <wps:cNvPr id="34" name="Flowchart: Process 57"/>
                        <wps:cNvSpPr>
                          <a:spLocks noChangeArrowheads="1"/>
                        </wps:cNvSpPr>
                        <wps:spPr bwMode="auto">
                          <a:xfrm>
                            <a:off x="2274425" y="0"/>
                            <a:ext cx="1003300" cy="453390"/>
                          </a:xfrm>
                          <a:prstGeom prst="flowChartProcess">
                            <a:avLst/>
                          </a:prstGeom>
                          <a:solidFill>
                            <a:srgbClr val="FFFFFF"/>
                          </a:solidFill>
                          <a:ln w="9525">
                            <a:solidFill>
                              <a:srgbClr val="000000"/>
                            </a:solidFill>
                            <a:miter lim="800000"/>
                            <a:headEnd/>
                            <a:tailEnd/>
                          </a:ln>
                        </wps:spPr>
                        <wps:txbx>
                          <w:txbxContent>
                            <w:p w:rsidR="00145E4B" w:rsidRPr="009A75F4" w:rsidRDefault="00145E4B" w:rsidP="00C50ED6">
                              <w:pPr>
                                <w:spacing w:line="280" w:lineRule="atLeast"/>
                                <w:jc w:val="center"/>
                                <w:rPr>
                                  <w:szCs w:val="18"/>
                                </w:rPr>
                              </w:pPr>
                              <w:r w:rsidRPr="003A1D35">
                                <w:t>Amplificateur</w:t>
                              </w:r>
                              <w:r>
                                <w:t xml:space="preserve"> </w:t>
                              </w:r>
                              <w:r>
                                <w:br/>
                                <w:t>à faible bruit</w:t>
                              </w:r>
                            </w:p>
                          </w:txbxContent>
                        </wps:txbx>
                        <wps:bodyPr rot="0" vert="horz" wrap="square" lIns="36000" tIns="36000" rIns="36000" bIns="36000" anchor="t" anchorCtr="0" upright="1">
                          <a:noAutofit/>
                        </wps:bodyPr>
                      </wps:wsp>
                      <wps:wsp>
                        <wps:cNvPr id="35" name="Flowchart: Process 58"/>
                        <wps:cNvSpPr>
                          <a:spLocks noChangeArrowheads="1"/>
                        </wps:cNvSpPr>
                        <wps:spPr bwMode="auto">
                          <a:xfrm>
                            <a:off x="3541853" y="0"/>
                            <a:ext cx="963930" cy="415925"/>
                          </a:xfrm>
                          <a:prstGeom prst="flowChartProcess">
                            <a:avLst/>
                          </a:prstGeom>
                          <a:solidFill>
                            <a:srgbClr val="FFFFFF"/>
                          </a:solidFill>
                          <a:ln w="9525">
                            <a:solidFill>
                              <a:srgbClr val="000000"/>
                            </a:solidFill>
                            <a:miter lim="800000"/>
                            <a:headEnd/>
                            <a:tailEnd/>
                          </a:ln>
                        </wps:spPr>
                        <wps:txbx>
                          <w:txbxContent>
                            <w:p w:rsidR="00145E4B" w:rsidRPr="00A408F9" w:rsidRDefault="00145E4B" w:rsidP="00C50ED6">
                              <w:pPr>
                                <w:spacing w:line="280" w:lineRule="atLeast"/>
                                <w:jc w:val="center"/>
                              </w:pPr>
                              <w:r w:rsidRPr="00A408F9">
                                <w:t>AECD/AECS</w:t>
                              </w:r>
                            </w:p>
                          </w:txbxContent>
                        </wps:txbx>
                        <wps:bodyPr rot="0" vert="horz" wrap="square" lIns="91440" tIns="45720" rIns="91440" bIns="45720" anchor="t" anchorCtr="0" upright="1">
                          <a:noAutofit/>
                        </wps:bodyPr>
                      </wps:wsp>
                      <wps:wsp>
                        <wps:cNvPr id="36" name="Flowchart: Process 49"/>
                        <wps:cNvSpPr>
                          <a:spLocks noChangeArrowheads="1"/>
                        </wps:cNvSpPr>
                        <wps:spPr bwMode="auto">
                          <a:xfrm>
                            <a:off x="1400536" y="665544"/>
                            <a:ext cx="1587500" cy="476250"/>
                          </a:xfrm>
                          <a:prstGeom prst="flowChartProcess">
                            <a:avLst/>
                          </a:prstGeom>
                          <a:solidFill>
                            <a:srgbClr val="FFFFFF"/>
                          </a:solidFill>
                          <a:ln w="9525">
                            <a:solidFill>
                              <a:srgbClr val="000000"/>
                            </a:solidFill>
                            <a:miter lim="800000"/>
                            <a:headEnd/>
                            <a:tailEnd/>
                          </a:ln>
                        </wps:spPr>
                        <wps:txbx>
                          <w:txbxContent>
                            <w:p w:rsidR="00145E4B" w:rsidRPr="00473929" w:rsidRDefault="00145E4B" w:rsidP="00C50ED6">
                              <w:pPr>
                                <w:spacing w:line="280" w:lineRule="atLeast"/>
                                <w:jc w:val="center"/>
                              </w:pPr>
                              <w:r>
                                <w:t>Ordinateur personnel</w:t>
                              </w:r>
                            </w:p>
                          </w:txbxContent>
                        </wps:txbx>
                        <wps:bodyPr rot="0" vert="horz" wrap="square" lIns="91440" tIns="45720" rIns="91440" bIns="45720" anchor="ctr" anchorCtr="0" upright="1">
                          <a:noAutofit/>
                        </wps:bodyPr>
                      </wps:wsp>
                      <wps:wsp>
                        <wps:cNvPr id="37" name="Flowchart: Process 46"/>
                        <wps:cNvSpPr>
                          <a:spLocks noChangeArrowheads="1"/>
                        </wps:cNvSpPr>
                        <wps:spPr bwMode="auto">
                          <a:xfrm>
                            <a:off x="3472405" y="665544"/>
                            <a:ext cx="878840" cy="476250"/>
                          </a:xfrm>
                          <a:prstGeom prst="flowChartProcess">
                            <a:avLst/>
                          </a:prstGeom>
                          <a:solidFill>
                            <a:srgbClr val="FFFFFF"/>
                          </a:solidFill>
                          <a:ln w="9525">
                            <a:solidFill>
                              <a:srgbClr val="000000"/>
                            </a:solidFill>
                            <a:miter lim="800000"/>
                            <a:headEnd/>
                            <a:tailEnd/>
                          </a:ln>
                        </wps:spPr>
                        <wps:txbx>
                          <w:txbxContent>
                            <w:p w:rsidR="00145E4B" w:rsidRPr="009A75F4" w:rsidRDefault="00145E4B" w:rsidP="00C50ED6">
                              <w:pPr>
                                <w:spacing w:line="280" w:lineRule="atLeast"/>
                                <w:jc w:val="center"/>
                                <w:rPr>
                                  <w:szCs w:val="18"/>
                                </w:rPr>
                              </w:pPr>
                              <w:r>
                                <w:t>Alimentation électrique</w:t>
                              </w:r>
                            </w:p>
                          </w:txbxContent>
                        </wps:txbx>
                        <wps:bodyPr rot="0" vert="horz" wrap="square" lIns="91440" tIns="36000" rIns="91440" bIns="36000" anchor="t" anchorCtr="0" upright="1">
                          <a:noAutofit/>
                        </wps:bodyPr>
                      </wps:wsp>
                      <wps:wsp>
                        <wps:cNvPr id="38" name="Straight Arrow Connector 51"/>
                        <wps:cNvCnPr>
                          <a:cxnSpLocks noChangeShapeType="1"/>
                        </wps:cNvCnPr>
                        <wps:spPr bwMode="auto">
                          <a:xfrm flipV="1">
                            <a:off x="393539" y="445625"/>
                            <a:ext cx="0" cy="243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Straight Arrow Connector 52"/>
                        <wps:cNvCnPr>
                          <a:cxnSpLocks noChangeShapeType="1"/>
                        </wps:cNvCnPr>
                        <wps:spPr bwMode="auto">
                          <a:xfrm>
                            <a:off x="989635" y="121534"/>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Straight Arrow Connector 53"/>
                        <wps:cNvCnPr>
                          <a:cxnSpLocks noChangeShapeType="1"/>
                        </wps:cNvCnPr>
                        <wps:spPr bwMode="auto">
                          <a:xfrm>
                            <a:off x="2071868" y="121534"/>
                            <a:ext cx="205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Straight Arrow Connector 54"/>
                        <wps:cNvCnPr>
                          <a:cxnSpLocks noChangeShapeType="1"/>
                        </wps:cNvCnPr>
                        <wps:spPr bwMode="auto">
                          <a:xfrm>
                            <a:off x="3281422" y="115746"/>
                            <a:ext cx="26098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Straight Arrow Connector 48"/>
                        <wps:cNvCnPr>
                          <a:cxnSpLocks noChangeShapeType="1"/>
                        </wps:cNvCnPr>
                        <wps:spPr bwMode="auto">
                          <a:xfrm flipV="1">
                            <a:off x="3981691" y="422476"/>
                            <a:ext cx="0" cy="243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Elbow Connector 45"/>
                        <wps:cNvCnPr>
                          <a:cxnSpLocks noChangeShapeType="1"/>
                        </wps:cNvCnPr>
                        <wps:spPr bwMode="auto">
                          <a:xfrm rot="10800000" flipV="1">
                            <a:off x="2986268" y="555584"/>
                            <a:ext cx="995045" cy="318135"/>
                          </a:xfrm>
                          <a:prstGeom prst="bentConnector3">
                            <a:avLst>
                              <a:gd name="adj1" fmla="val 6668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117" o:spid="_x0000_s1075" style="width:354.8pt;height:93.4pt;mso-position-horizontal-relative:char;mso-position-vertical-relative:line" coordsize="45057,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">
                <v:shape id="Flowchart: Process 50" o:spid="_x0000_s1076" type="#_x0000_t109" style="position:absolute;top:6886;width:7289;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sur8QA&#10;AADbAAAADwAAAGRycy9kb3ducmV2LnhtbESPQWsCMRSE7wX/Q3iCF6lZrZWyGmVRpHqzVqTHx+a5&#10;u7h5WZKo2/56Iwg9DjPzDTNbtKYWV3K+sqxgOEhAEOdWV1woOHyvXz9A+ICssbZMCn7Jw2LeeZlh&#10;qu2Nv+i6D4WIEPYpKihDaFIpfV6SQT+wDXH0TtYZDFG6QmqHtwg3tRwlyUQarDgulNjQsqT8vL8Y&#10;BcnneLvxbT/j4+pHL9//MNu5iVK9bptNQQRqw3/42d5oBW9DeHy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rLq/EAAAA2wAAAA8AAAAAAAAAAAAAAAAAmAIAAGRycy9k&#10;b3ducmV2LnhtbFBLBQYAAAAABAAEAPUAAACJAwAAAAA=&#10;">
                  <v:textbox inset="0,0,0,0">
                    <w:txbxContent>
                      <w:p w:rsidR="00145E4B" w:rsidRPr="00A408F9" w:rsidRDefault="00145E4B" w:rsidP="00C50ED6">
                        <w:pPr>
                          <w:spacing w:line="280" w:lineRule="atLeast"/>
                          <w:jc w:val="center"/>
                        </w:pPr>
                        <w:r>
                          <w:t>Simulateur</w:t>
                        </w:r>
                        <w:r>
                          <w:br/>
                          <w:t>de signaux</w:t>
                        </w:r>
                      </w:p>
                    </w:txbxContent>
                  </v:textbox>
                </v:shape>
                <v:shape id="Flowchart: Process 55" o:spid="_x0000_s1077" type="#_x0000_t109" style="position:absolute;width:9836;height:4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ory8MA&#10;AADbAAAADwAAAGRycy9kb3ducmV2LnhtbESPT4vCMBTE74LfITxhL6KJFqRUo7iLglf/4LK3Z/Ns&#10;i81LaaJ2v71ZWPA4zMxvmMWqs7V4UOsrxxomYwWCOHem4kLD6bgdpSB8QDZYOyYNv+Rhtez3FpgZ&#10;9+Q9PQ6hEBHCPkMNZQhNJqXPS7Lox64hjt7VtRZDlG0hTYvPCLe1nCo1kxYrjgslNvRVUn473K2G&#10;KknMt/3ZqXDenCefl+FQJeld649Bt56DCNSFd/i/vTMakin8fYk/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ory8MAAADbAAAADwAAAAAAAAAAAAAAAACYAgAAZHJzL2Rv&#10;d25yZXYueG1sUEsFBgAAAAAEAAQA9QAAAIgDAAAAAA==&#10;">
                  <v:textbox inset="1mm,1mm,1mm,1mm">
                    <w:txbxContent>
                      <w:p w:rsidR="00145E4B" w:rsidRPr="0013181A" w:rsidRDefault="00145E4B" w:rsidP="00C50ED6">
                        <w:pPr>
                          <w:spacing w:line="280" w:lineRule="atLeast"/>
                          <w:jc w:val="center"/>
                        </w:pPr>
                        <w:proofErr w:type="spellStart"/>
                        <w:r w:rsidRPr="00A408F9">
                          <w:rPr>
                            <w:lang w:val="ru-RU"/>
                          </w:rPr>
                          <w:t>Att</w:t>
                        </w:r>
                        <w:r>
                          <w:t>énuateur</w:t>
                        </w:r>
                        <w:proofErr w:type="spellEnd"/>
                        <w:r>
                          <w:rPr>
                            <w:lang w:val="fr-FR"/>
                          </w:rPr>
                          <w:t xml:space="preserve"> </w:t>
                        </w:r>
                        <w:r w:rsidRPr="00A408F9">
                          <w:rPr>
                            <w:lang w:val="fr-FR"/>
                          </w:rPr>
                          <w:t>2</w:t>
                        </w:r>
                        <w:r>
                          <w:rPr>
                            <w:lang w:val="fr-FR"/>
                          </w:rPr>
                          <w:br/>
                        </w:r>
                        <w:r>
                          <w:t>(</w:t>
                        </w:r>
                        <w:r w:rsidRPr="00A408F9">
                          <w:rPr>
                            <w:lang w:val="ru-RU"/>
                          </w:rPr>
                          <w:t>0</w:t>
                        </w:r>
                        <w:r>
                          <w:t xml:space="preserve"> … 1</w:t>
                        </w:r>
                        <w:r w:rsidRPr="00A408F9">
                          <w:rPr>
                            <w:lang w:val="ru-RU"/>
                          </w:rPr>
                          <w:t>10</w:t>
                        </w:r>
                        <w:r w:rsidRPr="00A408F9">
                          <w:t xml:space="preserve"> dB</w:t>
                        </w:r>
                        <w:r>
                          <w:t>)</w:t>
                        </w:r>
                      </w:p>
                      <w:p w:rsidR="00145E4B" w:rsidRPr="00D3282F" w:rsidRDefault="00145E4B" w:rsidP="00B97C65"/>
                    </w:txbxContent>
                  </v:textbox>
                </v:shape>
                <v:shape id="Flowchart: Process 56" o:spid="_x0000_s1078" type="#_x0000_t109" style="position:absolute;left:11864;width:8788;height:4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OUMQA&#10;AADbAAAADwAAAGRycy9kb3ducmV2LnhtbESPT2sCMRTE70K/Q3hCL1ITDYhsNyu2VPDqH5TeXjev&#10;u0s3L8sm6vbbm0LB4zAzv2Hy1eBacaU+NJ4NzKYKBHHpbcOVgeNh87IEESKyxdYzGfilAKviaZRj&#10;Zv2Nd3Tdx0okCIcMDdQxdpmUoazJYZj6jjh53753GJPsK2l7vCW4a+VcqYV02HBaqLGj95rKn/3F&#10;GWi0tmf3uVXx9HGavX1NJkovL8Y8j4f1K4hIQ3yE/9tba0Br+PuSfoA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jlDEAAAA2wAAAA8AAAAAAAAAAAAAAAAAmAIAAGRycy9k&#10;b3ducmV2LnhtbFBLBQYAAAAABAAEAPUAAACJAwAAAAA=&#10;">
                  <v:textbox inset="1mm,1mm,1mm,1mm">
                    <w:txbxContent>
                      <w:p w:rsidR="00145E4B" w:rsidRPr="0013181A" w:rsidRDefault="00145E4B" w:rsidP="00C50ED6">
                        <w:pPr>
                          <w:spacing w:line="280" w:lineRule="atLeast"/>
                          <w:jc w:val="center"/>
                        </w:pPr>
                        <w:proofErr w:type="spellStart"/>
                        <w:r w:rsidRPr="00A408F9">
                          <w:rPr>
                            <w:lang w:val="ru-RU"/>
                          </w:rPr>
                          <w:t>Att</w:t>
                        </w:r>
                        <w:r>
                          <w:t>énuateur</w:t>
                        </w:r>
                        <w:proofErr w:type="spellEnd"/>
                        <w:r>
                          <w:t xml:space="preserve"> </w:t>
                        </w:r>
                        <w:r w:rsidRPr="005F7EE5">
                          <w:rPr>
                            <w:lang w:val="fr-FR"/>
                          </w:rPr>
                          <w:t>1</w:t>
                        </w:r>
                        <w:r>
                          <w:rPr>
                            <w:lang w:val="fr-FR"/>
                          </w:rPr>
                          <w:t xml:space="preserve"> </w:t>
                        </w:r>
                        <w:r>
                          <w:t>(</w:t>
                        </w:r>
                        <w:r w:rsidRPr="00C765DD">
                          <w:rPr>
                            <w:lang w:val="ru-RU"/>
                          </w:rPr>
                          <w:t>0</w:t>
                        </w:r>
                        <w:r>
                          <w:t xml:space="preserve"> … 1</w:t>
                        </w:r>
                        <w:r w:rsidRPr="00C765DD">
                          <w:rPr>
                            <w:lang w:val="ru-RU"/>
                          </w:rPr>
                          <w:t>1</w:t>
                        </w:r>
                        <w:r>
                          <w:t xml:space="preserve"> </w:t>
                        </w:r>
                        <w:r w:rsidRPr="00C765DD">
                          <w:t>dB</w:t>
                        </w:r>
                        <w:r>
                          <w:t>)</w:t>
                        </w:r>
                      </w:p>
                      <w:p w:rsidR="00145E4B" w:rsidRPr="00082EDF" w:rsidRDefault="00145E4B" w:rsidP="00B97C65">
                        <w:pPr>
                          <w:spacing w:line="360" w:lineRule="auto"/>
                          <w:jc w:val="center"/>
                        </w:pPr>
                      </w:p>
                    </w:txbxContent>
                  </v:textbox>
                </v:shape>
                <v:shape id="Flowchart: Process 57" o:spid="_x0000_s1079" type="#_x0000_t109" style="position:absolute;left:22744;width:10033;height:4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8WJMMA&#10;AADbAAAADwAAAGRycy9kb3ducmV2LnhtbESPT4vCMBTE78J+h/AWvMiaaEWka5RVFLz6Bxdvz+Zt&#10;W7Z5KU3U+u2NIHgcZuY3zHTe2kpcqfGlYw2DvgJBnDlTcq7hsF9/TUD4gGywckwa7uRhPvvoTDE1&#10;7sZbuu5CLiKEfYoaihDqVEqfFWTR911NHL0/11gMUTa5NA3eItxWcqjUWFosOS4UWNOyoOx/d7Ea&#10;yiQxv/a0UeG4Og4W515PJZOL1t3P9ucbRKA2vMOv9sZoSEb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8WJMMAAADbAAAADwAAAAAAAAAAAAAAAACYAgAAZHJzL2Rv&#10;d25yZXYueG1sUEsFBgAAAAAEAAQA9QAAAIgDAAAAAA==&#10;">
                  <v:textbox inset="1mm,1mm,1mm,1mm">
                    <w:txbxContent>
                      <w:p w:rsidR="00145E4B" w:rsidRPr="009A75F4" w:rsidRDefault="00145E4B" w:rsidP="00C50ED6">
                        <w:pPr>
                          <w:spacing w:line="280" w:lineRule="atLeast"/>
                          <w:jc w:val="center"/>
                          <w:rPr>
                            <w:szCs w:val="18"/>
                          </w:rPr>
                        </w:pPr>
                        <w:r w:rsidRPr="003A1D35">
                          <w:t>Amplificateur</w:t>
                        </w:r>
                        <w:r>
                          <w:t xml:space="preserve"> </w:t>
                        </w:r>
                        <w:r>
                          <w:br/>
                          <w:t>à faible bruit</w:t>
                        </w:r>
                      </w:p>
                    </w:txbxContent>
                  </v:textbox>
                </v:shape>
                <v:shape id="Flowchart: Process 58" o:spid="_x0000_s1080" type="#_x0000_t109" style="position:absolute;left:35418;width:9639;height:4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Hdw8YA&#10;AADbAAAADwAAAGRycy9kb3ducmV2LnhtbESPQWvCQBSE74L/YXlCL9JsNFpC6iqlEImHHoy99Paa&#10;fU1Cs29Ddhvjv+8WCh6HmfmG2R0m04mRBtdaVrCKYhDEldUt1wreL/ljCsJ5ZI2dZVJwIweH/Xy2&#10;w0zbK59pLH0tAoRdhgoa7/tMSlc1ZNBFticO3pcdDPogh1rqAa8Bbjq5juMnabDlsNBgT68NVd/l&#10;j1GwTpflkd/yYvN50jluVx/jMjkp9bCYXp5BeJr8PfzfLrSCZAt/X8IPkP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Hdw8YAAADbAAAADwAAAAAAAAAAAAAAAACYAgAAZHJz&#10;L2Rvd25yZXYueG1sUEsFBgAAAAAEAAQA9QAAAIsDAAAAAA==&#10;">
                  <v:textbox>
                    <w:txbxContent>
                      <w:p w:rsidR="00145E4B" w:rsidRPr="00A408F9" w:rsidRDefault="00145E4B" w:rsidP="00C50ED6">
                        <w:pPr>
                          <w:spacing w:line="280" w:lineRule="atLeast"/>
                          <w:jc w:val="center"/>
                        </w:pPr>
                        <w:r w:rsidRPr="00A408F9">
                          <w:t>AECD/AECS</w:t>
                        </w:r>
                      </w:p>
                    </w:txbxContent>
                  </v:textbox>
                </v:shape>
                <v:shape id="Flowchart: Process 49" o:spid="_x0000_s1081" type="#_x0000_t109" style="position:absolute;left:14005;top:6655;width:15875;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2vIsQA&#10;AADbAAAADwAAAGRycy9kb3ducmV2LnhtbESPQWvCQBSE7wX/w/IEL6VuqiUtqatUQRAvRS09v2Zf&#10;k7R5b2N21fjvXUHwOMzMN8xk1nGtjtT6yomB52ECiiR3tpLCwNdu+fQGygcUi7UTMnAmD7Np72GC&#10;mXUn2dBxGwoVIeIzNFCG0GRa+7wkRj90DUn0fl3LGKJsC21bPEU413qUJKlmrCQulNjQoqT8f3tg&#10;A3P+cX/f1eY1feHuUYp9yofPtTGDfvfxDipQF+7hW3tlDYxTuH6JP0B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ryLEAAAA2wAAAA8AAAAAAAAAAAAAAAAAmAIAAGRycy9k&#10;b3ducmV2LnhtbFBLBQYAAAAABAAEAPUAAACJAwAAAAA=&#10;">
                  <v:textbox>
                    <w:txbxContent>
                      <w:p w:rsidR="00145E4B" w:rsidRPr="00473929" w:rsidRDefault="00145E4B" w:rsidP="00C50ED6">
                        <w:pPr>
                          <w:spacing w:line="280" w:lineRule="atLeast"/>
                          <w:jc w:val="center"/>
                        </w:pPr>
                        <w:r>
                          <w:t>Ordinateur personnel</w:t>
                        </w:r>
                      </w:p>
                    </w:txbxContent>
                  </v:textbox>
                </v:shape>
                <v:shape id="Flowchart: Process 46" o:spid="_x0000_s1082" type="#_x0000_t109" style="position:absolute;left:34724;top:6655;width:8788;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YcB8IA&#10;AADbAAAADwAAAGRycy9kb3ducmV2LnhtbESP32rCMBTG7we+QzjC7maihW1Uo4hsMKQbrPoAh+bY&#10;FpOT0sS2vv0yGOzy4/vz49vsJmfFQH1oPWtYLhQI4sqblmsN59P70yuIEJENWs+k4U4BdtvZwwZz&#10;40f+pqGMtUgjHHLU0MTY5VKGqiGHYeE74uRdfO8wJtnX0vQ4pnFn5UqpZ+mw5URosKNDQ9W1vLnE&#10;vb1NhfnMbFRFeflanexRSav143zar0FEmuJ/+K/9YTRkL/D7Jf0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hhwHwgAAANsAAAAPAAAAAAAAAAAAAAAAAJgCAABkcnMvZG93&#10;bnJldi54bWxQSwUGAAAAAAQABAD1AAAAhwMAAAAA&#10;">
                  <v:textbox inset=",1mm,,1mm">
                    <w:txbxContent>
                      <w:p w:rsidR="00145E4B" w:rsidRPr="009A75F4" w:rsidRDefault="00145E4B" w:rsidP="00C50ED6">
                        <w:pPr>
                          <w:spacing w:line="280" w:lineRule="atLeast"/>
                          <w:jc w:val="center"/>
                          <w:rPr>
                            <w:szCs w:val="18"/>
                          </w:rPr>
                        </w:pPr>
                        <w:r>
                          <w:t>Alimentation électrique</w:t>
                        </w:r>
                      </w:p>
                    </w:txbxContent>
                  </v:textbox>
                </v:shape>
                <v:shape id="Straight Arrow Connector 51" o:spid="_x0000_s1083" type="#_x0000_t32" style="position:absolute;left:3935;top:4456;width:0;height:24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v:shape id="Straight Arrow Connector 52" o:spid="_x0000_s1084" type="#_x0000_t32" style="position:absolute;left:9896;top:1215;width:190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Straight Arrow Connector 53" o:spid="_x0000_s1085" type="#_x0000_t32" style="position:absolute;left:20718;top:1215;width:20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Straight Arrow Connector 54" o:spid="_x0000_s1086" type="#_x0000_t32" style="position:absolute;left:32814;top:1157;width:2610;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Straight Arrow Connector 48" o:spid="_x0000_s1087" type="#_x0000_t32" style="position:absolute;left:39816;top:4224;width:0;height:24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Aup8MAAADbAAAADwAAAGRycy9kb3ducmV2LnhtbESPQYvCMBSE7wv+h/AEL8uaVha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gLqfDAAAA2wAAAA8AAAAAAAAAAAAA&#10;AAAAoQIAAGRycy9kb3ducmV2LnhtbFBLBQYAAAAABAAEAPkAAACRAwAAAAA=&#10;"/>
                <v:shape id="Elbow Connector 45" o:spid="_x0000_s1088" type="#_x0000_t34" style="position:absolute;left:29862;top:5555;width:9951;height:318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vjFMUAAADbAAAADwAAAGRycy9kb3ducmV2LnhtbESPQWsCMRSE7wX/Q3hCbzWrFpHVKCJY&#10;KvZSK6i35+a5u7p52SZRt/31TUHwOMzMN8x42phKXMn50rKCbicBQZxZXXKuYPO1eBmC8AFZY2WZ&#10;FPyQh+mk9TTGVNsbf9J1HXIRIexTVFCEUKdS+qwgg75ja+LoHa0zGKJ0udQObxFuKtlLkoE0WHJc&#10;KLCmeUHZeX0xCi6rU+bp7fvjt9w1+f7Q3y7nbqvUc7uZjUAEasIjfG+/awWvffj/En+An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vjFMUAAADbAAAADwAAAAAAAAAA&#10;AAAAAAChAgAAZHJzL2Rvd25yZXYueG1sUEsFBgAAAAAEAAQA+QAAAJMDAAAAAA==&#10;" adj="14404">
                  <v:stroke endarrow="block"/>
                </v:shape>
                <w10:anchorlock/>
              </v:group>
            </w:pict>
          </mc:Fallback>
        </mc:AlternateContent>
      </w:r>
    </w:p>
    <w:p w:rsidR="00315142" w:rsidRPr="00E07570" w:rsidRDefault="00315142" w:rsidP="00315142">
      <w:pPr>
        <w:pStyle w:val="SingleTxtG"/>
        <w:ind w:left="2268" w:hanging="1134"/>
      </w:pPr>
      <w:r w:rsidRPr="00E07570">
        <w:t>2.7.5</w:t>
      </w:r>
      <w:r w:rsidRPr="00E07570">
        <w:tab/>
        <w:t>Préparer et allumer l</w:t>
      </w:r>
      <w:r w:rsidR="00145E4B">
        <w:t>’</w:t>
      </w:r>
      <w:r w:rsidRPr="00E07570">
        <w:t>AECD/AECS en suivant les instructions du mode d</w:t>
      </w:r>
      <w:r w:rsidR="00145E4B">
        <w:t>’</w:t>
      </w:r>
      <w:r w:rsidRPr="00E07570">
        <w:t>emploi. À l</w:t>
      </w:r>
      <w:r w:rsidR="00145E4B">
        <w:t>’</w:t>
      </w:r>
      <w:r w:rsidRPr="00E07570">
        <w:t>aide du logiciel fourni par le fabricant, s</w:t>
      </w:r>
      <w:r w:rsidR="00145E4B">
        <w:t>’</w:t>
      </w:r>
      <w:r w:rsidRPr="00E07570">
        <w:t xml:space="preserve">assurer que le récepteur GNSS est réglé pour recevoir les signaux des systèmes GLONASS, </w:t>
      </w:r>
      <w:r w:rsidR="002B669D" w:rsidRPr="00E07570">
        <w:t>Galileo</w:t>
      </w:r>
      <w:r w:rsidRPr="00E07570">
        <w:t xml:space="preserve"> et GPS. Supprimer le module de navigation RAM</w:t>
      </w:r>
      <w:r w:rsidRPr="00E07570">
        <w:rPr>
          <w:rStyle w:val="FootnoteReference"/>
        </w:rPr>
        <w:footnoteReference w:id="23"/>
      </w:r>
      <w:r w:rsidRPr="00E07570">
        <w:t xml:space="preserve"> de façon à obtenir le mode départ à froid pour le module de navigation. S</w:t>
      </w:r>
      <w:r w:rsidR="00145E4B">
        <w:t>’</w:t>
      </w:r>
      <w:r w:rsidRPr="00E07570">
        <w:t>assurer que les informations relatives à la position, à la vitesse et au temps ont été réinitialisées.</w:t>
      </w:r>
    </w:p>
    <w:p w:rsidR="00315142" w:rsidRPr="00E07570" w:rsidRDefault="00315142" w:rsidP="00315142">
      <w:pPr>
        <w:pStyle w:val="SingleTxtG"/>
        <w:ind w:left="2268" w:hanging="1134"/>
      </w:pPr>
      <w:r w:rsidRPr="00E07570">
        <w:t>2.7.6</w:t>
      </w:r>
      <w:r w:rsidRPr="00E07570">
        <w:tab/>
        <w:t>Préparer le simulateur de signaux GNSS conformément aux instructions du mode d</w:t>
      </w:r>
      <w:r w:rsidR="00145E4B">
        <w:t>’</w:t>
      </w:r>
      <w:r w:rsidRPr="00E07570">
        <w:t xml:space="preserve">emploi. Lancer le scénario de simulation de signaux des systèmes, GLONASS, </w:t>
      </w:r>
      <w:r w:rsidR="002B669D" w:rsidRPr="00E07570">
        <w:t>Galileo</w:t>
      </w:r>
      <w:r w:rsidRPr="00E07570">
        <w:t xml:space="preserve"> et GPS, à l</w:t>
      </w:r>
      <w:r w:rsidR="00145E4B">
        <w:t>’</w:t>
      </w:r>
      <w:r w:rsidRPr="00E07570">
        <w:t>aide des paramètres indiqués dans le tableau </w:t>
      </w:r>
      <w:r w:rsidRPr="00E07570">
        <w:rPr>
          <w:b/>
        </w:rPr>
        <w:t>6</w:t>
      </w:r>
      <w:r w:rsidRPr="00E07570">
        <w:t xml:space="preserve">. Régler la puissance de sortie du simulateur </w:t>
      </w:r>
      <w:proofErr w:type="gramStart"/>
      <w:r w:rsidRPr="00E07570">
        <w:t>à</w:t>
      </w:r>
      <w:proofErr w:type="gramEnd"/>
      <w:r w:rsidRPr="00E07570">
        <w:t xml:space="preserve"> -144 dBm.</w:t>
      </w:r>
    </w:p>
    <w:p w:rsidR="00315142" w:rsidRPr="00E07570" w:rsidRDefault="00315142" w:rsidP="00315142">
      <w:pPr>
        <w:pStyle w:val="SingleTxtG"/>
        <w:ind w:left="2268" w:hanging="1134"/>
      </w:pPr>
      <w:r w:rsidRPr="00E07570">
        <w:t>2.7.7</w:t>
      </w:r>
      <w:r w:rsidRPr="00E07570">
        <w:tab/>
        <w:t>À l</w:t>
      </w:r>
      <w:r w:rsidR="00145E4B">
        <w:t>’</w:t>
      </w:r>
      <w:r w:rsidRPr="00E07570">
        <w:t>aide d</w:t>
      </w:r>
      <w:r w:rsidR="00145E4B">
        <w:t>’</w:t>
      </w:r>
      <w:r w:rsidRPr="00E07570">
        <w:t>un chronomètre, mesurer le temps qui s</w:t>
      </w:r>
      <w:r w:rsidR="00145E4B">
        <w:t>’</w:t>
      </w:r>
      <w:r w:rsidRPr="00E07570">
        <w:t>écoule entre le début de la simulation de signaux et le premier résultat de la solution de navigation.</w:t>
      </w:r>
    </w:p>
    <w:p w:rsidR="00315142" w:rsidRPr="00E07570" w:rsidRDefault="00315142" w:rsidP="00315142">
      <w:pPr>
        <w:pStyle w:val="SingleTxtG"/>
        <w:ind w:left="2268" w:hanging="1134"/>
      </w:pPr>
      <w:r w:rsidRPr="00E07570">
        <w:t>2.7.8</w:t>
      </w:r>
      <w:r w:rsidRPr="00E07570">
        <w:tab/>
        <w:t>Sur les atténuateurs, régler l</w:t>
      </w:r>
      <w:r w:rsidR="00145E4B">
        <w:t>’</w:t>
      </w:r>
      <w:r w:rsidRPr="00E07570">
        <w:t>atténuation du trajet signal de telle sorte que le signal émis en entrée d</w:t>
      </w:r>
      <w:r w:rsidR="00145E4B">
        <w:t>’</w:t>
      </w:r>
      <w:r w:rsidRPr="00E07570">
        <w:t xml:space="preserve">antenne soit égal </w:t>
      </w:r>
      <w:proofErr w:type="gramStart"/>
      <w:r w:rsidRPr="00E07570">
        <w:t>à</w:t>
      </w:r>
      <w:proofErr w:type="gramEnd"/>
      <w:r w:rsidRPr="00E07570">
        <w:t xml:space="preserve"> -155 dBm.</w:t>
      </w:r>
    </w:p>
    <w:p w:rsidR="00315142" w:rsidRPr="00E07570" w:rsidRDefault="00315142" w:rsidP="00315142">
      <w:pPr>
        <w:pStyle w:val="SingleTxtG"/>
        <w:ind w:left="2268" w:hanging="1134"/>
      </w:pPr>
      <w:r w:rsidRPr="00E07570">
        <w:t>2.7.9</w:t>
      </w:r>
      <w:r w:rsidRPr="00E07570">
        <w:tab/>
        <w:t>À l</w:t>
      </w:r>
      <w:r w:rsidR="00145E4B">
        <w:t>’</w:t>
      </w:r>
      <w:r w:rsidRPr="00E07570">
        <w:t>aide d</w:t>
      </w:r>
      <w:r w:rsidR="00145E4B">
        <w:t>’</w:t>
      </w:r>
      <w:r w:rsidRPr="00E07570">
        <w:t>un chronomètre, vérifier que l</w:t>
      </w:r>
      <w:r w:rsidR="00145E4B">
        <w:t>’</w:t>
      </w:r>
      <w:r w:rsidRPr="00E07570">
        <w:t>AECD/AECS continue à fournir une solution de navigation pendant au moins 600 s.</w:t>
      </w:r>
    </w:p>
    <w:p w:rsidR="00315142" w:rsidRPr="00E07570" w:rsidRDefault="00315142" w:rsidP="00315142">
      <w:pPr>
        <w:pStyle w:val="SingleTxtG"/>
        <w:ind w:left="2268" w:hanging="1134"/>
      </w:pPr>
      <w:r w:rsidRPr="00E07570">
        <w:t>2.7.10</w:t>
      </w:r>
      <w:r w:rsidRPr="00E07570">
        <w:tab/>
        <w:t>Sur les atténuateurs, régler l</w:t>
      </w:r>
      <w:r w:rsidR="00145E4B">
        <w:t>’</w:t>
      </w:r>
      <w:r w:rsidRPr="00E07570">
        <w:t>atténuation du trajet signal de telle façon que le signal en entrée d</w:t>
      </w:r>
      <w:r w:rsidR="00145E4B">
        <w:t>’</w:t>
      </w:r>
      <w:r w:rsidRPr="00E07570">
        <w:t>antenne soit égal à -150 dBm.</w:t>
      </w:r>
    </w:p>
    <w:p w:rsidR="00315142" w:rsidRPr="00E07570" w:rsidRDefault="00315142" w:rsidP="00315142">
      <w:pPr>
        <w:pStyle w:val="SingleTxtG"/>
        <w:ind w:left="2268" w:hanging="1134"/>
      </w:pPr>
      <w:r w:rsidRPr="00E07570">
        <w:t>2.7.11</w:t>
      </w:r>
      <w:r w:rsidRPr="00E07570">
        <w:tab/>
        <w:t>Débrancher le câble d</w:t>
      </w:r>
      <w:r w:rsidR="00145E4B">
        <w:t>’</w:t>
      </w:r>
      <w:r w:rsidRPr="00E07570">
        <w:t>antenne GNSS de l</w:t>
      </w:r>
      <w:r w:rsidR="00145E4B">
        <w:t>’</w:t>
      </w:r>
      <w:r w:rsidRPr="00E07570">
        <w:t>AECD/AECS et rebrancher celui</w:t>
      </w:r>
      <w:r w:rsidRPr="00E07570">
        <w:noBreakHyphen/>
        <w:t>ci au bout de 20 s.</w:t>
      </w:r>
    </w:p>
    <w:p w:rsidR="00315142" w:rsidRPr="00E07570" w:rsidRDefault="00315142" w:rsidP="006D33D5">
      <w:pPr>
        <w:pStyle w:val="SingleTxtG"/>
        <w:ind w:left="2268" w:hanging="1134"/>
      </w:pPr>
      <w:r w:rsidRPr="00E07570">
        <w:t>2.7.12</w:t>
      </w:r>
      <w:r w:rsidRPr="00E07570">
        <w:tab/>
        <w:t>À l</w:t>
      </w:r>
      <w:r w:rsidR="00145E4B">
        <w:t>’</w:t>
      </w:r>
      <w:r w:rsidRPr="00E07570">
        <w:t>aide d</w:t>
      </w:r>
      <w:r w:rsidR="00145E4B">
        <w:t>’</w:t>
      </w:r>
      <w:r w:rsidRPr="00E07570">
        <w:t>un chronomètre, déterminer le temps qui s</w:t>
      </w:r>
      <w:r w:rsidR="00145E4B">
        <w:t>’</w:t>
      </w:r>
      <w:r w:rsidRPr="00E07570">
        <w:t>écoule entre d</w:t>
      </w:r>
      <w:r w:rsidR="00145E4B">
        <w:t>’</w:t>
      </w:r>
      <w:r w:rsidRPr="00E07570">
        <w:t>une part le branchement du câble d</w:t>
      </w:r>
      <w:r w:rsidR="00145E4B">
        <w:t>’</w:t>
      </w:r>
      <w:r w:rsidRPr="00E07570">
        <w:t>antenne et d</w:t>
      </w:r>
      <w:r w:rsidR="00145E4B">
        <w:t>’</w:t>
      </w:r>
      <w:r w:rsidRPr="00E07570">
        <w:t>autre part le rétablissement de la recherche par satellite et le calcul de la solution de navigation.</w:t>
      </w:r>
    </w:p>
    <w:p w:rsidR="00315142" w:rsidRPr="00E07570" w:rsidRDefault="00315142" w:rsidP="006D33D5">
      <w:pPr>
        <w:pStyle w:val="SingleTxtG"/>
        <w:ind w:left="2268" w:hanging="1134"/>
      </w:pPr>
      <w:r w:rsidRPr="00E07570">
        <w:t>2.7.13</w:t>
      </w:r>
      <w:r w:rsidRPr="00E07570">
        <w:tab/>
        <w:t>L</w:t>
      </w:r>
      <w:r w:rsidR="00145E4B">
        <w:t>’</w:t>
      </w:r>
      <w:r w:rsidRPr="00E07570">
        <w:t>essai est considéré comme réussi si les valeurs mesurées conformément aux paragraphes 2.7.7, 2.7.9 et 2.7.12 de la présente annexe sont conformes, pour tous les échantillons d</w:t>
      </w:r>
      <w:r w:rsidR="00145E4B">
        <w:t>’</w:t>
      </w:r>
      <w:r w:rsidRPr="00E07570">
        <w:t>AECD/AECS, aux prescriptions énoncées aux paragraphes </w:t>
      </w:r>
      <w:r w:rsidRPr="00E07570">
        <w:rPr>
          <w:b/>
        </w:rPr>
        <w:t>17.3.10</w:t>
      </w:r>
      <w:r w:rsidRPr="00E07570">
        <w:t xml:space="preserve">, </w:t>
      </w:r>
      <w:r w:rsidRPr="00E07570">
        <w:rPr>
          <w:b/>
        </w:rPr>
        <w:t>26.3.10</w:t>
      </w:r>
      <w:r w:rsidRPr="00E07570">
        <w:t xml:space="preserve"> ou </w:t>
      </w:r>
      <w:r w:rsidRPr="00E07570">
        <w:rPr>
          <w:b/>
        </w:rPr>
        <w:t>35.3.10</w:t>
      </w:r>
      <w:r w:rsidRPr="00E07570">
        <w:t xml:space="preserve"> du présent Règlement</w:t>
      </w:r>
      <w:r w:rsidR="006D33D5" w:rsidRPr="00E07570">
        <w:t>.</w:t>
      </w:r>
    </w:p>
    <w:p w:rsidR="006D33D5" w:rsidRPr="00E07570" w:rsidRDefault="006D33D5" w:rsidP="006D33D5">
      <w:pPr>
        <w:pStyle w:val="HChG"/>
      </w:pPr>
      <w:r w:rsidRPr="00E07570">
        <w:br w:type="page"/>
        <w:t>Annexe 11</w:t>
      </w:r>
    </w:p>
    <w:p w:rsidR="006D33D5" w:rsidRPr="00E07570" w:rsidRDefault="006D33D5" w:rsidP="006D33D5">
      <w:pPr>
        <w:pStyle w:val="HChG"/>
      </w:pPr>
      <w:r w:rsidRPr="00E07570">
        <w:tab/>
      </w:r>
      <w:r w:rsidRPr="00E07570">
        <w:tab/>
        <w:t>Méthode d</w:t>
      </w:r>
      <w:r w:rsidR="00145E4B">
        <w:t>’</w:t>
      </w:r>
      <w:r w:rsidRPr="00E07570">
        <w:t>essai du fonctionnement de l</w:t>
      </w:r>
      <w:r w:rsidR="00145E4B">
        <w:t>’</w:t>
      </w:r>
      <w:r w:rsidRPr="00E07570">
        <w:t xml:space="preserve">AECD/AECS </w:t>
      </w:r>
      <w:r w:rsidRPr="00E07570">
        <w:br/>
        <w:t>après accident</w:t>
      </w:r>
    </w:p>
    <w:p w:rsidR="006D33D5" w:rsidRPr="00E07570" w:rsidRDefault="006D33D5" w:rsidP="006D33D5">
      <w:pPr>
        <w:pStyle w:val="SingleTxtG"/>
      </w:pPr>
      <w:r w:rsidRPr="00E07570">
        <w:t>Les méthodes d</w:t>
      </w:r>
      <w:r w:rsidR="00145E4B">
        <w:t>’</w:t>
      </w:r>
      <w:r w:rsidRPr="00E07570">
        <w:t>essai décrites ci-dessous sont interchangeables.</w:t>
      </w:r>
    </w:p>
    <w:p w:rsidR="006D33D5" w:rsidRPr="00E07570" w:rsidRDefault="006D33D5" w:rsidP="009B546B">
      <w:pPr>
        <w:pStyle w:val="Heading1"/>
        <w:spacing w:after="120"/>
        <w:rPr>
          <w:b/>
        </w:rPr>
      </w:pPr>
      <w:r w:rsidRPr="00E07570">
        <w:t xml:space="preserve">Tableau </w:t>
      </w:r>
      <w:r w:rsidRPr="00E07570">
        <w:rPr>
          <w:b/>
        </w:rPr>
        <w:t>10</w:t>
      </w:r>
      <w:r w:rsidRPr="00E07570">
        <w:t xml:space="preserve"> </w:t>
      </w:r>
      <w:r w:rsidRPr="00E07570">
        <w:br/>
      </w:r>
      <w:r w:rsidRPr="00E07570">
        <w:rPr>
          <w:b/>
        </w:rPr>
        <w:t>Essai après accident</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268"/>
        <w:gridCol w:w="4251"/>
      </w:tblGrid>
      <w:tr w:rsidR="009B546B" w:rsidRPr="00E07570" w:rsidTr="00C13116">
        <w:tc>
          <w:tcPr>
            <w:tcW w:w="851" w:type="dxa"/>
            <w:tcBorders>
              <w:top w:val="single" w:sz="4" w:space="0" w:color="auto"/>
              <w:left w:val="single" w:sz="4" w:space="0" w:color="auto"/>
              <w:bottom w:val="single" w:sz="12" w:space="0" w:color="auto"/>
              <w:right w:val="single" w:sz="4" w:space="0" w:color="auto"/>
            </w:tcBorders>
            <w:shd w:val="clear" w:color="auto" w:fill="auto"/>
            <w:vAlign w:val="bottom"/>
          </w:tcPr>
          <w:p w:rsidR="009B546B" w:rsidRPr="00E07570" w:rsidRDefault="009B546B" w:rsidP="004C1218">
            <w:pPr>
              <w:spacing w:before="80" w:after="80" w:line="200" w:lineRule="exact"/>
              <w:ind w:left="57" w:right="57"/>
              <w:jc w:val="center"/>
              <w:rPr>
                <w:i/>
                <w:sz w:val="16"/>
              </w:rPr>
            </w:pPr>
            <w:r w:rsidRPr="00E07570">
              <w:rPr>
                <w:i/>
                <w:sz w:val="16"/>
              </w:rPr>
              <w:t xml:space="preserve">Méthode </w:t>
            </w:r>
            <w:r w:rsidRPr="00E07570">
              <w:rPr>
                <w:i/>
                <w:sz w:val="16"/>
              </w:rPr>
              <w:br/>
              <w:t>d</w:t>
            </w:r>
            <w:r w:rsidR="00145E4B">
              <w:rPr>
                <w:i/>
                <w:sz w:val="16"/>
              </w:rPr>
              <w:t>’</w:t>
            </w:r>
            <w:r w:rsidRPr="00E07570">
              <w:rPr>
                <w:i/>
                <w:sz w:val="16"/>
              </w:rPr>
              <w:t>essai</w:t>
            </w:r>
          </w:p>
        </w:tc>
        <w:tc>
          <w:tcPr>
            <w:tcW w:w="2268" w:type="dxa"/>
            <w:tcBorders>
              <w:top w:val="single" w:sz="4" w:space="0" w:color="auto"/>
              <w:left w:val="single" w:sz="4" w:space="0" w:color="auto"/>
              <w:bottom w:val="single" w:sz="12" w:space="0" w:color="auto"/>
              <w:right w:val="single" w:sz="4" w:space="0" w:color="auto"/>
            </w:tcBorders>
            <w:shd w:val="clear" w:color="auto" w:fill="auto"/>
            <w:vAlign w:val="bottom"/>
          </w:tcPr>
          <w:p w:rsidR="009B546B" w:rsidRPr="00E07570" w:rsidRDefault="009B546B" w:rsidP="004C1218">
            <w:pPr>
              <w:spacing w:before="80" w:after="80" w:line="200" w:lineRule="exact"/>
              <w:ind w:left="57" w:right="57"/>
              <w:jc w:val="center"/>
              <w:rPr>
                <w:i/>
                <w:sz w:val="16"/>
              </w:rPr>
            </w:pPr>
            <w:r w:rsidRPr="00E07570">
              <w:rPr>
                <w:i/>
                <w:sz w:val="16"/>
              </w:rPr>
              <w:t xml:space="preserve">Vérification du fonctionnement </w:t>
            </w:r>
            <w:r w:rsidRPr="00E07570">
              <w:rPr>
                <w:i/>
                <w:sz w:val="16"/>
              </w:rPr>
              <w:br/>
              <w:t>avant accident</w:t>
            </w:r>
          </w:p>
        </w:tc>
        <w:tc>
          <w:tcPr>
            <w:tcW w:w="4251" w:type="dxa"/>
            <w:tcBorders>
              <w:top w:val="single" w:sz="4" w:space="0" w:color="auto"/>
              <w:left w:val="single" w:sz="4" w:space="0" w:color="auto"/>
              <w:bottom w:val="single" w:sz="12" w:space="0" w:color="auto"/>
              <w:right w:val="single" w:sz="4" w:space="0" w:color="auto"/>
            </w:tcBorders>
            <w:shd w:val="clear" w:color="auto" w:fill="auto"/>
            <w:vAlign w:val="center"/>
          </w:tcPr>
          <w:p w:rsidR="009B546B" w:rsidRPr="00E07570" w:rsidRDefault="009B546B" w:rsidP="00C13116">
            <w:pPr>
              <w:spacing w:before="80" w:after="80" w:line="200" w:lineRule="exact"/>
              <w:ind w:left="57" w:right="57"/>
              <w:jc w:val="center"/>
              <w:rPr>
                <w:i/>
                <w:sz w:val="16"/>
              </w:rPr>
            </w:pPr>
            <w:r w:rsidRPr="00E07570">
              <w:rPr>
                <w:i/>
                <w:sz w:val="16"/>
              </w:rPr>
              <w:t>Fonctionnement après accident</w:t>
            </w:r>
          </w:p>
        </w:tc>
      </w:tr>
      <w:tr w:rsidR="009B546B" w:rsidRPr="00E07570" w:rsidTr="009B546B">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9B546B" w:rsidRPr="00E07570" w:rsidRDefault="009B546B" w:rsidP="009B546B">
            <w:pPr>
              <w:spacing w:before="60" w:after="60"/>
              <w:ind w:left="57" w:right="57"/>
              <w:jc w:val="center"/>
            </w:pPr>
            <w:r w:rsidRPr="00E07570">
              <w:t>1</w:t>
            </w:r>
          </w:p>
        </w:tc>
        <w:tc>
          <w:tcPr>
            <w:tcW w:w="2268" w:type="dxa"/>
            <w:vMerge w:val="restart"/>
            <w:tcBorders>
              <w:top w:val="single" w:sz="12" w:space="0" w:color="auto"/>
              <w:left w:val="single" w:sz="4" w:space="0" w:color="auto"/>
              <w:right w:val="single" w:sz="4" w:space="0" w:color="auto"/>
            </w:tcBorders>
            <w:shd w:val="clear" w:color="auto" w:fill="auto"/>
            <w:vAlign w:val="center"/>
          </w:tcPr>
          <w:p w:rsidR="009B546B" w:rsidRPr="00E07570" w:rsidRDefault="009B546B" w:rsidP="009B546B">
            <w:pPr>
              <w:spacing w:before="60" w:after="60"/>
              <w:ind w:left="57" w:right="57"/>
              <w:jc w:val="center"/>
            </w:pPr>
            <w:r w:rsidRPr="00E07570">
              <w:t>Déclenchement manuel</w:t>
            </w:r>
          </w:p>
        </w:tc>
        <w:tc>
          <w:tcPr>
            <w:tcW w:w="4251" w:type="dxa"/>
            <w:tcBorders>
              <w:top w:val="single" w:sz="12" w:space="0" w:color="auto"/>
              <w:left w:val="single" w:sz="4" w:space="0" w:color="auto"/>
              <w:bottom w:val="single" w:sz="4" w:space="0" w:color="auto"/>
              <w:right w:val="single" w:sz="4" w:space="0" w:color="auto"/>
            </w:tcBorders>
            <w:shd w:val="clear" w:color="auto" w:fill="auto"/>
          </w:tcPr>
          <w:p w:rsidR="009B546B" w:rsidRPr="00E07570" w:rsidRDefault="009B546B" w:rsidP="009B546B">
            <w:pPr>
              <w:spacing w:before="60" w:after="60"/>
              <w:ind w:left="57" w:right="57"/>
            </w:pPr>
            <w:r w:rsidRPr="00E07570">
              <w:t>Vérification d</w:t>
            </w:r>
            <w:r w:rsidR="00145E4B">
              <w:t>’</w:t>
            </w:r>
            <w:r w:rsidRPr="00E07570">
              <w:t>une transmission par radio du MSD et d</w:t>
            </w:r>
            <w:r w:rsidR="00145E4B">
              <w:t>’</w:t>
            </w:r>
            <w:r w:rsidRPr="00E07570">
              <w:t>une communication vocale via un PLMN réel</w:t>
            </w:r>
          </w:p>
        </w:tc>
      </w:tr>
      <w:tr w:rsidR="009B546B" w:rsidRPr="00E07570" w:rsidTr="009B546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B546B" w:rsidRPr="00E07570" w:rsidRDefault="009B546B" w:rsidP="009B546B">
            <w:pPr>
              <w:spacing w:before="60" w:after="60"/>
              <w:ind w:left="57" w:right="57"/>
              <w:jc w:val="center"/>
            </w:pPr>
            <w:r w:rsidRPr="00E07570">
              <w:t>2</w:t>
            </w:r>
          </w:p>
        </w:tc>
        <w:tc>
          <w:tcPr>
            <w:tcW w:w="2268" w:type="dxa"/>
            <w:vMerge/>
            <w:tcBorders>
              <w:left w:val="single" w:sz="4" w:space="0" w:color="auto"/>
              <w:right w:val="single" w:sz="4" w:space="0" w:color="auto"/>
            </w:tcBorders>
            <w:shd w:val="clear" w:color="auto" w:fill="auto"/>
          </w:tcPr>
          <w:p w:rsidR="009B546B" w:rsidRPr="00E07570" w:rsidRDefault="009B546B" w:rsidP="009B546B">
            <w:pPr>
              <w:spacing w:before="60" w:after="60"/>
              <w:ind w:left="57" w:right="57"/>
            </w:pPr>
          </w:p>
        </w:tc>
        <w:tc>
          <w:tcPr>
            <w:tcW w:w="4251" w:type="dxa"/>
            <w:tcBorders>
              <w:top w:val="single" w:sz="4" w:space="0" w:color="auto"/>
              <w:left w:val="single" w:sz="4" w:space="0" w:color="auto"/>
              <w:bottom w:val="single" w:sz="4" w:space="0" w:color="auto"/>
              <w:right w:val="single" w:sz="4" w:space="0" w:color="auto"/>
            </w:tcBorders>
            <w:shd w:val="clear" w:color="auto" w:fill="auto"/>
          </w:tcPr>
          <w:p w:rsidR="009B546B" w:rsidRPr="00E07570" w:rsidRDefault="009B546B" w:rsidP="009B546B">
            <w:pPr>
              <w:spacing w:before="60" w:after="60"/>
              <w:ind w:left="57" w:right="57"/>
            </w:pPr>
            <w:r w:rsidRPr="00E07570">
              <w:t>Vérification à l</w:t>
            </w:r>
            <w:r w:rsidR="00145E4B">
              <w:t>’</w:t>
            </w:r>
            <w:r w:rsidRPr="00E07570">
              <w:t>aide d</w:t>
            </w:r>
            <w:r w:rsidR="00145E4B">
              <w:t>’</w:t>
            </w:r>
            <w:r w:rsidRPr="00E07570">
              <w:t>une transmission par radio d</w:t>
            </w:r>
            <w:r w:rsidR="00145E4B">
              <w:t>’</w:t>
            </w:r>
            <w:r w:rsidRPr="00E07570">
              <w:t>un MSD et d</w:t>
            </w:r>
            <w:r w:rsidR="00145E4B">
              <w:t>’</w:t>
            </w:r>
            <w:r w:rsidRPr="00E07570">
              <w:t xml:space="preserve">une communication vocale </w:t>
            </w:r>
            <w:r w:rsidRPr="00E07570">
              <w:br/>
              <w:t>par l</w:t>
            </w:r>
            <w:r w:rsidR="00145E4B">
              <w:t>’</w:t>
            </w:r>
            <w:r w:rsidRPr="00E07570">
              <w:t>intermédiaire d</w:t>
            </w:r>
            <w:r w:rsidR="00145E4B">
              <w:t>’</w:t>
            </w:r>
            <w:r w:rsidRPr="00E07570">
              <w:t>un simulateur de réseau</w:t>
            </w:r>
          </w:p>
        </w:tc>
      </w:tr>
      <w:tr w:rsidR="009B546B" w:rsidRPr="00E07570" w:rsidTr="009B546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B546B" w:rsidRPr="00E07570" w:rsidRDefault="009B546B" w:rsidP="009B546B">
            <w:pPr>
              <w:spacing w:before="60" w:after="60"/>
              <w:ind w:left="57" w:right="57"/>
              <w:jc w:val="center"/>
            </w:pPr>
            <w:r w:rsidRPr="00E07570">
              <w:t>3</w:t>
            </w:r>
          </w:p>
        </w:tc>
        <w:tc>
          <w:tcPr>
            <w:tcW w:w="2268" w:type="dxa"/>
            <w:vMerge/>
            <w:tcBorders>
              <w:left w:val="single" w:sz="4" w:space="0" w:color="auto"/>
              <w:right w:val="single" w:sz="4" w:space="0" w:color="auto"/>
            </w:tcBorders>
            <w:shd w:val="clear" w:color="auto" w:fill="auto"/>
          </w:tcPr>
          <w:p w:rsidR="009B546B" w:rsidRPr="00E07570" w:rsidRDefault="009B546B" w:rsidP="009B546B">
            <w:pPr>
              <w:spacing w:before="60" w:after="60"/>
              <w:ind w:left="57" w:right="57"/>
            </w:pPr>
          </w:p>
        </w:tc>
        <w:tc>
          <w:tcPr>
            <w:tcW w:w="4251" w:type="dxa"/>
            <w:tcBorders>
              <w:top w:val="single" w:sz="4" w:space="0" w:color="auto"/>
              <w:left w:val="single" w:sz="4" w:space="0" w:color="auto"/>
              <w:bottom w:val="single" w:sz="4" w:space="0" w:color="auto"/>
              <w:right w:val="single" w:sz="4" w:space="0" w:color="auto"/>
            </w:tcBorders>
            <w:shd w:val="clear" w:color="auto" w:fill="auto"/>
          </w:tcPr>
          <w:p w:rsidR="009B546B" w:rsidRPr="00E07570" w:rsidRDefault="009B546B" w:rsidP="009B546B">
            <w:pPr>
              <w:spacing w:before="60" w:after="60"/>
              <w:ind w:left="57" w:right="57"/>
            </w:pPr>
            <w:r w:rsidRPr="00E07570">
              <w:t>Vérification à l</w:t>
            </w:r>
            <w:r w:rsidR="00145E4B">
              <w:t>’</w:t>
            </w:r>
            <w:r w:rsidRPr="00E07570">
              <w:t>aide d</w:t>
            </w:r>
            <w:r w:rsidR="00145E4B">
              <w:t>’</w:t>
            </w:r>
            <w:r w:rsidRPr="00E07570">
              <w:t xml:space="preserve">une connexion câblée </w:t>
            </w:r>
            <w:r w:rsidRPr="00E07570">
              <w:br/>
              <w:t>avec un simulateur de réseau</w:t>
            </w:r>
          </w:p>
        </w:tc>
      </w:tr>
      <w:tr w:rsidR="009B546B" w:rsidRPr="00E07570" w:rsidTr="009B546B">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9B546B" w:rsidRPr="00E07570" w:rsidRDefault="009B546B" w:rsidP="009B546B">
            <w:pPr>
              <w:spacing w:before="60" w:after="60"/>
              <w:ind w:left="57" w:right="57"/>
              <w:jc w:val="center"/>
            </w:pPr>
            <w:r w:rsidRPr="00E07570">
              <w:t>4</w:t>
            </w:r>
          </w:p>
        </w:tc>
        <w:tc>
          <w:tcPr>
            <w:tcW w:w="2268" w:type="dxa"/>
            <w:vMerge/>
            <w:tcBorders>
              <w:left w:val="single" w:sz="4" w:space="0" w:color="auto"/>
              <w:bottom w:val="single" w:sz="12" w:space="0" w:color="auto"/>
              <w:right w:val="single" w:sz="4" w:space="0" w:color="auto"/>
            </w:tcBorders>
            <w:shd w:val="clear" w:color="auto" w:fill="auto"/>
          </w:tcPr>
          <w:p w:rsidR="009B546B" w:rsidRPr="00E07570" w:rsidRDefault="009B546B" w:rsidP="009B546B">
            <w:pPr>
              <w:spacing w:before="60" w:after="60"/>
              <w:ind w:left="57" w:right="57"/>
            </w:pPr>
          </w:p>
        </w:tc>
        <w:tc>
          <w:tcPr>
            <w:tcW w:w="4251" w:type="dxa"/>
            <w:tcBorders>
              <w:top w:val="single" w:sz="4" w:space="0" w:color="auto"/>
              <w:left w:val="single" w:sz="4" w:space="0" w:color="auto"/>
              <w:bottom w:val="single" w:sz="12" w:space="0" w:color="auto"/>
              <w:right w:val="single" w:sz="4" w:space="0" w:color="auto"/>
            </w:tcBorders>
            <w:shd w:val="clear" w:color="auto" w:fill="auto"/>
          </w:tcPr>
          <w:p w:rsidR="009B546B" w:rsidRPr="00E07570" w:rsidRDefault="009B546B" w:rsidP="009B546B">
            <w:pPr>
              <w:spacing w:before="60" w:after="60"/>
              <w:ind w:left="57" w:right="57"/>
            </w:pPr>
            <w:r w:rsidRPr="00E07570">
              <w:t>Après le choc, placer le véhicule dans un environnement protégé et procéder à la vérification à l</w:t>
            </w:r>
            <w:r w:rsidR="00145E4B">
              <w:t>’</w:t>
            </w:r>
            <w:r w:rsidRPr="00E07570">
              <w:t>aide d</w:t>
            </w:r>
            <w:r w:rsidR="00145E4B">
              <w:t>’</w:t>
            </w:r>
            <w:r w:rsidRPr="00E07570">
              <w:t>une transmission par radio d</w:t>
            </w:r>
            <w:r w:rsidR="00145E4B">
              <w:t>’</w:t>
            </w:r>
            <w:r w:rsidRPr="00E07570">
              <w:t>un MSD et d</w:t>
            </w:r>
            <w:r w:rsidR="00145E4B">
              <w:t>’</w:t>
            </w:r>
            <w:r w:rsidRPr="00E07570">
              <w:t xml:space="preserve">une communication vocale via un simulateur </w:t>
            </w:r>
            <w:r w:rsidRPr="00E07570">
              <w:br/>
              <w:t>de réseau</w:t>
            </w:r>
          </w:p>
        </w:tc>
      </w:tr>
    </w:tbl>
    <w:p w:rsidR="009237B5" w:rsidRPr="00E07570" w:rsidRDefault="009237B5" w:rsidP="009237B5">
      <w:pPr>
        <w:pStyle w:val="SingleTxtG"/>
        <w:spacing w:before="240"/>
        <w:ind w:left="2268" w:hanging="1134"/>
      </w:pPr>
      <w:r w:rsidRPr="00E07570">
        <w:t>1.</w:t>
      </w:r>
      <w:r w:rsidRPr="00E07570">
        <w:tab/>
        <w:t>Évaluation avant accident du fonctionnement de l</w:t>
      </w:r>
      <w:r w:rsidR="00145E4B">
        <w:t>’</w:t>
      </w:r>
      <w:r w:rsidRPr="00E07570">
        <w:t>AECS :</w:t>
      </w:r>
    </w:p>
    <w:p w:rsidR="009237B5" w:rsidRPr="00E07570" w:rsidRDefault="009237B5" w:rsidP="009237B5">
      <w:pPr>
        <w:pStyle w:val="SingleTxtG"/>
        <w:ind w:left="2268"/>
      </w:pPr>
      <w:r w:rsidRPr="00E07570">
        <w:t>Le service technique doit au moins vérifier que le processus d</w:t>
      </w:r>
      <w:r w:rsidR="00145E4B">
        <w:t>’</w:t>
      </w:r>
      <w:r w:rsidRPr="00E07570">
        <w:t>appel d</w:t>
      </w:r>
      <w:r w:rsidR="00145E4B">
        <w:t>’</w:t>
      </w:r>
      <w:r w:rsidRPr="00E07570">
        <w:t>urgence s</w:t>
      </w:r>
      <w:r w:rsidR="00145E4B">
        <w:t>’</w:t>
      </w:r>
      <w:r w:rsidRPr="00E07570">
        <w:t>enclenche après l</w:t>
      </w:r>
      <w:r w:rsidR="00145E4B">
        <w:t>’</w:t>
      </w:r>
      <w:r w:rsidRPr="00E07570">
        <w:t>activation de la commande de l</w:t>
      </w:r>
      <w:r w:rsidR="00145E4B">
        <w:t>’</w:t>
      </w:r>
      <w:r w:rsidRPr="00E07570">
        <w:t>AECS.</w:t>
      </w:r>
    </w:p>
    <w:p w:rsidR="009237B5" w:rsidRPr="00E07570" w:rsidRDefault="009237B5" w:rsidP="009237B5">
      <w:pPr>
        <w:pStyle w:val="SingleTxtG"/>
        <w:ind w:left="2268" w:hanging="1134"/>
      </w:pPr>
      <w:r w:rsidRPr="00E07570">
        <w:t>2.</w:t>
      </w:r>
      <w:r w:rsidRPr="00E07570">
        <w:tab/>
        <w:t>La vérification du fonctionnement de l</w:t>
      </w:r>
      <w:r w:rsidR="00145E4B">
        <w:t>’</w:t>
      </w:r>
      <w:r w:rsidRPr="00E07570">
        <w:t>AECS après accident doit comprendre les opérations suivantes :</w:t>
      </w:r>
    </w:p>
    <w:p w:rsidR="009237B5" w:rsidRPr="00E07570" w:rsidRDefault="009237B5" w:rsidP="009237B5">
      <w:pPr>
        <w:pStyle w:val="SingleTxtG"/>
        <w:ind w:left="2268" w:hanging="1134"/>
      </w:pPr>
      <w:r w:rsidRPr="00E07570">
        <w:t>2.1</w:t>
      </w:r>
      <w:r w:rsidRPr="00E07570">
        <w:tab/>
        <w:t>L</w:t>
      </w:r>
      <w:r w:rsidR="00145E4B">
        <w:t>’</w:t>
      </w:r>
      <w:r w:rsidRPr="00E07570">
        <w:t>évaluation de l</w:t>
      </w:r>
      <w:r w:rsidR="00145E4B">
        <w:t>’</w:t>
      </w:r>
      <w:r w:rsidRPr="00E07570">
        <w:t>émission d</w:t>
      </w:r>
      <w:r w:rsidR="00145E4B">
        <w:t>’</w:t>
      </w:r>
      <w:r w:rsidRPr="00E07570">
        <w:t>un MSD doit comprendre au moins les vérifications suivantes :</w:t>
      </w:r>
    </w:p>
    <w:p w:rsidR="009237B5" w:rsidRPr="00E07570" w:rsidRDefault="009237B5" w:rsidP="009237B5">
      <w:pPr>
        <w:pStyle w:val="SingleTxtG"/>
        <w:ind w:left="2268" w:hanging="1134"/>
      </w:pPr>
      <w:r w:rsidRPr="00E07570">
        <w:t>2.1.1</w:t>
      </w:r>
      <w:r w:rsidRPr="00E07570">
        <w:tab/>
      </w:r>
      <w:r w:rsidRPr="00E07570">
        <w:rPr>
          <w:spacing w:val="-2"/>
        </w:rPr>
        <w:t>La transmission correcte des données relatives à l</w:t>
      </w:r>
      <w:r w:rsidR="00145E4B">
        <w:rPr>
          <w:spacing w:val="-2"/>
        </w:rPr>
        <w:t>’</w:t>
      </w:r>
      <w:r w:rsidRPr="00E07570">
        <w:rPr>
          <w:spacing w:val="-2"/>
        </w:rPr>
        <w:t>emplacement du véhicule ; et</w:t>
      </w:r>
    </w:p>
    <w:p w:rsidR="009237B5" w:rsidRPr="00E07570" w:rsidRDefault="009237B5" w:rsidP="009237B5">
      <w:pPr>
        <w:pStyle w:val="SingleTxtG"/>
        <w:ind w:left="2268" w:hanging="1134"/>
      </w:pPr>
      <w:r w:rsidRPr="00E07570">
        <w:t>2.1.2</w:t>
      </w:r>
      <w:r w:rsidRPr="00E07570">
        <w:tab/>
        <w:t>La transmission correcte des indications de temps ; et</w:t>
      </w:r>
    </w:p>
    <w:p w:rsidR="009237B5" w:rsidRPr="00E07570" w:rsidRDefault="009237B5" w:rsidP="009237B5">
      <w:pPr>
        <w:pStyle w:val="SingleTxtG"/>
        <w:ind w:left="2268" w:hanging="1134"/>
      </w:pPr>
      <w:r w:rsidRPr="00E07570">
        <w:t>2.1.3</w:t>
      </w:r>
      <w:r w:rsidRPr="00E07570">
        <w:tab/>
        <w:t>La transmission correcte du numéro d</w:t>
      </w:r>
      <w:r w:rsidR="00145E4B">
        <w:t>’</w:t>
      </w:r>
      <w:r w:rsidRPr="00E07570">
        <w:t>identification du véhicule.</w:t>
      </w:r>
    </w:p>
    <w:p w:rsidR="009237B5" w:rsidRPr="00E07570" w:rsidRDefault="009237B5" w:rsidP="009237B5">
      <w:pPr>
        <w:pStyle w:val="SingleTxtG"/>
        <w:ind w:left="2268" w:hanging="1134"/>
      </w:pPr>
      <w:r w:rsidRPr="00E07570">
        <w:t>2.2</w:t>
      </w:r>
      <w:r w:rsidRPr="00E07570">
        <w:tab/>
        <w:t>L</w:t>
      </w:r>
      <w:r w:rsidR="00145E4B">
        <w:t>’</w:t>
      </w:r>
      <w:r w:rsidRPr="00E07570">
        <w:t xml:space="preserve">évaluation du système de communication vocale en mode mains </w:t>
      </w:r>
      <w:r w:rsidR="00305F8B" w:rsidRPr="00E07570">
        <w:t>libres</w:t>
      </w:r>
      <w:r w:rsidRPr="00E07570">
        <w:t xml:space="preserve"> (essai subjectif) doit comprendre la vérification des éléments suivants :</w:t>
      </w:r>
    </w:p>
    <w:p w:rsidR="009237B5" w:rsidRPr="00E07570" w:rsidRDefault="009237B5" w:rsidP="009237B5">
      <w:pPr>
        <w:pStyle w:val="SingleTxtG"/>
        <w:ind w:left="2268" w:hanging="1134"/>
      </w:pPr>
      <w:r w:rsidRPr="00E07570">
        <w:t>2.2.1</w:t>
      </w:r>
      <w:r w:rsidRPr="00E07570">
        <w:tab/>
        <w:t>L</w:t>
      </w:r>
      <w:r w:rsidR="00145E4B">
        <w:t>’</w:t>
      </w:r>
      <w:r w:rsidRPr="00E07570">
        <w:t>intelli</w:t>
      </w:r>
      <w:r w:rsidR="00C13116" w:rsidRPr="00E07570">
        <w:t>gib</w:t>
      </w:r>
      <w:r w:rsidRPr="00E07570">
        <w:t>ilité satisfaisante, par une personne extérieure, d</w:t>
      </w:r>
      <w:r w:rsidR="00145E4B">
        <w:t>’</w:t>
      </w:r>
      <w:r w:rsidRPr="00E07570">
        <w:t>une voix venant de l</w:t>
      </w:r>
      <w:r w:rsidR="00145E4B">
        <w:t>’</w:t>
      </w:r>
      <w:r w:rsidRPr="00E07570">
        <w:t>intérieur du véhicule ; et</w:t>
      </w:r>
    </w:p>
    <w:p w:rsidR="009237B5" w:rsidRPr="00E07570" w:rsidRDefault="009237B5" w:rsidP="009237B5">
      <w:pPr>
        <w:pStyle w:val="SingleTxtG"/>
        <w:ind w:left="2268" w:hanging="1134"/>
      </w:pPr>
      <w:r w:rsidRPr="00E07570">
        <w:t>2.2.2</w:t>
      </w:r>
      <w:r w:rsidRPr="00E07570">
        <w:tab/>
        <w:t>L</w:t>
      </w:r>
      <w:r w:rsidR="00145E4B">
        <w:t>’</w:t>
      </w:r>
      <w:r w:rsidRPr="00E07570">
        <w:t>intelli</w:t>
      </w:r>
      <w:r w:rsidR="00C13116" w:rsidRPr="00E07570">
        <w:t>gibi</w:t>
      </w:r>
      <w:r w:rsidRPr="00E07570">
        <w:t>lité satisfaisante de la voix d</w:t>
      </w:r>
      <w:r w:rsidR="00145E4B">
        <w:t>’</w:t>
      </w:r>
      <w:r w:rsidRPr="00E07570">
        <w:t>un orateur extérieur au véhicule ; et</w:t>
      </w:r>
    </w:p>
    <w:p w:rsidR="009237B5" w:rsidRPr="00E07570" w:rsidRDefault="009237B5" w:rsidP="009237B5">
      <w:pPr>
        <w:pStyle w:val="SingleTxtG"/>
        <w:ind w:left="2268" w:hanging="1134"/>
      </w:pPr>
      <w:r w:rsidRPr="00E07570">
        <w:t>2.2.3</w:t>
      </w:r>
      <w:r w:rsidRPr="00E07570">
        <w:tab/>
        <w:t>La langue et la phrase utilisées pendant l</w:t>
      </w:r>
      <w:r w:rsidR="00145E4B">
        <w:t>’</w:t>
      </w:r>
      <w:r w:rsidRPr="00E07570">
        <w:t>essai doivent faire partie de celles énumérées à l</w:t>
      </w:r>
      <w:r w:rsidR="00145E4B">
        <w:t>’</w:t>
      </w:r>
      <w:r w:rsidRPr="00E07570">
        <w:t>appendice 1 de la présente annexe.</w:t>
      </w:r>
    </w:p>
    <w:p w:rsidR="009237B5" w:rsidRPr="00E07570" w:rsidRDefault="009237B5" w:rsidP="009237B5">
      <w:pPr>
        <w:pStyle w:val="SingleTxtG"/>
        <w:ind w:left="2268" w:hanging="1134"/>
      </w:pPr>
      <w:r w:rsidRPr="00E07570">
        <w:t>2.3</w:t>
      </w:r>
      <w:r w:rsidRPr="00E07570">
        <w:tab/>
        <w:t>L</w:t>
      </w:r>
      <w:r w:rsidR="00145E4B">
        <w:t>’</w:t>
      </w:r>
      <w:r w:rsidRPr="00E07570">
        <w:t>évaluation du fonctionnement de l</w:t>
      </w:r>
      <w:r w:rsidR="00145E4B">
        <w:t>’</w:t>
      </w:r>
      <w:r w:rsidRPr="00E07570">
        <w:t>IHM doit comprendre une vérification du fonctionnement de l</w:t>
      </w:r>
      <w:r w:rsidR="00145E4B">
        <w:t>’</w:t>
      </w:r>
      <w:r w:rsidRPr="00E07570">
        <w:t>indicateur de statut de la communication vocale. Le statut observé doit être au moins le suivant :</w:t>
      </w:r>
    </w:p>
    <w:p w:rsidR="009237B5" w:rsidRPr="00E07570" w:rsidRDefault="009237B5" w:rsidP="00CF113F">
      <w:pPr>
        <w:pStyle w:val="SingleTxtG"/>
        <w:ind w:left="2835" w:hanging="567"/>
      </w:pPr>
      <w:r w:rsidRPr="00E07570">
        <w:t>a)</w:t>
      </w:r>
      <w:r w:rsidRPr="00E07570">
        <w:tab/>
        <w:t>Le système fonctionne (l</w:t>
      </w:r>
      <w:r w:rsidR="00145E4B">
        <w:t>’</w:t>
      </w:r>
      <w:r w:rsidRPr="00E07570">
        <w:t>appel d</w:t>
      </w:r>
      <w:r w:rsidR="00145E4B">
        <w:t>’</w:t>
      </w:r>
      <w:r w:rsidRPr="00E07570">
        <w:t>urgence en cas d</w:t>
      </w:r>
      <w:r w:rsidR="00145E4B">
        <w:t>’</w:t>
      </w:r>
      <w:r w:rsidRPr="00E07570">
        <w:t>accident est déclenché, la connexion est établie ou la transmission de données est en cours ou achevée ou encore la comm</w:t>
      </w:r>
      <w:r w:rsidR="00C13116" w:rsidRPr="00E07570">
        <w:t>unication vocale est en </w:t>
      </w:r>
      <w:r w:rsidRPr="00E07570">
        <w:t>cours) ;</w:t>
      </w:r>
    </w:p>
    <w:p w:rsidR="009237B5" w:rsidRPr="00E07570" w:rsidRDefault="009237B5" w:rsidP="00CF113F">
      <w:pPr>
        <w:pStyle w:val="SingleTxtG"/>
        <w:ind w:left="2835" w:hanging="567"/>
      </w:pPr>
      <w:r w:rsidRPr="00E07570">
        <w:t>b)</w:t>
      </w:r>
      <w:r w:rsidRPr="00E07570">
        <w:tab/>
        <w:t>Échec de la transmission (échec de la connexion ou échec de la transmission de données).</w:t>
      </w:r>
    </w:p>
    <w:p w:rsidR="009237B5" w:rsidRPr="00E07570" w:rsidRDefault="009237B5" w:rsidP="00CF113F">
      <w:pPr>
        <w:pStyle w:val="SingleTxtG"/>
        <w:ind w:left="2268"/>
      </w:pPr>
      <w:r w:rsidRPr="00E07570">
        <w:t>En accord avec les autorités chargées des essais, le constructeur peut choisir de vérifier l</w:t>
      </w:r>
      <w:r w:rsidR="00145E4B">
        <w:t>’</w:t>
      </w:r>
      <w:r w:rsidRPr="00E07570">
        <w:t>IHM en activant manuellement l</w:t>
      </w:r>
      <w:r w:rsidR="00145E4B">
        <w:t>’</w:t>
      </w:r>
      <w:r w:rsidRPr="00E07570">
        <w:t>AECS.</w:t>
      </w:r>
    </w:p>
    <w:p w:rsidR="009237B5" w:rsidRPr="00E07570" w:rsidRDefault="009237B5" w:rsidP="009237B5">
      <w:pPr>
        <w:pStyle w:val="SingleTxtG"/>
        <w:ind w:left="2268" w:hanging="1134"/>
      </w:pPr>
      <w:r w:rsidRPr="00E07570">
        <w:t>2.4</w:t>
      </w:r>
      <w:r w:rsidRPr="00E07570">
        <w:tab/>
        <w:t>Si c</w:t>
      </w:r>
      <w:r w:rsidR="00145E4B">
        <w:t>’</w:t>
      </w:r>
      <w:r w:rsidRPr="00E07570">
        <w:t>est la méthode d</w:t>
      </w:r>
      <w:r w:rsidR="00145E4B">
        <w:t>’</w:t>
      </w:r>
      <w:r w:rsidRPr="00E07570">
        <w:t xml:space="preserve">essai </w:t>
      </w:r>
      <w:r w:rsidRPr="00E07570">
        <w:rPr>
          <w:rFonts w:eastAsia="MS Mincho"/>
        </w:rPr>
        <w:t>n</w:t>
      </w:r>
      <w:r w:rsidRPr="00E07570">
        <w:rPr>
          <w:rFonts w:eastAsia="MS Mincho"/>
          <w:vertAlign w:val="superscript"/>
        </w:rPr>
        <w:t>o</w:t>
      </w:r>
      <w:r w:rsidRPr="00E07570">
        <w:t> 3 qui est retenue, l</w:t>
      </w:r>
      <w:r w:rsidR="00145E4B">
        <w:t>’</w:t>
      </w:r>
      <w:r w:rsidRPr="00E07570">
        <w:t>antenne de réseau mobile et son câblage sont soumi</w:t>
      </w:r>
      <w:r w:rsidR="00941CE9" w:rsidRPr="00E07570">
        <w:t>s aux vérifications suivantes :</w:t>
      </w:r>
    </w:p>
    <w:p w:rsidR="009237B5" w:rsidRPr="00E07570" w:rsidRDefault="009237B5" w:rsidP="00CF113F">
      <w:pPr>
        <w:pStyle w:val="SingleTxtG"/>
        <w:ind w:left="2835" w:hanging="567"/>
      </w:pPr>
      <w:r w:rsidRPr="00E07570">
        <w:t>a)</w:t>
      </w:r>
      <w:r w:rsidRPr="00E07570">
        <w:tab/>
        <w:t>Mesure du VSWR (rapport d</w:t>
      </w:r>
      <w:r w:rsidR="00145E4B">
        <w:t>’</w:t>
      </w:r>
      <w:r w:rsidRPr="00E07570">
        <w:t>ondes stationnaire en tension) et vérification que ce dernier satisfait aux prescriptions du constructeur pour cette antenne après accident ;</w:t>
      </w:r>
    </w:p>
    <w:p w:rsidR="008A69D3" w:rsidRPr="00E07570" w:rsidRDefault="009237B5" w:rsidP="00CF113F">
      <w:pPr>
        <w:pStyle w:val="SingleTxtG"/>
        <w:ind w:left="2835" w:hanging="567"/>
      </w:pPr>
      <w:r w:rsidRPr="00E07570">
        <w:t>b)</w:t>
      </w:r>
      <w:r w:rsidRPr="00E07570">
        <w:tab/>
        <w:t>Vérifier qu</w:t>
      </w:r>
      <w:r w:rsidR="00145E4B">
        <w:t>’</w:t>
      </w:r>
      <w:r w:rsidRPr="00E07570">
        <w:t>aucune rupture du câblage ni aucun court-circuit sur la ligne d</w:t>
      </w:r>
      <w:r w:rsidR="00145E4B">
        <w:t>’</w:t>
      </w:r>
      <w:r w:rsidRPr="00E07570">
        <w:t>alimentation de l</w:t>
      </w:r>
      <w:r w:rsidR="00145E4B">
        <w:t>’</w:t>
      </w:r>
      <w:r w:rsidRPr="00E07570">
        <w:t>antenne ne se sont produits sur la partie du câblage qui ne fait pas partie du branchement du simulateur de réseau</w:t>
      </w:r>
      <w:r w:rsidR="00CF113F" w:rsidRPr="00E07570">
        <w:t>.</w:t>
      </w:r>
    </w:p>
    <w:p w:rsidR="009B546B" w:rsidRPr="00E07570" w:rsidRDefault="008A69D3" w:rsidP="008A69D3">
      <w:pPr>
        <w:pStyle w:val="HChG"/>
      </w:pPr>
      <w:r w:rsidRPr="00E07570">
        <w:br w:type="page"/>
        <w:t>Annexe 11 − Appendice</w:t>
      </w:r>
    </w:p>
    <w:p w:rsidR="008A69D3" w:rsidRPr="00E07570" w:rsidRDefault="008A69D3" w:rsidP="008A69D3">
      <w:pPr>
        <w:pStyle w:val="HChG"/>
      </w:pPr>
      <w:r w:rsidRPr="00E07570">
        <w:tab/>
      </w:r>
      <w:r w:rsidRPr="00E07570">
        <w:tab/>
        <w:t>Langues et phrases utilisées pour l</w:t>
      </w:r>
      <w:r w:rsidR="00145E4B">
        <w:t>’</w:t>
      </w:r>
      <w:r w:rsidRPr="00E07570">
        <w:t xml:space="preserve">évaluation </w:t>
      </w:r>
      <w:r w:rsidRPr="00E07570">
        <w:br/>
        <w:t xml:space="preserve">de la communication vocale en mode mains </w:t>
      </w:r>
      <w:r w:rsidR="00305F8B" w:rsidRPr="00E07570">
        <w:t>libres</w:t>
      </w:r>
    </w:p>
    <w:p w:rsidR="008A69D3" w:rsidRPr="00E07570" w:rsidRDefault="008A69D3" w:rsidP="008A69D3">
      <w:pPr>
        <w:pStyle w:val="SingleTxtG"/>
      </w:pPr>
      <w:r w:rsidRPr="00E07570">
        <w:t>Des paires de deux phrases dans la langue la plus couramment parlée par les services chargés des essais doivent être sélectionnées dans les listes ci-dessous et utilisées pour les messages d</w:t>
      </w:r>
      <w:r w:rsidR="00145E4B">
        <w:t>’</w:t>
      </w:r>
      <w:r w:rsidRPr="00E07570">
        <w:t>essai en diffusion et en réception.</w:t>
      </w:r>
    </w:p>
    <w:p w:rsidR="008A69D3" w:rsidRPr="00E07570" w:rsidRDefault="008A69D3" w:rsidP="008A69D3">
      <w:pPr>
        <w:pStyle w:val="SingleTxtG"/>
      </w:pPr>
      <w:r w:rsidRPr="00E07570">
        <w:t>Les seules langues utilisées sont celles des Parties contractantes signataires du présent Règlement.</w:t>
      </w:r>
    </w:p>
    <w:p w:rsidR="00A6696B" w:rsidRPr="00E07570" w:rsidRDefault="00A6696B" w:rsidP="00A6696B">
      <w:pPr>
        <w:suppressAutoHyphens w:val="0"/>
        <w:spacing w:before="120" w:after="120" w:line="240" w:lineRule="auto"/>
        <w:ind w:left="1134" w:right="1134"/>
        <w:jc w:val="center"/>
        <w:outlineLvl w:val="2"/>
      </w:pPr>
      <w:bookmarkStart w:id="7" w:name="_Toc456777192"/>
      <w:bookmarkStart w:id="8" w:name="_Toc182630680"/>
      <w:bookmarkStart w:id="9" w:name="_Toc315265554"/>
      <w:bookmarkStart w:id="10" w:name="_Toc315265876"/>
      <w:r w:rsidRPr="00E07570">
        <w:t>Néerlandais (bande intégrale)</w:t>
      </w:r>
      <w:bookmarkEnd w:id="7"/>
    </w:p>
    <w:p w:rsidR="00A6696B" w:rsidRPr="00E07570" w:rsidRDefault="00A6696B" w:rsidP="00A6696B">
      <w:pPr>
        <w:suppressAutoHyphens w:val="0"/>
        <w:spacing w:before="120" w:after="120" w:line="240" w:lineRule="auto"/>
        <w:ind w:left="1134" w:right="1134"/>
        <w:rPr>
          <w:i/>
          <w:iCs/>
        </w:rPr>
      </w:pPr>
      <w:r w:rsidRPr="00E07570">
        <w:rPr>
          <w:i/>
          <w:iCs/>
        </w:rPr>
        <w:t>Femme 1 </w:t>
      </w:r>
      <w:r w:rsidRPr="00E07570">
        <w:rPr>
          <w:iCs/>
        </w:rPr>
        <w:t>:</w:t>
      </w:r>
    </w:p>
    <w:p w:rsidR="00A6696B" w:rsidRPr="00E07570" w:rsidRDefault="00A6696B" w:rsidP="00A6696B">
      <w:pPr>
        <w:suppressAutoHyphens w:val="0"/>
        <w:spacing w:before="120" w:after="120" w:line="240" w:lineRule="auto"/>
        <w:ind w:left="1134" w:right="1134"/>
      </w:pPr>
      <w:r w:rsidRPr="00E07570">
        <w:t xml:space="preserve">Dit </w:t>
      </w:r>
      <w:proofErr w:type="spellStart"/>
      <w:r w:rsidRPr="00E07570">
        <w:t>produkt</w:t>
      </w:r>
      <w:proofErr w:type="spellEnd"/>
      <w:r w:rsidRPr="00E07570">
        <w:t xml:space="preserve"> </w:t>
      </w:r>
      <w:proofErr w:type="spellStart"/>
      <w:r w:rsidRPr="00E07570">
        <w:t>kent</w:t>
      </w:r>
      <w:proofErr w:type="spellEnd"/>
      <w:r w:rsidRPr="00E07570">
        <w:t xml:space="preserve"> </w:t>
      </w:r>
      <w:proofErr w:type="spellStart"/>
      <w:r w:rsidRPr="00E07570">
        <w:t>nauwelijks</w:t>
      </w:r>
      <w:proofErr w:type="spellEnd"/>
      <w:r w:rsidRPr="00E07570">
        <w:t xml:space="preserve"> </w:t>
      </w:r>
      <w:proofErr w:type="spellStart"/>
      <w:r w:rsidRPr="00E07570">
        <w:t>concurrentie</w:t>
      </w:r>
      <w:proofErr w:type="spellEnd"/>
      <w:r w:rsidRPr="00E07570">
        <w:t>.</w:t>
      </w:r>
    </w:p>
    <w:p w:rsidR="00A6696B" w:rsidRPr="00E07570" w:rsidRDefault="00A6696B" w:rsidP="00A6696B">
      <w:pPr>
        <w:suppressAutoHyphens w:val="0"/>
        <w:spacing w:before="120" w:after="120" w:line="240" w:lineRule="auto"/>
        <w:ind w:left="1134" w:right="1134"/>
      </w:pPr>
      <w:proofErr w:type="spellStart"/>
      <w:r w:rsidRPr="00E07570">
        <w:t>Hij</w:t>
      </w:r>
      <w:proofErr w:type="spellEnd"/>
      <w:r w:rsidRPr="00E07570">
        <w:t xml:space="preserve"> </w:t>
      </w:r>
      <w:proofErr w:type="spellStart"/>
      <w:r w:rsidRPr="00E07570">
        <w:t>kende</w:t>
      </w:r>
      <w:proofErr w:type="spellEnd"/>
      <w:r w:rsidRPr="00E07570">
        <w:t xml:space="preserve"> </w:t>
      </w:r>
      <w:proofErr w:type="spellStart"/>
      <w:r w:rsidRPr="00E07570">
        <w:t>zijn</w:t>
      </w:r>
      <w:proofErr w:type="spellEnd"/>
      <w:r w:rsidRPr="00E07570">
        <w:t xml:space="preserve"> </w:t>
      </w:r>
      <w:proofErr w:type="spellStart"/>
      <w:r w:rsidRPr="00E07570">
        <w:t>grens</w:t>
      </w:r>
      <w:proofErr w:type="spellEnd"/>
      <w:r w:rsidRPr="00E07570">
        <w:t xml:space="preserve"> niet.</w:t>
      </w:r>
    </w:p>
    <w:p w:rsidR="00A6696B" w:rsidRPr="00E07570" w:rsidRDefault="00A6696B" w:rsidP="00A6696B">
      <w:pPr>
        <w:suppressAutoHyphens w:val="0"/>
        <w:spacing w:before="120" w:after="120" w:line="240" w:lineRule="auto"/>
        <w:ind w:left="1134" w:right="1134"/>
        <w:rPr>
          <w:i/>
          <w:iCs/>
        </w:rPr>
      </w:pPr>
      <w:r w:rsidRPr="00E07570">
        <w:rPr>
          <w:i/>
          <w:iCs/>
        </w:rPr>
        <w:t>Femme 2 </w:t>
      </w:r>
      <w:r w:rsidRPr="00E07570">
        <w:rPr>
          <w:iCs/>
        </w:rPr>
        <w:t>:</w:t>
      </w:r>
    </w:p>
    <w:p w:rsidR="00A6696B" w:rsidRPr="00DF0776" w:rsidRDefault="00A6696B" w:rsidP="00A6696B">
      <w:pPr>
        <w:suppressAutoHyphens w:val="0"/>
        <w:spacing w:before="120" w:after="120" w:line="240" w:lineRule="auto"/>
        <w:ind w:left="1134" w:right="1134"/>
        <w:rPr>
          <w:lang w:val="en-GB"/>
        </w:rPr>
      </w:pPr>
      <w:r w:rsidRPr="00DF0776">
        <w:rPr>
          <w:lang w:val="en-GB"/>
        </w:rPr>
        <w:t>Ik zal iets van mijn carriere vertellen.</w:t>
      </w:r>
    </w:p>
    <w:p w:rsidR="00A6696B" w:rsidRPr="00DF0776" w:rsidRDefault="00A6696B" w:rsidP="00A6696B">
      <w:pPr>
        <w:suppressAutoHyphens w:val="0"/>
        <w:spacing w:before="120" w:after="120" w:line="240" w:lineRule="auto"/>
        <w:ind w:left="1134" w:right="1134"/>
        <w:rPr>
          <w:lang w:val="en-GB"/>
        </w:rPr>
      </w:pPr>
      <w:r w:rsidRPr="00DF0776">
        <w:rPr>
          <w:lang w:val="en-GB"/>
        </w:rPr>
        <w:t>Zijn auto was alweer kapot.</w:t>
      </w:r>
    </w:p>
    <w:p w:rsidR="00A6696B" w:rsidRPr="00E07570" w:rsidRDefault="00A6696B" w:rsidP="00A6696B">
      <w:pPr>
        <w:suppressAutoHyphens w:val="0"/>
        <w:spacing w:before="120" w:after="120" w:line="240" w:lineRule="auto"/>
        <w:ind w:left="1134" w:right="1134"/>
        <w:rPr>
          <w:i/>
          <w:iCs/>
        </w:rPr>
      </w:pPr>
      <w:r w:rsidRPr="00E07570">
        <w:rPr>
          <w:i/>
          <w:iCs/>
        </w:rPr>
        <w:t>Homme 1 </w:t>
      </w:r>
      <w:r w:rsidRPr="00E07570">
        <w:rPr>
          <w:iCs/>
        </w:rPr>
        <w:t>:</w:t>
      </w:r>
    </w:p>
    <w:p w:rsidR="00A6696B" w:rsidRPr="00E07570" w:rsidRDefault="00A6696B" w:rsidP="00A6696B">
      <w:pPr>
        <w:suppressAutoHyphens w:val="0"/>
        <w:spacing w:before="120" w:after="120" w:line="240" w:lineRule="auto"/>
        <w:ind w:left="1134" w:right="1134"/>
      </w:pPr>
      <w:proofErr w:type="spellStart"/>
      <w:r w:rsidRPr="00E07570">
        <w:t>Zij</w:t>
      </w:r>
      <w:proofErr w:type="spellEnd"/>
      <w:r w:rsidRPr="00E07570">
        <w:t xml:space="preserve"> </w:t>
      </w:r>
      <w:proofErr w:type="spellStart"/>
      <w:r w:rsidRPr="00E07570">
        <w:t>kunnen</w:t>
      </w:r>
      <w:proofErr w:type="spellEnd"/>
      <w:r w:rsidRPr="00E07570">
        <w:t xml:space="preserve"> de </w:t>
      </w:r>
      <w:proofErr w:type="spellStart"/>
      <w:r w:rsidRPr="00E07570">
        <w:t>besluiten</w:t>
      </w:r>
      <w:proofErr w:type="spellEnd"/>
      <w:r w:rsidRPr="00E07570">
        <w:t xml:space="preserve"> </w:t>
      </w:r>
      <w:proofErr w:type="spellStart"/>
      <w:r w:rsidRPr="00E07570">
        <w:t>nehmen</w:t>
      </w:r>
      <w:proofErr w:type="spellEnd"/>
      <w:r w:rsidRPr="00E07570">
        <w:t>.</w:t>
      </w:r>
    </w:p>
    <w:p w:rsidR="00A6696B" w:rsidRPr="00DF0776" w:rsidRDefault="00A6696B" w:rsidP="00A6696B">
      <w:pPr>
        <w:suppressAutoHyphens w:val="0"/>
        <w:spacing w:before="120" w:after="120" w:line="240" w:lineRule="auto"/>
        <w:ind w:left="1134" w:right="1134"/>
        <w:rPr>
          <w:lang w:val="en-GB"/>
        </w:rPr>
      </w:pPr>
      <w:proofErr w:type="gramStart"/>
      <w:r w:rsidRPr="00DF0776">
        <w:rPr>
          <w:lang w:val="en-GB"/>
        </w:rPr>
        <w:t>De meeste mensen hadden het wel door.</w:t>
      </w:r>
      <w:proofErr w:type="gramEnd"/>
    </w:p>
    <w:p w:rsidR="00A6696B" w:rsidRPr="00DF0776" w:rsidRDefault="00A6696B" w:rsidP="00A6696B">
      <w:pPr>
        <w:suppressAutoHyphens w:val="0"/>
        <w:spacing w:before="120" w:after="120" w:line="240" w:lineRule="auto"/>
        <w:ind w:left="1134" w:right="1134"/>
        <w:rPr>
          <w:i/>
          <w:iCs/>
          <w:lang w:val="en-GB"/>
        </w:rPr>
      </w:pPr>
      <w:r w:rsidRPr="00DF0776">
        <w:rPr>
          <w:i/>
          <w:iCs/>
          <w:lang w:val="en-GB"/>
        </w:rPr>
        <w:t>Homme 2 </w:t>
      </w:r>
      <w:r w:rsidRPr="00DF0776">
        <w:rPr>
          <w:iCs/>
          <w:lang w:val="en-GB"/>
        </w:rPr>
        <w:t>:</w:t>
      </w:r>
    </w:p>
    <w:p w:rsidR="00A6696B" w:rsidRPr="00DF0776" w:rsidRDefault="00A6696B" w:rsidP="00A6696B">
      <w:pPr>
        <w:suppressAutoHyphens w:val="0"/>
        <w:spacing w:before="120" w:after="120" w:line="240" w:lineRule="auto"/>
        <w:ind w:left="1134" w:right="1134"/>
        <w:rPr>
          <w:lang w:val="en-GB"/>
        </w:rPr>
      </w:pPr>
      <w:r w:rsidRPr="00DF0776">
        <w:rPr>
          <w:lang w:val="en-GB"/>
        </w:rPr>
        <w:t>Ik zou liever gaan lopen.</w:t>
      </w:r>
    </w:p>
    <w:p w:rsidR="00A6696B" w:rsidRPr="00DF0776" w:rsidRDefault="00A6696B" w:rsidP="00A6696B">
      <w:pPr>
        <w:suppressAutoHyphens w:val="0"/>
        <w:spacing w:before="120" w:after="240" w:line="240" w:lineRule="auto"/>
        <w:ind w:left="1134" w:right="1134"/>
        <w:rPr>
          <w:lang w:val="en-GB"/>
        </w:rPr>
      </w:pPr>
      <w:r w:rsidRPr="00DF0776">
        <w:rPr>
          <w:lang w:val="en-GB"/>
        </w:rPr>
        <w:t>Willem gaat telkens naar buiten.</w:t>
      </w:r>
    </w:p>
    <w:p w:rsidR="00A6696B" w:rsidRPr="00DF0776" w:rsidRDefault="00A6696B" w:rsidP="00A6696B">
      <w:pPr>
        <w:suppressAutoHyphens w:val="0"/>
        <w:spacing w:before="240" w:after="120" w:line="240" w:lineRule="auto"/>
        <w:ind w:left="1134" w:right="1134"/>
        <w:jc w:val="center"/>
        <w:outlineLvl w:val="2"/>
        <w:rPr>
          <w:lang w:val="en-GB"/>
        </w:rPr>
      </w:pPr>
      <w:bookmarkStart w:id="11" w:name="_Toc456777193"/>
      <w:bookmarkEnd w:id="8"/>
      <w:r w:rsidRPr="00DF0776">
        <w:rPr>
          <w:lang w:val="en-GB"/>
        </w:rPr>
        <w:t>Anglais (bande intégrale)</w:t>
      </w:r>
      <w:bookmarkEnd w:id="9"/>
      <w:bookmarkEnd w:id="10"/>
      <w:bookmarkEnd w:id="11"/>
    </w:p>
    <w:p w:rsidR="00A6696B" w:rsidRPr="00DF0776" w:rsidRDefault="00A6696B" w:rsidP="00A6696B">
      <w:pPr>
        <w:suppressAutoHyphens w:val="0"/>
        <w:spacing w:before="120" w:after="120" w:line="240" w:lineRule="auto"/>
        <w:ind w:left="1134" w:right="1134"/>
        <w:rPr>
          <w:i/>
          <w:iCs/>
          <w:lang w:val="en-GB"/>
        </w:rPr>
      </w:pPr>
      <w:r w:rsidRPr="00DF0776">
        <w:rPr>
          <w:i/>
          <w:iCs/>
          <w:lang w:val="en-GB"/>
        </w:rPr>
        <w:t>Femme 1 </w:t>
      </w:r>
      <w:r w:rsidRPr="00DF0776">
        <w:rPr>
          <w:iCs/>
          <w:lang w:val="en-GB"/>
        </w:rPr>
        <w:t>:</w:t>
      </w:r>
    </w:p>
    <w:p w:rsidR="00A6696B" w:rsidRPr="00DF0776" w:rsidRDefault="00A6696B" w:rsidP="00A6696B">
      <w:pPr>
        <w:suppressAutoHyphens w:val="0"/>
        <w:spacing w:before="120" w:after="120" w:line="240" w:lineRule="auto"/>
        <w:ind w:left="1134" w:right="1134"/>
        <w:rPr>
          <w:lang w:val="en-GB" w:eastAsia="de-DE"/>
        </w:rPr>
      </w:pPr>
      <w:r w:rsidRPr="00DF0776">
        <w:rPr>
          <w:lang w:val="en-GB" w:eastAsia="de-DE"/>
        </w:rPr>
        <w:t>These days a chicken leg is a rare dish.</w:t>
      </w:r>
    </w:p>
    <w:p w:rsidR="00A6696B" w:rsidRPr="00DF0776" w:rsidRDefault="00A6696B" w:rsidP="00A6696B">
      <w:pPr>
        <w:suppressAutoHyphens w:val="0"/>
        <w:spacing w:before="120" w:after="120" w:line="240" w:lineRule="auto"/>
        <w:ind w:left="1134" w:right="1134"/>
        <w:rPr>
          <w:lang w:val="en-GB" w:eastAsia="de-DE"/>
        </w:rPr>
      </w:pPr>
      <w:r w:rsidRPr="00DF0776">
        <w:rPr>
          <w:lang w:val="en-GB" w:eastAsia="de-DE"/>
        </w:rPr>
        <w:t>The hogs were fed with chopped corn and garbage.</w:t>
      </w:r>
    </w:p>
    <w:p w:rsidR="00A6696B" w:rsidRPr="00DF0776" w:rsidRDefault="00A6696B" w:rsidP="00A6696B">
      <w:pPr>
        <w:suppressAutoHyphens w:val="0"/>
        <w:spacing w:before="120" w:after="120" w:line="240" w:lineRule="auto"/>
        <w:ind w:left="1134" w:right="1134"/>
        <w:rPr>
          <w:i/>
          <w:iCs/>
          <w:lang w:val="en-GB"/>
        </w:rPr>
      </w:pPr>
      <w:r w:rsidRPr="00DF0776">
        <w:rPr>
          <w:i/>
          <w:iCs/>
          <w:lang w:val="en-GB"/>
        </w:rPr>
        <w:t>Femme 2 </w:t>
      </w:r>
      <w:r w:rsidRPr="00DF0776">
        <w:rPr>
          <w:iCs/>
          <w:lang w:val="en-GB"/>
        </w:rPr>
        <w:t>:</w:t>
      </w:r>
    </w:p>
    <w:p w:rsidR="00A6696B" w:rsidRPr="00DF0776" w:rsidRDefault="00A6696B" w:rsidP="00A6696B">
      <w:pPr>
        <w:suppressAutoHyphens w:val="0"/>
        <w:spacing w:before="120" w:after="120" w:line="240" w:lineRule="auto"/>
        <w:ind w:left="1134" w:right="1134"/>
        <w:rPr>
          <w:lang w:val="en-GB" w:eastAsia="de-DE"/>
        </w:rPr>
      </w:pPr>
      <w:r w:rsidRPr="00DF0776">
        <w:rPr>
          <w:lang w:val="en-GB" w:eastAsia="de-DE"/>
        </w:rPr>
        <w:t>Rice is often served in round bowls.</w:t>
      </w:r>
    </w:p>
    <w:p w:rsidR="00A6696B" w:rsidRPr="00DF0776" w:rsidRDefault="00A6696B" w:rsidP="00A6696B">
      <w:pPr>
        <w:suppressAutoHyphens w:val="0"/>
        <w:spacing w:before="120" w:after="120" w:line="240" w:lineRule="auto"/>
        <w:ind w:left="1134" w:right="1134"/>
        <w:rPr>
          <w:lang w:val="en-GB" w:eastAsia="de-DE"/>
        </w:rPr>
      </w:pPr>
      <w:r w:rsidRPr="00DF0776">
        <w:rPr>
          <w:lang w:val="en-GB" w:eastAsia="de-DE"/>
        </w:rPr>
        <w:t>A large size in stockings is hard to sell.</w:t>
      </w:r>
    </w:p>
    <w:p w:rsidR="00A6696B" w:rsidRPr="00DF0776" w:rsidRDefault="00A6696B" w:rsidP="00A6696B">
      <w:pPr>
        <w:suppressAutoHyphens w:val="0"/>
        <w:spacing w:before="120" w:after="120" w:line="240" w:lineRule="auto"/>
        <w:ind w:left="1134" w:right="1134"/>
        <w:rPr>
          <w:i/>
          <w:iCs/>
          <w:lang w:val="en-GB"/>
        </w:rPr>
      </w:pPr>
      <w:r w:rsidRPr="00DF0776">
        <w:rPr>
          <w:i/>
          <w:iCs/>
          <w:lang w:val="en-GB"/>
        </w:rPr>
        <w:t>Homme 1 </w:t>
      </w:r>
      <w:r w:rsidRPr="00DF0776">
        <w:rPr>
          <w:iCs/>
          <w:lang w:val="en-GB"/>
        </w:rPr>
        <w:t>:</w:t>
      </w:r>
    </w:p>
    <w:p w:rsidR="00A6696B" w:rsidRPr="00DF0776" w:rsidRDefault="00A6696B" w:rsidP="00A6696B">
      <w:pPr>
        <w:suppressAutoHyphens w:val="0"/>
        <w:spacing w:before="120" w:after="120" w:line="240" w:lineRule="auto"/>
        <w:ind w:left="1134" w:right="1134"/>
        <w:rPr>
          <w:lang w:val="en-GB" w:eastAsia="de-DE"/>
        </w:rPr>
      </w:pPr>
      <w:r w:rsidRPr="00DF0776">
        <w:rPr>
          <w:lang w:val="en-GB" w:eastAsia="de-DE"/>
        </w:rPr>
        <w:t>The juice of lemons makes fine punch.</w:t>
      </w:r>
    </w:p>
    <w:p w:rsidR="00A6696B" w:rsidRPr="00DF0776" w:rsidRDefault="00A6696B" w:rsidP="00A6696B">
      <w:pPr>
        <w:suppressAutoHyphens w:val="0"/>
        <w:spacing w:before="120" w:after="120" w:line="240" w:lineRule="auto"/>
        <w:ind w:left="1134" w:right="1134"/>
        <w:rPr>
          <w:lang w:val="en-GB" w:eastAsia="de-DE"/>
        </w:rPr>
      </w:pPr>
      <w:r w:rsidRPr="00DF0776">
        <w:rPr>
          <w:lang w:val="en-GB" w:eastAsia="de-DE"/>
        </w:rPr>
        <w:t>Four hours of steady work faced us.</w:t>
      </w:r>
    </w:p>
    <w:p w:rsidR="00A6696B" w:rsidRPr="00DF0776" w:rsidRDefault="00A6696B" w:rsidP="00A6696B">
      <w:pPr>
        <w:suppressAutoHyphens w:val="0"/>
        <w:spacing w:before="120" w:after="120" w:line="240" w:lineRule="auto"/>
        <w:ind w:left="1134" w:right="1134"/>
        <w:rPr>
          <w:i/>
          <w:iCs/>
          <w:lang w:val="en-GB"/>
        </w:rPr>
      </w:pPr>
      <w:r w:rsidRPr="00DF0776">
        <w:rPr>
          <w:i/>
          <w:iCs/>
          <w:lang w:val="en-GB"/>
        </w:rPr>
        <w:t>Homme 2 </w:t>
      </w:r>
      <w:r w:rsidRPr="00DF0776">
        <w:rPr>
          <w:iCs/>
          <w:lang w:val="en-GB"/>
        </w:rPr>
        <w:t>:</w:t>
      </w:r>
    </w:p>
    <w:p w:rsidR="00A6696B" w:rsidRPr="00DF0776" w:rsidRDefault="00A6696B" w:rsidP="00A6696B">
      <w:pPr>
        <w:suppressAutoHyphens w:val="0"/>
        <w:spacing w:before="120" w:after="120" w:line="240" w:lineRule="auto"/>
        <w:ind w:left="1134" w:right="1134"/>
        <w:rPr>
          <w:lang w:val="en-GB" w:eastAsia="de-DE"/>
        </w:rPr>
      </w:pPr>
      <w:r w:rsidRPr="00DF0776">
        <w:rPr>
          <w:lang w:val="en-GB" w:eastAsia="de-DE"/>
        </w:rPr>
        <w:t>The birch canoe slid on smooth planks.</w:t>
      </w:r>
    </w:p>
    <w:p w:rsidR="00A6696B" w:rsidRPr="00DF0776" w:rsidRDefault="00A6696B" w:rsidP="00A6696B">
      <w:pPr>
        <w:suppressAutoHyphens w:val="0"/>
        <w:spacing w:before="120" w:after="240" w:line="240" w:lineRule="auto"/>
        <w:ind w:left="1134" w:right="1134"/>
        <w:rPr>
          <w:lang w:val="en-GB" w:eastAsia="de-DE"/>
        </w:rPr>
      </w:pPr>
      <w:r w:rsidRPr="00DF0776">
        <w:rPr>
          <w:lang w:val="en-GB" w:eastAsia="de-DE"/>
        </w:rPr>
        <w:t>Glue the sheet to the dark blue background.</w:t>
      </w:r>
    </w:p>
    <w:p w:rsidR="00A6696B" w:rsidRPr="00DF0776" w:rsidRDefault="00A6696B" w:rsidP="00A6696B">
      <w:pPr>
        <w:keepNext/>
        <w:suppressAutoHyphens w:val="0"/>
        <w:spacing w:before="240" w:after="120" w:line="240" w:lineRule="auto"/>
        <w:ind w:left="1134" w:right="1134"/>
        <w:jc w:val="center"/>
        <w:outlineLvl w:val="2"/>
        <w:rPr>
          <w:lang w:val="en-GB"/>
        </w:rPr>
      </w:pPr>
      <w:r w:rsidRPr="00DF0776">
        <w:rPr>
          <w:lang w:val="en-GB"/>
        </w:rPr>
        <w:t>Anglo-américain</w:t>
      </w:r>
    </w:p>
    <w:p w:rsidR="00A6696B" w:rsidRPr="00DF0776" w:rsidRDefault="00A6696B" w:rsidP="00A6696B">
      <w:pPr>
        <w:suppressAutoHyphens w:val="0"/>
        <w:spacing w:before="120" w:after="120" w:line="240" w:lineRule="auto"/>
        <w:ind w:left="1134" w:right="1134"/>
        <w:rPr>
          <w:i/>
          <w:iCs/>
          <w:lang w:val="en-GB"/>
        </w:rPr>
      </w:pPr>
      <w:r w:rsidRPr="00DF0776">
        <w:rPr>
          <w:i/>
          <w:iCs/>
          <w:lang w:val="en-GB"/>
        </w:rPr>
        <w:t>Femme 1 </w:t>
      </w:r>
      <w:r w:rsidRPr="00DF0776">
        <w:rPr>
          <w:iCs/>
          <w:lang w:val="en-GB"/>
        </w:rPr>
        <w:t>:</w:t>
      </w:r>
    </w:p>
    <w:p w:rsidR="00A6696B" w:rsidRPr="00DF0776" w:rsidRDefault="00A6696B" w:rsidP="00A6696B">
      <w:pPr>
        <w:suppressAutoHyphens w:val="0"/>
        <w:spacing w:before="120" w:after="120" w:line="240" w:lineRule="auto"/>
        <w:ind w:left="1134" w:right="1134"/>
        <w:rPr>
          <w:lang w:val="en-GB"/>
        </w:rPr>
      </w:pPr>
      <w:r w:rsidRPr="00DF0776">
        <w:rPr>
          <w:lang w:val="en-GB"/>
        </w:rPr>
        <w:t>We need grey to keep our mood healthy.</w:t>
      </w:r>
    </w:p>
    <w:p w:rsidR="00A6696B" w:rsidRPr="00DF0776" w:rsidRDefault="00A6696B" w:rsidP="00A6696B">
      <w:pPr>
        <w:suppressAutoHyphens w:val="0"/>
        <w:spacing w:before="120" w:after="120" w:line="240" w:lineRule="auto"/>
        <w:ind w:left="1134" w:right="1134"/>
        <w:rPr>
          <w:lang w:val="en-GB"/>
        </w:rPr>
      </w:pPr>
      <w:r w:rsidRPr="00DF0776">
        <w:rPr>
          <w:lang w:val="en-GB"/>
        </w:rPr>
        <w:t>Pack the records in a neat thin case.</w:t>
      </w:r>
    </w:p>
    <w:p w:rsidR="00A6696B" w:rsidRPr="00DF0776" w:rsidRDefault="00A6696B" w:rsidP="00805E2E">
      <w:pPr>
        <w:keepNext/>
        <w:suppressAutoHyphens w:val="0"/>
        <w:spacing w:before="120" w:after="120" w:line="240" w:lineRule="auto"/>
        <w:ind w:left="1134" w:right="1134"/>
        <w:rPr>
          <w:i/>
          <w:iCs/>
          <w:lang w:val="en-GB"/>
        </w:rPr>
      </w:pPr>
      <w:r w:rsidRPr="00DF0776">
        <w:rPr>
          <w:i/>
          <w:iCs/>
          <w:lang w:val="en-GB"/>
        </w:rPr>
        <w:t>Femme 2 </w:t>
      </w:r>
      <w:r w:rsidRPr="00DF0776">
        <w:rPr>
          <w:iCs/>
          <w:lang w:val="en-GB"/>
        </w:rPr>
        <w:t>:</w:t>
      </w:r>
    </w:p>
    <w:p w:rsidR="00A6696B" w:rsidRPr="00DF0776" w:rsidRDefault="00A6696B" w:rsidP="00A6696B">
      <w:pPr>
        <w:suppressAutoHyphens w:val="0"/>
        <w:spacing w:before="120" w:after="120" w:line="240" w:lineRule="auto"/>
        <w:ind w:left="1134" w:right="1134"/>
        <w:rPr>
          <w:lang w:val="en-GB"/>
        </w:rPr>
      </w:pPr>
      <w:r w:rsidRPr="00DF0776">
        <w:rPr>
          <w:lang w:val="en-GB"/>
        </w:rPr>
        <w:t>The stems of the tall glasses cracked and broke.</w:t>
      </w:r>
    </w:p>
    <w:p w:rsidR="00A6696B" w:rsidRPr="00DF0776" w:rsidRDefault="00A6696B" w:rsidP="00A6696B">
      <w:pPr>
        <w:suppressAutoHyphens w:val="0"/>
        <w:spacing w:before="120" w:after="120" w:line="240" w:lineRule="auto"/>
        <w:ind w:left="1134" w:right="1134"/>
        <w:rPr>
          <w:lang w:val="en-GB"/>
        </w:rPr>
      </w:pPr>
      <w:r w:rsidRPr="00DF0776">
        <w:rPr>
          <w:lang w:val="en-GB"/>
        </w:rPr>
        <w:t>The wall phone rang loud and often.</w:t>
      </w:r>
    </w:p>
    <w:p w:rsidR="00A6696B" w:rsidRPr="00DF0776" w:rsidRDefault="00A6696B" w:rsidP="00A6696B">
      <w:pPr>
        <w:suppressAutoHyphens w:val="0"/>
        <w:spacing w:before="120" w:after="120" w:line="240" w:lineRule="auto"/>
        <w:ind w:left="1134" w:right="1134"/>
        <w:rPr>
          <w:i/>
          <w:iCs/>
          <w:lang w:val="en-GB"/>
        </w:rPr>
      </w:pPr>
      <w:r w:rsidRPr="00DF0776">
        <w:rPr>
          <w:i/>
          <w:iCs/>
          <w:lang w:val="en-GB"/>
        </w:rPr>
        <w:t>Homme 1 </w:t>
      </w:r>
      <w:r w:rsidRPr="00DF0776">
        <w:rPr>
          <w:iCs/>
          <w:lang w:val="en-GB"/>
        </w:rPr>
        <w:t>:</w:t>
      </w:r>
    </w:p>
    <w:p w:rsidR="00A6696B" w:rsidRPr="00DF0776" w:rsidRDefault="00A6696B" w:rsidP="00A6696B">
      <w:pPr>
        <w:suppressAutoHyphens w:val="0"/>
        <w:spacing w:before="120" w:after="120" w:line="240" w:lineRule="auto"/>
        <w:ind w:left="1134" w:right="1134"/>
        <w:rPr>
          <w:lang w:val="en-GB"/>
        </w:rPr>
      </w:pPr>
      <w:r w:rsidRPr="00DF0776">
        <w:rPr>
          <w:lang w:val="en-GB"/>
        </w:rPr>
        <w:t>The shelves were bare of both jam or crackers.</w:t>
      </w:r>
    </w:p>
    <w:p w:rsidR="00A6696B" w:rsidRPr="00DF0776" w:rsidRDefault="00A6696B" w:rsidP="00A6696B">
      <w:pPr>
        <w:suppressAutoHyphens w:val="0"/>
        <w:spacing w:before="120" w:after="120" w:line="240" w:lineRule="auto"/>
        <w:ind w:left="1134" w:right="1134"/>
        <w:rPr>
          <w:lang w:val="en-GB"/>
        </w:rPr>
      </w:pPr>
      <w:r w:rsidRPr="00DF0776">
        <w:rPr>
          <w:lang w:val="en-GB"/>
        </w:rPr>
        <w:t>A joy to every child is the swan boat.</w:t>
      </w:r>
    </w:p>
    <w:p w:rsidR="00A6696B" w:rsidRPr="00DF0776" w:rsidRDefault="00A6696B" w:rsidP="00A6696B">
      <w:pPr>
        <w:suppressAutoHyphens w:val="0"/>
        <w:spacing w:before="120" w:after="120" w:line="240" w:lineRule="auto"/>
        <w:ind w:left="1134" w:right="1134"/>
        <w:rPr>
          <w:i/>
          <w:iCs/>
          <w:lang w:val="en-GB"/>
        </w:rPr>
      </w:pPr>
      <w:r w:rsidRPr="00DF0776">
        <w:rPr>
          <w:i/>
          <w:iCs/>
          <w:lang w:val="en-GB"/>
        </w:rPr>
        <w:t>Homme 2 </w:t>
      </w:r>
      <w:r w:rsidRPr="00DF0776">
        <w:rPr>
          <w:iCs/>
          <w:lang w:val="en-GB"/>
        </w:rPr>
        <w:t>:</w:t>
      </w:r>
    </w:p>
    <w:p w:rsidR="00A6696B" w:rsidRPr="00DF0776" w:rsidRDefault="00A6696B" w:rsidP="00A6696B">
      <w:pPr>
        <w:suppressAutoHyphens w:val="0"/>
        <w:spacing w:before="120" w:after="120" w:line="240" w:lineRule="auto"/>
        <w:ind w:left="1134" w:right="1134"/>
        <w:rPr>
          <w:lang w:val="en-GB"/>
        </w:rPr>
      </w:pPr>
      <w:r w:rsidRPr="00DF0776">
        <w:rPr>
          <w:lang w:val="en-GB"/>
        </w:rPr>
        <w:t>Both brothers were the same size.</w:t>
      </w:r>
    </w:p>
    <w:p w:rsidR="00A6696B" w:rsidRPr="00DF0776" w:rsidRDefault="00A6696B" w:rsidP="00A6696B">
      <w:pPr>
        <w:suppressAutoHyphens w:val="0"/>
        <w:spacing w:before="120" w:after="240" w:line="240" w:lineRule="auto"/>
        <w:ind w:left="1134" w:right="1134"/>
        <w:rPr>
          <w:lang w:val="en-GB"/>
        </w:rPr>
      </w:pPr>
      <w:r w:rsidRPr="00DF0776">
        <w:rPr>
          <w:lang w:val="en-GB"/>
        </w:rPr>
        <w:t>In some form or other we need fun.</w:t>
      </w:r>
    </w:p>
    <w:p w:rsidR="00A6696B" w:rsidRPr="00E07570" w:rsidRDefault="00A6696B" w:rsidP="00A6696B">
      <w:pPr>
        <w:suppressAutoHyphens w:val="0"/>
        <w:spacing w:before="240" w:after="120" w:line="240" w:lineRule="auto"/>
        <w:ind w:left="1134" w:right="1134"/>
        <w:jc w:val="center"/>
        <w:outlineLvl w:val="2"/>
      </w:pPr>
      <w:bookmarkStart w:id="12" w:name="_Toc315265556"/>
      <w:bookmarkStart w:id="13" w:name="_Toc315265878"/>
      <w:bookmarkStart w:id="14" w:name="_Toc456777195"/>
      <w:r w:rsidRPr="00E07570">
        <w:t>Finnois (bande intégrale)</w:t>
      </w:r>
      <w:bookmarkEnd w:id="12"/>
      <w:bookmarkEnd w:id="13"/>
      <w:bookmarkEnd w:id="14"/>
    </w:p>
    <w:p w:rsidR="00A6696B" w:rsidRPr="00E07570" w:rsidRDefault="00A6696B" w:rsidP="00A6696B">
      <w:pPr>
        <w:suppressAutoHyphens w:val="0"/>
        <w:spacing w:before="120" w:after="120" w:line="240" w:lineRule="auto"/>
        <w:ind w:left="1134" w:right="1134"/>
        <w:rPr>
          <w:i/>
          <w:iCs/>
        </w:rPr>
      </w:pPr>
      <w:r w:rsidRPr="00E07570">
        <w:rPr>
          <w:i/>
          <w:iCs/>
        </w:rPr>
        <w:t>Femme 1 </w:t>
      </w:r>
      <w:r w:rsidRPr="00E07570">
        <w:rPr>
          <w:iCs/>
        </w:rPr>
        <w:t>:</w:t>
      </w:r>
    </w:p>
    <w:p w:rsidR="00A6696B" w:rsidRPr="00E07570" w:rsidRDefault="00A6696B" w:rsidP="00A6696B">
      <w:pPr>
        <w:suppressAutoHyphens w:val="0"/>
        <w:spacing w:before="120" w:after="120" w:line="240" w:lineRule="auto"/>
        <w:ind w:left="1134" w:right="1134"/>
      </w:pPr>
      <w:proofErr w:type="spellStart"/>
      <w:r w:rsidRPr="00E07570">
        <w:t>Ole</w:t>
      </w:r>
      <w:proofErr w:type="spellEnd"/>
      <w:r w:rsidRPr="00E07570">
        <w:t xml:space="preserve"> </w:t>
      </w:r>
      <w:proofErr w:type="spellStart"/>
      <w:r w:rsidRPr="00E07570">
        <w:t>ääneti</w:t>
      </w:r>
      <w:proofErr w:type="spellEnd"/>
      <w:r w:rsidRPr="00E07570">
        <w:t xml:space="preserve"> tai </w:t>
      </w:r>
      <w:proofErr w:type="spellStart"/>
      <w:r w:rsidRPr="00E07570">
        <w:t>sano</w:t>
      </w:r>
      <w:proofErr w:type="spellEnd"/>
      <w:r w:rsidRPr="00E07570">
        <w:t xml:space="preserve"> </w:t>
      </w:r>
      <w:proofErr w:type="spellStart"/>
      <w:r w:rsidRPr="00E07570">
        <w:t>sellaista</w:t>
      </w:r>
      <w:proofErr w:type="spellEnd"/>
      <w:r w:rsidRPr="00E07570">
        <w:t xml:space="preserve">, </w:t>
      </w:r>
      <w:proofErr w:type="spellStart"/>
      <w:r w:rsidRPr="00E07570">
        <w:t>joka</w:t>
      </w:r>
      <w:proofErr w:type="spellEnd"/>
      <w:r w:rsidRPr="00E07570">
        <w:t xml:space="preserve"> on </w:t>
      </w:r>
      <w:proofErr w:type="spellStart"/>
      <w:r w:rsidRPr="00E07570">
        <w:t>parempaa</w:t>
      </w:r>
      <w:proofErr w:type="spellEnd"/>
      <w:r w:rsidRPr="00E07570">
        <w:t xml:space="preserve"> </w:t>
      </w:r>
      <w:proofErr w:type="spellStart"/>
      <w:r w:rsidRPr="00E07570">
        <w:t>kuin</w:t>
      </w:r>
      <w:proofErr w:type="spellEnd"/>
      <w:r w:rsidRPr="00E07570">
        <w:t xml:space="preserve"> </w:t>
      </w:r>
      <w:proofErr w:type="spellStart"/>
      <w:r w:rsidRPr="00E07570">
        <w:t>vaikeneminen</w:t>
      </w:r>
      <w:proofErr w:type="spellEnd"/>
      <w:r w:rsidRPr="00E07570">
        <w:t>.</w:t>
      </w:r>
    </w:p>
    <w:p w:rsidR="00A6696B" w:rsidRPr="00E07570" w:rsidRDefault="00A6696B" w:rsidP="00A6696B">
      <w:pPr>
        <w:suppressAutoHyphens w:val="0"/>
        <w:spacing w:before="120" w:after="120" w:line="240" w:lineRule="auto"/>
        <w:ind w:left="1134" w:right="1134"/>
      </w:pPr>
      <w:proofErr w:type="spellStart"/>
      <w:r w:rsidRPr="00E07570">
        <w:t>Suuret</w:t>
      </w:r>
      <w:proofErr w:type="spellEnd"/>
      <w:r w:rsidRPr="00E07570">
        <w:t xml:space="preserve"> </w:t>
      </w:r>
      <w:proofErr w:type="spellStart"/>
      <w:r w:rsidRPr="00E07570">
        <w:t>sydämet</w:t>
      </w:r>
      <w:proofErr w:type="spellEnd"/>
      <w:r w:rsidRPr="00E07570">
        <w:t xml:space="preserve"> </w:t>
      </w:r>
      <w:proofErr w:type="spellStart"/>
      <w:r w:rsidRPr="00E07570">
        <w:t>ovat</w:t>
      </w:r>
      <w:proofErr w:type="spellEnd"/>
      <w:r w:rsidRPr="00E07570">
        <w:t xml:space="preserve"> </w:t>
      </w:r>
      <w:proofErr w:type="spellStart"/>
      <w:r w:rsidRPr="00E07570">
        <w:t>kuin</w:t>
      </w:r>
      <w:proofErr w:type="spellEnd"/>
      <w:r w:rsidRPr="00E07570">
        <w:t xml:space="preserve"> </w:t>
      </w:r>
      <w:proofErr w:type="spellStart"/>
      <w:r w:rsidRPr="00E07570">
        <w:t>valtameret</w:t>
      </w:r>
      <w:proofErr w:type="spellEnd"/>
      <w:r w:rsidRPr="00E07570">
        <w:t xml:space="preserve">, ne </w:t>
      </w:r>
      <w:proofErr w:type="spellStart"/>
      <w:r w:rsidRPr="00E07570">
        <w:t>eivät</w:t>
      </w:r>
      <w:proofErr w:type="spellEnd"/>
      <w:r w:rsidRPr="00E07570">
        <w:t xml:space="preserve"> </w:t>
      </w:r>
      <w:proofErr w:type="spellStart"/>
      <w:r w:rsidRPr="00E07570">
        <w:t>koskaan</w:t>
      </w:r>
      <w:proofErr w:type="spellEnd"/>
      <w:r w:rsidRPr="00E07570">
        <w:t xml:space="preserve"> </w:t>
      </w:r>
      <w:proofErr w:type="spellStart"/>
      <w:r w:rsidRPr="00E07570">
        <w:t>jäädy</w:t>
      </w:r>
      <w:proofErr w:type="spellEnd"/>
      <w:r w:rsidRPr="00E07570">
        <w:t>.</w:t>
      </w:r>
    </w:p>
    <w:p w:rsidR="00A6696B" w:rsidRPr="00E07570" w:rsidRDefault="00A6696B" w:rsidP="00A6696B">
      <w:pPr>
        <w:suppressAutoHyphens w:val="0"/>
        <w:spacing w:before="120" w:after="120" w:line="240" w:lineRule="auto"/>
        <w:ind w:left="1134" w:right="1134"/>
        <w:rPr>
          <w:i/>
          <w:iCs/>
        </w:rPr>
      </w:pPr>
      <w:r w:rsidRPr="00E07570">
        <w:rPr>
          <w:i/>
          <w:iCs/>
        </w:rPr>
        <w:t>Femme 2 </w:t>
      </w:r>
      <w:r w:rsidRPr="00E07570">
        <w:rPr>
          <w:iCs/>
        </w:rPr>
        <w:t>:</w:t>
      </w:r>
    </w:p>
    <w:p w:rsidR="00A6696B" w:rsidRPr="00E07570" w:rsidRDefault="00A6696B" w:rsidP="00A6696B">
      <w:pPr>
        <w:suppressAutoHyphens w:val="0"/>
        <w:spacing w:before="120" w:after="120" w:line="240" w:lineRule="auto"/>
        <w:ind w:left="1134" w:right="1134"/>
      </w:pPr>
      <w:r w:rsidRPr="00E07570">
        <w:t xml:space="preserve">Jos </w:t>
      </w:r>
      <w:proofErr w:type="spellStart"/>
      <w:r w:rsidRPr="00E07570">
        <w:t>olet</w:t>
      </w:r>
      <w:proofErr w:type="spellEnd"/>
      <w:r w:rsidRPr="00E07570">
        <w:t xml:space="preserve"> </w:t>
      </w:r>
      <w:proofErr w:type="spellStart"/>
      <w:r w:rsidRPr="00E07570">
        <w:t>vasara</w:t>
      </w:r>
      <w:proofErr w:type="spellEnd"/>
      <w:r w:rsidRPr="00E07570">
        <w:t xml:space="preserve">, </w:t>
      </w:r>
      <w:proofErr w:type="spellStart"/>
      <w:r w:rsidRPr="00E07570">
        <w:t>lyö</w:t>
      </w:r>
      <w:proofErr w:type="spellEnd"/>
      <w:r w:rsidRPr="00E07570">
        <w:t xml:space="preserve"> </w:t>
      </w:r>
      <w:proofErr w:type="spellStart"/>
      <w:r w:rsidRPr="00E07570">
        <w:t>kovaa</w:t>
      </w:r>
      <w:proofErr w:type="spellEnd"/>
      <w:r w:rsidRPr="00E07570">
        <w:t xml:space="preserve">. Jos </w:t>
      </w:r>
      <w:proofErr w:type="spellStart"/>
      <w:r w:rsidRPr="00E07570">
        <w:t>olet</w:t>
      </w:r>
      <w:proofErr w:type="spellEnd"/>
      <w:r w:rsidRPr="00E07570">
        <w:t xml:space="preserve"> </w:t>
      </w:r>
      <w:proofErr w:type="spellStart"/>
      <w:r w:rsidRPr="00E07570">
        <w:t>naula</w:t>
      </w:r>
      <w:proofErr w:type="spellEnd"/>
      <w:r w:rsidRPr="00E07570">
        <w:t xml:space="preserve"> </w:t>
      </w:r>
      <w:proofErr w:type="spellStart"/>
      <w:r w:rsidRPr="00E07570">
        <w:t>pidä</w:t>
      </w:r>
      <w:proofErr w:type="spellEnd"/>
      <w:r w:rsidRPr="00E07570">
        <w:t xml:space="preserve"> </w:t>
      </w:r>
      <w:proofErr w:type="spellStart"/>
      <w:r w:rsidRPr="00E07570">
        <w:t>pääsi</w:t>
      </w:r>
      <w:proofErr w:type="spellEnd"/>
      <w:r w:rsidRPr="00E07570">
        <w:t xml:space="preserve"> </w:t>
      </w:r>
      <w:proofErr w:type="spellStart"/>
      <w:r w:rsidRPr="00E07570">
        <w:t>pystyssä</w:t>
      </w:r>
      <w:proofErr w:type="spellEnd"/>
      <w:r w:rsidRPr="00E07570">
        <w:t>.</w:t>
      </w:r>
    </w:p>
    <w:p w:rsidR="00A6696B" w:rsidRPr="00E07570" w:rsidRDefault="00A6696B" w:rsidP="00A6696B">
      <w:pPr>
        <w:suppressAutoHyphens w:val="0"/>
        <w:spacing w:before="120" w:after="120" w:line="240" w:lineRule="auto"/>
        <w:ind w:left="1134" w:right="1134"/>
      </w:pPr>
      <w:proofErr w:type="spellStart"/>
      <w:r w:rsidRPr="00E07570">
        <w:t>Onni</w:t>
      </w:r>
      <w:proofErr w:type="spellEnd"/>
      <w:r w:rsidRPr="00E07570">
        <w:t xml:space="preserve"> </w:t>
      </w:r>
      <w:proofErr w:type="spellStart"/>
      <w:r w:rsidRPr="00E07570">
        <w:t>tulee</w:t>
      </w:r>
      <w:proofErr w:type="spellEnd"/>
      <w:r w:rsidRPr="00E07570">
        <w:t xml:space="preserve"> </w:t>
      </w:r>
      <w:proofErr w:type="spellStart"/>
      <w:r w:rsidRPr="00E07570">
        <w:t>eläen</w:t>
      </w:r>
      <w:proofErr w:type="spellEnd"/>
      <w:r w:rsidRPr="00E07570">
        <w:t xml:space="preserve">, </w:t>
      </w:r>
      <w:proofErr w:type="spellStart"/>
      <w:r w:rsidRPr="00E07570">
        <w:t>ei</w:t>
      </w:r>
      <w:proofErr w:type="spellEnd"/>
      <w:r w:rsidRPr="00E07570">
        <w:t xml:space="preserve"> </w:t>
      </w:r>
      <w:proofErr w:type="spellStart"/>
      <w:r w:rsidRPr="00E07570">
        <w:t>ostaen</w:t>
      </w:r>
      <w:proofErr w:type="spellEnd"/>
      <w:r w:rsidRPr="00E07570">
        <w:t>.</w:t>
      </w:r>
    </w:p>
    <w:p w:rsidR="00A6696B" w:rsidRPr="00E07570" w:rsidRDefault="00A6696B" w:rsidP="00A6696B">
      <w:pPr>
        <w:suppressAutoHyphens w:val="0"/>
        <w:spacing w:before="120" w:after="120" w:line="240" w:lineRule="auto"/>
        <w:ind w:left="1134" w:right="1134"/>
        <w:rPr>
          <w:i/>
          <w:iCs/>
        </w:rPr>
      </w:pPr>
      <w:r w:rsidRPr="00E07570">
        <w:rPr>
          <w:i/>
          <w:iCs/>
        </w:rPr>
        <w:t>Homme 1 </w:t>
      </w:r>
      <w:r w:rsidRPr="00E07570">
        <w:rPr>
          <w:iCs/>
        </w:rPr>
        <w:t>:</w:t>
      </w:r>
    </w:p>
    <w:p w:rsidR="00A6696B" w:rsidRPr="00E07570" w:rsidRDefault="00A6696B" w:rsidP="00A6696B">
      <w:pPr>
        <w:suppressAutoHyphens w:val="0"/>
        <w:spacing w:before="120" w:after="120" w:line="240" w:lineRule="auto"/>
        <w:ind w:left="1134" w:right="1134"/>
      </w:pPr>
      <w:proofErr w:type="spellStart"/>
      <w:r w:rsidRPr="00E07570">
        <w:t>Rakkaus</w:t>
      </w:r>
      <w:proofErr w:type="spellEnd"/>
      <w:r w:rsidRPr="00E07570">
        <w:t xml:space="preserve"> </w:t>
      </w:r>
      <w:proofErr w:type="spellStart"/>
      <w:r w:rsidRPr="00E07570">
        <w:t>ei</w:t>
      </w:r>
      <w:proofErr w:type="spellEnd"/>
      <w:r w:rsidRPr="00E07570">
        <w:t xml:space="preserve"> </w:t>
      </w:r>
      <w:proofErr w:type="spellStart"/>
      <w:r w:rsidRPr="00E07570">
        <w:t>omista</w:t>
      </w:r>
      <w:proofErr w:type="spellEnd"/>
      <w:r w:rsidRPr="00E07570">
        <w:t xml:space="preserve"> </w:t>
      </w:r>
      <w:proofErr w:type="spellStart"/>
      <w:r w:rsidRPr="00E07570">
        <w:t>mitään</w:t>
      </w:r>
      <w:proofErr w:type="spellEnd"/>
      <w:r w:rsidRPr="00E07570">
        <w:t xml:space="preserve">, </w:t>
      </w:r>
      <w:proofErr w:type="spellStart"/>
      <w:r w:rsidRPr="00E07570">
        <w:t>eikä</w:t>
      </w:r>
      <w:proofErr w:type="spellEnd"/>
      <w:r w:rsidRPr="00E07570">
        <w:t xml:space="preserve"> </w:t>
      </w:r>
      <w:proofErr w:type="spellStart"/>
      <w:r w:rsidRPr="00E07570">
        <w:t>kukaan</w:t>
      </w:r>
      <w:proofErr w:type="spellEnd"/>
      <w:r w:rsidRPr="00E07570">
        <w:t xml:space="preserve"> </w:t>
      </w:r>
      <w:proofErr w:type="spellStart"/>
      <w:r w:rsidRPr="00E07570">
        <w:t>voi</w:t>
      </w:r>
      <w:proofErr w:type="spellEnd"/>
      <w:r w:rsidRPr="00E07570">
        <w:t xml:space="preserve"> </w:t>
      </w:r>
      <w:proofErr w:type="spellStart"/>
      <w:r w:rsidRPr="00E07570">
        <w:t>sitä</w:t>
      </w:r>
      <w:proofErr w:type="spellEnd"/>
      <w:r w:rsidRPr="00E07570">
        <w:t xml:space="preserve"> </w:t>
      </w:r>
      <w:proofErr w:type="spellStart"/>
      <w:r w:rsidRPr="00E07570">
        <w:t>omistaa</w:t>
      </w:r>
      <w:proofErr w:type="spellEnd"/>
      <w:r w:rsidRPr="00E07570">
        <w:t>.</w:t>
      </w:r>
    </w:p>
    <w:p w:rsidR="00A6696B" w:rsidRPr="00E07570" w:rsidRDefault="00A6696B" w:rsidP="00A6696B">
      <w:pPr>
        <w:suppressAutoHyphens w:val="0"/>
        <w:spacing w:before="120" w:after="120" w:line="240" w:lineRule="auto"/>
        <w:ind w:left="1134" w:right="1134"/>
      </w:pPr>
      <w:proofErr w:type="spellStart"/>
      <w:r w:rsidRPr="00E07570">
        <w:t>Naisen</w:t>
      </w:r>
      <w:proofErr w:type="spellEnd"/>
      <w:r w:rsidRPr="00E07570">
        <w:t xml:space="preserve"> </w:t>
      </w:r>
      <w:proofErr w:type="spellStart"/>
      <w:r w:rsidRPr="00E07570">
        <w:t>mieli</w:t>
      </w:r>
      <w:proofErr w:type="spellEnd"/>
      <w:r w:rsidRPr="00E07570">
        <w:t xml:space="preserve"> on </w:t>
      </w:r>
      <w:proofErr w:type="spellStart"/>
      <w:r w:rsidRPr="00E07570">
        <w:t>puhtaampi</w:t>
      </w:r>
      <w:proofErr w:type="spellEnd"/>
      <w:r w:rsidRPr="00E07570">
        <w:t xml:space="preserve">, </w:t>
      </w:r>
      <w:proofErr w:type="spellStart"/>
      <w:r w:rsidRPr="00E07570">
        <w:t>hän</w:t>
      </w:r>
      <w:proofErr w:type="spellEnd"/>
      <w:r w:rsidRPr="00E07570">
        <w:t xml:space="preserve"> </w:t>
      </w:r>
      <w:proofErr w:type="spellStart"/>
      <w:r w:rsidRPr="00E07570">
        <w:t>vaihtaa</w:t>
      </w:r>
      <w:proofErr w:type="spellEnd"/>
      <w:r w:rsidRPr="00E07570">
        <w:t xml:space="preserve"> </w:t>
      </w:r>
      <w:proofErr w:type="spellStart"/>
      <w:r w:rsidRPr="00E07570">
        <w:t>sitä</w:t>
      </w:r>
      <w:proofErr w:type="spellEnd"/>
      <w:r w:rsidRPr="00E07570">
        <w:t xml:space="preserve"> </w:t>
      </w:r>
      <w:proofErr w:type="spellStart"/>
      <w:r w:rsidRPr="00E07570">
        <w:t>useammin</w:t>
      </w:r>
      <w:proofErr w:type="spellEnd"/>
      <w:r w:rsidRPr="00E07570">
        <w:t>.</w:t>
      </w:r>
    </w:p>
    <w:p w:rsidR="00A6696B" w:rsidRPr="00E07570" w:rsidRDefault="00A6696B" w:rsidP="00A6696B">
      <w:pPr>
        <w:suppressAutoHyphens w:val="0"/>
        <w:spacing w:before="120" w:after="120" w:line="240" w:lineRule="auto"/>
        <w:ind w:left="1134" w:right="1134"/>
        <w:rPr>
          <w:i/>
          <w:iCs/>
        </w:rPr>
      </w:pPr>
      <w:r w:rsidRPr="00E07570">
        <w:rPr>
          <w:i/>
          <w:iCs/>
        </w:rPr>
        <w:t>Homme 2 </w:t>
      </w:r>
      <w:r w:rsidRPr="00E07570">
        <w:rPr>
          <w:iCs/>
        </w:rPr>
        <w:t>:</w:t>
      </w:r>
    </w:p>
    <w:p w:rsidR="00A6696B" w:rsidRPr="00E07570" w:rsidRDefault="00A6696B" w:rsidP="00A6696B">
      <w:pPr>
        <w:suppressAutoHyphens w:val="0"/>
        <w:spacing w:before="120" w:after="120" w:line="240" w:lineRule="auto"/>
        <w:ind w:left="1134" w:right="1134"/>
      </w:pPr>
      <w:proofErr w:type="spellStart"/>
      <w:r w:rsidRPr="00E07570">
        <w:t>Sydämellä</w:t>
      </w:r>
      <w:proofErr w:type="spellEnd"/>
      <w:r w:rsidRPr="00E07570">
        <w:t xml:space="preserve"> on </w:t>
      </w:r>
      <w:proofErr w:type="spellStart"/>
      <w:r w:rsidRPr="00E07570">
        <w:t>syynsä</w:t>
      </w:r>
      <w:proofErr w:type="spellEnd"/>
      <w:r w:rsidRPr="00E07570">
        <w:t xml:space="preserve">, </w:t>
      </w:r>
      <w:proofErr w:type="spellStart"/>
      <w:r w:rsidRPr="00E07570">
        <w:t>joita</w:t>
      </w:r>
      <w:proofErr w:type="spellEnd"/>
      <w:r w:rsidRPr="00E07570">
        <w:t xml:space="preserve"> </w:t>
      </w:r>
      <w:proofErr w:type="spellStart"/>
      <w:r w:rsidRPr="00E07570">
        <w:t>järki</w:t>
      </w:r>
      <w:proofErr w:type="spellEnd"/>
      <w:r w:rsidRPr="00E07570">
        <w:t xml:space="preserve"> </w:t>
      </w:r>
      <w:proofErr w:type="spellStart"/>
      <w:r w:rsidRPr="00E07570">
        <w:t>ei</w:t>
      </w:r>
      <w:proofErr w:type="spellEnd"/>
      <w:r w:rsidRPr="00E07570">
        <w:t xml:space="preserve"> </w:t>
      </w:r>
      <w:proofErr w:type="spellStart"/>
      <w:r w:rsidRPr="00E07570">
        <w:t>tunne</w:t>
      </w:r>
      <w:proofErr w:type="spellEnd"/>
      <w:r w:rsidRPr="00E07570">
        <w:t>.</w:t>
      </w:r>
    </w:p>
    <w:p w:rsidR="00A6696B" w:rsidRPr="00DF0776" w:rsidRDefault="00A6696B" w:rsidP="00A6696B">
      <w:pPr>
        <w:suppressAutoHyphens w:val="0"/>
        <w:spacing w:before="120" w:after="240" w:line="240" w:lineRule="auto"/>
        <w:ind w:left="1134" w:right="1134"/>
        <w:rPr>
          <w:lang w:val="en-GB"/>
        </w:rPr>
      </w:pPr>
      <w:proofErr w:type="gramStart"/>
      <w:r w:rsidRPr="00DF0776">
        <w:rPr>
          <w:lang w:val="en-GB"/>
        </w:rPr>
        <w:t>On opittava kärsimään voidakseen elää.</w:t>
      </w:r>
      <w:proofErr w:type="gramEnd"/>
    </w:p>
    <w:p w:rsidR="00A6696B" w:rsidRPr="00E07570" w:rsidRDefault="00A6696B" w:rsidP="00A6696B">
      <w:pPr>
        <w:suppressAutoHyphens w:val="0"/>
        <w:spacing w:before="240" w:after="120" w:line="240" w:lineRule="auto"/>
        <w:ind w:left="1134" w:right="1134"/>
        <w:jc w:val="center"/>
        <w:outlineLvl w:val="2"/>
      </w:pPr>
      <w:bookmarkStart w:id="15" w:name="_Toc315265557"/>
      <w:bookmarkStart w:id="16" w:name="_Toc315265879"/>
      <w:bookmarkStart w:id="17" w:name="_Toc456777196"/>
      <w:bookmarkStart w:id="18" w:name="_Toc182630684"/>
      <w:r w:rsidRPr="00E07570">
        <w:t>Français (bande intégrale)</w:t>
      </w:r>
      <w:bookmarkEnd w:id="15"/>
      <w:bookmarkEnd w:id="16"/>
      <w:bookmarkEnd w:id="17"/>
    </w:p>
    <w:p w:rsidR="00A6696B" w:rsidRPr="00E07570" w:rsidRDefault="00A6696B" w:rsidP="00A6696B">
      <w:pPr>
        <w:suppressAutoHyphens w:val="0"/>
        <w:spacing w:before="120" w:after="120" w:line="240" w:lineRule="auto"/>
        <w:ind w:left="1134" w:right="1134"/>
        <w:rPr>
          <w:i/>
          <w:iCs/>
        </w:rPr>
      </w:pPr>
      <w:r w:rsidRPr="00E07570">
        <w:rPr>
          <w:i/>
          <w:iCs/>
        </w:rPr>
        <w:t>Femme 1 </w:t>
      </w:r>
      <w:r w:rsidRPr="00E07570">
        <w:rPr>
          <w:iCs/>
        </w:rPr>
        <w:t>:</w:t>
      </w:r>
    </w:p>
    <w:p w:rsidR="00A6696B" w:rsidRPr="00E07570" w:rsidRDefault="00A6696B" w:rsidP="00A6696B">
      <w:pPr>
        <w:suppressAutoHyphens w:val="0"/>
        <w:spacing w:before="120" w:after="120" w:line="240" w:lineRule="auto"/>
        <w:ind w:left="1134" w:right="1134"/>
      </w:pPr>
      <w:r w:rsidRPr="00E07570">
        <w:t>On entend les gazouillis d</w:t>
      </w:r>
      <w:r w:rsidR="00145E4B">
        <w:t>’</w:t>
      </w:r>
      <w:r w:rsidRPr="00E07570">
        <w:t>un oiseau dans le jardin.</w:t>
      </w:r>
    </w:p>
    <w:p w:rsidR="00A6696B" w:rsidRPr="00E07570" w:rsidRDefault="00A6696B" w:rsidP="00A6696B">
      <w:pPr>
        <w:suppressAutoHyphens w:val="0"/>
        <w:spacing w:before="120" w:after="120" w:line="240" w:lineRule="auto"/>
        <w:ind w:left="1134" w:right="1134"/>
      </w:pPr>
      <w:r w:rsidRPr="00E07570">
        <w:t>La barque du pêcheur a été emportée par une tempête.</w:t>
      </w:r>
    </w:p>
    <w:p w:rsidR="00A6696B" w:rsidRPr="00E07570" w:rsidRDefault="00A6696B" w:rsidP="00A6696B">
      <w:pPr>
        <w:suppressAutoHyphens w:val="0"/>
        <w:spacing w:before="120" w:after="120" w:line="240" w:lineRule="auto"/>
        <w:ind w:left="1134" w:right="1134"/>
        <w:rPr>
          <w:i/>
          <w:iCs/>
        </w:rPr>
      </w:pPr>
      <w:r w:rsidRPr="00E07570">
        <w:rPr>
          <w:i/>
          <w:iCs/>
        </w:rPr>
        <w:t>Femme 2 </w:t>
      </w:r>
      <w:r w:rsidRPr="00E07570">
        <w:rPr>
          <w:iCs/>
        </w:rPr>
        <w:t>:</w:t>
      </w:r>
    </w:p>
    <w:p w:rsidR="00A6696B" w:rsidRPr="00E07570" w:rsidRDefault="00A6696B" w:rsidP="00A6696B">
      <w:pPr>
        <w:suppressAutoHyphens w:val="0"/>
        <w:spacing w:before="120" w:after="120" w:line="240" w:lineRule="auto"/>
        <w:ind w:left="1134" w:right="1134"/>
      </w:pPr>
      <w:r w:rsidRPr="00E07570">
        <w:t>Le client s</w:t>
      </w:r>
      <w:r w:rsidR="00145E4B">
        <w:t>’</w:t>
      </w:r>
      <w:r w:rsidRPr="00E07570">
        <w:t>attend à ce que vous fassiez une réduction.</w:t>
      </w:r>
    </w:p>
    <w:p w:rsidR="00A6696B" w:rsidRPr="00E07570" w:rsidRDefault="00A6696B" w:rsidP="00A6696B">
      <w:pPr>
        <w:suppressAutoHyphens w:val="0"/>
        <w:spacing w:before="120" w:after="120" w:line="240" w:lineRule="auto"/>
        <w:ind w:left="1134" w:right="1134"/>
      </w:pPr>
      <w:r w:rsidRPr="00E07570">
        <w:t>Chaque fois que je me lève ma plaie me tire.</w:t>
      </w:r>
    </w:p>
    <w:p w:rsidR="00A6696B" w:rsidRPr="00E07570" w:rsidRDefault="00A6696B" w:rsidP="00A6696B">
      <w:pPr>
        <w:suppressAutoHyphens w:val="0"/>
        <w:spacing w:before="120" w:after="120" w:line="240" w:lineRule="auto"/>
        <w:ind w:left="1134" w:right="1134"/>
        <w:rPr>
          <w:i/>
          <w:iCs/>
        </w:rPr>
      </w:pPr>
      <w:r w:rsidRPr="00E07570">
        <w:rPr>
          <w:i/>
          <w:iCs/>
        </w:rPr>
        <w:t>Homme 1 </w:t>
      </w:r>
      <w:r w:rsidRPr="00E07570">
        <w:rPr>
          <w:iCs/>
        </w:rPr>
        <w:t>:</w:t>
      </w:r>
    </w:p>
    <w:p w:rsidR="00A6696B" w:rsidRPr="00E07570" w:rsidRDefault="00A6696B" w:rsidP="00A6696B">
      <w:pPr>
        <w:suppressAutoHyphens w:val="0"/>
        <w:spacing w:before="120" w:after="120" w:line="240" w:lineRule="auto"/>
        <w:ind w:left="1134" w:right="1134"/>
      </w:pPr>
      <w:r w:rsidRPr="00E07570">
        <w:t>Vous avez du plaisir à jouer avec ceux qui ont un bon caractère.</w:t>
      </w:r>
    </w:p>
    <w:p w:rsidR="00A6696B" w:rsidRPr="00E07570" w:rsidRDefault="00A6696B" w:rsidP="00A6696B">
      <w:pPr>
        <w:suppressAutoHyphens w:val="0"/>
        <w:spacing w:before="120" w:after="120" w:line="240" w:lineRule="auto"/>
        <w:ind w:left="1134" w:right="1134"/>
      </w:pPr>
      <w:r w:rsidRPr="00E07570">
        <w:t>Le chevrier a corné pour rassembler ses moutons.</w:t>
      </w:r>
    </w:p>
    <w:p w:rsidR="00A6696B" w:rsidRPr="00E07570" w:rsidRDefault="00A6696B" w:rsidP="00A6696B">
      <w:pPr>
        <w:suppressAutoHyphens w:val="0"/>
        <w:spacing w:before="120" w:after="120" w:line="240" w:lineRule="auto"/>
        <w:ind w:left="1134" w:right="1134"/>
        <w:rPr>
          <w:i/>
          <w:iCs/>
        </w:rPr>
      </w:pPr>
      <w:r w:rsidRPr="00E07570">
        <w:rPr>
          <w:i/>
          <w:iCs/>
        </w:rPr>
        <w:t>Homme 2 </w:t>
      </w:r>
      <w:r w:rsidRPr="00E07570">
        <w:rPr>
          <w:iCs/>
        </w:rPr>
        <w:t>:</w:t>
      </w:r>
    </w:p>
    <w:p w:rsidR="00A6696B" w:rsidRPr="00E07570" w:rsidRDefault="00A6696B" w:rsidP="00A6696B">
      <w:pPr>
        <w:suppressAutoHyphens w:val="0"/>
        <w:spacing w:before="120" w:after="120" w:line="240" w:lineRule="auto"/>
        <w:ind w:left="1134" w:right="1134"/>
      </w:pPr>
      <w:r w:rsidRPr="00E07570">
        <w:t>Ma mère et moi faisons de courtes promenades.</w:t>
      </w:r>
    </w:p>
    <w:p w:rsidR="00A6696B" w:rsidRPr="00E07570" w:rsidRDefault="00A6696B" w:rsidP="00A6696B">
      <w:pPr>
        <w:suppressAutoHyphens w:val="0"/>
        <w:spacing w:before="120" w:after="240" w:line="240" w:lineRule="auto"/>
        <w:ind w:left="1134" w:right="1134"/>
      </w:pPr>
      <w:r w:rsidRPr="00E07570">
        <w:t>La poupée fait la joie de cette très jeune fille.</w:t>
      </w:r>
    </w:p>
    <w:bookmarkEnd w:id="18"/>
    <w:p w:rsidR="00A6696B" w:rsidRPr="00DF0776" w:rsidRDefault="00A6696B" w:rsidP="00A6696B">
      <w:pPr>
        <w:suppressAutoHyphens w:val="0"/>
        <w:spacing w:before="240" w:after="120" w:line="240" w:lineRule="auto"/>
        <w:ind w:left="1134" w:right="1134"/>
        <w:jc w:val="center"/>
        <w:outlineLvl w:val="2"/>
        <w:rPr>
          <w:lang w:val="en-GB"/>
        </w:rPr>
      </w:pPr>
      <w:r w:rsidRPr="00DF0776">
        <w:rPr>
          <w:lang w:val="en-GB"/>
        </w:rPr>
        <w:t>Allemand</w:t>
      </w:r>
    </w:p>
    <w:p w:rsidR="00A6696B" w:rsidRPr="00DF0776" w:rsidRDefault="00A6696B" w:rsidP="00A6696B">
      <w:pPr>
        <w:suppressAutoHyphens w:val="0"/>
        <w:spacing w:before="120" w:after="120" w:line="240" w:lineRule="auto"/>
        <w:ind w:left="1134" w:right="1134"/>
        <w:rPr>
          <w:i/>
          <w:iCs/>
          <w:lang w:val="en-GB"/>
        </w:rPr>
      </w:pPr>
      <w:r w:rsidRPr="00DF0776">
        <w:rPr>
          <w:i/>
          <w:iCs/>
          <w:lang w:val="en-GB"/>
        </w:rPr>
        <w:t>Femme 1 </w:t>
      </w:r>
      <w:r w:rsidRPr="00DF0776">
        <w:rPr>
          <w:iCs/>
          <w:lang w:val="en-GB"/>
        </w:rPr>
        <w:t>:</w:t>
      </w:r>
    </w:p>
    <w:p w:rsidR="00A6696B" w:rsidRPr="00DF0776" w:rsidRDefault="00A6696B" w:rsidP="00A6696B">
      <w:pPr>
        <w:suppressAutoHyphens w:val="0"/>
        <w:spacing w:before="120" w:after="120" w:line="240" w:lineRule="auto"/>
        <w:ind w:left="1134" w:right="1134"/>
        <w:rPr>
          <w:lang w:val="en-GB"/>
        </w:rPr>
      </w:pPr>
      <w:r w:rsidRPr="00DF0776">
        <w:rPr>
          <w:lang w:val="en-GB"/>
        </w:rPr>
        <w:t>Zarter Blumenduft erfüllt den Saal.</w:t>
      </w:r>
    </w:p>
    <w:p w:rsidR="00A6696B" w:rsidRPr="00DF0776" w:rsidRDefault="00A6696B" w:rsidP="00A6696B">
      <w:pPr>
        <w:suppressAutoHyphens w:val="0"/>
        <w:spacing w:before="120" w:after="120" w:line="240" w:lineRule="auto"/>
        <w:ind w:left="1134" w:right="1134"/>
        <w:rPr>
          <w:lang w:val="en-GB"/>
        </w:rPr>
      </w:pPr>
      <w:proofErr w:type="gramStart"/>
      <w:r w:rsidRPr="00DF0776">
        <w:rPr>
          <w:lang w:val="en-GB"/>
        </w:rPr>
        <w:t>Wisch den Tisch doch später ab.</w:t>
      </w:r>
      <w:proofErr w:type="gramEnd"/>
    </w:p>
    <w:p w:rsidR="00A6696B" w:rsidRPr="00DF0776" w:rsidRDefault="00A6696B" w:rsidP="001E3173">
      <w:pPr>
        <w:keepNext/>
        <w:suppressAutoHyphens w:val="0"/>
        <w:spacing w:before="120" w:after="120" w:line="240" w:lineRule="auto"/>
        <w:ind w:left="1134" w:right="1134"/>
        <w:rPr>
          <w:i/>
          <w:iCs/>
          <w:lang w:val="en-GB"/>
        </w:rPr>
      </w:pPr>
      <w:r w:rsidRPr="00DF0776">
        <w:rPr>
          <w:i/>
          <w:iCs/>
          <w:lang w:val="en-GB"/>
        </w:rPr>
        <w:t>Femme 2 </w:t>
      </w:r>
      <w:r w:rsidRPr="00DF0776">
        <w:rPr>
          <w:iCs/>
          <w:lang w:val="en-GB"/>
        </w:rPr>
        <w:t>:</w:t>
      </w:r>
    </w:p>
    <w:p w:rsidR="00A6696B" w:rsidRPr="00DF0776" w:rsidRDefault="00A6696B" w:rsidP="00A6696B">
      <w:pPr>
        <w:suppressAutoHyphens w:val="0"/>
        <w:spacing w:before="120" w:after="120" w:line="240" w:lineRule="auto"/>
        <w:ind w:left="1134" w:right="1134"/>
        <w:rPr>
          <w:lang w:val="en-GB"/>
        </w:rPr>
      </w:pPr>
      <w:r w:rsidRPr="00DF0776">
        <w:rPr>
          <w:lang w:val="en-GB"/>
        </w:rPr>
        <w:t>Sekunden entscheiden über Leben.</w:t>
      </w:r>
    </w:p>
    <w:p w:rsidR="00A6696B" w:rsidRPr="00DF0776" w:rsidRDefault="00A6696B" w:rsidP="00A6696B">
      <w:pPr>
        <w:suppressAutoHyphens w:val="0"/>
        <w:spacing w:before="120" w:after="120" w:line="240" w:lineRule="auto"/>
        <w:ind w:left="1134" w:right="1134"/>
        <w:rPr>
          <w:lang w:val="en-GB"/>
        </w:rPr>
      </w:pPr>
      <w:r w:rsidRPr="00DF0776">
        <w:rPr>
          <w:lang w:val="en-GB"/>
        </w:rPr>
        <w:t>Flieder lockt nicht nur die Bienen.</w:t>
      </w:r>
    </w:p>
    <w:p w:rsidR="00A6696B" w:rsidRPr="00DF0776" w:rsidRDefault="00A6696B" w:rsidP="00A6696B">
      <w:pPr>
        <w:suppressAutoHyphens w:val="0"/>
        <w:spacing w:before="120" w:after="120" w:line="240" w:lineRule="auto"/>
        <w:ind w:left="1134" w:right="1134"/>
        <w:rPr>
          <w:i/>
          <w:iCs/>
          <w:lang w:val="en-GB"/>
        </w:rPr>
      </w:pPr>
      <w:r w:rsidRPr="00DF0776">
        <w:rPr>
          <w:i/>
          <w:iCs/>
          <w:lang w:val="en-GB"/>
        </w:rPr>
        <w:t>Homme 1 </w:t>
      </w:r>
      <w:r w:rsidRPr="00DF0776">
        <w:rPr>
          <w:iCs/>
          <w:lang w:val="en-GB"/>
        </w:rPr>
        <w:t>:</w:t>
      </w:r>
    </w:p>
    <w:p w:rsidR="00A6696B" w:rsidRPr="00DF0776" w:rsidRDefault="00A6696B" w:rsidP="00A6696B">
      <w:pPr>
        <w:suppressAutoHyphens w:val="0"/>
        <w:spacing w:before="120" w:after="120" w:line="240" w:lineRule="auto"/>
        <w:ind w:left="1134" w:right="1134"/>
        <w:rPr>
          <w:lang w:val="en-GB"/>
        </w:rPr>
      </w:pPr>
      <w:r w:rsidRPr="00DF0776">
        <w:rPr>
          <w:lang w:val="en-GB"/>
        </w:rPr>
        <w:t xml:space="preserve">Gegen Dummheit </w:t>
      </w:r>
      <w:proofErr w:type="gramStart"/>
      <w:r w:rsidRPr="00DF0776">
        <w:rPr>
          <w:lang w:val="en-GB"/>
        </w:rPr>
        <w:t>ist</w:t>
      </w:r>
      <w:proofErr w:type="gramEnd"/>
      <w:r w:rsidRPr="00DF0776">
        <w:rPr>
          <w:lang w:val="en-GB"/>
        </w:rPr>
        <w:t xml:space="preserve"> kein Kraut gewachsen.</w:t>
      </w:r>
    </w:p>
    <w:p w:rsidR="00A6696B" w:rsidRPr="00E07570" w:rsidRDefault="00A6696B" w:rsidP="00A6696B">
      <w:pPr>
        <w:suppressAutoHyphens w:val="0"/>
        <w:spacing w:before="120" w:after="120" w:line="240" w:lineRule="auto"/>
        <w:ind w:left="1134" w:right="1134"/>
      </w:pPr>
      <w:proofErr w:type="spellStart"/>
      <w:r w:rsidRPr="00E07570">
        <w:t>Alles</w:t>
      </w:r>
      <w:proofErr w:type="spellEnd"/>
      <w:r w:rsidRPr="00E07570">
        <w:t xml:space="preserve"> </w:t>
      </w:r>
      <w:proofErr w:type="spellStart"/>
      <w:r w:rsidRPr="00E07570">
        <w:t>wurde</w:t>
      </w:r>
      <w:proofErr w:type="spellEnd"/>
      <w:r w:rsidRPr="00E07570">
        <w:t xml:space="preserve"> </w:t>
      </w:r>
      <w:proofErr w:type="spellStart"/>
      <w:r w:rsidRPr="00E07570">
        <w:t>wieder</w:t>
      </w:r>
      <w:proofErr w:type="spellEnd"/>
      <w:r w:rsidRPr="00E07570">
        <w:t xml:space="preserve"> </w:t>
      </w:r>
      <w:proofErr w:type="spellStart"/>
      <w:r w:rsidRPr="00E07570">
        <w:t>abgesagt</w:t>
      </w:r>
      <w:proofErr w:type="spellEnd"/>
      <w:r w:rsidRPr="00E07570">
        <w:t>.</w:t>
      </w:r>
    </w:p>
    <w:p w:rsidR="00A6696B" w:rsidRPr="00E07570" w:rsidRDefault="00A6696B" w:rsidP="00A6696B">
      <w:pPr>
        <w:suppressAutoHyphens w:val="0"/>
        <w:spacing w:before="120" w:after="120" w:line="240" w:lineRule="auto"/>
        <w:ind w:left="1134" w:right="1134"/>
        <w:rPr>
          <w:i/>
          <w:iCs/>
        </w:rPr>
      </w:pPr>
      <w:r w:rsidRPr="00E07570">
        <w:rPr>
          <w:i/>
          <w:iCs/>
        </w:rPr>
        <w:t>Homme 2 </w:t>
      </w:r>
      <w:r w:rsidRPr="00E07570">
        <w:rPr>
          <w:iCs/>
        </w:rPr>
        <w:t>:</w:t>
      </w:r>
    </w:p>
    <w:p w:rsidR="00A6696B" w:rsidRPr="00E07570" w:rsidRDefault="00A6696B" w:rsidP="00A6696B">
      <w:pPr>
        <w:suppressAutoHyphens w:val="0"/>
        <w:spacing w:before="120" w:after="120" w:line="240" w:lineRule="auto"/>
        <w:ind w:left="1134" w:right="1134"/>
      </w:pPr>
      <w:proofErr w:type="spellStart"/>
      <w:r w:rsidRPr="00E07570">
        <w:t>Überquere</w:t>
      </w:r>
      <w:proofErr w:type="spellEnd"/>
      <w:r w:rsidRPr="00E07570">
        <w:t xml:space="preserve"> die Strasse </w:t>
      </w:r>
      <w:proofErr w:type="spellStart"/>
      <w:r w:rsidRPr="00E07570">
        <w:t>vorsichtig</w:t>
      </w:r>
      <w:proofErr w:type="spellEnd"/>
      <w:r w:rsidRPr="00E07570">
        <w:t>.</w:t>
      </w:r>
    </w:p>
    <w:p w:rsidR="00A6696B" w:rsidRPr="00DF0776" w:rsidRDefault="00A6696B" w:rsidP="00A6696B">
      <w:pPr>
        <w:suppressAutoHyphens w:val="0"/>
        <w:spacing w:before="120" w:after="240" w:line="240" w:lineRule="auto"/>
        <w:ind w:left="1134" w:right="1134"/>
        <w:rPr>
          <w:lang w:val="en-GB"/>
        </w:rPr>
      </w:pPr>
      <w:r w:rsidRPr="00DF0776">
        <w:rPr>
          <w:lang w:val="en-GB"/>
        </w:rPr>
        <w:t xml:space="preserve">Die drei Männer </w:t>
      </w:r>
      <w:proofErr w:type="gramStart"/>
      <w:r w:rsidRPr="00DF0776">
        <w:rPr>
          <w:lang w:val="en-GB"/>
        </w:rPr>
        <w:t>sind</w:t>
      </w:r>
      <w:proofErr w:type="gramEnd"/>
      <w:r w:rsidRPr="00DF0776">
        <w:rPr>
          <w:lang w:val="en-GB"/>
        </w:rPr>
        <w:t xml:space="preserve"> begeistert.</w:t>
      </w:r>
    </w:p>
    <w:p w:rsidR="00A6696B" w:rsidRPr="00E07570" w:rsidRDefault="00A6696B" w:rsidP="00A6696B">
      <w:pPr>
        <w:suppressAutoHyphens w:val="0"/>
        <w:spacing w:before="240" w:after="120" w:line="240" w:lineRule="auto"/>
        <w:ind w:left="1134" w:right="1134"/>
        <w:jc w:val="center"/>
        <w:outlineLvl w:val="2"/>
      </w:pPr>
      <w:bookmarkStart w:id="19" w:name="_Toc315265559"/>
      <w:bookmarkStart w:id="20" w:name="_Toc456777198"/>
      <w:r w:rsidRPr="00E07570">
        <w:t>Allemand (bande intégrale)</w:t>
      </w:r>
      <w:bookmarkEnd w:id="19"/>
      <w:bookmarkEnd w:id="20"/>
    </w:p>
    <w:p w:rsidR="00A6696B" w:rsidRPr="00E07570" w:rsidRDefault="00A6696B" w:rsidP="00A6696B">
      <w:pPr>
        <w:suppressAutoHyphens w:val="0"/>
        <w:spacing w:before="120" w:after="120" w:line="240" w:lineRule="auto"/>
        <w:ind w:left="1134" w:right="1134"/>
        <w:rPr>
          <w:i/>
          <w:iCs/>
        </w:rPr>
      </w:pPr>
      <w:r w:rsidRPr="00E07570">
        <w:rPr>
          <w:i/>
          <w:iCs/>
        </w:rPr>
        <w:t>Femme 1 </w:t>
      </w:r>
      <w:r w:rsidRPr="00E07570">
        <w:rPr>
          <w:iCs/>
        </w:rPr>
        <w:t>:</w:t>
      </w:r>
    </w:p>
    <w:p w:rsidR="00A6696B" w:rsidRPr="00E07570" w:rsidRDefault="00A6696B" w:rsidP="00A6696B">
      <w:pPr>
        <w:suppressAutoHyphens w:val="0"/>
        <w:spacing w:before="120" w:after="120" w:line="240" w:lineRule="auto"/>
        <w:ind w:left="1134" w:right="1134"/>
      </w:pPr>
      <w:r w:rsidRPr="00E07570">
        <w:t xml:space="preserve">Im </w:t>
      </w:r>
      <w:proofErr w:type="spellStart"/>
      <w:r w:rsidRPr="00E07570">
        <w:t>Fernsehen</w:t>
      </w:r>
      <w:proofErr w:type="spellEnd"/>
      <w:r w:rsidRPr="00E07570">
        <w:t xml:space="preserve"> </w:t>
      </w:r>
      <w:proofErr w:type="spellStart"/>
      <w:r w:rsidRPr="00E07570">
        <w:t>wurde</w:t>
      </w:r>
      <w:proofErr w:type="spellEnd"/>
      <w:r w:rsidRPr="00E07570">
        <w:t xml:space="preserve"> </w:t>
      </w:r>
      <w:proofErr w:type="spellStart"/>
      <w:r w:rsidRPr="00E07570">
        <w:t>alles</w:t>
      </w:r>
      <w:proofErr w:type="spellEnd"/>
      <w:r w:rsidRPr="00E07570">
        <w:t xml:space="preserve"> </w:t>
      </w:r>
      <w:proofErr w:type="spellStart"/>
      <w:r w:rsidRPr="00E07570">
        <w:t>gezeigt</w:t>
      </w:r>
      <w:proofErr w:type="spellEnd"/>
      <w:r w:rsidRPr="00E07570">
        <w:t>,</w:t>
      </w:r>
    </w:p>
    <w:p w:rsidR="00A6696B" w:rsidRPr="00E07570" w:rsidRDefault="00A6696B" w:rsidP="00A6696B">
      <w:pPr>
        <w:suppressAutoHyphens w:val="0"/>
        <w:spacing w:before="120" w:after="120" w:line="240" w:lineRule="auto"/>
        <w:ind w:left="1134" w:right="1134"/>
      </w:pPr>
      <w:proofErr w:type="spellStart"/>
      <w:r w:rsidRPr="00E07570">
        <w:t>Alle</w:t>
      </w:r>
      <w:proofErr w:type="spellEnd"/>
      <w:r w:rsidRPr="00E07570">
        <w:t xml:space="preserve"> </w:t>
      </w:r>
      <w:proofErr w:type="spellStart"/>
      <w:r w:rsidRPr="00E07570">
        <w:t>haben</w:t>
      </w:r>
      <w:proofErr w:type="spellEnd"/>
      <w:r w:rsidRPr="00E07570">
        <w:t xml:space="preserve"> </w:t>
      </w:r>
      <w:proofErr w:type="spellStart"/>
      <w:r w:rsidRPr="00E07570">
        <w:t>nur</w:t>
      </w:r>
      <w:proofErr w:type="spellEnd"/>
      <w:r w:rsidRPr="00E07570">
        <w:t xml:space="preserve"> </w:t>
      </w:r>
      <w:proofErr w:type="spellStart"/>
      <w:r w:rsidRPr="00E07570">
        <w:t>einen</w:t>
      </w:r>
      <w:proofErr w:type="spellEnd"/>
      <w:r w:rsidRPr="00E07570">
        <w:t xml:space="preserve"> </w:t>
      </w:r>
      <w:proofErr w:type="spellStart"/>
      <w:r w:rsidRPr="00E07570">
        <w:t>Wunsch</w:t>
      </w:r>
      <w:proofErr w:type="spellEnd"/>
      <w:r w:rsidRPr="00E07570">
        <w:t>.</w:t>
      </w:r>
    </w:p>
    <w:p w:rsidR="00A6696B" w:rsidRPr="00E07570" w:rsidRDefault="00A6696B" w:rsidP="00A6696B">
      <w:pPr>
        <w:suppressAutoHyphens w:val="0"/>
        <w:spacing w:before="120" w:after="120" w:line="240" w:lineRule="auto"/>
        <w:ind w:left="1134" w:right="1134"/>
        <w:rPr>
          <w:i/>
          <w:iCs/>
        </w:rPr>
      </w:pPr>
      <w:r w:rsidRPr="00E07570">
        <w:rPr>
          <w:i/>
          <w:iCs/>
        </w:rPr>
        <w:t>Femme 2 </w:t>
      </w:r>
      <w:r w:rsidRPr="00E07570">
        <w:rPr>
          <w:iCs/>
        </w:rPr>
        <w:t>:</w:t>
      </w:r>
    </w:p>
    <w:p w:rsidR="00A6696B" w:rsidRPr="00DF0776" w:rsidRDefault="00A6696B" w:rsidP="00A6696B">
      <w:pPr>
        <w:suppressAutoHyphens w:val="0"/>
        <w:spacing w:before="120" w:after="120" w:line="240" w:lineRule="auto"/>
        <w:ind w:left="1134" w:right="1134"/>
        <w:rPr>
          <w:lang w:val="en-GB"/>
        </w:rPr>
      </w:pPr>
      <w:r w:rsidRPr="00DF0776">
        <w:rPr>
          <w:lang w:val="en-GB"/>
        </w:rPr>
        <w:t>Kinder naschen Süßigkeiten.</w:t>
      </w:r>
    </w:p>
    <w:p w:rsidR="00A6696B" w:rsidRPr="00DF0776" w:rsidRDefault="00A6696B" w:rsidP="00A6696B">
      <w:pPr>
        <w:suppressAutoHyphens w:val="0"/>
        <w:spacing w:before="120" w:after="120" w:line="240" w:lineRule="auto"/>
        <w:ind w:left="1134" w:right="1134"/>
        <w:rPr>
          <w:lang w:val="en-GB"/>
        </w:rPr>
      </w:pPr>
      <w:r w:rsidRPr="00DF0776">
        <w:rPr>
          <w:lang w:val="en-GB"/>
        </w:rPr>
        <w:t>Der Boden ist viel zu trocken.</w:t>
      </w:r>
    </w:p>
    <w:p w:rsidR="00A6696B" w:rsidRPr="00DF0776" w:rsidRDefault="00A6696B" w:rsidP="00A6696B">
      <w:pPr>
        <w:suppressAutoHyphens w:val="0"/>
        <w:spacing w:before="120" w:after="120" w:line="240" w:lineRule="auto"/>
        <w:ind w:left="1134" w:right="1134"/>
        <w:rPr>
          <w:i/>
          <w:iCs/>
          <w:lang w:val="en-GB"/>
        </w:rPr>
      </w:pPr>
      <w:r w:rsidRPr="00DF0776">
        <w:rPr>
          <w:i/>
          <w:iCs/>
          <w:lang w:val="en-GB"/>
        </w:rPr>
        <w:t>Homme 1 </w:t>
      </w:r>
      <w:r w:rsidRPr="00DF0776">
        <w:rPr>
          <w:iCs/>
          <w:lang w:val="en-GB"/>
        </w:rPr>
        <w:t>:</w:t>
      </w:r>
    </w:p>
    <w:p w:rsidR="00A6696B" w:rsidRPr="00DF0776" w:rsidRDefault="00A6696B" w:rsidP="00A6696B">
      <w:pPr>
        <w:suppressAutoHyphens w:val="0"/>
        <w:spacing w:before="120" w:after="120" w:line="240" w:lineRule="auto"/>
        <w:ind w:left="1134" w:right="1134"/>
        <w:rPr>
          <w:lang w:val="en-GB"/>
        </w:rPr>
      </w:pPr>
      <w:r w:rsidRPr="00DF0776">
        <w:rPr>
          <w:lang w:val="en-GB"/>
        </w:rPr>
        <w:t>Mit einem Male kam die Sonne durch.</w:t>
      </w:r>
    </w:p>
    <w:p w:rsidR="00A6696B" w:rsidRPr="00DF0776" w:rsidRDefault="00A6696B" w:rsidP="00A6696B">
      <w:pPr>
        <w:suppressAutoHyphens w:val="0"/>
        <w:spacing w:before="120" w:after="120" w:line="240" w:lineRule="auto"/>
        <w:ind w:left="1134" w:right="1134"/>
        <w:rPr>
          <w:lang w:val="en-GB"/>
        </w:rPr>
      </w:pPr>
      <w:proofErr w:type="gramStart"/>
      <w:r w:rsidRPr="00DF0776">
        <w:rPr>
          <w:lang w:val="en-GB"/>
        </w:rPr>
        <w:t>Das Telefon klingelt wieder.</w:t>
      </w:r>
      <w:proofErr w:type="gramEnd"/>
    </w:p>
    <w:p w:rsidR="00A6696B" w:rsidRPr="00E07570" w:rsidRDefault="00A6696B" w:rsidP="00A6696B">
      <w:pPr>
        <w:suppressAutoHyphens w:val="0"/>
        <w:spacing w:before="120" w:after="120" w:line="240" w:lineRule="auto"/>
        <w:ind w:left="1134" w:right="1134"/>
        <w:rPr>
          <w:i/>
          <w:iCs/>
        </w:rPr>
      </w:pPr>
      <w:r w:rsidRPr="00E07570">
        <w:rPr>
          <w:i/>
          <w:iCs/>
        </w:rPr>
        <w:t>Homme 2 </w:t>
      </w:r>
      <w:r w:rsidRPr="00E07570">
        <w:rPr>
          <w:iCs/>
        </w:rPr>
        <w:t>:</w:t>
      </w:r>
    </w:p>
    <w:p w:rsidR="00A6696B" w:rsidRPr="00E07570" w:rsidRDefault="00A6696B" w:rsidP="00A6696B">
      <w:pPr>
        <w:suppressAutoHyphens w:val="0"/>
        <w:spacing w:before="120" w:after="120" w:line="240" w:lineRule="auto"/>
        <w:ind w:left="1134" w:right="1134"/>
      </w:pPr>
      <w:proofErr w:type="spellStart"/>
      <w:r w:rsidRPr="00E07570">
        <w:t>Sekunden</w:t>
      </w:r>
      <w:proofErr w:type="spellEnd"/>
      <w:r w:rsidRPr="00E07570">
        <w:t xml:space="preserve"> </w:t>
      </w:r>
      <w:proofErr w:type="spellStart"/>
      <w:r w:rsidRPr="00E07570">
        <w:t>entscheiden</w:t>
      </w:r>
      <w:proofErr w:type="spellEnd"/>
      <w:r w:rsidRPr="00E07570">
        <w:t xml:space="preserve"> </w:t>
      </w:r>
      <w:proofErr w:type="spellStart"/>
      <w:r w:rsidRPr="00E07570">
        <w:t>über</w:t>
      </w:r>
      <w:proofErr w:type="spellEnd"/>
      <w:r w:rsidRPr="00E07570">
        <w:t xml:space="preserve"> Leben.</w:t>
      </w:r>
    </w:p>
    <w:p w:rsidR="00A6696B" w:rsidRPr="00E07570" w:rsidRDefault="00A6696B" w:rsidP="00A6696B">
      <w:pPr>
        <w:suppressAutoHyphens w:val="0"/>
        <w:spacing w:before="120" w:after="240" w:line="240" w:lineRule="auto"/>
        <w:ind w:left="1134" w:right="1134"/>
      </w:pPr>
      <w:proofErr w:type="spellStart"/>
      <w:r w:rsidRPr="00E07570">
        <w:t>Flieder</w:t>
      </w:r>
      <w:proofErr w:type="spellEnd"/>
      <w:r w:rsidRPr="00E07570">
        <w:t xml:space="preserve"> </w:t>
      </w:r>
      <w:proofErr w:type="spellStart"/>
      <w:r w:rsidRPr="00E07570">
        <w:t>lockt</w:t>
      </w:r>
      <w:proofErr w:type="spellEnd"/>
      <w:r w:rsidRPr="00E07570">
        <w:t xml:space="preserve"> </w:t>
      </w:r>
      <w:proofErr w:type="spellStart"/>
      <w:r w:rsidRPr="00E07570">
        <w:t>nicht</w:t>
      </w:r>
      <w:proofErr w:type="spellEnd"/>
      <w:r w:rsidRPr="00E07570">
        <w:t xml:space="preserve"> </w:t>
      </w:r>
      <w:proofErr w:type="spellStart"/>
      <w:r w:rsidRPr="00E07570">
        <w:t>nur</w:t>
      </w:r>
      <w:proofErr w:type="spellEnd"/>
      <w:r w:rsidRPr="00E07570">
        <w:t xml:space="preserve"> die </w:t>
      </w:r>
      <w:proofErr w:type="spellStart"/>
      <w:r w:rsidRPr="00E07570">
        <w:t>Bienen</w:t>
      </w:r>
      <w:proofErr w:type="spellEnd"/>
      <w:r w:rsidRPr="00E07570">
        <w:t>.</w:t>
      </w:r>
    </w:p>
    <w:p w:rsidR="00A6696B" w:rsidRPr="00E07570" w:rsidRDefault="00A6696B" w:rsidP="00A6696B">
      <w:pPr>
        <w:suppressAutoHyphens w:val="0"/>
        <w:spacing w:before="240" w:after="120" w:line="240" w:lineRule="auto"/>
        <w:ind w:left="1134" w:right="1134"/>
        <w:jc w:val="center"/>
        <w:outlineLvl w:val="2"/>
      </w:pPr>
      <w:bookmarkStart w:id="21" w:name="_Toc182630685"/>
      <w:bookmarkStart w:id="22" w:name="_Toc315265560"/>
      <w:bookmarkStart w:id="23" w:name="_Toc315265880"/>
      <w:bookmarkStart w:id="24" w:name="_Toc456777199"/>
      <w:r w:rsidRPr="00E07570">
        <w:t>Italien</w:t>
      </w:r>
      <w:bookmarkEnd w:id="21"/>
      <w:r w:rsidRPr="00E07570">
        <w:t xml:space="preserve"> (bande intégrale)</w:t>
      </w:r>
      <w:bookmarkEnd w:id="22"/>
      <w:bookmarkEnd w:id="23"/>
      <w:bookmarkEnd w:id="24"/>
    </w:p>
    <w:p w:rsidR="00A6696B" w:rsidRPr="00E07570" w:rsidRDefault="00A6696B" w:rsidP="00A6696B">
      <w:pPr>
        <w:suppressAutoHyphens w:val="0"/>
        <w:spacing w:before="120" w:after="120" w:line="240" w:lineRule="auto"/>
        <w:ind w:left="1134" w:right="1134"/>
        <w:rPr>
          <w:i/>
          <w:iCs/>
        </w:rPr>
      </w:pPr>
      <w:r w:rsidRPr="00E07570">
        <w:rPr>
          <w:i/>
          <w:iCs/>
        </w:rPr>
        <w:t>Femme 1 </w:t>
      </w:r>
      <w:r w:rsidRPr="00E07570">
        <w:rPr>
          <w:iCs/>
        </w:rPr>
        <w:t>:</w:t>
      </w:r>
    </w:p>
    <w:p w:rsidR="00A6696B" w:rsidRPr="00E07570" w:rsidRDefault="00A6696B" w:rsidP="00A6696B">
      <w:pPr>
        <w:suppressAutoHyphens w:val="0"/>
        <w:spacing w:before="120" w:after="120" w:line="240" w:lineRule="auto"/>
        <w:ind w:left="1134" w:right="1134"/>
      </w:pPr>
      <w:r w:rsidRPr="00E07570">
        <w:t xml:space="preserve">Non </w:t>
      </w:r>
      <w:proofErr w:type="spellStart"/>
      <w:r w:rsidRPr="00E07570">
        <w:t>bisogna</w:t>
      </w:r>
      <w:proofErr w:type="spellEnd"/>
      <w:r w:rsidRPr="00E07570">
        <w:t xml:space="preserve"> </w:t>
      </w:r>
      <w:proofErr w:type="spellStart"/>
      <w:r w:rsidRPr="00E07570">
        <w:t>credere</w:t>
      </w:r>
      <w:proofErr w:type="spellEnd"/>
      <w:r w:rsidRPr="00E07570">
        <w:t xml:space="preserve"> </w:t>
      </w:r>
      <w:proofErr w:type="spellStart"/>
      <w:r w:rsidRPr="00E07570">
        <w:t>che</w:t>
      </w:r>
      <w:proofErr w:type="spellEnd"/>
      <w:r w:rsidRPr="00E07570">
        <w:t xml:space="preserve"> </w:t>
      </w:r>
      <w:proofErr w:type="spellStart"/>
      <w:r w:rsidRPr="00E07570">
        <w:t>sia</w:t>
      </w:r>
      <w:proofErr w:type="spellEnd"/>
      <w:r w:rsidRPr="00E07570">
        <w:t xml:space="preserve"> </w:t>
      </w:r>
      <w:proofErr w:type="spellStart"/>
      <w:r w:rsidRPr="00E07570">
        <w:t>vero</w:t>
      </w:r>
      <w:proofErr w:type="spellEnd"/>
      <w:r w:rsidRPr="00E07570">
        <w:t xml:space="preserve"> </w:t>
      </w:r>
      <w:proofErr w:type="spellStart"/>
      <w:r w:rsidRPr="00E07570">
        <w:t>tutto</w:t>
      </w:r>
      <w:proofErr w:type="spellEnd"/>
      <w:r w:rsidRPr="00E07570">
        <w:t xml:space="preserve"> </w:t>
      </w:r>
      <w:proofErr w:type="spellStart"/>
      <w:r w:rsidRPr="00E07570">
        <w:t>quello</w:t>
      </w:r>
      <w:proofErr w:type="spellEnd"/>
      <w:r w:rsidRPr="00E07570">
        <w:t xml:space="preserve"> </w:t>
      </w:r>
      <w:proofErr w:type="spellStart"/>
      <w:r w:rsidRPr="00E07570">
        <w:t>che</w:t>
      </w:r>
      <w:proofErr w:type="spellEnd"/>
      <w:r w:rsidRPr="00E07570">
        <w:t xml:space="preserve"> </w:t>
      </w:r>
      <w:proofErr w:type="spellStart"/>
      <w:r w:rsidRPr="00E07570">
        <w:t>dice</w:t>
      </w:r>
      <w:proofErr w:type="spellEnd"/>
      <w:r w:rsidRPr="00E07570">
        <w:t xml:space="preserve"> la gente. Tu non </w:t>
      </w:r>
      <w:proofErr w:type="spellStart"/>
      <w:r w:rsidRPr="00E07570">
        <w:t>conosci</w:t>
      </w:r>
      <w:proofErr w:type="spellEnd"/>
      <w:r w:rsidRPr="00E07570">
        <w:t xml:space="preserve"> </w:t>
      </w:r>
      <w:proofErr w:type="spellStart"/>
      <w:r w:rsidRPr="00E07570">
        <w:t>ancora</w:t>
      </w:r>
      <w:proofErr w:type="spellEnd"/>
      <w:r w:rsidRPr="00E07570">
        <w:t xml:space="preserve"> </w:t>
      </w:r>
      <w:proofErr w:type="spellStart"/>
      <w:r w:rsidRPr="00E07570">
        <w:t>gli</w:t>
      </w:r>
      <w:proofErr w:type="spellEnd"/>
      <w:r w:rsidRPr="00E07570">
        <w:t xml:space="preserve"> </w:t>
      </w:r>
      <w:proofErr w:type="spellStart"/>
      <w:r w:rsidRPr="00E07570">
        <w:t>uomini</w:t>
      </w:r>
      <w:proofErr w:type="spellEnd"/>
      <w:r w:rsidRPr="00E07570">
        <w:t xml:space="preserve">, non </w:t>
      </w:r>
      <w:proofErr w:type="spellStart"/>
      <w:r w:rsidRPr="00E07570">
        <w:t>conosci</w:t>
      </w:r>
      <w:proofErr w:type="spellEnd"/>
      <w:r w:rsidRPr="00E07570">
        <w:t xml:space="preserve"> il </w:t>
      </w:r>
      <w:proofErr w:type="spellStart"/>
      <w:r w:rsidRPr="00E07570">
        <w:t>mondo</w:t>
      </w:r>
      <w:proofErr w:type="spellEnd"/>
      <w:r w:rsidRPr="00E07570">
        <w:t>.</w:t>
      </w:r>
    </w:p>
    <w:p w:rsidR="00A6696B" w:rsidRPr="00E07570" w:rsidRDefault="00A6696B" w:rsidP="00A6696B">
      <w:pPr>
        <w:suppressAutoHyphens w:val="0"/>
        <w:spacing w:before="120" w:after="120" w:line="240" w:lineRule="auto"/>
        <w:ind w:left="1134" w:right="1134"/>
      </w:pPr>
      <w:proofErr w:type="spellStart"/>
      <w:r w:rsidRPr="00E07570">
        <w:t>Dopo</w:t>
      </w:r>
      <w:proofErr w:type="spellEnd"/>
      <w:r w:rsidRPr="00E07570">
        <w:t xml:space="preserve"> </w:t>
      </w:r>
      <w:proofErr w:type="spellStart"/>
      <w:r w:rsidRPr="00E07570">
        <w:t>tanto</w:t>
      </w:r>
      <w:proofErr w:type="spellEnd"/>
      <w:r w:rsidRPr="00E07570">
        <w:t xml:space="preserve"> tempo non </w:t>
      </w:r>
      <w:proofErr w:type="spellStart"/>
      <w:r w:rsidRPr="00E07570">
        <w:t>ricordo</w:t>
      </w:r>
      <w:proofErr w:type="spellEnd"/>
      <w:r w:rsidRPr="00E07570">
        <w:t xml:space="preserve"> più </w:t>
      </w:r>
      <w:proofErr w:type="spellStart"/>
      <w:r w:rsidRPr="00E07570">
        <w:t>dove</w:t>
      </w:r>
      <w:proofErr w:type="spellEnd"/>
      <w:r w:rsidRPr="00E07570">
        <w:t xml:space="preserve"> ho </w:t>
      </w:r>
      <w:proofErr w:type="spellStart"/>
      <w:r w:rsidRPr="00E07570">
        <w:t>messo</w:t>
      </w:r>
      <w:proofErr w:type="spellEnd"/>
      <w:r w:rsidRPr="00E07570">
        <w:t xml:space="preserve"> </w:t>
      </w:r>
      <w:proofErr w:type="spellStart"/>
      <w:r w:rsidRPr="00E07570">
        <w:t>quella</w:t>
      </w:r>
      <w:proofErr w:type="spellEnd"/>
      <w:r w:rsidRPr="00E07570">
        <w:t xml:space="preserve"> </w:t>
      </w:r>
      <w:proofErr w:type="spellStart"/>
      <w:r w:rsidRPr="00E07570">
        <w:t>bella</w:t>
      </w:r>
      <w:proofErr w:type="spellEnd"/>
      <w:r w:rsidRPr="00E07570">
        <w:t xml:space="preserve"> </w:t>
      </w:r>
      <w:proofErr w:type="spellStart"/>
      <w:r w:rsidRPr="00E07570">
        <w:t>foto</w:t>
      </w:r>
      <w:proofErr w:type="spellEnd"/>
      <w:r w:rsidRPr="00E07570">
        <w:t xml:space="preserve">, ma se </w:t>
      </w:r>
      <w:proofErr w:type="spellStart"/>
      <w:r w:rsidRPr="00E07570">
        <w:t>aspetti</w:t>
      </w:r>
      <w:proofErr w:type="spellEnd"/>
      <w:r w:rsidRPr="00E07570">
        <w:t xml:space="preserve"> un po</w:t>
      </w:r>
      <w:r w:rsidR="00145E4B">
        <w:t>’</w:t>
      </w:r>
      <w:r w:rsidRPr="00E07570">
        <w:t xml:space="preserve"> la </w:t>
      </w:r>
      <w:proofErr w:type="spellStart"/>
      <w:r w:rsidRPr="00E07570">
        <w:t>cerco</w:t>
      </w:r>
      <w:proofErr w:type="spellEnd"/>
      <w:r w:rsidRPr="00E07570">
        <w:t xml:space="preserve"> e te la </w:t>
      </w:r>
      <w:proofErr w:type="spellStart"/>
      <w:r w:rsidRPr="00E07570">
        <w:t>prendo</w:t>
      </w:r>
      <w:proofErr w:type="spellEnd"/>
      <w:r w:rsidRPr="00E07570">
        <w:t>.</w:t>
      </w:r>
    </w:p>
    <w:p w:rsidR="00A6696B" w:rsidRPr="00E07570" w:rsidRDefault="00A6696B" w:rsidP="00A6696B">
      <w:pPr>
        <w:keepNext/>
        <w:suppressAutoHyphens w:val="0"/>
        <w:spacing w:before="120" w:after="120" w:line="240" w:lineRule="auto"/>
        <w:ind w:left="1134" w:right="1134"/>
        <w:rPr>
          <w:i/>
          <w:iCs/>
        </w:rPr>
      </w:pPr>
      <w:r w:rsidRPr="00E07570">
        <w:rPr>
          <w:i/>
          <w:iCs/>
        </w:rPr>
        <w:t>Femme 2 </w:t>
      </w:r>
      <w:r w:rsidRPr="00E07570">
        <w:rPr>
          <w:iCs/>
        </w:rPr>
        <w:t>:</w:t>
      </w:r>
    </w:p>
    <w:p w:rsidR="00A6696B" w:rsidRPr="00E07570" w:rsidRDefault="00A6696B" w:rsidP="00A6696B">
      <w:pPr>
        <w:suppressAutoHyphens w:val="0"/>
        <w:spacing w:before="120" w:after="120" w:line="240" w:lineRule="auto"/>
        <w:ind w:left="1134" w:right="1134"/>
      </w:pPr>
      <w:proofErr w:type="spellStart"/>
      <w:r w:rsidRPr="00E07570">
        <w:t>Questo</w:t>
      </w:r>
      <w:proofErr w:type="spellEnd"/>
      <w:r w:rsidRPr="00E07570">
        <w:t xml:space="preserve"> </w:t>
      </w:r>
      <w:proofErr w:type="spellStart"/>
      <w:r w:rsidRPr="00E07570">
        <w:t>tormento</w:t>
      </w:r>
      <w:proofErr w:type="spellEnd"/>
      <w:r w:rsidRPr="00E07570">
        <w:t xml:space="preserve"> </w:t>
      </w:r>
      <w:proofErr w:type="spellStart"/>
      <w:r w:rsidRPr="00E07570">
        <w:t>durerà</w:t>
      </w:r>
      <w:proofErr w:type="spellEnd"/>
      <w:r w:rsidRPr="00E07570">
        <w:t xml:space="preserve"> </w:t>
      </w:r>
      <w:proofErr w:type="spellStart"/>
      <w:r w:rsidRPr="00E07570">
        <w:t>ancora</w:t>
      </w:r>
      <w:proofErr w:type="spellEnd"/>
      <w:r w:rsidRPr="00E07570">
        <w:t xml:space="preserve"> </w:t>
      </w:r>
      <w:proofErr w:type="spellStart"/>
      <w:r w:rsidRPr="00E07570">
        <w:t>qualche</w:t>
      </w:r>
      <w:proofErr w:type="spellEnd"/>
      <w:r w:rsidRPr="00E07570">
        <w:t xml:space="preserve"> </w:t>
      </w:r>
      <w:proofErr w:type="spellStart"/>
      <w:r w:rsidRPr="00E07570">
        <w:t>ora</w:t>
      </w:r>
      <w:proofErr w:type="spellEnd"/>
      <w:r w:rsidRPr="00E07570">
        <w:t xml:space="preserve">. </w:t>
      </w:r>
      <w:proofErr w:type="spellStart"/>
      <w:r w:rsidRPr="00E07570">
        <w:t>Forse</w:t>
      </w:r>
      <w:proofErr w:type="spellEnd"/>
      <w:r w:rsidRPr="00E07570">
        <w:t xml:space="preserve"> un giorno </w:t>
      </w:r>
      <w:proofErr w:type="spellStart"/>
      <w:r w:rsidRPr="00E07570">
        <w:t>poi</w:t>
      </w:r>
      <w:proofErr w:type="spellEnd"/>
      <w:r w:rsidRPr="00E07570">
        <w:t xml:space="preserve"> </w:t>
      </w:r>
      <w:proofErr w:type="spellStart"/>
      <w:r w:rsidRPr="00E07570">
        <w:t>tutto</w:t>
      </w:r>
      <w:proofErr w:type="spellEnd"/>
      <w:r w:rsidRPr="00E07570">
        <w:t xml:space="preserve"> </w:t>
      </w:r>
      <w:proofErr w:type="spellStart"/>
      <w:r w:rsidRPr="00E07570">
        <w:t>finirà</w:t>
      </w:r>
      <w:proofErr w:type="spellEnd"/>
      <w:r w:rsidRPr="00E07570">
        <w:t xml:space="preserve"> e tu </w:t>
      </w:r>
      <w:proofErr w:type="spellStart"/>
      <w:r w:rsidRPr="00E07570">
        <w:t>potrai</w:t>
      </w:r>
      <w:proofErr w:type="spellEnd"/>
      <w:r w:rsidRPr="00E07570">
        <w:t xml:space="preserve"> </w:t>
      </w:r>
      <w:proofErr w:type="spellStart"/>
      <w:r w:rsidRPr="00E07570">
        <w:t>tornare</w:t>
      </w:r>
      <w:proofErr w:type="spellEnd"/>
      <w:r w:rsidRPr="00E07570">
        <w:t xml:space="preserve"> a casa </w:t>
      </w:r>
      <w:proofErr w:type="spellStart"/>
      <w:r w:rsidRPr="00E07570">
        <w:t>nella</w:t>
      </w:r>
      <w:proofErr w:type="spellEnd"/>
      <w:r w:rsidRPr="00E07570">
        <w:t xml:space="preserve"> tua terra.</w:t>
      </w:r>
    </w:p>
    <w:p w:rsidR="00A6696B" w:rsidRPr="00E07570" w:rsidRDefault="00A6696B" w:rsidP="00A6696B">
      <w:pPr>
        <w:suppressAutoHyphens w:val="0"/>
        <w:spacing w:before="120" w:after="120" w:line="240" w:lineRule="auto"/>
        <w:ind w:left="1134" w:right="1134"/>
      </w:pPr>
      <w:r w:rsidRPr="00E07570">
        <w:t xml:space="preserve">Lucio </w:t>
      </w:r>
      <w:proofErr w:type="spellStart"/>
      <w:r w:rsidRPr="00E07570">
        <w:t>era</w:t>
      </w:r>
      <w:proofErr w:type="spellEnd"/>
      <w:r w:rsidRPr="00E07570">
        <w:t xml:space="preserve"> </w:t>
      </w:r>
      <w:proofErr w:type="spellStart"/>
      <w:r w:rsidRPr="00E07570">
        <w:t>certo</w:t>
      </w:r>
      <w:proofErr w:type="spellEnd"/>
      <w:r w:rsidRPr="00E07570">
        <w:t xml:space="preserve"> </w:t>
      </w:r>
      <w:proofErr w:type="spellStart"/>
      <w:r w:rsidRPr="00E07570">
        <w:t>che</w:t>
      </w:r>
      <w:proofErr w:type="spellEnd"/>
      <w:r w:rsidRPr="00E07570">
        <w:t xml:space="preserve"> </w:t>
      </w:r>
      <w:proofErr w:type="spellStart"/>
      <w:r w:rsidRPr="00E07570">
        <w:t>sarebbe</w:t>
      </w:r>
      <w:proofErr w:type="spellEnd"/>
      <w:r w:rsidRPr="00E07570">
        <w:t xml:space="preserve"> </w:t>
      </w:r>
      <w:proofErr w:type="spellStart"/>
      <w:r w:rsidRPr="00E07570">
        <w:t>diventato</w:t>
      </w:r>
      <w:proofErr w:type="spellEnd"/>
      <w:r w:rsidRPr="00E07570">
        <w:t xml:space="preserve"> </w:t>
      </w:r>
      <w:proofErr w:type="spellStart"/>
      <w:r w:rsidRPr="00E07570">
        <w:t>una</w:t>
      </w:r>
      <w:proofErr w:type="spellEnd"/>
      <w:r w:rsidRPr="00E07570">
        <w:t xml:space="preserve"> persona importante, un </w:t>
      </w:r>
      <w:proofErr w:type="spellStart"/>
      <w:r w:rsidRPr="00E07570">
        <w:t>uomo</w:t>
      </w:r>
      <w:proofErr w:type="spellEnd"/>
      <w:r w:rsidRPr="00E07570">
        <w:t xml:space="preserve"> politico o </w:t>
      </w:r>
      <w:proofErr w:type="spellStart"/>
      <w:r w:rsidRPr="00E07570">
        <w:t>magari</w:t>
      </w:r>
      <w:proofErr w:type="spellEnd"/>
      <w:r w:rsidRPr="00E07570">
        <w:t xml:space="preserve"> un </w:t>
      </w:r>
      <w:proofErr w:type="spellStart"/>
      <w:r w:rsidRPr="00E07570">
        <w:t>ministro</w:t>
      </w:r>
      <w:proofErr w:type="spellEnd"/>
      <w:r w:rsidRPr="00E07570">
        <w:t xml:space="preserve">. </w:t>
      </w:r>
      <w:proofErr w:type="spellStart"/>
      <w:r w:rsidRPr="00E07570">
        <w:t>Aveva</w:t>
      </w:r>
      <w:proofErr w:type="spellEnd"/>
      <w:r w:rsidRPr="00E07570">
        <w:t xml:space="preserve"> a </w:t>
      </w:r>
      <w:proofErr w:type="spellStart"/>
      <w:r w:rsidRPr="00E07570">
        <w:t>cuore</w:t>
      </w:r>
      <w:proofErr w:type="spellEnd"/>
      <w:r w:rsidRPr="00E07570">
        <w:t xml:space="preserve"> il bene </w:t>
      </w:r>
      <w:proofErr w:type="spellStart"/>
      <w:r w:rsidRPr="00E07570">
        <w:t>della</w:t>
      </w:r>
      <w:proofErr w:type="spellEnd"/>
      <w:r w:rsidRPr="00E07570">
        <w:t xml:space="preserve"> </w:t>
      </w:r>
      <w:proofErr w:type="spellStart"/>
      <w:r w:rsidRPr="00E07570">
        <w:t>società</w:t>
      </w:r>
      <w:proofErr w:type="spellEnd"/>
      <w:r w:rsidRPr="00E07570">
        <w:t>.</w:t>
      </w:r>
    </w:p>
    <w:p w:rsidR="00A6696B" w:rsidRPr="00E07570" w:rsidRDefault="00A6696B" w:rsidP="00A6696B">
      <w:pPr>
        <w:suppressAutoHyphens w:val="0"/>
        <w:spacing w:before="120" w:after="120" w:line="240" w:lineRule="auto"/>
        <w:ind w:left="1134" w:right="1134"/>
        <w:rPr>
          <w:i/>
          <w:iCs/>
        </w:rPr>
      </w:pPr>
      <w:r w:rsidRPr="00E07570">
        <w:rPr>
          <w:i/>
          <w:iCs/>
        </w:rPr>
        <w:t>Homme 1 </w:t>
      </w:r>
      <w:r w:rsidRPr="00E07570">
        <w:rPr>
          <w:iCs/>
        </w:rPr>
        <w:t>:</w:t>
      </w:r>
    </w:p>
    <w:p w:rsidR="00A6696B" w:rsidRPr="00E07570" w:rsidRDefault="00A6696B" w:rsidP="00A6696B">
      <w:pPr>
        <w:suppressAutoHyphens w:val="0"/>
        <w:spacing w:before="120" w:after="120" w:line="240" w:lineRule="auto"/>
        <w:ind w:left="1134" w:right="1134"/>
      </w:pPr>
      <w:r w:rsidRPr="00E07570">
        <w:t xml:space="preserve">Non </w:t>
      </w:r>
      <w:proofErr w:type="spellStart"/>
      <w:r w:rsidRPr="00E07570">
        <w:t>bisogna</w:t>
      </w:r>
      <w:proofErr w:type="spellEnd"/>
      <w:r w:rsidRPr="00E07570">
        <w:t xml:space="preserve"> </w:t>
      </w:r>
      <w:proofErr w:type="spellStart"/>
      <w:r w:rsidRPr="00E07570">
        <w:t>credere</w:t>
      </w:r>
      <w:proofErr w:type="spellEnd"/>
      <w:r w:rsidRPr="00E07570">
        <w:t xml:space="preserve"> </w:t>
      </w:r>
      <w:proofErr w:type="spellStart"/>
      <w:r w:rsidRPr="00E07570">
        <w:t>che</w:t>
      </w:r>
      <w:proofErr w:type="spellEnd"/>
      <w:r w:rsidRPr="00E07570">
        <w:t xml:space="preserve"> </w:t>
      </w:r>
      <w:proofErr w:type="spellStart"/>
      <w:r w:rsidRPr="00E07570">
        <w:t>sia</w:t>
      </w:r>
      <w:proofErr w:type="spellEnd"/>
      <w:r w:rsidRPr="00E07570">
        <w:t xml:space="preserve"> </w:t>
      </w:r>
      <w:proofErr w:type="spellStart"/>
      <w:r w:rsidRPr="00E07570">
        <w:t>vero</w:t>
      </w:r>
      <w:proofErr w:type="spellEnd"/>
      <w:r w:rsidRPr="00E07570">
        <w:t xml:space="preserve"> </w:t>
      </w:r>
      <w:proofErr w:type="spellStart"/>
      <w:r w:rsidRPr="00E07570">
        <w:t>tutto</w:t>
      </w:r>
      <w:proofErr w:type="spellEnd"/>
      <w:r w:rsidRPr="00E07570">
        <w:t xml:space="preserve"> </w:t>
      </w:r>
      <w:proofErr w:type="spellStart"/>
      <w:r w:rsidRPr="00E07570">
        <w:t>quello</w:t>
      </w:r>
      <w:proofErr w:type="spellEnd"/>
      <w:r w:rsidRPr="00E07570">
        <w:t xml:space="preserve"> </w:t>
      </w:r>
      <w:proofErr w:type="spellStart"/>
      <w:r w:rsidRPr="00E07570">
        <w:t>che</w:t>
      </w:r>
      <w:proofErr w:type="spellEnd"/>
      <w:r w:rsidRPr="00E07570">
        <w:t xml:space="preserve"> </w:t>
      </w:r>
      <w:proofErr w:type="spellStart"/>
      <w:r w:rsidRPr="00E07570">
        <w:t>dice</w:t>
      </w:r>
      <w:proofErr w:type="spellEnd"/>
      <w:r w:rsidRPr="00E07570">
        <w:t xml:space="preserve"> la gente tu non </w:t>
      </w:r>
      <w:proofErr w:type="spellStart"/>
      <w:r w:rsidRPr="00E07570">
        <w:t>conosci</w:t>
      </w:r>
      <w:proofErr w:type="spellEnd"/>
      <w:r w:rsidRPr="00E07570">
        <w:t xml:space="preserve"> </w:t>
      </w:r>
      <w:proofErr w:type="spellStart"/>
      <w:r w:rsidRPr="00E07570">
        <w:t>ancora</w:t>
      </w:r>
      <w:proofErr w:type="spellEnd"/>
      <w:r w:rsidRPr="00E07570">
        <w:t xml:space="preserve"> </w:t>
      </w:r>
      <w:proofErr w:type="spellStart"/>
      <w:r w:rsidRPr="00E07570">
        <w:t>gli</w:t>
      </w:r>
      <w:proofErr w:type="spellEnd"/>
      <w:r w:rsidRPr="00E07570">
        <w:t xml:space="preserve"> </w:t>
      </w:r>
      <w:proofErr w:type="spellStart"/>
      <w:r w:rsidRPr="00E07570">
        <w:t>uomini</w:t>
      </w:r>
      <w:proofErr w:type="spellEnd"/>
      <w:r w:rsidRPr="00E07570">
        <w:t xml:space="preserve">, non </w:t>
      </w:r>
      <w:proofErr w:type="spellStart"/>
      <w:r w:rsidRPr="00E07570">
        <w:t>conosci</w:t>
      </w:r>
      <w:proofErr w:type="spellEnd"/>
      <w:r w:rsidRPr="00E07570">
        <w:t xml:space="preserve"> il </w:t>
      </w:r>
      <w:proofErr w:type="spellStart"/>
      <w:r w:rsidRPr="00E07570">
        <w:t>mondo</w:t>
      </w:r>
      <w:proofErr w:type="spellEnd"/>
      <w:r w:rsidRPr="00E07570">
        <w:t>.</w:t>
      </w:r>
    </w:p>
    <w:p w:rsidR="00A6696B" w:rsidRPr="00E07570" w:rsidRDefault="00A6696B" w:rsidP="00A6696B">
      <w:pPr>
        <w:suppressAutoHyphens w:val="0"/>
        <w:spacing w:before="120" w:after="120" w:line="240" w:lineRule="auto"/>
        <w:ind w:left="1134" w:right="1134"/>
      </w:pPr>
      <w:proofErr w:type="spellStart"/>
      <w:r w:rsidRPr="00E07570">
        <w:t>Dopo</w:t>
      </w:r>
      <w:proofErr w:type="spellEnd"/>
      <w:r w:rsidRPr="00E07570">
        <w:t xml:space="preserve"> </w:t>
      </w:r>
      <w:proofErr w:type="spellStart"/>
      <w:r w:rsidRPr="00E07570">
        <w:t>tanto</w:t>
      </w:r>
      <w:proofErr w:type="spellEnd"/>
      <w:r w:rsidRPr="00E07570">
        <w:t xml:space="preserve"> tempo non </w:t>
      </w:r>
      <w:proofErr w:type="spellStart"/>
      <w:r w:rsidRPr="00E07570">
        <w:t>ricordo</w:t>
      </w:r>
      <w:proofErr w:type="spellEnd"/>
      <w:r w:rsidRPr="00E07570">
        <w:t xml:space="preserve"> più </w:t>
      </w:r>
      <w:proofErr w:type="spellStart"/>
      <w:r w:rsidRPr="00E07570">
        <w:t>dove</w:t>
      </w:r>
      <w:proofErr w:type="spellEnd"/>
      <w:r w:rsidRPr="00E07570">
        <w:t xml:space="preserve"> ho </w:t>
      </w:r>
      <w:proofErr w:type="spellStart"/>
      <w:r w:rsidRPr="00E07570">
        <w:t>messo</w:t>
      </w:r>
      <w:proofErr w:type="spellEnd"/>
      <w:r w:rsidRPr="00E07570">
        <w:t xml:space="preserve"> </w:t>
      </w:r>
      <w:proofErr w:type="spellStart"/>
      <w:r w:rsidRPr="00E07570">
        <w:t>quella</w:t>
      </w:r>
      <w:proofErr w:type="spellEnd"/>
      <w:r w:rsidRPr="00E07570">
        <w:t xml:space="preserve"> </w:t>
      </w:r>
      <w:proofErr w:type="spellStart"/>
      <w:r w:rsidRPr="00E07570">
        <w:t>bella</w:t>
      </w:r>
      <w:proofErr w:type="spellEnd"/>
      <w:r w:rsidRPr="00E07570">
        <w:t xml:space="preserve"> </w:t>
      </w:r>
      <w:proofErr w:type="spellStart"/>
      <w:r w:rsidRPr="00E07570">
        <w:t>foto</w:t>
      </w:r>
      <w:proofErr w:type="spellEnd"/>
      <w:r w:rsidRPr="00E07570">
        <w:t xml:space="preserve"> ma se </w:t>
      </w:r>
      <w:proofErr w:type="spellStart"/>
      <w:r w:rsidRPr="00E07570">
        <w:t>aspetti</w:t>
      </w:r>
      <w:proofErr w:type="spellEnd"/>
      <w:r w:rsidRPr="00E07570">
        <w:t xml:space="preserve"> un po</w:t>
      </w:r>
      <w:r w:rsidR="00145E4B">
        <w:t>’</w:t>
      </w:r>
      <w:r w:rsidRPr="00E07570">
        <w:t xml:space="preserve"> la </w:t>
      </w:r>
      <w:proofErr w:type="spellStart"/>
      <w:r w:rsidRPr="00E07570">
        <w:t>cerco</w:t>
      </w:r>
      <w:proofErr w:type="spellEnd"/>
      <w:r w:rsidRPr="00E07570">
        <w:t xml:space="preserve"> e te la </w:t>
      </w:r>
      <w:proofErr w:type="spellStart"/>
      <w:r w:rsidRPr="00E07570">
        <w:t>prendo</w:t>
      </w:r>
      <w:proofErr w:type="spellEnd"/>
      <w:r w:rsidRPr="00E07570">
        <w:t>.</w:t>
      </w:r>
    </w:p>
    <w:p w:rsidR="00A6696B" w:rsidRPr="00E07570" w:rsidRDefault="00A6696B" w:rsidP="00A6696B">
      <w:pPr>
        <w:suppressAutoHyphens w:val="0"/>
        <w:spacing w:before="120" w:after="120" w:line="240" w:lineRule="auto"/>
        <w:ind w:left="1134" w:right="1134"/>
        <w:rPr>
          <w:i/>
          <w:iCs/>
        </w:rPr>
      </w:pPr>
      <w:r w:rsidRPr="00E07570">
        <w:rPr>
          <w:i/>
          <w:iCs/>
        </w:rPr>
        <w:t>Homme 2 </w:t>
      </w:r>
      <w:r w:rsidRPr="00E07570">
        <w:rPr>
          <w:iCs/>
        </w:rPr>
        <w:t>:</w:t>
      </w:r>
    </w:p>
    <w:p w:rsidR="00A6696B" w:rsidRPr="00E07570" w:rsidRDefault="00A6696B" w:rsidP="00A6696B">
      <w:pPr>
        <w:suppressAutoHyphens w:val="0"/>
        <w:spacing w:before="120" w:after="120" w:line="240" w:lineRule="auto"/>
        <w:ind w:left="1134" w:right="1134"/>
      </w:pPr>
      <w:proofErr w:type="spellStart"/>
      <w:r w:rsidRPr="00E07570">
        <w:t>Questo</w:t>
      </w:r>
      <w:proofErr w:type="spellEnd"/>
      <w:r w:rsidRPr="00E07570">
        <w:t xml:space="preserve"> </w:t>
      </w:r>
      <w:proofErr w:type="spellStart"/>
      <w:r w:rsidRPr="00E07570">
        <w:t>tormento</w:t>
      </w:r>
      <w:proofErr w:type="spellEnd"/>
      <w:r w:rsidRPr="00E07570">
        <w:t xml:space="preserve"> </w:t>
      </w:r>
      <w:proofErr w:type="spellStart"/>
      <w:r w:rsidRPr="00E07570">
        <w:t>durerà</w:t>
      </w:r>
      <w:proofErr w:type="spellEnd"/>
      <w:r w:rsidRPr="00E07570">
        <w:t xml:space="preserve"> </w:t>
      </w:r>
      <w:proofErr w:type="spellStart"/>
      <w:r w:rsidRPr="00E07570">
        <w:t>ancora</w:t>
      </w:r>
      <w:proofErr w:type="spellEnd"/>
      <w:r w:rsidRPr="00E07570">
        <w:t xml:space="preserve"> </w:t>
      </w:r>
      <w:proofErr w:type="spellStart"/>
      <w:r w:rsidRPr="00E07570">
        <w:t>qualche</w:t>
      </w:r>
      <w:proofErr w:type="spellEnd"/>
      <w:r w:rsidRPr="00E07570">
        <w:t xml:space="preserve"> </w:t>
      </w:r>
      <w:proofErr w:type="spellStart"/>
      <w:r w:rsidRPr="00E07570">
        <w:t>ora</w:t>
      </w:r>
      <w:proofErr w:type="spellEnd"/>
      <w:r w:rsidRPr="00E07570">
        <w:t xml:space="preserve">. </w:t>
      </w:r>
      <w:proofErr w:type="spellStart"/>
      <w:r w:rsidRPr="00E07570">
        <w:t>Forse</w:t>
      </w:r>
      <w:proofErr w:type="spellEnd"/>
      <w:r w:rsidRPr="00E07570">
        <w:t xml:space="preserve"> un giorno </w:t>
      </w:r>
      <w:proofErr w:type="spellStart"/>
      <w:r w:rsidRPr="00E07570">
        <w:t>poi</w:t>
      </w:r>
      <w:proofErr w:type="spellEnd"/>
      <w:r w:rsidRPr="00E07570">
        <w:t xml:space="preserve"> </w:t>
      </w:r>
      <w:proofErr w:type="spellStart"/>
      <w:r w:rsidRPr="00E07570">
        <w:t>tutto</w:t>
      </w:r>
      <w:proofErr w:type="spellEnd"/>
      <w:r w:rsidRPr="00E07570">
        <w:t xml:space="preserve"> </w:t>
      </w:r>
      <w:proofErr w:type="spellStart"/>
      <w:r w:rsidRPr="00E07570">
        <w:t>finirà</w:t>
      </w:r>
      <w:proofErr w:type="spellEnd"/>
      <w:r w:rsidRPr="00E07570">
        <w:t xml:space="preserve"> e tu </w:t>
      </w:r>
      <w:proofErr w:type="spellStart"/>
      <w:r w:rsidRPr="00E07570">
        <w:t>potrai</w:t>
      </w:r>
      <w:proofErr w:type="spellEnd"/>
      <w:r w:rsidRPr="00E07570">
        <w:t xml:space="preserve"> </w:t>
      </w:r>
      <w:proofErr w:type="spellStart"/>
      <w:r w:rsidRPr="00E07570">
        <w:t>tornare</w:t>
      </w:r>
      <w:proofErr w:type="spellEnd"/>
      <w:r w:rsidRPr="00E07570">
        <w:t xml:space="preserve"> a casa </w:t>
      </w:r>
      <w:proofErr w:type="spellStart"/>
      <w:r w:rsidRPr="00E07570">
        <w:t>nella</w:t>
      </w:r>
      <w:proofErr w:type="spellEnd"/>
      <w:r w:rsidRPr="00E07570">
        <w:t xml:space="preserve"> tua terra.</w:t>
      </w:r>
    </w:p>
    <w:p w:rsidR="00A6696B" w:rsidRPr="00E07570" w:rsidRDefault="00A6696B" w:rsidP="00A6696B">
      <w:pPr>
        <w:suppressAutoHyphens w:val="0"/>
        <w:spacing w:before="120" w:after="240" w:line="240" w:lineRule="auto"/>
        <w:ind w:left="1134" w:right="1134"/>
      </w:pPr>
      <w:r w:rsidRPr="00E07570">
        <w:t xml:space="preserve">Lucio </w:t>
      </w:r>
      <w:proofErr w:type="spellStart"/>
      <w:r w:rsidRPr="00E07570">
        <w:t>era</w:t>
      </w:r>
      <w:proofErr w:type="spellEnd"/>
      <w:r w:rsidRPr="00E07570">
        <w:t xml:space="preserve"> </w:t>
      </w:r>
      <w:proofErr w:type="spellStart"/>
      <w:r w:rsidRPr="00E07570">
        <w:t>certo</w:t>
      </w:r>
      <w:proofErr w:type="spellEnd"/>
      <w:r w:rsidRPr="00E07570">
        <w:t xml:space="preserve"> </w:t>
      </w:r>
      <w:proofErr w:type="spellStart"/>
      <w:r w:rsidRPr="00E07570">
        <w:t>che</w:t>
      </w:r>
      <w:proofErr w:type="spellEnd"/>
      <w:r w:rsidRPr="00E07570">
        <w:t xml:space="preserve"> </w:t>
      </w:r>
      <w:proofErr w:type="spellStart"/>
      <w:r w:rsidRPr="00E07570">
        <w:t>sarebbe</w:t>
      </w:r>
      <w:proofErr w:type="spellEnd"/>
      <w:r w:rsidRPr="00E07570">
        <w:t xml:space="preserve"> </w:t>
      </w:r>
      <w:proofErr w:type="spellStart"/>
      <w:r w:rsidRPr="00E07570">
        <w:t>diventato</w:t>
      </w:r>
      <w:proofErr w:type="spellEnd"/>
      <w:r w:rsidRPr="00E07570">
        <w:t xml:space="preserve"> </w:t>
      </w:r>
      <w:proofErr w:type="spellStart"/>
      <w:r w:rsidRPr="00E07570">
        <w:t>una</w:t>
      </w:r>
      <w:proofErr w:type="spellEnd"/>
      <w:r w:rsidRPr="00E07570">
        <w:t xml:space="preserve"> persona importante, un </w:t>
      </w:r>
      <w:proofErr w:type="spellStart"/>
      <w:r w:rsidRPr="00E07570">
        <w:t>uomo</w:t>
      </w:r>
      <w:proofErr w:type="spellEnd"/>
      <w:r w:rsidRPr="00E07570">
        <w:t xml:space="preserve"> politico o </w:t>
      </w:r>
      <w:proofErr w:type="spellStart"/>
      <w:r w:rsidRPr="00E07570">
        <w:t>magari</w:t>
      </w:r>
      <w:proofErr w:type="spellEnd"/>
      <w:r w:rsidRPr="00E07570">
        <w:t xml:space="preserve"> un </w:t>
      </w:r>
      <w:proofErr w:type="spellStart"/>
      <w:r w:rsidRPr="00E07570">
        <w:t>ministro</w:t>
      </w:r>
      <w:proofErr w:type="spellEnd"/>
      <w:r w:rsidRPr="00E07570">
        <w:t xml:space="preserve">, </w:t>
      </w:r>
      <w:proofErr w:type="spellStart"/>
      <w:r w:rsidRPr="00E07570">
        <w:t>aveva</w:t>
      </w:r>
      <w:proofErr w:type="spellEnd"/>
      <w:r w:rsidRPr="00E07570">
        <w:t xml:space="preserve"> a </w:t>
      </w:r>
      <w:proofErr w:type="spellStart"/>
      <w:r w:rsidRPr="00E07570">
        <w:t>cuore</w:t>
      </w:r>
      <w:proofErr w:type="spellEnd"/>
      <w:r w:rsidRPr="00E07570">
        <w:t xml:space="preserve"> il bene </w:t>
      </w:r>
      <w:proofErr w:type="spellStart"/>
      <w:r w:rsidRPr="00E07570">
        <w:t>della</w:t>
      </w:r>
      <w:proofErr w:type="spellEnd"/>
      <w:r w:rsidRPr="00E07570">
        <w:t xml:space="preserve"> </w:t>
      </w:r>
      <w:proofErr w:type="spellStart"/>
      <w:r w:rsidRPr="00E07570">
        <w:t>società</w:t>
      </w:r>
      <w:proofErr w:type="spellEnd"/>
      <w:r w:rsidRPr="00E07570">
        <w:t>.</w:t>
      </w:r>
    </w:p>
    <w:p w:rsidR="00A6696B" w:rsidRPr="00E07570" w:rsidRDefault="00A6696B" w:rsidP="00A6696B">
      <w:pPr>
        <w:keepNext/>
        <w:suppressAutoHyphens w:val="0"/>
        <w:spacing w:before="240" w:after="120" w:line="240" w:lineRule="auto"/>
        <w:ind w:left="1134" w:right="1134"/>
        <w:jc w:val="center"/>
        <w:outlineLvl w:val="2"/>
      </w:pPr>
      <w:bookmarkStart w:id="25" w:name="_Toc315265561"/>
      <w:bookmarkStart w:id="26" w:name="_Toc315265881"/>
      <w:bookmarkStart w:id="27" w:name="_Toc456777200"/>
      <w:r w:rsidRPr="00E07570">
        <w:t>Japonais (bande intégrale)</w:t>
      </w:r>
      <w:bookmarkEnd w:id="25"/>
      <w:bookmarkEnd w:id="26"/>
      <w:bookmarkEnd w:id="27"/>
    </w:p>
    <w:p w:rsidR="00A6696B" w:rsidRPr="00E07570" w:rsidRDefault="00A6696B" w:rsidP="00A6696B">
      <w:pPr>
        <w:suppressAutoHyphens w:val="0"/>
        <w:spacing w:before="120" w:after="120" w:line="240" w:lineRule="auto"/>
        <w:ind w:left="1134" w:right="1134"/>
        <w:rPr>
          <w:i/>
          <w:iCs/>
        </w:rPr>
      </w:pPr>
      <w:r w:rsidRPr="00E07570">
        <w:rPr>
          <w:i/>
          <w:iCs/>
        </w:rPr>
        <w:t>Femme 1 </w:t>
      </w:r>
      <w:r w:rsidRPr="00E07570">
        <w:rPr>
          <w:iCs/>
        </w:rPr>
        <w:t>:</w:t>
      </w:r>
    </w:p>
    <w:p w:rsidR="00A6696B" w:rsidRPr="00E07570" w:rsidRDefault="00A6696B" w:rsidP="00A6696B">
      <w:pPr>
        <w:suppressAutoHyphens w:val="0"/>
        <w:spacing w:before="120" w:after="120" w:line="240" w:lineRule="auto"/>
        <w:ind w:left="1134" w:right="1134"/>
        <w:rPr>
          <w:rFonts w:eastAsia="MS Mincho"/>
          <w:lang w:eastAsia="ja-JP"/>
        </w:rPr>
      </w:pPr>
      <w:r w:rsidRPr="00E07570">
        <w:rPr>
          <w:rFonts w:eastAsia="MS Mincho"/>
          <w:lang w:eastAsia="ja-JP"/>
        </w:rPr>
        <w:t>彼は鮎を釣る名人です。</w:t>
      </w:r>
    </w:p>
    <w:p w:rsidR="00A6696B" w:rsidRPr="00E07570" w:rsidRDefault="00A6696B" w:rsidP="00A6696B">
      <w:pPr>
        <w:suppressAutoHyphens w:val="0"/>
        <w:spacing w:before="120" w:after="120" w:line="240" w:lineRule="auto"/>
        <w:ind w:left="1134" w:right="1134"/>
      </w:pPr>
      <w:proofErr w:type="spellStart"/>
      <w:r w:rsidRPr="00E07570">
        <w:t>Kare</w:t>
      </w:r>
      <w:proofErr w:type="spellEnd"/>
      <w:r w:rsidRPr="00E07570">
        <w:t xml:space="preserve"> </w:t>
      </w:r>
      <w:proofErr w:type="spellStart"/>
      <w:r w:rsidRPr="00E07570">
        <w:t>wa</w:t>
      </w:r>
      <w:proofErr w:type="spellEnd"/>
      <w:r w:rsidRPr="00E07570">
        <w:t xml:space="preserve"> </w:t>
      </w:r>
      <w:proofErr w:type="spellStart"/>
      <w:r w:rsidRPr="00E07570">
        <w:t>ayu</w:t>
      </w:r>
      <w:proofErr w:type="spellEnd"/>
      <w:r w:rsidRPr="00E07570">
        <w:t xml:space="preserve"> </w:t>
      </w:r>
      <w:proofErr w:type="spellStart"/>
      <w:r w:rsidRPr="00E07570">
        <w:t>wo</w:t>
      </w:r>
      <w:proofErr w:type="spellEnd"/>
      <w:r w:rsidRPr="00E07570">
        <w:t xml:space="preserve"> </w:t>
      </w:r>
      <w:proofErr w:type="spellStart"/>
      <w:r w:rsidRPr="00E07570">
        <w:t>tsuru</w:t>
      </w:r>
      <w:proofErr w:type="spellEnd"/>
      <w:r w:rsidRPr="00E07570">
        <w:t xml:space="preserve"> </w:t>
      </w:r>
      <w:proofErr w:type="spellStart"/>
      <w:r w:rsidRPr="00E07570">
        <w:t>meijin</w:t>
      </w:r>
      <w:proofErr w:type="spellEnd"/>
      <w:r w:rsidRPr="00E07570">
        <w:t xml:space="preserve"> </w:t>
      </w:r>
      <w:proofErr w:type="spellStart"/>
      <w:r w:rsidRPr="00E07570">
        <w:t>desu</w:t>
      </w:r>
      <w:proofErr w:type="spellEnd"/>
      <w:r w:rsidRPr="00E07570">
        <w:t>.</w:t>
      </w:r>
    </w:p>
    <w:p w:rsidR="00A6696B" w:rsidRPr="00E07570" w:rsidRDefault="00A6696B" w:rsidP="00A6696B">
      <w:pPr>
        <w:suppressAutoHyphens w:val="0"/>
        <w:spacing w:before="120" w:after="120" w:line="240" w:lineRule="auto"/>
        <w:ind w:left="1134" w:right="1134"/>
        <w:rPr>
          <w:rFonts w:eastAsia="MS Mincho"/>
          <w:lang w:eastAsia="ja-JP"/>
        </w:rPr>
      </w:pPr>
      <w:r w:rsidRPr="00E07570">
        <w:rPr>
          <w:rFonts w:eastAsia="MS Mincho"/>
          <w:lang w:eastAsia="ja-JP"/>
        </w:rPr>
        <w:t>古代エジプトで十進法の原理が作られました。</w:t>
      </w:r>
    </w:p>
    <w:p w:rsidR="00A6696B" w:rsidRPr="00E07570" w:rsidRDefault="00A6696B" w:rsidP="00A6696B">
      <w:pPr>
        <w:suppressAutoHyphens w:val="0"/>
        <w:spacing w:before="120" w:after="120" w:line="240" w:lineRule="auto"/>
        <w:ind w:left="1134" w:right="1134"/>
      </w:pPr>
      <w:proofErr w:type="spellStart"/>
      <w:r w:rsidRPr="00E07570">
        <w:t>Kodai</w:t>
      </w:r>
      <w:proofErr w:type="spellEnd"/>
      <w:r w:rsidRPr="00E07570">
        <w:t xml:space="preserve"> </w:t>
      </w:r>
      <w:proofErr w:type="spellStart"/>
      <w:r w:rsidRPr="00E07570">
        <w:t>ejipto</w:t>
      </w:r>
      <w:proofErr w:type="spellEnd"/>
      <w:r w:rsidRPr="00E07570">
        <w:t xml:space="preserve"> de </w:t>
      </w:r>
      <w:proofErr w:type="spellStart"/>
      <w:r w:rsidRPr="00E07570">
        <w:t>jusshinhou</w:t>
      </w:r>
      <w:proofErr w:type="spellEnd"/>
      <w:r w:rsidRPr="00E07570">
        <w:t xml:space="preserve"> no </w:t>
      </w:r>
      <w:proofErr w:type="spellStart"/>
      <w:r w:rsidRPr="00E07570">
        <w:t>genri</w:t>
      </w:r>
      <w:proofErr w:type="spellEnd"/>
      <w:r w:rsidRPr="00E07570">
        <w:t xml:space="preserve"> </w:t>
      </w:r>
      <w:proofErr w:type="spellStart"/>
      <w:r w:rsidRPr="00E07570">
        <w:t>ga</w:t>
      </w:r>
      <w:proofErr w:type="spellEnd"/>
      <w:r w:rsidRPr="00E07570">
        <w:t xml:space="preserve"> </w:t>
      </w:r>
      <w:proofErr w:type="spellStart"/>
      <w:r w:rsidRPr="00E07570">
        <w:t>tsukuraremashita</w:t>
      </w:r>
      <w:proofErr w:type="spellEnd"/>
      <w:r w:rsidRPr="00E07570">
        <w:t>.</w:t>
      </w:r>
    </w:p>
    <w:p w:rsidR="00A6696B" w:rsidRPr="00E07570" w:rsidRDefault="00A6696B" w:rsidP="00A6696B">
      <w:pPr>
        <w:suppressAutoHyphens w:val="0"/>
        <w:spacing w:before="120" w:after="120" w:line="240" w:lineRule="auto"/>
        <w:ind w:left="1134" w:right="1134"/>
        <w:rPr>
          <w:i/>
          <w:iCs/>
        </w:rPr>
      </w:pPr>
      <w:r w:rsidRPr="00E07570">
        <w:rPr>
          <w:i/>
          <w:iCs/>
        </w:rPr>
        <w:t>Femme 2 </w:t>
      </w:r>
      <w:r w:rsidRPr="00E07570">
        <w:rPr>
          <w:iCs/>
        </w:rPr>
        <w:t>:</w:t>
      </w:r>
    </w:p>
    <w:p w:rsidR="00A6696B" w:rsidRPr="00E07570" w:rsidRDefault="00A6696B" w:rsidP="00A6696B">
      <w:pPr>
        <w:suppressAutoHyphens w:val="0"/>
        <w:spacing w:before="120" w:after="120" w:line="240" w:lineRule="auto"/>
        <w:ind w:left="1134" w:right="1134"/>
        <w:rPr>
          <w:rFonts w:eastAsia="MS Mincho"/>
          <w:lang w:eastAsia="ja-JP"/>
        </w:rPr>
      </w:pPr>
      <w:r w:rsidRPr="00E07570">
        <w:rPr>
          <w:rFonts w:eastAsia="MS Mincho"/>
          <w:lang w:eastAsia="ja-JP"/>
        </w:rPr>
        <w:t>読書の楽しさを知ってください。</w:t>
      </w:r>
    </w:p>
    <w:p w:rsidR="00A6696B" w:rsidRPr="00DF0776" w:rsidRDefault="00A6696B" w:rsidP="00A6696B">
      <w:pPr>
        <w:suppressAutoHyphens w:val="0"/>
        <w:spacing w:before="120" w:after="120" w:line="240" w:lineRule="auto"/>
        <w:ind w:left="1134" w:right="1134"/>
        <w:rPr>
          <w:lang w:val="en-GB"/>
        </w:rPr>
      </w:pPr>
      <w:r w:rsidRPr="00DF0776">
        <w:rPr>
          <w:lang w:val="en-GB"/>
        </w:rPr>
        <w:t xml:space="preserve">Dokusho no tanoshisa </w:t>
      </w:r>
      <w:proofErr w:type="gramStart"/>
      <w:r w:rsidRPr="00DF0776">
        <w:rPr>
          <w:lang w:val="en-GB"/>
        </w:rPr>
        <w:t>wo</w:t>
      </w:r>
      <w:proofErr w:type="gramEnd"/>
      <w:r w:rsidRPr="00DF0776">
        <w:rPr>
          <w:lang w:val="en-GB"/>
        </w:rPr>
        <w:t xml:space="preserve"> shitte kudasai.</w:t>
      </w:r>
    </w:p>
    <w:p w:rsidR="00A6696B" w:rsidRPr="00DF0776" w:rsidRDefault="00A6696B" w:rsidP="00A6696B">
      <w:pPr>
        <w:suppressAutoHyphens w:val="0"/>
        <w:spacing w:before="120" w:after="120" w:line="240" w:lineRule="auto"/>
        <w:ind w:left="1134" w:right="1134"/>
        <w:rPr>
          <w:rFonts w:eastAsia="MS Mincho"/>
          <w:lang w:val="en-GB" w:eastAsia="ja-JP"/>
        </w:rPr>
      </w:pPr>
      <w:r w:rsidRPr="00E07570">
        <w:rPr>
          <w:rFonts w:eastAsia="MS Mincho"/>
          <w:lang w:eastAsia="ja-JP"/>
        </w:rPr>
        <w:t>人間の価値は知識をどう活用するかで決まります。</w:t>
      </w:r>
    </w:p>
    <w:p w:rsidR="00A6696B" w:rsidRPr="00DF0776" w:rsidRDefault="00A6696B" w:rsidP="00A6696B">
      <w:pPr>
        <w:suppressAutoHyphens w:val="0"/>
        <w:spacing w:before="120" w:after="120" w:line="240" w:lineRule="auto"/>
        <w:ind w:left="1134" w:right="1134"/>
        <w:rPr>
          <w:lang w:val="en-GB"/>
        </w:rPr>
      </w:pPr>
      <w:r w:rsidRPr="00DF0776">
        <w:rPr>
          <w:lang w:val="en-GB"/>
        </w:rPr>
        <w:t xml:space="preserve">Ningen no kachi </w:t>
      </w:r>
      <w:proofErr w:type="gramStart"/>
      <w:r w:rsidRPr="00DF0776">
        <w:rPr>
          <w:lang w:val="en-GB"/>
        </w:rPr>
        <w:t>wa</w:t>
      </w:r>
      <w:proofErr w:type="gramEnd"/>
      <w:r w:rsidRPr="00DF0776">
        <w:rPr>
          <w:lang w:val="en-GB"/>
        </w:rPr>
        <w:t xml:space="preserve"> chishiki wo dou katsuyou suruka de kimarimasu.</w:t>
      </w:r>
    </w:p>
    <w:p w:rsidR="00A6696B" w:rsidRPr="00DF0776" w:rsidRDefault="00A6696B" w:rsidP="00A6696B">
      <w:pPr>
        <w:suppressAutoHyphens w:val="0"/>
        <w:spacing w:before="120" w:after="120" w:line="240" w:lineRule="auto"/>
        <w:ind w:left="1134" w:right="1134"/>
        <w:rPr>
          <w:i/>
          <w:iCs/>
          <w:lang w:val="en-GB" w:eastAsia="ja-JP"/>
        </w:rPr>
      </w:pPr>
      <w:r w:rsidRPr="00DF0776">
        <w:rPr>
          <w:i/>
          <w:iCs/>
          <w:lang w:val="en-GB" w:eastAsia="ja-JP"/>
        </w:rPr>
        <w:t>Homme 1 </w:t>
      </w:r>
      <w:r w:rsidRPr="00DF0776">
        <w:rPr>
          <w:iCs/>
          <w:lang w:val="en-GB" w:eastAsia="ja-JP"/>
        </w:rPr>
        <w:t>:</w:t>
      </w:r>
    </w:p>
    <w:p w:rsidR="00A6696B" w:rsidRPr="00DF0776" w:rsidRDefault="00A6696B" w:rsidP="00A6696B">
      <w:pPr>
        <w:suppressAutoHyphens w:val="0"/>
        <w:spacing w:before="120" w:after="120" w:line="240" w:lineRule="auto"/>
        <w:ind w:left="1134" w:right="1134"/>
        <w:rPr>
          <w:rFonts w:eastAsia="MS Mincho"/>
          <w:lang w:val="en-GB" w:eastAsia="ja-JP"/>
        </w:rPr>
      </w:pPr>
      <w:r w:rsidRPr="00E07570">
        <w:rPr>
          <w:rFonts w:eastAsia="MS Mincho"/>
          <w:lang w:eastAsia="ja-JP"/>
        </w:rPr>
        <w:t>彼女を説得しようとしても無駄です。</w:t>
      </w:r>
    </w:p>
    <w:p w:rsidR="00A6696B" w:rsidRPr="00DF0776" w:rsidRDefault="00A6696B" w:rsidP="00A6696B">
      <w:pPr>
        <w:suppressAutoHyphens w:val="0"/>
        <w:spacing w:before="120" w:after="120" w:line="240" w:lineRule="auto"/>
        <w:ind w:left="1134" w:right="1134"/>
        <w:rPr>
          <w:lang w:val="en-GB"/>
        </w:rPr>
      </w:pPr>
      <w:r w:rsidRPr="00DF0776">
        <w:rPr>
          <w:lang w:val="en-GB"/>
        </w:rPr>
        <w:t xml:space="preserve">Kanojo </w:t>
      </w:r>
      <w:proofErr w:type="gramStart"/>
      <w:r w:rsidRPr="00DF0776">
        <w:rPr>
          <w:lang w:val="en-GB"/>
        </w:rPr>
        <w:t>wo</w:t>
      </w:r>
      <w:proofErr w:type="gramEnd"/>
      <w:r w:rsidRPr="00DF0776">
        <w:rPr>
          <w:lang w:val="en-GB"/>
        </w:rPr>
        <w:t xml:space="preserve"> settoku shiyoutoshitemo mudadesu.</w:t>
      </w:r>
    </w:p>
    <w:p w:rsidR="00A6696B" w:rsidRPr="00DF0776" w:rsidRDefault="00A6696B" w:rsidP="00A6696B">
      <w:pPr>
        <w:suppressAutoHyphens w:val="0"/>
        <w:spacing w:before="120" w:after="120" w:line="240" w:lineRule="auto"/>
        <w:ind w:left="1134" w:right="1134"/>
        <w:rPr>
          <w:rFonts w:eastAsia="MS Mincho"/>
          <w:lang w:val="en-GB" w:eastAsia="ja-JP"/>
        </w:rPr>
      </w:pPr>
      <w:r w:rsidRPr="00E07570">
        <w:rPr>
          <w:rFonts w:eastAsia="MS Mincho"/>
          <w:lang w:eastAsia="ja-JP"/>
        </w:rPr>
        <w:t>その昔ガラスは大変めずらしいものでした。</w:t>
      </w:r>
    </w:p>
    <w:p w:rsidR="00A6696B" w:rsidRPr="00DF0776" w:rsidRDefault="00A6696B" w:rsidP="00A6696B">
      <w:pPr>
        <w:suppressAutoHyphens w:val="0"/>
        <w:spacing w:before="120" w:after="120" w:line="240" w:lineRule="auto"/>
        <w:ind w:left="1134" w:right="1134"/>
        <w:rPr>
          <w:lang w:val="en-GB"/>
        </w:rPr>
      </w:pPr>
      <w:r w:rsidRPr="00DF0776">
        <w:rPr>
          <w:lang w:val="en-GB"/>
        </w:rPr>
        <w:t xml:space="preserve">Sono mukasi garasu </w:t>
      </w:r>
      <w:proofErr w:type="gramStart"/>
      <w:r w:rsidRPr="00DF0776">
        <w:rPr>
          <w:lang w:val="en-GB"/>
        </w:rPr>
        <w:t>wa</w:t>
      </w:r>
      <w:proofErr w:type="gramEnd"/>
      <w:r w:rsidRPr="00DF0776">
        <w:rPr>
          <w:lang w:val="en-GB"/>
        </w:rPr>
        <w:t xml:space="preserve"> taihen mezurashii monodeshita.</w:t>
      </w:r>
    </w:p>
    <w:p w:rsidR="00A6696B" w:rsidRPr="00DF0776" w:rsidRDefault="00A6696B" w:rsidP="00A6696B">
      <w:pPr>
        <w:suppressAutoHyphens w:val="0"/>
        <w:spacing w:before="120" w:after="120" w:line="240" w:lineRule="auto"/>
        <w:ind w:left="1134" w:right="1134"/>
        <w:rPr>
          <w:i/>
          <w:iCs/>
          <w:lang w:val="en-GB" w:eastAsia="ja-JP"/>
        </w:rPr>
      </w:pPr>
      <w:r w:rsidRPr="00DF0776">
        <w:rPr>
          <w:i/>
          <w:iCs/>
          <w:lang w:val="en-GB" w:eastAsia="ja-JP"/>
        </w:rPr>
        <w:t>Homme 2 </w:t>
      </w:r>
      <w:r w:rsidRPr="00DF0776">
        <w:rPr>
          <w:iCs/>
          <w:lang w:val="en-GB" w:eastAsia="ja-JP"/>
        </w:rPr>
        <w:t>:</w:t>
      </w:r>
    </w:p>
    <w:p w:rsidR="00A6696B" w:rsidRPr="00DF0776" w:rsidRDefault="00A6696B" w:rsidP="00A6696B">
      <w:pPr>
        <w:suppressAutoHyphens w:val="0"/>
        <w:spacing w:before="120" w:after="120" w:line="240" w:lineRule="auto"/>
        <w:ind w:left="1134" w:right="1134"/>
        <w:rPr>
          <w:rFonts w:eastAsia="MS Mincho"/>
          <w:lang w:val="en-GB" w:eastAsia="ja-JP"/>
        </w:rPr>
      </w:pPr>
      <w:r w:rsidRPr="00E07570">
        <w:rPr>
          <w:rFonts w:eastAsia="MS Mincho"/>
          <w:lang w:eastAsia="ja-JP"/>
        </w:rPr>
        <w:t>近頃の子供たちはひ弱です。</w:t>
      </w:r>
    </w:p>
    <w:p w:rsidR="00A6696B" w:rsidRPr="00DF0776" w:rsidRDefault="00A6696B" w:rsidP="00A6696B">
      <w:pPr>
        <w:suppressAutoHyphens w:val="0"/>
        <w:spacing w:before="120" w:after="120" w:line="240" w:lineRule="auto"/>
        <w:ind w:left="1134" w:right="1134"/>
        <w:rPr>
          <w:lang w:val="en-GB"/>
        </w:rPr>
      </w:pPr>
      <w:r w:rsidRPr="00DF0776">
        <w:rPr>
          <w:lang w:val="en-GB"/>
        </w:rPr>
        <w:t xml:space="preserve">Chikagoro no kodomo tachi </w:t>
      </w:r>
      <w:proofErr w:type="gramStart"/>
      <w:r w:rsidRPr="00DF0776">
        <w:rPr>
          <w:lang w:val="en-GB"/>
        </w:rPr>
        <w:t>wa</w:t>
      </w:r>
      <w:proofErr w:type="gramEnd"/>
      <w:r w:rsidRPr="00DF0776">
        <w:rPr>
          <w:lang w:val="en-GB"/>
        </w:rPr>
        <w:t xml:space="preserve"> hiyowa desu.</w:t>
      </w:r>
    </w:p>
    <w:p w:rsidR="00A6696B" w:rsidRPr="00DF0776" w:rsidRDefault="00A6696B" w:rsidP="00A6696B">
      <w:pPr>
        <w:suppressAutoHyphens w:val="0"/>
        <w:spacing w:before="120" w:after="120" w:line="240" w:lineRule="auto"/>
        <w:ind w:left="1134" w:right="1134"/>
        <w:rPr>
          <w:rFonts w:eastAsia="MS Mincho"/>
          <w:lang w:val="en-GB" w:eastAsia="ja-JP"/>
        </w:rPr>
      </w:pPr>
      <w:r w:rsidRPr="00E07570">
        <w:rPr>
          <w:rFonts w:eastAsia="MS Mincho"/>
          <w:lang w:eastAsia="ja-JP"/>
        </w:rPr>
        <w:t>イギリス人は雨の中を平気で濡れて歩きます。</w:t>
      </w:r>
    </w:p>
    <w:p w:rsidR="00A6696B" w:rsidRPr="00DF0776" w:rsidRDefault="00A6696B" w:rsidP="00A6696B">
      <w:pPr>
        <w:suppressAutoHyphens w:val="0"/>
        <w:spacing w:before="120" w:after="240" w:line="240" w:lineRule="auto"/>
        <w:ind w:left="1134" w:right="1134"/>
        <w:rPr>
          <w:lang w:val="en-GB"/>
        </w:rPr>
      </w:pPr>
      <w:r w:rsidRPr="00DF0776">
        <w:rPr>
          <w:lang w:val="en-GB"/>
        </w:rPr>
        <w:t xml:space="preserve">Igirisujin </w:t>
      </w:r>
      <w:proofErr w:type="gramStart"/>
      <w:r w:rsidRPr="00DF0776">
        <w:rPr>
          <w:lang w:val="en-GB"/>
        </w:rPr>
        <w:t>wa</w:t>
      </w:r>
      <w:proofErr w:type="gramEnd"/>
      <w:r w:rsidRPr="00DF0776">
        <w:rPr>
          <w:lang w:val="en-GB"/>
        </w:rPr>
        <w:t xml:space="preserve"> ameno nakawo heikide nurete arukimasu.</w:t>
      </w:r>
    </w:p>
    <w:p w:rsidR="00A6696B" w:rsidRPr="00E07570" w:rsidRDefault="00A6696B" w:rsidP="00A6696B">
      <w:pPr>
        <w:keepNext/>
        <w:suppressAutoHyphens w:val="0"/>
        <w:spacing w:before="240" w:after="120" w:line="240" w:lineRule="auto"/>
        <w:ind w:left="1134" w:right="1134"/>
        <w:jc w:val="center"/>
        <w:outlineLvl w:val="2"/>
      </w:pPr>
      <w:bookmarkStart w:id="28" w:name="_Toc182630687"/>
      <w:r w:rsidRPr="00E07570">
        <w:t>Polonais</w:t>
      </w:r>
    </w:p>
    <w:p w:rsidR="00A6696B" w:rsidRPr="00E07570" w:rsidRDefault="00A6696B" w:rsidP="00A6696B">
      <w:pPr>
        <w:keepNext/>
        <w:keepLines/>
        <w:suppressAutoHyphens w:val="0"/>
        <w:spacing w:before="120" w:after="120" w:line="240" w:lineRule="auto"/>
        <w:ind w:left="1134" w:right="1134"/>
        <w:rPr>
          <w:i/>
          <w:iCs/>
        </w:rPr>
      </w:pPr>
      <w:r w:rsidRPr="00E07570">
        <w:rPr>
          <w:i/>
          <w:iCs/>
        </w:rPr>
        <w:t>Femme 1 </w:t>
      </w:r>
      <w:r w:rsidRPr="00E07570">
        <w:rPr>
          <w:iCs/>
        </w:rPr>
        <w:t>:</w:t>
      </w:r>
    </w:p>
    <w:p w:rsidR="00A6696B" w:rsidRPr="00E07570" w:rsidRDefault="00A6696B" w:rsidP="00A6696B">
      <w:pPr>
        <w:suppressAutoHyphens w:val="0"/>
        <w:spacing w:before="120" w:after="120" w:line="240" w:lineRule="auto"/>
        <w:ind w:left="1134" w:right="1134"/>
      </w:pPr>
      <w:proofErr w:type="spellStart"/>
      <w:r w:rsidRPr="00E07570">
        <w:t>Pielęgniarki</w:t>
      </w:r>
      <w:proofErr w:type="spellEnd"/>
      <w:r w:rsidRPr="00E07570">
        <w:t xml:space="preserve"> </w:t>
      </w:r>
      <w:proofErr w:type="spellStart"/>
      <w:r w:rsidRPr="00E07570">
        <w:t>były</w:t>
      </w:r>
      <w:proofErr w:type="spellEnd"/>
      <w:r w:rsidRPr="00E07570">
        <w:t xml:space="preserve"> </w:t>
      </w:r>
      <w:proofErr w:type="spellStart"/>
      <w:r w:rsidRPr="00E07570">
        <w:t>cierpliwe</w:t>
      </w:r>
      <w:proofErr w:type="spellEnd"/>
      <w:r w:rsidRPr="00E07570">
        <w:t>.</w:t>
      </w:r>
    </w:p>
    <w:p w:rsidR="00A6696B" w:rsidRPr="00E07570" w:rsidRDefault="00A6696B" w:rsidP="00A6696B">
      <w:pPr>
        <w:suppressAutoHyphens w:val="0"/>
        <w:spacing w:before="120" w:after="120" w:line="240" w:lineRule="auto"/>
        <w:ind w:left="1134" w:right="1134"/>
      </w:pPr>
      <w:proofErr w:type="spellStart"/>
      <w:r w:rsidRPr="00E07570">
        <w:t>Przebiegał</w:t>
      </w:r>
      <w:proofErr w:type="spellEnd"/>
      <w:r w:rsidRPr="00E07570">
        <w:t xml:space="preserve"> </w:t>
      </w:r>
      <w:proofErr w:type="spellStart"/>
      <w:r w:rsidRPr="00E07570">
        <w:t>szybko</w:t>
      </w:r>
      <w:proofErr w:type="spellEnd"/>
      <w:r w:rsidRPr="00E07570">
        <w:t xml:space="preserve"> </w:t>
      </w:r>
      <w:proofErr w:type="spellStart"/>
      <w:r w:rsidRPr="00E07570">
        <w:t>przez</w:t>
      </w:r>
      <w:proofErr w:type="spellEnd"/>
      <w:r w:rsidRPr="00E07570">
        <w:t xml:space="preserve"> </w:t>
      </w:r>
      <w:proofErr w:type="spellStart"/>
      <w:r w:rsidRPr="00E07570">
        <w:t>ulicę</w:t>
      </w:r>
      <w:proofErr w:type="spellEnd"/>
      <w:r w:rsidRPr="00E07570">
        <w:t>.</w:t>
      </w:r>
    </w:p>
    <w:p w:rsidR="00A6696B" w:rsidRPr="00E07570" w:rsidRDefault="00A6696B" w:rsidP="00A6696B">
      <w:pPr>
        <w:suppressAutoHyphens w:val="0"/>
        <w:spacing w:before="120" w:after="120" w:line="240" w:lineRule="auto"/>
        <w:ind w:left="1134" w:right="1134"/>
        <w:rPr>
          <w:i/>
          <w:iCs/>
        </w:rPr>
      </w:pPr>
      <w:r w:rsidRPr="00E07570">
        <w:rPr>
          <w:i/>
          <w:iCs/>
        </w:rPr>
        <w:t>Femme 2 </w:t>
      </w:r>
      <w:r w:rsidRPr="00E07570">
        <w:rPr>
          <w:iCs/>
        </w:rPr>
        <w:t>:</w:t>
      </w:r>
    </w:p>
    <w:p w:rsidR="00A6696B" w:rsidRPr="00DF0776" w:rsidRDefault="00A6696B" w:rsidP="00A6696B">
      <w:pPr>
        <w:suppressAutoHyphens w:val="0"/>
        <w:spacing w:before="120" w:after="120" w:line="240" w:lineRule="auto"/>
        <w:ind w:left="1134" w:right="1134"/>
        <w:rPr>
          <w:lang w:val="en-GB"/>
        </w:rPr>
      </w:pPr>
      <w:r w:rsidRPr="00DF0776">
        <w:rPr>
          <w:lang w:val="en-GB"/>
        </w:rPr>
        <w:t xml:space="preserve">Ona była jego sekretarką </w:t>
      </w:r>
      <w:proofErr w:type="gramStart"/>
      <w:r w:rsidRPr="00DF0776">
        <w:rPr>
          <w:lang w:val="en-GB"/>
        </w:rPr>
        <w:t>od</w:t>
      </w:r>
      <w:proofErr w:type="gramEnd"/>
      <w:r w:rsidRPr="00DF0776">
        <w:rPr>
          <w:lang w:val="en-GB"/>
        </w:rPr>
        <w:t xml:space="preserve"> lat.</w:t>
      </w:r>
    </w:p>
    <w:p w:rsidR="00A6696B" w:rsidRPr="00DF0776" w:rsidRDefault="00A6696B" w:rsidP="00A6696B">
      <w:pPr>
        <w:suppressAutoHyphens w:val="0"/>
        <w:spacing w:before="120" w:after="120" w:line="240" w:lineRule="auto"/>
        <w:ind w:left="1134" w:right="1134"/>
        <w:rPr>
          <w:lang w:val="en-GB"/>
        </w:rPr>
      </w:pPr>
      <w:r w:rsidRPr="00DF0776">
        <w:rPr>
          <w:lang w:val="en-GB"/>
        </w:rPr>
        <w:t xml:space="preserve">Dzieci często płaczą kiedy </w:t>
      </w:r>
      <w:proofErr w:type="gramStart"/>
      <w:r w:rsidRPr="00DF0776">
        <w:rPr>
          <w:lang w:val="en-GB"/>
        </w:rPr>
        <w:t>są</w:t>
      </w:r>
      <w:proofErr w:type="gramEnd"/>
      <w:r w:rsidRPr="00DF0776">
        <w:rPr>
          <w:lang w:val="en-GB"/>
        </w:rPr>
        <w:t xml:space="preserve"> głodne.</w:t>
      </w:r>
    </w:p>
    <w:p w:rsidR="00A6696B" w:rsidRPr="00E07570" w:rsidRDefault="00A6696B" w:rsidP="00A6696B">
      <w:pPr>
        <w:suppressAutoHyphens w:val="0"/>
        <w:spacing w:before="120" w:after="120" w:line="240" w:lineRule="auto"/>
        <w:ind w:left="1134" w:right="1134"/>
        <w:rPr>
          <w:i/>
          <w:iCs/>
        </w:rPr>
      </w:pPr>
      <w:r w:rsidRPr="00E07570">
        <w:rPr>
          <w:i/>
          <w:iCs/>
        </w:rPr>
        <w:t>Homme 1 </w:t>
      </w:r>
      <w:r w:rsidRPr="00E07570">
        <w:rPr>
          <w:iCs/>
        </w:rPr>
        <w:t>:</w:t>
      </w:r>
    </w:p>
    <w:p w:rsidR="00A6696B" w:rsidRPr="00E07570" w:rsidRDefault="00A6696B" w:rsidP="00A6696B">
      <w:pPr>
        <w:suppressAutoHyphens w:val="0"/>
        <w:spacing w:before="120" w:after="120" w:line="240" w:lineRule="auto"/>
        <w:ind w:left="1134" w:right="1134"/>
      </w:pPr>
      <w:r w:rsidRPr="00E07570">
        <w:t xml:space="preserve">On </w:t>
      </w:r>
      <w:proofErr w:type="spellStart"/>
      <w:r w:rsidRPr="00E07570">
        <w:t>był</w:t>
      </w:r>
      <w:proofErr w:type="spellEnd"/>
      <w:r w:rsidRPr="00E07570">
        <w:t xml:space="preserve"> </w:t>
      </w:r>
      <w:proofErr w:type="spellStart"/>
      <w:r w:rsidRPr="00E07570">
        <w:t>czarującą</w:t>
      </w:r>
      <w:proofErr w:type="spellEnd"/>
      <w:r w:rsidRPr="00E07570">
        <w:t xml:space="preserve"> </w:t>
      </w:r>
      <w:proofErr w:type="spellStart"/>
      <w:r w:rsidRPr="00E07570">
        <w:t>osobą</w:t>
      </w:r>
      <w:proofErr w:type="spellEnd"/>
      <w:r w:rsidRPr="00E07570">
        <w:t>.</w:t>
      </w:r>
    </w:p>
    <w:p w:rsidR="00A6696B" w:rsidRPr="00E07570" w:rsidRDefault="00A6696B" w:rsidP="00A6696B">
      <w:pPr>
        <w:suppressAutoHyphens w:val="0"/>
        <w:spacing w:before="120" w:after="120" w:line="240" w:lineRule="auto"/>
        <w:ind w:left="1134" w:right="1134"/>
      </w:pPr>
      <w:r w:rsidRPr="00E07570">
        <w:t xml:space="preserve">Lato </w:t>
      </w:r>
      <w:proofErr w:type="spellStart"/>
      <w:r w:rsidRPr="00E07570">
        <w:t>wreszcie</w:t>
      </w:r>
      <w:proofErr w:type="spellEnd"/>
      <w:r w:rsidRPr="00E07570">
        <w:t xml:space="preserve"> </w:t>
      </w:r>
      <w:proofErr w:type="spellStart"/>
      <w:r w:rsidRPr="00E07570">
        <w:t>nadeszło</w:t>
      </w:r>
      <w:proofErr w:type="spellEnd"/>
      <w:r w:rsidRPr="00E07570">
        <w:t>.</w:t>
      </w:r>
    </w:p>
    <w:p w:rsidR="00A6696B" w:rsidRPr="00E07570" w:rsidRDefault="00A6696B" w:rsidP="00A6696B">
      <w:pPr>
        <w:suppressAutoHyphens w:val="0"/>
        <w:spacing w:before="120" w:after="120" w:line="240" w:lineRule="auto"/>
        <w:ind w:left="1134" w:right="1134"/>
        <w:rPr>
          <w:i/>
          <w:iCs/>
        </w:rPr>
      </w:pPr>
      <w:r w:rsidRPr="00E07570">
        <w:rPr>
          <w:i/>
          <w:iCs/>
        </w:rPr>
        <w:t>Homme 2 </w:t>
      </w:r>
      <w:r w:rsidRPr="00E07570">
        <w:rPr>
          <w:iCs/>
        </w:rPr>
        <w:t>:</w:t>
      </w:r>
    </w:p>
    <w:p w:rsidR="00A6696B" w:rsidRPr="00E07570" w:rsidRDefault="00A6696B" w:rsidP="00A6696B">
      <w:pPr>
        <w:suppressAutoHyphens w:val="0"/>
        <w:spacing w:before="120" w:after="120" w:line="240" w:lineRule="auto"/>
        <w:ind w:left="1134" w:right="1134"/>
      </w:pPr>
      <w:proofErr w:type="spellStart"/>
      <w:r w:rsidRPr="00E07570">
        <w:t>Większość</w:t>
      </w:r>
      <w:proofErr w:type="spellEnd"/>
      <w:r w:rsidRPr="00E07570">
        <w:t xml:space="preserve"> </w:t>
      </w:r>
      <w:proofErr w:type="spellStart"/>
      <w:r w:rsidRPr="00E07570">
        <w:t>dróg</w:t>
      </w:r>
      <w:proofErr w:type="spellEnd"/>
      <w:r w:rsidRPr="00E07570">
        <w:t xml:space="preserve"> </w:t>
      </w:r>
      <w:proofErr w:type="spellStart"/>
      <w:r w:rsidRPr="00E07570">
        <w:t>było</w:t>
      </w:r>
      <w:proofErr w:type="spellEnd"/>
      <w:r w:rsidRPr="00E07570">
        <w:t xml:space="preserve"> </w:t>
      </w:r>
      <w:proofErr w:type="spellStart"/>
      <w:r w:rsidRPr="00E07570">
        <w:t>niezmiernie</w:t>
      </w:r>
      <w:proofErr w:type="spellEnd"/>
      <w:r w:rsidRPr="00E07570">
        <w:t xml:space="preserve"> </w:t>
      </w:r>
      <w:proofErr w:type="spellStart"/>
      <w:r w:rsidRPr="00E07570">
        <w:t>zatłoczonych</w:t>
      </w:r>
      <w:proofErr w:type="spellEnd"/>
      <w:r w:rsidRPr="00E07570">
        <w:t>.</w:t>
      </w:r>
    </w:p>
    <w:p w:rsidR="00A6696B" w:rsidRPr="00E07570" w:rsidRDefault="00A6696B" w:rsidP="00A6696B">
      <w:pPr>
        <w:suppressAutoHyphens w:val="0"/>
        <w:spacing w:before="120" w:after="240" w:line="240" w:lineRule="auto"/>
        <w:ind w:left="1134" w:right="1134"/>
      </w:pPr>
      <w:r w:rsidRPr="00E07570">
        <w:t xml:space="preserve">Mamy </w:t>
      </w:r>
      <w:proofErr w:type="spellStart"/>
      <w:r w:rsidRPr="00E07570">
        <w:t>bardzo</w:t>
      </w:r>
      <w:proofErr w:type="spellEnd"/>
      <w:r w:rsidRPr="00E07570">
        <w:t xml:space="preserve"> </w:t>
      </w:r>
      <w:proofErr w:type="spellStart"/>
      <w:r w:rsidRPr="00E07570">
        <w:t>entuzjastyczny</w:t>
      </w:r>
      <w:proofErr w:type="spellEnd"/>
      <w:r w:rsidRPr="00E07570">
        <w:t xml:space="preserve"> </w:t>
      </w:r>
      <w:proofErr w:type="spellStart"/>
      <w:r w:rsidRPr="00E07570">
        <w:t>zespół</w:t>
      </w:r>
      <w:proofErr w:type="spellEnd"/>
      <w:r w:rsidRPr="00E07570">
        <w:t>.</w:t>
      </w:r>
    </w:p>
    <w:p w:rsidR="00A6696B" w:rsidRPr="00E07570" w:rsidRDefault="00A6696B" w:rsidP="00A6696B">
      <w:pPr>
        <w:suppressAutoHyphens w:val="0"/>
        <w:spacing w:before="240" w:after="120" w:line="240" w:lineRule="auto"/>
        <w:ind w:left="1134" w:right="1134"/>
        <w:jc w:val="center"/>
        <w:outlineLvl w:val="2"/>
      </w:pPr>
      <w:bookmarkStart w:id="29" w:name="_Toc315265563"/>
      <w:bookmarkStart w:id="30" w:name="_Toc315265883"/>
      <w:bookmarkStart w:id="31" w:name="_Toc456777202"/>
      <w:r w:rsidRPr="00E07570">
        <w:t>Espagnol (d</w:t>
      </w:r>
      <w:r w:rsidR="00145E4B">
        <w:t>’</w:t>
      </w:r>
      <w:r w:rsidRPr="00E07570">
        <w:t>Amérique)</w:t>
      </w:r>
      <w:bookmarkEnd w:id="28"/>
      <w:bookmarkEnd w:id="29"/>
      <w:bookmarkEnd w:id="30"/>
      <w:bookmarkEnd w:id="31"/>
    </w:p>
    <w:p w:rsidR="00A6696B" w:rsidRPr="00E07570" w:rsidRDefault="00A6696B" w:rsidP="00A6696B">
      <w:pPr>
        <w:suppressAutoHyphens w:val="0"/>
        <w:spacing w:before="120" w:after="120" w:line="240" w:lineRule="auto"/>
        <w:ind w:left="1134" w:right="1134"/>
        <w:rPr>
          <w:i/>
          <w:iCs/>
        </w:rPr>
      </w:pPr>
      <w:r w:rsidRPr="00E07570">
        <w:rPr>
          <w:i/>
          <w:iCs/>
        </w:rPr>
        <w:t>Femme 1 </w:t>
      </w:r>
      <w:r w:rsidRPr="00E07570">
        <w:rPr>
          <w:iCs/>
        </w:rPr>
        <w:t>:</w:t>
      </w:r>
    </w:p>
    <w:p w:rsidR="00A6696B" w:rsidRPr="00E07570" w:rsidRDefault="00A6696B" w:rsidP="00A6696B">
      <w:pPr>
        <w:suppressAutoHyphens w:val="0"/>
        <w:spacing w:before="120" w:after="120" w:line="240" w:lineRule="auto"/>
        <w:ind w:left="1134" w:right="1134"/>
      </w:pPr>
      <w:r w:rsidRPr="00E07570">
        <w:t xml:space="preserve">No </w:t>
      </w:r>
      <w:proofErr w:type="spellStart"/>
      <w:r w:rsidRPr="00E07570">
        <w:t>arroje</w:t>
      </w:r>
      <w:proofErr w:type="spellEnd"/>
      <w:r w:rsidRPr="00E07570">
        <w:t xml:space="preserve"> </w:t>
      </w:r>
      <w:proofErr w:type="spellStart"/>
      <w:r w:rsidRPr="00E07570">
        <w:t>basura</w:t>
      </w:r>
      <w:proofErr w:type="spellEnd"/>
      <w:r w:rsidRPr="00E07570">
        <w:t xml:space="preserve"> a la calle.</w:t>
      </w:r>
    </w:p>
    <w:p w:rsidR="00A6696B" w:rsidRPr="00E07570" w:rsidRDefault="00A6696B" w:rsidP="00A6696B">
      <w:pPr>
        <w:suppressAutoHyphens w:val="0"/>
        <w:spacing w:before="120" w:after="120" w:line="240" w:lineRule="auto"/>
        <w:ind w:left="1134" w:right="1134"/>
      </w:pPr>
      <w:proofErr w:type="spellStart"/>
      <w:r w:rsidRPr="00E07570">
        <w:t>Ellos</w:t>
      </w:r>
      <w:proofErr w:type="spellEnd"/>
      <w:r w:rsidRPr="00E07570">
        <w:t xml:space="preserve"> </w:t>
      </w:r>
      <w:proofErr w:type="spellStart"/>
      <w:r w:rsidRPr="00E07570">
        <w:t>quieren</w:t>
      </w:r>
      <w:proofErr w:type="spellEnd"/>
      <w:r w:rsidRPr="00E07570">
        <w:t xml:space="preserve"> dos </w:t>
      </w:r>
      <w:proofErr w:type="spellStart"/>
      <w:r w:rsidRPr="00E07570">
        <w:t>manzanas</w:t>
      </w:r>
      <w:proofErr w:type="spellEnd"/>
      <w:r w:rsidRPr="00E07570">
        <w:t xml:space="preserve"> </w:t>
      </w:r>
      <w:proofErr w:type="spellStart"/>
      <w:r w:rsidRPr="00E07570">
        <w:t>rojas</w:t>
      </w:r>
      <w:proofErr w:type="spellEnd"/>
      <w:r w:rsidRPr="00E07570">
        <w:t>.</w:t>
      </w:r>
    </w:p>
    <w:p w:rsidR="00A6696B" w:rsidRPr="00E07570" w:rsidRDefault="00A6696B" w:rsidP="001E3173">
      <w:pPr>
        <w:keepNext/>
        <w:suppressAutoHyphens w:val="0"/>
        <w:spacing w:before="120" w:after="120" w:line="240" w:lineRule="auto"/>
        <w:ind w:left="1134" w:right="1134"/>
        <w:rPr>
          <w:i/>
          <w:iCs/>
        </w:rPr>
      </w:pPr>
      <w:r w:rsidRPr="00E07570">
        <w:rPr>
          <w:i/>
          <w:iCs/>
        </w:rPr>
        <w:t>Femme 2 </w:t>
      </w:r>
      <w:r w:rsidRPr="00E07570">
        <w:rPr>
          <w:iCs/>
        </w:rPr>
        <w:t>:</w:t>
      </w:r>
    </w:p>
    <w:p w:rsidR="00A6696B" w:rsidRPr="00E07570" w:rsidRDefault="00A6696B" w:rsidP="00A6696B">
      <w:pPr>
        <w:suppressAutoHyphens w:val="0"/>
        <w:spacing w:before="120" w:after="120" w:line="240" w:lineRule="auto"/>
        <w:ind w:left="1134" w:right="1134"/>
        <w:rPr>
          <w:bCs/>
        </w:rPr>
      </w:pPr>
      <w:r w:rsidRPr="00E07570">
        <w:t xml:space="preserve">No </w:t>
      </w:r>
      <w:proofErr w:type="spellStart"/>
      <w:r w:rsidRPr="00E07570">
        <w:t>cocinaban</w:t>
      </w:r>
      <w:proofErr w:type="spellEnd"/>
      <w:r w:rsidRPr="00E07570">
        <w:t xml:space="preserve"> tan bien.</w:t>
      </w:r>
    </w:p>
    <w:p w:rsidR="00A6696B" w:rsidRPr="00E07570" w:rsidRDefault="00A6696B" w:rsidP="00A6696B">
      <w:pPr>
        <w:suppressAutoHyphens w:val="0"/>
        <w:spacing w:before="120" w:after="120" w:line="240" w:lineRule="auto"/>
        <w:ind w:left="1134" w:right="1134"/>
        <w:rPr>
          <w:bCs/>
        </w:rPr>
      </w:pPr>
      <w:r w:rsidRPr="00E07570">
        <w:t xml:space="preserve">Mi </w:t>
      </w:r>
      <w:proofErr w:type="spellStart"/>
      <w:r w:rsidRPr="00E07570">
        <w:t>afeitadora</w:t>
      </w:r>
      <w:proofErr w:type="spellEnd"/>
      <w:r w:rsidRPr="00E07570">
        <w:t xml:space="preserve"> </w:t>
      </w:r>
      <w:proofErr w:type="spellStart"/>
      <w:r w:rsidRPr="00E07570">
        <w:t>afeita</w:t>
      </w:r>
      <w:proofErr w:type="spellEnd"/>
      <w:r w:rsidRPr="00E07570">
        <w:t xml:space="preserve"> al ras.</w:t>
      </w:r>
    </w:p>
    <w:p w:rsidR="00A6696B" w:rsidRPr="00E07570" w:rsidRDefault="00A6696B" w:rsidP="00A6696B">
      <w:pPr>
        <w:suppressAutoHyphens w:val="0"/>
        <w:spacing w:before="120" w:after="120" w:line="240" w:lineRule="auto"/>
        <w:ind w:left="1134" w:right="1134"/>
        <w:rPr>
          <w:i/>
          <w:iCs/>
        </w:rPr>
      </w:pPr>
      <w:r w:rsidRPr="00E07570">
        <w:rPr>
          <w:i/>
          <w:iCs/>
        </w:rPr>
        <w:t>Homme 1 </w:t>
      </w:r>
      <w:r w:rsidRPr="00E07570">
        <w:rPr>
          <w:iCs/>
        </w:rPr>
        <w:t>:</w:t>
      </w:r>
    </w:p>
    <w:p w:rsidR="00A6696B" w:rsidRPr="00E07570" w:rsidRDefault="00A6696B" w:rsidP="00A6696B">
      <w:pPr>
        <w:suppressAutoHyphens w:val="0"/>
        <w:spacing w:before="120" w:after="120" w:line="240" w:lineRule="auto"/>
        <w:ind w:left="1134" w:right="1134"/>
        <w:rPr>
          <w:bCs/>
        </w:rPr>
      </w:pPr>
      <w:r w:rsidRPr="00E07570">
        <w:t xml:space="preserve">Vé y </w:t>
      </w:r>
      <w:proofErr w:type="spellStart"/>
      <w:r w:rsidRPr="00E07570">
        <w:t>siéntate</w:t>
      </w:r>
      <w:proofErr w:type="spellEnd"/>
      <w:r w:rsidRPr="00E07570">
        <w:t xml:space="preserve"> en la cama.</w:t>
      </w:r>
    </w:p>
    <w:p w:rsidR="00A6696B" w:rsidRPr="00E07570" w:rsidRDefault="00A6696B" w:rsidP="00A6696B">
      <w:pPr>
        <w:suppressAutoHyphens w:val="0"/>
        <w:spacing w:before="120" w:after="120" w:line="240" w:lineRule="auto"/>
        <w:ind w:left="1134" w:right="1134"/>
        <w:rPr>
          <w:bCs/>
        </w:rPr>
      </w:pPr>
      <w:r w:rsidRPr="00E07570">
        <w:t>El l</w:t>
      </w:r>
      <w:r w:rsidR="00C13116" w:rsidRPr="00E07570">
        <w:t>ib</w:t>
      </w:r>
      <w:r w:rsidRPr="00E07570">
        <w:t xml:space="preserve">ro </w:t>
      </w:r>
      <w:proofErr w:type="spellStart"/>
      <w:r w:rsidRPr="00E07570">
        <w:t>trata</w:t>
      </w:r>
      <w:proofErr w:type="spellEnd"/>
      <w:r w:rsidRPr="00E07570">
        <w:t xml:space="preserve"> sobre </w:t>
      </w:r>
      <w:proofErr w:type="spellStart"/>
      <w:r w:rsidRPr="00E07570">
        <w:t>trampas</w:t>
      </w:r>
      <w:proofErr w:type="spellEnd"/>
      <w:r w:rsidRPr="00E07570">
        <w:t>.</w:t>
      </w:r>
    </w:p>
    <w:p w:rsidR="00A6696B" w:rsidRPr="00DF0776" w:rsidRDefault="00A6696B" w:rsidP="00A6696B">
      <w:pPr>
        <w:suppressAutoHyphens w:val="0"/>
        <w:spacing w:before="120" w:after="120" w:line="240" w:lineRule="auto"/>
        <w:ind w:left="1134" w:right="1134"/>
        <w:rPr>
          <w:i/>
          <w:iCs/>
          <w:lang w:val="en-GB"/>
        </w:rPr>
      </w:pPr>
      <w:r w:rsidRPr="00DF0776">
        <w:rPr>
          <w:i/>
          <w:iCs/>
          <w:lang w:val="en-GB"/>
        </w:rPr>
        <w:t>Homme 2 </w:t>
      </w:r>
      <w:r w:rsidRPr="00DF0776">
        <w:rPr>
          <w:iCs/>
          <w:lang w:val="en-GB"/>
        </w:rPr>
        <w:t>:</w:t>
      </w:r>
    </w:p>
    <w:p w:rsidR="00A6696B" w:rsidRPr="00DF0776" w:rsidRDefault="00A6696B" w:rsidP="00A6696B">
      <w:pPr>
        <w:suppressAutoHyphens w:val="0"/>
        <w:spacing w:before="120" w:after="120" w:line="240" w:lineRule="auto"/>
        <w:ind w:left="1134" w:right="1134"/>
        <w:rPr>
          <w:lang w:val="en-GB"/>
        </w:rPr>
      </w:pPr>
      <w:r w:rsidRPr="00DF0776">
        <w:rPr>
          <w:lang w:val="en-GB"/>
        </w:rPr>
        <w:t>El trapeador se puso amarillo.</w:t>
      </w:r>
    </w:p>
    <w:p w:rsidR="00A6696B" w:rsidRPr="00DF0776" w:rsidRDefault="00A6696B" w:rsidP="00A6696B">
      <w:pPr>
        <w:suppressAutoHyphens w:val="0"/>
        <w:spacing w:before="120" w:after="240" w:line="240" w:lineRule="auto"/>
        <w:ind w:left="1134" w:right="1134"/>
        <w:rPr>
          <w:lang w:val="en-GB"/>
        </w:rPr>
      </w:pPr>
      <w:r w:rsidRPr="00DF0776">
        <w:rPr>
          <w:lang w:val="en-GB"/>
        </w:rPr>
        <w:t>El fuego consumió el papel.</w:t>
      </w:r>
    </w:p>
    <w:p w:rsidR="00A6696B" w:rsidRPr="00DF0776" w:rsidRDefault="00A6696B" w:rsidP="00A6696B">
      <w:pPr>
        <w:suppressAutoHyphens w:val="0"/>
        <w:spacing w:before="240" w:after="120" w:line="240" w:lineRule="auto"/>
        <w:ind w:left="1134" w:right="1134"/>
        <w:jc w:val="center"/>
        <w:outlineLvl w:val="2"/>
        <w:rPr>
          <w:lang w:val="ru-RU"/>
        </w:rPr>
      </w:pPr>
      <w:r w:rsidRPr="00E07570">
        <w:t>Russe</w:t>
      </w:r>
    </w:p>
    <w:p w:rsidR="00A6696B" w:rsidRPr="00DF0776" w:rsidRDefault="00A6696B" w:rsidP="00A6696B">
      <w:pPr>
        <w:suppressAutoHyphens w:val="0"/>
        <w:spacing w:before="120" w:after="120" w:line="240" w:lineRule="auto"/>
        <w:ind w:left="1134" w:right="1134"/>
        <w:rPr>
          <w:lang w:val="ru-RU"/>
        </w:rPr>
      </w:pPr>
      <w:r w:rsidRPr="00E07570">
        <w:rPr>
          <w:i/>
          <w:iCs/>
        </w:rPr>
        <w:t>Femme</w:t>
      </w:r>
      <w:r w:rsidRPr="00DF0776">
        <w:rPr>
          <w:i/>
          <w:iCs/>
          <w:lang w:val="ru-RU"/>
        </w:rPr>
        <w:t xml:space="preserve"> 1</w:t>
      </w:r>
      <w:r w:rsidRPr="00E07570">
        <w:rPr>
          <w:i/>
          <w:iCs/>
        </w:rPr>
        <w:t> </w:t>
      </w:r>
      <w:r w:rsidRPr="00DF0776">
        <w:rPr>
          <w:iCs/>
          <w:lang w:val="ru-RU"/>
        </w:rPr>
        <w:t>:</w:t>
      </w:r>
    </w:p>
    <w:p w:rsidR="00A6696B" w:rsidRPr="00DF0776" w:rsidRDefault="00A6696B" w:rsidP="00A6696B">
      <w:pPr>
        <w:suppressAutoHyphens w:val="0"/>
        <w:spacing w:before="120" w:after="120" w:line="240" w:lineRule="auto"/>
        <w:ind w:left="1134" w:right="1134"/>
        <w:rPr>
          <w:lang w:val="ru-RU"/>
        </w:rPr>
      </w:pPr>
      <w:r w:rsidRPr="00DF0776">
        <w:rPr>
          <w:lang w:val="ru-RU"/>
        </w:rPr>
        <w:t>Если хочешь быть здоров, советует Татьяна Илье, /чисть зубы пастой «Жемчуг»!</w:t>
      </w:r>
    </w:p>
    <w:p w:rsidR="00A6696B" w:rsidRPr="00DF0776" w:rsidRDefault="00A6696B" w:rsidP="00A6696B">
      <w:pPr>
        <w:suppressAutoHyphens w:val="0"/>
        <w:spacing w:before="120" w:after="120" w:line="240" w:lineRule="auto"/>
        <w:ind w:left="1134" w:right="1134"/>
        <w:rPr>
          <w:lang w:val="ru-RU"/>
        </w:rPr>
      </w:pPr>
      <w:proofErr w:type="spellStart"/>
      <w:r w:rsidRPr="00E07570">
        <w:t>Esli</w:t>
      </w:r>
      <w:proofErr w:type="spellEnd"/>
      <w:r w:rsidRPr="00DF0776">
        <w:rPr>
          <w:lang w:val="ru-RU"/>
        </w:rPr>
        <w:t xml:space="preserve"> </w:t>
      </w:r>
      <w:proofErr w:type="spellStart"/>
      <w:r w:rsidRPr="00E07570">
        <w:t>hochesh</w:t>
      </w:r>
      <w:proofErr w:type="spellEnd"/>
      <w:r w:rsidR="00145E4B" w:rsidRPr="00DF0776">
        <w:rPr>
          <w:lang w:val="ru-RU"/>
        </w:rPr>
        <w:t>’</w:t>
      </w:r>
      <w:r w:rsidRPr="00DF0776">
        <w:rPr>
          <w:lang w:val="ru-RU"/>
        </w:rPr>
        <w:t xml:space="preserve"> </w:t>
      </w:r>
      <w:proofErr w:type="spellStart"/>
      <w:r w:rsidRPr="00E07570">
        <w:t>byt</w:t>
      </w:r>
      <w:proofErr w:type="spellEnd"/>
      <w:r w:rsidR="00145E4B" w:rsidRPr="00DF0776">
        <w:rPr>
          <w:lang w:val="ru-RU"/>
        </w:rPr>
        <w:t>’</w:t>
      </w:r>
      <w:r w:rsidRPr="00DF0776">
        <w:rPr>
          <w:lang w:val="ru-RU"/>
        </w:rPr>
        <w:t xml:space="preserve"> </w:t>
      </w:r>
      <w:proofErr w:type="spellStart"/>
      <w:r w:rsidRPr="00E07570">
        <w:t>zdorov</w:t>
      </w:r>
      <w:proofErr w:type="spellEnd"/>
      <w:r w:rsidRPr="00DF0776">
        <w:rPr>
          <w:lang w:val="ru-RU"/>
        </w:rPr>
        <w:t xml:space="preserve">, </w:t>
      </w:r>
      <w:proofErr w:type="spellStart"/>
      <w:r w:rsidRPr="00E07570">
        <w:t>sovetuet</w:t>
      </w:r>
      <w:proofErr w:type="spellEnd"/>
      <w:r w:rsidRPr="00DF0776">
        <w:rPr>
          <w:lang w:val="ru-RU"/>
        </w:rPr>
        <w:t xml:space="preserve"> </w:t>
      </w:r>
      <w:proofErr w:type="spellStart"/>
      <w:r w:rsidRPr="00E07570">
        <w:t>Tatyana</w:t>
      </w:r>
      <w:proofErr w:type="spellEnd"/>
      <w:r w:rsidRPr="00DF0776">
        <w:rPr>
          <w:lang w:val="ru-RU"/>
        </w:rPr>
        <w:t xml:space="preserve"> </w:t>
      </w:r>
      <w:proofErr w:type="spellStart"/>
      <w:r w:rsidRPr="00E07570">
        <w:t>Ilye</w:t>
      </w:r>
      <w:proofErr w:type="spellEnd"/>
      <w:r w:rsidRPr="00DF0776">
        <w:rPr>
          <w:lang w:val="ru-RU"/>
        </w:rPr>
        <w:t>, /</w:t>
      </w:r>
      <w:proofErr w:type="spellStart"/>
      <w:r w:rsidRPr="00E07570">
        <w:t>chis</w:t>
      </w:r>
      <w:proofErr w:type="spellEnd"/>
      <w:r w:rsidR="00145E4B" w:rsidRPr="00DF0776">
        <w:rPr>
          <w:lang w:val="ru-RU"/>
        </w:rPr>
        <w:t>’</w:t>
      </w:r>
      <w:proofErr w:type="spellStart"/>
      <w:r w:rsidRPr="00E07570">
        <w:t>t</w:t>
      </w:r>
      <w:proofErr w:type="spellEnd"/>
      <w:r w:rsidR="00145E4B" w:rsidRPr="00DF0776">
        <w:rPr>
          <w:lang w:val="ru-RU"/>
        </w:rPr>
        <w:t>’</w:t>
      </w:r>
      <w:r w:rsidRPr="00DF0776">
        <w:rPr>
          <w:lang w:val="ru-RU"/>
        </w:rPr>
        <w:t xml:space="preserve"> </w:t>
      </w:r>
      <w:proofErr w:type="spellStart"/>
      <w:r w:rsidRPr="00E07570">
        <w:t>zuby</w:t>
      </w:r>
      <w:proofErr w:type="spellEnd"/>
      <w:r w:rsidRPr="00DF0776">
        <w:rPr>
          <w:lang w:val="ru-RU"/>
        </w:rPr>
        <w:t xml:space="preserve"> </w:t>
      </w:r>
      <w:proofErr w:type="spellStart"/>
      <w:r w:rsidRPr="00E07570">
        <w:t>pastoj</w:t>
      </w:r>
      <w:proofErr w:type="spellEnd"/>
      <w:r w:rsidRPr="00DF0776">
        <w:rPr>
          <w:lang w:val="ru-RU"/>
        </w:rPr>
        <w:t xml:space="preserve"> "</w:t>
      </w:r>
      <w:proofErr w:type="spellStart"/>
      <w:r w:rsidRPr="00E07570">
        <w:t>Zhemchug</w:t>
      </w:r>
      <w:proofErr w:type="spellEnd"/>
      <w:r w:rsidRPr="00DF0776">
        <w:rPr>
          <w:lang w:val="ru-RU"/>
        </w:rPr>
        <w:t>"</w:t>
      </w:r>
    </w:p>
    <w:p w:rsidR="00A6696B" w:rsidRPr="00DF0776" w:rsidRDefault="00A6696B" w:rsidP="00A6696B">
      <w:pPr>
        <w:suppressAutoHyphens w:val="0"/>
        <w:spacing w:before="120" w:after="120" w:line="240" w:lineRule="auto"/>
        <w:ind w:left="1134" w:right="1134"/>
        <w:rPr>
          <w:lang w:val="ru-RU"/>
        </w:rPr>
      </w:pPr>
      <w:r w:rsidRPr="00DF0776">
        <w:rPr>
          <w:lang w:val="ru-RU"/>
        </w:rPr>
        <w:t>Вчера на Московском заводе малолитражных автомобилей состоялось собрание молодежи</w:t>
      </w:r>
    </w:p>
    <w:p w:rsidR="00A6696B" w:rsidRPr="00DF0776" w:rsidRDefault="00A6696B" w:rsidP="00A6696B">
      <w:pPr>
        <w:suppressAutoHyphens w:val="0"/>
        <w:spacing w:before="120" w:after="120" w:line="240" w:lineRule="auto"/>
        <w:ind w:left="1134" w:right="1134"/>
        <w:rPr>
          <w:lang w:val="ru-RU"/>
        </w:rPr>
      </w:pPr>
      <w:proofErr w:type="spellStart"/>
      <w:r w:rsidRPr="00E07570">
        <w:t>Vchera</w:t>
      </w:r>
      <w:proofErr w:type="spellEnd"/>
      <w:r w:rsidRPr="00DF0776">
        <w:rPr>
          <w:lang w:val="ru-RU"/>
        </w:rPr>
        <w:t xml:space="preserve"> </w:t>
      </w:r>
      <w:r w:rsidRPr="00E07570">
        <w:t>na</w:t>
      </w:r>
      <w:r w:rsidRPr="00DF0776">
        <w:rPr>
          <w:lang w:val="ru-RU"/>
        </w:rPr>
        <w:t xml:space="preserve"> </w:t>
      </w:r>
      <w:proofErr w:type="spellStart"/>
      <w:r w:rsidRPr="00E07570">
        <w:t>Moskovskom</w:t>
      </w:r>
      <w:proofErr w:type="spellEnd"/>
      <w:r w:rsidRPr="00DF0776">
        <w:rPr>
          <w:lang w:val="ru-RU"/>
        </w:rPr>
        <w:t xml:space="preserve"> </w:t>
      </w:r>
      <w:proofErr w:type="spellStart"/>
      <w:r w:rsidRPr="00E07570">
        <w:t>zavode</w:t>
      </w:r>
      <w:proofErr w:type="spellEnd"/>
      <w:r w:rsidRPr="00DF0776">
        <w:rPr>
          <w:lang w:val="ru-RU"/>
        </w:rPr>
        <w:t xml:space="preserve"> </w:t>
      </w:r>
      <w:proofErr w:type="spellStart"/>
      <w:r w:rsidRPr="00E07570">
        <w:t>malolitrazhnyh</w:t>
      </w:r>
      <w:proofErr w:type="spellEnd"/>
      <w:r w:rsidRPr="00DF0776">
        <w:rPr>
          <w:lang w:val="ru-RU"/>
        </w:rPr>
        <w:t xml:space="preserve"> </w:t>
      </w:r>
      <w:proofErr w:type="spellStart"/>
      <w:r w:rsidRPr="00E07570">
        <w:t>avtomobilej</w:t>
      </w:r>
      <w:proofErr w:type="spellEnd"/>
      <w:r w:rsidRPr="00DF0776">
        <w:rPr>
          <w:lang w:val="ru-RU"/>
        </w:rPr>
        <w:t xml:space="preserve"> </w:t>
      </w:r>
      <w:proofErr w:type="spellStart"/>
      <w:r w:rsidRPr="00E07570">
        <w:t>sostoyalos</w:t>
      </w:r>
      <w:proofErr w:type="spellEnd"/>
      <w:r w:rsidR="00145E4B" w:rsidRPr="00DF0776">
        <w:rPr>
          <w:lang w:val="ru-RU"/>
        </w:rPr>
        <w:t>’</w:t>
      </w:r>
      <w:r w:rsidRPr="00DF0776">
        <w:rPr>
          <w:lang w:val="ru-RU"/>
        </w:rPr>
        <w:t xml:space="preserve"> </w:t>
      </w:r>
      <w:proofErr w:type="spellStart"/>
      <w:r w:rsidRPr="00E07570">
        <w:t>sobranie</w:t>
      </w:r>
      <w:proofErr w:type="spellEnd"/>
      <w:r w:rsidRPr="00DF0776">
        <w:rPr>
          <w:lang w:val="ru-RU"/>
        </w:rPr>
        <w:t xml:space="preserve"> </w:t>
      </w:r>
      <w:proofErr w:type="spellStart"/>
      <w:r w:rsidRPr="00E07570">
        <w:t>molodezhi</w:t>
      </w:r>
      <w:proofErr w:type="spellEnd"/>
      <w:r w:rsidRPr="00DF0776">
        <w:rPr>
          <w:lang w:val="ru-RU"/>
        </w:rPr>
        <w:t>.</w:t>
      </w:r>
    </w:p>
    <w:p w:rsidR="00A6696B" w:rsidRPr="00DF0776" w:rsidRDefault="00A6696B" w:rsidP="00A6696B">
      <w:pPr>
        <w:suppressAutoHyphens w:val="0"/>
        <w:spacing w:before="120" w:after="120" w:line="240" w:lineRule="auto"/>
        <w:ind w:left="1134" w:right="1134"/>
        <w:rPr>
          <w:lang w:val="ru-RU"/>
        </w:rPr>
      </w:pPr>
      <w:r w:rsidRPr="00E07570">
        <w:rPr>
          <w:i/>
          <w:iCs/>
        </w:rPr>
        <w:t>Femme</w:t>
      </w:r>
      <w:r w:rsidRPr="00DF0776">
        <w:rPr>
          <w:i/>
          <w:iCs/>
          <w:lang w:val="ru-RU"/>
        </w:rPr>
        <w:t xml:space="preserve"> 2</w:t>
      </w:r>
      <w:r w:rsidRPr="00E07570">
        <w:rPr>
          <w:i/>
          <w:iCs/>
        </w:rPr>
        <w:t> </w:t>
      </w:r>
      <w:r w:rsidRPr="00DF0776">
        <w:rPr>
          <w:iCs/>
          <w:lang w:val="ru-RU"/>
        </w:rPr>
        <w:t>:</w:t>
      </w:r>
    </w:p>
    <w:p w:rsidR="00A6696B" w:rsidRPr="00DF0776" w:rsidRDefault="00A6696B" w:rsidP="00A6696B">
      <w:pPr>
        <w:suppressAutoHyphens w:val="0"/>
        <w:spacing w:before="120" w:after="120" w:line="240" w:lineRule="auto"/>
        <w:ind w:left="1134" w:right="1134"/>
        <w:rPr>
          <w:lang w:val="ru-RU"/>
        </w:rPr>
      </w:pPr>
      <w:r w:rsidRPr="00DF0776">
        <w:rPr>
          <w:lang w:val="ru-RU"/>
        </w:rPr>
        <w:t>В клумбах сочинской здравницы «Пуща», сообщает нам автоинспектор, /обожгли шихту.</w:t>
      </w:r>
    </w:p>
    <w:p w:rsidR="00A6696B" w:rsidRPr="00DF0776" w:rsidRDefault="00A6696B" w:rsidP="00A6696B">
      <w:pPr>
        <w:suppressAutoHyphens w:val="0"/>
        <w:spacing w:before="120" w:after="120" w:line="240" w:lineRule="auto"/>
        <w:ind w:left="1134" w:right="1134"/>
        <w:rPr>
          <w:lang w:val="ru-RU"/>
        </w:rPr>
      </w:pPr>
      <w:r w:rsidRPr="00E07570">
        <w:t>V</w:t>
      </w:r>
      <w:r w:rsidRPr="00DF0776">
        <w:rPr>
          <w:lang w:val="ru-RU"/>
        </w:rPr>
        <w:t xml:space="preserve"> </w:t>
      </w:r>
      <w:proofErr w:type="spellStart"/>
      <w:r w:rsidRPr="00E07570">
        <w:t>klumbah</w:t>
      </w:r>
      <w:proofErr w:type="spellEnd"/>
      <w:r w:rsidRPr="00DF0776">
        <w:rPr>
          <w:lang w:val="ru-RU"/>
        </w:rPr>
        <w:t xml:space="preserve"> </w:t>
      </w:r>
      <w:proofErr w:type="spellStart"/>
      <w:r w:rsidRPr="00E07570">
        <w:t>sochinskoj</w:t>
      </w:r>
      <w:proofErr w:type="spellEnd"/>
      <w:r w:rsidRPr="00DF0776">
        <w:rPr>
          <w:lang w:val="ru-RU"/>
        </w:rPr>
        <w:t xml:space="preserve"> </w:t>
      </w:r>
      <w:proofErr w:type="spellStart"/>
      <w:r w:rsidRPr="00E07570">
        <w:t>zdravnitsy</w:t>
      </w:r>
      <w:proofErr w:type="spellEnd"/>
      <w:r w:rsidRPr="00DF0776">
        <w:rPr>
          <w:lang w:val="ru-RU"/>
        </w:rPr>
        <w:t xml:space="preserve"> "</w:t>
      </w:r>
      <w:proofErr w:type="spellStart"/>
      <w:r w:rsidRPr="00E07570">
        <w:t>Puscha</w:t>
      </w:r>
      <w:proofErr w:type="spellEnd"/>
      <w:r w:rsidRPr="00DF0776">
        <w:rPr>
          <w:lang w:val="ru-RU"/>
        </w:rPr>
        <w:t xml:space="preserve">", </w:t>
      </w:r>
      <w:proofErr w:type="spellStart"/>
      <w:r w:rsidRPr="00E07570">
        <w:t>soobschaet</w:t>
      </w:r>
      <w:proofErr w:type="spellEnd"/>
      <w:r w:rsidRPr="00DF0776">
        <w:rPr>
          <w:lang w:val="ru-RU"/>
        </w:rPr>
        <w:t xml:space="preserve"> </w:t>
      </w:r>
      <w:proofErr w:type="spellStart"/>
      <w:r w:rsidRPr="00E07570">
        <w:t>nam</w:t>
      </w:r>
      <w:proofErr w:type="spellEnd"/>
      <w:r w:rsidRPr="00DF0776">
        <w:rPr>
          <w:lang w:val="ru-RU"/>
        </w:rPr>
        <w:t xml:space="preserve"> </w:t>
      </w:r>
      <w:proofErr w:type="spellStart"/>
      <w:r w:rsidRPr="00E07570">
        <w:t>avtoinspektor</w:t>
      </w:r>
      <w:proofErr w:type="spellEnd"/>
      <w:r w:rsidRPr="00DF0776">
        <w:rPr>
          <w:lang w:val="ru-RU"/>
        </w:rPr>
        <w:t>, /</w:t>
      </w:r>
      <w:proofErr w:type="spellStart"/>
      <w:r w:rsidRPr="00E07570">
        <w:t>obozhgli</w:t>
      </w:r>
      <w:proofErr w:type="spellEnd"/>
      <w:r w:rsidRPr="00DF0776">
        <w:rPr>
          <w:lang w:val="ru-RU"/>
        </w:rPr>
        <w:t xml:space="preserve"> </w:t>
      </w:r>
      <w:proofErr w:type="spellStart"/>
      <w:r w:rsidRPr="00E07570">
        <w:t>shihtu</w:t>
      </w:r>
      <w:proofErr w:type="spellEnd"/>
      <w:r w:rsidRPr="00DF0776">
        <w:rPr>
          <w:lang w:val="ru-RU"/>
        </w:rPr>
        <w:t xml:space="preserve">. </w:t>
      </w:r>
    </w:p>
    <w:p w:rsidR="00A6696B" w:rsidRPr="00DF0776" w:rsidRDefault="00A6696B" w:rsidP="00A6696B">
      <w:pPr>
        <w:suppressAutoHyphens w:val="0"/>
        <w:spacing w:before="120" w:after="120" w:line="240" w:lineRule="auto"/>
        <w:ind w:left="1134" w:right="1134"/>
        <w:rPr>
          <w:lang w:val="ru-RU"/>
        </w:rPr>
      </w:pPr>
      <w:r w:rsidRPr="00DF0776">
        <w:rPr>
          <w:lang w:val="ru-RU"/>
        </w:rPr>
        <w:t>Тропический какаду – это крупный попугай? /ты не злословишь?</w:t>
      </w:r>
    </w:p>
    <w:p w:rsidR="00A6696B" w:rsidRPr="00DF0776" w:rsidRDefault="00A6696B" w:rsidP="00A6696B">
      <w:pPr>
        <w:suppressAutoHyphens w:val="0"/>
        <w:spacing w:before="120" w:after="120" w:line="240" w:lineRule="auto"/>
        <w:ind w:left="1134" w:right="1134"/>
        <w:rPr>
          <w:lang w:val="ru-RU"/>
        </w:rPr>
      </w:pPr>
      <w:proofErr w:type="spellStart"/>
      <w:r w:rsidRPr="00E07570">
        <w:t>Tropichesky</w:t>
      </w:r>
      <w:proofErr w:type="spellEnd"/>
      <w:r w:rsidRPr="00DF0776">
        <w:rPr>
          <w:lang w:val="ru-RU"/>
        </w:rPr>
        <w:t xml:space="preserve"> </w:t>
      </w:r>
      <w:proofErr w:type="spellStart"/>
      <w:r w:rsidRPr="00E07570">
        <w:t>kakadu</w:t>
      </w:r>
      <w:proofErr w:type="spellEnd"/>
      <w:r w:rsidRPr="00DF0776">
        <w:rPr>
          <w:lang w:val="ru-RU"/>
        </w:rPr>
        <w:t xml:space="preserve"> – </w:t>
      </w:r>
      <w:proofErr w:type="spellStart"/>
      <w:r w:rsidRPr="00E07570">
        <w:t>eto</w:t>
      </w:r>
      <w:proofErr w:type="spellEnd"/>
      <w:r w:rsidRPr="00DF0776">
        <w:rPr>
          <w:lang w:val="ru-RU"/>
        </w:rPr>
        <w:t xml:space="preserve"> </w:t>
      </w:r>
      <w:proofErr w:type="spellStart"/>
      <w:r w:rsidRPr="00E07570">
        <w:t>krupnyj</w:t>
      </w:r>
      <w:proofErr w:type="spellEnd"/>
      <w:r w:rsidRPr="00DF0776">
        <w:rPr>
          <w:lang w:val="ru-RU"/>
        </w:rPr>
        <w:t xml:space="preserve"> </w:t>
      </w:r>
      <w:proofErr w:type="spellStart"/>
      <w:r w:rsidRPr="00E07570">
        <w:t>popugaj</w:t>
      </w:r>
      <w:proofErr w:type="spellEnd"/>
      <w:r w:rsidRPr="00DF0776">
        <w:rPr>
          <w:lang w:val="ru-RU"/>
        </w:rPr>
        <w:t>? /</w:t>
      </w:r>
      <w:proofErr w:type="spellStart"/>
      <w:r w:rsidRPr="00E07570">
        <w:t>ty</w:t>
      </w:r>
      <w:proofErr w:type="spellEnd"/>
      <w:r w:rsidRPr="00DF0776">
        <w:rPr>
          <w:lang w:val="ru-RU"/>
        </w:rPr>
        <w:t xml:space="preserve"> </w:t>
      </w:r>
      <w:r w:rsidRPr="00E07570">
        <w:t>ne</w:t>
      </w:r>
      <w:r w:rsidRPr="00DF0776">
        <w:rPr>
          <w:lang w:val="ru-RU"/>
        </w:rPr>
        <w:t xml:space="preserve"> </w:t>
      </w:r>
      <w:proofErr w:type="spellStart"/>
      <w:r w:rsidRPr="00E07570">
        <w:t>zloslovish</w:t>
      </w:r>
      <w:proofErr w:type="spellEnd"/>
      <w:r w:rsidR="00145E4B" w:rsidRPr="00DF0776">
        <w:rPr>
          <w:lang w:val="ru-RU"/>
        </w:rPr>
        <w:t>’</w:t>
      </w:r>
      <w:r w:rsidRPr="00DF0776">
        <w:rPr>
          <w:lang w:val="ru-RU"/>
        </w:rPr>
        <w:t>?</w:t>
      </w:r>
    </w:p>
    <w:p w:rsidR="00A6696B" w:rsidRPr="00DF0776" w:rsidRDefault="00A6696B" w:rsidP="00A6696B">
      <w:pPr>
        <w:suppressAutoHyphens w:val="0"/>
        <w:spacing w:before="120" w:after="120" w:line="240" w:lineRule="auto"/>
        <w:ind w:left="1134" w:right="1134"/>
        <w:rPr>
          <w:lang w:val="ru-RU"/>
        </w:rPr>
      </w:pPr>
      <w:r w:rsidRPr="00E07570">
        <w:rPr>
          <w:i/>
          <w:iCs/>
        </w:rPr>
        <w:t>Homme</w:t>
      </w:r>
      <w:r w:rsidRPr="00DF0776">
        <w:rPr>
          <w:i/>
          <w:iCs/>
          <w:lang w:val="ru-RU"/>
        </w:rPr>
        <w:t xml:space="preserve"> 1</w:t>
      </w:r>
      <w:r w:rsidRPr="00E07570">
        <w:rPr>
          <w:i/>
          <w:iCs/>
        </w:rPr>
        <w:t> </w:t>
      </w:r>
      <w:r w:rsidRPr="00DF0776">
        <w:rPr>
          <w:iCs/>
          <w:lang w:val="ru-RU"/>
        </w:rPr>
        <w:t>:</w:t>
      </w:r>
    </w:p>
    <w:p w:rsidR="00A6696B" w:rsidRPr="00DF0776" w:rsidRDefault="00A6696B" w:rsidP="00A6696B">
      <w:pPr>
        <w:suppressAutoHyphens w:val="0"/>
        <w:spacing w:before="120" w:after="120" w:line="240" w:lineRule="auto"/>
        <w:ind w:left="1134" w:right="1134"/>
        <w:rPr>
          <w:lang w:val="ru-RU"/>
        </w:rPr>
      </w:pPr>
      <w:r w:rsidRPr="00DF0776">
        <w:rPr>
          <w:lang w:val="ru-RU"/>
        </w:rPr>
        <w:t>Актеры и актрисы драматического театра /часто покупают в этой аптеке антибиотики.</w:t>
      </w:r>
    </w:p>
    <w:p w:rsidR="00A6696B" w:rsidRPr="00DF0776" w:rsidRDefault="00A6696B" w:rsidP="00A6696B">
      <w:pPr>
        <w:suppressAutoHyphens w:val="0"/>
        <w:spacing w:before="120" w:after="120" w:line="240" w:lineRule="auto"/>
        <w:ind w:left="1134" w:right="1134"/>
        <w:rPr>
          <w:lang w:val="en-GB"/>
        </w:rPr>
      </w:pPr>
      <w:proofErr w:type="gramStart"/>
      <w:r w:rsidRPr="00DF0776">
        <w:rPr>
          <w:lang w:val="en-GB"/>
        </w:rPr>
        <w:t>Aktery I aktrisy dramaticheskogo teatra /chasto pokupayut v etoj apteke ant</w:t>
      </w:r>
      <w:r w:rsidR="00A22689" w:rsidRPr="00DF0776">
        <w:rPr>
          <w:b/>
          <w:lang w:val="en-GB"/>
        </w:rPr>
        <w:t>Ib</w:t>
      </w:r>
      <w:r w:rsidRPr="00DF0776">
        <w:rPr>
          <w:lang w:val="en-GB"/>
        </w:rPr>
        <w:t>iotiki.</w:t>
      </w:r>
      <w:proofErr w:type="gramEnd"/>
    </w:p>
    <w:p w:rsidR="00A6696B" w:rsidRPr="00DF0776" w:rsidRDefault="00A6696B" w:rsidP="00A6696B">
      <w:pPr>
        <w:suppressAutoHyphens w:val="0"/>
        <w:spacing w:before="120" w:after="120" w:line="240" w:lineRule="auto"/>
        <w:ind w:left="1134" w:right="1134"/>
        <w:rPr>
          <w:lang w:val="ru-RU"/>
        </w:rPr>
      </w:pPr>
      <w:r w:rsidRPr="00DF0776">
        <w:rPr>
          <w:lang w:val="ru-RU"/>
        </w:rPr>
        <w:t>Нам с вами сидеть и обсуждать эти слухи некогда!</w:t>
      </w:r>
    </w:p>
    <w:p w:rsidR="00A6696B" w:rsidRPr="00DF0776" w:rsidRDefault="00A6696B" w:rsidP="00A6696B">
      <w:pPr>
        <w:suppressAutoHyphens w:val="0"/>
        <w:spacing w:before="120" w:after="120" w:line="240" w:lineRule="auto"/>
        <w:ind w:left="1134" w:right="1134"/>
        <w:rPr>
          <w:lang w:val="en-GB"/>
        </w:rPr>
      </w:pPr>
      <w:r w:rsidRPr="00DF0776">
        <w:rPr>
          <w:lang w:val="en-GB"/>
        </w:rPr>
        <w:t>Nam s vami sidet</w:t>
      </w:r>
      <w:r w:rsidR="00145E4B" w:rsidRPr="00DF0776">
        <w:rPr>
          <w:lang w:val="en-GB"/>
        </w:rPr>
        <w:t>’</w:t>
      </w:r>
      <w:r w:rsidRPr="00DF0776">
        <w:rPr>
          <w:lang w:val="en-GB"/>
        </w:rPr>
        <w:t xml:space="preserve"> I obsuzhdat</w:t>
      </w:r>
      <w:r w:rsidR="00145E4B" w:rsidRPr="00DF0776">
        <w:rPr>
          <w:lang w:val="en-GB"/>
        </w:rPr>
        <w:t>’</w:t>
      </w:r>
      <w:r w:rsidRPr="00DF0776">
        <w:rPr>
          <w:lang w:val="en-GB"/>
        </w:rPr>
        <w:t xml:space="preserve"> eti sluhi nekogda</w:t>
      </w:r>
    </w:p>
    <w:p w:rsidR="00A6696B" w:rsidRPr="00DF0776" w:rsidRDefault="00A6696B" w:rsidP="00A6696B">
      <w:pPr>
        <w:suppressAutoHyphens w:val="0"/>
        <w:spacing w:before="120" w:after="120" w:line="240" w:lineRule="auto"/>
        <w:ind w:left="1134" w:right="1134"/>
        <w:rPr>
          <w:lang w:val="ru-RU"/>
        </w:rPr>
      </w:pPr>
      <w:r w:rsidRPr="00E07570">
        <w:rPr>
          <w:i/>
          <w:iCs/>
        </w:rPr>
        <w:t>Homme</w:t>
      </w:r>
      <w:r w:rsidRPr="00DF0776">
        <w:rPr>
          <w:i/>
          <w:iCs/>
          <w:lang w:val="ru-RU"/>
        </w:rPr>
        <w:t xml:space="preserve"> 2</w:t>
      </w:r>
      <w:r w:rsidRPr="00E07570">
        <w:rPr>
          <w:i/>
          <w:iCs/>
        </w:rPr>
        <w:t> </w:t>
      </w:r>
      <w:r w:rsidRPr="00DF0776">
        <w:rPr>
          <w:iCs/>
          <w:lang w:val="ru-RU"/>
        </w:rPr>
        <w:t>:</w:t>
      </w:r>
    </w:p>
    <w:p w:rsidR="00A6696B" w:rsidRPr="00DF0776" w:rsidRDefault="00A6696B" w:rsidP="00A6696B">
      <w:pPr>
        <w:suppressAutoHyphens w:val="0"/>
        <w:spacing w:before="120" w:after="120" w:line="240" w:lineRule="auto"/>
        <w:ind w:left="1134" w:right="1134"/>
        <w:rPr>
          <w:lang w:val="ru-RU"/>
        </w:rPr>
      </w:pPr>
      <w:r w:rsidRPr="00DF0776">
        <w:rPr>
          <w:lang w:val="ru-RU"/>
        </w:rPr>
        <w:t>Так ты считаешь, что техникой мы обеспечены на весь сезон?</w:t>
      </w:r>
    </w:p>
    <w:p w:rsidR="00A6696B" w:rsidRPr="00DF0776" w:rsidRDefault="00A6696B" w:rsidP="00A6696B">
      <w:pPr>
        <w:suppressAutoHyphens w:val="0"/>
        <w:spacing w:before="120" w:after="120" w:line="240" w:lineRule="auto"/>
        <w:ind w:left="1134" w:right="1134"/>
        <w:rPr>
          <w:lang w:val="en-GB"/>
        </w:rPr>
      </w:pPr>
      <w:r w:rsidRPr="00DF0776">
        <w:rPr>
          <w:lang w:val="en-GB"/>
        </w:rPr>
        <w:t xml:space="preserve">Tak ty schitaesh, shto tehnikoj my obespecheny </w:t>
      </w:r>
      <w:proofErr w:type="gramStart"/>
      <w:r w:rsidRPr="00DF0776">
        <w:rPr>
          <w:lang w:val="en-GB"/>
        </w:rPr>
        <w:t>na</w:t>
      </w:r>
      <w:proofErr w:type="gramEnd"/>
      <w:r w:rsidRPr="00DF0776">
        <w:rPr>
          <w:lang w:val="en-GB"/>
        </w:rPr>
        <w:t xml:space="preserve"> ves</w:t>
      </w:r>
      <w:r w:rsidR="00145E4B" w:rsidRPr="00DF0776">
        <w:rPr>
          <w:lang w:val="en-GB"/>
        </w:rPr>
        <w:t>’</w:t>
      </w:r>
      <w:r w:rsidRPr="00DF0776">
        <w:rPr>
          <w:lang w:val="en-GB"/>
        </w:rPr>
        <w:t xml:space="preserve"> sezon?</w:t>
      </w:r>
    </w:p>
    <w:p w:rsidR="00A6696B" w:rsidRPr="00DF0776" w:rsidRDefault="00A6696B" w:rsidP="00A6696B">
      <w:pPr>
        <w:suppressAutoHyphens w:val="0"/>
        <w:spacing w:before="120" w:after="120" w:line="240" w:lineRule="auto"/>
        <w:ind w:left="1134" w:right="1134"/>
        <w:rPr>
          <w:lang w:val="ru-RU"/>
        </w:rPr>
      </w:pPr>
      <w:r w:rsidRPr="00DF0776">
        <w:rPr>
          <w:lang w:val="ru-RU"/>
        </w:rPr>
        <w:t>Раз. Эти жирные сазаны ушли под палубу.</w:t>
      </w:r>
    </w:p>
    <w:p w:rsidR="00A6696B" w:rsidRPr="00DF0776" w:rsidRDefault="00A6696B" w:rsidP="00A6696B">
      <w:pPr>
        <w:suppressAutoHyphens w:val="0"/>
        <w:spacing w:before="120" w:after="240" w:line="240" w:lineRule="auto"/>
        <w:ind w:left="1134" w:right="1134"/>
        <w:rPr>
          <w:lang w:val="ru-RU"/>
        </w:rPr>
      </w:pPr>
      <w:r w:rsidRPr="00E07570">
        <w:t>Raz</w:t>
      </w:r>
      <w:r w:rsidRPr="00DF0776">
        <w:rPr>
          <w:lang w:val="ru-RU"/>
        </w:rPr>
        <w:t xml:space="preserve">. </w:t>
      </w:r>
      <w:proofErr w:type="spellStart"/>
      <w:r w:rsidRPr="00E07570">
        <w:t>Eti</w:t>
      </w:r>
      <w:proofErr w:type="spellEnd"/>
      <w:r w:rsidRPr="00DF0776">
        <w:rPr>
          <w:lang w:val="ru-RU"/>
        </w:rPr>
        <w:t xml:space="preserve"> </w:t>
      </w:r>
      <w:proofErr w:type="spellStart"/>
      <w:r w:rsidRPr="00E07570">
        <w:t>zhirnye</w:t>
      </w:r>
      <w:proofErr w:type="spellEnd"/>
      <w:r w:rsidRPr="00DF0776">
        <w:rPr>
          <w:lang w:val="ru-RU"/>
        </w:rPr>
        <w:t xml:space="preserve"> </w:t>
      </w:r>
      <w:proofErr w:type="spellStart"/>
      <w:r w:rsidRPr="00E07570">
        <w:t>sazany</w:t>
      </w:r>
      <w:proofErr w:type="spellEnd"/>
      <w:r w:rsidRPr="00DF0776">
        <w:rPr>
          <w:lang w:val="ru-RU"/>
        </w:rPr>
        <w:t xml:space="preserve"> </w:t>
      </w:r>
      <w:proofErr w:type="spellStart"/>
      <w:r w:rsidRPr="00E07570">
        <w:t>ushli</w:t>
      </w:r>
      <w:proofErr w:type="spellEnd"/>
      <w:r w:rsidRPr="00DF0776">
        <w:rPr>
          <w:lang w:val="ru-RU"/>
        </w:rPr>
        <w:t xml:space="preserve"> </w:t>
      </w:r>
      <w:proofErr w:type="spellStart"/>
      <w:r w:rsidRPr="00E07570">
        <w:t>pod</w:t>
      </w:r>
      <w:proofErr w:type="spellEnd"/>
      <w:r w:rsidRPr="00DF0776">
        <w:rPr>
          <w:lang w:val="ru-RU"/>
        </w:rPr>
        <w:t xml:space="preserve"> </w:t>
      </w:r>
      <w:proofErr w:type="spellStart"/>
      <w:r w:rsidRPr="00E07570">
        <w:t>palubu</w:t>
      </w:r>
      <w:proofErr w:type="spellEnd"/>
      <w:r w:rsidRPr="00DF0776">
        <w:rPr>
          <w:lang w:val="ru-RU"/>
        </w:rPr>
        <w:t>.</w:t>
      </w:r>
    </w:p>
    <w:p w:rsidR="00A6696B" w:rsidRPr="00E07570" w:rsidRDefault="00A6696B" w:rsidP="00A6696B">
      <w:pPr>
        <w:suppressAutoHyphens w:val="0"/>
        <w:spacing w:before="240" w:after="120" w:line="240" w:lineRule="auto"/>
        <w:ind w:left="1134" w:right="1134"/>
        <w:jc w:val="center"/>
        <w:outlineLvl w:val="2"/>
      </w:pPr>
      <w:r w:rsidRPr="00E07570">
        <w:t>Coréen</w:t>
      </w:r>
    </w:p>
    <w:p w:rsidR="00A6696B" w:rsidRPr="00E07570" w:rsidRDefault="00A6696B" w:rsidP="00A6696B">
      <w:pPr>
        <w:suppressAutoHyphens w:val="0"/>
        <w:spacing w:before="120" w:after="120" w:line="240" w:lineRule="auto"/>
        <w:ind w:left="1134" w:right="1134"/>
        <w:rPr>
          <w:i/>
          <w:iCs/>
        </w:rPr>
      </w:pPr>
      <w:r w:rsidRPr="00E07570">
        <w:rPr>
          <w:i/>
          <w:iCs/>
        </w:rPr>
        <w:t>Femme 1 </w:t>
      </w:r>
      <w:r w:rsidRPr="00E07570">
        <w:rPr>
          <w:iCs/>
        </w:rPr>
        <w:t>:</w:t>
      </w:r>
    </w:p>
    <w:p w:rsidR="00A6696B" w:rsidRPr="00E07570" w:rsidRDefault="00A6696B" w:rsidP="00A6696B">
      <w:pPr>
        <w:suppressAutoHyphens w:val="0"/>
        <w:spacing w:before="120" w:after="120" w:line="240" w:lineRule="auto"/>
        <w:ind w:left="1134" w:right="1134"/>
      </w:pPr>
      <w:proofErr w:type="spellStart"/>
      <w:proofErr w:type="gramStart"/>
      <w:r w:rsidRPr="00E07570">
        <w:rPr>
          <w:rFonts w:eastAsia="Malgun Gothic"/>
        </w:rPr>
        <w:t>어린이는</w:t>
      </w:r>
      <w:proofErr w:type="spellEnd"/>
      <w:r w:rsidRPr="00E07570">
        <w:t xml:space="preserve"> </w:t>
      </w:r>
      <w:proofErr w:type="spellStart"/>
      <w:r w:rsidRPr="00E07570">
        <w:rPr>
          <w:rFonts w:eastAsia="Malgun Gothic"/>
        </w:rPr>
        <w:t>세상의</w:t>
      </w:r>
      <w:proofErr w:type="spellEnd"/>
      <w:r w:rsidRPr="00E07570">
        <w:t xml:space="preserve"> </w:t>
      </w:r>
      <w:proofErr w:type="spellStart"/>
      <w:r w:rsidRPr="00E07570">
        <w:rPr>
          <w:rFonts w:eastAsia="Malgun Gothic"/>
        </w:rPr>
        <w:t>미래입니다</w:t>
      </w:r>
      <w:proofErr w:type="spellEnd"/>
      <w:r w:rsidRPr="00E07570">
        <w:t>.</w:t>
      </w:r>
      <w:proofErr w:type="gramEnd"/>
    </w:p>
    <w:p w:rsidR="00A6696B" w:rsidRPr="00E07570" w:rsidRDefault="00A6696B" w:rsidP="00A6696B">
      <w:pPr>
        <w:suppressAutoHyphens w:val="0"/>
        <w:spacing w:before="120" w:after="120" w:line="240" w:lineRule="auto"/>
        <w:ind w:left="1134" w:right="1134"/>
      </w:pPr>
      <w:proofErr w:type="spellStart"/>
      <w:r w:rsidRPr="00E07570">
        <w:t>Eorini</w:t>
      </w:r>
      <w:proofErr w:type="spellEnd"/>
      <w:r w:rsidRPr="00E07570">
        <w:t xml:space="preserve"> </w:t>
      </w:r>
      <w:proofErr w:type="spellStart"/>
      <w:r w:rsidRPr="00E07570">
        <w:t>neun</w:t>
      </w:r>
      <w:proofErr w:type="spellEnd"/>
      <w:r w:rsidRPr="00E07570">
        <w:t xml:space="preserve"> </w:t>
      </w:r>
      <w:proofErr w:type="spellStart"/>
      <w:r w:rsidRPr="00E07570">
        <w:t>sesang</w:t>
      </w:r>
      <w:proofErr w:type="spellEnd"/>
      <w:r w:rsidRPr="00E07570">
        <w:t xml:space="preserve"> </w:t>
      </w:r>
      <w:proofErr w:type="spellStart"/>
      <w:r w:rsidRPr="00E07570">
        <w:t>ui</w:t>
      </w:r>
      <w:proofErr w:type="spellEnd"/>
      <w:r w:rsidRPr="00E07570">
        <w:t xml:space="preserve"> </w:t>
      </w:r>
      <w:proofErr w:type="spellStart"/>
      <w:r w:rsidRPr="00E07570">
        <w:t>mirae</w:t>
      </w:r>
      <w:proofErr w:type="spellEnd"/>
      <w:r w:rsidRPr="00E07570">
        <w:t xml:space="preserve"> </w:t>
      </w:r>
      <w:proofErr w:type="spellStart"/>
      <w:r w:rsidRPr="00E07570">
        <w:t>ipnida</w:t>
      </w:r>
      <w:proofErr w:type="spellEnd"/>
    </w:p>
    <w:p w:rsidR="00A6696B" w:rsidRPr="00E07570" w:rsidRDefault="00A6696B" w:rsidP="00A6696B">
      <w:pPr>
        <w:suppressAutoHyphens w:val="0"/>
        <w:spacing w:before="120" w:after="120" w:line="240" w:lineRule="auto"/>
        <w:ind w:left="1134" w:right="1134"/>
      </w:pPr>
      <w:proofErr w:type="spellStart"/>
      <w:proofErr w:type="gramStart"/>
      <w:r w:rsidRPr="00E07570">
        <w:rPr>
          <w:rFonts w:eastAsia="Malgun Gothic"/>
        </w:rPr>
        <w:t>우리의</w:t>
      </w:r>
      <w:proofErr w:type="spellEnd"/>
      <w:r w:rsidRPr="00E07570">
        <w:t xml:space="preserve"> </w:t>
      </w:r>
      <w:proofErr w:type="spellStart"/>
      <w:r w:rsidRPr="00E07570">
        <w:rPr>
          <w:rFonts w:eastAsia="Malgun Gothic"/>
        </w:rPr>
        <w:t>얼굴은</w:t>
      </w:r>
      <w:proofErr w:type="spellEnd"/>
      <w:r w:rsidRPr="00E07570">
        <w:t xml:space="preserve"> </w:t>
      </w:r>
      <w:proofErr w:type="spellStart"/>
      <w:r w:rsidRPr="00E07570">
        <w:rPr>
          <w:rFonts w:eastAsia="Malgun Gothic"/>
        </w:rPr>
        <w:t>남의</w:t>
      </w:r>
      <w:proofErr w:type="spellEnd"/>
      <w:r w:rsidRPr="00E07570">
        <w:t xml:space="preserve"> </w:t>
      </w:r>
      <w:proofErr w:type="spellStart"/>
      <w:r w:rsidRPr="00E07570">
        <w:rPr>
          <w:rFonts w:eastAsia="Malgun Gothic"/>
        </w:rPr>
        <w:t>것입니다</w:t>
      </w:r>
      <w:proofErr w:type="spellEnd"/>
      <w:r w:rsidRPr="00E07570">
        <w:t>.</w:t>
      </w:r>
      <w:proofErr w:type="gramEnd"/>
    </w:p>
    <w:p w:rsidR="00A6696B" w:rsidRPr="00E07570" w:rsidRDefault="00A6696B" w:rsidP="00A6696B">
      <w:pPr>
        <w:suppressAutoHyphens w:val="0"/>
        <w:spacing w:before="120" w:after="120" w:line="240" w:lineRule="auto"/>
        <w:ind w:left="1134" w:right="1134"/>
      </w:pPr>
      <w:r w:rsidRPr="00E07570">
        <w:t xml:space="preserve">Uri </w:t>
      </w:r>
      <w:proofErr w:type="spellStart"/>
      <w:r w:rsidRPr="00E07570">
        <w:t>ui</w:t>
      </w:r>
      <w:proofErr w:type="spellEnd"/>
      <w:r w:rsidRPr="00E07570">
        <w:t xml:space="preserve"> </w:t>
      </w:r>
      <w:proofErr w:type="spellStart"/>
      <w:r w:rsidRPr="00E07570">
        <w:t>eolgul</w:t>
      </w:r>
      <w:proofErr w:type="spellEnd"/>
      <w:r w:rsidRPr="00E07570">
        <w:t xml:space="preserve"> </w:t>
      </w:r>
      <w:proofErr w:type="spellStart"/>
      <w:r w:rsidRPr="00E07570">
        <w:t>eun</w:t>
      </w:r>
      <w:proofErr w:type="spellEnd"/>
      <w:r w:rsidRPr="00E07570">
        <w:t xml:space="preserve"> </w:t>
      </w:r>
      <w:proofErr w:type="spellStart"/>
      <w:r w:rsidRPr="00E07570">
        <w:t>nam</w:t>
      </w:r>
      <w:proofErr w:type="spellEnd"/>
      <w:r w:rsidRPr="00E07570">
        <w:t xml:space="preserve"> </w:t>
      </w:r>
      <w:proofErr w:type="spellStart"/>
      <w:r w:rsidRPr="00E07570">
        <w:t>ui</w:t>
      </w:r>
      <w:proofErr w:type="spellEnd"/>
      <w:r w:rsidRPr="00E07570">
        <w:t xml:space="preserve"> </w:t>
      </w:r>
      <w:proofErr w:type="spellStart"/>
      <w:r w:rsidRPr="00E07570">
        <w:t>geo</w:t>
      </w:r>
      <w:proofErr w:type="spellEnd"/>
      <w:r w:rsidRPr="00E07570">
        <w:t xml:space="preserve"> </w:t>
      </w:r>
      <w:proofErr w:type="spellStart"/>
      <w:r w:rsidRPr="00E07570">
        <w:t>ipnida</w:t>
      </w:r>
      <w:proofErr w:type="spellEnd"/>
      <w:r w:rsidRPr="00E07570">
        <w:t xml:space="preserve"> </w:t>
      </w:r>
    </w:p>
    <w:p w:rsidR="00A6696B" w:rsidRPr="00E07570" w:rsidRDefault="00A6696B" w:rsidP="00A6696B">
      <w:pPr>
        <w:keepNext/>
        <w:suppressAutoHyphens w:val="0"/>
        <w:spacing w:before="120" w:after="120" w:line="240" w:lineRule="auto"/>
        <w:ind w:left="1134" w:right="1134"/>
        <w:rPr>
          <w:i/>
          <w:iCs/>
        </w:rPr>
      </w:pPr>
      <w:r w:rsidRPr="00E07570">
        <w:rPr>
          <w:i/>
          <w:iCs/>
        </w:rPr>
        <w:t>Femme 2 </w:t>
      </w:r>
      <w:r w:rsidRPr="00E07570">
        <w:rPr>
          <w:iCs/>
        </w:rPr>
        <w:t>:</w:t>
      </w:r>
    </w:p>
    <w:p w:rsidR="00A6696B" w:rsidRPr="00E07570" w:rsidRDefault="00A6696B" w:rsidP="00A6696B">
      <w:pPr>
        <w:suppressAutoHyphens w:val="0"/>
        <w:spacing w:before="120" w:after="120" w:line="240" w:lineRule="auto"/>
        <w:ind w:left="1134" w:right="1134"/>
      </w:pPr>
      <w:proofErr w:type="spellStart"/>
      <w:proofErr w:type="gramStart"/>
      <w:r w:rsidRPr="00E07570">
        <w:rPr>
          <w:rFonts w:eastAsia="Malgun Gothic"/>
        </w:rPr>
        <w:t>독서는</w:t>
      </w:r>
      <w:proofErr w:type="spellEnd"/>
      <w:r w:rsidRPr="00E07570">
        <w:t xml:space="preserve"> </w:t>
      </w:r>
      <w:proofErr w:type="spellStart"/>
      <w:r w:rsidRPr="00E07570">
        <w:rPr>
          <w:rFonts w:eastAsia="Malgun Gothic"/>
        </w:rPr>
        <w:t>마음의</w:t>
      </w:r>
      <w:proofErr w:type="spellEnd"/>
      <w:r w:rsidRPr="00E07570">
        <w:t xml:space="preserve"> </w:t>
      </w:r>
      <w:proofErr w:type="spellStart"/>
      <w:r w:rsidRPr="00E07570">
        <w:rPr>
          <w:rFonts w:eastAsia="Malgun Gothic"/>
        </w:rPr>
        <w:t>양식입니다</w:t>
      </w:r>
      <w:proofErr w:type="spellEnd"/>
      <w:r w:rsidRPr="00E07570">
        <w:t>.</w:t>
      </w:r>
      <w:proofErr w:type="gramEnd"/>
    </w:p>
    <w:p w:rsidR="00A6696B" w:rsidRPr="00E07570" w:rsidRDefault="00A6696B" w:rsidP="00A6696B">
      <w:pPr>
        <w:suppressAutoHyphens w:val="0"/>
        <w:spacing w:before="120" w:after="120" w:line="240" w:lineRule="auto"/>
        <w:ind w:left="1134" w:right="1134"/>
      </w:pPr>
      <w:proofErr w:type="spellStart"/>
      <w:r w:rsidRPr="00E07570">
        <w:t>Dokseo</w:t>
      </w:r>
      <w:proofErr w:type="spellEnd"/>
      <w:r w:rsidRPr="00E07570">
        <w:t xml:space="preserve"> </w:t>
      </w:r>
      <w:proofErr w:type="spellStart"/>
      <w:r w:rsidRPr="00E07570">
        <w:t>neun</w:t>
      </w:r>
      <w:proofErr w:type="spellEnd"/>
      <w:r w:rsidRPr="00E07570">
        <w:t xml:space="preserve"> </w:t>
      </w:r>
      <w:proofErr w:type="spellStart"/>
      <w:r w:rsidRPr="00E07570">
        <w:t>maeum</w:t>
      </w:r>
      <w:proofErr w:type="spellEnd"/>
      <w:r w:rsidRPr="00E07570">
        <w:t xml:space="preserve"> </w:t>
      </w:r>
      <w:proofErr w:type="spellStart"/>
      <w:r w:rsidRPr="00E07570">
        <w:t>neun</w:t>
      </w:r>
      <w:proofErr w:type="spellEnd"/>
      <w:r w:rsidRPr="00E07570">
        <w:t xml:space="preserve"> </w:t>
      </w:r>
      <w:proofErr w:type="spellStart"/>
      <w:r w:rsidRPr="00E07570">
        <w:t>yangsik</w:t>
      </w:r>
      <w:proofErr w:type="spellEnd"/>
      <w:r w:rsidRPr="00E07570">
        <w:t xml:space="preserve"> </w:t>
      </w:r>
      <w:proofErr w:type="spellStart"/>
      <w:r w:rsidRPr="00E07570">
        <w:t>ipnida</w:t>
      </w:r>
      <w:proofErr w:type="spellEnd"/>
    </w:p>
    <w:p w:rsidR="00A6696B" w:rsidRPr="00E07570" w:rsidRDefault="00A6696B" w:rsidP="00A6696B">
      <w:pPr>
        <w:suppressAutoHyphens w:val="0"/>
        <w:spacing w:before="120" w:after="120" w:line="240" w:lineRule="auto"/>
        <w:ind w:left="1134" w:right="1134"/>
      </w:pPr>
      <w:proofErr w:type="spellStart"/>
      <w:proofErr w:type="gramStart"/>
      <w:r w:rsidRPr="00E07570">
        <w:rPr>
          <w:rFonts w:eastAsia="Malgun Gothic"/>
        </w:rPr>
        <w:t>인간의</w:t>
      </w:r>
      <w:proofErr w:type="spellEnd"/>
      <w:r w:rsidRPr="00E07570">
        <w:t xml:space="preserve"> </w:t>
      </w:r>
      <w:proofErr w:type="spellStart"/>
      <w:r w:rsidRPr="00E07570">
        <w:rPr>
          <w:rFonts w:eastAsia="Malgun Gothic"/>
        </w:rPr>
        <w:t>가치는</w:t>
      </w:r>
      <w:proofErr w:type="spellEnd"/>
      <w:r w:rsidRPr="00E07570">
        <w:t xml:space="preserve"> </w:t>
      </w:r>
      <w:proofErr w:type="spellStart"/>
      <w:r w:rsidRPr="00E07570">
        <w:rPr>
          <w:rFonts w:eastAsia="Malgun Gothic"/>
        </w:rPr>
        <w:t>지식을</w:t>
      </w:r>
      <w:proofErr w:type="spellEnd"/>
      <w:r w:rsidRPr="00E07570">
        <w:t xml:space="preserve"> </w:t>
      </w:r>
      <w:proofErr w:type="spellStart"/>
      <w:r w:rsidRPr="00E07570">
        <w:rPr>
          <w:rFonts w:eastAsia="Malgun Gothic"/>
        </w:rPr>
        <w:t>어떻게</w:t>
      </w:r>
      <w:proofErr w:type="spellEnd"/>
      <w:r w:rsidRPr="00E07570">
        <w:t xml:space="preserve"> </w:t>
      </w:r>
      <w:proofErr w:type="spellStart"/>
      <w:r w:rsidRPr="00E07570">
        <w:rPr>
          <w:rFonts w:eastAsia="Malgun Gothic"/>
        </w:rPr>
        <w:t>활용</w:t>
      </w:r>
      <w:proofErr w:type="spellEnd"/>
      <w:r w:rsidRPr="00E07570">
        <w:t xml:space="preserve"> </w:t>
      </w:r>
      <w:proofErr w:type="spellStart"/>
      <w:r w:rsidRPr="00E07570">
        <w:rPr>
          <w:rFonts w:eastAsia="Malgun Gothic"/>
        </w:rPr>
        <w:t>하느냐에</w:t>
      </w:r>
      <w:proofErr w:type="spellEnd"/>
      <w:r w:rsidRPr="00E07570">
        <w:t xml:space="preserve"> </w:t>
      </w:r>
      <w:proofErr w:type="spellStart"/>
      <w:r w:rsidRPr="00E07570">
        <w:rPr>
          <w:rFonts w:eastAsia="Malgun Gothic"/>
        </w:rPr>
        <w:t>따라</w:t>
      </w:r>
      <w:proofErr w:type="spellEnd"/>
      <w:r w:rsidRPr="00E07570">
        <w:t xml:space="preserve"> </w:t>
      </w:r>
      <w:proofErr w:type="spellStart"/>
      <w:r w:rsidRPr="00E07570">
        <w:rPr>
          <w:rFonts w:eastAsia="Malgun Gothic"/>
        </w:rPr>
        <w:t>달라집니다</w:t>
      </w:r>
      <w:proofErr w:type="spellEnd"/>
      <w:r w:rsidRPr="00E07570">
        <w:t>.</w:t>
      </w:r>
      <w:proofErr w:type="gramEnd"/>
    </w:p>
    <w:p w:rsidR="00A6696B" w:rsidRPr="00E07570" w:rsidRDefault="00A6696B" w:rsidP="00A6696B">
      <w:pPr>
        <w:suppressAutoHyphens w:val="0"/>
        <w:spacing w:before="120" w:after="120" w:line="240" w:lineRule="auto"/>
        <w:ind w:left="1134" w:right="1134"/>
        <w:rPr>
          <w:i/>
          <w:iCs/>
        </w:rPr>
      </w:pPr>
      <w:proofErr w:type="spellStart"/>
      <w:r w:rsidRPr="00E07570">
        <w:t>Ingan</w:t>
      </w:r>
      <w:proofErr w:type="spellEnd"/>
      <w:r w:rsidRPr="00E07570">
        <w:t xml:space="preserve"> </w:t>
      </w:r>
      <w:proofErr w:type="spellStart"/>
      <w:r w:rsidRPr="00E07570">
        <w:t>ui</w:t>
      </w:r>
      <w:proofErr w:type="spellEnd"/>
      <w:r w:rsidRPr="00E07570">
        <w:t xml:space="preserve"> </w:t>
      </w:r>
      <w:proofErr w:type="spellStart"/>
      <w:r w:rsidRPr="00E07570">
        <w:t>gachi</w:t>
      </w:r>
      <w:proofErr w:type="spellEnd"/>
      <w:r w:rsidRPr="00E07570">
        <w:t xml:space="preserve"> </w:t>
      </w:r>
      <w:proofErr w:type="spellStart"/>
      <w:r w:rsidRPr="00E07570">
        <w:t>neun</w:t>
      </w:r>
      <w:proofErr w:type="spellEnd"/>
      <w:r w:rsidRPr="00E07570">
        <w:t xml:space="preserve"> </w:t>
      </w:r>
      <w:proofErr w:type="spellStart"/>
      <w:r w:rsidRPr="00E07570">
        <w:t>jisik</w:t>
      </w:r>
      <w:proofErr w:type="spellEnd"/>
      <w:r w:rsidRPr="00E07570">
        <w:t xml:space="preserve"> </w:t>
      </w:r>
      <w:proofErr w:type="spellStart"/>
      <w:r w:rsidRPr="00E07570">
        <w:t>eul</w:t>
      </w:r>
      <w:proofErr w:type="spellEnd"/>
      <w:r w:rsidRPr="00E07570">
        <w:t xml:space="preserve"> </w:t>
      </w:r>
      <w:proofErr w:type="spellStart"/>
      <w:r w:rsidRPr="00E07570">
        <w:t>eotteoge</w:t>
      </w:r>
      <w:proofErr w:type="spellEnd"/>
      <w:r w:rsidRPr="00E07570">
        <w:t xml:space="preserve"> </w:t>
      </w:r>
      <w:proofErr w:type="spellStart"/>
      <w:r w:rsidRPr="00E07570">
        <w:t>whalyong</w:t>
      </w:r>
      <w:proofErr w:type="spellEnd"/>
      <w:r w:rsidRPr="00E07570">
        <w:t xml:space="preserve"> </w:t>
      </w:r>
      <w:proofErr w:type="spellStart"/>
      <w:r w:rsidRPr="00E07570">
        <w:t>haneunaae</w:t>
      </w:r>
      <w:proofErr w:type="spellEnd"/>
      <w:r w:rsidRPr="00E07570">
        <w:t xml:space="preserve"> </w:t>
      </w:r>
      <w:proofErr w:type="spellStart"/>
      <w:r w:rsidRPr="00E07570">
        <w:t>ddara</w:t>
      </w:r>
      <w:proofErr w:type="spellEnd"/>
      <w:r w:rsidRPr="00E07570">
        <w:t xml:space="preserve"> </w:t>
      </w:r>
      <w:proofErr w:type="spellStart"/>
      <w:r w:rsidRPr="00E07570">
        <w:t>dalra</w:t>
      </w:r>
      <w:proofErr w:type="spellEnd"/>
      <w:r w:rsidRPr="00E07570">
        <w:t xml:space="preserve"> </w:t>
      </w:r>
      <w:proofErr w:type="spellStart"/>
      <w:r w:rsidRPr="00E07570">
        <w:t>jipnida</w:t>
      </w:r>
      <w:proofErr w:type="spellEnd"/>
      <w:r w:rsidRPr="00E07570">
        <w:t>.</w:t>
      </w:r>
    </w:p>
    <w:p w:rsidR="00A6696B" w:rsidRPr="00E07570" w:rsidRDefault="00A6696B" w:rsidP="00A6696B">
      <w:pPr>
        <w:suppressAutoHyphens w:val="0"/>
        <w:spacing w:before="120" w:after="120" w:line="240" w:lineRule="auto"/>
        <w:ind w:left="1134" w:right="1134"/>
        <w:rPr>
          <w:i/>
          <w:iCs/>
        </w:rPr>
      </w:pPr>
      <w:r w:rsidRPr="00E07570">
        <w:rPr>
          <w:i/>
          <w:iCs/>
        </w:rPr>
        <w:t>Homme 1 </w:t>
      </w:r>
      <w:r w:rsidRPr="00E07570">
        <w:rPr>
          <w:iCs/>
        </w:rPr>
        <w:t>:</w:t>
      </w:r>
    </w:p>
    <w:p w:rsidR="00A6696B" w:rsidRPr="00E07570" w:rsidRDefault="00A6696B" w:rsidP="00A6696B">
      <w:pPr>
        <w:suppressAutoHyphens w:val="0"/>
        <w:spacing w:before="120" w:after="120" w:line="240" w:lineRule="auto"/>
        <w:ind w:left="1134" w:right="1134"/>
      </w:pPr>
      <w:proofErr w:type="spellStart"/>
      <w:proofErr w:type="gramStart"/>
      <w:r w:rsidRPr="00E07570">
        <w:rPr>
          <w:rFonts w:eastAsia="Malgun Gothic"/>
        </w:rPr>
        <w:t>행복은</w:t>
      </w:r>
      <w:proofErr w:type="spellEnd"/>
      <w:r w:rsidRPr="00E07570">
        <w:t xml:space="preserve"> </w:t>
      </w:r>
      <w:proofErr w:type="spellStart"/>
      <w:r w:rsidRPr="00E07570">
        <w:rPr>
          <w:rFonts w:eastAsia="Malgun Gothic"/>
        </w:rPr>
        <w:t>나부터</w:t>
      </w:r>
      <w:proofErr w:type="spellEnd"/>
      <w:r w:rsidRPr="00E07570">
        <w:t xml:space="preserve"> </w:t>
      </w:r>
      <w:proofErr w:type="spellStart"/>
      <w:r w:rsidRPr="00E07570">
        <w:rPr>
          <w:rFonts w:eastAsia="Malgun Gothic"/>
        </w:rPr>
        <w:t>시작됩니다</w:t>
      </w:r>
      <w:proofErr w:type="spellEnd"/>
      <w:r w:rsidRPr="00E07570">
        <w:t>.</w:t>
      </w:r>
      <w:proofErr w:type="gramEnd"/>
    </w:p>
    <w:p w:rsidR="00A6696B" w:rsidRPr="00E07570" w:rsidRDefault="00A6696B" w:rsidP="00A6696B">
      <w:pPr>
        <w:suppressAutoHyphens w:val="0"/>
        <w:spacing w:before="120" w:after="120" w:line="240" w:lineRule="auto"/>
        <w:ind w:left="1134" w:right="1134"/>
        <w:rPr>
          <w:bCs/>
        </w:rPr>
      </w:pPr>
      <w:proofErr w:type="spellStart"/>
      <w:r w:rsidRPr="00E07570">
        <w:t>Haenguk</w:t>
      </w:r>
      <w:proofErr w:type="spellEnd"/>
      <w:r w:rsidRPr="00E07570">
        <w:t xml:space="preserve"> </w:t>
      </w:r>
      <w:proofErr w:type="spellStart"/>
      <w:r w:rsidRPr="00E07570">
        <w:t>eun</w:t>
      </w:r>
      <w:proofErr w:type="spellEnd"/>
      <w:r w:rsidRPr="00E07570">
        <w:t xml:space="preserve"> na </w:t>
      </w:r>
      <w:proofErr w:type="spellStart"/>
      <w:r w:rsidRPr="00E07570">
        <w:t>butteo</w:t>
      </w:r>
      <w:proofErr w:type="spellEnd"/>
      <w:r w:rsidRPr="00E07570">
        <w:t xml:space="preserve"> </w:t>
      </w:r>
      <w:proofErr w:type="spellStart"/>
      <w:r w:rsidRPr="00E07570">
        <w:t>sijak</w:t>
      </w:r>
      <w:proofErr w:type="spellEnd"/>
      <w:r w:rsidRPr="00E07570">
        <w:t xml:space="preserve"> </w:t>
      </w:r>
      <w:proofErr w:type="spellStart"/>
      <w:r w:rsidRPr="00E07570">
        <w:t>doebnida</w:t>
      </w:r>
      <w:proofErr w:type="spellEnd"/>
    </w:p>
    <w:p w:rsidR="00A6696B" w:rsidRPr="00E07570" w:rsidRDefault="00A6696B" w:rsidP="00A6696B">
      <w:pPr>
        <w:suppressAutoHyphens w:val="0"/>
        <w:spacing w:before="120" w:after="120" w:line="240" w:lineRule="auto"/>
        <w:ind w:left="1134" w:right="1134"/>
      </w:pPr>
      <w:proofErr w:type="spellStart"/>
      <w:r w:rsidRPr="00E07570">
        <w:rPr>
          <w:rFonts w:eastAsia="Malgun Gothic"/>
        </w:rPr>
        <w:t>지금</w:t>
      </w:r>
      <w:proofErr w:type="spellEnd"/>
      <w:r w:rsidRPr="00E07570">
        <w:t xml:space="preserve"> </w:t>
      </w:r>
      <w:proofErr w:type="spellStart"/>
      <w:r w:rsidRPr="00E07570">
        <w:rPr>
          <w:rFonts w:eastAsia="Malgun Gothic"/>
        </w:rPr>
        <w:t>순간이</w:t>
      </w:r>
      <w:proofErr w:type="spellEnd"/>
      <w:r w:rsidRPr="00E07570">
        <w:t xml:space="preserve"> </w:t>
      </w:r>
      <w:proofErr w:type="spellStart"/>
      <w:r w:rsidRPr="00E07570">
        <w:rPr>
          <w:rFonts w:eastAsia="Malgun Gothic"/>
        </w:rPr>
        <w:t>나에게는</w:t>
      </w:r>
      <w:proofErr w:type="spellEnd"/>
      <w:r w:rsidRPr="00E07570">
        <w:t xml:space="preserve"> </w:t>
      </w:r>
      <w:proofErr w:type="spellStart"/>
      <w:r w:rsidRPr="00E07570">
        <w:rPr>
          <w:rFonts w:eastAsia="Malgun Gothic"/>
        </w:rPr>
        <w:t>가장</w:t>
      </w:r>
      <w:proofErr w:type="spellEnd"/>
      <w:r w:rsidRPr="00E07570">
        <w:t xml:space="preserve"> </w:t>
      </w:r>
      <w:proofErr w:type="spellStart"/>
      <w:r w:rsidRPr="00E07570">
        <w:rPr>
          <w:rFonts w:eastAsia="Malgun Gothic"/>
        </w:rPr>
        <w:t>소중한</w:t>
      </w:r>
      <w:proofErr w:type="spellEnd"/>
      <w:r w:rsidRPr="00E07570">
        <w:t xml:space="preserve"> </w:t>
      </w:r>
      <w:proofErr w:type="spellStart"/>
      <w:r w:rsidRPr="00E07570">
        <w:rPr>
          <w:rFonts w:eastAsia="Malgun Gothic"/>
        </w:rPr>
        <w:t>시간입니다</w:t>
      </w:r>
      <w:proofErr w:type="spellEnd"/>
    </w:p>
    <w:p w:rsidR="00A6696B" w:rsidRPr="00DF0776" w:rsidRDefault="00A6696B" w:rsidP="00A6696B">
      <w:pPr>
        <w:suppressAutoHyphens w:val="0"/>
        <w:spacing w:before="120" w:after="120" w:line="240" w:lineRule="auto"/>
        <w:ind w:left="1134" w:right="1134"/>
        <w:rPr>
          <w:lang w:val="en-GB"/>
        </w:rPr>
      </w:pPr>
      <w:r w:rsidRPr="00DF0776">
        <w:rPr>
          <w:lang w:val="en-GB"/>
        </w:rPr>
        <w:t xml:space="preserve">Gieum sungani </w:t>
      </w:r>
      <w:proofErr w:type="gramStart"/>
      <w:r w:rsidRPr="00DF0776">
        <w:rPr>
          <w:lang w:val="en-GB"/>
        </w:rPr>
        <w:t>na</w:t>
      </w:r>
      <w:proofErr w:type="gramEnd"/>
      <w:r w:rsidRPr="00DF0776">
        <w:rPr>
          <w:lang w:val="en-GB"/>
        </w:rPr>
        <w:t xml:space="preserve"> egeneun gajang sojung han sigan ipnida</w:t>
      </w:r>
    </w:p>
    <w:p w:rsidR="00A6696B" w:rsidRPr="00DF0776" w:rsidRDefault="00A6696B" w:rsidP="00A6696B">
      <w:pPr>
        <w:suppressAutoHyphens w:val="0"/>
        <w:spacing w:before="120" w:after="120" w:line="240" w:lineRule="auto"/>
        <w:ind w:left="1134" w:right="1134"/>
        <w:rPr>
          <w:i/>
          <w:iCs/>
          <w:lang w:val="en-GB"/>
        </w:rPr>
      </w:pPr>
      <w:r w:rsidRPr="00DF0776">
        <w:rPr>
          <w:i/>
          <w:iCs/>
          <w:lang w:val="en-GB"/>
        </w:rPr>
        <w:t>Homme 2 </w:t>
      </w:r>
      <w:r w:rsidRPr="00DF0776">
        <w:rPr>
          <w:iCs/>
          <w:lang w:val="en-GB"/>
        </w:rPr>
        <w:t>:</w:t>
      </w:r>
    </w:p>
    <w:p w:rsidR="00A6696B" w:rsidRPr="00DF0776" w:rsidRDefault="00A6696B" w:rsidP="00A6696B">
      <w:pPr>
        <w:suppressAutoHyphens w:val="0"/>
        <w:spacing w:before="120" w:after="120" w:line="240" w:lineRule="auto"/>
        <w:ind w:left="1134" w:right="1134"/>
        <w:rPr>
          <w:lang w:val="en-GB"/>
        </w:rPr>
      </w:pPr>
      <w:proofErr w:type="spellStart"/>
      <w:proofErr w:type="gramStart"/>
      <w:r w:rsidRPr="00E07570">
        <w:rPr>
          <w:rFonts w:eastAsia="Malgun Gothic"/>
        </w:rPr>
        <w:t>기회는</w:t>
      </w:r>
      <w:proofErr w:type="spellEnd"/>
      <w:proofErr w:type="gramEnd"/>
      <w:r w:rsidRPr="00DF0776">
        <w:rPr>
          <w:lang w:val="en-GB"/>
        </w:rPr>
        <w:t xml:space="preserve"> </w:t>
      </w:r>
      <w:proofErr w:type="spellStart"/>
      <w:proofErr w:type="gramStart"/>
      <w:r w:rsidRPr="00E07570">
        <w:rPr>
          <w:rFonts w:eastAsia="Malgun Gothic"/>
        </w:rPr>
        <w:t>새와</w:t>
      </w:r>
      <w:proofErr w:type="spellEnd"/>
      <w:proofErr w:type="gramEnd"/>
      <w:r w:rsidRPr="00DF0776">
        <w:rPr>
          <w:lang w:val="en-GB"/>
        </w:rPr>
        <w:t xml:space="preserve"> </w:t>
      </w:r>
      <w:proofErr w:type="spellStart"/>
      <w:proofErr w:type="gramStart"/>
      <w:r w:rsidRPr="00E07570">
        <w:rPr>
          <w:rFonts w:eastAsia="Malgun Gothic"/>
        </w:rPr>
        <w:t>같습니다</w:t>
      </w:r>
      <w:proofErr w:type="spellEnd"/>
      <w:proofErr w:type="gramEnd"/>
      <w:r w:rsidRPr="00DF0776">
        <w:rPr>
          <w:lang w:val="en-GB"/>
        </w:rPr>
        <w:t>.</w:t>
      </w:r>
    </w:p>
    <w:p w:rsidR="00A6696B" w:rsidRPr="00DF0776" w:rsidRDefault="00A6696B" w:rsidP="00A6696B">
      <w:pPr>
        <w:suppressAutoHyphens w:val="0"/>
        <w:spacing w:before="120" w:after="120" w:line="240" w:lineRule="auto"/>
        <w:ind w:left="1134" w:right="1134"/>
        <w:rPr>
          <w:lang w:val="en-GB"/>
        </w:rPr>
      </w:pPr>
      <w:r w:rsidRPr="00DF0776">
        <w:rPr>
          <w:lang w:val="en-GB"/>
        </w:rPr>
        <w:t xml:space="preserve">Gihoe neun se </w:t>
      </w:r>
      <w:proofErr w:type="gramStart"/>
      <w:r w:rsidRPr="00DF0776">
        <w:rPr>
          <w:lang w:val="en-GB"/>
        </w:rPr>
        <w:t>wa</w:t>
      </w:r>
      <w:proofErr w:type="gramEnd"/>
      <w:r w:rsidRPr="00DF0776">
        <w:rPr>
          <w:lang w:val="en-GB"/>
        </w:rPr>
        <w:t xml:space="preserve"> gatseubnida</w:t>
      </w:r>
    </w:p>
    <w:p w:rsidR="00A6696B" w:rsidRPr="00DF0776" w:rsidRDefault="00A6696B" w:rsidP="00A6696B">
      <w:pPr>
        <w:suppressAutoHyphens w:val="0"/>
        <w:spacing w:before="120" w:after="120" w:line="240" w:lineRule="auto"/>
        <w:ind w:left="1134" w:right="1134"/>
        <w:rPr>
          <w:lang w:val="en-GB"/>
        </w:rPr>
      </w:pPr>
      <w:proofErr w:type="spellStart"/>
      <w:proofErr w:type="gramStart"/>
      <w:r w:rsidRPr="00E07570">
        <w:rPr>
          <w:rFonts w:eastAsia="Malgun Gothic"/>
        </w:rPr>
        <w:t>시련이</w:t>
      </w:r>
      <w:proofErr w:type="spellEnd"/>
      <w:r w:rsidRPr="00DF0776">
        <w:rPr>
          <w:lang w:val="en-GB"/>
        </w:rPr>
        <w:t xml:space="preserve"> </w:t>
      </w:r>
      <w:proofErr w:type="spellStart"/>
      <w:r w:rsidRPr="00E07570">
        <w:rPr>
          <w:rFonts w:eastAsia="Malgun Gothic"/>
        </w:rPr>
        <w:t>있어야</w:t>
      </w:r>
      <w:proofErr w:type="spellEnd"/>
      <w:r w:rsidRPr="00DF0776">
        <w:rPr>
          <w:lang w:val="en-GB"/>
        </w:rPr>
        <w:t xml:space="preserve"> </w:t>
      </w:r>
      <w:proofErr w:type="spellStart"/>
      <w:r w:rsidRPr="00E07570">
        <w:rPr>
          <w:rFonts w:eastAsia="Malgun Gothic"/>
        </w:rPr>
        <w:t>삶이</w:t>
      </w:r>
      <w:proofErr w:type="spellEnd"/>
      <w:r w:rsidRPr="00DF0776">
        <w:rPr>
          <w:lang w:val="en-GB"/>
        </w:rPr>
        <w:t xml:space="preserve"> </w:t>
      </w:r>
      <w:proofErr w:type="spellStart"/>
      <w:r w:rsidRPr="00E07570">
        <w:rPr>
          <w:rFonts w:eastAsia="Malgun Gothic"/>
        </w:rPr>
        <w:t>풍요로워</w:t>
      </w:r>
      <w:proofErr w:type="spellEnd"/>
      <w:r w:rsidRPr="00DF0776">
        <w:rPr>
          <w:lang w:val="en-GB"/>
        </w:rPr>
        <w:t xml:space="preserve"> </w:t>
      </w:r>
      <w:proofErr w:type="spellStart"/>
      <w:r w:rsidRPr="00E07570">
        <w:rPr>
          <w:rFonts w:eastAsia="Malgun Gothic"/>
        </w:rPr>
        <w:t>집니다</w:t>
      </w:r>
      <w:proofErr w:type="spellEnd"/>
      <w:r w:rsidRPr="00DF0776">
        <w:rPr>
          <w:lang w:val="en-GB"/>
        </w:rPr>
        <w:t>.</w:t>
      </w:r>
      <w:proofErr w:type="gramEnd"/>
      <w:r w:rsidRPr="00DF0776">
        <w:rPr>
          <w:lang w:val="en-GB"/>
        </w:rPr>
        <w:t xml:space="preserve"> </w:t>
      </w:r>
    </w:p>
    <w:p w:rsidR="00A6696B" w:rsidRPr="00DF0776" w:rsidRDefault="00A6696B" w:rsidP="00A6696B">
      <w:pPr>
        <w:suppressAutoHyphens w:val="0"/>
        <w:spacing w:before="120" w:after="120" w:line="240" w:lineRule="auto"/>
        <w:ind w:left="1134" w:right="1134"/>
        <w:rPr>
          <w:lang w:val="en-GB"/>
        </w:rPr>
      </w:pPr>
      <w:r w:rsidRPr="00DF0776">
        <w:rPr>
          <w:lang w:val="en-GB"/>
        </w:rPr>
        <w:t>Siryeon i isseoya salmi pungyorowo jipnida</w:t>
      </w:r>
    </w:p>
    <w:p w:rsidR="00A6696B" w:rsidRPr="00E07570" w:rsidRDefault="00A6696B" w:rsidP="00A6696B">
      <w:pPr>
        <w:pStyle w:val="HChG"/>
      </w:pPr>
      <w:r w:rsidRPr="00DF0776">
        <w:br w:type="page"/>
      </w:r>
      <w:r w:rsidRPr="00E07570">
        <w:t>Annexe 1</w:t>
      </w:r>
      <w:r w:rsidR="00EF24CB" w:rsidRPr="00E07570">
        <w:t>2</w:t>
      </w:r>
    </w:p>
    <w:p w:rsidR="00A6696B" w:rsidRPr="00E07570" w:rsidRDefault="00A6696B" w:rsidP="00A6696B">
      <w:pPr>
        <w:pStyle w:val="HChG"/>
      </w:pPr>
      <w:r w:rsidRPr="00E07570">
        <w:tab/>
      </w:r>
      <w:r w:rsidRPr="00E07570">
        <w:tab/>
        <w:t>Définition d</w:t>
      </w:r>
      <w:r w:rsidR="00145E4B">
        <w:t>’</w:t>
      </w:r>
      <w:r w:rsidRPr="00E07570">
        <w:t>un ensemble minimum de données (MSD)</w:t>
      </w:r>
    </w:p>
    <w:p w:rsidR="00A6696B" w:rsidRPr="00E07570" w:rsidRDefault="00A6696B" w:rsidP="00A6696B">
      <w:pPr>
        <w:pStyle w:val="SingleTxtG"/>
      </w:pPr>
      <w:r w:rsidRPr="00E07570">
        <w:t>On trouvera dans le tableau ci-dessous la liste des ensembles minimum de données (MSD) qui peuvent être émis au moment de la transmission de données d</w:t>
      </w:r>
      <w:r w:rsidR="00145E4B">
        <w:t>’</w:t>
      </w:r>
      <w:r w:rsidRPr="00E07570">
        <w:t>urgence au PSAP.</w:t>
      </w:r>
    </w:p>
    <w:p w:rsidR="00A6696B" w:rsidRPr="00E07570" w:rsidRDefault="00A6696B" w:rsidP="00A6696B">
      <w:pPr>
        <w:pStyle w:val="Heading1"/>
        <w:spacing w:after="120"/>
        <w:rPr>
          <w:b/>
        </w:rPr>
      </w:pPr>
      <w:r w:rsidRPr="00E07570">
        <w:t xml:space="preserve">Tableau </w:t>
      </w:r>
      <w:r w:rsidRPr="00E07570">
        <w:rPr>
          <w:b/>
        </w:rPr>
        <w:t>1</w:t>
      </w:r>
      <w:r w:rsidR="00C13116" w:rsidRPr="00E07570">
        <w:rPr>
          <w:b/>
        </w:rPr>
        <w:t>1</w:t>
      </w:r>
      <w:r w:rsidRPr="00E07570">
        <w:br/>
      </w:r>
      <w:r w:rsidRPr="00E07570">
        <w:rPr>
          <w:b/>
        </w:rPr>
        <w:t>Ensemble minimum de données (MSD) destiné au PSAP</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0"/>
        <w:gridCol w:w="4530"/>
      </w:tblGrid>
      <w:tr w:rsidR="00A6696B" w:rsidRPr="00E07570" w:rsidTr="000F04A9">
        <w:trPr>
          <w:tblHeader/>
        </w:trPr>
        <w:tc>
          <w:tcPr>
            <w:tcW w:w="2840" w:type="dxa"/>
            <w:tcBorders>
              <w:bottom w:val="single" w:sz="12" w:space="0" w:color="auto"/>
            </w:tcBorders>
            <w:shd w:val="clear" w:color="auto" w:fill="auto"/>
            <w:vAlign w:val="bottom"/>
          </w:tcPr>
          <w:p w:rsidR="00A6696B" w:rsidRPr="00E07570" w:rsidRDefault="00A6696B" w:rsidP="000F04A9">
            <w:pPr>
              <w:spacing w:before="80" w:after="80" w:line="200" w:lineRule="exact"/>
              <w:ind w:left="57" w:right="57"/>
              <w:rPr>
                <w:i/>
                <w:sz w:val="16"/>
              </w:rPr>
            </w:pPr>
            <w:r w:rsidRPr="00E07570">
              <w:rPr>
                <w:i/>
                <w:sz w:val="16"/>
              </w:rPr>
              <w:t>Élément de MSD (nom court)</w:t>
            </w:r>
          </w:p>
        </w:tc>
        <w:tc>
          <w:tcPr>
            <w:tcW w:w="4530" w:type="dxa"/>
            <w:tcBorders>
              <w:bottom w:val="single" w:sz="12" w:space="0" w:color="auto"/>
            </w:tcBorders>
            <w:shd w:val="clear" w:color="auto" w:fill="auto"/>
            <w:vAlign w:val="bottom"/>
          </w:tcPr>
          <w:p w:rsidR="00A6696B" w:rsidRPr="00E07570" w:rsidRDefault="00A6696B" w:rsidP="00EF24CB">
            <w:pPr>
              <w:spacing w:before="80" w:after="80" w:line="200" w:lineRule="exact"/>
              <w:ind w:left="57" w:right="57"/>
              <w:rPr>
                <w:i/>
                <w:sz w:val="16"/>
              </w:rPr>
            </w:pPr>
            <w:r w:rsidRPr="00E07570">
              <w:rPr>
                <w:i/>
                <w:sz w:val="16"/>
              </w:rPr>
              <w:t>Description</w:t>
            </w:r>
          </w:p>
        </w:tc>
      </w:tr>
      <w:tr w:rsidR="00A6696B" w:rsidRPr="00E07570" w:rsidTr="000F04A9">
        <w:tc>
          <w:tcPr>
            <w:tcW w:w="2840" w:type="dxa"/>
            <w:tcBorders>
              <w:top w:val="single" w:sz="12" w:space="0" w:color="auto"/>
            </w:tcBorders>
            <w:shd w:val="clear" w:color="auto" w:fill="auto"/>
          </w:tcPr>
          <w:p w:rsidR="00A6696B" w:rsidRPr="00E07570" w:rsidRDefault="00A6696B" w:rsidP="00EF24CB">
            <w:pPr>
              <w:spacing w:before="60" w:after="60"/>
              <w:ind w:left="57" w:right="57"/>
            </w:pPr>
            <w:r w:rsidRPr="00E07570">
              <w:t>Activation automatique</w:t>
            </w:r>
          </w:p>
        </w:tc>
        <w:tc>
          <w:tcPr>
            <w:tcW w:w="4530" w:type="dxa"/>
            <w:tcBorders>
              <w:top w:val="single" w:sz="12" w:space="0" w:color="auto"/>
            </w:tcBorders>
            <w:shd w:val="clear" w:color="auto" w:fill="auto"/>
          </w:tcPr>
          <w:p w:rsidR="00A6696B" w:rsidRPr="00E07570" w:rsidRDefault="00A6696B" w:rsidP="000F04A9">
            <w:pPr>
              <w:spacing w:before="60" w:after="60"/>
              <w:ind w:left="57" w:right="57"/>
            </w:pPr>
            <w:r w:rsidRPr="00E07570">
              <w:t>Indique si un appel a été déclenché de façon automatique ou de façon manuelle.</w:t>
            </w:r>
          </w:p>
        </w:tc>
      </w:tr>
      <w:tr w:rsidR="00A6696B" w:rsidRPr="00E07570" w:rsidTr="000F04A9">
        <w:tc>
          <w:tcPr>
            <w:tcW w:w="2840" w:type="dxa"/>
            <w:shd w:val="clear" w:color="auto" w:fill="auto"/>
          </w:tcPr>
          <w:p w:rsidR="00A6696B" w:rsidRPr="00E07570" w:rsidRDefault="00A6696B" w:rsidP="00EF24CB">
            <w:pPr>
              <w:spacing w:before="60" w:after="60"/>
              <w:ind w:left="57" w:right="57"/>
            </w:pPr>
            <w:r w:rsidRPr="00E07570">
              <w:t>Appel d</w:t>
            </w:r>
            <w:r w:rsidR="00145E4B">
              <w:t>’</w:t>
            </w:r>
            <w:r w:rsidRPr="00E07570">
              <w:t>essai</w:t>
            </w:r>
          </w:p>
        </w:tc>
        <w:tc>
          <w:tcPr>
            <w:tcW w:w="4530" w:type="dxa"/>
            <w:shd w:val="clear" w:color="auto" w:fill="auto"/>
          </w:tcPr>
          <w:p w:rsidR="00A6696B" w:rsidRPr="00E07570" w:rsidRDefault="00A6696B" w:rsidP="00EF24CB">
            <w:pPr>
              <w:spacing w:before="60" w:after="60"/>
              <w:ind w:left="57" w:right="57"/>
            </w:pPr>
            <w:r w:rsidRPr="00E07570">
              <w:t>Sert à indiquer si l</w:t>
            </w:r>
            <w:r w:rsidR="00145E4B">
              <w:t>’</w:t>
            </w:r>
            <w:r w:rsidRPr="00E07570">
              <w:t>appel est un appel d</w:t>
            </w:r>
            <w:r w:rsidR="00145E4B">
              <w:t>’</w:t>
            </w:r>
            <w:r w:rsidRPr="00E07570">
              <w:t>essai ou un appel d</w:t>
            </w:r>
            <w:r w:rsidR="00145E4B">
              <w:t>’</w:t>
            </w:r>
            <w:r w:rsidRPr="00E07570">
              <w:t>urgence réel.</w:t>
            </w:r>
          </w:p>
        </w:tc>
      </w:tr>
      <w:tr w:rsidR="00A6696B" w:rsidRPr="00E07570" w:rsidTr="000F04A9">
        <w:tc>
          <w:tcPr>
            <w:tcW w:w="2840" w:type="dxa"/>
            <w:shd w:val="clear" w:color="auto" w:fill="auto"/>
          </w:tcPr>
          <w:p w:rsidR="00A6696B" w:rsidRPr="00E07570" w:rsidRDefault="00A6696B" w:rsidP="000F04A9">
            <w:pPr>
              <w:spacing w:before="60" w:after="60"/>
              <w:ind w:left="57" w:right="57"/>
            </w:pPr>
            <w:r w:rsidRPr="00E07570">
              <w:t xml:space="preserve">Fiabilité de la position </w:t>
            </w:r>
          </w:p>
        </w:tc>
        <w:tc>
          <w:tcPr>
            <w:tcW w:w="4530" w:type="dxa"/>
            <w:shd w:val="clear" w:color="auto" w:fill="auto"/>
          </w:tcPr>
          <w:p w:rsidR="00A6696B" w:rsidRPr="00E07570" w:rsidRDefault="00A6696B" w:rsidP="00EF24CB">
            <w:pPr>
              <w:spacing w:before="60" w:after="60"/>
              <w:ind w:left="57" w:right="57"/>
            </w:pPr>
            <w:r w:rsidRPr="00E07570">
              <w:t>Sert à indiquer si la position donnée est très fiable ou seulement peu fiable.</w:t>
            </w:r>
          </w:p>
        </w:tc>
      </w:tr>
      <w:tr w:rsidR="00A6696B" w:rsidRPr="00E07570" w:rsidTr="000F04A9">
        <w:tc>
          <w:tcPr>
            <w:tcW w:w="2840" w:type="dxa"/>
            <w:shd w:val="clear" w:color="auto" w:fill="auto"/>
          </w:tcPr>
          <w:p w:rsidR="00A6696B" w:rsidRPr="00E07570" w:rsidRDefault="00A6696B" w:rsidP="00EF24CB">
            <w:pPr>
              <w:spacing w:before="60" w:after="60"/>
              <w:ind w:left="57" w:right="57"/>
            </w:pPr>
            <w:r w:rsidRPr="00E07570">
              <w:t>Type de véhicule</w:t>
            </w:r>
          </w:p>
        </w:tc>
        <w:tc>
          <w:tcPr>
            <w:tcW w:w="4530" w:type="dxa"/>
            <w:shd w:val="clear" w:color="auto" w:fill="auto"/>
          </w:tcPr>
          <w:p w:rsidR="00A6696B" w:rsidRPr="00E07570" w:rsidRDefault="00A6696B" w:rsidP="00EF24CB">
            <w:pPr>
              <w:spacing w:before="60" w:after="60"/>
              <w:ind w:left="57" w:right="57"/>
            </w:pPr>
            <w:r w:rsidRPr="00E07570">
              <w:t>Indication du type de véhicule.</w:t>
            </w:r>
          </w:p>
        </w:tc>
      </w:tr>
      <w:tr w:rsidR="00A6696B" w:rsidRPr="00E07570" w:rsidTr="000F04A9">
        <w:tc>
          <w:tcPr>
            <w:tcW w:w="2840" w:type="dxa"/>
            <w:shd w:val="clear" w:color="auto" w:fill="auto"/>
          </w:tcPr>
          <w:p w:rsidR="00A6696B" w:rsidRPr="00E07570" w:rsidRDefault="00A6696B" w:rsidP="00EF24CB">
            <w:pPr>
              <w:spacing w:before="60" w:after="60"/>
              <w:ind w:left="57" w:right="57"/>
            </w:pPr>
            <w:r w:rsidRPr="00E07570">
              <w:t>VIN</w:t>
            </w:r>
          </w:p>
        </w:tc>
        <w:tc>
          <w:tcPr>
            <w:tcW w:w="4530" w:type="dxa"/>
            <w:shd w:val="clear" w:color="auto" w:fill="auto"/>
          </w:tcPr>
          <w:p w:rsidR="00A6696B" w:rsidRPr="00E07570" w:rsidRDefault="00A6696B" w:rsidP="00EF24CB">
            <w:pPr>
              <w:spacing w:before="60" w:after="60"/>
              <w:ind w:left="57" w:right="57"/>
            </w:pPr>
            <w:r w:rsidRPr="00E07570">
              <w:t>Numéro d</w:t>
            </w:r>
            <w:r w:rsidR="00145E4B">
              <w:t>’</w:t>
            </w:r>
            <w:r w:rsidRPr="00E07570">
              <w:t>identification du véhicule.</w:t>
            </w:r>
          </w:p>
        </w:tc>
      </w:tr>
      <w:tr w:rsidR="00A6696B" w:rsidRPr="00E07570" w:rsidTr="000F04A9">
        <w:tc>
          <w:tcPr>
            <w:tcW w:w="2840" w:type="dxa"/>
            <w:shd w:val="clear" w:color="auto" w:fill="auto"/>
          </w:tcPr>
          <w:p w:rsidR="00A6696B" w:rsidRPr="00E07570" w:rsidRDefault="00A6696B" w:rsidP="000F04A9">
            <w:pPr>
              <w:spacing w:before="60" w:after="60"/>
              <w:ind w:left="57" w:right="57"/>
            </w:pPr>
            <w:r w:rsidRPr="00E07570">
              <w:t>Type de propulsion du véhicule</w:t>
            </w:r>
          </w:p>
        </w:tc>
        <w:tc>
          <w:tcPr>
            <w:tcW w:w="4530" w:type="dxa"/>
            <w:shd w:val="clear" w:color="auto" w:fill="auto"/>
          </w:tcPr>
          <w:p w:rsidR="00A6696B" w:rsidRPr="00E07570" w:rsidRDefault="00A6696B" w:rsidP="00EF24CB">
            <w:pPr>
              <w:spacing w:before="60" w:after="60"/>
              <w:ind w:left="57" w:right="57"/>
            </w:pPr>
            <w:r w:rsidRPr="00E07570">
              <w:t>Sert à indiquer le type de propulsion du véhicule.</w:t>
            </w:r>
          </w:p>
        </w:tc>
      </w:tr>
      <w:tr w:rsidR="00A6696B" w:rsidRPr="00E07570" w:rsidTr="000F04A9">
        <w:tc>
          <w:tcPr>
            <w:tcW w:w="2840" w:type="dxa"/>
            <w:shd w:val="clear" w:color="auto" w:fill="auto"/>
          </w:tcPr>
          <w:p w:rsidR="00A6696B" w:rsidRPr="00E07570" w:rsidRDefault="00A6696B" w:rsidP="00EF24CB">
            <w:pPr>
              <w:spacing w:before="60" w:after="60"/>
              <w:ind w:left="57" w:right="57"/>
            </w:pPr>
            <w:r w:rsidRPr="00E07570">
              <w:t>Horodateur</w:t>
            </w:r>
          </w:p>
        </w:tc>
        <w:tc>
          <w:tcPr>
            <w:tcW w:w="4530" w:type="dxa"/>
            <w:shd w:val="clear" w:color="auto" w:fill="auto"/>
          </w:tcPr>
          <w:p w:rsidR="00A6696B" w:rsidRPr="00E07570" w:rsidRDefault="00A6696B" w:rsidP="00EF24CB">
            <w:pPr>
              <w:spacing w:before="60" w:after="60"/>
              <w:ind w:left="57" w:right="57"/>
            </w:pPr>
            <w:r w:rsidRPr="00E07570">
              <w:t>Horodatage de l</w:t>
            </w:r>
            <w:r w:rsidR="00145E4B">
              <w:t>’</w:t>
            </w:r>
            <w:r w:rsidRPr="00E07570">
              <w:t>envoi du message initial contenu dans l</w:t>
            </w:r>
            <w:r w:rsidR="00145E4B">
              <w:t>’</w:t>
            </w:r>
            <w:r w:rsidRPr="00E07570">
              <w:t>appel d</w:t>
            </w:r>
            <w:r w:rsidR="00145E4B">
              <w:t>’</w:t>
            </w:r>
            <w:r w:rsidRPr="00E07570">
              <w:t>urgence.</w:t>
            </w:r>
          </w:p>
        </w:tc>
      </w:tr>
      <w:tr w:rsidR="00A6696B" w:rsidRPr="00E07570" w:rsidTr="000F04A9">
        <w:tc>
          <w:tcPr>
            <w:tcW w:w="2840" w:type="dxa"/>
            <w:shd w:val="clear" w:color="auto" w:fill="auto"/>
          </w:tcPr>
          <w:p w:rsidR="00A6696B" w:rsidRPr="00E07570" w:rsidRDefault="00A6696B" w:rsidP="00EF24CB">
            <w:pPr>
              <w:spacing w:before="60" w:after="60"/>
              <w:ind w:left="57" w:right="57"/>
            </w:pPr>
            <w:r w:rsidRPr="00E07570">
              <w:t>Indication de la latitude</w:t>
            </w:r>
          </w:p>
        </w:tc>
        <w:tc>
          <w:tcPr>
            <w:tcW w:w="4530" w:type="dxa"/>
            <w:shd w:val="clear" w:color="auto" w:fill="auto"/>
          </w:tcPr>
          <w:p w:rsidR="00A6696B" w:rsidRPr="00E07570" w:rsidRDefault="00A6696B" w:rsidP="00C13116">
            <w:pPr>
              <w:spacing w:before="60" w:after="60"/>
              <w:ind w:left="57" w:right="57"/>
            </w:pPr>
            <w:r w:rsidRPr="00E07570">
              <w:t>Dernière indication connue de la latitude du véhicule déterminée le plus tard pos</w:t>
            </w:r>
            <w:r w:rsidR="00C13116" w:rsidRPr="00E07570">
              <w:t>sib</w:t>
            </w:r>
            <w:r w:rsidRPr="00E07570">
              <w:t>le avant l</w:t>
            </w:r>
            <w:r w:rsidR="00145E4B">
              <w:t>’</w:t>
            </w:r>
            <w:r w:rsidRPr="00E07570">
              <w:t>envoi du message.</w:t>
            </w:r>
          </w:p>
        </w:tc>
      </w:tr>
      <w:tr w:rsidR="00A6696B" w:rsidRPr="00E07570" w:rsidTr="000F04A9">
        <w:tc>
          <w:tcPr>
            <w:tcW w:w="2840" w:type="dxa"/>
            <w:tcBorders>
              <w:bottom w:val="single" w:sz="4" w:space="0" w:color="auto"/>
            </w:tcBorders>
            <w:shd w:val="clear" w:color="auto" w:fill="auto"/>
          </w:tcPr>
          <w:p w:rsidR="00A6696B" w:rsidRPr="00E07570" w:rsidRDefault="00A6696B" w:rsidP="00EF24CB">
            <w:pPr>
              <w:spacing w:before="60" w:after="60"/>
              <w:ind w:left="57" w:right="57"/>
            </w:pPr>
            <w:r w:rsidRPr="00E07570">
              <w:t>Indication de la longitude</w:t>
            </w:r>
          </w:p>
        </w:tc>
        <w:tc>
          <w:tcPr>
            <w:tcW w:w="4530" w:type="dxa"/>
            <w:tcBorders>
              <w:bottom w:val="single" w:sz="4" w:space="0" w:color="auto"/>
            </w:tcBorders>
            <w:shd w:val="clear" w:color="auto" w:fill="auto"/>
          </w:tcPr>
          <w:p w:rsidR="00A6696B" w:rsidRPr="00E07570" w:rsidRDefault="00A6696B" w:rsidP="00C13116">
            <w:pPr>
              <w:spacing w:before="60" w:after="60"/>
              <w:ind w:left="57" w:right="57"/>
            </w:pPr>
            <w:r w:rsidRPr="00E07570">
              <w:t>Dernière indication connue de la longitude du véhicule déterminée le plus tard pos</w:t>
            </w:r>
            <w:r w:rsidR="00C13116" w:rsidRPr="00E07570">
              <w:t>sib</w:t>
            </w:r>
            <w:r w:rsidRPr="00E07570">
              <w:t>le avant l</w:t>
            </w:r>
            <w:r w:rsidR="00145E4B">
              <w:t>’</w:t>
            </w:r>
            <w:r w:rsidRPr="00E07570">
              <w:t>envoi du message.</w:t>
            </w:r>
          </w:p>
        </w:tc>
      </w:tr>
      <w:tr w:rsidR="00A6696B" w:rsidRPr="00E07570" w:rsidTr="000F04A9">
        <w:tc>
          <w:tcPr>
            <w:tcW w:w="2840" w:type="dxa"/>
            <w:tcBorders>
              <w:bottom w:val="single" w:sz="12" w:space="0" w:color="auto"/>
            </w:tcBorders>
            <w:shd w:val="clear" w:color="auto" w:fill="auto"/>
          </w:tcPr>
          <w:p w:rsidR="00A6696B" w:rsidRPr="00E07570" w:rsidRDefault="00A6696B" w:rsidP="000F04A9">
            <w:pPr>
              <w:spacing w:before="60" w:after="60"/>
              <w:ind w:left="57" w:right="57"/>
            </w:pPr>
            <w:r w:rsidRPr="00E07570">
              <w:t>Sens de déplacement du véhicule</w:t>
            </w:r>
          </w:p>
        </w:tc>
        <w:tc>
          <w:tcPr>
            <w:tcW w:w="4530" w:type="dxa"/>
            <w:tcBorders>
              <w:bottom w:val="single" w:sz="12" w:space="0" w:color="auto"/>
            </w:tcBorders>
            <w:shd w:val="clear" w:color="auto" w:fill="auto"/>
          </w:tcPr>
          <w:p w:rsidR="00A6696B" w:rsidRPr="00E07570" w:rsidRDefault="00A6696B" w:rsidP="004F6605">
            <w:pPr>
              <w:spacing w:before="60" w:after="60"/>
              <w:ind w:left="57" w:right="57"/>
            </w:pPr>
            <w:r w:rsidRPr="00E07570">
              <w:t>Dernier sens de déplacement du véhicule connu déterminé au</w:t>
            </w:r>
            <w:r w:rsidR="004F6605" w:rsidRPr="00E07570">
              <w:t> </w:t>
            </w:r>
            <w:r w:rsidRPr="00E07570">
              <w:t>dernier moment avant l</w:t>
            </w:r>
            <w:r w:rsidR="00145E4B">
              <w:t>’</w:t>
            </w:r>
            <w:r w:rsidRPr="00E07570">
              <w:t>envoi du message.</w:t>
            </w:r>
          </w:p>
        </w:tc>
      </w:tr>
    </w:tbl>
    <w:p w:rsidR="008A69D3" w:rsidRPr="00E07570" w:rsidRDefault="00EF24CB" w:rsidP="00EF24CB">
      <w:pPr>
        <w:pStyle w:val="SingleTxtG"/>
        <w:spacing w:before="240" w:after="0"/>
        <w:jc w:val="center"/>
        <w:rPr>
          <w:u w:val="single"/>
        </w:rPr>
      </w:pPr>
      <w:r w:rsidRPr="00E07570">
        <w:rPr>
          <w:u w:val="single"/>
        </w:rPr>
        <w:tab/>
      </w:r>
      <w:r w:rsidRPr="00E07570">
        <w:rPr>
          <w:u w:val="single"/>
        </w:rPr>
        <w:tab/>
      </w:r>
      <w:r w:rsidRPr="00E07570">
        <w:rPr>
          <w:u w:val="single"/>
        </w:rPr>
        <w:tab/>
      </w:r>
    </w:p>
    <w:sectPr w:rsidR="008A69D3" w:rsidRPr="00E07570" w:rsidSect="0038209A">
      <w:footnotePr>
        <w:numRestart w:val="eachSect"/>
      </w:footnotePr>
      <w:endnotePr>
        <w:numFmt w:val="decimal"/>
      </w:endnotePr>
      <w:pgSz w:w="11906" w:h="16838" w:code="9"/>
      <w:pgMar w:top="1417" w:right="1134" w:bottom="1134" w:left="1134" w:header="85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E4B" w:rsidRDefault="00145E4B" w:rsidP="00F95C08">
      <w:pPr>
        <w:spacing w:line="240" w:lineRule="auto"/>
      </w:pPr>
    </w:p>
  </w:endnote>
  <w:endnote w:type="continuationSeparator" w:id="0">
    <w:p w:rsidR="00145E4B" w:rsidRPr="00AC3823" w:rsidRDefault="00145E4B" w:rsidP="00AC3823">
      <w:pPr>
        <w:pStyle w:val="Footer"/>
      </w:pPr>
    </w:p>
  </w:endnote>
  <w:endnote w:type="continuationNotice" w:id="1">
    <w:p w:rsidR="00145E4B" w:rsidRDefault="00145E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4B" w:rsidRPr="00BD381E" w:rsidRDefault="00145E4B" w:rsidP="00BD381E">
    <w:pPr>
      <w:pStyle w:val="Footer"/>
      <w:tabs>
        <w:tab w:val="right" w:pos="9638"/>
      </w:tabs>
    </w:pPr>
    <w:r w:rsidRPr="00BD381E">
      <w:rPr>
        <w:b/>
        <w:sz w:val="18"/>
      </w:rPr>
      <w:fldChar w:fldCharType="begin"/>
    </w:r>
    <w:r w:rsidRPr="00BD381E">
      <w:rPr>
        <w:b/>
        <w:sz w:val="18"/>
      </w:rPr>
      <w:instrText xml:space="preserve"> PAGE  \* MERGEFORMAT </w:instrText>
    </w:r>
    <w:r w:rsidRPr="00BD381E">
      <w:rPr>
        <w:b/>
        <w:sz w:val="18"/>
      </w:rPr>
      <w:fldChar w:fldCharType="separate"/>
    </w:r>
    <w:r w:rsidR="00DF0776">
      <w:rPr>
        <w:b/>
        <w:noProof/>
        <w:sz w:val="18"/>
      </w:rPr>
      <w:t>80</w:t>
    </w:r>
    <w:r w:rsidRPr="00BD381E">
      <w:rPr>
        <w:b/>
        <w:sz w:val="18"/>
      </w:rPr>
      <w:fldChar w:fldCharType="end"/>
    </w:r>
    <w:r>
      <w:rPr>
        <w:b/>
        <w:sz w:val="18"/>
      </w:rPr>
      <w:tab/>
    </w:r>
    <w:r>
      <w:t>GE.17-01896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4B" w:rsidRPr="00BD381E" w:rsidRDefault="00145E4B" w:rsidP="00BD381E">
    <w:pPr>
      <w:pStyle w:val="Footer"/>
      <w:tabs>
        <w:tab w:val="right" w:pos="9638"/>
      </w:tabs>
      <w:rPr>
        <w:b/>
        <w:sz w:val="18"/>
      </w:rPr>
    </w:pPr>
    <w:r>
      <w:t>GE.17-01896</w:t>
    </w:r>
    <w:r>
      <w:tab/>
    </w:r>
    <w:r w:rsidRPr="00BD381E">
      <w:rPr>
        <w:b/>
        <w:sz w:val="18"/>
      </w:rPr>
      <w:fldChar w:fldCharType="begin"/>
    </w:r>
    <w:r w:rsidRPr="00BD381E">
      <w:rPr>
        <w:b/>
        <w:sz w:val="18"/>
      </w:rPr>
      <w:instrText xml:space="preserve"> PAGE  \* MERGEFORMAT </w:instrText>
    </w:r>
    <w:r w:rsidRPr="00BD381E">
      <w:rPr>
        <w:b/>
        <w:sz w:val="18"/>
      </w:rPr>
      <w:fldChar w:fldCharType="separate"/>
    </w:r>
    <w:r w:rsidR="00DF0776">
      <w:rPr>
        <w:b/>
        <w:noProof/>
        <w:sz w:val="18"/>
      </w:rPr>
      <w:t>79</w:t>
    </w:r>
    <w:r w:rsidRPr="00BD381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4B" w:rsidRPr="00BD381E" w:rsidRDefault="00145E4B" w:rsidP="00BD381E">
    <w:pPr>
      <w:pStyle w:val="Footer"/>
      <w:spacing w:before="120"/>
      <w:rPr>
        <w:sz w:val="20"/>
      </w:rPr>
    </w:pPr>
    <w:r>
      <w:rPr>
        <w:sz w:val="20"/>
      </w:rPr>
      <w:t>GE.</w:t>
    </w:r>
    <w:r>
      <w:rPr>
        <w:noProof/>
        <w:lang w:val="en-GB" w:eastAsia="en-GB"/>
      </w:rPr>
      <w:drawing>
        <wp:anchor distT="0" distB="0" distL="114300" distR="114300" simplePos="0" relativeHeight="251659264" behindDoc="0" locked="0" layoutInCell="1" allowOverlap="0" wp14:anchorId="01A2815D" wp14:editId="524978EB">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17-01896  (F)    080317    150317</w:t>
    </w:r>
    <w:r>
      <w:rPr>
        <w:sz w:val="20"/>
      </w:rPr>
      <w:br/>
    </w:r>
    <w:r w:rsidRPr="00BD381E">
      <w:rPr>
        <w:rFonts w:ascii="C39T30Lfz" w:hAnsi="C39T30Lfz"/>
        <w:sz w:val="56"/>
      </w:rPr>
      <w:t></w:t>
    </w:r>
    <w:r w:rsidRPr="00BD381E">
      <w:rPr>
        <w:rFonts w:ascii="C39T30Lfz" w:hAnsi="C39T30Lfz"/>
        <w:sz w:val="56"/>
      </w:rPr>
      <w:t></w:t>
    </w:r>
    <w:r w:rsidRPr="00BD381E">
      <w:rPr>
        <w:rFonts w:ascii="C39T30Lfz" w:hAnsi="C39T30Lfz"/>
        <w:sz w:val="56"/>
      </w:rPr>
      <w:t></w:t>
    </w:r>
    <w:r w:rsidRPr="00BD381E">
      <w:rPr>
        <w:rFonts w:ascii="C39T30Lfz" w:hAnsi="C39T30Lfz"/>
        <w:sz w:val="56"/>
      </w:rPr>
      <w:t></w:t>
    </w:r>
    <w:r w:rsidRPr="00BD381E">
      <w:rPr>
        <w:rFonts w:ascii="C39T30Lfz" w:hAnsi="C39T30Lfz"/>
        <w:sz w:val="56"/>
      </w:rPr>
      <w:t></w:t>
    </w:r>
    <w:r w:rsidRPr="00BD381E">
      <w:rPr>
        <w:rFonts w:ascii="C39T30Lfz" w:hAnsi="C39T30Lfz"/>
        <w:sz w:val="56"/>
      </w:rPr>
      <w:t></w:t>
    </w:r>
    <w:r w:rsidRPr="00BD381E">
      <w:rPr>
        <w:rFonts w:ascii="C39T30Lfz" w:hAnsi="C39T30Lfz"/>
        <w:sz w:val="56"/>
      </w:rPr>
      <w:t></w:t>
    </w:r>
    <w:r w:rsidRPr="00BD381E">
      <w:rPr>
        <w:rFonts w:ascii="C39T30Lfz" w:hAnsi="C39T30Lfz"/>
        <w:sz w:val="56"/>
      </w:rPr>
      <w:t></w:t>
    </w:r>
    <w:r w:rsidRPr="00BD381E">
      <w:rPr>
        <w:rFonts w:ascii="C39T30Lfz" w:hAnsi="C39T30Lfz"/>
        <w:sz w:val="56"/>
      </w:rPr>
      <w:t></w:t>
    </w:r>
    <w:r>
      <w:rPr>
        <w:noProof/>
        <w:sz w:val="20"/>
        <w:lang w:val="en-GB" w:eastAsia="en-GB"/>
      </w:rPr>
      <w:drawing>
        <wp:anchor distT="0" distB="0" distL="114300" distR="114300" simplePos="0" relativeHeight="251660288" behindDoc="0" locked="0" layoutInCell="1" allowOverlap="1" wp14:anchorId="67B0A8AF" wp14:editId="7F443AA8">
          <wp:simplePos x="0" y="0"/>
          <wp:positionH relativeFrom="margin">
            <wp:posOffset>5489575</wp:posOffset>
          </wp:positionH>
          <wp:positionV relativeFrom="margin">
            <wp:posOffset>8891905</wp:posOffset>
          </wp:positionV>
          <wp:extent cx="638175" cy="638175"/>
          <wp:effectExtent l="0" t="0" r="9525" b="9525"/>
          <wp:wrapNone/>
          <wp:docPr id="3" name="Image 1" descr="http://undocs.org/m2/QRCode.ashx?DS=ECE/TRANS/WP.29/GRSG/2017/12&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ECE/TRANS/WP.29/GRSG/2017/12&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E4B" w:rsidRPr="00AC3823" w:rsidRDefault="00145E4B" w:rsidP="00AC3823">
      <w:pPr>
        <w:pStyle w:val="Footer"/>
        <w:tabs>
          <w:tab w:val="right" w:pos="2155"/>
        </w:tabs>
        <w:spacing w:after="80" w:line="240" w:lineRule="atLeast"/>
        <w:ind w:left="680"/>
        <w:rPr>
          <w:u w:val="single"/>
        </w:rPr>
      </w:pPr>
      <w:r>
        <w:rPr>
          <w:u w:val="single"/>
        </w:rPr>
        <w:tab/>
      </w:r>
    </w:p>
  </w:footnote>
  <w:footnote w:type="continuationSeparator" w:id="0">
    <w:p w:rsidR="00145E4B" w:rsidRPr="00AC3823" w:rsidRDefault="00145E4B" w:rsidP="00AC3823">
      <w:pPr>
        <w:pStyle w:val="Footer"/>
        <w:tabs>
          <w:tab w:val="right" w:pos="2155"/>
        </w:tabs>
        <w:spacing w:after="80" w:line="240" w:lineRule="atLeast"/>
        <w:ind w:left="680"/>
        <w:rPr>
          <w:u w:val="single"/>
        </w:rPr>
      </w:pPr>
      <w:r>
        <w:rPr>
          <w:u w:val="single"/>
        </w:rPr>
        <w:tab/>
      </w:r>
    </w:p>
  </w:footnote>
  <w:footnote w:type="continuationNotice" w:id="1">
    <w:p w:rsidR="00145E4B" w:rsidRPr="00AC3823" w:rsidRDefault="00145E4B">
      <w:pPr>
        <w:spacing w:line="240" w:lineRule="auto"/>
        <w:rPr>
          <w:sz w:val="2"/>
          <w:szCs w:val="2"/>
        </w:rPr>
      </w:pPr>
    </w:p>
  </w:footnote>
  <w:footnote w:id="2">
    <w:p w:rsidR="00145E4B" w:rsidRPr="003E772A" w:rsidRDefault="00145E4B" w:rsidP="00315142">
      <w:pPr>
        <w:pStyle w:val="FootnoteText"/>
      </w:pPr>
      <w:r w:rsidRPr="00C134CD">
        <w:rPr>
          <w:rStyle w:val="FootnoteReference"/>
          <w:sz w:val="20"/>
          <w:vertAlign w:val="baseline"/>
        </w:rPr>
        <w:tab/>
        <w:t>*</w:t>
      </w:r>
      <w:r w:rsidRPr="00C134CD">
        <w:rPr>
          <w:rStyle w:val="FootnoteReference"/>
          <w:sz w:val="20"/>
          <w:vertAlign w:val="baseline"/>
        </w:rPr>
        <w:tab/>
      </w:r>
      <w:r w:rsidRPr="003E772A">
        <w:t xml:space="preserve">Conformément </w:t>
      </w:r>
      <w:r>
        <w:t>au programme de travail du Comité des transports intérieurs pour la période 2016</w:t>
      </w:r>
      <w:r>
        <w:noBreakHyphen/>
        <w:t>2017 (ECE/TRANS/254, par. 159, et ECE/TRANS/2016/28/Add.1, module 3.1), le Forum mondial a pour mission d’élaborer, d’harmoniser et de mettre à jour les Règlements en vue d’améliorer les caractéristiques fonctionnelles des véhicules. Le présent document est soumis en vertu de ce mandat.</w:t>
      </w:r>
    </w:p>
  </w:footnote>
  <w:footnote w:id="3">
    <w:p w:rsidR="00145E4B" w:rsidRPr="003E772A" w:rsidRDefault="00145E4B" w:rsidP="00315142">
      <w:pPr>
        <w:pStyle w:val="FootnoteText"/>
      </w:pPr>
      <w:r w:rsidRPr="003E772A">
        <w:tab/>
      </w:r>
      <w:r w:rsidRPr="00315142">
        <w:rPr>
          <w:rStyle w:val="FootnoteReference"/>
        </w:rPr>
        <w:footnoteRef/>
      </w:r>
      <w:r w:rsidRPr="003E772A">
        <w:tab/>
      </w:r>
      <w:r>
        <w:t>Définis dans</w:t>
      </w:r>
      <w:r w:rsidRPr="003E772A">
        <w:t xml:space="preserve"> la section 2 de la Résolution d</w:t>
      </w:r>
      <w:r>
        <w:t>’</w:t>
      </w:r>
      <w:r w:rsidRPr="003E772A">
        <w:t xml:space="preserve">ensemble sur la construction des véhicules (R.E.3) (document ECE/TRANS/WP.29/78/Rev.4) </w:t>
      </w:r>
      <w:r>
        <w:t>−</w:t>
      </w:r>
      <w:r w:rsidRPr="003E772A">
        <w:t xml:space="preserve"> www.unece.org/trans/main/wp29/wp29wgs/</w:t>
      </w:r>
      <w:r w:rsidRPr="003E772A">
        <w:br/>
        <w:t>wp29gen/wp29resolutions.html.</w:t>
      </w:r>
    </w:p>
  </w:footnote>
  <w:footnote w:id="4">
    <w:p w:rsidR="00145E4B" w:rsidRPr="00B55774" w:rsidRDefault="00145E4B" w:rsidP="00315142">
      <w:pPr>
        <w:pStyle w:val="FootnoteText"/>
      </w:pPr>
      <w:r w:rsidRPr="00DF0776">
        <w:rPr>
          <w:b/>
        </w:rPr>
        <w:tab/>
      </w:r>
      <w:r w:rsidRPr="001950C4">
        <w:rPr>
          <w:rStyle w:val="FootnoteReference"/>
          <w:b/>
        </w:rPr>
        <w:footnoteRef/>
      </w:r>
      <w:r w:rsidRPr="00DF0776">
        <w:rPr>
          <w:b/>
        </w:rPr>
        <w:tab/>
      </w:r>
      <w:r w:rsidRPr="00B55774">
        <w:rPr>
          <w:b/>
        </w:rPr>
        <w:t>La longueur du faisceau et, s</w:t>
      </w:r>
      <w:r>
        <w:rPr>
          <w:b/>
        </w:rPr>
        <w:t>’</w:t>
      </w:r>
      <w:r w:rsidRPr="00B55774">
        <w:rPr>
          <w:b/>
        </w:rPr>
        <w:t>il y a lieu, sa fixation peuvent être choisies par le demandeur de</w:t>
      </w:r>
      <w:r>
        <w:rPr>
          <w:b/>
        </w:rPr>
        <w:t> </w:t>
      </w:r>
      <w:r w:rsidRPr="00B55774">
        <w:rPr>
          <w:b/>
        </w:rPr>
        <w:t>l</w:t>
      </w:r>
      <w:r>
        <w:rPr>
          <w:b/>
        </w:rPr>
        <w:t>’</w:t>
      </w:r>
      <w:r w:rsidRPr="00B55774">
        <w:rPr>
          <w:b/>
        </w:rPr>
        <w:t>homologation en accord avec le service technique, de façon à reproduire les différentes configurations d</w:t>
      </w:r>
      <w:r>
        <w:rPr>
          <w:b/>
        </w:rPr>
        <w:t>’</w:t>
      </w:r>
      <w:r w:rsidRPr="00B55774">
        <w:rPr>
          <w:b/>
        </w:rPr>
        <w:t>installation de l</w:t>
      </w:r>
      <w:r>
        <w:rPr>
          <w:b/>
        </w:rPr>
        <w:t>’</w:t>
      </w:r>
      <w:r w:rsidRPr="00B55774">
        <w:rPr>
          <w:b/>
        </w:rPr>
        <w:t>AECC.</w:t>
      </w:r>
    </w:p>
  </w:footnote>
  <w:footnote w:id="5">
    <w:p w:rsidR="00145E4B" w:rsidRPr="003E772A" w:rsidRDefault="00145E4B" w:rsidP="00315142">
      <w:pPr>
        <w:pStyle w:val="FootnoteText"/>
        <w:rPr>
          <w:szCs w:val="18"/>
        </w:rPr>
      </w:pPr>
      <w:r w:rsidRPr="003E772A">
        <w:rPr>
          <w:szCs w:val="18"/>
        </w:rPr>
        <w:tab/>
      </w:r>
      <w:r w:rsidRPr="00315142">
        <w:rPr>
          <w:rStyle w:val="FootnoteReference"/>
        </w:rPr>
        <w:footnoteRef/>
      </w:r>
      <w:r w:rsidRPr="003E772A">
        <w:rPr>
          <w:szCs w:val="18"/>
        </w:rPr>
        <w:tab/>
        <w:t>Seuls les connecteurs concernant les</w:t>
      </w:r>
      <w:r>
        <w:rPr>
          <w:szCs w:val="18"/>
        </w:rPr>
        <w:t xml:space="preserve"> éléments</w:t>
      </w:r>
      <w:r w:rsidRPr="003E772A">
        <w:rPr>
          <w:szCs w:val="18"/>
        </w:rPr>
        <w:t xml:space="preserve"> énumérés dans le présent paragraphe sont pris en considération. La longueur </w:t>
      </w:r>
      <w:r>
        <w:rPr>
          <w:szCs w:val="18"/>
        </w:rPr>
        <w:t>du faisceau</w:t>
      </w:r>
      <w:r w:rsidRPr="003E772A">
        <w:rPr>
          <w:szCs w:val="18"/>
        </w:rPr>
        <w:t xml:space="preserve"> et le cas échéant son mode de fixation peuvent être décidés par le </w:t>
      </w:r>
      <w:r>
        <w:rPr>
          <w:szCs w:val="18"/>
        </w:rPr>
        <w:t>demandeur de l’homologation</w:t>
      </w:r>
      <w:r w:rsidRPr="003E772A">
        <w:rPr>
          <w:szCs w:val="18"/>
        </w:rPr>
        <w:t xml:space="preserve">, en accord avec le service technique, afin </w:t>
      </w:r>
      <w:r>
        <w:rPr>
          <w:szCs w:val="18"/>
        </w:rPr>
        <w:t>que l’ensemble</w:t>
      </w:r>
      <w:r w:rsidRPr="003E772A">
        <w:rPr>
          <w:szCs w:val="18"/>
        </w:rPr>
        <w:t xml:space="preserve"> soit représentati</w:t>
      </w:r>
      <w:r>
        <w:rPr>
          <w:szCs w:val="18"/>
        </w:rPr>
        <w:t>f</w:t>
      </w:r>
      <w:r w:rsidRPr="003E772A">
        <w:rPr>
          <w:szCs w:val="18"/>
        </w:rPr>
        <w:t xml:space="preserve"> des différentes configurations d</w:t>
      </w:r>
      <w:r>
        <w:rPr>
          <w:szCs w:val="18"/>
        </w:rPr>
        <w:t>’</w:t>
      </w:r>
      <w:r w:rsidRPr="003E772A">
        <w:rPr>
          <w:szCs w:val="18"/>
        </w:rPr>
        <w:t>installation de l</w:t>
      </w:r>
      <w:r>
        <w:rPr>
          <w:szCs w:val="18"/>
        </w:rPr>
        <w:t>’</w:t>
      </w:r>
      <w:r w:rsidRPr="003E772A">
        <w:rPr>
          <w:szCs w:val="18"/>
        </w:rPr>
        <w:t>AECD.</w:t>
      </w:r>
    </w:p>
  </w:footnote>
  <w:footnote w:id="6">
    <w:p w:rsidR="00145E4B" w:rsidRPr="003E772A" w:rsidRDefault="00145E4B" w:rsidP="00315142">
      <w:pPr>
        <w:pStyle w:val="FootnoteText"/>
        <w:rPr>
          <w:szCs w:val="18"/>
        </w:rPr>
      </w:pPr>
      <w:r w:rsidRPr="003E772A">
        <w:rPr>
          <w:szCs w:val="18"/>
        </w:rPr>
        <w:tab/>
      </w:r>
      <w:r w:rsidRPr="00315142">
        <w:rPr>
          <w:rStyle w:val="FootnoteReference"/>
        </w:rPr>
        <w:footnoteRef/>
      </w:r>
      <w:r w:rsidRPr="003E772A">
        <w:rPr>
          <w:szCs w:val="18"/>
        </w:rPr>
        <w:tab/>
        <w:t xml:space="preserve">Perte de couplage </w:t>
      </w:r>
      <w:r>
        <w:rPr>
          <w:szCs w:val="18"/>
        </w:rPr>
        <w:t>terminale en fonction du temps.</w:t>
      </w:r>
    </w:p>
  </w:footnote>
  <w:footnote w:id="7">
    <w:p w:rsidR="00145E4B" w:rsidRPr="003E772A" w:rsidRDefault="00145E4B" w:rsidP="00315142">
      <w:pPr>
        <w:pStyle w:val="FootnoteText"/>
        <w:rPr>
          <w:szCs w:val="18"/>
        </w:rPr>
      </w:pPr>
      <w:r w:rsidRPr="003E772A">
        <w:rPr>
          <w:szCs w:val="18"/>
        </w:rPr>
        <w:tab/>
      </w:r>
      <w:r w:rsidRPr="00315142">
        <w:rPr>
          <w:rStyle w:val="FootnoteReference"/>
        </w:rPr>
        <w:footnoteRef/>
      </w:r>
      <w:r w:rsidRPr="003E772A">
        <w:rPr>
          <w:szCs w:val="18"/>
        </w:rPr>
        <w:tab/>
        <w:t>Commande automatique de gain.</w:t>
      </w:r>
    </w:p>
  </w:footnote>
  <w:footnote w:id="8">
    <w:p w:rsidR="00145E4B" w:rsidRPr="003E772A" w:rsidRDefault="00145E4B" w:rsidP="00315142">
      <w:pPr>
        <w:pStyle w:val="FootnoteText"/>
        <w:rPr>
          <w:szCs w:val="18"/>
        </w:rPr>
      </w:pPr>
      <w:r w:rsidRPr="003E772A">
        <w:rPr>
          <w:szCs w:val="18"/>
        </w:rPr>
        <w:tab/>
      </w:r>
      <w:r w:rsidRPr="00315142">
        <w:rPr>
          <w:rStyle w:val="FootnoteReference"/>
        </w:rPr>
        <w:footnoteRef/>
      </w:r>
      <w:r w:rsidRPr="003E772A">
        <w:rPr>
          <w:szCs w:val="18"/>
        </w:rPr>
        <w:tab/>
        <w:t>Système vocal interactif.</w:t>
      </w:r>
    </w:p>
  </w:footnote>
  <w:footnote w:id="9">
    <w:p w:rsidR="00145E4B" w:rsidRPr="003E772A" w:rsidRDefault="00145E4B" w:rsidP="00315142">
      <w:pPr>
        <w:pStyle w:val="FootnoteText"/>
        <w:rPr>
          <w:szCs w:val="18"/>
        </w:rPr>
      </w:pPr>
      <w:r w:rsidRPr="003E772A">
        <w:rPr>
          <w:szCs w:val="18"/>
        </w:rPr>
        <w:tab/>
      </w:r>
      <w:r w:rsidRPr="00315142">
        <w:rPr>
          <w:rStyle w:val="FootnoteReference"/>
        </w:rPr>
        <w:footnoteRef/>
      </w:r>
      <w:r w:rsidRPr="003E772A">
        <w:rPr>
          <w:szCs w:val="18"/>
        </w:rPr>
        <w:tab/>
        <w:t xml:space="preserve">Seuls les connecteurs concernant les </w:t>
      </w:r>
      <w:r>
        <w:rPr>
          <w:szCs w:val="18"/>
        </w:rPr>
        <w:t>éléments</w:t>
      </w:r>
      <w:r w:rsidRPr="003E772A">
        <w:rPr>
          <w:szCs w:val="18"/>
        </w:rPr>
        <w:t xml:space="preserve"> énumérés dans le présent paragraphe sont pris en considération. La longueur </w:t>
      </w:r>
      <w:r>
        <w:rPr>
          <w:szCs w:val="18"/>
        </w:rPr>
        <w:t>du faisceau</w:t>
      </w:r>
      <w:r w:rsidRPr="003E772A">
        <w:rPr>
          <w:szCs w:val="18"/>
        </w:rPr>
        <w:t xml:space="preserve"> et le cas échéant son mode de fixation peuvent être décidés par le </w:t>
      </w:r>
      <w:r>
        <w:rPr>
          <w:szCs w:val="18"/>
        </w:rPr>
        <w:t>demandeur de l’homologation</w:t>
      </w:r>
      <w:r w:rsidRPr="003E772A">
        <w:rPr>
          <w:szCs w:val="18"/>
        </w:rPr>
        <w:t xml:space="preserve">, en accord avec le service technique, afin </w:t>
      </w:r>
      <w:r>
        <w:rPr>
          <w:szCs w:val="18"/>
        </w:rPr>
        <w:t>que l’ensemble</w:t>
      </w:r>
      <w:r w:rsidRPr="003E772A">
        <w:rPr>
          <w:szCs w:val="18"/>
        </w:rPr>
        <w:t xml:space="preserve"> soit représentati</w:t>
      </w:r>
      <w:r>
        <w:rPr>
          <w:szCs w:val="18"/>
        </w:rPr>
        <w:t>f</w:t>
      </w:r>
      <w:r w:rsidRPr="003E772A">
        <w:rPr>
          <w:szCs w:val="18"/>
        </w:rPr>
        <w:t xml:space="preserve"> des différentes configurations d</w:t>
      </w:r>
      <w:r>
        <w:rPr>
          <w:szCs w:val="18"/>
        </w:rPr>
        <w:t>’</w:t>
      </w:r>
      <w:r w:rsidRPr="003E772A">
        <w:rPr>
          <w:szCs w:val="18"/>
        </w:rPr>
        <w:t>installation de l</w:t>
      </w:r>
      <w:r>
        <w:rPr>
          <w:szCs w:val="18"/>
        </w:rPr>
        <w:t>’</w:t>
      </w:r>
      <w:r w:rsidRPr="003E772A">
        <w:rPr>
          <w:szCs w:val="18"/>
        </w:rPr>
        <w:t>AECD.</w:t>
      </w:r>
    </w:p>
  </w:footnote>
  <w:footnote w:id="10">
    <w:p w:rsidR="00145E4B" w:rsidRPr="009F1CF1" w:rsidRDefault="00145E4B" w:rsidP="00315142">
      <w:pPr>
        <w:pStyle w:val="FootnoteText"/>
        <w:rPr>
          <w:b/>
          <w:szCs w:val="18"/>
        </w:rPr>
      </w:pPr>
      <w:r w:rsidRPr="009F1CF1">
        <w:rPr>
          <w:b/>
          <w:szCs w:val="18"/>
        </w:rPr>
        <w:tab/>
      </w:r>
      <w:r w:rsidRPr="009F1CF1">
        <w:rPr>
          <w:rStyle w:val="FootnoteReference"/>
          <w:b/>
        </w:rPr>
        <w:footnoteRef/>
      </w:r>
      <w:r w:rsidRPr="009F1CF1">
        <w:rPr>
          <w:b/>
          <w:szCs w:val="18"/>
        </w:rPr>
        <w:tab/>
        <w:t>Numéro distinctif du pays qui a accordé/étendu/refusé/retiré l’homologation (voir les dispositions du Règlement relatives à l’homologation).</w:t>
      </w:r>
    </w:p>
  </w:footnote>
  <w:footnote w:id="11">
    <w:p w:rsidR="00145E4B" w:rsidRPr="009F1CF1" w:rsidRDefault="00145E4B" w:rsidP="00315142">
      <w:pPr>
        <w:pStyle w:val="FootnoteText"/>
        <w:rPr>
          <w:b/>
          <w:szCs w:val="18"/>
        </w:rPr>
      </w:pPr>
      <w:r w:rsidRPr="009F1CF1">
        <w:rPr>
          <w:b/>
          <w:szCs w:val="18"/>
        </w:rPr>
        <w:tab/>
      </w:r>
      <w:r w:rsidRPr="009F1CF1">
        <w:rPr>
          <w:rStyle w:val="FootnoteReference"/>
          <w:b/>
        </w:rPr>
        <w:footnoteRef/>
      </w:r>
      <w:r w:rsidRPr="009F1CF1">
        <w:rPr>
          <w:b/>
          <w:szCs w:val="18"/>
        </w:rPr>
        <w:tab/>
        <w:t>Biffer les mentions inutiles.</w:t>
      </w:r>
    </w:p>
  </w:footnote>
  <w:footnote w:id="12">
    <w:p w:rsidR="00145E4B" w:rsidRPr="003E772A" w:rsidRDefault="00145E4B" w:rsidP="00315142">
      <w:pPr>
        <w:pStyle w:val="FootnoteText"/>
        <w:rPr>
          <w:szCs w:val="18"/>
        </w:rPr>
      </w:pPr>
      <w:r w:rsidRPr="003E772A">
        <w:rPr>
          <w:szCs w:val="18"/>
        </w:rPr>
        <w:tab/>
      </w:r>
      <w:r w:rsidRPr="00315142">
        <w:rPr>
          <w:rStyle w:val="FootnoteReference"/>
        </w:rPr>
        <w:footnoteRef/>
      </w:r>
      <w:r w:rsidRPr="003E772A">
        <w:rPr>
          <w:szCs w:val="18"/>
        </w:rPr>
        <w:tab/>
        <w:t>Numéro distinctif du pays qui a accordé/étendu/refusé/retiré l</w:t>
      </w:r>
      <w:r>
        <w:rPr>
          <w:szCs w:val="18"/>
        </w:rPr>
        <w:t>’</w:t>
      </w:r>
      <w:r w:rsidRPr="003E772A">
        <w:rPr>
          <w:szCs w:val="18"/>
        </w:rPr>
        <w:t>homologation (voir les dispositions du Règlement relatives à l</w:t>
      </w:r>
      <w:r>
        <w:rPr>
          <w:szCs w:val="18"/>
        </w:rPr>
        <w:t>’</w:t>
      </w:r>
      <w:r w:rsidRPr="003E772A">
        <w:rPr>
          <w:szCs w:val="18"/>
        </w:rPr>
        <w:t>homologation).</w:t>
      </w:r>
    </w:p>
  </w:footnote>
  <w:footnote w:id="13">
    <w:p w:rsidR="00145E4B" w:rsidRPr="003E772A" w:rsidRDefault="00145E4B" w:rsidP="00315142">
      <w:pPr>
        <w:pStyle w:val="FootnoteText"/>
        <w:rPr>
          <w:szCs w:val="18"/>
        </w:rPr>
      </w:pPr>
      <w:r w:rsidRPr="003E772A">
        <w:rPr>
          <w:szCs w:val="18"/>
        </w:rPr>
        <w:tab/>
      </w:r>
      <w:r w:rsidRPr="00315142">
        <w:rPr>
          <w:rStyle w:val="FootnoteReference"/>
        </w:rPr>
        <w:footnoteRef/>
      </w:r>
      <w:r w:rsidRPr="003E772A">
        <w:rPr>
          <w:szCs w:val="18"/>
        </w:rPr>
        <w:tab/>
        <w:t>Biffer les mentions inutiles.</w:t>
      </w:r>
    </w:p>
  </w:footnote>
  <w:footnote w:id="14">
    <w:p w:rsidR="00145E4B" w:rsidRPr="003E772A" w:rsidRDefault="00145E4B" w:rsidP="00315142">
      <w:pPr>
        <w:pStyle w:val="FootnoteText"/>
        <w:rPr>
          <w:szCs w:val="18"/>
        </w:rPr>
      </w:pPr>
      <w:r w:rsidRPr="003E772A">
        <w:rPr>
          <w:szCs w:val="18"/>
        </w:rPr>
        <w:tab/>
      </w:r>
      <w:r w:rsidRPr="00315142">
        <w:rPr>
          <w:rStyle w:val="FootnoteReference"/>
        </w:rPr>
        <w:footnoteRef/>
      </w:r>
      <w:r w:rsidRPr="003E772A">
        <w:rPr>
          <w:szCs w:val="18"/>
        </w:rPr>
        <w:tab/>
        <w:t>Numéro distinctif du pays qui a accordé/étendu/refusé/retiré l</w:t>
      </w:r>
      <w:r>
        <w:rPr>
          <w:szCs w:val="18"/>
        </w:rPr>
        <w:t>’</w:t>
      </w:r>
      <w:r w:rsidRPr="003E772A">
        <w:rPr>
          <w:szCs w:val="18"/>
        </w:rPr>
        <w:t>homologation (voir les dispositions du Règlement relatives à l</w:t>
      </w:r>
      <w:r>
        <w:rPr>
          <w:szCs w:val="18"/>
        </w:rPr>
        <w:t>’</w:t>
      </w:r>
      <w:r w:rsidRPr="003E772A">
        <w:rPr>
          <w:szCs w:val="18"/>
        </w:rPr>
        <w:t>homologation).</w:t>
      </w:r>
    </w:p>
  </w:footnote>
  <w:footnote w:id="15">
    <w:p w:rsidR="00145E4B" w:rsidRPr="003E772A" w:rsidRDefault="00145E4B" w:rsidP="00315142">
      <w:pPr>
        <w:pStyle w:val="FootnoteText"/>
        <w:rPr>
          <w:szCs w:val="18"/>
        </w:rPr>
      </w:pPr>
      <w:r w:rsidRPr="003E772A">
        <w:rPr>
          <w:szCs w:val="18"/>
        </w:rPr>
        <w:tab/>
      </w:r>
      <w:r w:rsidRPr="00315142">
        <w:rPr>
          <w:rStyle w:val="FootnoteReference"/>
        </w:rPr>
        <w:footnoteRef/>
      </w:r>
      <w:r w:rsidRPr="003E772A">
        <w:rPr>
          <w:szCs w:val="18"/>
        </w:rPr>
        <w:tab/>
      </w:r>
      <w:r w:rsidRPr="003E772A">
        <w:rPr>
          <w:szCs w:val="18"/>
          <w:lang w:val="fr-FR"/>
        </w:rPr>
        <w:t>Biffer les mentions inutiles.</w:t>
      </w:r>
    </w:p>
  </w:footnote>
  <w:footnote w:id="16">
    <w:p w:rsidR="00145E4B" w:rsidRPr="003E772A" w:rsidRDefault="00145E4B" w:rsidP="00315142">
      <w:pPr>
        <w:pStyle w:val="FootnoteText"/>
        <w:rPr>
          <w:szCs w:val="18"/>
        </w:rPr>
      </w:pPr>
      <w:r w:rsidRPr="003E772A">
        <w:rPr>
          <w:szCs w:val="18"/>
        </w:rPr>
        <w:tab/>
      </w:r>
      <w:r w:rsidRPr="00315142">
        <w:rPr>
          <w:rStyle w:val="FootnoteReference"/>
        </w:rPr>
        <w:footnoteRef/>
      </w:r>
      <w:r w:rsidRPr="003E772A">
        <w:rPr>
          <w:szCs w:val="18"/>
        </w:rPr>
        <w:tab/>
        <w:t>Numéro distinctif du pays qui a accordé/étendu/refusé/retiré l</w:t>
      </w:r>
      <w:r>
        <w:rPr>
          <w:szCs w:val="18"/>
        </w:rPr>
        <w:t>’</w:t>
      </w:r>
      <w:r w:rsidRPr="003E772A">
        <w:rPr>
          <w:szCs w:val="18"/>
        </w:rPr>
        <w:t>homologation (voir les dispositions du Règlement relatives à l</w:t>
      </w:r>
      <w:r>
        <w:rPr>
          <w:szCs w:val="18"/>
        </w:rPr>
        <w:t>’</w:t>
      </w:r>
      <w:r w:rsidRPr="003E772A">
        <w:rPr>
          <w:szCs w:val="18"/>
        </w:rPr>
        <w:t>homologation).</w:t>
      </w:r>
    </w:p>
  </w:footnote>
  <w:footnote w:id="17">
    <w:p w:rsidR="00145E4B" w:rsidRPr="003E772A" w:rsidRDefault="00145E4B" w:rsidP="00315142">
      <w:pPr>
        <w:pStyle w:val="FootnoteText"/>
        <w:rPr>
          <w:szCs w:val="18"/>
        </w:rPr>
      </w:pPr>
      <w:r w:rsidRPr="003E772A">
        <w:rPr>
          <w:szCs w:val="18"/>
        </w:rPr>
        <w:tab/>
      </w:r>
      <w:r w:rsidRPr="00315142">
        <w:rPr>
          <w:rStyle w:val="FootnoteReference"/>
        </w:rPr>
        <w:footnoteRef/>
      </w:r>
      <w:r w:rsidRPr="003E772A">
        <w:rPr>
          <w:szCs w:val="18"/>
        </w:rPr>
        <w:tab/>
      </w:r>
      <w:r w:rsidRPr="003E772A">
        <w:rPr>
          <w:szCs w:val="18"/>
          <w:lang w:val="fr-FR"/>
        </w:rPr>
        <w:t>Biffer les mentions inutiles.</w:t>
      </w:r>
    </w:p>
  </w:footnote>
  <w:footnote w:id="18">
    <w:p w:rsidR="00145E4B" w:rsidRPr="00B01B68" w:rsidRDefault="00145E4B" w:rsidP="00315142">
      <w:pPr>
        <w:pStyle w:val="FootnoteText"/>
        <w:rPr>
          <w:b/>
          <w:szCs w:val="18"/>
        </w:rPr>
      </w:pPr>
      <w:r w:rsidRPr="003E772A">
        <w:rPr>
          <w:szCs w:val="18"/>
        </w:rPr>
        <w:tab/>
      </w:r>
      <w:r w:rsidRPr="00DE7470">
        <w:rPr>
          <w:rStyle w:val="FootnoteReference"/>
          <w:b/>
        </w:rPr>
        <w:footnoteRef/>
      </w:r>
      <w:r w:rsidRPr="00DE7470">
        <w:rPr>
          <w:b/>
          <w:szCs w:val="18"/>
        </w:rPr>
        <w:tab/>
      </w:r>
      <w:r w:rsidRPr="00B01B68">
        <w:rPr>
          <w:b/>
          <w:szCs w:val="18"/>
        </w:rPr>
        <w:t>Biffer les mentions inutiles.</w:t>
      </w:r>
    </w:p>
  </w:footnote>
  <w:footnote w:id="19">
    <w:p w:rsidR="00145E4B" w:rsidRPr="003E772A" w:rsidRDefault="00145E4B" w:rsidP="00315142">
      <w:pPr>
        <w:pStyle w:val="FootnoteText"/>
        <w:rPr>
          <w:szCs w:val="18"/>
        </w:rPr>
      </w:pPr>
      <w:r w:rsidRPr="003E772A">
        <w:rPr>
          <w:szCs w:val="18"/>
        </w:rPr>
        <w:tab/>
      </w:r>
      <w:r w:rsidRPr="00315142">
        <w:rPr>
          <w:rStyle w:val="FootnoteReference"/>
        </w:rPr>
        <w:footnoteRef/>
      </w:r>
      <w:r w:rsidRPr="003E772A">
        <w:rPr>
          <w:szCs w:val="18"/>
        </w:rPr>
        <w:tab/>
        <w:t>Biffer les mentions inutiles.</w:t>
      </w:r>
    </w:p>
  </w:footnote>
  <w:footnote w:id="20">
    <w:p w:rsidR="00145E4B" w:rsidRPr="003E772A" w:rsidRDefault="00145E4B" w:rsidP="00315142">
      <w:pPr>
        <w:pStyle w:val="FootnoteText"/>
        <w:rPr>
          <w:szCs w:val="18"/>
        </w:rPr>
      </w:pPr>
      <w:r w:rsidRPr="003E772A">
        <w:rPr>
          <w:szCs w:val="18"/>
        </w:rPr>
        <w:tab/>
      </w:r>
      <w:r w:rsidRPr="00315142">
        <w:rPr>
          <w:rStyle w:val="FootnoteReference"/>
        </w:rPr>
        <w:footnoteRef/>
      </w:r>
      <w:r w:rsidRPr="003E772A">
        <w:rPr>
          <w:szCs w:val="18"/>
        </w:rPr>
        <w:tab/>
        <w:t>Biffer les mentions inutiles</w:t>
      </w:r>
      <w:r>
        <w:rPr>
          <w:szCs w:val="18"/>
        </w:rPr>
        <w:t>.</w:t>
      </w:r>
    </w:p>
  </w:footnote>
  <w:footnote w:id="21">
    <w:p w:rsidR="00145E4B" w:rsidRPr="003E772A" w:rsidRDefault="00145E4B" w:rsidP="00315142">
      <w:pPr>
        <w:pStyle w:val="FootnoteText"/>
        <w:rPr>
          <w:szCs w:val="18"/>
        </w:rPr>
      </w:pPr>
      <w:r w:rsidRPr="003E772A">
        <w:rPr>
          <w:szCs w:val="18"/>
        </w:rPr>
        <w:tab/>
      </w:r>
      <w:r w:rsidRPr="00315142">
        <w:rPr>
          <w:rStyle w:val="FootnoteReference"/>
        </w:rPr>
        <w:footnoteRef/>
      </w:r>
      <w:r w:rsidRPr="003E772A">
        <w:rPr>
          <w:szCs w:val="18"/>
        </w:rPr>
        <w:tab/>
        <w:t>Biffer les mentions inutiles</w:t>
      </w:r>
      <w:r>
        <w:rPr>
          <w:szCs w:val="18"/>
        </w:rPr>
        <w:t>.</w:t>
      </w:r>
    </w:p>
  </w:footnote>
  <w:footnote w:id="22">
    <w:p w:rsidR="00145E4B" w:rsidRPr="003E772A" w:rsidRDefault="00145E4B" w:rsidP="00315142">
      <w:pPr>
        <w:pStyle w:val="FootnoteText"/>
        <w:rPr>
          <w:szCs w:val="18"/>
        </w:rPr>
      </w:pPr>
      <w:r w:rsidRPr="003E772A">
        <w:rPr>
          <w:szCs w:val="18"/>
        </w:rPr>
        <w:tab/>
      </w:r>
      <w:r w:rsidRPr="00315142">
        <w:rPr>
          <w:rStyle w:val="FootnoteReference"/>
        </w:rPr>
        <w:footnoteRef/>
      </w:r>
      <w:r w:rsidRPr="003E772A">
        <w:rPr>
          <w:szCs w:val="18"/>
        </w:rPr>
        <w:tab/>
        <w:t>GGA est un protocole au format NMEA-0183 défini aux paragraphes 2.14 et 7.3.1.</w:t>
      </w:r>
    </w:p>
  </w:footnote>
  <w:footnote w:id="23">
    <w:p w:rsidR="00145E4B" w:rsidRPr="003E772A" w:rsidRDefault="00145E4B" w:rsidP="00315142">
      <w:pPr>
        <w:pStyle w:val="FootnoteText"/>
        <w:rPr>
          <w:szCs w:val="18"/>
        </w:rPr>
      </w:pPr>
      <w:r w:rsidRPr="003E772A">
        <w:rPr>
          <w:szCs w:val="18"/>
        </w:rPr>
        <w:tab/>
      </w:r>
      <w:r w:rsidRPr="00315142">
        <w:rPr>
          <w:rStyle w:val="FootnoteReference"/>
        </w:rPr>
        <w:footnoteRef/>
      </w:r>
      <w:r w:rsidRPr="003E772A">
        <w:rPr>
          <w:szCs w:val="18"/>
        </w:rPr>
        <w:tab/>
        <w:t>Signifie mémoire vive.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4B" w:rsidRPr="00BD381E" w:rsidRDefault="00DF0776">
    <w:pPr>
      <w:pStyle w:val="Header"/>
    </w:pPr>
    <w:r>
      <w:fldChar w:fldCharType="begin"/>
    </w:r>
    <w:r>
      <w:instrText xml:space="preserve"> TITLE  \* MERGEFORMAT </w:instrText>
    </w:r>
    <w:r>
      <w:fldChar w:fldCharType="separate"/>
    </w:r>
    <w:r w:rsidR="00145E4B">
      <w:t>ECE/TRANS/WP.29/GRSG/2017/12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4B" w:rsidRPr="00BD381E" w:rsidRDefault="00DF0776" w:rsidP="00BD381E">
    <w:pPr>
      <w:pStyle w:val="Header"/>
      <w:jc w:val="right"/>
    </w:pPr>
    <w:r>
      <w:fldChar w:fldCharType="begin"/>
    </w:r>
    <w:r>
      <w:instrText xml:space="preserve"> TITLE  \* MERGEFORMAT </w:instrText>
    </w:r>
    <w:r>
      <w:fldChar w:fldCharType="separate"/>
    </w:r>
    <w:r w:rsidR="00145E4B">
      <w:t>ECE/TRANS/WP.29/GRSG/2017/12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1F163804"/>
    <w:multiLevelType w:val="hybridMultilevel"/>
    <w:tmpl w:val="3FD65930"/>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3">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3"/>
  </w:num>
  <w:num w:numId="2">
    <w:abstractNumId w:val="12"/>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567"/>
  <w:hyphenationZone w:val="425"/>
  <w:evenAndOddHeaders/>
  <w:characterSpacingControl w:val="doNotCompress"/>
  <w:hdrShapeDefaults>
    <o:shapedefaults v:ext="edit" spidmax="12289"/>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6FB"/>
    <w:rsid w:val="000059DF"/>
    <w:rsid w:val="00017F94"/>
    <w:rsid w:val="00023842"/>
    <w:rsid w:val="000334F9"/>
    <w:rsid w:val="00045431"/>
    <w:rsid w:val="00045FEB"/>
    <w:rsid w:val="0005040F"/>
    <w:rsid w:val="00056001"/>
    <w:rsid w:val="0007796D"/>
    <w:rsid w:val="00085B18"/>
    <w:rsid w:val="000A40DB"/>
    <w:rsid w:val="000B35C8"/>
    <w:rsid w:val="000B7790"/>
    <w:rsid w:val="000C7032"/>
    <w:rsid w:val="000D6937"/>
    <w:rsid w:val="000E22C4"/>
    <w:rsid w:val="000E33B9"/>
    <w:rsid w:val="000E5FE9"/>
    <w:rsid w:val="000F04A9"/>
    <w:rsid w:val="000F2A08"/>
    <w:rsid w:val="000F2BD1"/>
    <w:rsid w:val="000F41A5"/>
    <w:rsid w:val="001001B9"/>
    <w:rsid w:val="001053B9"/>
    <w:rsid w:val="00111F2F"/>
    <w:rsid w:val="0012036F"/>
    <w:rsid w:val="0014365E"/>
    <w:rsid w:val="00143A77"/>
    <w:rsid w:val="00143C66"/>
    <w:rsid w:val="00145E4B"/>
    <w:rsid w:val="0015137C"/>
    <w:rsid w:val="00163728"/>
    <w:rsid w:val="00176178"/>
    <w:rsid w:val="00190A2A"/>
    <w:rsid w:val="00192B6B"/>
    <w:rsid w:val="001950C4"/>
    <w:rsid w:val="001966C3"/>
    <w:rsid w:val="001A6666"/>
    <w:rsid w:val="001B12A0"/>
    <w:rsid w:val="001C4D25"/>
    <w:rsid w:val="001C74F4"/>
    <w:rsid w:val="001D1D2F"/>
    <w:rsid w:val="001E3173"/>
    <w:rsid w:val="001E3E84"/>
    <w:rsid w:val="001F525A"/>
    <w:rsid w:val="002008AE"/>
    <w:rsid w:val="00205771"/>
    <w:rsid w:val="00220933"/>
    <w:rsid w:val="00223272"/>
    <w:rsid w:val="0022372D"/>
    <w:rsid w:val="0022406E"/>
    <w:rsid w:val="00232AC5"/>
    <w:rsid w:val="00244C0D"/>
    <w:rsid w:val="0024779E"/>
    <w:rsid w:val="00257168"/>
    <w:rsid w:val="002609DD"/>
    <w:rsid w:val="00266D8F"/>
    <w:rsid w:val="00271D3F"/>
    <w:rsid w:val="002744B8"/>
    <w:rsid w:val="002832AC"/>
    <w:rsid w:val="002842FD"/>
    <w:rsid w:val="0028696E"/>
    <w:rsid w:val="00290201"/>
    <w:rsid w:val="00292ECF"/>
    <w:rsid w:val="00296D9D"/>
    <w:rsid w:val="002A1EF4"/>
    <w:rsid w:val="002B43EE"/>
    <w:rsid w:val="002B669D"/>
    <w:rsid w:val="002C21EE"/>
    <w:rsid w:val="002C48CA"/>
    <w:rsid w:val="002C74CB"/>
    <w:rsid w:val="002D1FA1"/>
    <w:rsid w:val="002D507C"/>
    <w:rsid w:val="002D7C93"/>
    <w:rsid w:val="002F0BC4"/>
    <w:rsid w:val="002F0D5A"/>
    <w:rsid w:val="002F316D"/>
    <w:rsid w:val="002F544C"/>
    <w:rsid w:val="00305801"/>
    <w:rsid w:val="00305F8B"/>
    <w:rsid w:val="00313D47"/>
    <w:rsid w:val="00315142"/>
    <w:rsid w:val="00331A8A"/>
    <w:rsid w:val="00331B0C"/>
    <w:rsid w:val="0038209A"/>
    <w:rsid w:val="0038778E"/>
    <w:rsid w:val="003916DE"/>
    <w:rsid w:val="003A1D35"/>
    <w:rsid w:val="003A2593"/>
    <w:rsid w:val="003A5076"/>
    <w:rsid w:val="003A73FA"/>
    <w:rsid w:val="003B0BA2"/>
    <w:rsid w:val="003B73D7"/>
    <w:rsid w:val="003C38E6"/>
    <w:rsid w:val="003C54FB"/>
    <w:rsid w:val="003E571C"/>
    <w:rsid w:val="00410973"/>
    <w:rsid w:val="00421DC9"/>
    <w:rsid w:val="004233B5"/>
    <w:rsid w:val="00432FF9"/>
    <w:rsid w:val="00441C3B"/>
    <w:rsid w:val="00446FE5"/>
    <w:rsid w:val="00451268"/>
    <w:rsid w:val="0045151C"/>
    <w:rsid w:val="00452396"/>
    <w:rsid w:val="004545F1"/>
    <w:rsid w:val="00454B91"/>
    <w:rsid w:val="0045730E"/>
    <w:rsid w:val="00467969"/>
    <w:rsid w:val="00476394"/>
    <w:rsid w:val="00477EEF"/>
    <w:rsid w:val="004837D8"/>
    <w:rsid w:val="00483D8B"/>
    <w:rsid w:val="004A0AE0"/>
    <w:rsid w:val="004A5744"/>
    <w:rsid w:val="004B0F78"/>
    <w:rsid w:val="004B3489"/>
    <w:rsid w:val="004C092A"/>
    <w:rsid w:val="004C1218"/>
    <w:rsid w:val="004C27E0"/>
    <w:rsid w:val="004D18C7"/>
    <w:rsid w:val="004E468C"/>
    <w:rsid w:val="004F4139"/>
    <w:rsid w:val="004F55F4"/>
    <w:rsid w:val="004F6605"/>
    <w:rsid w:val="005212EF"/>
    <w:rsid w:val="00522BA4"/>
    <w:rsid w:val="00524A3B"/>
    <w:rsid w:val="00524EB9"/>
    <w:rsid w:val="00526716"/>
    <w:rsid w:val="0054564A"/>
    <w:rsid w:val="00547248"/>
    <w:rsid w:val="005505B7"/>
    <w:rsid w:val="005615C9"/>
    <w:rsid w:val="00564ABF"/>
    <w:rsid w:val="00565AA2"/>
    <w:rsid w:val="00565BAB"/>
    <w:rsid w:val="00567A4B"/>
    <w:rsid w:val="00573BE5"/>
    <w:rsid w:val="00577C20"/>
    <w:rsid w:val="00586673"/>
    <w:rsid w:val="00586ED3"/>
    <w:rsid w:val="00592EA6"/>
    <w:rsid w:val="00596AA9"/>
    <w:rsid w:val="005B577D"/>
    <w:rsid w:val="005C0C39"/>
    <w:rsid w:val="005C35E7"/>
    <w:rsid w:val="005C5210"/>
    <w:rsid w:val="005C5971"/>
    <w:rsid w:val="005D225A"/>
    <w:rsid w:val="005D6BD3"/>
    <w:rsid w:val="005E3287"/>
    <w:rsid w:val="005E45F6"/>
    <w:rsid w:val="00603A0C"/>
    <w:rsid w:val="00607E34"/>
    <w:rsid w:val="00610435"/>
    <w:rsid w:val="00613DA0"/>
    <w:rsid w:val="00625CD1"/>
    <w:rsid w:val="0063569E"/>
    <w:rsid w:val="00660CAA"/>
    <w:rsid w:val="00683B03"/>
    <w:rsid w:val="00692315"/>
    <w:rsid w:val="006A1B16"/>
    <w:rsid w:val="006A7F61"/>
    <w:rsid w:val="006B5502"/>
    <w:rsid w:val="006B6E27"/>
    <w:rsid w:val="006C168F"/>
    <w:rsid w:val="006C60A8"/>
    <w:rsid w:val="006C6ACE"/>
    <w:rsid w:val="006D33D5"/>
    <w:rsid w:val="006E0F16"/>
    <w:rsid w:val="006E3A9C"/>
    <w:rsid w:val="006E75B4"/>
    <w:rsid w:val="006F46ED"/>
    <w:rsid w:val="006F6B63"/>
    <w:rsid w:val="00710A71"/>
    <w:rsid w:val="007152D3"/>
    <w:rsid w:val="00715CBF"/>
    <w:rsid w:val="0071601D"/>
    <w:rsid w:val="00732896"/>
    <w:rsid w:val="00734DD9"/>
    <w:rsid w:val="007514FD"/>
    <w:rsid w:val="0075263E"/>
    <w:rsid w:val="0078245B"/>
    <w:rsid w:val="00785E8A"/>
    <w:rsid w:val="007872E6"/>
    <w:rsid w:val="007875F2"/>
    <w:rsid w:val="007A4D21"/>
    <w:rsid w:val="007A62E6"/>
    <w:rsid w:val="007A6D13"/>
    <w:rsid w:val="007C4496"/>
    <w:rsid w:val="007D21B8"/>
    <w:rsid w:val="007D3356"/>
    <w:rsid w:val="007E3F53"/>
    <w:rsid w:val="007F20FA"/>
    <w:rsid w:val="007F2BDC"/>
    <w:rsid w:val="008026FB"/>
    <w:rsid w:val="00802878"/>
    <w:rsid w:val="00805E2E"/>
    <w:rsid w:val="0080684C"/>
    <w:rsid w:val="008077CB"/>
    <w:rsid w:val="00816872"/>
    <w:rsid w:val="0082478A"/>
    <w:rsid w:val="008275AC"/>
    <w:rsid w:val="00831FDD"/>
    <w:rsid w:val="0087042C"/>
    <w:rsid w:val="00870DC3"/>
    <w:rsid w:val="00871C75"/>
    <w:rsid w:val="008776DC"/>
    <w:rsid w:val="00880DC6"/>
    <w:rsid w:val="008840F2"/>
    <w:rsid w:val="00886C12"/>
    <w:rsid w:val="00892028"/>
    <w:rsid w:val="008A69D3"/>
    <w:rsid w:val="008D5CE1"/>
    <w:rsid w:val="008E2A25"/>
    <w:rsid w:val="008F4EFF"/>
    <w:rsid w:val="00902126"/>
    <w:rsid w:val="00902A56"/>
    <w:rsid w:val="00905F4D"/>
    <w:rsid w:val="009237B5"/>
    <w:rsid w:val="00923EC5"/>
    <w:rsid w:val="00941CE9"/>
    <w:rsid w:val="00942FB3"/>
    <w:rsid w:val="009446C0"/>
    <w:rsid w:val="00945382"/>
    <w:rsid w:val="00945EFE"/>
    <w:rsid w:val="00953834"/>
    <w:rsid w:val="009576C5"/>
    <w:rsid w:val="0096066C"/>
    <w:rsid w:val="00961374"/>
    <w:rsid w:val="00964DB7"/>
    <w:rsid w:val="009705C8"/>
    <w:rsid w:val="0097098E"/>
    <w:rsid w:val="0098780E"/>
    <w:rsid w:val="009B1618"/>
    <w:rsid w:val="009B546B"/>
    <w:rsid w:val="009C1CF4"/>
    <w:rsid w:val="009D0037"/>
    <w:rsid w:val="009E044E"/>
    <w:rsid w:val="009E0E88"/>
    <w:rsid w:val="009F1CF1"/>
    <w:rsid w:val="009F30AD"/>
    <w:rsid w:val="009F5B82"/>
    <w:rsid w:val="009F6B74"/>
    <w:rsid w:val="00A02F5A"/>
    <w:rsid w:val="00A10E66"/>
    <w:rsid w:val="00A128E7"/>
    <w:rsid w:val="00A13498"/>
    <w:rsid w:val="00A22689"/>
    <w:rsid w:val="00A233E3"/>
    <w:rsid w:val="00A26391"/>
    <w:rsid w:val="00A30353"/>
    <w:rsid w:val="00A304BA"/>
    <w:rsid w:val="00A55D9A"/>
    <w:rsid w:val="00A6696B"/>
    <w:rsid w:val="00A73F4C"/>
    <w:rsid w:val="00A8147A"/>
    <w:rsid w:val="00AA064D"/>
    <w:rsid w:val="00AA219E"/>
    <w:rsid w:val="00AA41DA"/>
    <w:rsid w:val="00AA64D6"/>
    <w:rsid w:val="00AB22D3"/>
    <w:rsid w:val="00AB47DD"/>
    <w:rsid w:val="00AC3823"/>
    <w:rsid w:val="00AD07D1"/>
    <w:rsid w:val="00AD3BE3"/>
    <w:rsid w:val="00AE323C"/>
    <w:rsid w:val="00AE4A0E"/>
    <w:rsid w:val="00AF0CB5"/>
    <w:rsid w:val="00AF40E2"/>
    <w:rsid w:val="00B00181"/>
    <w:rsid w:val="00B00B0D"/>
    <w:rsid w:val="00B165D8"/>
    <w:rsid w:val="00B16969"/>
    <w:rsid w:val="00B20909"/>
    <w:rsid w:val="00B32702"/>
    <w:rsid w:val="00B36BEF"/>
    <w:rsid w:val="00B519ED"/>
    <w:rsid w:val="00B55774"/>
    <w:rsid w:val="00B6271E"/>
    <w:rsid w:val="00B66E8F"/>
    <w:rsid w:val="00B765F7"/>
    <w:rsid w:val="00B77BC8"/>
    <w:rsid w:val="00B80515"/>
    <w:rsid w:val="00B916F2"/>
    <w:rsid w:val="00B950F1"/>
    <w:rsid w:val="00B97C65"/>
    <w:rsid w:val="00BA0CA9"/>
    <w:rsid w:val="00BB7489"/>
    <w:rsid w:val="00BC0A77"/>
    <w:rsid w:val="00BD2930"/>
    <w:rsid w:val="00BD381E"/>
    <w:rsid w:val="00BE339C"/>
    <w:rsid w:val="00BE56A1"/>
    <w:rsid w:val="00C02897"/>
    <w:rsid w:val="00C0315E"/>
    <w:rsid w:val="00C0432E"/>
    <w:rsid w:val="00C04D8E"/>
    <w:rsid w:val="00C059E9"/>
    <w:rsid w:val="00C13116"/>
    <w:rsid w:val="00C134CD"/>
    <w:rsid w:val="00C1730C"/>
    <w:rsid w:val="00C356AD"/>
    <w:rsid w:val="00C42EED"/>
    <w:rsid w:val="00C43333"/>
    <w:rsid w:val="00C50ED6"/>
    <w:rsid w:val="00C609FB"/>
    <w:rsid w:val="00C6207D"/>
    <w:rsid w:val="00C63166"/>
    <w:rsid w:val="00C71BB5"/>
    <w:rsid w:val="00C759CE"/>
    <w:rsid w:val="00C77A2D"/>
    <w:rsid w:val="00C80BC2"/>
    <w:rsid w:val="00C91D20"/>
    <w:rsid w:val="00C92842"/>
    <w:rsid w:val="00C97039"/>
    <w:rsid w:val="00CB37E1"/>
    <w:rsid w:val="00CD0FAF"/>
    <w:rsid w:val="00CE5AA2"/>
    <w:rsid w:val="00CF113F"/>
    <w:rsid w:val="00CF2784"/>
    <w:rsid w:val="00CF30E3"/>
    <w:rsid w:val="00CF396E"/>
    <w:rsid w:val="00D24954"/>
    <w:rsid w:val="00D24B39"/>
    <w:rsid w:val="00D2561F"/>
    <w:rsid w:val="00D325A4"/>
    <w:rsid w:val="00D3439C"/>
    <w:rsid w:val="00D64038"/>
    <w:rsid w:val="00D64437"/>
    <w:rsid w:val="00D668A1"/>
    <w:rsid w:val="00D80914"/>
    <w:rsid w:val="00D818F4"/>
    <w:rsid w:val="00D960C3"/>
    <w:rsid w:val="00D96AB2"/>
    <w:rsid w:val="00DA623A"/>
    <w:rsid w:val="00DB1831"/>
    <w:rsid w:val="00DD1DEF"/>
    <w:rsid w:val="00DD3A19"/>
    <w:rsid w:val="00DD3BFD"/>
    <w:rsid w:val="00DE1249"/>
    <w:rsid w:val="00DE69A2"/>
    <w:rsid w:val="00DE7470"/>
    <w:rsid w:val="00DF0776"/>
    <w:rsid w:val="00DF1E67"/>
    <w:rsid w:val="00DF48F0"/>
    <w:rsid w:val="00DF6678"/>
    <w:rsid w:val="00E00474"/>
    <w:rsid w:val="00E07570"/>
    <w:rsid w:val="00E179B4"/>
    <w:rsid w:val="00E26107"/>
    <w:rsid w:val="00E34992"/>
    <w:rsid w:val="00E427CC"/>
    <w:rsid w:val="00E5004A"/>
    <w:rsid w:val="00E51C57"/>
    <w:rsid w:val="00E6493D"/>
    <w:rsid w:val="00E64F65"/>
    <w:rsid w:val="00E72DCA"/>
    <w:rsid w:val="00E85307"/>
    <w:rsid w:val="00E85C74"/>
    <w:rsid w:val="00E975CD"/>
    <w:rsid w:val="00EA2FC7"/>
    <w:rsid w:val="00EA4196"/>
    <w:rsid w:val="00EA6547"/>
    <w:rsid w:val="00EA7B3C"/>
    <w:rsid w:val="00EB6ADB"/>
    <w:rsid w:val="00EB77B8"/>
    <w:rsid w:val="00EC6877"/>
    <w:rsid w:val="00EF24CB"/>
    <w:rsid w:val="00EF2E22"/>
    <w:rsid w:val="00F01084"/>
    <w:rsid w:val="00F1714B"/>
    <w:rsid w:val="00F23B90"/>
    <w:rsid w:val="00F35BAF"/>
    <w:rsid w:val="00F37098"/>
    <w:rsid w:val="00F42D28"/>
    <w:rsid w:val="00F5053D"/>
    <w:rsid w:val="00F660DF"/>
    <w:rsid w:val="00F706DE"/>
    <w:rsid w:val="00F81A1E"/>
    <w:rsid w:val="00F93582"/>
    <w:rsid w:val="00F94664"/>
    <w:rsid w:val="00F9573C"/>
    <w:rsid w:val="00F95C08"/>
    <w:rsid w:val="00FA1550"/>
    <w:rsid w:val="00FA527C"/>
    <w:rsid w:val="00FA6B28"/>
    <w:rsid w:val="00FB1703"/>
    <w:rsid w:val="00FB1EE9"/>
    <w:rsid w:val="00FB78C7"/>
    <w:rsid w:val="00FD1CD8"/>
    <w:rsid w:val="00FD3A79"/>
    <w:rsid w:val="00FD66A4"/>
    <w:rsid w:val="00FE0F49"/>
    <w:rsid w:val="00FF331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No Lis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832AC"/>
    <w:pPr>
      <w:suppressAutoHyphens/>
      <w:kinsoku w:val="0"/>
      <w:overflowPunct w:val="0"/>
      <w:autoSpaceDE w:val="0"/>
      <w:autoSpaceDN w:val="0"/>
      <w:adjustRightInd w:val="0"/>
      <w:snapToGrid w:val="0"/>
      <w:spacing w:after="0" w:line="240" w:lineRule="atLeast"/>
    </w:pPr>
    <w:rPr>
      <w:rFonts w:ascii="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80684C"/>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80684C"/>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eastAsia="en-US"/>
    </w:rPr>
  </w:style>
  <w:style w:type="paragraph" w:styleId="Footer">
    <w:name w:val="footer"/>
    <w:aliases w:val="3_G"/>
    <w:basedOn w:val="Normal"/>
    <w:next w:val="Normal"/>
    <w:link w:val="FooterChar"/>
    <w:qFormat/>
    <w:rsid w:val="0080684C"/>
    <w:pPr>
      <w:spacing w:line="240" w:lineRule="auto"/>
    </w:pPr>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Normal"/>
    <w:qFormat/>
    <w:rsid w:val="00DF6678"/>
    <w:pPr>
      <w:numPr>
        <w:numId w:val="3"/>
      </w:numPr>
      <w:tabs>
        <w:tab w:val="clear" w:pos="1701"/>
      </w:tabs>
      <w:spacing w:after="120"/>
      <w:ind w:right="1134"/>
      <w:jc w:val="both"/>
    </w:pPr>
  </w:style>
  <w:style w:type="character" w:styleId="FootnoteReference">
    <w:name w:val="footnote reference"/>
    <w:aliases w:val="4_G,(Footnote Reference),-E Fußnotenzeichen,BVI fnr, BVI fnr,Footnote symbol,Footnote,Footnote Reference Superscript,SUPERS,4_GR"/>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023842"/>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4837D8"/>
    <w:rPr>
      <w:color w:val="0000FF"/>
      <w:u w:val="none"/>
    </w:rPr>
  </w:style>
  <w:style w:type="character" w:styleId="FollowedHyperlink">
    <w:name w:val="FollowedHyperlink"/>
    <w:basedOn w:val="DefaultParagraphFont"/>
    <w:unhideWhenUsed/>
    <w:rsid w:val="004837D8"/>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 w:type="character" w:customStyle="1" w:styleId="SingleTxtGChar">
    <w:name w:val="_ Single Txt_G Char"/>
    <w:link w:val="SingleTxtG"/>
    <w:rsid w:val="002D1FA1"/>
    <w:rPr>
      <w:rFonts w:ascii="Times New Roman" w:hAnsi="Times New Roman" w:cs="Times New Roman"/>
      <w:sz w:val="20"/>
      <w:szCs w:val="20"/>
      <w:lang w:eastAsia="en-US"/>
    </w:rPr>
  </w:style>
  <w:style w:type="paragraph" w:styleId="NormalWeb">
    <w:name w:val="Normal (Web)"/>
    <w:basedOn w:val="Normal"/>
    <w:uiPriority w:val="99"/>
    <w:semiHidden/>
    <w:unhideWhenUsed/>
    <w:rsid w:val="005D6BD3"/>
    <w:pPr>
      <w:suppressAutoHyphens w:val="0"/>
      <w:kinsoku/>
      <w:overflowPunct/>
      <w:autoSpaceDE/>
      <w:autoSpaceDN/>
      <w:adjustRightInd/>
      <w:snapToGrid/>
      <w:spacing w:before="100" w:beforeAutospacing="1" w:after="100" w:afterAutospacing="1" w:line="240" w:lineRule="auto"/>
    </w:pPr>
    <w:rPr>
      <w:rFonts w:eastAsiaTheme="minorEastAsia"/>
      <w:sz w:val="24"/>
      <w:szCs w:val="24"/>
      <w:lang w:eastAsia="fr-CH"/>
    </w:rPr>
  </w:style>
  <w:style w:type="paragraph" w:customStyle="1" w:styleId="1">
    <w:name w:val="Стиль1"/>
    <w:basedOn w:val="PlainText"/>
    <w:link w:val="10"/>
    <w:rsid w:val="00B97C65"/>
    <w:pPr>
      <w:suppressAutoHyphens w:val="0"/>
      <w:kinsoku/>
      <w:overflowPunct/>
      <w:adjustRightInd/>
      <w:snapToGrid/>
      <w:ind w:firstLine="709"/>
      <w:jc w:val="both"/>
    </w:pPr>
    <w:rPr>
      <w:rFonts w:ascii="Times New Roman" w:hAnsi="Times New Roman" w:cs="Times New Roman"/>
      <w:sz w:val="24"/>
      <w:szCs w:val="20"/>
      <w:lang w:val="en-GB"/>
    </w:rPr>
  </w:style>
  <w:style w:type="character" w:customStyle="1" w:styleId="10">
    <w:name w:val="Стиль1 Знак"/>
    <w:link w:val="1"/>
    <w:locked/>
    <w:rsid w:val="00B97C65"/>
    <w:rPr>
      <w:rFonts w:ascii="Times New Roman" w:hAnsi="Times New Roman" w:cs="Times New Roman"/>
      <w:sz w:val="24"/>
      <w:szCs w:val="20"/>
      <w:lang w:val="en-GB" w:eastAsia="en-US"/>
    </w:rPr>
  </w:style>
  <w:style w:type="paragraph" w:styleId="PlainText">
    <w:name w:val="Plain Text"/>
    <w:basedOn w:val="Normal"/>
    <w:link w:val="PlainTextChar"/>
    <w:uiPriority w:val="99"/>
    <w:semiHidden/>
    <w:unhideWhenUsed/>
    <w:rsid w:val="00B97C65"/>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97C65"/>
    <w:rPr>
      <w:rFonts w:ascii="Consolas" w:hAnsi="Consolas" w:cs="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No Lis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832AC"/>
    <w:pPr>
      <w:suppressAutoHyphens/>
      <w:kinsoku w:val="0"/>
      <w:overflowPunct w:val="0"/>
      <w:autoSpaceDE w:val="0"/>
      <w:autoSpaceDN w:val="0"/>
      <w:adjustRightInd w:val="0"/>
      <w:snapToGrid w:val="0"/>
      <w:spacing w:after="0" w:line="240" w:lineRule="atLeast"/>
    </w:pPr>
    <w:rPr>
      <w:rFonts w:ascii="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80684C"/>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80684C"/>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eastAsia="en-US"/>
    </w:rPr>
  </w:style>
  <w:style w:type="paragraph" w:styleId="Footer">
    <w:name w:val="footer"/>
    <w:aliases w:val="3_G"/>
    <w:basedOn w:val="Normal"/>
    <w:next w:val="Normal"/>
    <w:link w:val="FooterChar"/>
    <w:qFormat/>
    <w:rsid w:val="0080684C"/>
    <w:pPr>
      <w:spacing w:line="240" w:lineRule="auto"/>
    </w:pPr>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Normal"/>
    <w:qFormat/>
    <w:rsid w:val="00DF6678"/>
    <w:pPr>
      <w:numPr>
        <w:numId w:val="3"/>
      </w:numPr>
      <w:tabs>
        <w:tab w:val="clear" w:pos="1701"/>
      </w:tabs>
      <w:spacing w:after="120"/>
      <w:ind w:right="1134"/>
      <w:jc w:val="both"/>
    </w:pPr>
  </w:style>
  <w:style w:type="character" w:styleId="FootnoteReference">
    <w:name w:val="footnote reference"/>
    <w:aliases w:val="4_G,(Footnote Reference),-E Fußnotenzeichen,BVI fnr, BVI fnr,Footnote symbol,Footnote,Footnote Reference Superscript,SUPERS,4_GR"/>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023842"/>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4837D8"/>
    <w:rPr>
      <w:color w:val="0000FF"/>
      <w:u w:val="none"/>
    </w:rPr>
  </w:style>
  <w:style w:type="character" w:styleId="FollowedHyperlink">
    <w:name w:val="FollowedHyperlink"/>
    <w:basedOn w:val="DefaultParagraphFont"/>
    <w:unhideWhenUsed/>
    <w:rsid w:val="004837D8"/>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 w:type="character" w:customStyle="1" w:styleId="SingleTxtGChar">
    <w:name w:val="_ Single Txt_G Char"/>
    <w:link w:val="SingleTxtG"/>
    <w:rsid w:val="002D1FA1"/>
    <w:rPr>
      <w:rFonts w:ascii="Times New Roman" w:hAnsi="Times New Roman" w:cs="Times New Roman"/>
      <w:sz w:val="20"/>
      <w:szCs w:val="20"/>
      <w:lang w:eastAsia="en-US"/>
    </w:rPr>
  </w:style>
  <w:style w:type="paragraph" w:styleId="NormalWeb">
    <w:name w:val="Normal (Web)"/>
    <w:basedOn w:val="Normal"/>
    <w:uiPriority w:val="99"/>
    <w:semiHidden/>
    <w:unhideWhenUsed/>
    <w:rsid w:val="005D6BD3"/>
    <w:pPr>
      <w:suppressAutoHyphens w:val="0"/>
      <w:kinsoku/>
      <w:overflowPunct/>
      <w:autoSpaceDE/>
      <w:autoSpaceDN/>
      <w:adjustRightInd/>
      <w:snapToGrid/>
      <w:spacing w:before="100" w:beforeAutospacing="1" w:after="100" w:afterAutospacing="1" w:line="240" w:lineRule="auto"/>
    </w:pPr>
    <w:rPr>
      <w:rFonts w:eastAsiaTheme="minorEastAsia"/>
      <w:sz w:val="24"/>
      <w:szCs w:val="24"/>
      <w:lang w:eastAsia="fr-CH"/>
    </w:rPr>
  </w:style>
  <w:style w:type="paragraph" w:customStyle="1" w:styleId="1">
    <w:name w:val="Стиль1"/>
    <w:basedOn w:val="PlainText"/>
    <w:link w:val="10"/>
    <w:rsid w:val="00B97C65"/>
    <w:pPr>
      <w:suppressAutoHyphens w:val="0"/>
      <w:kinsoku/>
      <w:overflowPunct/>
      <w:adjustRightInd/>
      <w:snapToGrid/>
      <w:ind w:firstLine="709"/>
      <w:jc w:val="both"/>
    </w:pPr>
    <w:rPr>
      <w:rFonts w:ascii="Times New Roman" w:hAnsi="Times New Roman" w:cs="Times New Roman"/>
      <w:sz w:val="24"/>
      <w:szCs w:val="20"/>
      <w:lang w:val="en-GB"/>
    </w:rPr>
  </w:style>
  <w:style w:type="character" w:customStyle="1" w:styleId="10">
    <w:name w:val="Стиль1 Знак"/>
    <w:link w:val="1"/>
    <w:locked/>
    <w:rsid w:val="00B97C65"/>
    <w:rPr>
      <w:rFonts w:ascii="Times New Roman" w:hAnsi="Times New Roman" w:cs="Times New Roman"/>
      <w:sz w:val="24"/>
      <w:szCs w:val="20"/>
      <w:lang w:val="en-GB" w:eastAsia="en-US"/>
    </w:rPr>
  </w:style>
  <w:style w:type="paragraph" w:styleId="PlainText">
    <w:name w:val="Plain Text"/>
    <w:basedOn w:val="Normal"/>
    <w:link w:val="PlainTextChar"/>
    <w:uiPriority w:val="99"/>
    <w:semiHidden/>
    <w:unhideWhenUsed/>
    <w:rsid w:val="00B97C65"/>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97C65"/>
    <w:rPr>
      <w:rFonts w:ascii="Consolas"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1.bin"/><Relationship Id="rId42" Type="http://schemas.openxmlformats.org/officeDocument/2006/relationships/oleObject" Target="embeddings/oleObject15.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wmf"/><Relationship Id="rId40" Type="http://schemas.openxmlformats.org/officeDocument/2006/relationships/oleObject" Target="embeddings/oleObject14.bin"/><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header" Target="header1.xml"/><Relationship Id="rId19" Type="http://schemas.openxmlformats.org/officeDocument/2006/relationships/oleObject" Target="embeddings/oleObject4.bin"/><Relationship Id="rId31" Type="http://schemas.openxmlformats.org/officeDocument/2006/relationships/image" Target="media/image11.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image" Target="media/image17.png"/><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20" Type="http://schemas.openxmlformats.org/officeDocument/2006/relationships/image" Target="media/image5.png"/><Relationship Id="rId41" Type="http://schemas.openxmlformats.org/officeDocument/2006/relationships/image" Target="media/image16.wmf"/></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51826-78D3-4539-AB29-CAE424A9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24193</Words>
  <Characters>137904</Characters>
  <Application>Microsoft Office Word</Application>
  <DocSecurity>4</DocSecurity>
  <Lines>1149</Lines>
  <Paragraphs>323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ECE/TRANS/WP.29/GRSG/2017/12</vt:lpstr>
      <vt:lpstr>ECE/TRANS/WP.29/GRSG/2017/12</vt:lpstr>
    </vt:vector>
  </TitlesOfParts>
  <Company>DCM</Company>
  <LinksUpToDate>false</LinksUpToDate>
  <CharactersWithSpaces>161774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ECE/TRANS/WP.29/GRSG/2017/12</dc:title>
  <dc:creator>Robert Corinne</dc:creator>
  <cp:lastModifiedBy>Benedicte Boudol</cp:lastModifiedBy>
  <cp:revision>2</cp:revision>
  <cp:lastPrinted>2017-03-15T07:00:00Z</cp:lastPrinted>
  <dcterms:created xsi:type="dcterms:W3CDTF">2017-03-15T09:18:00Z</dcterms:created>
  <dcterms:modified xsi:type="dcterms:W3CDTF">2017-03-15T09:18:00Z</dcterms:modified>
</cp:coreProperties>
</file>