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1D04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1D04BE" w:rsidP="001D04BE">
            <w:pPr>
              <w:jc w:val="right"/>
            </w:pPr>
            <w:r w:rsidRPr="001D04BE">
              <w:rPr>
                <w:sz w:val="40"/>
              </w:rPr>
              <w:t>ECE</w:t>
            </w:r>
            <w:r>
              <w:t>/TRANS/WP.29/GRSG/2017/29</w:t>
            </w:r>
          </w:p>
        </w:tc>
      </w:tr>
      <w:tr w:rsidR="002D5AAC" w:rsidRPr="001D04BE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1D04BE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1D04BE" w:rsidRDefault="001D04BE" w:rsidP="001D04B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28 July 2017</w:t>
            </w:r>
          </w:p>
          <w:p w:rsidR="001D04BE" w:rsidRDefault="001D04BE" w:rsidP="001D04B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1D04BE" w:rsidRPr="008D53B6" w:rsidRDefault="001D04BE" w:rsidP="001D04B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75842">
      <w:pPr>
        <w:spacing w:before="120" w:after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510B90" w:rsidRPr="00275842" w:rsidRDefault="00510B90" w:rsidP="00275842">
      <w:pPr>
        <w:spacing w:after="120"/>
        <w:rPr>
          <w:sz w:val="28"/>
          <w:szCs w:val="28"/>
        </w:rPr>
      </w:pPr>
      <w:r w:rsidRPr="00275842">
        <w:rPr>
          <w:sz w:val="28"/>
          <w:szCs w:val="28"/>
        </w:rPr>
        <w:t>Комитет по внутреннему транспорту</w:t>
      </w:r>
    </w:p>
    <w:p w:rsidR="00510B90" w:rsidRPr="00275842" w:rsidRDefault="00510B90" w:rsidP="00275842">
      <w:pPr>
        <w:spacing w:after="120"/>
        <w:rPr>
          <w:b/>
          <w:bCs/>
          <w:sz w:val="24"/>
          <w:szCs w:val="24"/>
        </w:rPr>
      </w:pPr>
      <w:r w:rsidRPr="00275842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275842">
        <w:rPr>
          <w:b/>
          <w:bCs/>
          <w:sz w:val="24"/>
          <w:szCs w:val="24"/>
        </w:rPr>
        <w:br/>
        <w:t>в области транспортных средств</w:t>
      </w:r>
    </w:p>
    <w:p w:rsidR="00510B90" w:rsidRPr="00275842" w:rsidRDefault="00510B90" w:rsidP="00275842">
      <w:pPr>
        <w:spacing w:after="120"/>
        <w:rPr>
          <w:b/>
          <w:bCs/>
        </w:rPr>
      </w:pPr>
      <w:r w:rsidRPr="00275842">
        <w:rPr>
          <w:b/>
          <w:bCs/>
        </w:rPr>
        <w:t>Рабочая группа по общим предписаниям,</w:t>
      </w:r>
      <w:r w:rsidRPr="00275842">
        <w:rPr>
          <w:b/>
          <w:bCs/>
        </w:rPr>
        <w:br/>
        <w:t>касающимся безопасности</w:t>
      </w:r>
    </w:p>
    <w:p w:rsidR="00510B90" w:rsidRPr="00275842" w:rsidRDefault="00510B90" w:rsidP="00510B90">
      <w:pPr>
        <w:rPr>
          <w:b/>
          <w:bCs/>
        </w:rPr>
      </w:pPr>
      <w:r w:rsidRPr="00275842">
        <w:rPr>
          <w:b/>
          <w:bCs/>
        </w:rPr>
        <w:t>113-я сессия</w:t>
      </w:r>
    </w:p>
    <w:p w:rsidR="00510B90" w:rsidRPr="00510B90" w:rsidRDefault="00510B90" w:rsidP="00510B90">
      <w:r w:rsidRPr="00510B90">
        <w:t>Женева, 10–13 октября 2017 года</w:t>
      </w:r>
    </w:p>
    <w:p w:rsidR="00510B90" w:rsidRPr="00510B90" w:rsidRDefault="00510B90" w:rsidP="00510B90">
      <w:r w:rsidRPr="00510B90">
        <w:t>Пункт 6 b) предварительной повестки дня</w:t>
      </w:r>
    </w:p>
    <w:p w:rsidR="00510B90" w:rsidRPr="00275842" w:rsidRDefault="00510B90" w:rsidP="00510B90">
      <w:pPr>
        <w:rPr>
          <w:b/>
          <w:bCs/>
        </w:rPr>
      </w:pPr>
      <w:r w:rsidRPr="00275842">
        <w:rPr>
          <w:b/>
          <w:bCs/>
        </w:rPr>
        <w:t xml:space="preserve">Поправки к правилам, касающимся транспортных </w:t>
      </w:r>
      <w:r w:rsidRPr="00275842">
        <w:rPr>
          <w:b/>
          <w:bCs/>
        </w:rPr>
        <w:br/>
        <w:t xml:space="preserve">средств, работающих на газе: Правила № 110 </w:t>
      </w:r>
      <w:r w:rsidRPr="00275842">
        <w:rPr>
          <w:b/>
          <w:bCs/>
        </w:rPr>
        <w:br/>
        <w:t>(транспортные средства, работающие на КПГ и СПГ)</w:t>
      </w:r>
    </w:p>
    <w:p w:rsidR="00510B90" w:rsidRPr="00510B90" w:rsidRDefault="00510B90" w:rsidP="00510B90">
      <w:pPr>
        <w:pStyle w:val="HChGR"/>
      </w:pPr>
      <w:r w:rsidRPr="00510B90">
        <w:tab/>
      </w:r>
      <w:r w:rsidRPr="00510B90">
        <w:tab/>
        <w:t>Предложение по поправкам к Правилам № 110 (транспортные средства, работающие на КПГ и СПГ)</w:t>
      </w:r>
    </w:p>
    <w:p w:rsidR="00510B90" w:rsidRPr="00510B90" w:rsidRDefault="00510B90" w:rsidP="00510B90">
      <w:pPr>
        <w:pStyle w:val="H1GR"/>
        <w:rPr>
          <w:vertAlign w:val="superscript"/>
        </w:rPr>
      </w:pPr>
      <w:r>
        <w:rPr>
          <w:lang w:val="en-US"/>
        </w:rPr>
        <w:tab/>
      </w:r>
      <w:r>
        <w:rPr>
          <w:lang w:val="en-US"/>
        </w:rPr>
        <w:tab/>
      </w:r>
      <w:r w:rsidRPr="00510B90">
        <w:t>Представлено экспертом от Италии</w:t>
      </w:r>
      <w:r w:rsidRPr="00510B90">
        <w:rPr>
          <w:b w:val="0"/>
          <w:bCs/>
          <w:sz w:val="20"/>
        </w:rPr>
        <w:footnoteReference w:customMarkFollows="1" w:id="1"/>
        <w:t>*</w:t>
      </w:r>
    </w:p>
    <w:p w:rsidR="00510B90" w:rsidRPr="00510B90" w:rsidRDefault="00510B90" w:rsidP="00476DBA">
      <w:pPr>
        <w:pStyle w:val="SingleTxtGR"/>
      </w:pPr>
      <w:r>
        <w:rPr>
          <w:lang w:val="en-US"/>
        </w:rPr>
        <w:tab/>
      </w:r>
      <w:r w:rsidRPr="00510B90">
        <w:t>Воспроизведенный ниже текст был подготовлен экспертом от Италии в порядке внесения в приложение 3А к Правилам поправок, касающихся треб</w:t>
      </w:r>
      <w:r w:rsidRPr="00510B90">
        <w:t>о</w:t>
      </w:r>
      <w:r w:rsidRPr="00510B90">
        <w:t xml:space="preserve">ваний к испытаниям для целей </w:t>
      </w:r>
      <w:r w:rsidRPr="00510B90">
        <w:rPr>
          <w:bCs/>
        </w:rPr>
        <w:t>периодической проверки баллонов для компр</w:t>
      </w:r>
      <w:r w:rsidRPr="00510B90">
        <w:rPr>
          <w:bCs/>
        </w:rPr>
        <w:t>и</w:t>
      </w:r>
      <w:r w:rsidRPr="00510B90">
        <w:rPr>
          <w:bCs/>
        </w:rPr>
        <w:t>мированного природного газа (КПГ) на соответствие установленным требов</w:t>
      </w:r>
      <w:r w:rsidRPr="00510B90">
        <w:rPr>
          <w:bCs/>
        </w:rPr>
        <w:t>а</w:t>
      </w:r>
      <w:r w:rsidRPr="00510B90">
        <w:rPr>
          <w:bCs/>
        </w:rPr>
        <w:t>ниям</w:t>
      </w:r>
      <w:r w:rsidRPr="00510B90">
        <w:t xml:space="preserve"> во избежание повреждения конструкции </w:t>
      </w:r>
      <w:r w:rsidRPr="00510B90">
        <w:rPr>
          <w:bCs/>
        </w:rPr>
        <w:t xml:space="preserve">баллонов </w:t>
      </w:r>
      <w:r w:rsidRPr="00510B90">
        <w:t xml:space="preserve">в течение срока их службы. В его основу положен неофициальный документ </w:t>
      </w:r>
      <w:r w:rsidRPr="00510B90">
        <w:rPr>
          <w:lang w:val="en-GB"/>
        </w:rPr>
        <w:t>GRSG</w:t>
      </w:r>
      <w:r w:rsidRPr="00510B90">
        <w:t>-112-28, ра</w:t>
      </w:r>
      <w:r w:rsidRPr="00510B90">
        <w:t>с</w:t>
      </w:r>
      <w:r w:rsidRPr="00510B90">
        <w:t xml:space="preserve">пространенный в ходе 112-й сессии Рабочей группы </w:t>
      </w:r>
      <w:proofErr w:type="gramStart"/>
      <w:r w:rsidRPr="00510B90">
        <w:t>по</w:t>
      </w:r>
      <w:proofErr w:type="gramEnd"/>
      <w:r w:rsidRPr="00510B90">
        <w:t xml:space="preserve"> </w:t>
      </w:r>
      <w:proofErr w:type="gramStart"/>
      <w:r w:rsidRPr="00510B90">
        <w:t>общим</w:t>
      </w:r>
      <w:proofErr w:type="gramEnd"/>
      <w:r w:rsidRPr="00510B90">
        <w:t xml:space="preserve"> предписаниям, касающимся безопасности (</w:t>
      </w:r>
      <w:r w:rsidRPr="00510B90">
        <w:rPr>
          <w:lang w:val="en-GB"/>
        </w:rPr>
        <w:t>GRSG</w:t>
      </w:r>
      <w:r w:rsidRPr="00510B90">
        <w:t xml:space="preserve">) (см. доклад </w:t>
      </w:r>
      <w:r w:rsidRPr="00510B90">
        <w:rPr>
          <w:lang w:val="en-GB"/>
        </w:rPr>
        <w:t>ECE</w:t>
      </w:r>
      <w:r w:rsidRPr="00510B90">
        <w:t>/</w:t>
      </w:r>
      <w:r w:rsidRPr="00510B90">
        <w:rPr>
          <w:lang w:val="en-GB"/>
        </w:rPr>
        <w:t>TRANS</w:t>
      </w:r>
      <w:r w:rsidRPr="00510B90">
        <w:t>/</w:t>
      </w:r>
      <w:r w:rsidRPr="00510B90">
        <w:rPr>
          <w:lang w:val="en-GB"/>
        </w:rPr>
        <w:t>WP</w:t>
      </w:r>
      <w:r w:rsidRPr="00510B90">
        <w:t>.29/</w:t>
      </w:r>
      <w:r w:rsidRPr="00510B90">
        <w:rPr>
          <w:lang w:val="en-GB"/>
        </w:rPr>
        <w:t>GRSG</w:t>
      </w:r>
      <w:r w:rsidRPr="00510B90">
        <w:t>/91, пункт 32). Изменения к нынешнему тексту Правил №</w:t>
      </w:r>
      <w:r w:rsidRPr="00510B90">
        <w:rPr>
          <w:lang w:val="en-US"/>
        </w:rPr>
        <w:t> </w:t>
      </w:r>
      <w:r w:rsidRPr="00510B90">
        <w:t>110 ООН выделены жи</w:t>
      </w:r>
      <w:r w:rsidRPr="00510B90">
        <w:t>р</w:t>
      </w:r>
      <w:r w:rsidRPr="00510B90">
        <w:t>ным шрифтом в случае новых положений или зачеркиванием в случае искл</w:t>
      </w:r>
      <w:r w:rsidRPr="00510B90">
        <w:t>ю</w:t>
      </w:r>
      <w:r w:rsidRPr="00510B90">
        <w:t>ченных элементов.</w:t>
      </w:r>
    </w:p>
    <w:p w:rsidR="00510B90" w:rsidRPr="00510B90" w:rsidRDefault="00510B90" w:rsidP="00275842">
      <w:pPr>
        <w:pStyle w:val="HChGR"/>
      </w:pPr>
      <w:r w:rsidRPr="00510B90">
        <w:br w:type="page"/>
      </w:r>
      <w:r w:rsidR="00275842">
        <w:rPr>
          <w:lang w:val="en-US"/>
        </w:rPr>
        <w:lastRenderedPageBreak/>
        <w:tab/>
      </w:r>
      <w:r w:rsidRPr="00510B90">
        <w:rPr>
          <w:lang w:val="en-GB"/>
        </w:rPr>
        <w:t>I</w:t>
      </w:r>
      <w:r w:rsidRPr="00510B90">
        <w:t>.</w:t>
      </w:r>
      <w:r w:rsidRPr="00510B90">
        <w:tab/>
        <w:t>Предложение</w:t>
      </w:r>
    </w:p>
    <w:p w:rsidR="00510B90" w:rsidRPr="00510B90" w:rsidRDefault="00510B90" w:rsidP="00510B90">
      <w:pPr>
        <w:pStyle w:val="SingleTxtGR"/>
        <w:rPr>
          <w:bCs/>
          <w:i/>
        </w:rPr>
      </w:pPr>
      <w:r w:rsidRPr="00510B90">
        <w:rPr>
          <w:bCs/>
          <w:i/>
        </w:rPr>
        <w:t>Приложение 3</w:t>
      </w:r>
      <w:r w:rsidRPr="00510B90">
        <w:rPr>
          <w:bCs/>
          <w:i/>
          <w:lang w:val="en"/>
        </w:rPr>
        <w:t>A</w:t>
      </w:r>
    </w:p>
    <w:p w:rsidR="00510B90" w:rsidRPr="00510B90" w:rsidRDefault="00510B90" w:rsidP="00510B90">
      <w:pPr>
        <w:pStyle w:val="SingleTxtGR"/>
        <w:rPr>
          <w:bCs/>
        </w:rPr>
      </w:pPr>
      <w:r w:rsidRPr="00510B90">
        <w:rPr>
          <w:i/>
        </w:rPr>
        <w:t xml:space="preserve">Пункт </w:t>
      </w:r>
      <w:r w:rsidRPr="00510B90">
        <w:rPr>
          <w:bCs/>
          <w:i/>
        </w:rPr>
        <w:t>4.1.4</w:t>
      </w:r>
      <w:r w:rsidRPr="00510B90">
        <w:rPr>
          <w:bCs/>
        </w:rPr>
        <w:t xml:space="preserve"> </w:t>
      </w:r>
      <w:r w:rsidRPr="00510B90">
        <w:t>изменить следующим образом</w:t>
      </w:r>
      <w:r w:rsidRPr="00510B90">
        <w:rPr>
          <w:bCs/>
        </w:rPr>
        <w:t>:</w:t>
      </w:r>
    </w:p>
    <w:p w:rsidR="00510B90" w:rsidRPr="00510B90" w:rsidRDefault="00275842" w:rsidP="00275842">
      <w:pPr>
        <w:pStyle w:val="SingleTxtGR"/>
        <w:ind w:left="2268" w:hanging="1134"/>
        <w:rPr>
          <w:bCs/>
        </w:rPr>
      </w:pPr>
      <w:r>
        <w:rPr>
          <w:bCs/>
        </w:rPr>
        <w:t>«</w:t>
      </w:r>
      <w:r w:rsidR="00510B90" w:rsidRPr="00510B90">
        <w:rPr>
          <w:bCs/>
        </w:rPr>
        <w:t>4.1.4</w:t>
      </w:r>
      <w:r w:rsidR="00510B90" w:rsidRPr="00510B90">
        <w:rPr>
          <w:bCs/>
        </w:rPr>
        <w:tab/>
      </w:r>
      <w:r w:rsidRPr="00275842">
        <w:rPr>
          <w:bCs/>
        </w:rPr>
        <w:tab/>
      </w:r>
      <w:r w:rsidR="00510B90" w:rsidRPr="00510B90">
        <w:rPr>
          <w:bCs/>
        </w:rPr>
        <w:t>Периодическая проверка на соответствие установленным требов</w:t>
      </w:r>
      <w:r w:rsidR="00510B90" w:rsidRPr="00510B90">
        <w:rPr>
          <w:bCs/>
        </w:rPr>
        <w:t>а</w:t>
      </w:r>
      <w:r w:rsidR="00510B90" w:rsidRPr="00510B90">
        <w:rPr>
          <w:bCs/>
        </w:rPr>
        <w:t>ниям</w:t>
      </w:r>
    </w:p>
    <w:p w:rsidR="00510B90" w:rsidRPr="00510B90" w:rsidRDefault="00510B90" w:rsidP="00275842">
      <w:pPr>
        <w:pStyle w:val="SingleTxtGR"/>
        <w:ind w:left="2268" w:hanging="1134"/>
        <w:rPr>
          <w:bCs/>
        </w:rPr>
      </w:pPr>
      <w:r w:rsidRPr="00510B90">
        <w:rPr>
          <w:bCs/>
        </w:rPr>
        <w:tab/>
      </w:r>
      <w:r w:rsidR="00275842" w:rsidRPr="00275842">
        <w:rPr>
          <w:bCs/>
        </w:rPr>
        <w:tab/>
      </w:r>
      <w:r w:rsidRPr="00510B90">
        <w:rPr>
          <w:bCs/>
        </w:rPr>
        <w:t>Рекомендации по периодической проверке … условий эксплуат</w:t>
      </w:r>
      <w:r w:rsidRPr="00510B90">
        <w:rPr>
          <w:bCs/>
        </w:rPr>
        <w:t>а</w:t>
      </w:r>
      <w:r w:rsidRPr="00510B90">
        <w:rPr>
          <w:bCs/>
        </w:rPr>
        <w:t xml:space="preserve">ции, определенных в настоящем документе. </w:t>
      </w:r>
      <w:proofErr w:type="gramStart"/>
      <w:r w:rsidRPr="00510B90">
        <w:rPr>
          <w:bCs/>
        </w:rPr>
        <w:t>Каждый баллон по</w:t>
      </w:r>
      <w:r w:rsidRPr="00510B90">
        <w:rPr>
          <w:bCs/>
        </w:rPr>
        <w:t>д</w:t>
      </w:r>
      <w:r w:rsidRPr="00510B90">
        <w:rPr>
          <w:bCs/>
        </w:rPr>
        <w:t>вергают визуальному осмотру не реже одного раза в 48 месяцев п</w:t>
      </w:r>
      <w:r w:rsidRPr="00510B90">
        <w:rPr>
          <w:bCs/>
        </w:rPr>
        <w:t>о</w:t>
      </w:r>
      <w:r w:rsidRPr="00510B90">
        <w:rPr>
          <w:bCs/>
        </w:rPr>
        <w:t>сле даты его сдачи в эксплуатацию на транспортном средстве (р</w:t>
      </w:r>
      <w:r w:rsidRPr="00510B90">
        <w:rPr>
          <w:bCs/>
        </w:rPr>
        <w:t>е</w:t>
      </w:r>
      <w:r w:rsidRPr="00510B90">
        <w:rPr>
          <w:bCs/>
        </w:rPr>
        <w:t>гистрации транспортного средства) и во время любой операции по повторному монтажу на предмет обнаружения внешних поврежд</w:t>
      </w:r>
      <w:r w:rsidRPr="00510B90">
        <w:rPr>
          <w:bCs/>
        </w:rPr>
        <w:t>е</w:t>
      </w:r>
      <w:r w:rsidRPr="00510B90">
        <w:rPr>
          <w:bCs/>
        </w:rPr>
        <w:t xml:space="preserve">ний и изъянов, в том числе под крепежными хомутами </w:t>
      </w:r>
      <w:r w:rsidRPr="00510B90">
        <w:rPr>
          <w:b/>
          <w:bCs/>
        </w:rPr>
        <w:t>и под л</w:t>
      </w:r>
      <w:r w:rsidRPr="00510B90">
        <w:rPr>
          <w:b/>
          <w:bCs/>
        </w:rPr>
        <w:t>ю</w:t>
      </w:r>
      <w:r w:rsidRPr="00510B90">
        <w:rPr>
          <w:b/>
          <w:bCs/>
        </w:rPr>
        <w:t xml:space="preserve">быми </w:t>
      </w:r>
      <w:r w:rsidRPr="00510B90">
        <w:rPr>
          <w:b/>
        </w:rPr>
        <w:t>защитными колпаками суживающейся части</w:t>
      </w:r>
      <w:r w:rsidRPr="00510B90">
        <w:rPr>
          <w:bCs/>
        </w:rPr>
        <w:t>.</w:t>
      </w:r>
      <w:proofErr w:type="gramEnd"/>
      <w:r w:rsidRPr="00510B90">
        <w:rPr>
          <w:bCs/>
        </w:rPr>
        <w:t xml:space="preserve"> Визуальный осмотр произво</w:t>
      </w:r>
      <w:r w:rsidR="00F0664B">
        <w:rPr>
          <w:bCs/>
        </w:rPr>
        <w:t>дится</w:t>
      </w:r>
      <w:r w:rsidR="00275842">
        <w:rPr>
          <w:bCs/>
        </w:rPr>
        <w:t>…».</w:t>
      </w:r>
    </w:p>
    <w:p w:rsidR="00510B90" w:rsidRPr="00510B90" w:rsidRDefault="00510B90" w:rsidP="00510B90">
      <w:pPr>
        <w:pStyle w:val="SingleTxtGR"/>
        <w:rPr>
          <w:bCs/>
          <w:i/>
        </w:rPr>
      </w:pPr>
      <w:r w:rsidRPr="00510B90">
        <w:rPr>
          <w:i/>
        </w:rPr>
        <w:t xml:space="preserve">Пункт </w:t>
      </w:r>
      <w:r w:rsidRPr="00510B90">
        <w:rPr>
          <w:bCs/>
          <w:i/>
        </w:rPr>
        <w:t>10.7.1</w:t>
      </w:r>
      <w:r w:rsidRPr="00510B90">
        <w:rPr>
          <w:bCs/>
        </w:rPr>
        <w:t xml:space="preserve"> </w:t>
      </w:r>
      <w:r w:rsidRPr="00510B90">
        <w:t>изменить следующим образом</w:t>
      </w:r>
      <w:r w:rsidRPr="00510B90">
        <w:rPr>
          <w:bCs/>
        </w:rPr>
        <w:t>:</w:t>
      </w:r>
    </w:p>
    <w:p w:rsidR="00510B90" w:rsidRPr="00510B90" w:rsidRDefault="00275842" w:rsidP="00510B90">
      <w:pPr>
        <w:pStyle w:val="SingleTxtGR"/>
        <w:rPr>
          <w:bCs/>
        </w:rPr>
      </w:pPr>
      <w:r>
        <w:rPr>
          <w:bCs/>
        </w:rPr>
        <w:t>«</w:t>
      </w:r>
      <w:r w:rsidR="00510B90" w:rsidRPr="00510B90">
        <w:rPr>
          <w:bCs/>
        </w:rPr>
        <w:t>10.7.1</w:t>
      </w:r>
      <w:r w:rsidR="00510B90" w:rsidRPr="00510B90">
        <w:rPr>
          <w:bCs/>
        </w:rPr>
        <w:tab/>
        <w:t>Общие положения</w:t>
      </w:r>
    </w:p>
    <w:p w:rsidR="00510B90" w:rsidRPr="00510B90" w:rsidRDefault="00510B90" w:rsidP="00275842">
      <w:pPr>
        <w:pStyle w:val="SingleTxtGR"/>
        <w:ind w:left="2268" w:hanging="1134"/>
        <w:rPr>
          <w:bCs/>
        </w:rPr>
      </w:pPr>
      <w:r w:rsidRPr="00510B90">
        <w:rPr>
          <w:bCs/>
        </w:rPr>
        <w:tab/>
      </w:r>
      <w:r w:rsidR="00275842">
        <w:rPr>
          <w:bCs/>
        </w:rPr>
        <w:tab/>
      </w:r>
      <w:r w:rsidRPr="00510B90">
        <w:rPr>
          <w:bCs/>
        </w:rPr>
        <w:t>Испытания конструкции баллона на соответствие установленным требованиям проводят в соответствии с требованиями пунктов 8.6, 10.7.2, 10.7.3</w:t>
      </w:r>
      <w:r w:rsidRPr="00510B90">
        <w:rPr>
          <w:b/>
        </w:rPr>
        <w:t>,</w:t>
      </w:r>
      <w:r w:rsidRPr="00510B90">
        <w:rPr>
          <w:bCs/>
        </w:rPr>
        <w:t xml:space="preserve"> </w:t>
      </w:r>
      <w:r w:rsidRPr="009D7059">
        <w:rPr>
          <w:bCs/>
          <w:strike/>
        </w:rPr>
        <w:t>и</w:t>
      </w:r>
      <w:r w:rsidRPr="00510B90">
        <w:rPr>
          <w:bCs/>
        </w:rPr>
        <w:t xml:space="preserve"> 10.7.4 </w:t>
      </w:r>
      <w:r w:rsidRPr="00510B90">
        <w:rPr>
          <w:b/>
        </w:rPr>
        <w:t>и 10.7.5</w:t>
      </w:r>
      <w:r w:rsidRPr="00510B90">
        <w:rPr>
          <w:bCs/>
        </w:rPr>
        <w:t xml:space="preserve"> настоящего приложения, за искл</w:t>
      </w:r>
      <w:r w:rsidRPr="00510B90">
        <w:rPr>
          <w:bCs/>
        </w:rPr>
        <w:t>ю</w:t>
      </w:r>
      <w:r w:rsidRPr="00510B90">
        <w:rPr>
          <w:bCs/>
        </w:rPr>
        <w:t>чением испытания на герметичность до разрушения, предусмо</w:t>
      </w:r>
      <w:r w:rsidRPr="00510B90">
        <w:rPr>
          <w:bCs/>
        </w:rPr>
        <w:t>т</w:t>
      </w:r>
      <w:r w:rsidRPr="00510B90">
        <w:rPr>
          <w:bCs/>
        </w:rPr>
        <w:t>ренного в пункте 8.6.10 выше, которое в данном случае не требуе</w:t>
      </w:r>
      <w:r w:rsidRPr="00510B90">
        <w:rPr>
          <w:bCs/>
        </w:rPr>
        <w:t>т</w:t>
      </w:r>
      <w:r w:rsidRPr="00510B90">
        <w:rPr>
          <w:bCs/>
        </w:rPr>
        <w:t>ся</w:t>
      </w:r>
      <w:r w:rsidR="00275842">
        <w:rPr>
          <w:bCs/>
        </w:rPr>
        <w:t>»</w:t>
      </w:r>
      <w:r w:rsidRPr="00510B90">
        <w:rPr>
          <w:bCs/>
        </w:rPr>
        <w:t>.</w:t>
      </w:r>
    </w:p>
    <w:p w:rsidR="00510B90" w:rsidRPr="00510B90" w:rsidRDefault="00510B90" w:rsidP="00510B90">
      <w:pPr>
        <w:pStyle w:val="SingleTxtGR"/>
        <w:rPr>
          <w:bCs/>
          <w:i/>
        </w:rPr>
      </w:pPr>
      <w:r w:rsidRPr="00510B90">
        <w:rPr>
          <w:i/>
        </w:rPr>
        <w:t xml:space="preserve">Добавить </w:t>
      </w:r>
      <w:r w:rsidRPr="00510B90">
        <w:rPr>
          <w:i/>
          <w:iCs/>
        </w:rPr>
        <w:t>новый пункт</w:t>
      </w:r>
      <w:r w:rsidRPr="00510B90">
        <w:rPr>
          <w:bCs/>
          <w:i/>
        </w:rPr>
        <w:t xml:space="preserve"> 10.7.5</w:t>
      </w:r>
      <w:r w:rsidRPr="00510B90">
        <w:rPr>
          <w:bCs/>
        </w:rPr>
        <w:t xml:space="preserve"> </w:t>
      </w:r>
      <w:r w:rsidRPr="00510B90">
        <w:t>следующего содержания</w:t>
      </w:r>
      <w:r w:rsidRPr="00510B90">
        <w:rPr>
          <w:bCs/>
        </w:rPr>
        <w:t>:</w:t>
      </w:r>
    </w:p>
    <w:p w:rsidR="00510B90" w:rsidRPr="00510B90" w:rsidRDefault="009D7059" w:rsidP="00510B90">
      <w:pPr>
        <w:pStyle w:val="SingleTxtGR"/>
        <w:rPr>
          <w:b/>
          <w:bCs/>
        </w:rPr>
      </w:pPr>
      <w:r>
        <w:t>«</w:t>
      </w:r>
      <w:r w:rsidR="00510B90" w:rsidRPr="00510B90">
        <w:rPr>
          <w:b/>
          <w:bCs/>
        </w:rPr>
        <w:t>10.7.5</w:t>
      </w:r>
      <w:r w:rsidR="00510B90" w:rsidRPr="00510B90">
        <w:rPr>
          <w:b/>
          <w:bCs/>
        </w:rPr>
        <w:tab/>
        <w:t>Испытание на повреждение в результате удара</w:t>
      </w:r>
    </w:p>
    <w:p w:rsidR="00510B90" w:rsidRPr="00510B90" w:rsidRDefault="00510B90" w:rsidP="009D7059">
      <w:pPr>
        <w:pStyle w:val="SingleTxtGR"/>
        <w:ind w:left="2268" w:hanging="1134"/>
        <w:rPr>
          <w:b/>
          <w:bCs/>
        </w:rPr>
      </w:pPr>
      <w:r w:rsidRPr="00510B90">
        <w:rPr>
          <w:b/>
          <w:bCs/>
        </w:rPr>
        <w:tab/>
      </w:r>
      <w:r w:rsidR="009D7059">
        <w:rPr>
          <w:b/>
          <w:bCs/>
        </w:rPr>
        <w:tab/>
      </w:r>
      <w:r w:rsidRPr="00510B90">
        <w:rPr>
          <w:b/>
          <w:bCs/>
        </w:rPr>
        <w:t xml:space="preserve">Один или более готовых баллонов подвергают испытанию на повреждение в результате удара в соответствии с пунктом </w:t>
      </w:r>
      <w:r w:rsidRPr="00510B90">
        <w:rPr>
          <w:b/>
          <w:bCs/>
          <w:lang w:val="en"/>
        </w:rPr>
        <w:t>A</w:t>
      </w:r>
      <w:r w:rsidRPr="00510B90">
        <w:rPr>
          <w:b/>
          <w:bCs/>
        </w:rPr>
        <w:t>.20 добавления А.</w:t>
      </w:r>
    </w:p>
    <w:p w:rsidR="00510B90" w:rsidRPr="00510B90" w:rsidRDefault="00510B90" w:rsidP="009D7059">
      <w:pPr>
        <w:pStyle w:val="SingleTxtGR"/>
        <w:ind w:left="2268" w:hanging="1134"/>
        <w:rPr>
          <w:bCs/>
        </w:rPr>
      </w:pPr>
      <w:r w:rsidRPr="00510B90">
        <w:rPr>
          <w:b/>
          <w:bCs/>
        </w:rPr>
        <w:tab/>
      </w:r>
      <w:r w:rsidR="009D7059">
        <w:rPr>
          <w:b/>
          <w:bCs/>
        </w:rPr>
        <w:tab/>
      </w:r>
      <w:r w:rsidRPr="00510B90">
        <w:rPr>
          <w:b/>
          <w:bCs/>
        </w:rPr>
        <w:t xml:space="preserve">Если баллон оснащен </w:t>
      </w:r>
      <w:r w:rsidRPr="00510B90">
        <w:rPr>
          <w:b/>
        </w:rPr>
        <w:t>защитными колпаками суживающейся части, то</w:t>
      </w:r>
      <w:r w:rsidRPr="00510B90">
        <w:rPr>
          <w:b/>
          <w:bCs/>
        </w:rPr>
        <w:t xml:space="preserve"> данное испытание проводят без таких колпаков</w:t>
      </w:r>
      <w:r w:rsidR="009D7059">
        <w:t>»</w:t>
      </w:r>
      <w:r w:rsidRPr="00510B90">
        <w:rPr>
          <w:bCs/>
        </w:rPr>
        <w:t>.</w:t>
      </w:r>
    </w:p>
    <w:p w:rsidR="00510B90" w:rsidRPr="00510B90" w:rsidRDefault="00510B90" w:rsidP="00510B90">
      <w:pPr>
        <w:pStyle w:val="SingleTxtGR"/>
        <w:rPr>
          <w:bCs/>
          <w:i/>
        </w:rPr>
      </w:pPr>
      <w:r w:rsidRPr="00510B90">
        <w:rPr>
          <w:bCs/>
          <w:i/>
        </w:rPr>
        <w:t>Приложение 3</w:t>
      </w:r>
      <w:r w:rsidRPr="00510B90">
        <w:rPr>
          <w:bCs/>
          <w:i/>
          <w:lang w:val="en"/>
        </w:rPr>
        <w:t>A</w:t>
      </w:r>
      <w:r w:rsidRPr="00510B90">
        <w:rPr>
          <w:bCs/>
          <w:i/>
        </w:rPr>
        <w:t xml:space="preserve">, добавление </w:t>
      </w:r>
      <w:r w:rsidRPr="00510B90">
        <w:rPr>
          <w:bCs/>
          <w:i/>
          <w:lang w:val="en"/>
        </w:rPr>
        <w:t>A</w:t>
      </w:r>
    </w:p>
    <w:p w:rsidR="00510B90" w:rsidRPr="00510B90" w:rsidRDefault="00510B90" w:rsidP="00510B90">
      <w:pPr>
        <w:pStyle w:val="SingleTxtGR"/>
        <w:rPr>
          <w:bCs/>
          <w:i/>
        </w:rPr>
      </w:pPr>
      <w:r w:rsidRPr="00510B90">
        <w:rPr>
          <w:i/>
        </w:rPr>
        <w:t xml:space="preserve">Пункт </w:t>
      </w:r>
      <w:r w:rsidRPr="00510B90">
        <w:rPr>
          <w:bCs/>
          <w:i/>
          <w:lang w:val="en"/>
        </w:rPr>
        <w:t>A</w:t>
      </w:r>
      <w:r w:rsidRPr="00510B90">
        <w:rPr>
          <w:bCs/>
          <w:i/>
        </w:rPr>
        <w:t>.20</w:t>
      </w:r>
      <w:r w:rsidRPr="00510B90">
        <w:rPr>
          <w:bCs/>
        </w:rPr>
        <w:t xml:space="preserve"> </w:t>
      </w:r>
      <w:r w:rsidRPr="00510B90">
        <w:t>изменить следующим образом</w:t>
      </w:r>
      <w:r w:rsidRPr="00510B90">
        <w:rPr>
          <w:bCs/>
        </w:rPr>
        <w:t>:</w:t>
      </w:r>
    </w:p>
    <w:p w:rsidR="00510B90" w:rsidRPr="00510B90" w:rsidRDefault="009D7059" w:rsidP="00510B90">
      <w:pPr>
        <w:pStyle w:val="SingleTxtGR"/>
        <w:rPr>
          <w:bCs/>
        </w:rPr>
      </w:pPr>
      <w:r>
        <w:rPr>
          <w:bCs/>
        </w:rPr>
        <w:t>«</w:t>
      </w:r>
      <w:r w:rsidR="00510B90" w:rsidRPr="00510B90">
        <w:rPr>
          <w:bCs/>
          <w:lang w:val="en"/>
        </w:rPr>
        <w:t>A</w:t>
      </w:r>
      <w:r w:rsidR="00510B90" w:rsidRPr="00510B90">
        <w:rPr>
          <w:bCs/>
        </w:rPr>
        <w:t>.20</w:t>
      </w:r>
      <w:r w:rsidR="00510B90" w:rsidRPr="00510B90">
        <w:rPr>
          <w:bCs/>
        </w:rPr>
        <w:tab/>
      </w:r>
      <w:r>
        <w:rPr>
          <w:bCs/>
        </w:rPr>
        <w:tab/>
      </w:r>
      <w:r w:rsidR="00510B90" w:rsidRPr="00510B90">
        <w:rPr>
          <w:bCs/>
        </w:rPr>
        <w:t>Испытание на повреждение в результате удара</w:t>
      </w:r>
    </w:p>
    <w:p w:rsidR="00510B90" w:rsidRPr="00510B90" w:rsidRDefault="00510B90" w:rsidP="009D7059">
      <w:pPr>
        <w:pStyle w:val="SingleTxtGR"/>
        <w:ind w:left="2268" w:hanging="1134"/>
        <w:rPr>
          <w:bCs/>
        </w:rPr>
      </w:pPr>
      <w:r w:rsidRPr="00510B90">
        <w:rPr>
          <w:bCs/>
        </w:rPr>
        <w:tab/>
      </w:r>
      <w:r w:rsidR="009D7059">
        <w:rPr>
          <w:bCs/>
        </w:rPr>
        <w:tab/>
      </w:r>
      <w:r w:rsidRPr="00510B90">
        <w:rPr>
          <w:bCs/>
        </w:rPr>
        <w:t>Один или более готовых баллонов подвергают испытанию на сбр</w:t>
      </w:r>
      <w:r w:rsidRPr="00510B90">
        <w:rPr>
          <w:bCs/>
        </w:rPr>
        <w:t>а</w:t>
      </w:r>
      <w:r w:rsidRPr="00510B90">
        <w:rPr>
          <w:bCs/>
        </w:rPr>
        <w:t>сывание при окружающей температуре без создания внутреннего давления</w:t>
      </w:r>
      <w:r w:rsidRPr="00510B90">
        <w:rPr>
          <w:b/>
        </w:rPr>
        <w:t>, без защитных колпаков суживающейся части</w:t>
      </w:r>
      <w:r w:rsidRPr="00510B90">
        <w:rPr>
          <w:bCs/>
        </w:rPr>
        <w:t xml:space="preserve"> или со снятыми клапанами. Поверх</w:t>
      </w:r>
      <w:r w:rsidR="00F0664B">
        <w:rPr>
          <w:bCs/>
        </w:rPr>
        <w:t>ность</w:t>
      </w:r>
      <w:r w:rsidRPr="00510B90">
        <w:rPr>
          <w:bCs/>
        </w:rPr>
        <w:t>…</w:t>
      </w:r>
    </w:p>
    <w:p w:rsidR="00510B90" w:rsidRPr="00510B90" w:rsidRDefault="00510B90" w:rsidP="00510B90">
      <w:pPr>
        <w:pStyle w:val="SingleTxtGR"/>
        <w:rPr>
          <w:bCs/>
        </w:rPr>
      </w:pPr>
      <w:r w:rsidRPr="00510B90">
        <w:rPr>
          <w:bCs/>
        </w:rPr>
        <w:tab/>
      </w:r>
      <w:r w:rsidR="00EB4D01">
        <w:rPr>
          <w:bCs/>
        </w:rPr>
        <w:tab/>
      </w:r>
      <w:r w:rsidRPr="00510B90">
        <w:rPr>
          <w:bCs/>
        </w:rPr>
        <w:t>…</w:t>
      </w:r>
      <w:r w:rsidR="009D7059">
        <w:rPr>
          <w:bCs/>
        </w:rPr>
        <w:t>»</w:t>
      </w:r>
    </w:p>
    <w:p w:rsidR="00510B90" w:rsidRPr="00510B90" w:rsidRDefault="00510B90" w:rsidP="009D7059">
      <w:pPr>
        <w:pStyle w:val="HChGR"/>
      </w:pPr>
      <w:r w:rsidRPr="00510B90">
        <w:tab/>
      </w:r>
      <w:r w:rsidRPr="00510B90">
        <w:rPr>
          <w:lang w:val="en-GB"/>
        </w:rPr>
        <w:t>II</w:t>
      </w:r>
      <w:r w:rsidRPr="00510B90">
        <w:t>.</w:t>
      </w:r>
      <w:r w:rsidRPr="00510B90">
        <w:tab/>
        <w:t>Обоснование</w:t>
      </w:r>
    </w:p>
    <w:p w:rsidR="00510B90" w:rsidRPr="00510B90" w:rsidRDefault="00510B90" w:rsidP="00510B90">
      <w:pPr>
        <w:pStyle w:val="SingleTxtGR"/>
      </w:pPr>
      <w:r w:rsidRPr="00510B90">
        <w:t>1.</w:t>
      </w:r>
      <w:r w:rsidRPr="00510B90">
        <w:tab/>
        <w:t>В Италии в ходе обычных операций по заправке произошли два случая повреждения конструкции баллонов КПГ, установленных на находящихся в эксплуатации транспортных средствах. Баллоны типа КПГ-4 были оснащены колпаками, защищающими суживающуюся часть. Однако эти колпаки были п</w:t>
      </w:r>
      <w:r w:rsidRPr="00510B90">
        <w:t>о</w:t>
      </w:r>
      <w:r w:rsidRPr="00510B90">
        <w:t xml:space="preserve">сажены на клей таким образом, чтобы полностью закрыть оживальную часть. Повреждение произошло на боковом клапане </w:t>
      </w:r>
      <w:r w:rsidRPr="00510B90">
        <w:rPr>
          <w:bCs/>
        </w:rPr>
        <w:t>суживающейся части</w:t>
      </w:r>
      <w:r w:rsidRPr="00510B90">
        <w:t xml:space="preserve"> по центру области, находящейся под защитным колпаком. В этом месте стенки баллона имеют гораздо меньшую толщину; примерно вполовину от цилиндрической ч</w:t>
      </w:r>
      <w:r w:rsidRPr="00510B90">
        <w:t>а</w:t>
      </w:r>
      <w:r w:rsidRPr="00510B90">
        <w:t>сти.</w:t>
      </w:r>
    </w:p>
    <w:p w:rsidR="00510B90" w:rsidRPr="00510B90" w:rsidRDefault="00510B90" w:rsidP="00510B90">
      <w:pPr>
        <w:pStyle w:val="SingleTxtGR"/>
      </w:pPr>
      <w:r w:rsidRPr="00510B90">
        <w:lastRenderedPageBreak/>
        <w:t>2.</w:t>
      </w:r>
      <w:r w:rsidRPr="00510B90">
        <w:tab/>
        <w:t>Согласно требованию пункта 4.1.4 приложения 3 к Правилам № 110, ба</w:t>
      </w:r>
      <w:r w:rsidRPr="00510B90">
        <w:t>л</w:t>
      </w:r>
      <w:r w:rsidRPr="00510B90">
        <w:t>лоны должны подвергаться визуальному осмотру на предмет обнаружения л</w:t>
      </w:r>
      <w:r w:rsidRPr="00510B90">
        <w:t>ю</w:t>
      </w:r>
      <w:r w:rsidRPr="00510B90">
        <w:t>бых повреждений. Данное требование является еще более актуальным в случае, когда изготовителем не предусматривается проведение какого-либо эксплуат</w:t>
      </w:r>
      <w:r w:rsidRPr="00510B90">
        <w:t>а</w:t>
      </w:r>
      <w:r w:rsidRPr="00510B90">
        <w:t>ционного испытания с этой целью на протяжении срока службы баллона.</w:t>
      </w:r>
    </w:p>
    <w:p w:rsidR="00510B90" w:rsidRPr="00510B90" w:rsidRDefault="00510B90" w:rsidP="00510B90">
      <w:pPr>
        <w:pStyle w:val="SingleTxtGR"/>
      </w:pPr>
      <w:r w:rsidRPr="00510B90">
        <w:t>3.</w:t>
      </w:r>
      <w:r w:rsidRPr="00510B90">
        <w:tab/>
        <w:t xml:space="preserve">В случае баллонов КПГ-4, причем это особенно </w:t>
      </w:r>
      <w:proofErr w:type="gramStart"/>
      <w:r w:rsidRPr="00510B90">
        <w:t>касается</w:t>
      </w:r>
      <w:proofErr w:type="gramEnd"/>
      <w:r w:rsidRPr="00510B90">
        <w:t xml:space="preserve"> их </w:t>
      </w:r>
      <w:r w:rsidRPr="00510B90">
        <w:rPr>
          <w:bCs/>
        </w:rPr>
        <w:t>сужива</w:t>
      </w:r>
      <w:r w:rsidRPr="00510B90">
        <w:rPr>
          <w:bCs/>
        </w:rPr>
        <w:t>ю</w:t>
      </w:r>
      <w:r w:rsidRPr="00510B90">
        <w:rPr>
          <w:bCs/>
        </w:rPr>
        <w:t>щейся части,</w:t>
      </w:r>
      <w:r w:rsidRPr="00510B90">
        <w:t xml:space="preserve"> совершенно очевидно, что любое повреждение способно также затронуть волокна, проходящие внутри стенок баллона; следовательно, место повреждения может быть опознано по изменению цвета самой оживальной ч</w:t>
      </w:r>
      <w:r w:rsidRPr="00510B90">
        <w:t>а</w:t>
      </w:r>
      <w:r w:rsidRPr="00510B90">
        <w:t xml:space="preserve">сти (например, см. пункт 7.6.3 стандарта </w:t>
      </w:r>
      <w:r w:rsidRPr="00510B90">
        <w:rPr>
          <w:lang w:val="en-US"/>
        </w:rPr>
        <w:t>ISO</w:t>
      </w:r>
      <w:r w:rsidRPr="00510B90">
        <w:t xml:space="preserve"> 19078).</w:t>
      </w:r>
    </w:p>
    <w:p w:rsidR="00510B90" w:rsidRPr="00510B90" w:rsidRDefault="00510B90" w:rsidP="00510B90">
      <w:pPr>
        <w:pStyle w:val="SingleTxtGR"/>
      </w:pPr>
      <w:r w:rsidRPr="00510B90">
        <w:t>4.</w:t>
      </w:r>
      <w:r w:rsidRPr="00510B90">
        <w:tab/>
        <w:t>Очевидно и то, что любо</w:t>
      </w:r>
      <w:proofErr w:type="gramStart"/>
      <w:r w:rsidRPr="00510B90">
        <w:t>й(</w:t>
      </w:r>
      <w:proofErr w:type="spellStart"/>
      <w:proofErr w:type="gramEnd"/>
      <w:r w:rsidRPr="00510B90">
        <w:t>ая</w:t>
      </w:r>
      <w:proofErr w:type="spellEnd"/>
      <w:r w:rsidRPr="00510B90">
        <w:t>) предохраняющий(</w:t>
      </w:r>
      <w:proofErr w:type="spellStart"/>
      <w:r w:rsidRPr="00510B90">
        <w:t>ая</w:t>
      </w:r>
      <w:proofErr w:type="spellEnd"/>
      <w:r w:rsidRPr="00510B90">
        <w:t xml:space="preserve">) </w:t>
      </w:r>
      <w:r w:rsidRPr="00510B90">
        <w:rPr>
          <w:bCs/>
        </w:rPr>
        <w:t xml:space="preserve">суживающуюся часть </w:t>
      </w:r>
      <w:r w:rsidRPr="00510B90">
        <w:t>колпак или крышка, будучи посаженными на клей, препятствуют осмотру ож</w:t>
      </w:r>
      <w:r w:rsidRPr="00510B90">
        <w:t>и</w:t>
      </w:r>
      <w:r w:rsidRPr="00510B90">
        <w:t>вальной части, как это произошло в случае указанных выше повреждений ко</w:t>
      </w:r>
      <w:r w:rsidRPr="00510B90">
        <w:t>н</w:t>
      </w:r>
      <w:r w:rsidRPr="00510B90">
        <w:t>струкции баллонов. Правилами же № 110 ООН со всей определенностью тр</w:t>
      </w:r>
      <w:r w:rsidRPr="00510B90">
        <w:t>е</w:t>
      </w:r>
      <w:r w:rsidRPr="00510B90">
        <w:t xml:space="preserve">буются визуальные осмотры, причем – особенно – в отсутствие предписанных изготовителем </w:t>
      </w:r>
      <w:proofErr w:type="gramStart"/>
      <w:r w:rsidRPr="00510B90">
        <w:rPr>
          <w:bCs/>
        </w:rPr>
        <w:t>проверок</w:t>
      </w:r>
      <w:proofErr w:type="gramEnd"/>
      <w:r w:rsidRPr="00510B90">
        <w:rPr>
          <w:bCs/>
        </w:rPr>
        <w:t xml:space="preserve"> на соответствие установленным требованиям</w:t>
      </w:r>
      <w:r w:rsidRPr="00510B90">
        <w:t xml:space="preserve"> они даже необходимы.</w:t>
      </w:r>
    </w:p>
    <w:p w:rsidR="00510B90" w:rsidRPr="00510B90" w:rsidRDefault="00510B90" w:rsidP="00510B90">
      <w:pPr>
        <w:pStyle w:val="SingleTxtGR"/>
      </w:pPr>
      <w:r w:rsidRPr="00510B90">
        <w:t>5.</w:t>
      </w:r>
      <w:r w:rsidRPr="00510B90">
        <w:tab/>
        <w:t>Поэтому при установке на транспортном средстве любой защитный ко</w:t>
      </w:r>
      <w:r w:rsidRPr="00510B90">
        <w:t>л</w:t>
      </w:r>
      <w:r w:rsidRPr="00510B90">
        <w:t>пак, предназначенной для защиты баллона во время манипуляций с ним, надлежит снять. В противном случае любой защитный колпак, входящий в п</w:t>
      </w:r>
      <w:r w:rsidRPr="00510B90">
        <w:t>а</w:t>
      </w:r>
      <w:r w:rsidRPr="00510B90">
        <w:t>кет поставки изготовителя, должен все же быть легко снимаемым для обеспеч</w:t>
      </w:r>
      <w:r w:rsidRPr="00510B90">
        <w:t>е</w:t>
      </w:r>
      <w:r w:rsidRPr="00510B90">
        <w:t xml:space="preserve">ния возможности осмотра </w:t>
      </w:r>
      <w:r w:rsidRPr="00510B90">
        <w:rPr>
          <w:bCs/>
        </w:rPr>
        <w:t>суживающейся части.</w:t>
      </w:r>
      <w:r w:rsidRPr="00510B90">
        <w:t xml:space="preserve"> В инструкции изготовителя должна быть оговорена необходимость снятия защитног</w:t>
      </w:r>
      <w:proofErr w:type="gramStart"/>
      <w:r w:rsidRPr="00510B90">
        <w:t>о(</w:t>
      </w:r>
      <w:proofErr w:type="spellStart"/>
      <w:proofErr w:type="gramEnd"/>
      <w:r w:rsidRPr="00510B90">
        <w:t>ых</w:t>
      </w:r>
      <w:proofErr w:type="spellEnd"/>
      <w:r w:rsidRPr="00510B90">
        <w:t>) колпака(</w:t>
      </w:r>
      <w:proofErr w:type="spellStart"/>
      <w:r w:rsidRPr="00510B90">
        <w:t>ов</w:t>
      </w:r>
      <w:proofErr w:type="spellEnd"/>
      <w:r w:rsidRPr="00510B90">
        <w:t>) при проведении осмотров с указанием порядка выполнения такой операции, как это предусмотрено в пункте 6.12 приложения 3.</w:t>
      </w:r>
    </w:p>
    <w:p w:rsidR="00510B90" w:rsidRPr="00510B90" w:rsidRDefault="00510B90" w:rsidP="00510B90">
      <w:pPr>
        <w:pStyle w:val="SingleTxtGR"/>
      </w:pPr>
      <w:r w:rsidRPr="00510B90">
        <w:t>6.</w:t>
      </w:r>
      <w:r w:rsidRPr="00510B90">
        <w:tab/>
        <w:t>Материал защитных колпаков баллонов с повреждением конструкции, по всей видимости, после непродолжительной эксплуатации покрывается трещ</w:t>
      </w:r>
      <w:r w:rsidRPr="00510B90">
        <w:t>и</w:t>
      </w:r>
      <w:r w:rsidRPr="00510B90">
        <w:t>нами, обусловленными процессом старения и циклами деформации в ходе обычных операций (до</w:t>
      </w:r>
      <w:proofErr w:type="gramStart"/>
      <w:r w:rsidRPr="00510B90">
        <w:t>)з</w:t>
      </w:r>
      <w:proofErr w:type="gramEnd"/>
      <w:r w:rsidRPr="00510B90">
        <w:t>аправки, что, следовательно, уменьшает ударосто</w:t>
      </w:r>
      <w:r w:rsidRPr="00510B90">
        <w:t>й</w:t>
      </w:r>
      <w:r w:rsidRPr="00510B90">
        <w:t xml:space="preserve">кость баллона в зонах, приходящихся на </w:t>
      </w:r>
      <w:r w:rsidRPr="00510B90">
        <w:rPr>
          <w:bCs/>
        </w:rPr>
        <w:t>суживающуюся часть</w:t>
      </w:r>
      <w:r w:rsidRPr="00510B90">
        <w:t>, либо приводит к отбраковке баллонов, не подвергавшихся никакому внешнему воздействию или повреждению.</w:t>
      </w:r>
    </w:p>
    <w:p w:rsidR="00510B90" w:rsidRPr="00510B90" w:rsidRDefault="00510B90" w:rsidP="009D7059">
      <w:pPr>
        <w:pStyle w:val="SingleTxtGR"/>
      </w:pPr>
      <w:r w:rsidRPr="00510B90">
        <w:t>7.</w:t>
      </w:r>
      <w:r w:rsidRPr="00510B90">
        <w:tab/>
        <w:t>По очевидным соображениям безопасности пунктом 6.13 и таблицей 6.4 приложения 3 к Правилам № 110 ООН предусматривается требование, согласно которому баллоны КПГ-3 и КПГ-4 должны выдерживать удары и падения. Т</w:t>
      </w:r>
      <w:r w:rsidRPr="00510B90">
        <w:t>а</w:t>
      </w:r>
      <w:r w:rsidRPr="00510B90">
        <w:t>ким образом, должны проводиться конкретные испытания на сбрасывание в с</w:t>
      </w:r>
      <w:r w:rsidRPr="00510B90">
        <w:t>о</w:t>
      </w:r>
      <w:r w:rsidRPr="00510B90">
        <w:t>ответствии с процедурами, весьма четко прописанными в пункте A.20 добавл</w:t>
      </w:r>
      <w:r w:rsidRPr="00510B90">
        <w:t>е</w:t>
      </w:r>
      <w:r w:rsidRPr="00510B90">
        <w:t>ния</w:t>
      </w:r>
      <w:proofErr w:type="gramStart"/>
      <w:r w:rsidRPr="00510B90">
        <w:t xml:space="preserve"> А</w:t>
      </w:r>
      <w:proofErr w:type="gramEnd"/>
      <w:r w:rsidRPr="00510B90">
        <w:t xml:space="preserve"> к приложению 3. Хотя данное требование повторяется для баллонов т</w:t>
      </w:r>
      <w:r w:rsidRPr="00510B90">
        <w:t>и</w:t>
      </w:r>
      <w:r w:rsidRPr="00510B90">
        <w:t>па</w:t>
      </w:r>
      <w:r w:rsidR="009D7059">
        <w:t> </w:t>
      </w:r>
      <w:r w:rsidRPr="00510B90">
        <w:t>КПГ-3 (см. пункт 9.6), оно отсутствует в пункте 10.7 для баллонов т</w:t>
      </w:r>
      <w:r w:rsidRPr="00510B90">
        <w:t>и</w:t>
      </w:r>
      <w:r w:rsidRPr="00510B90">
        <w:t>па</w:t>
      </w:r>
      <w:r w:rsidR="009D7059">
        <w:t> </w:t>
      </w:r>
      <w:r w:rsidRPr="00510B90">
        <w:t>КПГ-4.</w:t>
      </w:r>
    </w:p>
    <w:p w:rsidR="00E12C5F" w:rsidRDefault="00510B90" w:rsidP="00510B90">
      <w:pPr>
        <w:pStyle w:val="SingleTxtGR"/>
        <w:rPr>
          <w:lang w:val="en-US"/>
        </w:rPr>
      </w:pPr>
      <w:r w:rsidRPr="00510B90">
        <w:t>8.</w:t>
      </w:r>
      <w:r w:rsidRPr="00510B90">
        <w:tab/>
        <w:t>Поскольку исключить вероятность ударной деформации оживальной ч</w:t>
      </w:r>
      <w:r w:rsidRPr="00510B90">
        <w:t>а</w:t>
      </w:r>
      <w:r w:rsidRPr="00510B90">
        <w:t>сти при снятых защитных колпаках либо в случае, когда ее прочность ослабл</w:t>
      </w:r>
      <w:r w:rsidRPr="00510B90">
        <w:t>е</w:t>
      </w:r>
      <w:r w:rsidRPr="00510B90">
        <w:t xml:space="preserve">на из-за наличия трещин, нельзя, Италия предлагает подвергать баллоны КПГ-4 вышеуказанным испытаниям на сбрасывание </w:t>
      </w:r>
      <w:r w:rsidRPr="00510B90">
        <w:rPr>
          <w:bCs/>
        </w:rPr>
        <w:t>без защитных колпаков сужива</w:t>
      </w:r>
      <w:r w:rsidRPr="00510B90">
        <w:rPr>
          <w:bCs/>
        </w:rPr>
        <w:t>ю</w:t>
      </w:r>
      <w:r w:rsidRPr="00510B90">
        <w:rPr>
          <w:bCs/>
        </w:rPr>
        <w:t xml:space="preserve">щейся части для </w:t>
      </w:r>
      <w:r w:rsidRPr="00510B90">
        <w:t>обеспечения условий в плане безопасности, изложенных в Правилах № 110 ООН.</w:t>
      </w:r>
    </w:p>
    <w:p w:rsidR="00501A40" w:rsidRPr="00501A40" w:rsidRDefault="00501A40" w:rsidP="00501A40">
      <w:pPr>
        <w:pStyle w:val="SingleTxtGR"/>
        <w:spacing w:before="240" w:after="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501A40" w:rsidRPr="00501A40" w:rsidSect="001D04B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86" w:rsidRPr="00A312BC" w:rsidRDefault="00143086" w:rsidP="00A312BC"/>
  </w:endnote>
  <w:endnote w:type="continuationSeparator" w:id="0">
    <w:p w:rsidR="00143086" w:rsidRPr="00A312BC" w:rsidRDefault="0014308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BE" w:rsidRPr="001D04BE" w:rsidRDefault="001D04BE">
    <w:pPr>
      <w:pStyle w:val="Footer"/>
    </w:pPr>
    <w:r w:rsidRPr="001D04BE">
      <w:rPr>
        <w:b/>
        <w:sz w:val="18"/>
      </w:rPr>
      <w:fldChar w:fldCharType="begin"/>
    </w:r>
    <w:r w:rsidRPr="001D04BE">
      <w:rPr>
        <w:b/>
        <w:sz w:val="18"/>
      </w:rPr>
      <w:instrText xml:space="preserve"> PAGE  \* MERGEFORMAT </w:instrText>
    </w:r>
    <w:r w:rsidRPr="001D04BE">
      <w:rPr>
        <w:b/>
        <w:sz w:val="18"/>
      </w:rPr>
      <w:fldChar w:fldCharType="separate"/>
    </w:r>
    <w:r w:rsidR="00073F5A">
      <w:rPr>
        <w:b/>
        <w:noProof/>
        <w:sz w:val="18"/>
      </w:rPr>
      <w:t>2</w:t>
    </w:r>
    <w:r w:rsidRPr="001D04BE">
      <w:rPr>
        <w:b/>
        <w:sz w:val="18"/>
      </w:rPr>
      <w:fldChar w:fldCharType="end"/>
    </w:r>
    <w:r>
      <w:rPr>
        <w:b/>
        <w:sz w:val="18"/>
      </w:rPr>
      <w:tab/>
    </w:r>
    <w:r>
      <w:t>GE.17-12897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BE" w:rsidRPr="001D04BE" w:rsidRDefault="001D04BE" w:rsidP="001D04BE">
    <w:pPr>
      <w:pStyle w:val="Footer"/>
      <w:tabs>
        <w:tab w:val="clear" w:pos="9639"/>
        <w:tab w:val="right" w:pos="9638"/>
      </w:tabs>
      <w:rPr>
        <w:b/>
        <w:sz w:val="18"/>
      </w:rPr>
    </w:pPr>
    <w:r>
      <w:t>GE.17-12897</w:t>
    </w:r>
    <w:r>
      <w:tab/>
    </w:r>
    <w:r w:rsidRPr="001D04BE">
      <w:rPr>
        <w:b/>
        <w:sz w:val="18"/>
      </w:rPr>
      <w:fldChar w:fldCharType="begin"/>
    </w:r>
    <w:r w:rsidRPr="001D04BE">
      <w:rPr>
        <w:b/>
        <w:sz w:val="18"/>
      </w:rPr>
      <w:instrText xml:space="preserve"> PAGE  \* MERGEFORMAT </w:instrText>
    </w:r>
    <w:r w:rsidRPr="001D04BE">
      <w:rPr>
        <w:b/>
        <w:sz w:val="18"/>
      </w:rPr>
      <w:fldChar w:fldCharType="separate"/>
    </w:r>
    <w:r w:rsidR="00073F5A">
      <w:rPr>
        <w:b/>
        <w:noProof/>
        <w:sz w:val="18"/>
      </w:rPr>
      <w:t>3</w:t>
    </w:r>
    <w:r w:rsidRPr="001D04B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2" w:rsidRPr="001D04BE" w:rsidRDefault="001D04BE" w:rsidP="001D04BE">
    <w:pPr>
      <w:spacing w:before="120" w:line="240" w:lineRule="auto"/>
    </w:pPr>
    <w:r>
      <w:t>GE.</w:t>
    </w:r>
    <w:r w:rsidR="00DF71B9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31B2472" wp14:editId="4351CB5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17-12897  (R)</w:t>
    </w:r>
    <w:r>
      <w:rPr>
        <w:lang w:val="en-US"/>
      </w:rPr>
      <w:t xml:space="preserve">  120917  120917</w:t>
    </w:r>
    <w:r>
      <w:br/>
    </w:r>
    <w:r w:rsidRPr="001D04BE">
      <w:rPr>
        <w:rFonts w:ascii="C39T30Lfz" w:hAnsi="C39T30Lfz"/>
        <w:spacing w:val="0"/>
        <w:w w:val="100"/>
        <w:sz w:val="56"/>
      </w:rPr>
      <w:t></w:t>
    </w:r>
    <w:r w:rsidRPr="001D04BE">
      <w:rPr>
        <w:rFonts w:ascii="C39T30Lfz" w:hAnsi="C39T30Lfz"/>
        <w:spacing w:val="0"/>
        <w:w w:val="100"/>
        <w:sz w:val="56"/>
      </w:rPr>
      <w:t></w:t>
    </w:r>
    <w:r w:rsidRPr="001D04BE">
      <w:rPr>
        <w:rFonts w:ascii="C39T30Lfz" w:hAnsi="C39T30Lfz"/>
        <w:spacing w:val="0"/>
        <w:w w:val="100"/>
        <w:sz w:val="56"/>
      </w:rPr>
      <w:t></w:t>
    </w:r>
    <w:r w:rsidRPr="001D04BE">
      <w:rPr>
        <w:rFonts w:ascii="C39T30Lfz" w:hAnsi="C39T30Lfz"/>
        <w:spacing w:val="0"/>
        <w:w w:val="100"/>
        <w:sz w:val="56"/>
      </w:rPr>
      <w:t></w:t>
    </w:r>
    <w:r w:rsidRPr="001D04BE">
      <w:rPr>
        <w:rFonts w:ascii="C39T30Lfz" w:hAnsi="C39T30Lfz"/>
        <w:spacing w:val="0"/>
        <w:w w:val="100"/>
        <w:sz w:val="56"/>
      </w:rPr>
      <w:t></w:t>
    </w:r>
    <w:r w:rsidRPr="001D04BE">
      <w:rPr>
        <w:rFonts w:ascii="C39T30Lfz" w:hAnsi="C39T30Lfz"/>
        <w:spacing w:val="0"/>
        <w:w w:val="100"/>
        <w:sz w:val="56"/>
      </w:rPr>
      <w:t></w:t>
    </w:r>
    <w:r w:rsidRPr="001D04BE">
      <w:rPr>
        <w:rFonts w:ascii="C39T30Lfz" w:hAnsi="C39T30Lfz"/>
        <w:spacing w:val="0"/>
        <w:w w:val="100"/>
        <w:sz w:val="56"/>
      </w:rPr>
      <w:t></w:t>
    </w:r>
    <w:r w:rsidRPr="001D04BE">
      <w:rPr>
        <w:rFonts w:ascii="C39T30Lfz" w:hAnsi="C39T30Lfz"/>
        <w:spacing w:val="0"/>
        <w:w w:val="100"/>
        <w:sz w:val="56"/>
      </w:rPr>
      <w:t></w:t>
    </w:r>
    <w:r w:rsidRPr="001D04BE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41131" cy="641131"/>
          <wp:effectExtent l="0" t="0" r="6985" b="6985"/>
          <wp:wrapNone/>
          <wp:docPr id="1" name="Рисунок 1" descr="https://undocs.org/m2/QRCode.ashx?DS=ECE/TRANS/WP.29/GRSG/2017/29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29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31" cy="64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86" w:rsidRPr="001075E9" w:rsidRDefault="0014308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43086" w:rsidRDefault="0014308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510B90" w:rsidRPr="00501A40" w:rsidRDefault="00510B90" w:rsidP="00510B90">
      <w:pPr>
        <w:pStyle w:val="FootnoteText"/>
        <w:tabs>
          <w:tab w:val="clear" w:pos="1021"/>
        </w:tabs>
        <w:ind w:hanging="283"/>
        <w:rPr>
          <w:rFonts w:eastAsia="Calibri"/>
          <w:lang w:val="ru-RU"/>
        </w:rPr>
      </w:pPr>
      <w:r w:rsidRPr="00510B90">
        <w:rPr>
          <w:rStyle w:val="FootnoteReference"/>
          <w:vertAlign w:val="baseline"/>
          <w:lang w:val="ru-RU"/>
        </w:rPr>
        <w:t>*</w:t>
      </w:r>
      <w:r w:rsidRPr="00966AD2">
        <w:rPr>
          <w:lang w:val="ru-RU"/>
        </w:rPr>
        <w:tab/>
      </w:r>
      <w:r>
        <w:rPr>
          <w:lang w:val="ru-RU"/>
        </w:rPr>
        <w:t xml:space="preserve">В соответствии с программой работы Комитета по внутреннему транспорту </w:t>
      </w:r>
      <w:r w:rsidR="00501A40" w:rsidRPr="00501A40">
        <w:rPr>
          <w:lang w:val="ru-RU"/>
        </w:rPr>
        <w:br/>
      </w:r>
      <w:r>
        <w:rPr>
          <w:lang w:val="ru-RU"/>
        </w:rPr>
        <w:t>на 2016–2017 годы (ECE/TRANS/254, пункт 159, и ECE/TRANS/2016/28/Add.1,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</w:t>
      </w:r>
      <w:r w:rsidRPr="00501A40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BE" w:rsidRPr="001D04BE" w:rsidRDefault="001D04BE">
    <w:pPr>
      <w:pStyle w:val="Header"/>
    </w:pPr>
    <w:fldSimple w:instr=" TITLE  \* MERGEFORMAT ">
      <w:r w:rsidR="004D3CE2">
        <w:t>ECE/TRANS/WP.29/GRSG/2017/29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BE" w:rsidRPr="001D04BE" w:rsidRDefault="001D04BE" w:rsidP="001D04BE">
    <w:pPr>
      <w:pStyle w:val="Header"/>
      <w:jc w:val="right"/>
    </w:pPr>
    <w:fldSimple w:instr=" TITLE  \* MERGEFORMAT ">
      <w:r w:rsidR="004D3CE2">
        <w:t>ECE/TRANS/WP.29/GRSG/2017/29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86"/>
    <w:rsid w:val="00033EE1"/>
    <w:rsid w:val="00042B72"/>
    <w:rsid w:val="000558BD"/>
    <w:rsid w:val="00073F5A"/>
    <w:rsid w:val="000B57E7"/>
    <w:rsid w:val="000B6373"/>
    <w:rsid w:val="000E4E5B"/>
    <w:rsid w:val="000F09DF"/>
    <w:rsid w:val="000F61B2"/>
    <w:rsid w:val="001075E9"/>
    <w:rsid w:val="0014152F"/>
    <w:rsid w:val="00143086"/>
    <w:rsid w:val="00180183"/>
    <w:rsid w:val="0018024D"/>
    <w:rsid w:val="0018649F"/>
    <w:rsid w:val="00196389"/>
    <w:rsid w:val="001B3EF6"/>
    <w:rsid w:val="001C7A89"/>
    <w:rsid w:val="001D04BE"/>
    <w:rsid w:val="00255343"/>
    <w:rsid w:val="0027151D"/>
    <w:rsid w:val="00275842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27085"/>
    <w:rsid w:val="00452493"/>
    <w:rsid w:val="00453318"/>
    <w:rsid w:val="00454AF2"/>
    <w:rsid w:val="00454E07"/>
    <w:rsid w:val="00472C5C"/>
    <w:rsid w:val="00476DBA"/>
    <w:rsid w:val="004D2246"/>
    <w:rsid w:val="004D3CE2"/>
    <w:rsid w:val="004E05B7"/>
    <w:rsid w:val="0050108D"/>
    <w:rsid w:val="00501A40"/>
    <w:rsid w:val="00510B90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6FE6"/>
    <w:rsid w:val="009D7059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B4D01"/>
    <w:rsid w:val="00ED0BDA"/>
    <w:rsid w:val="00EE142A"/>
    <w:rsid w:val="00EF1360"/>
    <w:rsid w:val="00EF3220"/>
    <w:rsid w:val="00F0664B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510B9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510B9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5718</Characters>
  <Application>Microsoft Office Word</Application>
  <DocSecurity>4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ECE/TRANS/WP.29/GRSG/2017/29</vt:lpstr>
      <vt:lpstr>ECE/TRANS/WP.29/GRSG/2017/29</vt:lpstr>
      <vt:lpstr>A/</vt:lpstr>
    </vt:vector>
  </TitlesOfParts>
  <Company>DCM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ECE/TRANS/WP.29/GRSG/2017/29</dc:title>
  <dc:creator>Ekaterina SALYNSKAYA</dc:creator>
  <cp:lastModifiedBy>Benedicte Boudol</cp:lastModifiedBy>
  <cp:revision>2</cp:revision>
  <cp:lastPrinted>2017-09-12T12:33:00Z</cp:lastPrinted>
  <dcterms:created xsi:type="dcterms:W3CDTF">2017-11-22T17:16:00Z</dcterms:created>
  <dcterms:modified xsi:type="dcterms:W3CDTF">2017-11-22T17:16:00Z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