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rsidTr="00C97039">
        <w:trPr>
          <w:trHeight w:hRule="exact" w:val="851"/>
        </w:trPr>
        <w:tc>
          <w:tcPr>
            <w:tcW w:w="1276" w:type="dxa"/>
            <w:tcBorders>
              <w:bottom w:val="single" w:sz="4" w:space="0" w:color="auto"/>
            </w:tcBorders>
          </w:tcPr>
          <w:p w:rsidR="00F35BAF" w:rsidRPr="00DB58B5" w:rsidRDefault="00F35BAF" w:rsidP="00485778">
            <w:bookmarkStart w:id="0" w:name="_GoBack"/>
            <w:bookmarkEnd w:id="0"/>
          </w:p>
        </w:tc>
        <w:tc>
          <w:tcPr>
            <w:tcW w:w="2268" w:type="dxa"/>
            <w:tcBorders>
              <w:bottom w:val="single" w:sz="4" w:space="0" w:color="auto"/>
            </w:tcBorders>
            <w:vAlign w:val="bottom"/>
          </w:tcPr>
          <w:p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F35BAF" w:rsidRPr="00DB58B5" w:rsidRDefault="00485778" w:rsidP="00485778">
            <w:pPr>
              <w:jc w:val="right"/>
            </w:pPr>
            <w:r w:rsidRPr="00485778">
              <w:rPr>
                <w:sz w:val="40"/>
              </w:rPr>
              <w:t>ECE</w:t>
            </w:r>
            <w:r>
              <w:t>/TRANS/WP.29/GRSG/2017/29</w:t>
            </w:r>
          </w:p>
        </w:tc>
      </w:tr>
      <w:tr w:rsidR="00F35BAF" w:rsidRPr="00DB58B5" w:rsidTr="00C97039">
        <w:trPr>
          <w:trHeight w:hRule="exact" w:val="2835"/>
        </w:trPr>
        <w:tc>
          <w:tcPr>
            <w:tcW w:w="1276" w:type="dxa"/>
            <w:tcBorders>
              <w:top w:val="single" w:sz="4" w:space="0" w:color="auto"/>
              <w:bottom w:val="single" w:sz="12" w:space="0" w:color="auto"/>
            </w:tcBorders>
          </w:tcPr>
          <w:p w:rsidR="00F35BAF" w:rsidRPr="00DB58B5" w:rsidRDefault="00F35BAF" w:rsidP="00C97039">
            <w:pPr>
              <w:spacing w:before="120"/>
              <w:jc w:val="center"/>
            </w:pPr>
            <w:r>
              <w:rPr>
                <w:noProof/>
                <w:lang w:val="en-GB" w:eastAsia="en-GB"/>
              </w:rPr>
              <w:drawing>
                <wp:inline distT="0" distB="0" distL="0" distR="0" wp14:anchorId="5DD7C114" wp14:editId="39170DA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rsidR="00F35BAF" w:rsidRDefault="00485778" w:rsidP="00C97039">
            <w:pPr>
              <w:spacing w:before="240"/>
            </w:pPr>
            <w:proofErr w:type="spellStart"/>
            <w:r>
              <w:t>Distr</w:t>
            </w:r>
            <w:proofErr w:type="spellEnd"/>
            <w:r>
              <w:t>. générale</w:t>
            </w:r>
          </w:p>
          <w:p w:rsidR="00485778" w:rsidRDefault="00485778" w:rsidP="00485778">
            <w:pPr>
              <w:spacing w:line="240" w:lineRule="exact"/>
            </w:pPr>
            <w:r>
              <w:t>28 juillet 2017</w:t>
            </w:r>
          </w:p>
          <w:p w:rsidR="00485778" w:rsidRDefault="00485778" w:rsidP="00485778">
            <w:pPr>
              <w:spacing w:line="240" w:lineRule="exact"/>
            </w:pPr>
            <w:r>
              <w:t>Français</w:t>
            </w:r>
          </w:p>
          <w:p w:rsidR="00485778" w:rsidRPr="00DB58B5" w:rsidRDefault="00485778" w:rsidP="00485778">
            <w:pPr>
              <w:spacing w:line="240" w:lineRule="exact"/>
            </w:pPr>
            <w:r>
              <w:t>Original : anglais</w:t>
            </w:r>
          </w:p>
        </w:tc>
      </w:tr>
    </w:tbl>
    <w:p w:rsidR="007F20FA" w:rsidRPr="000312C0" w:rsidRDefault="007F20FA" w:rsidP="007F20FA">
      <w:pPr>
        <w:spacing w:before="120"/>
        <w:rPr>
          <w:b/>
          <w:sz w:val="28"/>
          <w:szCs w:val="28"/>
        </w:rPr>
      </w:pPr>
      <w:r w:rsidRPr="000312C0">
        <w:rPr>
          <w:b/>
          <w:sz w:val="28"/>
          <w:szCs w:val="28"/>
        </w:rPr>
        <w:t>Commission économique pour l’Europe</w:t>
      </w:r>
    </w:p>
    <w:p w:rsidR="007F20FA" w:rsidRDefault="007F20FA" w:rsidP="007F20FA">
      <w:pPr>
        <w:spacing w:before="120"/>
        <w:rPr>
          <w:sz w:val="28"/>
          <w:szCs w:val="28"/>
        </w:rPr>
      </w:pPr>
      <w:r w:rsidRPr="00685843">
        <w:rPr>
          <w:sz w:val="28"/>
          <w:szCs w:val="28"/>
        </w:rPr>
        <w:t>Comité des transports intérieurs</w:t>
      </w:r>
    </w:p>
    <w:p w:rsidR="00D5161D" w:rsidRDefault="00D5161D" w:rsidP="00AF0CB5">
      <w:pPr>
        <w:spacing w:before="120"/>
        <w:rPr>
          <w:b/>
          <w:sz w:val="24"/>
          <w:szCs w:val="24"/>
        </w:rPr>
      </w:pPr>
      <w:r w:rsidRPr="00685843">
        <w:rPr>
          <w:b/>
          <w:sz w:val="24"/>
          <w:szCs w:val="24"/>
        </w:rPr>
        <w:t>Forum mondial de l’harmonisation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rsidR="00D5161D" w:rsidRDefault="00D5161D" w:rsidP="00257168">
      <w:pPr>
        <w:spacing w:before="120" w:after="120" w:line="240" w:lineRule="exact"/>
        <w:rPr>
          <w:b/>
        </w:rPr>
      </w:pPr>
      <w:r>
        <w:rPr>
          <w:b/>
        </w:rPr>
        <w:t>Groupe de travail des dispositions générales de sécurité</w:t>
      </w:r>
    </w:p>
    <w:p w:rsidR="00D5161D" w:rsidRDefault="00D5161D" w:rsidP="00257168">
      <w:pPr>
        <w:spacing w:before="120" w:line="240" w:lineRule="exact"/>
        <w:rPr>
          <w:b/>
        </w:rPr>
      </w:pPr>
      <w:r>
        <w:rPr>
          <w:b/>
        </w:rPr>
        <w:t>113</w:t>
      </w:r>
      <w:r w:rsidRPr="00D5161D">
        <w:rPr>
          <w:b/>
          <w:vertAlign w:val="superscript"/>
        </w:rPr>
        <w:t>e</w:t>
      </w:r>
      <w:r>
        <w:rPr>
          <w:b/>
        </w:rPr>
        <w:t xml:space="preserve"> session</w:t>
      </w:r>
    </w:p>
    <w:p w:rsidR="00D5161D" w:rsidRDefault="00D5161D" w:rsidP="00257168">
      <w:pPr>
        <w:spacing w:line="240" w:lineRule="exact"/>
      </w:pPr>
      <w:r>
        <w:t>Genève, 10-13 octobre 2017</w:t>
      </w:r>
    </w:p>
    <w:p w:rsidR="00D5161D" w:rsidRDefault="00D5161D" w:rsidP="00257168">
      <w:pPr>
        <w:spacing w:line="240" w:lineRule="exact"/>
      </w:pPr>
      <w:r>
        <w:t>Point 6 b) de l’ordre du jour provisoire</w:t>
      </w:r>
    </w:p>
    <w:p w:rsidR="004D2790" w:rsidRPr="002A0D93" w:rsidRDefault="004D2790" w:rsidP="004D2790">
      <w:pPr>
        <w:rPr>
          <w:rFonts w:eastAsia="Times New Roman"/>
          <w:b/>
        </w:rPr>
      </w:pPr>
      <w:r w:rsidRPr="002A0D93">
        <w:rPr>
          <w:rFonts w:eastAsia="Times New Roman"/>
          <w:b/>
          <w:lang w:val="fr-FR"/>
        </w:rPr>
        <w:t>Amendements aux Règlements concernant le</w:t>
      </w:r>
      <w:r w:rsidR="00DE2120">
        <w:rPr>
          <w:rFonts w:eastAsia="Times New Roman"/>
          <w:b/>
          <w:lang w:val="fr-FR"/>
        </w:rPr>
        <w:t xml:space="preserve">s véhicules fonctionnant </w:t>
      </w:r>
      <w:r w:rsidR="00DD7E27">
        <w:rPr>
          <w:rFonts w:eastAsia="Times New Roman"/>
          <w:b/>
          <w:lang w:val="fr-FR"/>
        </w:rPr>
        <w:br/>
      </w:r>
      <w:r w:rsidR="00DE2120">
        <w:rPr>
          <w:rFonts w:eastAsia="Times New Roman"/>
          <w:b/>
          <w:lang w:val="fr-FR"/>
        </w:rPr>
        <w:t>au gaz :</w:t>
      </w:r>
      <w:r w:rsidR="00DD7E27">
        <w:rPr>
          <w:rFonts w:eastAsia="Times New Roman"/>
          <w:b/>
          <w:lang w:val="fr-FR"/>
        </w:rPr>
        <w:t xml:space="preserve"> </w:t>
      </w:r>
      <w:r w:rsidRPr="002A0D93">
        <w:rPr>
          <w:rFonts w:eastAsia="Times New Roman"/>
          <w:b/>
          <w:lang w:val="fr-FR"/>
        </w:rPr>
        <w:t xml:space="preserve">Règlement </w:t>
      </w:r>
      <w:r w:rsidR="00DE2120" w:rsidRPr="00DE2120">
        <w:rPr>
          <w:rFonts w:eastAsia="Times New Roman"/>
          <w:b/>
          <w:lang w:val="fr-FR"/>
        </w:rPr>
        <w:t>n</w:t>
      </w:r>
      <w:r w:rsidR="00DE2120" w:rsidRPr="00DE2120">
        <w:rPr>
          <w:rFonts w:eastAsia="Times New Roman"/>
          <w:b/>
          <w:vertAlign w:val="superscript"/>
          <w:lang w:val="fr-FR"/>
        </w:rPr>
        <w:t>o</w:t>
      </w:r>
      <w:r w:rsidR="00DE2120" w:rsidRPr="00DE2120">
        <w:rPr>
          <w:rFonts w:eastAsia="Times New Roman"/>
          <w:b/>
          <w:lang w:val="fr-FR"/>
        </w:rPr>
        <w:t> </w:t>
      </w:r>
      <w:r w:rsidRPr="002A0D93">
        <w:rPr>
          <w:rFonts w:eastAsia="Times New Roman"/>
          <w:b/>
          <w:lang w:val="fr-FR"/>
        </w:rPr>
        <w:t>110 (Véhicules alimentés au GNC/GNL)</w:t>
      </w:r>
    </w:p>
    <w:p w:rsidR="004D2790" w:rsidRPr="002A0D93" w:rsidRDefault="004D2790" w:rsidP="006D56F1">
      <w:pPr>
        <w:pStyle w:val="HChG"/>
        <w:rPr>
          <w:sz w:val="26"/>
          <w:szCs w:val="26"/>
        </w:rPr>
      </w:pPr>
      <w:r w:rsidRPr="002A0D93">
        <w:rPr>
          <w:lang w:val="fr-FR"/>
        </w:rPr>
        <w:tab/>
      </w:r>
      <w:r w:rsidRPr="002A0D93">
        <w:rPr>
          <w:lang w:val="fr-FR"/>
        </w:rPr>
        <w:tab/>
        <w:t>Proposition d</w:t>
      </w:r>
      <w:r>
        <w:rPr>
          <w:lang w:val="fr-FR"/>
        </w:rPr>
        <w:t>’</w:t>
      </w:r>
      <w:r w:rsidRPr="002A0D93">
        <w:rPr>
          <w:lang w:val="fr-FR"/>
        </w:rPr>
        <w:t>amendements au Règlement n</w:t>
      </w:r>
      <w:r w:rsidRPr="002A0D93">
        <w:rPr>
          <w:vertAlign w:val="superscript"/>
          <w:lang w:val="fr-FR"/>
        </w:rPr>
        <w:t>o</w:t>
      </w:r>
      <w:r w:rsidR="00DE2120">
        <w:rPr>
          <w:lang w:val="fr-FR"/>
        </w:rPr>
        <w:t> </w:t>
      </w:r>
      <w:r w:rsidRPr="002A0D93">
        <w:rPr>
          <w:lang w:val="fr-FR"/>
        </w:rPr>
        <w:t>110</w:t>
      </w:r>
      <w:r>
        <w:rPr>
          <w:lang w:val="fr-FR"/>
        </w:rPr>
        <w:t xml:space="preserve"> </w:t>
      </w:r>
      <w:r w:rsidR="00DE2120">
        <w:rPr>
          <w:lang w:val="fr-FR"/>
        </w:rPr>
        <w:br/>
      </w:r>
      <w:r w:rsidRPr="002A0D93">
        <w:rPr>
          <w:lang w:val="fr-FR"/>
        </w:rPr>
        <w:t>(Véhicules alimentés au GNC/GNL)</w:t>
      </w:r>
    </w:p>
    <w:p w:rsidR="004D2790" w:rsidRPr="006D56F1" w:rsidRDefault="006D56F1" w:rsidP="006D56F1">
      <w:pPr>
        <w:pStyle w:val="H1G"/>
        <w:rPr>
          <w:b w:val="0"/>
        </w:rPr>
      </w:pPr>
      <w:r>
        <w:rPr>
          <w:lang w:val="fr-FR"/>
        </w:rPr>
        <w:tab/>
      </w:r>
      <w:r>
        <w:rPr>
          <w:lang w:val="fr-FR"/>
        </w:rPr>
        <w:tab/>
      </w:r>
      <w:r w:rsidR="004D2790" w:rsidRPr="002A0D93">
        <w:rPr>
          <w:lang w:val="fr-FR"/>
        </w:rPr>
        <w:t>Communication de l</w:t>
      </w:r>
      <w:r w:rsidR="004D2790">
        <w:rPr>
          <w:lang w:val="fr-FR"/>
        </w:rPr>
        <w:t>’</w:t>
      </w:r>
      <w:r w:rsidR="004D2790" w:rsidRPr="002A0D93">
        <w:rPr>
          <w:lang w:val="fr-FR"/>
        </w:rPr>
        <w:t>expert de l</w:t>
      </w:r>
      <w:r w:rsidR="004D2790">
        <w:rPr>
          <w:lang w:val="fr-FR"/>
        </w:rPr>
        <w:t>’</w:t>
      </w:r>
      <w:r w:rsidR="004D2790" w:rsidRPr="002A0D93">
        <w:rPr>
          <w:lang w:val="fr-FR"/>
        </w:rPr>
        <w:t>Italie</w:t>
      </w:r>
      <w:r w:rsidRPr="006D56F1">
        <w:rPr>
          <w:rStyle w:val="FootnoteReference"/>
          <w:b w:val="0"/>
          <w:sz w:val="20"/>
          <w:vertAlign w:val="baseline"/>
        </w:rPr>
        <w:footnoteReference w:customMarkFollows="1" w:id="2"/>
        <w:t>*</w:t>
      </w:r>
    </w:p>
    <w:p w:rsidR="0077751C" w:rsidRPr="004D2790" w:rsidRDefault="006D56F1" w:rsidP="004D2790">
      <w:pPr>
        <w:pStyle w:val="SingleTxtG"/>
      </w:pPr>
      <w:r>
        <w:rPr>
          <w:lang w:val="fr-FR"/>
        </w:rPr>
        <w:tab/>
      </w:r>
      <w:r w:rsidR="00390935" w:rsidRPr="004D2790">
        <w:rPr>
          <w:lang w:val="fr-FR"/>
        </w:rPr>
        <w:t>Le texte ci-après, établi par l</w:t>
      </w:r>
      <w:r w:rsidR="004D2790" w:rsidRPr="004D2790">
        <w:rPr>
          <w:lang w:val="fr-FR"/>
        </w:rPr>
        <w:t>’</w:t>
      </w:r>
      <w:r w:rsidR="00390935" w:rsidRPr="004D2790">
        <w:rPr>
          <w:lang w:val="fr-FR"/>
        </w:rPr>
        <w:t>expert de l</w:t>
      </w:r>
      <w:r w:rsidR="004D2790" w:rsidRPr="004D2790">
        <w:rPr>
          <w:lang w:val="fr-FR"/>
        </w:rPr>
        <w:t>’</w:t>
      </w:r>
      <w:r w:rsidR="00390935" w:rsidRPr="004D2790">
        <w:rPr>
          <w:lang w:val="fr-FR"/>
        </w:rPr>
        <w:t>Italie, vise à modifier l</w:t>
      </w:r>
      <w:r w:rsidR="004D2790" w:rsidRPr="004D2790">
        <w:rPr>
          <w:lang w:val="fr-FR"/>
        </w:rPr>
        <w:t>’</w:t>
      </w:r>
      <w:r w:rsidR="00C1107C">
        <w:rPr>
          <w:lang w:val="fr-FR"/>
        </w:rPr>
        <w:t>annexe </w:t>
      </w:r>
      <w:r w:rsidR="00390935" w:rsidRPr="004D2790">
        <w:rPr>
          <w:lang w:val="fr-FR"/>
        </w:rPr>
        <w:t>3A du Règlement en ce qui concerne les prescriptions d</w:t>
      </w:r>
      <w:r w:rsidR="004D2790" w:rsidRPr="004D2790">
        <w:rPr>
          <w:lang w:val="fr-FR"/>
        </w:rPr>
        <w:t>’</w:t>
      </w:r>
      <w:r w:rsidR="00390935" w:rsidRPr="004D2790">
        <w:rPr>
          <w:lang w:val="fr-FR"/>
        </w:rPr>
        <w:t>essai pour la requalification périodique des bouteilles de gaz naturel comprimé (GNC) afin d</w:t>
      </w:r>
      <w:r w:rsidR="004D2790" w:rsidRPr="004D2790">
        <w:rPr>
          <w:lang w:val="fr-FR"/>
        </w:rPr>
        <w:t>’</w:t>
      </w:r>
      <w:r w:rsidR="00390935" w:rsidRPr="004D2790">
        <w:rPr>
          <w:lang w:val="fr-FR"/>
        </w:rPr>
        <w:t>éviter les défaillances structurelles pendant la durée de vie en service de ces récipients. Il est fondé sur le document informel GRSG-112-28, communiqué à la 112</w:t>
      </w:r>
      <w:r w:rsidR="00390935" w:rsidRPr="004D2790">
        <w:rPr>
          <w:vertAlign w:val="superscript"/>
          <w:lang w:val="fr-FR"/>
        </w:rPr>
        <w:t>e</w:t>
      </w:r>
      <w:r w:rsidR="00DE2120">
        <w:rPr>
          <w:lang w:val="fr-FR"/>
        </w:rPr>
        <w:t> </w:t>
      </w:r>
      <w:r w:rsidR="00390935" w:rsidRPr="004D2790">
        <w:rPr>
          <w:lang w:val="fr-FR"/>
        </w:rPr>
        <w:t>session du Groupe de travail des dispositions générales de sécurité (GRSG) (voir le rapport ECE/TRANS/WP.29/GRSG/91, par. 32). Les modifications qu</w:t>
      </w:r>
      <w:r w:rsidR="004D2790" w:rsidRPr="004D2790">
        <w:rPr>
          <w:lang w:val="fr-FR"/>
        </w:rPr>
        <w:t>’</w:t>
      </w:r>
      <w:r w:rsidR="00390935" w:rsidRPr="004D2790">
        <w:rPr>
          <w:lang w:val="fr-FR"/>
        </w:rPr>
        <w:t>il est proposé d</w:t>
      </w:r>
      <w:r w:rsidR="004D2790" w:rsidRPr="004D2790">
        <w:rPr>
          <w:lang w:val="fr-FR"/>
        </w:rPr>
        <w:t>’</w:t>
      </w:r>
      <w:r w:rsidR="00390935" w:rsidRPr="004D2790">
        <w:rPr>
          <w:lang w:val="fr-FR"/>
        </w:rPr>
        <w:t xml:space="preserve">apporter au texte actuel du Règlement </w:t>
      </w:r>
      <w:r w:rsidR="00C1107C" w:rsidRPr="006C2B57">
        <w:rPr>
          <w:rFonts w:eastAsia="MS Mincho"/>
          <w:lang w:val="fr-FR"/>
        </w:rPr>
        <w:t>n</w:t>
      </w:r>
      <w:r w:rsidR="00C1107C" w:rsidRPr="006C2B57">
        <w:rPr>
          <w:rFonts w:eastAsia="MS Mincho"/>
          <w:vertAlign w:val="superscript"/>
          <w:lang w:val="fr-FR"/>
        </w:rPr>
        <w:t>o</w:t>
      </w:r>
      <w:r w:rsidR="00C1107C">
        <w:rPr>
          <w:lang w:val="fr-FR"/>
        </w:rPr>
        <w:t> </w:t>
      </w:r>
      <w:r w:rsidR="00390935" w:rsidRPr="004D2790">
        <w:rPr>
          <w:lang w:val="fr-FR"/>
        </w:rPr>
        <w:t>110 figurent en caractères gras pour les ajouts et biffés pour les suppressions.</w:t>
      </w:r>
    </w:p>
    <w:p w:rsidR="0077751C" w:rsidRPr="004D2790" w:rsidRDefault="006C3A01" w:rsidP="006D56F1">
      <w:pPr>
        <w:pStyle w:val="HChG"/>
      </w:pPr>
      <w:r>
        <w:br w:type="page"/>
      </w:r>
      <w:r w:rsidR="006D56F1">
        <w:lastRenderedPageBreak/>
        <w:tab/>
      </w:r>
      <w:r w:rsidR="00390935" w:rsidRPr="004D2790">
        <w:t>I.</w:t>
      </w:r>
      <w:r w:rsidR="00390935" w:rsidRPr="004D2790">
        <w:tab/>
        <w:t>Proposition</w:t>
      </w:r>
    </w:p>
    <w:p w:rsidR="0077751C" w:rsidRPr="004D2790" w:rsidRDefault="00390935" w:rsidP="004D2790">
      <w:pPr>
        <w:pStyle w:val="SingleTxtG"/>
        <w:rPr>
          <w:bCs/>
          <w:i/>
        </w:rPr>
      </w:pPr>
      <w:r w:rsidRPr="004D2790">
        <w:rPr>
          <w:i/>
          <w:iCs/>
          <w:lang w:val="fr-FR"/>
        </w:rPr>
        <w:t>Annexe 3A</w:t>
      </w:r>
    </w:p>
    <w:p w:rsidR="0077751C" w:rsidRPr="004D2790" w:rsidRDefault="00390935" w:rsidP="004D2790">
      <w:pPr>
        <w:pStyle w:val="SingleTxtG"/>
        <w:rPr>
          <w:bCs/>
        </w:rPr>
      </w:pPr>
      <w:r w:rsidRPr="004D2790">
        <w:rPr>
          <w:i/>
          <w:iCs/>
          <w:lang w:val="fr-FR"/>
        </w:rPr>
        <w:t>Paragraphe 4.1.4</w:t>
      </w:r>
      <w:r w:rsidRPr="004D2790">
        <w:rPr>
          <w:lang w:val="fr-FR"/>
        </w:rPr>
        <w:t xml:space="preserve">, </w:t>
      </w:r>
      <w:proofErr w:type="gramStart"/>
      <w:r w:rsidRPr="004D2790">
        <w:rPr>
          <w:lang w:val="fr-FR"/>
        </w:rPr>
        <w:t>modifier</w:t>
      </w:r>
      <w:proofErr w:type="gramEnd"/>
      <w:r w:rsidRPr="004D2790">
        <w:rPr>
          <w:lang w:val="fr-FR"/>
        </w:rPr>
        <w:t xml:space="preserve"> comme suit :</w:t>
      </w:r>
    </w:p>
    <w:p w:rsidR="0077751C" w:rsidRPr="004D2790" w:rsidRDefault="006D56F1" w:rsidP="006D56F1">
      <w:pPr>
        <w:pStyle w:val="SingleTxtG"/>
        <w:ind w:left="2268" w:hanging="1134"/>
        <w:rPr>
          <w:bCs/>
        </w:rPr>
      </w:pPr>
      <w:r>
        <w:rPr>
          <w:lang w:val="fr-FR"/>
        </w:rPr>
        <w:t>« </w:t>
      </w:r>
      <w:r w:rsidR="00390935" w:rsidRPr="004D2790">
        <w:rPr>
          <w:lang w:val="fr-FR"/>
        </w:rPr>
        <w:t>4.1.4</w:t>
      </w:r>
      <w:r w:rsidR="00390935" w:rsidRPr="004D2790">
        <w:rPr>
          <w:lang w:val="fr-FR"/>
        </w:rPr>
        <w:tab/>
        <w:t>Requalification périodique</w:t>
      </w:r>
    </w:p>
    <w:p w:rsidR="0077751C" w:rsidRPr="004D2790" w:rsidRDefault="00390935" w:rsidP="006D56F1">
      <w:pPr>
        <w:pStyle w:val="SingleTxtG"/>
        <w:ind w:left="2268"/>
        <w:rPr>
          <w:bCs/>
        </w:rPr>
      </w:pPr>
      <w:r w:rsidRPr="004D2790">
        <w:rPr>
          <w:lang w:val="fr-FR"/>
        </w:rPr>
        <w:t>Des recommandations pour la requalification périodique […] dans les conditions d</w:t>
      </w:r>
      <w:r w:rsidR="004D2790" w:rsidRPr="004D2790">
        <w:rPr>
          <w:lang w:val="fr-FR"/>
        </w:rPr>
        <w:t>’</w:t>
      </w:r>
      <w:r w:rsidRPr="004D2790">
        <w:rPr>
          <w:lang w:val="fr-FR"/>
        </w:rPr>
        <w:t>utilisation spécifiées dans cette annexe. Chaque bouteille doit être contrôlée visuellement au moins tous les 48 mois après la date de sa mise en service sur le véhicule (immatriculation du véhicule), et à chaque nouvelle installation, pour vérifier l</w:t>
      </w:r>
      <w:r w:rsidR="004D2790" w:rsidRPr="004D2790">
        <w:rPr>
          <w:lang w:val="fr-FR"/>
        </w:rPr>
        <w:t>’</w:t>
      </w:r>
      <w:r w:rsidRPr="004D2790">
        <w:rPr>
          <w:lang w:val="fr-FR"/>
        </w:rPr>
        <w:t xml:space="preserve">absence de dommages ou de détériorations, même sous les supports </w:t>
      </w:r>
      <w:r w:rsidRPr="004D2790">
        <w:rPr>
          <w:b/>
          <w:bCs/>
          <w:lang w:val="fr-FR"/>
        </w:rPr>
        <w:t>et les éventuels capots de protection des ogives</w:t>
      </w:r>
      <w:r w:rsidR="00DE2120">
        <w:rPr>
          <w:lang w:val="fr-FR"/>
        </w:rPr>
        <w:t>. Le contrôle visuel</w:t>
      </w:r>
      <w:r w:rsidR="00CB25C7">
        <w:rPr>
          <w:lang w:val="fr-FR"/>
        </w:rPr>
        <w:t>... ».</w:t>
      </w:r>
    </w:p>
    <w:p w:rsidR="0077751C" w:rsidRPr="004D2790" w:rsidRDefault="00390935" w:rsidP="004D2790">
      <w:pPr>
        <w:pStyle w:val="SingleTxtG"/>
        <w:rPr>
          <w:bCs/>
          <w:i/>
        </w:rPr>
      </w:pPr>
      <w:r w:rsidRPr="004D2790">
        <w:rPr>
          <w:i/>
          <w:iCs/>
          <w:lang w:val="fr-FR"/>
        </w:rPr>
        <w:t>Paragraphe 10.7.1</w:t>
      </w:r>
      <w:r w:rsidRPr="004D2790">
        <w:rPr>
          <w:lang w:val="fr-FR"/>
        </w:rPr>
        <w:t xml:space="preserve">, </w:t>
      </w:r>
      <w:proofErr w:type="gramStart"/>
      <w:r w:rsidRPr="004D2790">
        <w:rPr>
          <w:lang w:val="fr-FR"/>
        </w:rPr>
        <w:t>modifier</w:t>
      </w:r>
      <w:proofErr w:type="gramEnd"/>
      <w:r w:rsidRPr="004D2790">
        <w:rPr>
          <w:lang w:val="fr-FR"/>
        </w:rPr>
        <w:t xml:space="preserve"> comme suit</w:t>
      </w:r>
      <w:r w:rsidR="00CB25C7">
        <w:rPr>
          <w:lang w:val="fr-FR"/>
        </w:rPr>
        <w:t> </w:t>
      </w:r>
      <w:r w:rsidRPr="004D2790">
        <w:rPr>
          <w:lang w:val="fr-FR"/>
        </w:rPr>
        <w:t>:</w:t>
      </w:r>
    </w:p>
    <w:p w:rsidR="0077751C" w:rsidRPr="004D2790" w:rsidRDefault="00CB25C7" w:rsidP="00CB25C7">
      <w:pPr>
        <w:pStyle w:val="SingleTxtG"/>
        <w:ind w:left="2268" w:hanging="1134"/>
        <w:rPr>
          <w:bCs/>
        </w:rPr>
      </w:pPr>
      <w:r>
        <w:rPr>
          <w:lang w:val="fr-FR"/>
        </w:rPr>
        <w:t>« </w:t>
      </w:r>
      <w:r w:rsidR="00390935" w:rsidRPr="004D2790">
        <w:rPr>
          <w:lang w:val="fr-FR"/>
        </w:rPr>
        <w:t>10.7.1</w:t>
      </w:r>
      <w:r w:rsidR="00390935" w:rsidRPr="004D2790">
        <w:rPr>
          <w:lang w:val="fr-FR"/>
        </w:rPr>
        <w:tab/>
        <w:t>Généralités</w:t>
      </w:r>
    </w:p>
    <w:p w:rsidR="0077751C" w:rsidRPr="004D2790" w:rsidRDefault="00390935" w:rsidP="00CB25C7">
      <w:pPr>
        <w:pStyle w:val="SingleTxtG"/>
        <w:ind w:left="2268"/>
        <w:rPr>
          <w:bCs/>
        </w:rPr>
      </w:pPr>
      <w:r w:rsidRPr="004D2790">
        <w:rPr>
          <w:lang w:val="fr-FR"/>
        </w:rPr>
        <w:tab/>
        <w:t>Les essais de qualification des types de bouteilles doivent être réalisés conformément au</w:t>
      </w:r>
      <w:r w:rsidR="00DE2120">
        <w:rPr>
          <w:lang w:val="fr-FR"/>
        </w:rPr>
        <w:t>x prescriptions des paragraphes </w:t>
      </w:r>
      <w:r w:rsidRPr="004D2790">
        <w:rPr>
          <w:lang w:val="fr-FR"/>
        </w:rPr>
        <w:t>8.6, 10.7.2, 10.7.3</w:t>
      </w:r>
      <w:r w:rsidRPr="006C3A01">
        <w:rPr>
          <w:strike/>
          <w:lang w:val="fr-FR"/>
        </w:rPr>
        <w:t xml:space="preserve"> et</w:t>
      </w:r>
      <w:r w:rsidRPr="004D2790">
        <w:rPr>
          <w:b/>
          <w:bCs/>
          <w:lang w:val="fr-FR"/>
        </w:rPr>
        <w:t>,</w:t>
      </w:r>
      <w:r w:rsidRPr="004D2790">
        <w:rPr>
          <w:lang w:val="fr-FR"/>
        </w:rPr>
        <w:t xml:space="preserve"> 10.7.4 </w:t>
      </w:r>
      <w:r w:rsidRPr="006C3A01">
        <w:rPr>
          <w:b/>
          <w:lang w:val="fr-FR"/>
        </w:rPr>
        <w:t xml:space="preserve">et </w:t>
      </w:r>
      <w:r w:rsidRPr="004D2790">
        <w:rPr>
          <w:b/>
          <w:bCs/>
          <w:lang w:val="fr-FR"/>
        </w:rPr>
        <w:t>10.7.5</w:t>
      </w:r>
      <w:r w:rsidRPr="004D2790">
        <w:rPr>
          <w:lang w:val="fr-FR"/>
        </w:rPr>
        <w:t xml:space="preserve"> de la présente annexe. L</w:t>
      </w:r>
      <w:r w:rsidR="004D2790" w:rsidRPr="004D2790">
        <w:rPr>
          <w:lang w:val="fr-FR"/>
        </w:rPr>
        <w:t>’</w:t>
      </w:r>
      <w:r w:rsidRPr="004D2790">
        <w:rPr>
          <w:lang w:val="fr-FR"/>
        </w:rPr>
        <w:t>essai de fu</w:t>
      </w:r>
      <w:r w:rsidR="006C3A01">
        <w:rPr>
          <w:lang w:val="fr-FR"/>
        </w:rPr>
        <w:t>ite avant rupture du paragraphe </w:t>
      </w:r>
      <w:r w:rsidRPr="004D2790">
        <w:rPr>
          <w:lang w:val="fr-FR"/>
        </w:rPr>
        <w:t>8.6.10 ci-dessus n</w:t>
      </w:r>
      <w:r w:rsidR="004D2790" w:rsidRPr="004D2790">
        <w:rPr>
          <w:lang w:val="fr-FR"/>
        </w:rPr>
        <w:t>’</w:t>
      </w:r>
      <w:r w:rsidR="00CB25C7">
        <w:rPr>
          <w:lang w:val="fr-FR"/>
        </w:rPr>
        <w:t>est cependant pas requis. ».</w:t>
      </w:r>
    </w:p>
    <w:p w:rsidR="0077751C" w:rsidRPr="004D2790" w:rsidRDefault="00390935" w:rsidP="004D2790">
      <w:pPr>
        <w:pStyle w:val="SingleTxtG"/>
        <w:rPr>
          <w:bCs/>
          <w:i/>
        </w:rPr>
      </w:pPr>
      <w:r w:rsidRPr="004D2790">
        <w:rPr>
          <w:i/>
          <w:iCs/>
          <w:lang w:val="fr-FR"/>
        </w:rPr>
        <w:t>Ajouter un nouveau paragraphe 10.7.5</w:t>
      </w:r>
      <w:r w:rsidR="00CB25C7">
        <w:rPr>
          <w:lang w:val="fr-FR"/>
        </w:rPr>
        <w:t>, libellé comme suit </w:t>
      </w:r>
      <w:r w:rsidRPr="004D2790">
        <w:rPr>
          <w:lang w:val="fr-FR"/>
        </w:rPr>
        <w:t>:</w:t>
      </w:r>
    </w:p>
    <w:p w:rsidR="0077751C" w:rsidRPr="004D2790" w:rsidRDefault="00CB25C7" w:rsidP="00CB25C7">
      <w:pPr>
        <w:pStyle w:val="SingleTxtG"/>
        <w:ind w:left="2268" w:hanging="1134"/>
        <w:rPr>
          <w:b/>
          <w:bCs/>
        </w:rPr>
      </w:pPr>
      <w:r>
        <w:rPr>
          <w:lang w:val="fr-FR"/>
        </w:rPr>
        <w:t>« </w:t>
      </w:r>
      <w:r w:rsidR="00390935" w:rsidRPr="004D2790">
        <w:rPr>
          <w:b/>
          <w:bCs/>
          <w:lang w:val="fr-FR"/>
        </w:rPr>
        <w:t>10.7.5</w:t>
      </w:r>
      <w:r w:rsidR="00390935" w:rsidRPr="004D2790">
        <w:rPr>
          <w:lang w:val="fr-FR"/>
        </w:rPr>
        <w:tab/>
      </w:r>
      <w:r w:rsidR="00390935" w:rsidRPr="004D2790">
        <w:rPr>
          <w:b/>
          <w:bCs/>
          <w:lang w:val="fr-FR"/>
        </w:rPr>
        <w:t>Essai de choc</w:t>
      </w:r>
    </w:p>
    <w:p w:rsidR="0077751C" w:rsidRPr="004D2790" w:rsidRDefault="00390935" w:rsidP="00CB25C7">
      <w:pPr>
        <w:pStyle w:val="SingleTxtG"/>
        <w:ind w:left="2268"/>
        <w:rPr>
          <w:b/>
          <w:bCs/>
        </w:rPr>
      </w:pPr>
      <w:r w:rsidRPr="004D2790">
        <w:rPr>
          <w:lang w:val="fr-FR"/>
        </w:rPr>
        <w:tab/>
      </w:r>
      <w:r w:rsidRPr="004D2790">
        <w:rPr>
          <w:b/>
          <w:bCs/>
          <w:lang w:val="fr-FR"/>
        </w:rPr>
        <w:t>Une ou plusieurs bouteilles finies doivent être soumises à un essai de choc conformément aux dispositions du paragraphe A.20 de l</w:t>
      </w:r>
      <w:r w:rsidR="004D2790" w:rsidRPr="004D2790">
        <w:rPr>
          <w:b/>
          <w:bCs/>
          <w:lang w:val="fr-FR"/>
        </w:rPr>
        <w:t>’</w:t>
      </w:r>
      <w:r w:rsidRPr="004D2790">
        <w:rPr>
          <w:b/>
          <w:bCs/>
          <w:lang w:val="fr-FR"/>
        </w:rPr>
        <w:t>appendice A à la présente annexe.</w:t>
      </w:r>
    </w:p>
    <w:p w:rsidR="0077751C" w:rsidRPr="004D2790" w:rsidRDefault="00390935" w:rsidP="00CB25C7">
      <w:pPr>
        <w:pStyle w:val="SingleTxtG"/>
        <w:ind w:left="2268"/>
        <w:rPr>
          <w:bCs/>
        </w:rPr>
      </w:pPr>
      <w:r w:rsidRPr="004D2790">
        <w:rPr>
          <w:lang w:val="fr-FR"/>
        </w:rPr>
        <w:tab/>
      </w:r>
      <w:r w:rsidRPr="004D2790">
        <w:rPr>
          <w:b/>
          <w:bCs/>
          <w:lang w:val="fr-FR"/>
        </w:rPr>
        <w:t>Lorsque l</w:t>
      </w:r>
      <w:r w:rsidR="004D2790" w:rsidRPr="004D2790">
        <w:rPr>
          <w:b/>
          <w:bCs/>
          <w:lang w:val="fr-FR"/>
        </w:rPr>
        <w:t>’</w:t>
      </w:r>
      <w:r w:rsidRPr="004D2790">
        <w:rPr>
          <w:b/>
          <w:bCs/>
          <w:lang w:val="fr-FR"/>
        </w:rPr>
        <w:t>ogive de la bouteille est munie d</w:t>
      </w:r>
      <w:r w:rsidR="004D2790" w:rsidRPr="004D2790">
        <w:rPr>
          <w:b/>
          <w:bCs/>
          <w:lang w:val="fr-FR"/>
        </w:rPr>
        <w:t>’</w:t>
      </w:r>
      <w:r w:rsidRPr="004D2790">
        <w:rPr>
          <w:b/>
          <w:bCs/>
          <w:lang w:val="fr-FR"/>
        </w:rPr>
        <w:t>un capot de protection, l</w:t>
      </w:r>
      <w:r w:rsidR="004D2790" w:rsidRPr="004D2790">
        <w:rPr>
          <w:b/>
          <w:bCs/>
          <w:lang w:val="fr-FR"/>
        </w:rPr>
        <w:t>’</w:t>
      </w:r>
      <w:r w:rsidRPr="004D2790">
        <w:rPr>
          <w:b/>
          <w:bCs/>
          <w:lang w:val="fr-FR"/>
        </w:rPr>
        <w:t>essai doit être effectué sans cette protection.</w:t>
      </w:r>
      <w:r w:rsidR="00CB25C7">
        <w:rPr>
          <w:b/>
          <w:bCs/>
          <w:lang w:val="fr-FR"/>
        </w:rPr>
        <w:t> </w:t>
      </w:r>
      <w:r w:rsidR="00CB25C7" w:rsidRPr="00CB25C7">
        <w:rPr>
          <w:bCs/>
          <w:lang w:val="fr-FR"/>
        </w:rPr>
        <w:t>».</w:t>
      </w:r>
    </w:p>
    <w:p w:rsidR="0077751C" w:rsidRPr="004D2790" w:rsidRDefault="00390935" w:rsidP="004D2790">
      <w:pPr>
        <w:pStyle w:val="SingleTxtG"/>
        <w:rPr>
          <w:bCs/>
          <w:i/>
        </w:rPr>
      </w:pPr>
      <w:r w:rsidRPr="004D2790">
        <w:rPr>
          <w:i/>
          <w:iCs/>
          <w:lang w:val="fr-FR"/>
        </w:rPr>
        <w:t>Annexe 3A, Appendice A</w:t>
      </w:r>
    </w:p>
    <w:p w:rsidR="0077751C" w:rsidRPr="004D2790" w:rsidRDefault="00390935" w:rsidP="004D2790">
      <w:pPr>
        <w:pStyle w:val="SingleTxtG"/>
        <w:rPr>
          <w:bCs/>
          <w:i/>
        </w:rPr>
      </w:pPr>
      <w:r w:rsidRPr="004D2790">
        <w:rPr>
          <w:i/>
          <w:iCs/>
          <w:lang w:val="fr-FR"/>
        </w:rPr>
        <w:t>Paragraphe A.20</w:t>
      </w:r>
      <w:r w:rsidRPr="004D2790">
        <w:rPr>
          <w:lang w:val="fr-FR"/>
        </w:rPr>
        <w:t xml:space="preserve">, </w:t>
      </w:r>
      <w:proofErr w:type="gramStart"/>
      <w:r w:rsidRPr="004D2790">
        <w:rPr>
          <w:lang w:val="fr-FR"/>
        </w:rPr>
        <w:t>modifier</w:t>
      </w:r>
      <w:proofErr w:type="gramEnd"/>
      <w:r w:rsidRPr="004D2790">
        <w:rPr>
          <w:lang w:val="fr-FR"/>
        </w:rPr>
        <w:t xml:space="preserve"> comme suit :</w:t>
      </w:r>
    </w:p>
    <w:p w:rsidR="0077751C" w:rsidRPr="004D2790" w:rsidRDefault="00D50078" w:rsidP="00CB25C7">
      <w:pPr>
        <w:pStyle w:val="SingleTxtG"/>
        <w:ind w:left="2268" w:hanging="1134"/>
        <w:rPr>
          <w:bCs/>
        </w:rPr>
      </w:pPr>
      <w:r>
        <w:rPr>
          <w:lang w:val="fr-FR"/>
        </w:rPr>
        <w:t>« </w:t>
      </w:r>
      <w:r w:rsidR="00390935" w:rsidRPr="004D2790">
        <w:rPr>
          <w:lang w:val="fr-FR"/>
        </w:rPr>
        <w:t>A.20</w:t>
      </w:r>
      <w:r w:rsidR="00390935" w:rsidRPr="004D2790">
        <w:rPr>
          <w:lang w:val="fr-FR"/>
        </w:rPr>
        <w:tab/>
        <w:t>Essai de choc</w:t>
      </w:r>
    </w:p>
    <w:p w:rsidR="0077751C" w:rsidRPr="004D2790" w:rsidRDefault="00390935" w:rsidP="00CB25C7">
      <w:pPr>
        <w:pStyle w:val="SingleTxtG"/>
        <w:ind w:left="2268"/>
        <w:rPr>
          <w:bCs/>
        </w:rPr>
      </w:pPr>
      <w:r w:rsidRPr="004D2790">
        <w:rPr>
          <w:lang w:val="fr-FR"/>
        </w:rPr>
        <w:tab/>
        <w:t xml:space="preserve">Une ou plusieurs bouteilles finies doivent être soumises à un essai de chute à température ambiante, sans mise sous pression interne, </w:t>
      </w:r>
      <w:r w:rsidRPr="00C72B48">
        <w:rPr>
          <w:b/>
          <w:lang w:val="fr-FR"/>
        </w:rPr>
        <w:t>sans</w:t>
      </w:r>
      <w:r w:rsidRPr="004D2790">
        <w:rPr>
          <w:lang w:val="fr-FR"/>
        </w:rPr>
        <w:t xml:space="preserve"> </w:t>
      </w:r>
      <w:r w:rsidRPr="004D2790">
        <w:rPr>
          <w:b/>
          <w:bCs/>
          <w:lang w:val="fr-FR"/>
        </w:rPr>
        <w:t>le capot de protection de l</w:t>
      </w:r>
      <w:r w:rsidR="004D2790" w:rsidRPr="004D2790">
        <w:rPr>
          <w:b/>
          <w:bCs/>
          <w:lang w:val="fr-FR"/>
        </w:rPr>
        <w:t>’</w:t>
      </w:r>
      <w:r w:rsidRPr="004D2790">
        <w:rPr>
          <w:b/>
          <w:bCs/>
          <w:lang w:val="fr-FR"/>
        </w:rPr>
        <w:t>ogive et</w:t>
      </w:r>
      <w:r w:rsidRPr="004D2790">
        <w:rPr>
          <w:lang w:val="fr-FR"/>
        </w:rPr>
        <w:t xml:space="preserve"> san</w:t>
      </w:r>
      <w:r w:rsidR="00D50078">
        <w:rPr>
          <w:lang w:val="fr-FR"/>
        </w:rPr>
        <w:t>s robinets attachés. La surface</w:t>
      </w:r>
      <w:r w:rsidRPr="004D2790">
        <w:rPr>
          <w:lang w:val="fr-FR"/>
        </w:rPr>
        <w:t>…</w:t>
      </w:r>
    </w:p>
    <w:p w:rsidR="0077751C" w:rsidRPr="004D2790" w:rsidRDefault="00D50078" w:rsidP="00CB25C7">
      <w:pPr>
        <w:pStyle w:val="SingleTxtG"/>
        <w:ind w:left="2268"/>
        <w:rPr>
          <w:bCs/>
        </w:rPr>
      </w:pPr>
      <w:r>
        <w:rPr>
          <w:lang w:val="fr-FR"/>
        </w:rPr>
        <w:tab/>
        <w:t>… ».</w:t>
      </w:r>
    </w:p>
    <w:p w:rsidR="0077751C" w:rsidRPr="004D2790" w:rsidRDefault="006D56F1" w:rsidP="006D56F1">
      <w:pPr>
        <w:pStyle w:val="HChG"/>
      </w:pPr>
      <w:r>
        <w:tab/>
      </w:r>
      <w:r w:rsidR="00390935" w:rsidRPr="004D2790">
        <w:t>II.</w:t>
      </w:r>
      <w:r w:rsidR="00390935" w:rsidRPr="004D2790">
        <w:tab/>
        <w:t>Justification</w:t>
      </w:r>
    </w:p>
    <w:p w:rsidR="0077751C" w:rsidRPr="004D2790" w:rsidRDefault="00390935" w:rsidP="004D2790">
      <w:pPr>
        <w:pStyle w:val="SingleTxtG"/>
      </w:pPr>
      <w:r w:rsidRPr="004D2790">
        <w:rPr>
          <w:lang w:val="fr-FR"/>
        </w:rPr>
        <w:t>1.</w:t>
      </w:r>
      <w:r w:rsidRPr="004D2790">
        <w:rPr>
          <w:lang w:val="fr-FR"/>
        </w:rPr>
        <w:tab/>
        <w:t>En Italie, deux cas de défaillance structurelle de bouteilles à GNC équipant des véhicules en service ont été constatés à l</w:t>
      </w:r>
      <w:r w:rsidR="004D2790" w:rsidRPr="004D2790">
        <w:rPr>
          <w:lang w:val="fr-FR"/>
        </w:rPr>
        <w:t>’</w:t>
      </w:r>
      <w:r w:rsidRPr="004D2790">
        <w:rPr>
          <w:lang w:val="fr-FR"/>
        </w:rPr>
        <w:t>occasion de rechargements ordinaires. Dans les deux cas, il s</w:t>
      </w:r>
      <w:r w:rsidR="004D2790" w:rsidRPr="004D2790">
        <w:rPr>
          <w:lang w:val="fr-FR"/>
        </w:rPr>
        <w:t>’</w:t>
      </w:r>
      <w:r w:rsidRPr="004D2790">
        <w:rPr>
          <w:lang w:val="fr-FR"/>
        </w:rPr>
        <w:t>agissait de bouteilles de type GNC-4 dont les ogives étaient munies de capots de protection, mais ces protections avaient été collées sur les ogives afin d</w:t>
      </w:r>
      <w:r w:rsidR="004D2790" w:rsidRPr="004D2790">
        <w:rPr>
          <w:lang w:val="fr-FR"/>
        </w:rPr>
        <w:t>’</w:t>
      </w:r>
      <w:r w:rsidRPr="004D2790">
        <w:rPr>
          <w:lang w:val="fr-FR"/>
        </w:rPr>
        <w:t xml:space="preserve">assurer une </w:t>
      </w:r>
      <w:proofErr w:type="gramStart"/>
      <w:r w:rsidRPr="004D2790">
        <w:rPr>
          <w:lang w:val="fr-FR"/>
        </w:rPr>
        <w:t>couverture</w:t>
      </w:r>
      <w:proofErr w:type="gramEnd"/>
      <w:r w:rsidRPr="004D2790">
        <w:rPr>
          <w:lang w:val="fr-FR"/>
        </w:rPr>
        <w:t xml:space="preserve"> complète. Les défaillances sont apparues au niveau du robinet latéral de l</w:t>
      </w:r>
      <w:r w:rsidR="004D2790" w:rsidRPr="004D2790">
        <w:rPr>
          <w:lang w:val="fr-FR"/>
        </w:rPr>
        <w:t>’</w:t>
      </w:r>
      <w:r w:rsidRPr="004D2790">
        <w:rPr>
          <w:lang w:val="fr-FR"/>
        </w:rPr>
        <w:t>ogive, au milieu de la partie dissimulée sous la protection. À ce niveau, la paroi de la bouteille, considérablement amincie, était environ deux fois moins épaisse que dans la partie cylindrique.</w:t>
      </w:r>
    </w:p>
    <w:p w:rsidR="0077751C" w:rsidRPr="004D2790" w:rsidRDefault="00390935" w:rsidP="004D2790">
      <w:pPr>
        <w:pStyle w:val="SingleTxtG"/>
      </w:pPr>
      <w:r w:rsidRPr="004D2790">
        <w:rPr>
          <w:lang w:val="fr-FR"/>
        </w:rPr>
        <w:t>2.</w:t>
      </w:r>
      <w:r w:rsidR="006C2B57">
        <w:rPr>
          <w:lang w:val="fr-FR"/>
        </w:rPr>
        <w:tab/>
        <w:t>Il est spécifié, au paragraphe </w:t>
      </w:r>
      <w:r w:rsidRPr="004D2790">
        <w:rPr>
          <w:lang w:val="fr-FR"/>
        </w:rPr>
        <w:t>4.1.4 de l</w:t>
      </w:r>
      <w:r w:rsidR="004D2790" w:rsidRPr="004D2790">
        <w:rPr>
          <w:lang w:val="fr-FR"/>
        </w:rPr>
        <w:t>’</w:t>
      </w:r>
      <w:r w:rsidR="006C2B57">
        <w:rPr>
          <w:lang w:val="fr-FR"/>
        </w:rPr>
        <w:t>annexe </w:t>
      </w:r>
      <w:r w:rsidRPr="004D2790">
        <w:rPr>
          <w:lang w:val="fr-FR"/>
        </w:rPr>
        <w:t xml:space="preserve">3 du Règlement </w:t>
      </w:r>
      <w:r w:rsidR="006C2B57" w:rsidRPr="006C2B57">
        <w:rPr>
          <w:rFonts w:eastAsia="MS Mincho"/>
          <w:lang w:val="fr-FR"/>
        </w:rPr>
        <w:t>n</w:t>
      </w:r>
      <w:r w:rsidR="006C2B57" w:rsidRPr="006C2B57">
        <w:rPr>
          <w:rFonts w:eastAsia="MS Mincho"/>
          <w:vertAlign w:val="superscript"/>
          <w:lang w:val="fr-FR"/>
        </w:rPr>
        <w:t>o</w:t>
      </w:r>
      <w:r w:rsidR="006C2B57">
        <w:rPr>
          <w:lang w:val="fr-FR"/>
        </w:rPr>
        <w:t> </w:t>
      </w:r>
      <w:r w:rsidRPr="006C2B57">
        <w:rPr>
          <w:lang w:val="fr-FR"/>
        </w:rPr>
        <w:t>110</w:t>
      </w:r>
      <w:r w:rsidRPr="004D2790">
        <w:rPr>
          <w:lang w:val="fr-FR"/>
        </w:rPr>
        <w:t>, que les bouteilles doivent être contrôlées visuellement pour permettre la détection d</w:t>
      </w:r>
      <w:r w:rsidR="004D2790" w:rsidRPr="004D2790">
        <w:rPr>
          <w:lang w:val="fr-FR"/>
        </w:rPr>
        <w:t>’</w:t>
      </w:r>
      <w:r w:rsidRPr="004D2790">
        <w:rPr>
          <w:lang w:val="fr-FR"/>
        </w:rPr>
        <w:t>éventuels dommages. Cette inspection est d</w:t>
      </w:r>
      <w:r w:rsidR="004D2790" w:rsidRPr="004D2790">
        <w:rPr>
          <w:lang w:val="fr-FR"/>
        </w:rPr>
        <w:t>’</w:t>
      </w:r>
      <w:r w:rsidRPr="004D2790">
        <w:rPr>
          <w:lang w:val="fr-FR"/>
        </w:rPr>
        <w:t>autant plus indispensable lorsque le fabricant ne prévoit pas d</w:t>
      </w:r>
      <w:r w:rsidR="004D2790" w:rsidRPr="004D2790">
        <w:rPr>
          <w:lang w:val="fr-FR"/>
        </w:rPr>
        <w:t>’</w:t>
      </w:r>
      <w:r w:rsidRPr="004D2790">
        <w:rPr>
          <w:lang w:val="fr-FR"/>
        </w:rPr>
        <w:t>essai pendant la durée de vie en service de la bouteille.</w:t>
      </w:r>
    </w:p>
    <w:p w:rsidR="0077751C" w:rsidRPr="004D2790" w:rsidRDefault="00390935" w:rsidP="00010596">
      <w:pPr>
        <w:pStyle w:val="SingleTxtG"/>
        <w:keepNext/>
        <w:keepLines/>
      </w:pPr>
      <w:r w:rsidRPr="004D2790">
        <w:rPr>
          <w:lang w:val="fr-FR"/>
        </w:rPr>
        <w:lastRenderedPageBreak/>
        <w:t>3.</w:t>
      </w:r>
      <w:r w:rsidRPr="004D2790">
        <w:rPr>
          <w:lang w:val="fr-FR"/>
        </w:rPr>
        <w:tab/>
        <w:t>Pour les bouteilles de type GNC-4, notamment au niveau de l</w:t>
      </w:r>
      <w:r w:rsidR="004D2790" w:rsidRPr="004D2790">
        <w:rPr>
          <w:lang w:val="fr-FR"/>
        </w:rPr>
        <w:t>’</w:t>
      </w:r>
      <w:r w:rsidRPr="004D2790">
        <w:rPr>
          <w:lang w:val="fr-FR"/>
        </w:rPr>
        <w:t>ogive, il est évident qu</w:t>
      </w:r>
      <w:r w:rsidR="004D2790" w:rsidRPr="004D2790">
        <w:rPr>
          <w:lang w:val="fr-FR"/>
        </w:rPr>
        <w:t>’</w:t>
      </w:r>
      <w:r w:rsidRPr="004D2790">
        <w:rPr>
          <w:lang w:val="fr-FR"/>
        </w:rPr>
        <w:t>un éventuel dommage peut également affecter les fibres présentes à l</w:t>
      </w:r>
      <w:r w:rsidR="004D2790" w:rsidRPr="004D2790">
        <w:rPr>
          <w:lang w:val="fr-FR"/>
        </w:rPr>
        <w:t>’</w:t>
      </w:r>
      <w:r w:rsidRPr="004D2790">
        <w:rPr>
          <w:lang w:val="fr-FR"/>
        </w:rPr>
        <w:t>intérieur de la paroi de la bouteille et qu</w:t>
      </w:r>
      <w:r w:rsidR="004D2790" w:rsidRPr="004D2790">
        <w:rPr>
          <w:lang w:val="fr-FR"/>
        </w:rPr>
        <w:t>’</w:t>
      </w:r>
      <w:r w:rsidRPr="004D2790">
        <w:rPr>
          <w:lang w:val="fr-FR"/>
        </w:rPr>
        <w:t>il est donc repérable grâce aux variations de couleur de l</w:t>
      </w:r>
      <w:r w:rsidR="004D2790" w:rsidRPr="004D2790">
        <w:rPr>
          <w:lang w:val="fr-FR"/>
        </w:rPr>
        <w:t>’</w:t>
      </w:r>
      <w:r w:rsidRPr="004D2790">
        <w:rPr>
          <w:lang w:val="fr-FR"/>
        </w:rPr>
        <w:t>ogive elle-mê</w:t>
      </w:r>
      <w:r w:rsidR="006C2B57">
        <w:rPr>
          <w:lang w:val="fr-FR"/>
        </w:rPr>
        <w:t>me (voir, par exemple, le point </w:t>
      </w:r>
      <w:r w:rsidRPr="004D2790">
        <w:rPr>
          <w:lang w:val="fr-FR"/>
        </w:rPr>
        <w:t xml:space="preserve">7.6.3 de la norme ISO 19078). </w:t>
      </w:r>
    </w:p>
    <w:p w:rsidR="0077751C" w:rsidRPr="004D2790" w:rsidRDefault="00390935" w:rsidP="004D2790">
      <w:pPr>
        <w:pStyle w:val="SingleTxtG"/>
      </w:pPr>
      <w:r w:rsidRPr="004D2790">
        <w:rPr>
          <w:lang w:val="fr-FR"/>
        </w:rPr>
        <w:t>4.</w:t>
      </w:r>
      <w:r w:rsidRPr="004D2790">
        <w:rPr>
          <w:lang w:val="fr-FR"/>
        </w:rPr>
        <w:tab/>
        <w:t>Il est évident que si une protection ou un capot est collé sur l</w:t>
      </w:r>
      <w:r w:rsidR="004D2790" w:rsidRPr="004D2790">
        <w:rPr>
          <w:lang w:val="fr-FR"/>
        </w:rPr>
        <w:t>’</w:t>
      </w:r>
      <w:r w:rsidRPr="004D2790">
        <w:rPr>
          <w:lang w:val="fr-FR"/>
        </w:rPr>
        <w:t>ogive, il est impossible d</w:t>
      </w:r>
      <w:r w:rsidR="004D2790" w:rsidRPr="004D2790">
        <w:rPr>
          <w:lang w:val="fr-FR"/>
        </w:rPr>
        <w:t>’</w:t>
      </w:r>
      <w:r w:rsidRPr="004D2790">
        <w:rPr>
          <w:lang w:val="fr-FR"/>
        </w:rPr>
        <w:t xml:space="preserve">examiner cette dernière, comme dans le cas des défaillances mentionnées ci-dessus. Or, le Règlement </w:t>
      </w:r>
      <w:r w:rsidR="006C2B57" w:rsidRPr="006C2B57">
        <w:rPr>
          <w:rFonts w:eastAsia="MS Mincho"/>
          <w:lang w:val="fr-FR"/>
        </w:rPr>
        <w:t>n</w:t>
      </w:r>
      <w:r w:rsidR="006C2B57" w:rsidRPr="006C2B57">
        <w:rPr>
          <w:rFonts w:eastAsia="MS Mincho"/>
          <w:vertAlign w:val="superscript"/>
          <w:lang w:val="fr-FR"/>
        </w:rPr>
        <w:t>o</w:t>
      </w:r>
      <w:r w:rsidR="006C2B57">
        <w:rPr>
          <w:lang w:val="fr-FR"/>
        </w:rPr>
        <w:t> </w:t>
      </w:r>
      <w:r w:rsidRPr="004D2790">
        <w:rPr>
          <w:lang w:val="fr-FR"/>
        </w:rPr>
        <w:t>110 rend obligatoire un contrôle visuel, et ce contrôle est particulièrement indispensable quand aucun essai de requalification n</w:t>
      </w:r>
      <w:r w:rsidR="004D2790" w:rsidRPr="004D2790">
        <w:rPr>
          <w:lang w:val="fr-FR"/>
        </w:rPr>
        <w:t>’</w:t>
      </w:r>
      <w:r w:rsidRPr="004D2790">
        <w:rPr>
          <w:lang w:val="fr-FR"/>
        </w:rPr>
        <w:t>est explicitement prescrit par le fabricant.</w:t>
      </w:r>
    </w:p>
    <w:p w:rsidR="0077751C" w:rsidRPr="004D2790" w:rsidRDefault="00390935" w:rsidP="004D2790">
      <w:pPr>
        <w:pStyle w:val="SingleTxtG"/>
      </w:pPr>
      <w:r w:rsidRPr="004D2790">
        <w:rPr>
          <w:lang w:val="fr-FR"/>
        </w:rPr>
        <w:t>5.</w:t>
      </w:r>
      <w:r w:rsidRPr="004D2790">
        <w:rPr>
          <w:lang w:val="fr-FR"/>
        </w:rPr>
        <w:tab/>
        <w:t>Il convient par conséquent, lorsqu</w:t>
      </w:r>
      <w:r w:rsidR="004D2790" w:rsidRPr="004D2790">
        <w:rPr>
          <w:lang w:val="fr-FR"/>
        </w:rPr>
        <w:t>’</w:t>
      </w:r>
      <w:r w:rsidRPr="004D2790">
        <w:rPr>
          <w:lang w:val="fr-FR"/>
        </w:rPr>
        <w:t>on installe le récipient sur le véhicule, de retirer tout capot de protection destiné à protéger la bouteille lors de sa manutention. À défaut, toute protection fournie par le fabricant doit pouvoir être facilement retirée pour permettre l</w:t>
      </w:r>
      <w:r w:rsidR="004D2790" w:rsidRPr="004D2790">
        <w:rPr>
          <w:lang w:val="fr-FR"/>
        </w:rPr>
        <w:t>’</w:t>
      </w:r>
      <w:r w:rsidRPr="004D2790">
        <w:rPr>
          <w:lang w:val="fr-FR"/>
        </w:rPr>
        <w:t xml:space="preserve">inspection des ogives. Le fabricant doit préciser que la protection doit être enlevée lors du contrôle des bouteilles et indiquer les précautions à prendre, </w:t>
      </w:r>
      <w:r w:rsidR="006C2B57">
        <w:rPr>
          <w:lang w:val="fr-FR"/>
        </w:rPr>
        <w:t>comme le prescrit le paragraphe </w:t>
      </w:r>
      <w:r w:rsidRPr="004D2790">
        <w:rPr>
          <w:lang w:val="fr-FR"/>
        </w:rPr>
        <w:t>6.12 de l</w:t>
      </w:r>
      <w:r w:rsidR="004D2790" w:rsidRPr="004D2790">
        <w:rPr>
          <w:lang w:val="fr-FR"/>
        </w:rPr>
        <w:t>’</w:t>
      </w:r>
      <w:r w:rsidRPr="004D2790">
        <w:rPr>
          <w:lang w:val="fr-FR"/>
        </w:rPr>
        <w:t>a</w:t>
      </w:r>
      <w:r w:rsidR="006C2B57">
        <w:rPr>
          <w:lang w:val="fr-FR"/>
        </w:rPr>
        <w:t>nnexe </w:t>
      </w:r>
      <w:r w:rsidRPr="004D2790">
        <w:rPr>
          <w:lang w:val="fr-FR"/>
        </w:rPr>
        <w:t>3.</w:t>
      </w:r>
    </w:p>
    <w:p w:rsidR="0077751C" w:rsidRPr="004D2790" w:rsidRDefault="00390935" w:rsidP="004D2790">
      <w:pPr>
        <w:pStyle w:val="SingleTxtG"/>
      </w:pPr>
      <w:r w:rsidRPr="004D2790">
        <w:rPr>
          <w:lang w:val="fr-FR"/>
        </w:rPr>
        <w:t>6.</w:t>
      </w:r>
      <w:r w:rsidRPr="004D2790">
        <w:rPr>
          <w:lang w:val="fr-FR"/>
        </w:rPr>
        <w:tab/>
        <w:t>Le matériau des protections des bouteilles montrant une défaillance structurelle semble présenter des fissures caractéristiques après une courte période d</w:t>
      </w:r>
      <w:r w:rsidR="004D2790" w:rsidRPr="004D2790">
        <w:rPr>
          <w:lang w:val="fr-FR"/>
        </w:rPr>
        <w:t>’</w:t>
      </w:r>
      <w:r w:rsidRPr="004D2790">
        <w:rPr>
          <w:lang w:val="fr-FR"/>
        </w:rPr>
        <w:t>utilisation, en raison des cycles de vieillissement et de déformation résultant des opérations normales de recharge, ce qui réduit la résistance des bouteilles aux chocs au niveau des ogives ou conduit à la mise au rebut de bouteilles qui n</w:t>
      </w:r>
      <w:r w:rsidR="004D2790" w:rsidRPr="004D2790">
        <w:rPr>
          <w:lang w:val="fr-FR"/>
        </w:rPr>
        <w:t>’</w:t>
      </w:r>
      <w:r w:rsidRPr="004D2790">
        <w:rPr>
          <w:lang w:val="fr-FR"/>
        </w:rPr>
        <w:t>ont subi ni choc, ni dommage.</w:t>
      </w:r>
    </w:p>
    <w:p w:rsidR="0077751C" w:rsidRPr="004D2790" w:rsidRDefault="00390935" w:rsidP="004D2790">
      <w:pPr>
        <w:pStyle w:val="SingleTxtG"/>
      </w:pPr>
      <w:r w:rsidRPr="004D2790">
        <w:rPr>
          <w:lang w:val="fr-FR"/>
        </w:rPr>
        <w:t>7.</w:t>
      </w:r>
      <w:r w:rsidRPr="004D2790">
        <w:rPr>
          <w:lang w:val="fr-FR"/>
        </w:rPr>
        <w:tab/>
        <w:t>Pour des raisons de sécurité évidentes, il est spécifié, au paragraphe 6.13 de l</w:t>
      </w:r>
      <w:r w:rsidR="004D2790" w:rsidRPr="004D2790">
        <w:rPr>
          <w:lang w:val="fr-FR"/>
        </w:rPr>
        <w:t>’</w:t>
      </w:r>
      <w:r w:rsidRPr="004D2790">
        <w:rPr>
          <w:lang w:val="fr-FR"/>
        </w:rPr>
        <w:t>annexe 3 du Règlement n</w:t>
      </w:r>
      <w:r w:rsidRPr="004D2790">
        <w:rPr>
          <w:vertAlign w:val="superscript"/>
          <w:lang w:val="fr-FR"/>
        </w:rPr>
        <w:t>o</w:t>
      </w:r>
      <w:r w:rsidRPr="004D2790">
        <w:rPr>
          <w:lang w:val="fr-FR"/>
        </w:rPr>
        <w:t> 110 et dans le tableau 6.4 qui y est mentionné, que les bouteilles de type GNC-3 et GNC-4 doivent résister aux chocs et aux chutes. Il convient donc d</w:t>
      </w:r>
      <w:r w:rsidR="004D2790" w:rsidRPr="004D2790">
        <w:rPr>
          <w:lang w:val="fr-FR"/>
        </w:rPr>
        <w:t>’</w:t>
      </w:r>
      <w:r w:rsidRPr="004D2790">
        <w:rPr>
          <w:lang w:val="fr-FR"/>
        </w:rPr>
        <w:t>effectuer les épreuves de chute décrites de façon très précise au para</w:t>
      </w:r>
      <w:r w:rsidR="006C2B57">
        <w:rPr>
          <w:lang w:val="fr-FR"/>
        </w:rPr>
        <w:t>graphe </w:t>
      </w:r>
      <w:r w:rsidRPr="004D2790">
        <w:rPr>
          <w:lang w:val="fr-FR"/>
        </w:rPr>
        <w:t>A.20 de l</w:t>
      </w:r>
      <w:r w:rsidR="004D2790" w:rsidRPr="004D2790">
        <w:rPr>
          <w:lang w:val="fr-FR"/>
        </w:rPr>
        <w:t>’</w:t>
      </w:r>
      <w:r w:rsidR="006C2B57">
        <w:rPr>
          <w:lang w:val="fr-FR"/>
        </w:rPr>
        <w:t>appendice </w:t>
      </w:r>
      <w:r w:rsidRPr="004D2790">
        <w:rPr>
          <w:lang w:val="fr-FR"/>
        </w:rPr>
        <w:t>A de l</w:t>
      </w:r>
      <w:r w:rsidR="004D2790" w:rsidRPr="004D2790">
        <w:rPr>
          <w:lang w:val="fr-FR"/>
        </w:rPr>
        <w:t>’</w:t>
      </w:r>
      <w:r w:rsidR="006C2B57">
        <w:rPr>
          <w:lang w:val="fr-FR"/>
        </w:rPr>
        <w:t>annexe </w:t>
      </w:r>
      <w:r w:rsidRPr="004D2790">
        <w:rPr>
          <w:lang w:val="fr-FR"/>
        </w:rPr>
        <w:t>3. Il est à nouveau fait mention de cette obligation, pour les bouteill</w:t>
      </w:r>
      <w:r w:rsidR="006C2B57">
        <w:rPr>
          <w:lang w:val="fr-FR"/>
        </w:rPr>
        <w:t>es de type GNC-3, au paragraphe </w:t>
      </w:r>
      <w:r w:rsidRPr="004D2790">
        <w:rPr>
          <w:lang w:val="fr-FR"/>
        </w:rPr>
        <w:t>9.6, mais il n</w:t>
      </w:r>
      <w:r w:rsidR="004D2790" w:rsidRPr="004D2790">
        <w:rPr>
          <w:lang w:val="fr-FR"/>
        </w:rPr>
        <w:t>’</w:t>
      </w:r>
      <w:r w:rsidRPr="004D2790">
        <w:rPr>
          <w:lang w:val="fr-FR"/>
        </w:rPr>
        <w:t xml:space="preserve">en </w:t>
      </w:r>
      <w:r w:rsidR="006C2B57">
        <w:rPr>
          <w:lang w:val="fr-FR"/>
        </w:rPr>
        <w:t>est pas question, au paragraphe </w:t>
      </w:r>
      <w:r w:rsidRPr="004D2790">
        <w:rPr>
          <w:lang w:val="fr-FR"/>
        </w:rPr>
        <w:t>10.7, pour les bouteilles de type GNC-4.</w:t>
      </w:r>
    </w:p>
    <w:p w:rsidR="00F9573C" w:rsidRDefault="00390935" w:rsidP="004D2790">
      <w:pPr>
        <w:pStyle w:val="SingleTxtG"/>
        <w:rPr>
          <w:lang w:val="fr-FR"/>
        </w:rPr>
      </w:pPr>
      <w:r w:rsidRPr="004D2790">
        <w:rPr>
          <w:lang w:val="fr-FR"/>
        </w:rPr>
        <w:t>8.</w:t>
      </w:r>
      <w:r w:rsidRPr="004D2790">
        <w:rPr>
          <w:lang w:val="fr-FR"/>
        </w:rPr>
        <w:tab/>
        <w:t>Étant donné qu</w:t>
      </w:r>
      <w:r w:rsidR="004D2790" w:rsidRPr="004D2790">
        <w:rPr>
          <w:lang w:val="fr-FR"/>
        </w:rPr>
        <w:t>’</w:t>
      </w:r>
      <w:r w:rsidRPr="004D2790">
        <w:rPr>
          <w:lang w:val="fr-FR"/>
        </w:rPr>
        <w:t>on ne peut exclure la possibilité de formation de bosses sur les ogives lorsque les capots de protection ont été retirés ou lorsque leur efficacité est réduite parce qu</w:t>
      </w:r>
      <w:r w:rsidR="004D2790" w:rsidRPr="004D2790">
        <w:rPr>
          <w:lang w:val="fr-FR"/>
        </w:rPr>
        <w:t>’</w:t>
      </w:r>
      <w:r w:rsidRPr="004D2790">
        <w:rPr>
          <w:lang w:val="fr-FR"/>
        </w:rPr>
        <w:t>ils présentent des fissures, l</w:t>
      </w:r>
      <w:r w:rsidR="004D2790" w:rsidRPr="004D2790">
        <w:rPr>
          <w:lang w:val="fr-FR"/>
        </w:rPr>
        <w:t>’</w:t>
      </w:r>
      <w:r w:rsidRPr="004D2790">
        <w:rPr>
          <w:lang w:val="fr-FR"/>
        </w:rPr>
        <w:t xml:space="preserve">Italie propose que les bouteilles de type GNC-4 soient soumises aux essais de chute mentionnés ci-dessus sans le capot de protection de leur ogive de façon à garantir les conditions de sécurité énoncées dans le Règlement </w:t>
      </w:r>
      <w:r w:rsidR="006C2B57" w:rsidRPr="006C2B57">
        <w:rPr>
          <w:rFonts w:eastAsia="MS Mincho"/>
          <w:lang w:val="fr-FR"/>
        </w:rPr>
        <w:t>n</w:t>
      </w:r>
      <w:r w:rsidR="006C2B57" w:rsidRPr="006C2B57">
        <w:rPr>
          <w:rFonts w:eastAsia="MS Mincho"/>
          <w:vertAlign w:val="superscript"/>
          <w:lang w:val="fr-FR"/>
        </w:rPr>
        <w:t>o</w:t>
      </w:r>
      <w:r w:rsidR="006C2B57">
        <w:rPr>
          <w:lang w:val="fr-FR"/>
        </w:rPr>
        <w:t> </w:t>
      </w:r>
      <w:r w:rsidRPr="004D2790">
        <w:rPr>
          <w:lang w:val="fr-FR"/>
        </w:rPr>
        <w:t>110.</w:t>
      </w:r>
    </w:p>
    <w:p w:rsidR="004D2790" w:rsidRPr="004D2790" w:rsidRDefault="004D2790" w:rsidP="004D2790">
      <w:pPr>
        <w:pStyle w:val="SingleTxtG"/>
        <w:spacing w:before="240" w:after="0"/>
        <w:jc w:val="center"/>
        <w:rPr>
          <w:u w:val="single"/>
        </w:rPr>
      </w:pPr>
      <w:r>
        <w:rPr>
          <w:u w:val="single"/>
        </w:rPr>
        <w:tab/>
      </w:r>
      <w:r>
        <w:rPr>
          <w:u w:val="single"/>
        </w:rPr>
        <w:tab/>
      </w:r>
      <w:r>
        <w:rPr>
          <w:u w:val="single"/>
        </w:rPr>
        <w:tab/>
      </w:r>
    </w:p>
    <w:sectPr w:rsidR="004D2790" w:rsidRPr="004D2790" w:rsidSect="00485778">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EFF" w:rsidRDefault="00FC5EFF" w:rsidP="00F95C08">
      <w:pPr>
        <w:spacing w:line="240" w:lineRule="auto"/>
      </w:pPr>
    </w:p>
  </w:endnote>
  <w:endnote w:type="continuationSeparator" w:id="0">
    <w:p w:rsidR="00FC5EFF" w:rsidRPr="00AC3823" w:rsidRDefault="00FC5EFF" w:rsidP="00AC3823">
      <w:pPr>
        <w:pStyle w:val="Footer"/>
      </w:pPr>
    </w:p>
  </w:endnote>
  <w:endnote w:type="continuationNotice" w:id="1">
    <w:p w:rsidR="00FC5EFF" w:rsidRDefault="00FC5E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778" w:rsidRPr="00485778" w:rsidRDefault="00485778" w:rsidP="00485778">
    <w:pPr>
      <w:pStyle w:val="Footer"/>
      <w:tabs>
        <w:tab w:val="right" w:pos="9638"/>
      </w:tabs>
    </w:pPr>
    <w:r w:rsidRPr="00485778">
      <w:rPr>
        <w:b/>
        <w:sz w:val="18"/>
      </w:rPr>
      <w:fldChar w:fldCharType="begin"/>
    </w:r>
    <w:r w:rsidRPr="00485778">
      <w:rPr>
        <w:b/>
        <w:sz w:val="18"/>
      </w:rPr>
      <w:instrText xml:space="preserve"> PAGE  \* MERGEFORMAT </w:instrText>
    </w:r>
    <w:r w:rsidRPr="00485778">
      <w:rPr>
        <w:b/>
        <w:sz w:val="18"/>
      </w:rPr>
      <w:fldChar w:fldCharType="separate"/>
    </w:r>
    <w:r w:rsidR="004C32C0">
      <w:rPr>
        <w:b/>
        <w:noProof/>
        <w:sz w:val="18"/>
      </w:rPr>
      <w:t>2</w:t>
    </w:r>
    <w:r w:rsidRPr="00485778">
      <w:rPr>
        <w:b/>
        <w:sz w:val="18"/>
      </w:rPr>
      <w:fldChar w:fldCharType="end"/>
    </w:r>
    <w:r>
      <w:rPr>
        <w:b/>
        <w:sz w:val="18"/>
      </w:rPr>
      <w:tab/>
    </w:r>
    <w:r>
      <w:t>GE.17-12897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778" w:rsidRPr="00485778" w:rsidRDefault="00485778" w:rsidP="00485778">
    <w:pPr>
      <w:pStyle w:val="Footer"/>
      <w:tabs>
        <w:tab w:val="right" w:pos="9638"/>
      </w:tabs>
      <w:rPr>
        <w:b/>
        <w:sz w:val="18"/>
      </w:rPr>
    </w:pPr>
    <w:r>
      <w:t>GE.17-12897</w:t>
    </w:r>
    <w:r>
      <w:tab/>
    </w:r>
    <w:r w:rsidRPr="00485778">
      <w:rPr>
        <w:b/>
        <w:sz w:val="18"/>
      </w:rPr>
      <w:fldChar w:fldCharType="begin"/>
    </w:r>
    <w:r w:rsidRPr="00485778">
      <w:rPr>
        <w:b/>
        <w:sz w:val="18"/>
      </w:rPr>
      <w:instrText xml:space="preserve"> PAGE  \* MERGEFORMAT </w:instrText>
    </w:r>
    <w:r w:rsidRPr="00485778">
      <w:rPr>
        <w:b/>
        <w:sz w:val="18"/>
      </w:rPr>
      <w:fldChar w:fldCharType="separate"/>
    </w:r>
    <w:r w:rsidR="004C32C0">
      <w:rPr>
        <w:b/>
        <w:noProof/>
        <w:sz w:val="18"/>
      </w:rPr>
      <w:t>3</w:t>
    </w:r>
    <w:r w:rsidRPr="0048577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0FA" w:rsidRPr="00485778" w:rsidRDefault="00485778" w:rsidP="00485778">
    <w:pPr>
      <w:pStyle w:val="Footer"/>
      <w:spacing w:before="120"/>
      <w:rPr>
        <w:sz w:val="20"/>
      </w:rPr>
    </w:pPr>
    <w:r>
      <w:rPr>
        <w:sz w:val="20"/>
      </w:rPr>
      <w:t>GE.</w:t>
    </w:r>
    <w:r w:rsidR="007F20FA">
      <w:rPr>
        <w:noProof/>
        <w:lang w:val="en-GB" w:eastAsia="en-GB"/>
      </w:rPr>
      <w:drawing>
        <wp:anchor distT="0" distB="0" distL="114300" distR="114300" simplePos="0" relativeHeight="251660288" behindDoc="0" locked="0" layoutInCell="1" allowOverlap="0" wp14:anchorId="16F634A7" wp14:editId="7E4EAD80">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17-12897  (F)    211117    221117</w:t>
    </w:r>
    <w:r>
      <w:rPr>
        <w:sz w:val="20"/>
      </w:rPr>
      <w:br/>
    </w:r>
    <w:r w:rsidRPr="00485778">
      <w:rPr>
        <w:rFonts w:ascii="C39T30Lfz" w:hAnsi="C39T30Lfz"/>
        <w:sz w:val="56"/>
      </w:rPr>
      <w:t></w:t>
    </w:r>
    <w:r w:rsidRPr="00485778">
      <w:rPr>
        <w:rFonts w:ascii="C39T30Lfz" w:hAnsi="C39T30Lfz"/>
        <w:sz w:val="56"/>
      </w:rPr>
      <w:t></w:t>
    </w:r>
    <w:r w:rsidRPr="00485778">
      <w:rPr>
        <w:rFonts w:ascii="C39T30Lfz" w:hAnsi="C39T30Lfz"/>
        <w:sz w:val="56"/>
      </w:rPr>
      <w:t></w:t>
    </w:r>
    <w:r w:rsidRPr="00485778">
      <w:rPr>
        <w:rFonts w:ascii="C39T30Lfz" w:hAnsi="C39T30Lfz"/>
        <w:sz w:val="56"/>
      </w:rPr>
      <w:t></w:t>
    </w:r>
    <w:r w:rsidRPr="00485778">
      <w:rPr>
        <w:rFonts w:ascii="C39T30Lfz" w:hAnsi="C39T30Lfz"/>
        <w:sz w:val="56"/>
      </w:rPr>
      <w:t></w:t>
    </w:r>
    <w:r w:rsidRPr="00485778">
      <w:rPr>
        <w:rFonts w:ascii="C39T30Lfz" w:hAnsi="C39T30Lfz"/>
        <w:sz w:val="56"/>
      </w:rPr>
      <w:t></w:t>
    </w:r>
    <w:r w:rsidRPr="00485778">
      <w:rPr>
        <w:rFonts w:ascii="C39T30Lfz" w:hAnsi="C39T30Lfz"/>
        <w:sz w:val="56"/>
      </w:rPr>
      <w:t></w:t>
    </w:r>
    <w:r w:rsidRPr="00485778">
      <w:rPr>
        <w:rFonts w:ascii="C39T30Lfz" w:hAnsi="C39T30Lfz"/>
        <w:sz w:val="56"/>
      </w:rPr>
      <w:t></w:t>
    </w:r>
    <w:r w:rsidRPr="00485778">
      <w:rPr>
        <w:rFonts w:ascii="C39T30Lfz" w:hAnsi="C39T30Lfz"/>
        <w:sz w:val="56"/>
      </w:rPr>
      <w:t></w:t>
    </w:r>
    <w:r>
      <w:rPr>
        <w:noProof/>
        <w:sz w:val="20"/>
        <w:lang w:val="en-GB" w:eastAsia="en-GB"/>
      </w:rPr>
      <w:drawing>
        <wp:anchor distT="0" distB="0" distL="114300" distR="114300" simplePos="0" relativeHeight="251658240" behindDoc="0" locked="0" layoutInCell="1" allowOverlap="1">
          <wp:simplePos x="0" y="0"/>
          <wp:positionH relativeFrom="margin">
            <wp:posOffset>5489575</wp:posOffset>
          </wp:positionH>
          <wp:positionV relativeFrom="margin">
            <wp:posOffset>8891905</wp:posOffset>
          </wp:positionV>
          <wp:extent cx="638175" cy="638175"/>
          <wp:effectExtent l="0" t="0" r="9525" b="9525"/>
          <wp:wrapNone/>
          <wp:docPr id="3" name="Image 1" descr="https://undocs.org/m2/QRCode.ashx?DS=ECE/TRANS/WP.29/GRSG/2017/29&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SG/2017/29&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EFF" w:rsidRPr="00AC3823" w:rsidRDefault="00FC5EFF" w:rsidP="00AC3823">
      <w:pPr>
        <w:pStyle w:val="Footer"/>
        <w:tabs>
          <w:tab w:val="right" w:pos="2155"/>
        </w:tabs>
        <w:spacing w:after="80" w:line="240" w:lineRule="atLeast"/>
        <w:ind w:left="680"/>
        <w:rPr>
          <w:u w:val="single"/>
        </w:rPr>
      </w:pPr>
      <w:r>
        <w:rPr>
          <w:u w:val="single"/>
        </w:rPr>
        <w:tab/>
      </w:r>
    </w:p>
  </w:footnote>
  <w:footnote w:type="continuationSeparator" w:id="0">
    <w:p w:rsidR="00FC5EFF" w:rsidRPr="00AC3823" w:rsidRDefault="00FC5EFF" w:rsidP="00AC3823">
      <w:pPr>
        <w:pStyle w:val="Footer"/>
        <w:tabs>
          <w:tab w:val="right" w:pos="2155"/>
        </w:tabs>
        <w:spacing w:after="80" w:line="240" w:lineRule="atLeast"/>
        <w:ind w:left="680"/>
        <w:rPr>
          <w:u w:val="single"/>
        </w:rPr>
      </w:pPr>
      <w:r>
        <w:rPr>
          <w:u w:val="single"/>
        </w:rPr>
        <w:tab/>
      </w:r>
    </w:p>
  </w:footnote>
  <w:footnote w:type="continuationNotice" w:id="1">
    <w:p w:rsidR="00FC5EFF" w:rsidRPr="00AC3823" w:rsidRDefault="00FC5EFF">
      <w:pPr>
        <w:spacing w:line="240" w:lineRule="auto"/>
        <w:rPr>
          <w:sz w:val="2"/>
          <w:szCs w:val="2"/>
        </w:rPr>
      </w:pPr>
    </w:p>
  </w:footnote>
  <w:footnote w:id="2">
    <w:p w:rsidR="006D56F1" w:rsidRPr="006D56F1" w:rsidRDefault="006D56F1">
      <w:pPr>
        <w:pStyle w:val="FootnoteText"/>
      </w:pPr>
      <w:r>
        <w:rPr>
          <w:rStyle w:val="FootnoteReference"/>
        </w:rPr>
        <w:tab/>
      </w:r>
      <w:r w:rsidRPr="006D56F1">
        <w:rPr>
          <w:rStyle w:val="FootnoteReference"/>
          <w:sz w:val="20"/>
          <w:vertAlign w:val="baseline"/>
        </w:rPr>
        <w:t>*</w:t>
      </w:r>
      <w:r>
        <w:rPr>
          <w:rStyle w:val="FootnoteReference"/>
          <w:sz w:val="20"/>
          <w:vertAlign w:val="baseline"/>
        </w:rPr>
        <w:tab/>
      </w:r>
      <w:r>
        <w:rPr>
          <w:lang w:val="fr-FR"/>
        </w:rPr>
        <w:t xml:space="preserve">Conformément au programme de travail du Comité des transports </w:t>
      </w:r>
      <w:r w:rsidR="00CB25C7">
        <w:rPr>
          <w:lang w:val="fr-FR"/>
        </w:rPr>
        <w:t>intérieurs pour la période 2016</w:t>
      </w:r>
      <w:r w:rsidR="00CB25C7">
        <w:rPr>
          <w:lang w:val="fr-FR"/>
        </w:rPr>
        <w:noBreakHyphen/>
      </w:r>
      <w:r w:rsidR="00DE2120">
        <w:rPr>
          <w:lang w:val="fr-FR"/>
        </w:rPr>
        <w:t>2017 (ECE/TRANS/254, par. </w:t>
      </w:r>
      <w:r>
        <w:rPr>
          <w:lang w:val="fr-FR"/>
        </w:rPr>
        <w:t>159, et ECE/TRANS/2016/28/Add.1, module 3.1), le Forum mondial a pour mission d’élaborer, d’harmoniser et de mettre à jour les Règlements en vue d’améliorer les caractéristiques fonctionnelles des véhicules. Le présent document est soumis en vertu de ce mandat.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778" w:rsidRPr="00485778" w:rsidRDefault="004C32C0">
    <w:pPr>
      <w:pStyle w:val="Header"/>
    </w:pPr>
    <w:r>
      <w:fldChar w:fldCharType="begin"/>
    </w:r>
    <w:r>
      <w:instrText xml:space="preserve"> TITLE  \* MERGEFORMAT </w:instrText>
    </w:r>
    <w:r>
      <w:fldChar w:fldCharType="separate"/>
    </w:r>
    <w:r w:rsidR="00390935">
      <w:t>ECE/TRANS/WP.29/GRSG/2017/29</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778" w:rsidRPr="00485778" w:rsidRDefault="004C32C0" w:rsidP="00485778">
    <w:pPr>
      <w:pStyle w:val="Header"/>
      <w:jc w:val="right"/>
    </w:pPr>
    <w:r>
      <w:fldChar w:fldCharType="begin"/>
    </w:r>
    <w:r>
      <w:instrText xml:space="preserve"> TITLE  \* MERGEFORMAT </w:instrText>
    </w:r>
    <w:r>
      <w:fldChar w:fldCharType="separate"/>
    </w:r>
    <w:r w:rsidR="00390935">
      <w:t>ECE/TRANS/WP.29/GRSG/2017/29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4EEA80"/>
    <w:lvl w:ilvl="0">
      <w:start w:val="1"/>
      <w:numFmt w:val="decimal"/>
      <w:lvlText w:val="%1."/>
      <w:lvlJc w:val="left"/>
      <w:pPr>
        <w:tabs>
          <w:tab w:val="num" w:pos="1492"/>
        </w:tabs>
        <w:ind w:left="1492" w:hanging="360"/>
      </w:pPr>
    </w:lvl>
  </w:abstractNum>
  <w:abstractNum w:abstractNumId="1">
    <w:nsid w:val="FFFFFF7D"/>
    <w:multiLevelType w:val="singleLevel"/>
    <w:tmpl w:val="8B08445C"/>
    <w:lvl w:ilvl="0">
      <w:start w:val="1"/>
      <w:numFmt w:val="decimal"/>
      <w:lvlText w:val="%1."/>
      <w:lvlJc w:val="left"/>
      <w:pPr>
        <w:tabs>
          <w:tab w:val="num" w:pos="1209"/>
        </w:tabs>
        <w:ind w:left="1209" w:hanging="360"/>
      </w:pPr>
    </w:lvl>
  </w:abstractNum>
  <w:abstractNum w:abstractNumId="2">
    <w:nsid w:val="FFFFFF7E"/>
    <w:multiLevelType w:val="singleLevel"/>
    <w:tmpl w:val="7D50032A"/>
    <w:lvl w:ilvl="0">
      <w:start w:val="1"/>
      <w:numFmt w:val="decimal"/>
      <w:lvlText w:val="%1."/>
      <w:lvlJc w:val="left"/>
      <w:pPr>
        <w:tabs>
          <w:tab w:val="num" w:pos="926"/>
        </w:tabs>
        <w:ind w:left="926" w:hanging="360"/>
      </w:pPr>
    </w:lvl>
  </w:abstractNum>
  <w:abstractNum w:abstractNumId="3">
    <w:nsid w:val="FFFFFF7F"/>
    <w:multiLevelType w:val="singleLevel"/>
    <w:tmpl w:val="844CBCBC"/>
    <w:lvl w:ilvl="0">
      <w:start w:val="1"/>
      <w:numFmt w:val="decimal"/>
      <w:lvlText w:val="%1."/>
      <w:lvlJc w:val="left"/>
      <w:pPr>
        <w:tabs>
          <w:tab w:val="num" w:pos="643"/>
        </w:tabs>
        <w:ind w:left="643" w:hanging="360"/>
      </w:pPr>
    </w:lvl>
  </w:abstractNum>
  <w:abstractNum w:abstractNumId="4">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5C69F2"/>
    <w:lvl w:ilvl="0">
      <w:start w:val="1"/>
      <w:numFmt w:val="decimal"/>
      <w:lvlText w:val="%1."/>
      <w:lvlJc w:val="left"/>
      <w:pPr>
        <w:tabs>
          <w:tab w:val="num" w:pos="360"/>
        </w:tabs>
        <w:ind w:left="360" w:hanging="360"/>
      </w:pPr>
    </w:lvl>
  </w:abstractNum>
  <w:abstractNum w:abstractNumId="9">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defaultTabStop w:val="567"/>
  <w:hyphenationZone w:val="425"/>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EFF"/>
    <w:rsid w:val="00010596"/>
    <w:rsid w:val="00016E40"/>
    <w:rsid w:val="00017F94"/>
    <w:rsid w:val="00023842"/>
    <w:rsid w:val="000334F9"/>
    <w:rsid w:val="00045FEB"/>
    <w:rsid w:val="0007796D"/>
    <w:rsid w:val="000B7790"/>
    <w:rsid w:val="00111F2F"/>
    <w:rsid w:val="0014365E"/>
    <w:rsid w:val="00143C66"/>
    <w:rsid w:val="00176178"/>
    <w:rsid w:val="00196C1F"/>
    <w:rsid w:val="001F525A"/>
    <w:rsid w:val="00223272"/>
    <w:rsid w:val="0024779E"/>
    <w:rsid w:val="00257168"/>
    <w:rsid w:val="002744B8"/>
    <w:rsid w:val="002832AC"/>
    <w:rsid w:val="002D7C93"/>
    <w:rsid w:val="00305801"/>
    <w:rsid w:val="00390935"/>
    <w:rsid w:val="003916DE"/>
    <w:rsid w:val="00441C3B"/>
    <w:rsid w:val="00446FE5"/>
    <w:rsid w:val="00452396"/>
    <w:rsid w:val="004837D8"/>
    <w:rsid w:val="00485778"/>
    <w:rsid w:val="004C32C0"/>
    <w:rsid w:val="004D2790"/>
    <w:rsid w:val="004E468C"/>
    <w:rsid w:val="005505B7"/>
    <w:rsid w:val="00573BE5"/>
    <w:rsid w:val="005773C7"/>
    <w:rsid w:val="00586ED3"/>
    <w:rsid w:val="00596AA9"/>
    <w:rsid w:val="006C2B57"/>
    <w:rsid w:val="006C3A01"/>
    <w:rsid w:val="006D56F1"/>
    <w:rsid w:val="0071601D"/>
    <w:rsid w:val="007A62E6"/>
    <w:rsid w:val="007F20FA"/>
    <w:rsid w:val="0080684C"/>
    <w:rsid w:val="00871C75"/>
    <w:rsid w:val="008776DC"/>
    <w:rsid w:val="009446C0"/>
    <w:rsid w:val="009705C8"/>
    <w:rsid w:val="009C1CF4"/>
    <w:rsid w:val="009F6B74"/>
    <w:rsid w:val="00A30353"/>
    <w:rsid w:val="00AC3823"/>
    <w:rsid w:val="00AE323C"/>
    <w:rsid w:val="00AF0CB5"/>
    <w:rsid w:val="00B00181"/>
    <w:rsid w:val="00B00B0D"/>
    <w:rsid w:val="00B765F7"/>
    <w:rsid w:val="00BA0CA9"/>
    <w:rsid w:val="00C02897"/>
    <w:rsid w:val="00C1107C"/>
    <w:rsid w:val="00C72B48"/>
    <w:rsid w:val="00C97039"/>
    <w:rsid w:val="00CB25C7"/>
    <w:rsid w:val="00D3439C"/>
    <w:rsid w:val="00D50078"/>
    <w:rsid w:val="00D5161D"/>
    <w:rsid w:val="00DB1831"/>
    <w:rsid w:val="00DD3BFD"/>
    <w:rsid w:val="00DD7E27"/>
    <w:rsid w:val="00DE2120"/>
    <w:rsid w:val="00DF6678"/>
    <w:rsid w:val="00E0299A"/>
    <w:rsid w:val="00E85C74"/>
    <w:rsid w:val="00EA6547"/>
    <w:rsid w:val="00EF2E22"/>
    <w:rsid w:val="00F35BAF"/>
    <w:rsid w:val="00F660DF"/>
    <w:rsid w:val="00F94664"/>
    <w:rsid w:val="00F9573C"/>
    <w:rsid w:val="00F95C08"/>
    <w:rsid w:val="00FC5EF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1"/>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0299A"/>
    <w:pPr>
      <w:spacing w:line="240" w:lineRule="auto"/>
    </w:pPr>
    <w:rPr>
      <w:sz w:val="16"/>
    </w:rPr>
  </w:style>
  <w:style w:type="character" w:customStyle="1" w:styleId="FooterChar">
    <w:name w:val="Footer Char"/>
    <w:aliases w:val="3_G Char"/>
    <w:basedOn w:val="DefaultParagraphFont"/>
    <w:link w:val="Footer"/>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E0299A"/>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E0299A"/>
    <w:pPr>
      <w:numPr>
        <w:numId w:val="16"/>
      </w:numPr>
      <w:tabs>
        <w:tab w:val="clear" w:pos="1701"/>
      </w:tabs>
      <w:spacing w:after="120"/>
      <w:ind w:right="1134"/>
      <w:jc w:val="both"/>
    </w:pPr>
  </w:style>
  <w:style w:type="character" w:styleId="FootnoteReference">
    <w:name w:val="footnote reference"/>
    <w:aliases w:val="4_G"/>
    <w:basedOn w:val="DefaultParagraphFont"/>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
    <w:basedOn w:val="Normal"/>
    <w:link w:val="FootnoteTextChar"/>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1"/>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0299A"/>
    <w:pPr>
      <w:spacing w:line="240" w:lineRule="auto"/>
    </w:pPr>
    <w:rPr>
      <w:sz w:val="16"/>
    </w:rPr>
  </w:style>
  <w:style w:type="character" w:customStyle="1" w:styleId="FooterChar">
    <w:name w:val="Footer Char"/>
    <w:aliases w:val="3_G Char"/>
    <w:basedOn w:val="DefaultParagraphFont"/>
    <w:link w:val="Footer"/>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E0299A"/>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E0299A"/>
    <w:pPr>
      <w:numPr>
        <w:numId w:val="16"/>
      </w:numPr>
      <w:tabs>
        <w:tab w:val="clear" w:pos="1701"/>
      </w:tabs>
      <w:spacing w:after="120"/>
      <w:ind w:right="1134"/>
      <w:jc w:val="both"/>
    </w:pPr>
  </w:style>
  <w:style w:type="character" w:styleId="FootnoteReference">
    <w:name w:val="footnote reference"/>
    <w:aliases w:val="4_G"/>
    <w:basedOn w:val="DefaultParagraphFont"/>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
    <w:basedOn w:val="Normal"/>
    <w:link w:val="FootnoteTextChar"/>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5576</Characters>
  <Application>Microsoft Office Word</Application>
  <DocSecurity>4</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ECE/TRANS/WP.29/GRSG/2017/29</vt:lpstr>
      <vt:lpstr>ECE/TRANS/WP.29/GRSG/2017/29</vt:lpstr>
    </vt:vector>
  </TitlesOfParts>
  <Company>DCM</Company>
  <LinksUpToDate>false</LinksUpToDate>
  <CharactersWithSpaces>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ECE/TRANS/WP.29/GRSG/2017/29</dc:title>
  <dc:creator>Maud DARICHE</dc:creator>
  <cp:lastModifiedBy>Benedicte Boudol</cp:lastModifiedBy>
  <cp:revision>2</cp:revision>
  <cp:lastPrinted>2017-11-22T07:52:00Z</cp:lastPrinted>
  <dcterms:created xsi:type="dcterms:W3CDTF">2017-11-22T17:15:00Z</dcterms:created>
  <dcterms:modified xsi:type="dcterms:W3CDTF">2017-11-22T17:15:00Z</dcterms:modified>
</cp:coreProperties>
</file>