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1304A9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1304A9" w:rsidRDefault="00F35BAF" w:rsidP="00ED519B"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1304A9" w:rsidRDefault="00F35BAF" w:rsidP="00C97039">
            <w:pPr>
              <w:spacing w:after="80" w:line="300" w:lineRule="exact"/>
              <w:rPr>
                <w:sz w:val="28"/>
              </w:rPr>
            </w:pPr>
            <w:r w:rsidRPr="001304A9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1304A9" w:rsidRDefault="00ED519B" w:rsidP="00ED519B">
            <w:pPr>
              <w:jc w:val="right"/>
            </w:pPr>
            <w:r w:rsidRPr="001304A9">
              <w:rPr>
                <w:sz w:val="40"/>
              </w:rPr>
              <w:t>ECE</w:t>
            </w:r>
            <w:r w:rsidRPr="001304A9">
              <w:t>/TRANS/WP.29/GRSG/2017/27</w:t>
            </w:r>
          </w:p>
        </w:tc>
      </w:tr>
      <w:tr w:rsidR="00F35BAF" w:rsidRPr="001304A9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1304A9" w:rsidRDefault="00F35BAF" w:rsidP="00C97039">
            <w:pPr>
              <w:spacing w:before="120"/>
              <w:jc w:val="center"/>
            </w:pPr>
            <w:r w:rsidRPr="001304A9">
              <w:rPr>
                <w:noProof/>
                <w:lang w:val="en-GB" w:eastAsia="en-GB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1304A9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1304A9">
              <w:rPr>
                <w:b/>
                <w:sz w:val="40"/>
                <w:szCs w:val="40"/>
              </w:rPr>
              <w:t>Conseil économique 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1304A9" w:rsidRDefault="00ED519B" w:rsidP="00C97039">
            <w:pPr>
              <w:spacing w:before="240"/>
            </w:pPr>
            <w:r w:rsidRPr="001304A9">
              <w:t>Distr. générale</w:t>
            </w:r>
          </w:p>
          <w:p w:rsidR="00ED519B" w:rsidRPr="001304A9" w:rsidRDefault="00ED519B" w:rsidP="00ED519B">
            <w:pPr>
              <w:spacing w:line="240" w:lineRule="exact"/>
            </w:pPr>
            <w:r w:rsidRPr="001304A9">
              <w:t>27 juillet 2017</w:t>
            </w:r>
          </w:p>
          <w:p w:rsidR="00ED519B" w:rsidRPr="001304A9" w:rsidRDefault="00ED519B" w:rsidP="00ED519B">
            <w:pPr>
              <w:spacing w:line="240" w:lineRule="exact"/>
            </w:pPr>
            <w:r w:rsidRPr="001304A9">
              <w:t>Français</w:t>
            </w:r>
          </w:p>
          <w:p w:rsidR="00ED519B" w:rsidRPr="001304A9" w:rsidRDefault="00ED519B" w:rsidP="00ED519B">
            <w:pPr>
              <w:spacing w:line="240" w:lineRule="exact"/>
            </w:pPr>
            <w:r w:rsidRPr="001304A9">
              <w:t>Original</w:t>
            </w:r>
            <w:r w:rsidR="00A86CEB">
              <w:t> :</w:t>
            </w:r>
            <w:r w:rsidRPr="001304A9">
              <w:t xml:space="preserve"> anglais</w:t>
            </w:r>
          </w:p>
        </w:tc>
      </w:tr>
    </w:tbl>
    <w:p w:rsidR="007F20FA" w:rsidRPr="001304A9" w:rsidRDefault="007F20FA" w:rsidP="007F20FA">
      <w:pPr>
        <w:spacing w:before="120"/>
        <w:rPr>
          <w:b/>
          <w:sz w:val="28"/>
          <w:szCs w:val="28"/>
        </w:rPr>
      </w:pPr>
      <w:r w:rsidRPr="001304A9">
        <w:rPr>
          <w:b/>
          <w:sz w:val="28"/>
          <w:szCs w:val="28"/>
        </w:rPr>
        <w:t>Commission économique pour l</w:t>
      </w:r>
      <w:r w:rsidR="00246DCB" w:rsidRPr="001304A9">
        <w:rPr>
          <w:b/>
          <w:sz w:val="28"/>
          <w:szCs w:val="28"/>
        </w:rPr>
        <w:t>’</w:t>
      </w:r>
      <w:r w:rsidRPr="001304A9">
        <w:rPr>
          <w:b/>
          <w:sz w:val="28"/>
          <w:szCs w:val="28"/>
        </w:rPr>
        <w:t>Europe</w:t>
      </w:r>
    </w:p>
    <w:p w:rsidR="007F20FA" w:rsidRPr="001304A9" w:rsidRDefault="007F20FA" w:rsidP="007F20FA">
      <w:pPr>
        <w:spacing w:before="120"/>
        <w:rPr>
          <w:sz w:val="28"/>
          <w:szCs w:val="28"/>
        </w:rPr>
      </w:pPr>
      <w:r w:rsidRPr="001304A9">
        <w:rPr>
          <w:sz w:val="28"/>
          <w:szCs w:val="28"/>
        </w:rPr>
        <w:t>Comité des transports intérieurs</w:t>
      </w:r>
    </w:p>
    <w:p w:rsidR="007E35F7" w:rsidRPr="001304A9" w:rsidRDefault="007E35F7" w:rsidP="00757F6B">
      <w:pPr>
        <w:spacing w:before="120"/>
        <w:rPr>
          <w:b/>
          <w:sz w:val="24"/>
          <w:szCs w:val="24"/>
        </w:rPr>
      </w:pPr>
      <w:r w:rsidRPr="001304A9">
        <w:rPr>
          <w:b/>
          <w:sz w:val="24"/>
          <w:szCs w:val="24"/>
        </w:rPr>
        <w:t>Forum mondial de l</w:t>
      </w:r>
      <w:r w:rsidR="00246DCB" w:rsidRPr="001304A9">
        <w:rPr>
          <w:b/>
          <w:sz w:val="24"/>
          <w:szCs w:val="24"/>
        </w:rPr>
        <w:t>’</w:t>
      </w:r>
      <w:r w:rsidRPr="001304A9">
        <w:rPr>
          <w:b/>
          <w:sz w:val="24"/>
          <w:szCs w:val="24"/>
        </w:rPr>
        <w:t xml:space="preserve">harmonisation </w:t>
      </w:r>
      <w:r w:rsidR="00757F6B" w:rsidRPr="001304A9">
        <w:rPr>
          <w:b/>
          <w:sz w:val="24"/>
          <w:szCs w:val="24"/>
        </w:rPr>
        <w:br/>
      </w:r>
      <w:r w:rsidRPr="001304A9">
        <w:rPr>
          <w:b/>
          <w:sz w:val="24"/>
          <w:szCs w:val="24"/>
        </w:rPr>
        <w:t>des Règlements concernant les véhicules</w:t>
      </w:r>
    </w:p>
    <w:p w:rsidR="007E35F7" w:rsidRPr="001304A9" w:rsidRDefault="007E35F7" w:rsidP="00757F6B">
      <w:pPr>
        <w:spacing w:before="120"/>
        <w:rPr>
          <w:b/>
        </w:rPr>
      </w:pPr>
      <w:r w:rsidRPr="001304A9">
        <w:rPr>
          <w:b/>
        </w:rPr>
        <w:t>Groupe de travail des dispositions générales de sécurité</w:t>
      </w:r>
    </w:p>
    <w:p w:rsidR="007E35F7" w:rsidRPr="001304A9" w:rsidRDefault="007E35F7" w:rsidP="00757F6B">
      <w:pPr>
        <w:spacing w:before="120"/>
        <w:rPr>
          <w:b/>
        </w:rPr>
      </w:pPr>
      <w:r w:rsidRPr="001304A9">
        <w:rPr>
          <w:b/>
        </w:rPr>
        <w:t>113</w:t>
      </w:r>
      <w:r w:rsidRPr="001304A9">
        <w:rPr>
          <w:b/>
          <w:vertAlign w:val="superscript"/>
        </w:rPr>
        <w:t>e</w:t>
      </w:r>
      <w:r w:rsidRPr="001304A9">
        <w:rPr>
          <w:b/>
        </w:rPr>
        <w:t xml:space="preserve"> session</w:t>
      </w:r>
    </w:p>
    <w:p w:rsidR="007E35F7" w:rsidRPr="001304A9" w:rsidRDefault="007E35F7" w:rsidP="00757F6B">
      <w:r w:rsidRPr="001304A9">
        <w:t>Genève, 10-13 octobre 2017</w:t>
      </w:r>
    </w:p>
    <w:p w:rsidR="007E35F7" w:rsidRPr="001304A9" w:rsidRDefault="007E35F7" w:rsidP="00757F6B">
      <w:r w:rsidRPr="001304A9">
        <w:t>Point 6 a) de l</w:t>
      </w:r>
      <w:r w:rsidR="00246DCB" w:rsidRPr="001304A9">
        <w:t>’</w:t>
      </w:r>
      <w:r w:rsidRPr="001304A9">
        <w:t>ordre du jour provisoire</w:t>
      </w:r>
    </w:p>
    <w:p w:rsidR="007E35F7" w:rsidRPr="001304A9" w:rsidRDefault="007E35F7" w:rsidP="00757F6B">
      <w:pPr>
        <w:rPr>
          <w:b/>
        </w:rPr>
      </w:pPr>
      <w:r w:rsidRPr="001304A9">
        <w:rPr>
          <w:b/>
        </w:rPr>
        <w:t xml:space="preserve">Amendements aux Règlements concernant les véhicules </w:t>
      </w:r>
      <w:r w:rsidR="00A86CEB">
        <w:rPr>
          <w:b/>
        </w:rPr>
        <w:br/>
      </w:r>
      <w:r w:rsidRPr="001304A9">
        <w:rPr>
          <w:b/>
        </w:rPr>
        <w:t>fonctionnant au gaz</w:t>
      </w:r>
      <w:r w:rsidR="00A86CEB">
        <w:rPr>
          <w:b/>
        </w:rPr>
        <w:t xml:space="preserve"> : </w:t>
      </w:r>
      <w:r w:rsidRPr="001304A9">
        <w:rPr>
          <w:b/>
        </w:rPr>
        <w:t xml:space="preserve">Règlement </w:t>
      </w:r>
      <w:r w:rsidR="00757F6B" w:rsidRPr="001304A9">
        <w:rPr>
          <w:rFonts w:eastAsia="MS Mincho"/>
          <w:b/>
        </w:rPr>
        <w:t>n</w:t>
      </w:r>
      <w:r w:rsidR="00757F6B" w:rsidRPr="001304A9">
        <w:rPr>
          <w:rFonts w:eastAsia="MS Mincho"/>
          <w:b/>
          <w:vertAlign w:val="superscript"/>
        </w:rPr>
        <w:t>o</w:t>
      </w:r>
      <w:r w:rsidR="00757F6B" w:rsidRPr="001304A9">
        <w:rPr>
          <w:b/>
        </w:rPr>
        <w:t> </w:t>
      </w:r>
      <w:r w:rsidRPr="001304A9">
        <w:rPr>
          <w:b/>
        </w:rPr>
        <w:t xml:space="preserve">67 </w:t>
      </w:r>
      <w:r w:rsidR="00A86CEB">
        <w:rPr>
          <w:b/>
        </w:rPr>
        <w:br/>
      </w:r>
      <w:r w:rsidRPr="001304A9">
        <w:rPr>
          <w:b/>
        </w:rPr>
        <w:t>(Véhicules alimentés au GPL)</w:t>
      </w:r>
    </w:p>
    <w:p w:rsidR="007E35F7" w:rsidRPr="001304A9" w:rsidRDefault="007E35F7" w:rsidP="001475C5">
      <w:pPr>
        <w:pStyle w:val="HChG"/>
        <w:rPr>
          <w:sz w:val="26"/>
          <w:szCs w:val="26"/>
        </w:rPr>
      </w:pPr>
      <w:r w:rsidRPr="001304A9">
        <w:tab/>
      </w:r>
      <w:r w:rsidRPr="001304A9">
        <w:tab/>
        <w:t>Proposition de série 02 d</w:t>
      </w:r>
      <w:r w:rsidR="00246DCB" w:rsidRPr="001304A9">
        <w:t>’</w:t>
      </w:r>
      <w:r w:rsidRPr="001304A9">
        <w:t xml:space="preserve">amendements au Règlement </w:t>
      </w:r>
      <w:r w:rsidR="001475C5" w:rsidRPr="001304A9">
        <w:rPr>
          <w:rFonts w:eastAsia="MS Mincho"/>
        </w:rPr>
        <w:t>n</w:t>
      </w:r>
      <w:r w:rsidR="001475C5" w:rsidRPr="001304A9">
        <w:rPr>
          <w:rFonts w:eastAsia="MS Mincho"/>
          <w:vertAlign w:val="superscript"/>
        </w:rPr>
        <w:t>o</w:t>
      </w:r>
      <w:r w:rsidR="001475C5" w:rsidRPr="001304A9">
        <w:t> </w:t>
      </w:r>
      <w:r w:rsidRPr="001304A9">
        <w:t>67 (véhicules alimentés au GPL)</w:t>
      </w:r>
    </w:p>
    <w:p w:rsidR="007E35F7" w:rsidRPr="001304A9" w:rsidRDefault="001475C5" w:rsidP="001475C5">
      <w:pPr>
        <w:pStyle w:val="H1G"/>
      </w:pPr>
      <w:r w:rsidRPr="001304A9">
        <w:tab/>
      </w:r>
      <w:r w:rsidRPr="001304A9">
        <w:tab/>
      </w:r>
      <w:r w:rsidR="007E35F7" w:rsidRPr="001304A9">
        <w:t>Communication des experts des Pays-Bas et de l</w:t>
      </w:r>
      <w:r w:rsidR="00246DCB" w:rsidRPr="001304A9">
        <w:t>’</w:t>
      </w:r>
      <w:r w:rsidR="007E35F7" w:rsidRPr="001304A9">
        <w:t>Association européenne des gaz de pétrole liquéfiés</w:t>
      </w:r>
      <w:r w:rsidR="007E35F7" w:rsidRPr="001304A9">
        <w:rPr>
          <w:b w:val="0"/>
          <w:sz w:val="20"/>
        </w:rPr>
        <w:footnoteReference w:customMarkFollows="1" w:id="2"/>
        <w:t>*</w:t>
      </w:r>
    </w:p>
    <w:p w:rsidR="007E35F7" w:rsidRDefault="007E35F7" w:rsidP="00246DCB">
      <w:pPr>
        <w:pStyle w:val="SingleTxtG"/>
        <w:ind w:firstLine="567"/>
      </w:pPr>
      <w:r w:rsidRPr="001304A9">
        <w:t>Le texte reproduit ci-après, établi par les experts des Pays-Bas et de l</w:t>
      </w:r>
      <w:r w:rsidR="00246DCB" w:rsidRPr="001304A9">
        <w:t>’</w:t>
      </w:r>
      <w:r w:rsidRPr="001304A9">
        <w:t>Association européenne des gaz de pétrole liquéfiés, vise à permettre d</w:t>
      </w:r>
      <w:r w:rsidR="00246DCB" w:rsidRPr="001304A9">
        <w:t>’</w:t>
      </w:r>
      <w:r w:rsidRPr="001304A9">
        <w:t>utiliser dans les véhicules alimentés au gaz de pétrole liquéfié (GPL) des tuyaux à gaz autres que sans soudure et qui soient fabriqués dans des matériaux autres que le cuivre, l</w:t>
      </w:r>
      <w:r w:rsidR="00246DCB" w:rsidRPr="001304A9">
        <w:t>’</w:t>
      </w:r>
      <w:r w:rsidRPr="001304A9">
        <w:t>acier inoxydable et l</w:t>
      </w:r>
      <w:r w:rsidR="00246DCB" w:rsidRPr="001304A9">
        <w:t>’</w:t>
      </w:r>
      <w:r w:rsidRPr="001304A9">
        <w:t>acier avec revêtement résistant à la corrosion, ainsi que leurs raccords. Il est fondé essentiellement sur le document ECE/TRANS/WP.29/GRSG/2017/3, tel que modifié par les documents informels GRSG-111-19-Rev.1 et GRSG-112-19, qui ont été distribués au cours des 111</w:t>
      </w:r>
      <w:r w:rsidRPr="001304A9">
        <w:rPr>
          <w:vertAlign w:val="superscript"/>
        </w:rPr>
        <w:t>e</w:t>
      </w:r>
      <w:r w:rsidRPr="001304A9">
        <w:t xml:space="preserve"> et 112</w:t>
      </w:r>
      <w:r w:rsidRPr="001304A9">
        <w:rPr>
          <w:vertAlign w:val="superscript"/>
        </w:rPr>
        <w:t>e</w:t>
      </w:r>
      <w:r w:rsidRPr="001304A9">
        <w:t xml:space="preserve"> sessions du Groupe de travail des dispositions générales de sécurité (GRSG) (voir les rapport</w:t>
      </w:r>
      <w:r w:rsidR="00246DCB" w:rsidRPr="001304A9">
        <w:t>s ECE/TRANS/WP.29/GRSG/90, par. </w:t>
      </w:r>
      <w:r w:rsidRPr="001304A9">
        <w:t>24</w:t>
      </w:r>
      <w:r w:rsidR="00246DCB" w:rsidRPr="001304A9">
        <w:t>,</w:t>
      </w:r>
      <w:r w:rsidRPr="001304A9">
        <w:t xml:space="preserve"> e</w:t>
      </w:r>
      <w:r w:rsidR="00246DCB" w:rsidRPr="001304A9">
        <w:t>t ECE/TRANS/WP.29/GRSG/91, par. </w:t>
      </w:r>
      <w:r w:rsidRPr="001304A9">
        <w:t>21). Les modifications qu</w:t>
      </w:r>
      <w:r w:rsidR="00246DCB" w:rsidRPr="001304A9">
        <w:t>’</w:t>
      </w:r>
      <w:r w:rsidRPr="001304A9">
        <w:t>il est proposé d</w:t>
      </w:r>
      <w:r w:rsidR="00246DCB" w:rsidRPr="001304A9">
        <w:t>’</w:t>
      </w:r>
      <w:r w:rsidRPr="001304A9">
        <w:t>apporter au texte actuel du Règlement sont signalées en caractères gras pour les ajouts.</w:t>
      </w:r>
    </w:p>
    <w:p w:rsidR="007E35F7" w:rsidRPr="001304A9" w:rsidRDefault="00095073" w:rsidP="00095073">
      <w:pPr>
        <w:pStyle w:val="HChG"/>
      </w:pPr>
      <w:r>
        <w:br w:type="page"/>
      </w:r>
      <w:r w:rsidR="00B5037A" w:rsidRPr="001304A9">
        <w:lastRenderedPageBreak/>
        <w:tab/>
      </w:r>
      <w:r w:rsidR="007E35F7" w:rsidRPr="001304A9">
        <w:t>I.</w:t>
      </w:r>
      <w:r w:rsidR="007E35F7" w:rsidRPr="001304A9">
        <w:tab/>
        <w:t>Proposition</w:t>
      </w:r>
    </w:p>
    <w:p w:rsidR="007E35F7" w:rsidRPr="001304A9" w:rsidRDefault="007E35F7" w:rsidP="00095073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  <w:iCs/>
        </w:rPr>
        <w:t>Table des matières, Annexes</w:t>
      </w:r>
      <w:r w:rsidRPr="001304A9">
        <w:t xml:space="preserve">, insérer une </w:t>
      </w:r>
      <w:r w:rsidR="00B5037A" w:rsidRPr="001304A9">
        <w:t xml:space="preserve">nouvelle annexe </w:t>
      </w:r>
      <w:r w:rsidRPr="001304A9">
        <w:t>15 ainsi conçue (et renuméroter en conséquence les renvois aux annexes 15 à 17, devenues les annexes 16 à 18)</w:t>
      </w:r>
      <w:r w:rsidR="00A86CEB">
        <w:t> :</w:t>
      </w:r>
    </w:p>
    <w:p w:rsidR="007E35F7" w:rsidRPr="001304A9" w:rsidRDefault="007E35F7" w:rsidP="00095073">
      <w:pPr>
        <w:pStyle w:val="SingleTxtG"/>
        <w:ind w:left="2268" w:hanging="1134"/>
        <w:rPr>
          <w:rFonts w:eastAsia="MS Mincho"/>
          <w:spacing w:val="-2"/>
        </w:rPr>
      </w:pPr>
      <w:r w:rsidRPr="001304A9">
        <w:t>«</w:t>
      </w:r>
      <w:r w:rsidR="00B5037A" w:rsidRPr="001304A9">
        <w:t> </w:t>
      </w:r>
      <w:r w:rsidRPr="00F61972">
        <w:rPr>
          <w:b/>
        </w:rPr>
        <w:t>15</w:t>
      </w:r>
      <w:r w:rsidRPr="00F61972">
        <w:rPr>
          <w:b/>
        </w:rPr>
        <w:tab/>
      </w:r>
      <w:r w:rsidR="00F61972" w:rsidRPr="00F61972">
        <w:rPr>
          <w:b/>
          <w:spacing w:val="-2"/>
        </w:rPr>
        <w:t>Dispositions relatives à l’homologation des tuyaux à gaz autres que sans soudure, des tuyaux à gaz faits de matériaux autres que le cuivre, l’acier inoxydable et l’acier avec un revêtement résistant à la corrosion, ainsi que de leurs raccords</w:t>
      </w:r>
      <w:r w:rsidR="00B5037A" w:rsidRPr="001304A9">
        <w:t> </w:t>
      </w:r>
      <w:r w:rsidRPr="001304A9">
        <w:t>».</w:t>
      </w:r>
    </w:p>
    <w:p w:rsidR="007E35F7" w:rsidRPr="001304A9" w:rsidRDefault="007E35F7" w:rsidP="00095073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</w:rPr>
        <w:t>Paragraphe 2.2</w:t>
      </w:r>
      <w:r w:rsidRPr="001304A9">
        <w:t>, modifier comme suit</w:t>
      </w:r>
      <w:r w:rsidR="00A86CEB">
        <w:t> :</w:t>
      </w:r>
    </w:p>
    <w:p w:rsidR="007E35F7" w:rsidRPr="001304A9" w:rsidRDefault="007E35F7" w:rsidP="003B3F6C">
      <w:pPr>
        <w:pStyle w:val="SingleTxtG"/>
        <w:ind w:left="2268" w:hanging="1134"/>
        <w:rPr>
          <w:rFonts w:eastAsia="MS Mincho"/>
          <w:bCs/>
          <w:spacing w:val="-2"/>
        </w:rPr>
      </w:pPr>
      <w:r w:rsidRPr="001304A9">
        <w:t>«</w:t>
      </w:r>
      <w:r w:rsidR="003B3F6C" w:rsidRPr="001304A9">
        <w:t> </w:t>
      </w:r>
      <w:r w:rsidRPr="001304A9">
        <w:t>2.2</w:t>
      </w:r>
      <w:r w:rsidRPr="001304A9">
        <w:tab/>
        <w:t xml:space="preserve">Par </w:t>
      </w:r>
      <w:r w:rsidR="003B3F6C" w:rsidRPr="001304A9">
        <w:t>“</w:t>
      </w:r>
      <w:r w:rsidRPr="000C4B05">
        <w:rPr>
          <w:i/>
        </w:rPr>
        <w:t>équipement spécial GPL</w:t>
      </w:r>
      <w:r w:rsidR="003B3F6C" w:rsidRPr="001304A9">
        <w:t>”</w:t>
      </w:r>
      <w:r w:rsidR="00A86CEB">
        <w:t> :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a)</w:t>
      </w:r>
      <w:r w:rsidR="00A31A1F" w:rsidRPr="001304A9">
        <w:tab/>
      </w:r>
      <w:r w:rsidRPr="001304A9">
        <w:t>Le réservoir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b)</w:t>
      </w:r>
      <w:r w:rsidR="00A31A1F" w:rsidRPr="001304A9">
        <w:tab/>
      </w:r>
      <w:r w:rsidRPr="001304A9">
        <w:t>Les accessoires fixés au réservoir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c)</w:t>
      </w:r>
      <w:r w:rsidR="00A31A1F" w:rsidRPr="001304A9">
        <w:tab/>
      </w:r>
      <w:r w:rsidRPr="001304A9">
        <w:t>Le vaporiseur/détendeur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d)</w:t>
      </w:r>
      <w:r w:rsidR="00A31A1F" w:rsidRPr="001304A9">
        <w:tab/>
      </w:r>
      <w:r w:rsidRPr="001304A9">
        <w:t>La vanne d</w:t>
      </w:r>
      <w:r w:rsidR="00246DCB" w:rsidRPr="001304A9">
        <w:t>’</w:t>
      </w:r>
      <w:r w:rsidRPr="001304A9">
        <w:t>arrêt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rPr>
          <w:rFonts w:eastAsia="MS Mincho"/>
          <w:bCs/>
          <w:spacing w:val="-2"/>
        </w:rPr>
        <w:t>e)</w:t>
      </w:r>
      <w:r w:rsidR="00A31A1F" w:rsidRPr="001304A9">
        <w:rPr>
          <w:rFonts w:eastAsia="MS Mincho"/>
          <w:bCs/>
          <w:spacing w:val="-2"/>
        </w:rPr>
        <w:tab/>
      </w:r>
      <w:r w:rsidRPr="001304A9">
        <w:rPr>
          <w:rFonts w:eastAsia="MS Mincho"/>
          <w:bCs/>
          <w:spacing w:val="-2"/>
        </w:rPr>
        <w:t>Le dispositif injecteur de gaz, ou l</w:t>
      </w:r>
      <w:r w:rsidR="00246DCB" w:rsidRPr="001304A9">
        <w:rPr>
          <w:rFonts w:eastAsia="MS Mincho"/>
          <w:bCs/>
          <w:spacing w:val="-2"/>
        </w:rPr>
        <w:t>’</w:t>
      </w:r>
      <w:r w:rsidRPr="001304A9">
        <w:rPr>
          <w:rFonts w:eastAsia="MS Mincho"/>
          <w:bCs/>
          <w:spacing w:val="-2"/>
        </w:rPr>
        <w:t>injecteur, ou le mélangeur de gaz</w:t>
      </w:r>
      <w:r w:rsidR="00A86CEB">
        <w:rPr>
          <w:rFonts w:eastAsia="MS Mincho"/>
          <w:bCs/>
          <w:spacing w:val="-2"/>
        </w:rPr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f)</w:t>
      </w:r>
      <w:r w:rsidR="00A31A1F" w:rsidRPr="001304A9">
        <w:tab/>
      </w:r>
      <w:r w:rsidRPr="001304A9">
        <w:t>Le doseur de gaz, qui peut être un organe distinct, ou être combiné avec le dispositif d</w:t>
      </w:r>
      <w:r w:rsidR="00246DCB" w:rsidRPr="001304A9">
        <w:t>’</w:t>
      </w:r>
      <w:r w:rsidRPr="001304A9">
        <w:t>injection de gaz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g)</w:t>
      </w:r>
      <w:r w:rsidR="00A31A1F" w:rsidRPr="001304A9">
        <w:tab/>
      </w:r>
      <w:r w:rsidRPr="001304A9">
        <w:t>Les flexibles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h)</w:t>
      </w:r>
      <w:r w:rsidR="00A31A1F" w:rsidRPr="001304A9">
        <w:tab/>
      </w:r>
      <w:r w:rsidRPr="001304A9">
        <w:t>L</w:t>
      </w:r>
      <w:r w:rsidR="00246DCB" w:rsidRPr="001304A9">
        <w:t>’</w:t>
      </w:r>
      <w:r w:rsidRPr="001304A9">
        <w:t>embout de remplissage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i)</w:t>
      </w:r>
      <w:r w:rsidR="00A31A1F" w:rsidRPr="001304A9">
        <w:tab/>
      </w:r>
      <w:r w:rsidRPr="001304A9">
        <w:t>La soupape antiretour</w:t>
      </w:r>
      <w:r w:rsidR="00A86CEB">
        <w:t> ;</w:t>
      </w:r>
    </w:p>
    <w:p w:rsidR="007E35F7" w:rsidRPr="001304A9" w:rsidRDefault="007E35F7" w:rsidP="0091185F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j)</w:t>
      </w:r>
      <w:r w:rsidR="00A31A1F" w:rsidRPr="001304A9">
        <w:tab/>
      </w:r>
      <w:r w:rsidRPr="001304A9">
        <w:t>La soupape de surpression sur la tuyauterie de gaz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k)</w:t>
      </w:r>
      <w:r w:rsidR="007837FE" w:rsidRPr="001304A9">
        <w:tab/>
      </w:r>
      <w:r w:rsidRPr="001304A9">
        <w:t>Le filtre à GPL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rPr>
          <w:rFonts w:eastAsia="MS Mincho"/>
          <w:bCs/>
          <w:spacing w:val="-2"/>
        </w:rPr>
        <w:t>l)</w:t>
      </w:r>
      <w:r w:rsidR="007837FE" w:rsidRPr="001304A9">
        <w:rPr>
          <w:rFonts w:eastAsia="MS Mincho"/>
          <w:bCs/>
          <w:spacing w:val="-2"/>
        </w:rPr>
        <w:tab/>
      </w:r>
      <w:r w:rsidRPr="001304A9">
        <w:rPr>
          <w:rFonts w:eastAsia="MS Mincho"/>
          <w:bCs/>
          <w:spacing w:val="-2"/>
        </w:rPr>
        <w:t xml:space="preserve">Le </w:t>
      </w:r>
      <w:r w:rsidRPr="001304A9">
        <w:t>capteur</w:t>
      </w:r>
      <w:r w:rsidRPr="001304A9">
        <w:rPr>
          <w:rFonts w:eastAsia="MS Mincho"/>
          <w:bCs/>
          <w:spacing w:val="-2"/>
        </w:rPr>
        <w:t xml:space="preserve"> de pression ou de température</w:t>
      </w:r>
      <w:r w:rsidR="00A86CEB">
        <w:rPr>
          <w:rFonts w:eastAsia="MS Mincho"/>
          <w:bCs/>
          <w:spacing w:val="-2"/>
        </w:rPr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m)</w:t>
      </w:r>
      <w:r w:rsidR="007837FE" w:rsidRPr="001304A9">
        <w:tab/>
      </w:r>
      <w:r w:rsidRPr="001304A9">
        <w:t>La pompe à GPL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n)</w:t>
      </w:r>
      <w:r w:rsidR="007837FE" w:rsidRPr="001304A9">
        <w:tab/>
      </w:r>
      <w:r w:rsidRPr="001304A9">
        <w:t>Le raccord d</w:t>
      </w:r>
      <w:r w:rsidR="00246DCB" w:rsidRPr="001304A9">
        <w:t>’</w:t>
      </w:r>
      <w:r w:rsidRPr="001304A9">
        <w:t>alimentation de secours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o)</w:t>
      </w:r>
      <w:r w:rsidR="007837FE" w:rsidRPr="001304A9">
        <w:tab/>
      </w:r>
      <w:r w:rsidRPr="001304A9">
        <w:t>Le module de commande électronique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p)</w:t>
      </w:r>
      <w:r w:rsidR="007837FE" w:rsidRPr="001304A9">
        <w:tab/>
      </w:r>
      <w:r w:rsidRPr="001304A9">
        <w:t>La rampe d</w:t>
      </w:r>
      <w:r w:rsidR="00246DCB" w:rsidRPr="001304A9">
        <w:t>’</w:t>
      </w:r>
      <w:r w:rsidRPr="001304A9">
        <w:t>alimentation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q)</w:t>
      </w:r>
      <w:r w:rsidR="007837FE" w:rsidRPr="001304A9">
        <w:tab/>
      </w:r>
      <w:r w:rsidRPr="001304A9">
        <w:t>Le dispositif de surpression</w:t>
      </w:r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t>r)</w:t>
      </w:r>
      <w:r w:rsidR="007837FE" w:rsidRPr="001304A9">
        <w:tab/>
      </w:r>
      <w:r w:rsidRPr="001304A9">
        <w:t xml:space="preserve">Le bloc </w:t>
      </w:r>
      <w:proofErr w:type="spellStart"/>
      <w:r w:rsidRPr="001304A9">
        <w:t>multiorganes</w:t>
      </w:r>
      <w:proofErr w:type="spellEnd"/>
      <w:r w:rsidR="00A86CEB"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/>
          <w:bCs/>
          <w:spacing w:val="-2"/>
        </w:rPr>
      </w:pPr>
      <w:r w:rsidRPr="001304A9">
        <w:rPr>
          <w:b/>
          <w:bCs/>
        </w:rPr>
        <w:t>s)</w:t>
      </w:r>
      <w:r w:rsidR="007837FE" w:rsidRPr="001304A9">
        <w:rPr>
          <w:b/>
          <w:bCs/>
        </w:rPr>
        <w:tab/>
      </w:r>
      <w:r w:rsidRPr="001304A9">
        <w:rPr>
          <w:b/>
          <w:bCs/>
        </w:rPr>
        <w:t>Les tuyaux à gaz autres que sans soudure et leurs raccords</w:t>
      </w:r>
      <w:r w:rsidR="00A86CEB">
        <w:rPr>
          <w:b/>
          <w:bCs/>
        </w:rPr>
        <w:t> ;</w:t>
      </w:r>
    </w:p>
    <w:p w:rsidR="007E35F7" w:rsidRPr="001304A9" w:rsidRDefault="007E35F7" w:rsidP="00860F43">
      <w:pPr>
        <w:pStyle w:val="SingleTxtG"/>
        <w:ind w:left="2835" w:hanging="567"/>
        <w:rPr>
          <w:rFonts w:eastAsia="MS Mincho"/>
          <w:bCs/>
          <w:spacing w:val="-2"/>
        </w:rPr>
      </w:pPr>
      <w:r w:rsidRPr="001304A9">
        <w:rPr>
          <w:b/>
          <w:bCs/>
        </w:rPr>
        <w:t>t)</w:t>
      </w:r>
      <w:r w:rsidR="007837FE" w:rsidRPr="001304A9">
        <w:rPr>
          <w:b/>
          <w:bCs/>
        </w:rPr>
        <w:tab/>
      </w:r>
      <w:r w:rsidRPr="001304A9">
        <w:rPr>
          <w:b/>
          <w:bCs/>
        </w:rPr>
        <w:t>Les tuyaux fabriqués faits de matériaux autres que le cuivre, l</w:t>
      </w:r>
      <w:r w:rsidR="00246DCB" w:rsidRPr="001304A9">
        <w:rPr>
          <w:b/>
          <w:bCs/>
        </w:rPr>
        <w:t>’</w:t>
      </w:r>
      <w:r w:rsidRPr="001304A9">
        <w:rPr>
          <w:b/>
          <w:bCs/>
        </w:rPr>
        <w:t>acier inoxydable et l</w:t>
      </w:r>
      <w:r w:rsidR="00246DCB" w:rsidRPr="001304A9">
        <w:rPr>
          <w:b/>
          <w:bCs/>
        </w:rPr>
        <w:t>’</w:t>
      </w:r>
      <w:r w:rsidRPr="001304A9">
        <w:rPr>
          <w:b/>
          <w:bCs/>
        </w:rPr>
        <w:t xml:space="preserve">acier avec un revêtement résistant à la corrosion, </w:t>
      </w:r>
      <w:r w:rsidR="00254767" w:rsidRPr="001304A9">
        <w:rPr>
          <w:b/>
          <w:bCs/>
        </w:rPr>
        <w:t>ainsi que leurs raccords.</w:t>
      </w:r>
      <w:r w:rsidR="00254767" w:rsidRPr="001304A9">
        <w:rPr>
          <w:bCs/>
        </w:rPr>
        <w:t> </w:t>
      </w:r>
      <w:r w:rsidRPr="001304A9">
        <w:rPr>
          <w:bCs/>
        </w:rPr>
        <w:t>».</w:t>
      </w:r>
    </w:p>
    <w:p w:rsidR="007E35F7" w:rsidRPr="001304A9" w:rsidRDefault="007E35F7" w:rsidP="00095073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</w:rPr>
        <w:t>Ajouter un nouveau paragraphe 2.2.1</w:t>
      </w:r>
      <w:r w:rsidRPr="001304A9">
        <w:t>, libellé comme suit</w:t>
      </w:r>
      <w:r w:rsidR="00A86CEB">
        <w:t> :</w:t>
      </w:r>
    </w:p>
    <w:p w:rsidR="007E35F7" w:rsidRPr="001304A9" w:rsidRDefault="007E35F7" w:rsidP="00F05C6E">
      <w:pPr>
        <w:pStyle w:val="SingleTxtG"/>
        <w:ind w:left="2268" w:hanging="1134"/>
        <w:rPr>
          <w:bCs/>
          <w:iCs/>
        </w:rPr>
      </w:pPr>
      <w:r w:rsidRPr="001304A9">
        <w:t>«</w:t>
      </w:r>
      <w:r w:rsidR="00F05C6E" w:rsidRPr="001304A9">
        <w:t> </w:t>
      </w:r>
      <w:r w:rsidRPr="001304A9">
        <w:rPr>
          <w:b/>
        </w:rPr>
        <w:t>2.21</w:t>
      </w:r>
      <w:r w:rsidRPr="001304A9">
        <w:rPr>
          <w:b/>
        </w:rPr>
        <w:tab/>
      </w:r>
      <w:r w:rsidR="00F05C6E" w:rsidRPr="001304A9">
        <w:rPr>
          <w:b/>
        </w:rPr>
        <w:t>Par “</w:t>
      </w:r>
      <w:r w:rsidRPr="004433B9">
        <w:rPr>
          <w:b/>
          <w:i/>
        </w:rPr>
        <w:t>tuyauterie à gaz</w:t>
      </w:r>
      <w:r w:rsidR="00F05C6E" w:rsidRPr="001304A9">
        <w:rPr>
          <w:b/>
        </w:rPr>
        <w:t>”</w:t>
      </w:r>
      <w:r w:rsidRPr="001304A9">
        <w:rPr>
          <w:b/>
        </w:rPr>
        <w:t>, une tubulure fabriquée dans un matériau métallique par laquelle s</w:t>
      </w:r>
      <w:r w:rsidR="00246DCB" w:rsidRPr="001304A9">
        <w:rPr>
          <w:b/>
        </w:rPr>
        <w:t>’</w:t>
      </w:r>
      <w:r w:rsidRPr="001304A9">
        <w:rPr>
          <w:b/>
        </w:rPr>
        <w:t>écoule le GPL, conçue pour ne pas fléchir dans des conditions normales de fonctionnement.</w:t>
      </w:r>
      <w:r w:rsidR="00F05C6E" w:rsidRPr="001304A9">
        <w:t> </w:t>
      </w:r>
      <w:r w:rsidRPr="001304A9">
        <w:t>».</w:t>
      </w:r>
    </w:p>
    <w:p w:rsidR="007E35F7" w:rsidRPr="001304A9" w:rsidRDefault="007E35F7" w:rsidP="00095073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</w:rPr>
        <w:t>Les paragraphes 6.4 à 6.14</w:t>
      </w:r>
      <w:r w:rsidRPr="001304A9">
        <w:t xml:space="preserve"> deviennent les paragraphes 6.4 à 6.15 et sont modifiés comme suit</w:t>
      </w:r>
      <w:r w:rsidR="00A86CEB">
        <w:t> :</w:t>
      </w:r>
    </w:p>
    <w:p w:rsidR="007E35F7" w:rsidRPr="001304A9" w:rsidRDefault="007E35F7" w:rsidP="00095073">
      <w:pPr>
        <w:pStyle w:val="SingleTxtG"/>
        <w:keepNext/>
        <w:ind w:left="2268" w:hanging="1134"/>
      </w:pPr>
      <w:r w:rsidRPr="001304A9">
        <w:t>«</w:t>
      </w:r>
      <w:r w:rsidR="007A5988" w:rsidRPr="001304A9">
        <w:t> </w:t>
      </w:r>
      <w:r w:rsidRPr="001304A9">
        <w:t xml:space="preserve">6.4 </w:t>
      </w:r>
      <w:r w:rsidR="007A5988" w:rsidRPr="001304A9">
        <w:t>−</w:t>
      </w:r>
      <w:r w:rsidRPr="001304A9">
        <w:t xml:space="preserve"> 6.</w:t>
      </w:r>
      <w:r w:rsidRPr="001304A9">
        <w:rPr>
          <w:b/>
          <w:bCs/>
        </w:rPr>
        <w:t>15</w:t>
      </w:r>
      <w:r w:rsidRPr="001304A9">
        <w:tab/>
        <w:t>Prescriptions relatives aux autres organes</w:t>
      </w:r>
    </w:p>
    <w:p w:rsidR="007E35F7" w:rsidRPr="001304A9" w:rsidRDefault="007E35F7" w:rsidP="007A5988">
      <w:pPr>
        <w:pStyle w:val="SingleTxtG"/>
        <w:ind w:left="2268"/>
      </w:pPr>
      <w:r w:rsidRPr="001304A9">
        <w:t>Les autres organes doivent être couverts par une homologation de type délivrée conformément aux dispositions énoncées dans les annexes indiquées dans le tableau 1 ci-dessous.</w:t>
      </w:r>
    </w:p>
    <w:p w:rsidR="007E35F7" w:rsidRPr="001304A9" w:rsidRDefault="007E35F7" w:rsidP="007A5988">
      <w:pPr>
        <w:pStyle w:val="Heading1"/>
        <w:spacing w:after="120"/>
        <w:rPr>
          <w:b/>
          <w:szCs w:val="28"/>
        </w:rPr>
      </w:pPr>
      <w:bookmarkStart w:id="1" w:name="_Toc387935154"/>
      <w:bookmarkStart w:id="2" w:name="_Toc397517944"/>
      <w:r w:rsidRPr="001304A9">
        <w:lastRenderedPageBreak/>
        <w:t>Tableau 1</w:t>
      </w:r>
      <w:bookmarkEnd w:id="1"/>
      <w:bookmarkEnd w:id="2"/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743"/>
        <w:gridCol w:w="1557"/>
      </w:tblGrid>
      <w:tr w:rsidR="007E35F7" w:rsidRPr="001304A9" w:rsidTr="009A0439">
        <w:trPr>
          <w:cantSplit/>
          <w:tblHeader/>
        </w:trPr>
        <w:tc>
          <w:tcPr>
            <w:tcW w:w="2070" w:type="dxa"/>
            <w:shd w:val="clear" w:color="auto" w:fill="auto"/>
            <w:vAlign w:val="bottom"/>
          </w:tcPr>
          <w:p w:rsidR="007E35F7" w:rsidRPr="001304A9" w:rsidRDefault="007E35F7" w:rsidP="00EE2C85">
            <w:pPr>
              <w:keepNext/>
              <w:spacing w:before="80" w:after="80" w:line="200" w:lineRule="exact"/>
              <w:ind w:left="113" w:right="113"/>
              <w:rPr>
                <w:i/>
                <w:sz w:val="16"/>
                <w:szCs w:val="24"/>
              </w:rPr>
            </w:pPr>
            <w:r w:rsidRPr="001304A9">
              <w:rPr>
                <w:i/>
                <w:sz w:val="16"/>
              </w:rPr>
              <w:t>Paragraphe</w:t>
            </w:r>
          </w:p>
        </w:tc>
        <w:tc>
          <w:tcPr>
            <w:tcW w:w="3743" w:type="dxa"/>
            <w:shd w:val="clear" w:color="auto" w:fill="auto"/>
            <w:vAlign w:val="bottom"/>
          </w:tcPr>
          <w:p w:rsidR="007E35F7" w:rsidRPr="001304A9" w:rsidRDefault="007E35F7" w:rsidP="00EE2C85">
            <w:pPr>
              <w:keepNext/>
              <w:spacing w:before="80" w:after="80" w:line="200" w:lineRule="exact"/>
              <w:ind w:left="113" w:right="113"/>
              <w:rPr>
                <w:i/>
                <w:sz w:val="16"/>
                <w:szCs w:val="24"/>
              </w:rPr>
            </w:pPr>
            <w:r w:rsidRPr="001304A9">
              <w:rPr>
                <w:i/>
                <w:sz w:val="16"/>
              </w:rPr>
              <w:t>Organe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7E35F7" w:rsidRPr="001304A9" w:rsidRDefault="007E35F7" w:rsidP="00EE2C85">
            <w:pPr>
              <w:keepNext/>
              <w:spacing w:before="80" w:after="80" w:line="200" w:lineRule="exact"/>
              <w:ind w:left="113" w:right="113"/>
              <w:rPr>
                <w:i/>
                <w:sz w:val="16"/>
                <w:szCs w:val="24"/>
              </w:rPr>
            </w:pPr>
            <w:r w:rsidRPr="001304A9">
              <w:rPr>
                <w:i/>
                <w:sz w:val="16"/>
              </w:rPr>
              <w:t>Annexe</w:t>
            </w:r>
          </w:p>
        </w:tc>
      </w:tr>
      <w:tr w:rsidR="007A5988" w:rsidRPr="001304A9" w:rsidTr="009A0439">
        <w:trPr>
          <w:cantSplit/>
          <w:trHeight w:hRule="exact" w:val="113"/>
          <w:tblHeader/>
        </w:trPr>
        <w:tc>
          <w:tcPr>
            <w:tcW w:w="2070" w:type="dxa"/>
            <w:tcBorders>
              <w:bottom w:val="nil"/>
            </w:tcBorders>
            <w:shd w:val="clear" w:color="auto" w:fill="auto"/>
          </w:tcPr>
          <w:p w:rsidR="007A5988" w:rsidRPr="001304A9" w:rsidRDefault="007A5988" w:rsidP="00EE2C85">
            <w:pPr>
              <w:keepNext/>
              <w:spacing w:before="40" w:after="120"/>
              <w:ind w:left="113" w:right="113"/>
            </w:pPr>
          </w:p>
        </w:tc>
        <w:tc>
          <w:tcPr>
            <w:tcW w:w="3743" w:type="dxa"/>
            <w:tcBorders>
              <w:bottom w:val="nil"/>
            </w:tcBorders>
            <w:shd w:val="clear" w:color="auto" w:fill="auto"/>
          </w:tcPr>
          <w:p w:rsidR="007A5988" w:rsidRPr="001304A9" w:rsidRDefault="007A5988" w:rsidP="00EE2C85">
            <w:pPr>
              <w:keepNext/>
              <w:spacing w:before="40" w:after="120"/>
              <w:ind w:left="113" w:right="113"/>
            </w:pPr>
          </w:p>
        </w:tc>
        <w:tc>
          <w:tcPr>
            <w:tcW w:w="1557" w:type="dxa"/>
            <w:tcBorders>
              <w:bottom w:val="nil"/>
            </w:tcBorders>
            <w:shd w:val="clear" w:color="auto" w:fill="auto"/>
          </w:tcPr>
          <w:p w:rsidR="007A5988" w:rsidRPr="001304A9" w:rsidRDefault="007A5988" w:rsidP="00EE2C85">
            <w:pPr>
              <w:keepNext/>
              <w:spacing w:before="40" w:after="120"/>
              <w:ind w:left="113" w:right="113"/>
            </w:pPr>
          </w:p>
        </w:tc>
      </w:tr>
      <w:tr w:rsidR="007E35F7" w:rsidRPr="001304A9" w:rsidTr="00EE2C85">
        <w:trPr>
          <w:cantSplit/>
        </w:trPr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35F7" w:rsidRPr="001304A9" w:rsidRDefault="007E35F7" w:rsidP="00EE2C85">
            <w:pPr>
              <w:keepNext/>
              <w:spacing w:before="40" w:after="120"/>
              <w:ind w:left="113" w:right="113"/>
              <w:rPr>
                <w:szCs w:val="24"/>
              </w:rPr>
            </w:pPr>
            <w:r w:rsidRPr="001304A9">
              <w:t>6.4</w:t>
            </w:r>
          </w:p>
        </w:tc>
        <w:tc>
          <w:tcPr>
            <w:tcW w:w="37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35F7" w:rsidRPr="001304A9" w:rsidRDefault="007E35F7" w:rsidP="00EE2C85">
            <w:pPr>
              <w:keepNext/>
              <w:spacing w:before="40" w:after="120"/>
              <w:ind w:left="113" w:right="113"/>
              <w:rPr>
                <w:szCs w:val="24"/>
              </w:rPr>
            </w:pPr>
            <w:r w:rsidRPr="001304A9">
              <w:t>Pompe à GPL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35F7" w:rsidRPr="001304A9" w:rsidRDefault="007E35F7" w:rsidP="00EE2C85">
            <w:pPr>
              <w:keepNext/>
              <w:spacing w:before="40" w:after="120"/>
              <w:ind w:left="113" w:right="113"/>
              <w:rPr>
                <w:szCs w:val="24"/>
              </w:rPr>
            </w:pPr>
            <w:r w:rsidRPr="001304A9">
              <w:t>4</w:t>
            </w:r>
          </w:p>
        </w:tc>
      </w:tr>
      <w:tr w:rsidR="007E35F7" w:rsidRPr="001304A9" w:rsidTr="00EE2C85">
        <w:trPr>
          <w:cantSplit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5F7" w:rsidRPr="001304A9" w:rsidRDefault="007E35F7" w:rsidP="00EE2C85">
            <w:pPr>
              <w:keepNext/>
              <w:spacing w:before="40" w:after="120"/>
              <w:ind w:left="113" w:right="113"/>
              <w:rPr>
                <w:szCs w:val="24"/>
              </w:rPr>
            </w:pPr>
            <w:r w:rsidRPr="001304A9">
              <w:t>6.5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5F7" w:rsidRPr="001304A9" w:rsidRDefault="007E35F7" w:rsidP="00EE2C85">
            <w:pPr>
              <w:keepNext/>
              <w:spacing w:before="40" w:after="120"/>
              <w:ind w:left="113" w:right="113"/>
              <w:rPr>
                <w:szCs w:val="24"/>
              </w:rPr>
            </w:pPr>
            <w:r w:rsidRPr="001304A9">
              <w:t>Vaporiseur</w:t>
            </w:r>
            <w:r w:rsidRPr="00716951">
              <w:rPr>
                <w:rStyle w:val="FootnoteReference"/>
                <w:i/>
              </w:rPr>
              <w:t>1</w:t>
            </w:r>
          </w:p>
          <w:p w:rsidR="007E35F7" w:rsidRPr="001304A9" w:rsidRDefault="007E35F7" w:rsidP="00EE2C85">
            <w:pPr>
              <w:keepNext/>
              <w:spacing w:before="40" w:after="120"/>
              <w:ind w:left="113" w:right="113"/>
              <w:rPr>
                <w:szCs w:val="24"/>
              </w:rPr>
            </w:pPr>
            <w:r w:rsidRPr="001304A9">
              <w:t>Détendeur</w:t>
            </w:r>
            <w:r w:rsidRPr="00716951">
              <w:rPr>
                <w:rStyle w:val="FootnoteReference"/>
                <w:i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5F7" w:rsidRPr="001304A9" w:rsidRDefault="007E35F7" w:rsidP="00EE2C85">
            <w:pPr>
              <w:keepNext/>
              <w:spacing w:before="40" w:after="120"/>
              <w:ind w:left="113" w:right="113"/>
              <w:rPr>
                <w:szCs w:val="24"/>
              </w:rPr>
            </w:pPr>
            <w:r w:rsidRPr="001304A9">
              <w:t>6</w:t>
            </w:r>
          </w:p>
        </w:tc>
      </w:tr>
      <w:tr w:rsidR="007E35F7" w:rsidRPr="001304A9" w:rsidTr="00EE2C85">
        <w:trPr>
          <w:cantSplit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5F7" w:rsidRPr="001304A9" w:rsidRDefault="007E35F7" w:rsidP="007A5988">
            <w:pPr>
              <w:spacing w:before="40" w:after="120"/>
              <w:ind w:left="113" w:right="113"/>
              <w:rPr>
                <w:szCs w:val="24"/>
              </w:rPr>
            </w:pPr>
            <w:r w:rsidRPr="001304A9">
              <w:t>…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5F7" w:rsidRPr="001304A9" w:rsidRDefault="007E35F7" w:rsidP="007A5988">
            <w:pPr>
              <w:spacing w:before="40" w:after="120"/>
              <w:ind w:left="113" w:right="113"/>
              <w:rPr>
                <w:szCs w:val="24"/>
              </w:rPr>
            </w:pPr>
            <w:r w:rsidRPr="001304A9">
              <w:t>…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5F7" w:rsidRPr="001304A9" w:rsidRDefault="007E35F7" w:rsidP="007A5988">
            <w:pPr>
              <w:spacing w:before="40" w:after="120"/>
              <w:ind w:left="113" w:right="113"/>
              <w:rPr>
                <w:szCs w:val="24"/>
              </w:rPr>
            </w:pPr>
            <w:r w:rsidRPr="001304A9">
              <w:t>…</w:t>
            </w:r>
          </w:p>
        </w:tc>
      </w:tr>
      <w:tr w:rsidR="007E35F7" w:rsidRPr="001304A9" w:rsidTr="00EE2C85">
        <w:trPr>
          <w:cantSplit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7E35F7" w:rsidRPr="001304A9" w:rsidRDefault="007E35F7" w:rsidP="007A5988">
            <w:pPr>
              <w:spacing w:before="40" w:after="120"/>
              <w:ind w:left="113" w:right="113"/>
              <w:rPr>
                <w:szCs w:val="24"/>
              </w:rPr>
            </w:pPr>
            <w:r w:rsidRPr="001304A9">
              <w:t>6.14</w:t>
            </w:r>
          </w:p>
        </w:tc>
        <w:tc>
          <w:tcPr>
            <w:tcW w:w="3743" w:type="dxa"/>
            <w:tcBorders>
              <w:top w:val="single" w:sz="4" w:space="0" w:color="auto"/>
            </w:tcBorders>
            <w:shd w:val="clear" w:color="auto" w:fill="auto"/>
          </w:tcPr>
          <w:p w:rsidR="007E35F7" w:rsidRPr="001304A9" w:rsidRDefault="007E35F7" w:rsidP="007A5988">
            <w:pPr>
              <w:spacing w:before="40" w:after="120"/>
              <w:ind w:left="113" w:right="113"/>
              <w:rPr>
                <w:szCs w:val="24"/>
              </w:rPr>
            </w:pPr>
            <w:r w:rsidRPr="001304A9">
              <w:t>Dispositif de surpression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7E35F7" w:rsidRPr="001304A9" w:rsidRDefault="007E35F7" w:rsidP="007A5988">
            <w:pPr>
              <w:spacing w:before="40" w:after="120"/>
              <w:ind w:left="113" w:right="113"/>
              <w:rPr>
                <w:szCs w:val="24"/>
              </w:rPr>
            </w:pPr>
            <w:r w:rsidRPr="001304A9">
              <w:t>3</w:t>
            </w:r>
          </w:p>
        </w:tc>
      </w:tr>
      <w:tr w:rsidR="007E35F7" w:rsidRPr="001304A9" w:rsidTr="009A0439">
        <w:trPr>
          <w:cantSplit/>
        </w:trPr>
        <w:tc>
          <w:tcPr>
            <w:tcW w:w="2070" w:type="dxa"/>
            <w:shd w:val="clear" w:color="auto" w:fill="auto"/>
          </w:tcPr>
          <w:p w:rsidR="007E35F7" w:rsidRPr="001304A9" w:rsidRDefault="007E35F7" w:rsidP="007A5988">
            <w:pPr>
              <w:spacing w:before="40" w:after="120"/>
              <w:ind w:left="113" w:right="113"/>
              <w:rPr>
                <w:b/>
                <w:szCs w:val="24"/>
              </w:rPr>
            </w:pPr>
            <w:r w:rsidRPr="001304A9">
              <w:rPr>
                <w:b/>
              </w:rPr>
              <w:t>6.15</w:t>
            </w:r>
          </w:p>
        </w:tc>
        <w:tc>
          <w:tcPr>
            <w:tcW w:w="3743" w:type="dxa"/>
            <w:shd w:val="clear" w:color="auto" w:fill="auto"/>
          </w:tcPr>
          <w:p w:rsidR="007E35F7" w:rsidRPr="001304A9" w:rsidRDefault="007E35F7" w:rsidP="000510EB">
            <w:pPr>
              <w:spacing w:before="40" w:after="120"/>
              <w:ind w:left="113" w:right="113"/>
              <w:rPr>
                <w:b/>
                <w:szCs w:val="24"/>
                <w:vertAlign w:val="superscript"/>
              </w:rPr>
            </w:pPr>
            <w:r w:rsidRPr="001304A9">
              <w:rPr>
                <w:b/>
                <w:bCs/>
              </w:rPr>
              <w:t>Tuyaux à gaz autres que sans soudure, tuyaux faits de matériaux autres que le cuivre, l</w:t>
            </w:r>
            <w:r w:rsidR="00246DCB" w:rsidRPr="001304A9">
              <w:rPr>
                <w:b/>
                <w:bCs/>
              </w:rPr>
              <w:t>’</w:t>
            </w:r>
            <w:r w:rsidRPr="001304A9">
              <w:rPr>
                <w:b/>
                <w:bCs/>
              </w:rPr>
              <w:t>acier inoxydable et l</w:t>
            </w:r>
            <w:r w:rsidR="00246DCB" w:rsidRPr="001304A9">
              <w:rPr>
                <w:b/>
                <w:bCs/>
              </w:rPr>
              <w:t>’</w:t>
            </w:r>
            <w:r w:rsidRPr="001304A9">
              <w:rPr>
                <w:b/>
                <w:bCs/>
              </w:rPr>
              <w:t>acier avec un revêtement résistant à la corrosion, ainsi que leurs raccords</w:t>
            </w:r>
          </w:p>
        </w:tc>
        <w:tc>
          <w:tcPr>
            <w:tcW w:w="1557" w:type="dxa"/>
            <w:shd w:val="clear" w:color="auto" w:fill="auto"/>
          </w:tcPr>
          <w:p w:rsidR="007E35F7" w:rsidRPr="001304A9" w:rsidRDefault="007E35F7" w:rsidP="007A5988">
            <w:pPr>
              <w:spacing w:before="40" w:after="120"/>
              <w:ind w:left="113" w:right="113"/>
              <w:rPr>
                <w:b/>
                <w:szCs w:val="24"/>
              </w:rPr>
            </w:pPr>
            <w:r w:rsidRPr="001304A9">
              <w:rPr>
                <w:b/>
              </w:rPr>
              <w:t>15</w:t>
            </w:r>
          </w:p>
        </w:tc>
      </w:tr>
    </w:tbl>
    <w:p w:rsidR="007E35F7" w:rsidRPr="001304A9" w:rsidRDefault="007E35F7" w:rsidP="00E74385">
      <w:pPr>
        <w:tabs>
          <w:tab w:val="left" w:pos="1304"/>
        </w:tabs>
        <w:spacing w:line="200" w:lineRule="atLeast"/>
        <w:ind w:left="1134" w:right="1134"/>
        <w:rPr>
          <w:sz w:val="18"/>
          <w:szCs w:val="18"/>
        </w:rPr>
      </w:pPr>
      <w:r w:rsidRPr="00DD7D56">
        <w:rPr>
          <w:sz w:val="18"/>
          <w:szCs w:val="18"/>
          <w:vertAlign w:val="superscript"/>
        </w:rPr>
        <w:t>1</w:t>
      </w:r>
      <w:r w:rsidRPr="00DD7D56">
        <w:rPr>
          <w:sz w:val="18"/>
          <w:szCs w:val="18"/>
        </w:rPr>
        <w:tab/>
      </w:r>
      <w:r w:rsidRPr="001304A9">
        <w:rPr>
          <w:sz w:val="18"/>
          <w:szCs w:val="18"/>
        </w:rPr>
        <w:t>Combinés ou indépendants.</w:t>
      </w:r>
    </w:p>
    <w:p w:rsidR="007E35F7" w:rsidRPr="001304A9" w:rsidRDefault="007E35F7" w:rsidP="00E74385">
      <w:pPr>
        <w:tabs>
          <w:tab w:val="left" w:pos="1304"/>
        </w:tabs>
        <w:spacing w:line="200" w:lineRule="atLeast"/>
        <w:ind w:left="1134" w:right="1134"/>
        <w:rPr>
          <w:sz w:val="18"/>
          <w:szCs w:val="18"/>
        </w:rPr>
      </w:pPr>
      <w:r w:rsidRPr="00DD7D56">
        <w:rPr>
          <w:sz w:val="18"/>
          <w:szCs w:val="18"/>
          <w:vertAlign w:val="superscript"/>
        </w:rPr>
        <w:t>2</w:t>
      </w:r>
      <w:r w:rsidRPr="001304A9">
        <w:rPr>
          <w:sz w:val="18"/>
          <w:szCs w:val="18"/>
        </w:rPr>
        <w:tab/>
        <w:t>Ne s</w:t>
      </w:r>
      <w:r w:rsidR="00246DCB" w:rsidRPr="001304A9">
        <w:rPr>
          <w:sz w:val="18"/>
          <w:szCs w:val="18"/>
        </w:rPr>
        <w:t>’</w:t>
      </w:r>
      <w:r w:rsidRPr="001304A9">
        <w:rPr>
          <w:sz w:val="18"/>
          <w:szCs w:val="18"/>
        </w:rPr>
        <w:t>applique que si l</w:t>
      </w:r>
      <w:r w:rsidR="00246DCB" w:rsidRPr="001304A9">
        <w:rPr>
          <w:sz w:val="18"/>
          <w:szCs w:val="18"/>
        </w:rPr>
        <w:t>’</w:t>
      </w:r>
      <w:r w:rsidRPr="001304A9">
        <w:rPr>
          <w:sz w:val="18"/>
          <w:szCs w:val="18"/>
        </w:rPr>
        <w:t>actionneur du doseur n</w:t>
      </w:r>
      <w:r w:rsidR="00246DCB" w:rsidRPr="001304A9">
        <w:rPr>
          <w:sz w:val="18"/>
          <w:szCs w:val="18"/>
        </w:rPr>
        <w:t>’</w:t>
      </w:r>
      <w:r w:rsidRPr="001304A9">
        <w:rPr>
          <w:sz w:val="18"/>
          <w:szCs w:val="18"/>
        </w:rPr>
        <w:t>est pas intégré au dispositif d</w:t>
      </w:r>
      <w:r w:rsidR="00246DCB" w:rsidRPr="001304A9">
        <w:rPr>
          <w:sz w:val="18"/>
          <w:szCs w:val="18"/>
        </w:rPr>
        <w:t>’</w:t>
      </w:r>
      <w:r w:rsidRPr="001304A9">
        <w:rPr>
          <w:sz w:val="18"/>
          <w:szCs w:val="18"/>
        </w:rPr>
        <w:t>injection de gaz.</w:t>
      </w:r>
    </w:p>
    <w:p w:rsidR="007E35F7" w:rsidRPr="001304A9" w:rsidRDefault="007E35F7" w:rsidP="00E74385">
      <w:pPr>
        <w:tabs>
          <w:tab w:val="left" w:pos="1304"/>
        </w:tabs>
        <w:spacing w:after="240" w:line="200" w:lineRule="atLeast"/>
        <w:ind w:left="1134" w:right="1134"/>
        <w:rPr>
          <w:sz w:val="18"/>
          <w:szCs w:val="18"/>
        </w:rPr>
      </w:pPr>
      <w:r w:rsidRPr="00DD7D56">
        <w:rPr>
          <w:sz w:val="18"/>
          <w:szCs w:val="18"/>
          <w:vertAlign w:val="superscript"/>
        </w:rPr>
        <w:t>3</w:t>
      </w:r>
      <w:r w:rsidRPr="001304A9">
        <w:rPr>
          <w:sz w:val="18"/>
          <w:szCs w:val="18"/>
        </w:rPr>
        <w:tab/>
        <w:t>Ne s</w:t>
      </w:r>
      <w:r w:rsidR="00246DCB" w:rsidRPr="001304A9">
        <w:rPr>
          <w:sz w:val="18"/>
          <w:szCs w:val="18"/>
        </w:rPr>
        <w:t>’</w:t>
      </w:r>
      <w:r w:rsidRPr="001304A9">
        <w:rPr>
          <w:sz w:val="18"/>
          <w:szCs w:val="18"/>
        </w:rPr>
        <w:t>applique que si la pression de fonctionnement du mélangeur de gaz est supérieure à 20 kPa (classe 2).</w:t>
      </w:r>
      <w:r w:rsidR="00876233" w:rsidRPr="00876233">
        <w:t> ».</w:t>
      </w:r>
    </w:p>
    <w:p w:rsidR="007E35F7" w:rsidRPr="001304A9" w:rsidRDefault="007E35F7" w:rsidP="00C3491D">
      <w:pPr>
        <w:pStyle w:val="SingleTxtG"/>
        <w:rPr>
          <w:rFonts w:eastAsia="MS Mincho"/>
          <w:bCs/>
          <w:spacing w:val="-2"/>
        </w:rPr>
      </w:pPr>
      <w:r w:rsidRPr="001304A9">
        <w:rPr>
          <w:i/>
          <w:iCs/>
        </w:rPr>
        <w:t>Les paragraphes 6.15 à 6.15.13.2.4</w:t>
      </w:r>
      <w:r w:rsidRPr="001304A9">
        <w:t xml:space="preserve"> deviennent les paragraphes 6.16 à 6.16.13.2.4.</w:t>
      </w:r>
    </w:p>
    <w:p w:rsidR="007E35F7" w:rsidRPr="001304A9" w:rsidRDefault="007E35F7" w:rsidP="00C3491D">
      <w:pPr>
        <w:pStyle w:val="SingleTxtG"/>
        <w:rPr>
          <w:rFonts w:eastAsia="MS Mincho"/>
          <w:bCs/>
          <w:spacing w:val="-2"/>
        </w:rPr>
      </w:pPr>
      <w:r w:rsidRPr="001304A9">
        <w:rPr>
          <w:i/>
          <w:iCs/>
        </w:rPr>
        <w:t>Paragraphe 9.3</w:t>
      </w:r>
      <w:r w:rsidRPr="001304A9">
        <w:t>, remplacer « annexes 8, 10</w:t>
      </w:r>
      <w:r w:rsidR="00834C2F">
        <w:t xml:space="preserve"> et 15 » par « annexes 8, 10 et </w:t>
      </w:r>
      <w:r w:rsidRPr="001304A9">
        <w:rPr>
          <w:b/>
          <w:bCs/>
        </w:rPr>
        <w:t>16</w:t>
      </w:r>
      <w:r w:rsidR="00834C2F">
        <w:t> </w:t>
      </w:r>
      <w:r w:rsidRPr="001304A9">
        <w:t>».</w:t>
      </w:r>
    </w:p>
    <w:p w:rsidR="007E35F7" w:rsidRPr="001304A9" w:rsidRDefault="007E35F7" w:rsidP="00C3491D">
      <w:pPr>
        <w:pStyle w:val="SingleTxtG"/>
        <w:rPr>
          <w:rFonts w:eastAsia="MS Mincho"/>
          <w:bCs/>
          <w:spacing w:val="-2"/>
        </w:rPr>
      </w:pPr>
      <w:r w:rsidRPr="001304A9">
        <w:rPr>
          <w:i/>
          <w:iCs/>
        </w:rPr>
        <w:t>Paragraphe 17.1.7.5</w:t>
      </w:r>
      <w:r w:rsidRPr="001304A9">
        <w:t xml:space="preserve">, remplacer « annexe 17 » par « annexe </w:t>
      </w:r>
      <w:r w:rsidRPr="001304A9">
        <w:rPr>
          <w:b/>
          <w:bCs/>
        </w:rPr>
        <w:t>18</w:t>
      </w:r>
      <w:r w:rsidR="00834C2F">
        <w:t> </w:t>
      </w:r>
      <w:r w:rsidRPr="001304A9">
        <w:t>».</w:t>
      </w:r>
    </w:p>
    <w:p w:rsidR="007E35F7" w:rsidRPr="001304A9" w:rsidRDefault="007E35F7" w:rsidP="00C3491D">
      <w:pPr>
        <w:pStyle w:val="SingleTxtG"/>
        <w:rPr>
          <w:rFonts w:eastAsia="MS Mincho"/>
          <w:bCs/>
          <w:spacing w:val="-2"/>
        </w:rPr>
      </w:pPr>
      <w:r w:rsidRPr="001304A9">
        <w:rPr>
          <w:i/>
          <w:iCs/>
        </w:rPr>
        <w:t>Paragraphe 17.1.8.1</w:t>
      </w:r>
      <w:r w:rsidR="00834C2F">
        <w:t>, remplacer « annexe 16 » par « </w:t>
      </w:r>
      <w:r w:rsidRPr="001304A9">
        <w:t xml:space="preserve">annexe </w:t>
      </w:r>
      <w:r w:rsidRPr="001304A9">
        <w:rPr>
          <w:b/>
          <w:bCs/>
        </w:rPr>
        <w:t>17</w:t>
      </w:r>
      <w:r w:rsidR="00834C2F">
        <w:t> </w:t>
      </w:r>
      <w:r w:rsidRPr="001304A9">
        <w:t>».</w:t>
      </w:r>
    </w:p>
    <w:p w:rsidR="007E35F7" w:rsidRPr="001304A9" w:rsidRDefault="007E35F7" w:rsidP="00834C2F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  <w:iCs/>
        </w:rPr>
        <w:t>Paragraphe 17.7.1</w:t>
      </w:r>
      <w:r w:rsidRPr="001304A9">
        <w:t>, modifier comme suit</w:t>
      </w:r>
      <w:r w:rsidR="00A86CEB">
        <w:t> :</w:t>
      </w:r>
    </w:p>
    <w:p w:rsidR="007E35F7" w:rsidRPr="001304A9" w:rsidRDefault="007E35F7" w:rsidP="005376A9">
      <w:pPr>
        <w:pStyle w:val="SingleTxtG"/>
        <w:ind w:left="2268" w:hanging="1134"/>
      </w:pPr>
      <w:r w:rsidRPr="001304A9">
        <w:t>«</w:t>
      </w:r>
      <w:r w:rsidR="00834C2F">
        <w:t> </w:t>
      </w:r>
      <w:r w:rsidRPr="001304A9">
        <w:t>17.7.1</w:t>
      </w:r>
      <w:r w:rsidRPr="001304A9">
        <w:tab/>
      </w:r>
      <w:r w:rsidRPr="001304A9">
        <w:rPr>
          <w:b/>
        </w:rPr>
        <w:t xml:space="preserve">Tuyaux à gaz sans soudure en cuivre ou en acier inoxydable </w:t>
      </w:r>
      <w:r w:rsidR="007D4B7E">
        <w:rPr>
          <w:b/>
        </w:rPr>
        <w:t xml:space="preserve">ou en acier </w:t>
      </w:r>
      <w:r w:rsidRPr="001304A9">
        <w:rPr>
          <w:b/>
        </w:rPr>
        <w:t>avec un revêtement résistant à la corrosion.</w:t>
      </w:r>
      <w:r w:rsidR="00834C2F">
        <w:rPr>
          <w:b/>
        </w:rPr>
        <w:t> </w:t>
      </w:r>
      <w:r w:rsidRPr="001304A9">
        <w:t>».</w:t>
      </w:r>
    </w:p>
    <w:p w:rsidR="007E35F7" w:rsidRPr="001304A9" w:rsidRDefault="007E35F7" w:rsidP="00834C2F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</w:rPr>
        <w:t>Ajouter de nouveaux paragraphes 17.7.1.1 et 17.7.1.2</w:t>
      </w:r>
      <w:r w:rsidRPr="001304A9">
        <w:t>, libellés comme suit</w:t>
      </w:r>
      <w:r w:rsidR="00A86CEB">
        <w:t> :</w:t>
      </w:r>
    </w:p>
    <w:p w:rsidR="007E35F7" w:rsidRPr="001304A9" w:rsidRDefault="007E35F7" w:rsidP="005376A9">
      <w:pPr>
        <w:pStyle w:val="SingleTxtG"/>
        <w:ind w:left="2268" w:hanging="1134"/>
        <w:rPr>
          <w:b/>
        </w:rPr>
      </w:pPr>
      <w:r w:rsidRPr="001304A9">
        <w:t>«</w:t>
      </w:r>
      <w:r w:rsidR="005376A9" w:rsidRPr="001304A9">
        <w:t> </w:t>
      </w:r>
      <w:r w:rsidRPr="001304A9">
        <w:rPr>
          <w:b/>
        </w:rPr>
        <w:t>17.7.1.1</w:t>
      </w:r>
      <w:r w:rsidRPr="001304A9">
        <w:rPr>
          <w:b/>
        </w:rPr>
        <w:tab/>
        <w:t>S</w:t>
      </w:r>
      <w:r w:rsidR="00246DCB" w:rsidRPr="001304A9">
        <w:rPr>
          <w:b/>
        </w:rPr>
        <w:t>’</w:t>
      </w:r>
      <w:r w:rsidRPr="001304A9">
        <w:rPr>
          <w:b/>
        </w:rPr>
        <w:t>il s</w:t>
      </w:r>
      <w:r w:rsidR="00246DCB" w:rsidRPr="001304A9">
        <w:rPr>
          <w:b/>
        </w:rPr>
        <w:t>’</w:t>
      </w:r>
      <w:r w:rsidRPr="001304A9">
        <w:rPr>
          <w:b/>
        </w:rPr>
        <w:t>agit d</w:t>
      </w:r>
      <w:r w:rsidR="00246DCB" w:rsidRPr="001304A9">
        <w:rPr>
          <w:b/>
        </w:rPr>
        <w:t>’</w:t>
      </w:r>
      <w:r w:rsidRPr="001304A9">
        <w:rPr>
          <w:b/>
        </w:rPr>
        <w:t>un tuyau en cuivre sans soudure, il doit être protégé par une gaine en caoutchouc ou en plastique.</w:t>
      </w:r>
    </w:p>
    <w:p w:rsidR="007E35F7" w:rsidRPr="001304A9" w:rsidRDefault="007E35F7" w:rsidP="005376A9">
      <w:pPr>
        <w:pStyle w:val="SingleTxtG"/>
        <w:ind w:left="2268" w:hanging="1134"/>
      </w:pPr>
      <w:r w:rsidRPr="001304A9">
        <w:rPr>
          <w:b/>
        </w:rPr>
        <w:t>17.7.1.2</w:t>
      </w:r>
      <w:r w:rsidRPr="001304A9">
        <w:rPr>
          <w:b/>
        </w:rPr>
        <w:tab/>
        <w:t>Le diamètre extérieur des tuyaux à gaz en cuivre ne doit pas être supérieur à 12 mm et l</w:t>
      </w:r>
      <w:r w:rsidR="00246DCB" w:rsidRPr="001304A9">
        <w:rPr>
          <w:b/>
        </w:rPr>
        <w:t>’</w:t>
      </w:r>
      <w:r w:rsidRPr="001304A9">
        <w:rPr>
          <w:b/>
        </w:rPr>
        <w:t>épaisseur de leur paroi doit être d</w:t>
      </w:r>
      <w:r w:rsidR="00246DCB" w:rsidRPr="001304A9">
        <w:rPr>
          <w:b/>
        </w:rPr>
        <w:t>’</w:t>
      </w:r>
      <w:r w:rsidRPr="001304A9">
        <w:rPr>
          <w:b/>
        </w:rPr>
        <w:t>au moins 0,</w:t>
      </w:r>
      <w:r w:rsidR="00440027" w:rsidRPr="001304A9">
        <w:rPr>
          <w:b/>
        </w:rPr>
        <w:t>8 mm</w:t>
      </w:r>
      <w:r w:rsidR="00A86CEB">
        <w:rPr>
          <w:b/>
        </w:rPr>
        <w:t> ;</w:t>
      </w:r>
      <w:r w:rsidR="00440027" w:rsidRPr="001304A9">
        <w:rPr>
          <w:b/>
        </w:rPr>
        <w:t xml:space="preserve"> le diamètre extérieur des </w:t>
      </w:r>
      <w:r w:rsidRPr="001304A9">
        <w:rPr>
          <w:b/>
        </w:rPr>
        <w:t xml:space="preserve">tuyaux à gaz en acier, inoxydable ou non, </w:t>
      </w:r>
      <w:r w:rsidR="00440027" w:rsidRPr="001304A9">
        <w:rPr>
          <w:b/>
        </w:rPr>
        <w:t>ne doit pas être supérieur à 25 </w:t>
      </w:r>
      <w:r w:rsidRPr="001304A9">
        <w:rPr>
          <w:b/>
        </w:rPr>
        <w:t>mm et, pour les services gaziers, leur paroi doit avoir une épaisseur appropriée.</w:t>
      </w:r>
      <w:r w:rsidR="00834C2F">
        <w:rPr>
          <w:b/>
        </w:rPr>
        <w:t> </w:t>
      </w:r>
      <w:r w:rsidRPr="001304A9">
        <w:t>».</w:t>
      </w:r>
    </w:p>
    <w:p w:rsidR="007E35F7" w:rsidRPr="001304A9" w:rsidRDefault="007E35F7" w:rsidP="00834C2F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</w:rPr>
        <w:t>Paragraphe 17.7.2</w:t>
      </w:r>
      <w:r w:rsidRPr="001304A9">
        <w:t>, modifier comme suit</w:t>
      </w:r>
      <w:r w:rsidR="00A86CEB">
        <w:t> :</w:t>
      </w:r>
    </w:p>
    <w:p w:rsidR="007E35F7" w:rsidRPr="001304A9" w:rsidRDefault="007E35F7" w:rsidP="00AE37FE">
      <w:pPr>
        <w:pStyle w:val="SingleTxtG"/>
        <w:ind w:left="2268" w:hanging="1134"/>
        <w:rPr>
          <w:rFonts w:eastAsia="MS Mincho"/>
          <w:spacing w:val="-2"/>
        </w:rPr>
      </w:pPr>
      <w:r w:rsidRPr="001304A9">
        <w:t>«</w:t>
      </w:r>
      <w:r w:rsidR="00834C2F">
        <w:t> </w:t>
      </w:r>
      <w:r w:rsidRPr="001304A9">
        <w:t>17.7.2</w:t>
      </w:r>
      <w:r w:rsidRPr="001304A9">
        <w:tab/>
      </w:r>
      <w:r w:rsidRPr="001304A9">
        <w:rPr>
          <w:b/>
        </w:rPr>
        <w:t>Les tuyaux à gaz sans soudure faits de matériaux autres que ceux qui sont énumérés au paragraphe 17.7.1 doivent satisfaire aux épreuves applicables conformément aux dispositions de l</w:t>
      </w:r>
      <w:r w:rsidR="00246DCB" w:rsidRPr="001304A9">
        <w:rPr>
          <w:b/>
        </w:rPr>
        <w:t>’</w:t>
      </w:r>
      <w:r w:rsidRPr="001304A9">
        <w:rPr>
          <w:b/>
        </w:rPr>
        <w:t>annexe 15.</w:t>
      </w:r>
      <w:r w:rsidR="00834C2F">
        <w:t> </w:t>
      </w:r>
      <w:r w:rsidRPr="001304A9">
        <w:t>».</w:t>
      </w:r>
    </w:p>
    <w:p w:rsidR="007E35F7" w:rsidRPr="001304A9" w:rsidRDefault="007E35F7" w:rsidP="00834C2F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</w:rPr>
        <w:t>Paragraphe 17.7.3</w:t>
      </w:r>
      <w:r w:rsidRPr="001304A9">
        <w:t>, modifier comme suit</w:t>
      </w:r>
      <w:r w:rsidR="00A86CEB">
        <w:t> :</w:t>
      </w:r>
    </w:p>
    <w:p w:rsidR="007E35F7" w:rsidRPr="001304A9" w:rsidRDefault="007E35F7" w:rsidP="00AE37FE">
      <w:pPr>
        <w:pStyle w:val="SingleTxtG"/>
        <w:ind w:left="2268" w:hanging="1134"/>
        <w:rPr>
          <w:rFonts w:eastAsia="MS Mincho"/>
          <w:spacing w:val="-2"/>
        </w:rPr>
      </w:pPr>
      <w:r w:rsidRPr="001304A9">
        <w:t>«</w:t>
      </w:r>
      <w:r w:rsidR="00834C2F">
        <w:t> </w:t>
      </w:r>
      <w:r w:rsidRPr="001304A9">
        <w:t>17.7.3</w:t>
      </w:r>
      <w:r w:rsidRPr="001304A9">
        <w:tab/>
      </w:r>
      <w:r w:rsidRPr="001304A9">
        <w:rPr>
          <w:b/>
        </w:rPr>
        <w:t>Les tuyaux à gaz autres que sans soudure doivent satisfaire aux épreuves applicables conformément aux dispositions de l</w:t>
      </w:r>
      <w:r w:rsidR="00246DCB" w:rsidRPr="001304A9">
        <w:rPr>
          <w:b/>
        </w:rPr>
        <w:t>’</w:t>
      </w:r>
      <w:r w:rsidRPr="001304A9">
        <w:rPr>
          <w:b/>
        </w:rPr>
        <w:t>annexe 15.</w:t>
      </w:r>
      <w:r w:rsidR="00315A14" w:rsidRPr="001304A9">
        <w:t> </w:t>
      </w:r>
      <w:r w:rsidRPr="001304A9">
        <w:t>».</w:t>
      </w:r>
    </w:p>
    <w:p w:rsidR="007E35F7" w:rsidRPr="001304A9" w:rsidRDefault="007E35F7" w:rsidP="00834C2F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</w:rPr>
        <w:t>Paragraphe 17.7.4</w:t>
      </w:r>
      <w:r w:rsidRPr="001304A9">
        <w:t>, modifier comme suit</w:t>
      </w:r>
      <w:r w:rsidR="00A86CEB">
        <w:t> :</w:t>
      </w:r>
    </w:p>
    <w:p w:rsidR="007E35F7" w:rsidRPr="001304A9" w:rsidRDefault="007E35F7" w:rsidP="00AE37FE">
      <w:pPr>
        <w:pStyle w:val="SingleTxtG"/>
        <w:ind w:left="2268" w:hanging="1134"/>
        <w:rPr>
          <w:rFonts w:eastAsia="MS Mincho"/>
          <w:bCs/>
          <w:spacing w:val="-2"/>
        </w:rPr>
      </w:pPr>
      <w:r w:rsidRPr="001304A9">
        <w:t>«</w:t>
      </w:r>
      <w:r w:rsidR="00440027" w:rsidRPr="001304A9">
        <w:t> </w:t>
      </w:r>
      <w:r w:rsidRPr="001304A9">
        <w:t>17.7.4</w:t>
      </w:r>
      <w:r w:rsidRPr="001304A9">
        <w:tab/>
      </w:r>
      <w:r w:rsidRPr="001304A9">
        <w:rPr>
          <w:b/>
          <w:bCs/>
        </w:rPr>
        <w:t>Les tuyaux à gaz en matériau non métallique doivent satisfaire</w:t>
      </w:r>
      <w:r w:rsidRPr="001304A9">
        <w:t xml:space="preserve"> aux prescriptions du paragraphe 6.7 du présent Règlement.</w:t>
      </w:r>
      <w:r w:rsidR="00315A14" w:rsidRPr="001304A9">
        <w:t> </w:t>
      </w:r>
      <w:r w:rsidRPr="001304A9">
        <w:t>».</w:t>
      </w:r>
    </w:p>
    <w:p w:rsidR="00AE37FE" w:rsidRPr="001304A9" w:rsidRDefault="007E35F7" w:rsidP="00834C2F">
      <w:pPr>
        <w:pStyle w:val="SingleTxtG"/>
        <w:keepNext/>
        <w:rPr>
          <w:i/>
        </w:rPr>
      </w:pPr>
      <w:r w:rsidRPr="001304A9">
        <w:rPr>
          <w:i/>
        </w:rPr>
        <w:t>Annexe I</w:t>
      </w:r>
      <w:r w:rsidR="00AE37FE" w:rsidRPr="00834C2F">
        <w:t>,</w:t>
      </w:r>
    </w:p>
    <w:p w:rsidR="007E35F7" w:rsidRPr="001304A9" w:rsidRDefault="007E35F7" w:rsidP="00834C2F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</w:rPr>
        <w:t>Ajouter les nouveaux points 1.2.4.5.19 à 1.2.4.5.19.3</w:t>
      </w:r>
      <w:r w:rsidRPr="001304A9">
        <w:t xml:space="preserve"> ainsi conçus</w:t>
      </w:r>
      <w:r w:rsidR="00A86CEB">
        <w:t> :</w:t>
      </w:r>
      <w:r w:rsidRPr="001304A9">
        <w:t xml:space="preserve"> </w:t>
      </w:r>
    </w:p>
    <w:p w:rsidR="007E35F7" w:rsidRPr="001304A9" w:rsidRDefault="007E35F7" w:rsidP="00AE37FE">
      <w:pPr>
        <w:pStyle w:val="SingleTxtG"/>
      </w:pPr>
      <w:r w:rsidRPr="001304A9">
        <w:t>«</w:t>
      </w:r>
      <w:r w:rsidR="00AE37FE" w:rsidRPr="001304A9">
        <w:t> </w:t>
      </w:r>
      <w:r w:rsidRPr="001304A9">
        <w:rPr>
          <w:b/>
        </w:rPr>
        <w:t>1.2.4.5.19</w:t>
      </w:r>
      <w:r w:rsidRPr="001304A9">
        <w:rPr>
          <w:b/>
        </w:rPr>
        <w:tab/>
        <w:t>Tuyaux à gaz autres que sans soudure et leurs raccords</w:t>
      </w:r>
      <w:r w:rsidR="00A86CEB">
        <w:rPr>
          <w:b/>
        </w:rPr>
        <w:t> ;</w:t>
      </w:r>
    </w:p>
    <w:p w:rsidR="007E35F7" w:rsidRPr="001304A9" w:rsidRDefault="007E35F7" w:rsidP="002641C3">
      <w:pPr>
        <w:pStyle w:val="SingleTxtG"/>
        <w:tabs>
          <w:tab w:val="left" w:pos="2268"/>
          <w:tab w:val="right" w:leader="dot" w:pos="8505"/>
        </w:tabs>
        <w:rPr>
          <w:b/>
        </w:rPr>
      </w:pPr>
      <w:r w:rsidRPr="001304A9">
        <w:rPr>
          <w:b/>
        </w:rPr>
        <w:t>1.2.4.5.19.1</w:t>
      </w:r>
      <w:r w:rsidRPr="001304A9">
        <w:rPr>
          <w:b/>
        </w:rPr>
        <w:tab/>
        <w:t>Marque(s)</w:t>
      </w:r>
      <w:r w:rsidR="00A86CEB">
        <w:rPr>
          <w:b/>
        </w:rPr>
        <w:t> :</w:t>
      </w:r>
      <w:r w:rsidRPr="001304A9">
        <w:rPr>
          <w:b/>
        </w:rPr>
        <w:tab/>
      </w:r>
    </w:p>
    <w:p w:rsidR="007E35F7" w:rsidRPr="001304A9" w:rsidRDefault="007E35F7" w:rsidP="002641C3">
      <w:pPr>
        <w:pStyle w:val="SingleTxtG"/>
        <w:tabs>
          <w:tab w:val="left" w:pos="2268"/>
          <w:tab w:val="right" w:leader="dot" w:pos="8505"/>
        </w:tabs>
        <w:rPr>
          <w:b/>
        </w:rPr>
      </w:pPr>
      <w:r w:rsidRPr="001304A9">
        <w:rPr>
          <w:b/>
        </w:rPr>
        <w:t>1.2.4.5.19.2</w:t>
      </w:r>
      <w:r w:rsidRPr="001304A9">
        <w:rPr>
          <w:b/>
        </w:rPr>
        <w:tab/>
        <w:t>Type(s)</w:t>
      </w:r>
      <w:r w:rsidR="00A86CEB">
        <w:rPr>
          <w:b/>
        </w:rPr>
        <w:t> :</w:t>
      </w:r>
      <w:r w:rsidRPr="001304A9">
        <w:rPr>
          <w:b/>
        </w:rPr>
        <w:tab/>
      </w:r>
    </w:p>
    <w:p w:rsidR="007E35F7" w:rsidRPr="001304A9" w:rsidRDefault="007E35F7" w:rsidP="002641C3">
      <w:pPr>
        <w:pStyle w:val="SingleTxtG"/>
        <w:tabs>
          <w:tab w:val="left" w:pos="2268"/>
          <w:tab w:val="right" w:leader="dot" w:pos="8505"/>
        </w:tabs>
        <w:rPr>
          <w:b/>
        </w:rPr>
      </w:pPr>
      <w:r w:rsidRPr="001304A9">
        <w:rPr>
          <w:b/>
        </w:rPr>
        <w:t>1.2.4.5.19.3</w:t>
      </w:r>
      <w:r w:rsidRPr="001304A9">
        <w:rPr>
          <w:b/>
        </w:rPr>
        <w:tab/>
        <w:t>Description et schémas</w:t>
      </w:r>
      <w:r w:rsidR="00A86CEB">
        <w:rPr>
          <w:b/>
        </w:rPr>
        <w:t> :</w:t>
      </w:r>
      <w:r w:rsidRPr="001304A9">
        <w:rPr>
          <w:b/>
        </w:rPr>
        <w:tab/>
      </w:r>
      <w:r w:rsidR="002641C3" w:rsidRPr="001304A9">
        <w:t> </w:t>
      </w:r>
      <w:r w:rsidRPr="001304A9">
        <w:t>»</w:t>
      </w:r>
      <w:r w:rsidR="002641C3" w:rsidRPr="001304A9">
        <w:t>.</w:t>
      </w:r>
    </w:p>
    <w:p w:rsidR="007E35F7" w:rsidRPr="001304A9" w:rsidRDefault="007E35F7" w:rsidP="00C9044D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</w:rPr>
        <w:t>Insérer les nouveaux points 1.2.4.5.20 à 1.2.4.5.20.3</w:t>
      </w:r>
      <w:r w:rsidRPr="001304A9">
        <w:t xml:space="preserve"> ainsi conçus</w:t>
      </w:r>
      <w:r w:rsidR="00A86CEB">
        <w:t> :</w:t>
      </w:r>
      <w:r w:rsidRPr="001304A9">
        <w:t xml:space="preserve"> </w:t>
      </w:r>
    </w:p>
    <w:p w:rsidR="007E35F7" w:rsidRPr="001304A9" w:rsidRDefault="007E35F7" w:rsidP="009D3677">
      <w:pPr>
        <w:pStyle w:val="SingleTxtG"/>
        <w:tabs>
          <w:tab w:val="left" w:pos="2268"/>
          <w:tab w:val="right" w:leader="dot" w:pos="8505"/>
        </w:tabs>
        <w:ind w:left="2268" w:hanging="1134"/>
        <w:rPr>
          <w:b/>
        </w:rPr>
      </w:pPr>
      <w:r w:rsidRPr="001304A9">
        <w:t>«</w:t>
      </w:r>
      <w:r w:rsidR="00C9044D">
        <w:t> </w:t>
      </w:r>
      <w:r w:rsidRPr="001304A9">
        <w:rPr>
          <w:b/>
        </w:rPr>
        <w:t>1.2.4.5.20</w:t>
      </w:r>
      <w:r w:rsidRPr="001304A9">
        <w:rPr>
          <w:b/>
        </w:rPr>
        <w:tab/>
        <w:t>Les tuyaux à gaz sans soudure faits de matériaux autres que le cuivre, l</w:t>
      </w:r>
      <w:r w:rsidR="00246DCB" w:rsidRPr="001304A9">
        <w:rPr>
          <w:b/>
        </w:rPr>
        <w:t>’</w:t>
      </w:r>
      <w:r w:rsidRPr="001304A9">
        <w:rPr>
          <w:b/>
        </w:rPr>
        <w:t>acier inoxydable et l</w:t>
      </w:r>
      <w:r w:rsidR="00246DCB" w:rsidRPr="001304A9">
        <w:rPr>
          <w:b/>
        </w:rPr>
        <w:t>’</w:t>
      </w:r>
      <w:r w:rsidRPr="001304A9">
        <w:rPr>
          <w:b/>
        </w:rPr>
        <w:t xml:space="preserve">acier avec un revêtement résistant à la corrosion, ainsi que </w:t>
      </w:r>
      <w:r w:rsidR="009D3677" w:rsidRPr="001304A9">
        <w:rPr>
          <w:b/>
        </w:rPr>
        <w:t>leurs raccords.</w:t>
      </w:r>
    </w:p>
    <w:p w:rsidR="007E35F7" w:rsidRPr="001304A9" w:rsidRDefault="007E35F7" w:rsidP="009D3677">
      <w:pPr>
        <w:pStyle w:val="SingleTxtG"/>
        <w:tabs>
          <w:tab w:val="left" w:pos="2268"/>
          <w:tab w:val="right" w:leader="dot" w:pos="8505"/>
        </w:tabs>
        <w:rPr>
          <w:b/>
        </w:rPr>
      </w:pPr>
      <w:r w:rsidRPr="001304A9">
        <w:rPr>
          <w:b/>
        </w:rPr>
        <w:t>1.2.4.5.20.1</w:t>
      </w:r>
      <w:r w:rsidRPr="001304A9">
        <w:rPr>
          <w:b/>
        </w:rPr>
        <w:tab/>
        <w:t>Marque(s)</w:t>
      </w:r>
      <w:r w:rsidR="00A86CEB">
        <w:rPr>
          <w:b/>
        </w:rPr>
        <w:t> :</w:t>
      </w:r>
      <w:r w:rsidRPr="001304A9">
        <w:rPr>
          <w:b/>
        </w:rPr>
        <w:tab/>
      </w:r>
    </w:p>
    <w:p w:rsidR="007E35F7" w:rsidRPr="001304A9" w:rsidRDefault="007E35F7" w:rsidP="009D3677">
      <w:pPr>
        <w:pStyle w:val="SingleTxtG"/>
        <w:tabs>
          <w:tab w:val="left" w:pos="2268"/>
          <w:tab w:val="right" w:leader="dot" w:pos="8505"/>
        </w:tabs>
        <w:rPr>
          <w:b/>
        </w:rPr>
      </w:pPr>
      <w:r w:rsidRPr="001304A9">
        <w:rPr>
          <w:b/>
        </w:rPr>
        <w:t>1.2.4.5.20.2</w:t>
      </w:r>
      <w:r w:rsidRPr="001304A9">
        <w:rPr>
          <w:b/>
        </w:rPr>
        <w:tab/>
        <w:t>Type(s)</w:t>
      </w:r>
      <w:r w:rsidR="00A86CEB">
        <w:rPr>
          <w:b/>
        </w:rPr>
        <w:t> :</w:t>
      </w:r>
      <w:r w:rsidRPr="001304A9">
        <w:rPr>
          <w:b/>
        </w:rPr>
        <w:tab/>
      </w:r>
    </w:p>
    <w:p w:rsidR="007E35F7" w:rsidRPr="001304A9" w:rsidRDefault="007E35F7" w:rsidP="009D3677">
      <w:pPr>
        <w:pStyle w:val="SingleTxtG"/>
        <w:tabs>
          <w:tab w:val="left" w:pos="2268"/>
          <w:tab w:val="right" w:leader="dot" w:pos="8505"/>
        </w:tabs>
        <w:rPr>
          <w:rFonts w:eastAsia="MS Mincho"/>
          <w:spacing w:val="-2"/>
        </w:rPr>
      </w:pPr>
      <w:r w:rsidRPr="001304A9">
        <w:rPr>
          <w:b/>
        </w:rPr>
        <w:t>1.2.4.5.20.3</w:t>
      </w:r>
      <w:r w:rsidRPr="001304A9">
        <w:rPr>
          <w:b/>
        </w:rPr>
        <w:tab/>
        <w:t>Description et schémas</w:t>
      </w:r>
      <w:r w:rsidR="00A86CEB">
        <w:rPr>
          <w:b/>
        </w:rPr>
        <w:t> :</w:t>
      </w:r>
      <w:r w:rsidRPr="001304A9">
        <w:rPr>
          <w:b/>
        </w:rPr>
        <w:tab/>
      </w:r>
      <w:r w:rsidR="009D3677" w:rsidRPr="001304A9">
        <w:t> </w:t>
      </w:r>
      <w:r w:rsidRPr="001304A9">
        <w:t>»</w:t>
      </w:r>
      <w:r w:rsidR="002641C3" w:rsidRPr="001304A9">
        <w:t>.</w:t>
      </w:r>
    </w:p>
    <w:p w:rsidR="007E35F7" w:rsidRPr="001304A9" w:rsidRDefault="007E35F7" w:rsidP="009D3677">
      <w:pPr>
        <w:pStyle w:val="SingleTxtG"/>
        <w:rPr>
          <w:rFonts w:eastAsia="MS Mincho"/>
          <w:bCs/>
          <w:spacing w:val="-2"/>
        </w:rPr>
      </w:pPr>
      <w:r w:rsidRPr="001304A9">
        <w:rPr>
          <w:i/>
          <w:iCs/>
        </w:rPr>
        <w:t>Les paragraphes 1.2.4.5.19 à 1.2.4.5.19.5</w:t>
      </w:r>
      <w:r w:rsidRPr="001304A9">
        <w:t xml:space="preserve"> deviennent les paragraphes 1.2.4.5.21 à 1.2.4.5.21.5 </w:t>
      </w:r>
    </w:p>
    <w:p w:rsidR="007E35F7" w:rsidRPr="001304A9" w:rsidRDefault="007E35F7" w:rsidP="00C9044D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</w:rPr>
        <w:t>Annexe 2B, point 1</w:t>
      </w:r>
      <w:r w:rsidRPr="001304A9">
        <w:t>,</w:t>
      </w:r>
      <w:r w:rsidRPr="001304A9">
        <w:rPr>
          <w:i/>
        </w:rPr>
        <w:t xml:space="preserve"> </w:t>
      </w:r>
      <w:r w:rsidRPr="001304A9">
        <w:t>modifier comme suit (en conservant l</w:t>
      </w:r>
      <w:r w:rsidR="00246DCB" w:rsidRPr="001304A9">
        <w:t>’</w:t>
      </w:r>
      <w:r w:rsidRPr="001304A9">
        <w:t>appel de note</w:t>
      </w:r>
      <w:r w:rsidRPr="001304A9">
        <w:rPr>
          <w:sz w:val="18"/>
          <w:szCs w:val="18"/>
          <w:vertAlign w:val="superscript"/>
        </w:rPr>
        <w:t>2</w:t>
      </w:r>
      <w:r w:rsidRPr="001304A9">
        <w:t>)</w:t>
      </w:r>
      <w:r w:rsidR="00A86CEB">
        <w:t> :</w:t>
      </w:r>
    </w:p>
    <w:p w:rsidR="007E35F7" w:rsidRPr="001304A9" w:rsidRDefault="007E35F7" w:rsidP="004D3237">
      <w:pPr>
        <w:pStyle w:val="SingleTxtG"/>
        <w:rPr>
          <w:rFonts w:eastAsia="MS Mincho"/>
          <w:bCs/>
          <w:spacing w:val="-2"/>
        </w:rPr>
      </w:pPr>
      <w:r w:rsidRPr="001304A9">
        <w:t>«</w:t>
      </w:r>
      <w:r w:rsidR="004D3237" w:rsidRPr="001304A9">
        <w:t> </w:t>
      </w:r>
      <w:r w:rsidRPr="001304A9">
        <w:t>1.</w:t>
      </w:r>
      <w:r w:rsidRPr="001304A9">
        <w:tab/>
        <w:t>Équipement GPL considéré</w:t>
      </w:r>
      <w:r w:rsidRPr="001304A9">
        <w:rPr>
          <w:vertAlign w:val="superscript"/>
        </w:rPr>
        <w:t>2</w:t>
      </w:r>
      <w:r w:rsidR="00A86CEB">
        <w:t> :</w:t>
      </w:r>
      <w:r w:rsidRPr="001304A9">
        <w:t xml:space="preserve"> </w:t>
      </w:r>
    </w:p>
    <w:p w:rsidR="007E35F7" w:rsidRPr="001304A9" w:rsidRDefault="004D3237" w:rsidP="004D3237">
      <w:pPr>
        <w:pStyle w:val="SingleTxtG"/>
        <w:ind w:left="1701"/>
        <w:rPr>
          <w:rFonts w:eastAsia="MS Mincho"/>
          <w:bCs/>
          <w:spacing w:val="-2"/>
        </w:rPr>
      </w:pPr>
      <w:r w:rsidRPr="001304A9">
        <w:rPr>
          <w:rFonts w:eastAsia="MS Mincho"/>
          <w:bCs/>
          <w:spacing w:val="-2"/>
        </w:rPr>
        <w:t>…</w:t>
      </w:r>
    </w:p>
    <w:p w:rsidR="007E35F7" w:rsidRPr="001304A9" w:rsidRDefault="007E35F7" w:rsidP="004D3237">
      <w:pPr>
        <w:pStyle w:val="SingleTxtG"/>
        <w:ind w:left="1701"/>
        <w:rPr>
          <w:rFonts w:eastAsia="MS Mincho"/>
          <w:bCs/>
          <w:spacing w:val="-2"/>
        </w:rPr>
      </w:pPr>
      <w:r w:rsidRPr="001304A9">
        <w:t>Capteur de pression/température</w:t>
      </w:r>
    </w:p>
    <w:p w:rsidR="007E35F7" w:rsidRPr="001304A9" w:rsidRDefault="007E35F7" w:rsidP="004D3237">
      <w:pPr>
        <w:pStyle w:val="SingleTxtG"/>
        <w:ind w:left="1701"/>
        <w:rPr>
          <w:rFonts w:eastAsia="MS Mincho"/>
          <w:bCs/>
          <w:spacing w:val="-2"/>
        </w:rPr>
      </w:pPr>
      <w:r w:rsidRPr="001304A9">
        <w:t>Filtre à GPL</w:t>
      </w:r>
    </w:p>
    <w:p w:rsidR="007E35F7" w:rsidRPr="001304A9" w:rsidRDefault="007E35F7" w:rsidP="004D3237">
      <w:pPr>
        <w:pStyle w:val="SingleTxtG"/>
        <w:ind w:left="1701"/>
        <w:rPr>
          <w:rFonts w:eastAsia="MS Mincho"/>
          <w:b/>
          <w:spacing w:val="-2"/>
        </w:rPr>
      </w:pPr>
      <w:r w:rsidRPr="001304A9">
        <w:rPr>
          <w:b/>
        </w:rPr>
        <w:t>Tuyaux à gaz autres que sans soudure et leurs raccords</w:t>
      </w:r>
    </w:p>
    <w:p w:rsidR="007E35F7" w:rsidRPr="001304A9" w:rsidRDefault="007E35F7" w:rsidP="004D3237">
      <w:pPr>
        <w:pStyle w:val="SingleTxtG"/>
        <w:ind w:left="1701"/>
        <w:rPr>
          <w:rFonts w:eastAsia="MS Mincho"/>
          <w:b/>
          <w:spacing w:val="-2"/>
        </w:rPr>
      </w:pPr>
      <w:r w:rsidRPr="001304A9">
        <w:rPr>
          <w:b/>
        </w:rPr>
        <w:t>Tuyaux à gaz faits de matériaux autres que le cuivre, l</w:t>
      </w:r>
      <w:r w:rsidR="00246DCB" w:rsidRPr="001304A9">
        <w:rPr>
          <w:b/>
        </w:rPr>
        <w:t>’</w:t>
      </w:r>
      <w:r w:rsidRPr="001304A9">
        <w:rPr>
          <w:b/>
        </w:rPr>
        <w:t>acier inoxydable et l</w:t>
      </w:r>
      <w:r w:rsidR="00246DCB" w:rsidRPr="001304A9">
        <w:rPr>
          <w:b/>
        </w:rPr>
        <w:t>’</w:t>
      </w:r>
      <w:r w:rsidRPr="001304A9">
        <w:rPr>
          <w:b/>
        </w:rPr>
        <w:t xml:space="preserve">acier avec un revêtement résistant à la corrosion, ainsi que </w:t>
      </w:r>
      <w:r w:rsidR="00C9044D">
        <w:rPr>
          <w:b/>
        </w:rPr>
        <w:t>leurs raccords</w:t>
      </w:r>
    </w:p>
    <w:p w:rsidR="00246DCB" w:rsidRPr="001304A9" w:rsidRDefault="007E35F7" w:rsidP="004D3237">
      <w:pPr>
        <w:pStyle w:val="SingleTxtG"/>
        <w:ind w:left="1701"/>
        <w:rPr>
          <w:rFonts w:eastAsia="MS Mincho"/>
          <w:bCs/>
          <w:spacing w:val="-2"/>
        </w:rPr>
      </w:pPr>
      <w:r w:rsidRPr="001304A9">
        <w:rPr>
          <w:b/>
        </w:rPr>
        <w:t xml:space="preserve">Bloc </w:t>
      </w:r>
      <w:proofErr w:type="spellStart"/>
      <w:r w:rsidRPr="001304A9">
        <w:rPr>
          <w:b/>
        </w:rPr>
        <w:t>multiorganes</w:t>
      </w:r>
      <w:proofErr w:type="spellEnd"/>
      <w:r w:rsidR="004D3237" w:rsidRPr="001304A9">
        <w:t> </w:t>
      </w:r>
      <w:r w:rsidRPr="001304A9">
        <w:t>».</w:t>
      </w:r>
    </w:p>
    <w:p w:rsidR="007E35F7" w:rsidRPr="001304A9" w:rsidRDefault="007E35F7" w:rsidP="00205C8C">
      <w:pPr>
        <w:pStyle w:val="SingleTxtG"/>
        <w:keepNext/>
        <w:rPr>
          <w:rFonts w:eastAsia="MS Mincho"/>
          <w:bCs/>
          <w:i/>
          <w:spacing w:val="-2"/>
        </w:rPr>
      </w:pPr>
      <w:r w:rsidRPr="001304A9">
        <w:rPr>
          <w:i/>
        </w:rPr>
        <w:t>Annexe 3</w:t>
      </w:r>
      <w:r w:rsidR="00C9044D" w:rsidRPr="00C9044D">
        <w:t>,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1.6</w:t>
      </w:r>
      <w:r w:rsidRPr="001304A9">
        <w:t xml:space="preserve">, remplacer « annexe 15 » par « 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(13 fois).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2.6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(10 fois).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3.6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(13 fois).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4.6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(13 fois).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4.7</w:t>
      </w:r>
      <w:r w:rsidR="00DE2557">
        <w:t>, remplacer « </w:t>
      </w:r>
      <w:r w:rsidRPr="001304A9">
        <w:t>an</w:t>
      </w:r>
      <w:r w:rsidR="00DE2557">
        <w:t>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».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5.6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(10 fois).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6.6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(4 fois).</w:t>
      </w:r>
    </w:p>
    <w:p w:rsidR="00246DCB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7.6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(11 fois).</w:t>
      </w:r>
    </w:p>
    <w:p w:rsidR="007E35F7" w:rsidRPr="001304A9" w:rsidRDefault="007E35F7" w:rsidP="00205C8C">
      <w:pPr>
        <w:pStyle w:val="SingleTxtG"/>
        <w:keepNext/>
        <w:rPr>
          <w:rFonts w:eastAsia="MS Mincho"/>
          <w:bCs/>
          <w:i/>
          <w:spacing w:val="-2"/>
        </w:rPr>
      </w:pPr>
      <w:r w:rsidRPr="001304A9">
        <w:rPr>
          <w:i/>
        </w:rPr>
        <w:t>Annexe 4</w:t>
      </w:r>
      <w:r w:rsidR="00DE2557" w:rsidRPr="00DE2557">
        <w:t>,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6.1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».</w:t>
      </w:r>
    </w:p>
    <w:p w:rsidR="00246DCB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6.2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(10 fois).</w:t>
      </w:r>
    </w:p>
    <w:p w:rsidR="007E35F7" w:rsidRPr="001304A9" w:rsidRDefault="007E35F7" w:rsidP="00205C8C">
      <w:pPr>
        <w:pStyle w:val="SingleTxtG"/>
        <w:keepNext/>
        <w:rPr>
          <w:rFonts w:eastAsia="MS Mincho"/>
          <w:bCs/>
          <w:i/>
          <w:spacing w:val="-2"/>
        </w:rPr>
      </w:pPr>
      <w:r w:rsidRPr="001304A9">
        <w:rPr>
          <w:i/>
        </w:rPr>
        <w:t>Annexe 5</w:t>
      </w:r>
      <w:r w:rsidR="00DE2557" w:rsidRPr="00DE2557">
        <w:t>,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6.1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(10 fois).</w:t>
      </w:r>
    </w:p>
    <w:p w:rsidR="00246DCB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6.2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(6 fois).</w:t>
      </w:r>
    </w:p>
    <w:p w:rsidR="007E35F7" w:rsidRPr="001304A9" w:rsidRDefault="007E35F7" w:rsidP="00205C8C">
      <w:pPr>
        <w:pStyle w:val="SingleTxtG"/>
        <w:keepNext/>
        <w:rPr>
          <w:rFonts w:eastAsia="MS Mincho"/>
          <w:bCs/>
          <w:i/>
          <w:spacing w:val="-2"/>
        </w:rPr>
      </w:pPr>
      <w:r w:rsidRPr="001304A9">
        <w:rPr>
          <w:i/>
        </w:rPr>
        <w:t>Annexe 6</w:t>
      </w:r>
      <w:r w:rsidR="00DE2557" w:rsidRPr="00DE2557">
        <w:t>,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6.1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(12 fois).</w:t>
      </w:r>
    </w:p>
    <w:p w:rsidR="00246DCB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6.2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(6 fois).</w:t>
      </w:r>
    </w:p>
    <w:p w:rsidR="007E35F7" w:rsidRPr="001304A9" w:rsidRDefault="007E35F7" w:rsidP="00205C8C">
      <w:pPr>
        <w:pStyle w:val="SingleTxtG"/>
        <w:keepNext/>
        <w:rPr>
          <w:rFonts w:eastAsia="MS Mincho"/>
          <w:bCs/>
          <w:i/>
          <w:spacing w:val="-2"/>
        </w:rPr>
      </w:pPr>
      <w:r w:rsidRPr="001304A9">
        <w:rPr>
          <w:i/>
        </w:rPr>
        <w:t>Annexe 7</w:t>
      </w:r>
      <w:r w:rsidR="00DE2557" w:rsidRPr="00DE2557">
        <w:t>,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1.6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(12 fois).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1.7</w:t>
      </w:r>
      <w:r w:rsidRPr="001304A9">
        <w:t xml:space="preserve">, remplacer </w:t>
      </w:r>
      <w:r w:rsidR="00DE2557">
        <w:t>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».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2.6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(12 fois).</w:t>
      </w:r>
    </w:p>
    <w:p w:rsidR="00DE2557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3.6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(12 fois).</w:t>
      </w:r>
    </w:p>
    <w:p w:rsidR="00246DCB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4.6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(12 fois).</w:t>
      </w:r>
    </w:p>
    <w:p w:rsidR="00246DCB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Annexe 8, paragraphe 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(12 fois).</w:t>
      </w:r>
    </w:p>
    <w:p w:rsidR="007E35F7" w:rsidRPr="001304A9" w:rsidRDefault="007E35F7" w:rsidP="00205C8C">
      <w:pPr>
        <w:pStyle w:val="SingleTxtG"/>
        <w:keepNext/>
        <w:rPr>
          <w:rFonts w:eastAsia="MS Mincho"/>
          <w:bCs/>
          <w:i/>
          <w:spacing w:val="-2"/>
        </w:rPr>
      </w:pPr>
      <w:r w:rsidRPr="001304A9">
        <w:rPr>
          <w:i/>
        </w:rPr>
        <w:t>Annexe 11</w:t>
      </w:r>
      <w:r w:rsidR="00DE2557" w:rsidRPr="00DE2557">
        <w:t>,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1.6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(10 fois).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2.6</w:t>
      </w:r>
      <w:r w:rsidR="00DE2557">
        <w:t>, remplacer « annexe 15 </w:t>
      </w:r>
      <w:r w:rsidRPr="001304A9">
        <w:t xml:space="preserve">» par </w:t>
      </w:r>
      <w:r w:rsidR="00DE2557">
        <w:t>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(6 fois).</w:t>
      </w:r>
    </w:p>
    <w:p w:rsidR="00DE2557" w:rsidRDefault="007E35F7" w:rsidP="00382713">
      <w:pPr>
        <w:pStyle w:val="SingleTxtG"/>
      </w:pPr>
      <w:r w:rsidRPr="001304A9">
        <w:rPr>
          <w:i/>
        </w:rPr>
        <w:t>Paragraphe 3.6.1</w:t>
      </w:r>
      <w:r w:rsidR="00DE2557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 xml:space="preserve">» (10 fois). </w:t>
      </w:r>
    </w:p>
    <w:p w:rsidR="00246DCB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3.6.2</w:t>
      </w:r>
      <w:r w:rsidR="00DE2557">
        <w:t>, remplacer « </w:t>
      </w:r>
      <w:r w:rsidRPr="001304A9">
        <w:t>annexe 15</w:t>
      </w:r>
      <w:r w:rsidR="00DE2557">
        <w:t> </w:t>
      </w:r>
      <w:r w:rsidRPr="001304A9">
        <w:t>» par «</w:t>
      </w:r>
      <w:r w:rsidR="00DE2557">
        <w:t>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rPr>
          <w:b/>
          <w:bCs/>
        </w:rPr>
        <w:t> </w:t>
      </w:r>
      <w:r w:rsidRPr="001304A9">
        <w:t>» (6 fois).</w:t>
      </w:r>
    </w:p>
    <w:p w:rsidR="00246DCB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Annexe 12, paragraphe 6</w:t>
      </w:r>
      <w:r w:rsidRPr="001304A9">
        <w:t>, remplacer «</w:t>
      </w:r>
      <w:r w:rsidR="00DE2557">
        <w:t>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DE2557">
        <w:t> </w:t>
      </w:r>
      <w:r w:rsidRPr="001304A9">
        <w:t>» (6 fois).</w:t>
      </w:r>
    </w:p>
    <w:p w:rsidR="007E35F7" w:rsidRPr="001304A9" w:rsidRDefault="007E35F7" w:rsidP="00205C8C">
      <w:pPr>
        <w:pStyle w:val="SingleTxtG"/>
        <w:keepNext/>
        <w:rPr>
          <w:rFonts w:eastAsia="MS Mincho"/>
          <w:bCs/>
          <w:i/>
          <w:spacing w:val="-2"/>
        </w:rPr>
      </w:pPr>
      <w:r w:rsidRPr="001304A9">
        <w:rPr>
          <w:i/>
        </w:rPr>
        <w:t>Annexe 13</w:t>
      </w:r>
      <w:r w:rsidR="00DE2557" w:rsidRPr="00DE2557">
        <w:t>,</w:t>
      </w:r>
    </w:p>
    <w:p w:rsidR="007E35F7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6.1</w:t>
      </w:r>
      <w:r w:rsidR="00205C8C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205C8C">
        <w:t> </w:t>
      </w:r>
      <w:r w:rsidRPr="001304A9">
        <w:t>» (10 fois).</w:t>
      </w:r>
    </w:p>
    <w:p w:rsidR="00246DCB" w:rsidRPr="001304A9" w:rsidRDefault="007E35F7" w:rsidP="00382713">
      <w:pPr>
        <w:pStyle w:val="SingleTxtG"/>
        <w:rPr>
          <w:rFonts w:eastAsia="MS Mincho"/>
          <w:bCs/>
          <w:spacing w:val="-2"/>
        </w:rPr>
      </w:pPr>
      <w:r w:rsidRPr="001304A9">
        <w:rPr>
          <w:i/>
        </w:rPr>
        <w:t>Paragraphe 6.2</w:t>
      </w:r>
      <w:r w:rsidR="00205C8C">
        <w:t>, remplacer « annexe 15 » par « </w:t>
      </w:r>
      <w:r w:rsidRPr="001304A9">
        <w:t xml:space="preserve">annexe </w:t>
      </w:r>
      <w:r w:rsidRPr="001304A9">
        <w:rPr>
          <w:b/>
          <w:bCs/>
        </w:rPr>
        <w:t>16</w:t>
      </w:r>
      <w:r w:rsidR="00205C8C">
        <w:t> </w:t>
      </w:r>
      <w:r w:rsidRPr="001304A9">
        <w:t>» (6 fois).</w:t>
      </w:r>
    </w:p>
    <w:p w:rsidR="007E35F7" w:rsidRPr="001304A9" w:rsidRDefault="007E35F7" w:rsidP="00205C8C">
      <w:pPr>
        <w:pStyle w:val="SingleTxtG"/>
        <w:keepNext/>
        <w:rPr>
          <w:rFonts w:eastAsia="MS Mincho"/>
          <w:bCs/>
          <w:spacing w:val="-2"/>
        </w:rPr>
      </w:pPr>
      <w:r w:rsidRPr="001304A9">
        <w:rPr>
          <w:i/>
        </w:rPr>
        <w:t>Ajouter une nouvelle annexe 15</w:t>
      </w:r>
      <w:r w:rsidRPr="001304A9">
        <w:t>, ainsi conçue</w:t>
      </w:r>
      <w:r w:rsidR="00A86CEB">
        <w:t> :</w:t>
      </w:r>
    </w:p>
    <w:p w:rsidR="007E35F7" w:rsidRPr="001304A9" w:rsidRDefault="007E35F7" w:rsidP="00A70DE7">
      <w:pPr>
        <w:pStyle w:val="HChG"/>
        <w:rPr>
          <w:rFonts w:eastAsia="MS Mincho"/>
          <w:spacing w:val="-2"/>
        </w:rPr>
      </w:pPr>
      <w:r w:rsidRPr="001304A9">
        <w:rPr>
          <w:b w:val="0"/>
          <w:sz w:val="20"/>
        </w:rPr>
        <w:t>«</w:t>
      </w:r>
      <w:r w:rsidR="00A70DE7" w:rsidRPr="001304A9">
        <w:rPr>
          <w:b w:val="0"/>
          <w:sz w:val="20"/>
        </w:rPr>
        <w:t> </w:t>
      </w:r>
      <w:r w:rsidRPr="001304A9">
        <w:t>Annexe 15</w:t>
      </w:r>
    </w:p>
    <w:p w:rsidR="007E35F7" w:rsidRPr="00205C8C" w:rsidRDefault="00A70DE7" w:rsidP="00A70DE7">
      <w:pPr>
        <w:pStyle w:val="HChG"/>
        <w:rPr>
          <w:rFonts w:eastAsia="MS Mincho"/>
          <w:spacing w:val="-2"/>
          <w:szCs w:val="28"/>
        </w:rPr>
      </w:pPr>
      <w:r w:rsidRPr="001304A9">
        <w:tab/>
      </w:r>
      <w:r w:rsidRPr="001304A9">
        <w:tab/>
      </w:r>
      <w:r w:rsidR="007E35F7" w:rsidRPr="00205C8C">
        <w:rPr>
          <w:spacing w:val="-2"/>
        </w:rPr>
        <w:t>Dispositions relatives à l</w:t>
      </w:r>
      <w:r w:rsidR="00246DCB" w:rsidRPr="00205C8C">
        <w:rPr>
          <w:spacing w:val="-2"/>
        </w:rPr>
        <w:t>’</w:t>
      </w:r>
      <w:r w:rsidR="007E35F7" w:rsidRPr="00205C8C">
        <w:rPr>
          <w:spacing w:val="-2"/>
        </w:rPr>
        <w:t>homologation des tuyaux à gaz autres que sans soudure, des tuyaux à gaz faits de matériaux autres que le cuivre, l</w:t>
      </w:r>
      <w:r w:rsidR="00246DCB" w:rsidRPr="00205C8C">
        <w:rPr>
          <w:spacing w:val="-2"/>
        </w:rPr>
        <w:t>’</w:t>
      </w:r>
      <w:r w:rsidR="007E35F7" w:rsidRPr="00205C8C">
        <w:rPr>
          <w:spacing w:val="-2"/>
        </w:rPr>
        <w:t>acier inoxydable et l</w:t>
      </w:r>
      <w:r w:rsidR="00246DCB" w:rsidRPr="00205C8C">
        <w:rPr>
          <w:spacing w:val="-2"/>
        </w:rPr>
        <w:t>’</w:t>
      </w:r>
      <w:r w:rsidR="007E35F7" w:rsidRPr="00205C8C">
        <w:rPr>
          <w:spacing w:val="-2"/>
        </w:rPr>
        <w:t xml:space="preserve">acier avec un revêtement résistant à la corrosion, ainsi que de </w:t>
      </w:r>
      <w:r w:rsidRPr="00205C8C">
        <w:rPr>
          <w:spacing w:val="-2"/>
        </w:rPr>
        <w:t>leurs raccords</w:t>
      </w:r>
    </w:p>
    <w:p w:rsidR="007E35F7" w:rsidRPr="001304A9" w:rsidRDefault="007E35F7" w:rsidP="007679F1">
      <w:pPr>
        <w:pStyle w:val="SingleTxtG"/>
        <w:keepNext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1.</w:t>
      </w:r>
      <w:r w:rsidRPr="001304A9">
        <w:rPr>
          <w:b/>
        </w:rPr>
        <w:tab/>
        <w:t>Définitions</w:t>
      </w:r>
      <w:r w:rsidR="00A86CEB">
        <w:rPr>
          <w:b/>
        </w:rPr>
        <w:t> :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Tuyau à gaz</w:t>
      </w:r>
      <w:r w:rsidR="00A86CEB">
        <w:rPr>
          <w:b/>
        </w:rPr>
        <w:t> :</w:t>
      </w:r>
      <w:r w:rsidRPr="001304A9">
        <w:rPr>
          <w:b/>
        </w:rPr>
        <w:t xml:space="preserve"> tuyau à gaz tel qu</w:t>
      </w:r>
      <w:r w:rsidR="00246DCB" w:rsidRPr="001304A9">
        <w:rPr>
          <w:b/>
        </w:rPr>
        <w:t>’</w:t>
      </w:r>
      <w:r w:rsidRPr="001304A9">
        <w:rPr>
          <w:b/>
        </w:rPr>
        <w:t>il est défini au paragraphe 2.21 du présent Règlement.</w:t>
      </w:r>
    </w:p>
    <w:p w:rsidR="007E35F7" w:rsidRPr="001304A9" w:rsidRDefault="00A70DE7" w:rsidP="007679F1">
      <w:pPr>
        <w:pStyle w:val="SingleTxtG"/>
        <w:keepNext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2</w:t>
      </w:r>
      <w:r w:rsidR="007E35F7" w:rsidRPr="001304A9">
        <w:rPr>
          <w:b/>
        </w:rPr>
        <w:t>.</w:t>
      </w:r>
      <w:r w:rsidR="007E35F7" w:rsidRPr="001304A9">
        <w:rPr>
          <w:b/>
        </w:rPr>
        <w:tab/>
        <w:t>Classement de l</w:t>
      </w:r>
      <w:r w:rsidR="00246DCB" w:rsidRPr="001304A9">
        <w:rPr>
          <w:b/>
        </w:rPr>
        <w:t>’</w:t>
      </w:r>
      <w:r w:rsidR="007E35F7" w:rsidRPr="001304A9">
        <w:rPr>
          <w:b/>
        </w:rPr>
        <w:t>organe (selon la figure 1 du paragraphe 2)</w:t>
      </w:r>
      <w:r w:rsidR="00A86CEB">
        <w:rPr>
          <w:b/>
        </w:rPr>
        <w:t> :</w:t>
      </w:r>
      <w:r w:rsidR="007E35F7" w:rsidRPr="001304A9">
        <w:rPr>
          <w:b/>
        </w:rPr>
        <w:t xml:space="preserve"> 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Les tuyaux à gaz et leurs raccords peuvent être des classes 0, 1, 2 ou 2A.</w:t>
      </w:r>
    </w:p>
    <w:p w:rsidR="007E35F7" w:rsidRPr="001304A9" w:rsidRDefault="007E35F7" w:rsidP="007679F1">
      <w:pPr>
        <w:pStyle w:val="SingleTxtG"/>
        <w:keepNext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3.</w:t>
      </w:r>
      <w:r w:rsidRPr="001304A9">
        <w:rPr>
          <w:b/>
        </w:rPr>
        <w:tab/>
        <w:t>Pression de classement</w:t>
      </w:r>
      <w:r w:rsidR="00A86CEB">
        <w:rPr>
          <w:b/>
        </w:rPr>
        <w:t> :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Éléments de la classe 0</w:t>
      </w:r>
      <w:r w:rsidR="00A86CEB">
        <w:rPr>
          <w:b/>
        </w:rPr>
        <w:t> :</w:t>
      </w:r>
      <w:r w:rsidRPr="001304A9">
        <w:rPr>
          <w:b/>
        </w:rPr>
        <w:tab/>
        <w:t>Pression de travail déclarée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Éléments de la classe 1</w:t>
      </w:r>
      <w:r w:rsidR="00A86CEB">
        <w:rPr>
          <w:b/>
        </w:rPr>
        <w:t> :</w:t>
      </w:r>
      <w:r w:rsidRPr="001304A9">
        <w:rPr>
          <w:b/>
        </w:rPr>
        <w:tab/>
      </w:r>
      <w:r w:rsidR="007679F1">
        <w:rPr>
          <w:b/>
        </w:rPr>
        <w:t>3 </w:t>
      </w:r>
      <w:r w:rsidRPr="001304A9">
        <w:rPr>
          <w:b/>
        </w:rPr>
        <w:t>000 kPa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Éléments de la classe 2</w:t>
      </w:r>
      <w:r w:rsidR="00A86CEB">
        <w:rPr>
          <w:b/>
        </w:rPr>
        <w:t> :</w:t>
      </w:r>
      <w:r w:rsidRPr="001304A9">
        <w:rPr>
          <w:b/>
        </w:rPr>
        <w:tab/>
        <w:t>450 kPa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Éléments de la classe 2A</w:t>
      </w:r>
      <w:r w:rsidR="00A86CEB">
        <w:rPr>
          <w:b/>
        </w:rPr>
        <w:t> :</w:t>
      </w:r>
      <w:r w:rsidRPr="001304A9">
        <w:rPr>
          <w:b/>
        </w:rPr>
        <w:tab/>
        <w:t>120 kPa</w:t>
      </w:r>
    </w:p>
    <w:p w:rsidR="007E35F7" w:rsidRPr="001304A9" w:rsidRDefault="007E35F7" w:rsidP="007679F1">
      <w:pPr>
        <w:pStyle w:val="SingleTxtG"/>
        <w:keepNext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4.</w:t>
      </w:r>
      <w:r w:rsidRPr="001304A9">
        <w:rPr>
          <w:b/>
        </w:rPr>
        <w:tab/>
        <w:t>Températures nominales</w:t>
      </w:r>
      <w:r w:rsidR="00A86CEB">
        <w:rPr>
          <w:b/>
        </w:rPr>
        <w:t> :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-20 °C à 120 °C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Pour les températures inférieures ou supérieures aux valeurs susmentionnées, des conditions d</w:t>
      </w:r>
      <w:r w:rsidR="00246DCB" w:rsidRPr="001304A9">
        <w:rPr>
          <w:b/>
        </w:rPr>
        <w:t>’</w:t>
      </w:r>
      <w:r w:rsidRPr="001304A9">
        <w:rPr>
          <w:b/>
        </w:rPr>
        <w:t>épreuve spéciales sont applicables.</w:t>
      </w:r>
    </w:p>
    <w:p w:rsidR="007E35F7" w:rsidRPr="001304A9" w:rsidRDefault="00A70DE7" w:rsidP="007679F1">
      <w:pPr>
        <w:pStyle w:val="SingleTxtG"/>
        <w:keepNext/>
        <w:ind w:left="2268" w:hanging="1134"/>
        <w:rPr>
          <w:rFonts w:eastAsia="MS Mincho"/>
          <w:b/>
          <w:bCs/>
          <w:spacing w:val="-2"/>
        </w:rPr>
      </w:pPr>
      <w:r w:rsidRPr="001304A9">
        <w:rPr>
          <w:b/>
        </w:rPr>
        <w:t>5</w:t>
      </w:r>
      <w:r w:rsidR="007E35F7" w:rsidRPr="001304A9">
        <w:rPr>
          <w:b/>
        </w:rPr>
        <w:t>.</w:t>
      </w:r>
      <w:r w:rsidR="007E35F7" w:rsidRPr="001304A9">
        <w:rPr>
          <w:b/>
        </w:rPr>
        <w:tab/>
      </w:r>
      <w:r w:rsidR="007E35F7" w:rsidRPr="001304A9">
        <w:rPr>
          <w:b/>
          <w:bCs/>
        </w:rPr>
        <w:t>Règles générales de construction</w:t>
      </w:r>
      <w:r w:rsidR="00A86CEB">
        <w:rPr>
          <w:b/>
          <w:bCs/>
        </w:rPr>
        <w:t> :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Les raccords doivent être compatibles avec les tuyaux à gaz.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Il faut veiller tout particulièrement à éviter la corrosion galvanique.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Des tuyaux à gaz en acier inoxydable ne doivent être utilisés qu</w:t>
      </w:r>
      <w:r w:rsidR="00246DCB" w:rsidRPr="001304A9">
        <w:rPr>
          <w:b/>
        </w:rPr>
        <w:t>’</w:t>
      </w:r>
      <w:r w:rsidRPr="001304A9">
        <w:rPr>
          <w:b/>
        </w:rPr>
        <w:t>en association avec des raccords en acier inoxydable.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Seules les soudures longitudinales (dans la direction du tuyau) sont autorisées dans des tuyaux à gaz autres que sans soudure.</w:t>
      </w:r>
    </w:p>
    <w:p w:rsidR="007E35F7" w:rsidRPr="001304A9" w:rsidRDefault="007E35F7" w:rsidP="007679F1">
      <w:pPr>
        <w:pStyle w:val="SingleTxtG"/>
        <w:keepNext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6.</w:t>
      </w:r>
      <w:r w:rsidRPr="001304A9">
        <w:rPr>
          <w:b/>
        </w:rPr>
        <w:tab/>
        <w:t>Méthodes d</w:t>
      </w:r>
      <w:r w:rsidR="00246DCB" w:rsidRPr="001304A9">
        <w:rPr>
          <w:b/>
        </w:rPr>
        <w:t>’</w:t>
      </w:r>
      <w:r w:rsidRPr="001304A9">
        <w:rPr>
          <w:b/>
        </w:rPr>
        <w:t>épreuve applicables</w:t>
      </w:r>
      <w:r w:rsidR="00A86CEB">
        <w:rPr>
          <w:b/>
        </w:rPr>
        <w:t> :</w:t>
      </w:r>
    </w:p>
    <w:p w:rsidR="007E35F7" w:rsidRPr="001304A9" w:rsidRDefault="007E35F7" w:rsidP="007679F1">
      <w:pPr>
        <w:pStyle w:val="SingleTxtG"/>
        <w:keepNext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6.1</w:t>
      </w:r>
      <w:r w:rsidRPr="001304A9">
        <w:rPr>
          <w:b/>
        </w:rPr>
        <w:tab/>
        <w:t>Pour les éléments des classes 0 et 1</w:t>
      </w:r>
      <w:r w:rsidR="00A86CEB">
        <w:rPr>
          <w:b/>
        </w:rPr>
        <w:t> :</w:t>
      </w:r>
      <w:r w:rsidRPr="001304A9">
        <w:rPr>
          <w:b/>
        </w:rPr>
        <w:t xml:space="preserve"> </w:t>
      </w:r>
    </w:p>
    <w:p w:rsidR="007E35F7" w:rsidRPr="001304A9" w:rsidRDefault="007E35F7" w:rsidP="007679F1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Surpression</w:t>
      </w:r>
      <w:r w:rsidRPr="001304A9">
        <w:rPr>
          <w:b/>
        </w:rPr>
        <w:tab/>
        <w:t>Annexe 16, par. 4.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Étanchéité vers l</w:t>
      </w:r>
      <w:r w:rsidR="00246DCB" w:rsidRPr="001304A9">
        <w:rPr>
          <w:b/>
        </w:rPr>
        <w:t>’</w:t>
      </w:r>
      <w:r w:rsidRPr="001304A9">
        <w:rPr>
          <w:b/>
        </w:rPr>
        <w:t>extérieur</w:t>
      </w:r>
      <w:r w:rsidRPr="001304A9">
        <w:rPr>
          <w:b/>
        </w:rPr>
        <w:tab/>
        <w:t>Annexe 16, par. 5.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Haute température</w:t>
      </w:r>
      <w:r w:rsidR="003E3C4B">
        <w:rPr>
          <w:b/>
        </w:rPr>
        <w:tab/>
      </w:r>
      <w:r w:rsidRPr="001304A9">
        <w:rPr>
          <w:b/>
        </w:rPr>
        <w:t>Annexe 16, par. 6.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Basse température</w:t>
      </w:r>
      <w:r w:rsidRPr="001304A9">
        <w:rPr>
          <w:b/>
        </w:rPr>
        <w:tab/>
        <w:t>Annexe 16, par. 7.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Compatibilité avec le GPL</w:t>
      </w:r>
      <w:r w:rsidR="003E3C4B">
        <w:rPr>
          <w:b/>
        </w:rPr>
        <w:tab/>
      </w:r>
      <w:r w:rsidRPr="001304A9">
        <w:rPr>
          <w:b/>
        </w:rPr>
        <w:t>Annexe 16, par. 11</w:t>
      </w:r>
      <w:r w:rsidR="009D4183" w:rsidRPr="009D4183">
        <w:rPr>
          <w:rStyle w:val="FootnoteReference"/>
          <w:b/>
          <w:sz w:val="20"/>
          <w:vertAlign w:val="baseline"/>
        </w:rPr>
        <w:footnoteReference w:customMarkFollows="1" w:id="3"/>
        <w:t>**</w:t>
      </w:r>
      <w:r w:rsidRPr="001304A9">
        <w:rPr>
          <w:b/>
        </w:rPr>
        <w:t>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Résistance à la corrosion</w:t>
      </w:r>
      <w:r w:rsidRPr="001304A9">
        <w:rPr>
          <w:b/>
        </w:rPr>
        <w:tab/>
        <w:t>Annexe 16, par. 12</w:t>
      </w:r>
      <w:r w:rsidR="002F4E19" w:rsidRPr="002F4E19">
        <w:rPr>
          <w:rStyle w:val="FootnoteReference"/>
          <w:b/>
          <w:sz w:val="20"/>
          <w:vertAlign w:val="baseline"/>
        </w:rPr>
        <w:footnoteReference w:customMarkFollows="1" w:id="4"/>
        <w:t>*</w:t>
      </w:r>
      <w:r w:rsidR="003E3C4B">
        <w:rPr>
          <w:b/>
        </w:rPr>
        <w:t>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Résistance à la chaleur sèche</w:t>
      </w:r>
      <w:r w:rsidR="003E3C4B">
        <w:rPr>
          <w:b/>
        </w:rPr>
        <w:tab/>
      </w:r>
      <w:r w:rsidRPr="001304A9">
        <w:rPr>
          <w:b/>
        </w:rPr>
        <w:t>Annexe 16, par. 13**.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Tenue à l</w:t>
      </w:r>
      <w:r w:rsidR="00246DCB" w:rsidRPr="001304A9">
        <w:rPr>
          <w:b/>
        </w:rPr>
        <w:t>’</w:t>
      </w:r>
      <w:r w:rsidRPr="001304A9">
        <w:rPr>
          <w:b/>
        </w:rPr>
        <w:t>ozone</w:t>
      </w:r>
      <w:r w:rsidRPr="001304A9">
        <w:rPr>
          <w:b/>
        </w:rPr>
        <w:tab/>
        <w:t>Annexe 16, par. 14**.</w:t>
      </w:r>
    </w:p>
    <w:p w:rsidR="007E35F7" w:rsidRPr="001304A9" w:rsidRDefault="007E35F7" w:rsidP="002862FE">
      <w:pPr>
        <w:pStyle w:val="SingleTxtG"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6.2</w:t>
      </w:r>
      <w:r w:rsidRPr="001304A9">
        <w:rPr>
          <w:b/>
        </w:rPr>
        <w:tab/>
        <w:t>Pour les éléments des classes 2 ou 2A</w:t>
      </w:r>
      <w:r w:rsidR="00A86CEB">
        <w:rPr>
          <w:b/>
        </w:rPr>
        <w:t> :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Surpression</w:t>
      </w:r>
      <w:r w:rsidRPr="001304A9">
        <w:rPr>
          <w:b/>
        </w:rPr>
        <w:tab/>
        <w:t>Annexe 16, par. 4.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Étanchéité vers l</w:t>
      </w:r>
      <w:r w:rsidR="00246DCB" w:rsidRPr="001304A9">
        <w:rPr>
          <w:b/>
        </w:rPr>
        <w:t>’</w:t>
      </w:r>
      <w:r w:rsidRPr="001304A9">
        <w:rPr>
          <w:b/>
        </w:rPr>
        <w:t>extérieur</w:t>
      </w:r>
      <w:r w:rsidR="003E3C4B">
        <w:rPr>
          <w:b/>
        </w:rPr>
        <w:tab/>
      </w:r>
      <w:r w:rsidRPr="001304A9">
        <w:rPr>
          <w:b/>
        </w:rPr>
        <w:t>Annexe 16, par. 5.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Haute température</w:t>
      </w:r>
      <w:r w:rsidRPr="001304A9">
        <w:rPr>
          <w:b/>
        </w:rPr>
        <w:tab/>
        <w:t>Annexe 16, par. 6.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Basse température</w:t>
      </w:r>
      <w:r w:rsidR="003E3C4B">
        <w:rPr>
          <w:b/>
        </w:rPr>
        <w:tab/>
      </w:r>
      <w:r w:rsidRPr="001304A9">
        <w:rPr>
          <w:b/>
        </w:rPr>
        <w:t>Annexe 16, par. 7.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Compatibilité avec le GPL</w:t>
      </w:r>
      <w:r w:rsidR="003E3C4B">
        <w:rPr>
          <w:b/>
        </w:rPr>
        <w:tab/>
      </w:r>
      <w:r w:rsidRPr="001304A9">
        <w:rPr>
          <w:b/>
        </w:rPr>
        <w:t>Annexe 16, par. 11**.</w:t>
      </w:r>
    </w:p>
    <w:p w:rsidR="007E35F7" w:rsidRPr="001304A9" w:rsidRDefault="007E35F7" w:rsidP="003E3C4B">
      <w:pPr>
        <w:pStyle w:val="SingleTxtG"/>
        <w:tabs>
          <w:tab w:val="left" w:pos="5103"/>
        </w:tabs>
        <w:ind w:left="2268"/>
        <w:rPr>
          <w:rFonts w:eastAsia="MS Mincho"/>
          <w:b/>
          <w:spacing w:val="-2"/>
        </w:rPr>
      </w:pPr>
      <w:r w:rsidRPr="001304A9">
        <w:rPr>
          <w:b/>
        </w:rPr>
        <w:t>Résistance à la corrosion</w:t>
      </w:r>
      <w:r w:rsidR="003E3C4B">
        <w:rPr>
          <w:b/>
        </w:rPr>
        <w:tab/>
      </w:r>
      <w:r w:rsidRPr="001304A9">
        <w:rPr>
          <w:b/>
        </w:rPr>
        <w:t>Annexe 16, par. 12</w:t>
      </w:r>
      <w:r w:rsidR="009D4183">
        <w:rPr>
          <w:rStyle w:val="FootnoteReference"/>
          <w:b/>
        </w:rPr>
        <w:footnoteReference w:id="5"/>
      </w:r>
      <w:r w:rsidR="003E3C4B">
        <w:rPr>
          <w:b/>
        </w:rPr>
        <w:t>.</w:t>
      </w:r>
    </w:p>
    <w:p w:rsidR="007E35F7" w:rsidRPr="001304A9" w:rsidRDefault="007E35F7" w:rsidP="002862FE">
      <w:pPr>
        <w:pStyle w:val="SingleTxtG"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6.3</w:t>
      </w:r>
      <w:r w:rsidRPr="001304A9">
        <w:rPr>
          <w:b/>
        </w:rPr>
        <w:tab/>
        <w:t>Prescriptions spécifiques pour les tuyaux à gaz et leurs raccords</w:t>
      </w:r>
      <w:r w:rsidR="00A86CEB">
        <w:rPr>
          <w:b/>
        </w:rPr>
        <w:t> :</w:t>
      </w:r>
    </w:p>
    <w:p w:rsidR="007E35F7" w:rsidRPr="001304A9" w:rsidRDefault="007E35F7" w:rsidP="002862FE">
      <w:pPr>
        <w:pStyle w:val="SingleTxtG"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6.3.1</w:t>
      </w:r>
      <w:r w:rsidRPr="001304A9">
        <w:rPr>
          <w:b/>
        </w:rPr>
        <w:tab/>
      </w:r>
      <w:r w:rsidR="00FA50F3" w:rsidRPr="001304A9">
        <w:rPr>
          <w:b/>
        </w:rPr>
        <w:t>É</w:t>
      </w:r>
      <w:r w:rsidRPr="001304A9">
        <w:rPr>
          <w:b/>
        </w:rPr>
        <w:t>preuve d</w:t>
      </w:r>
      <w:r w:rsidR="00246DCB" w:rsidRPr="001304A9">
        <w:rPr>
          <w:b/>
        </w:rPr>
        <w:t>’</w:t>
      </w:r>
      <w:r w:rsidRPr="001304A9">
        <w:rPr>
          <w:b/>
        </w:rPr>
        <w:t>endurance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Les tuyaux à gaz et leurs raccords doivent être soumis à une épreuve d</w:t>
      </w:r>
      <w:r w:rsidR="00246DCB" w:rsidRPr="001304A9">
        <w:rPr>
          <w:b/>
        </w:rPr>
        <w:t>’</w:t>
      </w:r>
      <w:r w:rsidR="002725D8" w:rsidRPr="001304A9">
        <w:rPr>
          <w:b/>
        </w:rPr>
        <w:t>endurance de 100 </w:t>
      </w:r>
      <w:r w:rsidRPr="001304A9">
        <w:rPr>
          <w:b/>
        </w:rPr>
        <w:t>000 cycles.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Un cycle consiste en l</w:t>
      </w:r>
      <w:r w:rsidR="00246DCB" w:rsidRPr="001304A9">
        <w:rPr>
          <w:b/>
        </w:rPr>
        <w:t>’</w:t>
      </w:r>
      <w:r w:rsidRPr="001304A9">
        <w:rPr>
          <w:b/>
        </w:rPr>
        <w:t>application d</w:t>
      </w:r>
      <w:r w:rsidR="00246DCB" w:rsidRPr="001304A9">
        <w:rPr>
          <w:b/>
        </w:rPr>
        <w:t>’</w:t>
      </w:r>
      <w:r w:rsidRPr="001304A9">
        <w:rPr>
          <w:b/>
        </w:rPr>
        <w:t>une pression progressive à partir de de 15</w:t>
      </w:r>
      <w:r w:rsidR="002725D8" w:rsidRPr="001304A9">
        <w:rPr>
          <w:b/>
        </w:rPr>
        <w:t> </w:t>
      </w:r>
      <w:r w:rsidRPr="001304A9">
        <w:rPr>
          <w:b/>
        </w:rPr>
        <w:t>% de la pression de travail.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Après l</w:t>
      </w:r>
      <w:r w:rsidR="00246DCB" w:rsidRPr="001304A9">
        <w:rPr>
          <w:b/>
        </w:rPr>
        <w:t>’</w:t>
      </w:r>
      <w:r w:rsidRPr="001304A9">
        <w:rPr>
          <w:b/>
        </w:rPr>
        <w:t>épreuve d</w:t>
      </w:r>
      <w:r w:rsidR="00246DCB" w:rsidRPr="001304A9">
        <w:rPr>
          <w:b/>
        </w:rPr>
        <w:t>’</w:t>
      </w:r>
      <w:r w:rsidRPr="001304A9">
        <w:rPr>
          <w:b/>
        </w:rPr>
        <w:t>endurance, les tuyaux à gaz et leurs raccords doivent être soumis à l</w:t>
      </w:r>
      <w:r w:rsidR="00246DCB" w:rsidRPr="001304A9">
        <w:rPr>
          <w:b/>
        </w:rPr>
        <w:t>’</w:t>
      </w:r>
      <w:r w:rsidRPr="001304A9">
        <w:rPr>
          <w:b/>
        </w:rPr>
        <w:t>épreuve d</w:t>
      </w:r>
      <w:r w:rsidR="00246DCB" w:rsidRPr="001304A9">
        <w:rPr>
          <w:b/>
        </w:rPr>
        <w:t>’</w:t>
      </w:r>
      <w:r w:rsidRPr="001304A9">
        <w:rPr>
          <w:b/>
        </w:rPr>
        <w:t>étanchéité décrite aux paragraphes 5, 6 et 7 de l</w:t>
      </w:r>
      <w:r w:rsidR="00246DCB" w:rsidRPr="001304A9">
        <w:rPr>
          <w:b/>
        </w:rPr>
        <w:t>’</w:t>
      </w:r>
      <w:r w:rsidRPr="001304A9">
        <w:rPr>
          <w:b/>
        </w:rPr>
        <w:t>annexe 16 et à l</w:t>
      </w:r>
      <w:r w:rsidR="00246DCB" w:rsidRPr="001304A9">
        <w:rPr>
          <w:b/>
        </w:rPr>
        <w:t>’</w:t>
      </w:r>
      <w:r w:rsidRPr="001304A9">
        <w:rPr>
          <w:b/>
        </w:rPr>
        <w:t>épreuve de surpression conformément au paragraphe 4 de l</w:t>
      </w:r>
      <w:r w:rsidR="00246DCB" w:rsidRPr="001304A9">
        <w:rPr>
          <w:b/>
        </w:rPr>
        <w:t>’</w:t>
      </w:r>
      <w:r w:rsidRPr="001304A9">
        <w:rPr>
          <w:b/>
        </w:rPr>
        <w:t>annexe 16.</w:t>
      </w:r>
    </w:p>
    <w:p w:rsidR="007E35F7" w:rsidRPr="001304A9" w:rsidRDefault="007E35F7" w:rsidP="002862FE">
      <w:pPr>
        <w:pStyle w:val="SingleTxtG"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6.3.2</w:t>
      </w:r>
      <w:r w:rsidRPr="001304A9">
        <w:rPr>
          <w:b/>
        </w:rPr>
        <w:tab/>
        <w:t>Épreuve de pliage d</w:t>
      </w:r>
      <w:r w:rsidR="00246DCB" w:rsidRPr="001304A9">
        <w:rPr>
          <w:b/>
        </w:rPr>
        <w:t>’</w:t>
      </w:r>
      <w:r w:rsidRPr="001304A9">
        <w:rPr>
          <w:b/>
        </w:rPr>
        <w:t>un tuyau à gaz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Le tuyau à gaz doit être éprouvé selon la procédure et les critères ci</w:t>
      </w:r>
      <w:r w:rsidR="00BD0F87">
        <w:rPr>
          <w:b/>
        </w:rPr>
        <w:noBreakHyphen/>
      </w:r>
      <w:r w:rsidRPr="001304A9">
        <w:rPr>
          <w:b/>
        </w:rPr>
        <w:t>après</w:t>
      </w:r>
      <w:r w:rsidR="00A86CEB">
        <w:rPr>
          <w:b/>
        </w:rPr>
        <w:t> :</w:t>
      </w:r>
    </w:p>
    <w:p w:rsidR="007E35F7" w:rsidRPr="001304A9" w:rsidRDefault="007E35F7" w:rsidP="001304A9">
      <w:pPr>
        <w:pStyle w:val="SingleTxtG"/>
        <w:ind w:left="2835" w:hanging="567"/>
        <w:rPr>
          <w:rFonts w:eastAsia="MS Mincho"/>
          <w:b/>
          <w:spacing w:val="-2"/>
        </w:rPr>
      </w:pPr>
      <w:r w:rsidRPr="001304A9">
        <w:rPr>
          <w:b/>
        </w:rPr>
        <w:t>a)</w:t>
      </w:r>
      <w:r w:rsidR="00AA5326" w:rsidRPr="001304A9">
        <w:rPr>
          <w:b/>
        </w:rPr>
        <w:tab/>
      </w:r>
      <w:r w:rsidRPr="001304A9">
        <w:rPr>
          <w:b/>
        </w:rPr>
        <w:t>Sélectionner un mandrin d</w:t>
      </w:r>
      <w:r w:rsidR="00246DCB" w:rsidRPr="001304A9">
        <w:rPr>
          <w:b/>
        </w:rPr>
        <w:t>’</w:t>
      </w:r>
      <w:r w:rsidRPr="001304A9">
        <w:rPr>
          <w:b/>
        </w:rPr>
        <w:t>un diamètre extérieur conforme aux paramètres énoncés dans le tableau ci-dessous</w:t>
      </w:r>
      <w:r w:rsidR="00A86CEB">
        <w:rPr>
          <w:b/>
        </w:rPr>
        <w:t> :</w:t>
      </w:r>
    </w:p>
    <w:tbl>
      <w:tblPr>
        <w:tblW w:w="6237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9"/>
      </w:tblGrid>
      <w:tr w:rsidR="007E35F7" w:rsidRPr="001304A9" w:rsidTr="00AA5326">
        <w:trPr>
          <w:cantSplit/>
          <w:tblHeader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7E35F7" w:rsidRPr="001304A9" w:rsidRDefault="007E35F7" w:rsidP="00BD0F87">
            <w:pPr>
              <w:suppressAutoHyphens w:val="0"/>
              <w:spacing w:before="80" w:after="80" w:line="200" w:lineRule="exact"/>
              <w:ind w:left="113" w:right="113"/>
              <w:jc w:val="center"/>
              <w:rPr>
                <w:b/>
                <w:i/>
                <w:sz w:val="16"/>
                <w:szCs w:val="24"/>
              </w:rPr>
            </w:pPr>
            <w:r w:rsidRPr="001304A9">
              <w:rPr>
                <w:b/>
                <w:i/>
                <w:sz w:val="16"/>
              </w:rPr>
              <w:t>Diamètre extérieur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:rsidR="007E35F7" w:rsidRPr="001304A9" w:rsidRDefault="007E35F7" w:rsidP="00BD0F87">
            <w:pPr>
              <w:suppressAutoHyphens w:val="0"/>
              <w:spacing w:before="80" w:after="80" w:line="200" w:lineRule="exact"/>
              <w:ind w:left="113" w:right="113"/>
              <w:jc w:val="center"/>
              <w:rPr>
                <w:b/>
                <w:i/>
                <w:sz w:val="16"/>
                <w:szCs w:val="24"/>
              </w:rPr>
            </w:pPr>
            <w:r w:rsidRPr="001304A9">
              <w:rPr>
                <w:b/>
                <w:i/>
                <w:sz w:val="16"/>
              </w:rPr>
              <w:t>Diamètre du mandrin</w:t>
            </w:r>
          </w:p>
        </w:tc>
      </w:tr>
      <w:tr w:rsidR="007E35F7" w:rsidRPr="00BD0F87" w:rsidTr="00AA5326">
        <w:trPr>
          <w:cantSplit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E35F7" w:rsidRPr="00BD0F87" w:rsidRDefault="007E35F7" w:rsidP="003B337E">
            <w:pPr>
              <w:suppressAutoHyphens w:val="0"/>
              <w:spacing w:before="60" w:after="60" w:line="220" w:lineRule="exact"/>
              <w:ind w:left="113" w:right="113"/>
              <w:jc w:val="center"/>
              <w:rPr>
                <w:b/>
              </w:rPr>
            </w:pPr>
            <w:r w:rsidRPr="00BD0F87">
              <w:rPr>
                <w:b/>
                <w:bCs/>
              </w:rPr>
              <w:t>≤ 8 mm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E35F7" w:rsidRPr="00BD0F87" w:rsidRDefault="007E35F7" w:rsidP="003B337E">
            <w:pPr>
              <w:suppressAutoHyphens w:val="0"/>
              <w:spacing w:before="60" w:after="60" w:line="220" w:lineRule="exact"/>
              <w:ind w:left="113" w:right="113"/>
              <w:jc w:val="center"/>
              <w:rPr>
                <w:b/>
              </w:rPr>
            </w:pPr>
            <w:r w:rsidRPr="00BD0F87">
              <w:rPr>
                <w:b/>
                <w:bCs/>
              </w:rPr>
              <w:t xml:space="preserve">Trois fois le diamètre extérieur </w:t>
            </w:r>
            <w:r w:rsidR="003B337E">
              <w:rPr>
                <w:b/>
                <w:bCs/>
              </w:rPr>
              <w:br/>
            </w:r>
            <w:r w:rsidRPr="00BD0F87">
              <w:rPr>
                <w:b/>
                <w:bCs/>
              </w:rPr>
              <w:t>du tuyau à gaz</w:t>
            </w:r>
          </w:p>
        </w:tc>
      </w:tr>
      <w:tr w:rsidR="007E35F7" w:rsidRPr="00BD0F87" w:rsidTr="00AA5326">
        <w:trPr>
          <w:cantSplit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7E35F7" w:rsidRPr="00BD0F87" w:rsidRDefault="007E35F7" w:rsidP="003B337E">
            <w:pPr>
              <w:suppressAutoHyphens w:val="0"/>
              <w:spacing w:before="60" w:after="60" w:line="220" w:lineRule="exact"/>
              <w:ind w:left="113" w:right="113"/>
              <w:jc w:val="center"/>
              <w:rPr>
                <w:b/>
              </w:rPr>
            </w:pPr>
            <w:r w:rsidRPr="00BD0F87">
              <w:rPr>
                <w:b/>
                <w:bCs/>
              </w:rPr>
              <w:t>˃ 8 mm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:rsidR="007E35F7" w:rsidRPr="00BD0F87" w:rsidRDefault="007E35F7" w:rsidP="003B337E">
            <w:pPr>
              <w:spacing w:before="60" w:after="60"/>
              <w:ind w:left="113" w:right="113"/>
              <w:jc w:val="center"/>
              <w:rPr>
                <w:b/>
                <w:vertAlign w:val="superscript"/>
              </w:rPr>
            </w:pPr>
            <w:r w:rsidRPr="00BD0F87">
              <w:rPr>
                <w:b/>
              </w:rPr>
              <w:t xml:space="preserve">Cinq fois le diamètre extérieur </w:t>
            </w:r>
            <w:r w:rsidR="003B337E">
              <w:rPr>
                <w:b/>
              </w:rPr>
              <w:br/>
            </w:r>
            <w:r w:rsidRPr="00BD0F87">
              <w:rPr>
                <w:b/>
              </w:rPr>
              <w:t>du tuyau à gaz</w:t>
            </w:r>
          </w:p>
        </w:tc>
      </w:tr>
    </w:tbl>
    <w:p w:rsidR="007E35F7" w:rsidRPr="001304A9" w:rsidRDefault="007E35F7" w:rsidP="00BD0F87">
      <w:pPr>
        <w:pStyle w:val="SingleTxtG"/>
        <w:spacing w:before="120"/>
        <w:ind w:left="2835" w:hanging="567"/>
        <w:rPr>
          <w:rFonts w:eastAsia="MS Mincho"/>
          <w:b/>
          <w:spacing w:val="-2"/>
        </w:rPr>
      </w:pPr>
      <w:r w:rsidRPr="001304A9">
        <w:rPr>
          <w:b/>
        </w:rPr>
        <w:t>b)</w:t>
      </w:r>
      <w:r w:rsidR="00AA5326" w:rsidRPr="001304A9">
        <w:rPr>
          <w:b/>
        </w:rPr>
        <w:tab/>
      </w:r>
      <w:r w:rsidRPr="001304A9">
        <w:rPr>
          <w:b/>
        </w:rPr>
        <w:t>Plier une fois le tuyau à gaz sur le mandrin de sorte à former un</w:t>
      </w:r>
      <w:r w:rsidR="00BD0F87">
        <w:rPr>
          <w:b/>
        </w:rPr>
        <w:t> </w:t>
      </w:r>
      <w:r w:rsidRPr="001304A9">
        <w:rPr>
          <w:b/>
        </w:rPr>
        <w:t>U.</w:t>
      </w:r>
    </w:p>
    <w:p w:rsidR="007E35F7" w:rsidRPr="001304A9" w:rsidRDefault="007E35F7" w:rsidP="001304A9">
      <w:pPr>
        <w:pStyle w:val="SingleTxtG"/>
        <w:ind w:left="2835" w:hanging="567"/>
        <w:rPr>
          <w:rFonts w:eastAsia="MS Mincho"/>
          <w:b/>
          <w:spacing w:val="-2"/>
        </w:rPr>
      </w:pPr>
      <w:r w:rsidRPr="001304A9">
        <w:rPr>
          <w:b/>
        </w:rPr>
        <w:t>c)</w:t>
      </w:r>
      <w:r w:rsidR="00AA5326" w:rsidRPr="001304A9">
        <w:rPr>
          <w:b/>
        </w:rPr>
        <w:tab/>
      </w:r>
      <w:r w:rsidRPr="001304A9">
        <w:rPr>
          <w:b/>
        </w:rPr>
        <w:t>Obturer le tuyau à gaz à ses extrémités et le soumettre à l</w:t>
      </w:r>
      <w:r w:rsidR="00246DCB" w:rsidRPr="001304A9">
        <w:rPr>
          <w:b/>
        </w:rPr>
        <w:t>’</w:t>
      </w:r>
      <w:r w:rsidRPr="001304A9">
        <w:rPr>
          <w:b/>
        </w:rPr>
        <w:t>épreuve de surpression conformément au paragraphe 4 de l</w:t>
      </w:r>
      <w:r w:rsidR="00246DCB" w:rsidRPr="001304A9">
        <w:rPr>
          <w:b/>
        </w:rPr>
        <w:t>’</w:t>
      </w:r>
      <w:r w:rsidRPr="001304A9">
        <w:rPr>
          <w:b/>
        </w:rPr>
        <w:t>annexe 16.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Une fois cette épreuve réalisée, le tuyau à gaz doit être soumis à l</w:t>
      </w:r>
      <w:r w:rsidR="00246DCB" w:rsidRPr="001304A9">
        <w:rPr>
          <w:b/>
        </w:rPr>
        <w:t>’</w:t>
      </w:r>
      <w:r w:rsidRPr="001304A9">
        <w:rPr>
          <w:b/>
        </w:rPr>
        <w:t>épreuve d</w:t>
      </w:r>
      <w:r w:rsidR="00246DCB" w:rsidRPr="001304A9">
        <w:rPr>
          <w:b/>
        </w:rPr>
        <w:t>’</w:t>
      </w:r>
      <w:r w:rsidRPr="001304A9">
        <w:rPr>
          <w:b/>
        </w:rPr>
        <w:t>étanchéité décrite aux paragraphes 5, 6 et 7 de l</w:t>
      </w:r>
      <w:r w:rsidR="00246DCB" w:rsidRPr="001304A9">
        <w:rPr>
          <w:b/>
        </w:rPr>
        <w:t>’</w:t>
      </w:r>
      <w:r w:rsidRPr="001304A9">
        <w:rPr>
          <w:b/>
        </w:rPr>
        <w:t xml:space="preserve">annexe 16. </w:t>
      </w:r>
    </w:p>
    <w:p w:rsidR="007E35F7" w:rsidRPr="001304A9" w:rsidRDefault="007E35F7" w:rsidP="003B337E">
      <w:pPr>
        <w:pStyle w:val="SingleTxtG"/>
        <w:keepNext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6.3.3</w:t>
      </w:r>
      <w:r w:rsidRPr="001304A9">
        <w:rPr>
          <w:b/>
        </w:rPr>
        <w:tab/>
        <w:t>Résistance à la torsion</w:t>
      </w:r>
    </w:p>
    <w:p w:rsidR="007E35F7" w:rsidRPr="001304A9" w:rsidRDefault="007E35F7" w:rsidP="00AA5326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Un raccord conçu pour être relié directement à des connecteurs filetés doit être capable de résister, sans se déformer, se rompre ou fuir, à un couple d</w:t>
      </w:r>
      <w:r w:rsidR="00246DCB" w:rsidRPr="001304A9">
        <w:rPr>
          <w:b/>
        </w:rPr>
        <w:t>’</w:t>
      </w:r>
      <w:r w:rsidR="003B337E">
        <w:rPr>
          <w:b/>
        </w:rPr>
        <w:t>une valeur égale à 150 </w:t>
      </w:r>
      <w:r w:rsidRPr="001304A9">
        <w:rPr>
          <w:b/>
        </w:rPr>
        <w:t>% de la valeur nominale d</w:t>
      </w:r>
      <w:r w:rsidR="00246DCB" w:rsidRPr="001304A9">
        <w:rPr>
          <w:b/>
        </w:rPr>
        <w:t>’</w:t>
      </w:r>
      <w:r w:rsidRPr="001304A9">
        <w:rPr>
          <w:b/>
        </w:rPr>
        <w:t>installation spécifiée par le fabricant, selon la procédure d</w:t>
      </w:r>
      <w:r w:rsidR="00246DCB" w:rsidRPr="001304A9">
        <w:rPr>
          <w:b/>
        </w:rPr>
        <w:t>’</w:t>
      </w:r>
      <w:r w:rsidRPr="001304A9">
        <w:rPr>
          <w:b/>
        </w:rPr>
        <w:t>épreuve suivante</w:t>
      </w:r>
      <w:r w:rsidR="00A86CEB">
        <w:rPr>
          <w:b/>
        </w:rPr>
        <w:t> :</w:t>
      </w:r>
    </w:p>
    <w:p w:rsidR="007E35F7" w:rsidRPr="001304A9" w:rsidRDefault="007E35F7" w:rsidP="001304A9">
      <w:pPr>
        <w:pStyle w:val="SingleTxtG"/>
        <w:ind w:left="2835" w:hanging="567"/>
        <w:rPr>
          <w:rFonts w:eastAsia="MS Mincho"/>
          <w:b/>
          <w:spacing w:val="-2"/>
        </w:rPr>
      </w:pPr>
      <w:r w:rsidRPr="001304A9">
        <w:rPr>
          <w:b/>
        </w:rPr>
        <w:t>a)</w:t>
      </w:r>
      <w:r w:rsidR="001304A9" w:rsidRPr="001304A9">
        <w:rPr>
          <w:b/>
        </w:rPr>
        <w:tab/>
      </w:r>
      <w:r w:rsidRPr="001304A9">
        <w:rPr>
          <w:b/>
        </w:rPr>
        <w:t>Réaliser l</w:t>
      </w:r>
      <w:r w:rsidR="00246DCB" w:rsidRPr="001304A9">
        <w:rPr>
          <w:b/>
        </w:rPr>
        <w:t>’</w:t>
      </w:r>
      <w:r w:rsidRPr="001304A9">
        <w:rPr>
          <w:b/>
        </w:rPr>
        <w:t>épreuve sur un organe non utilisé, en appliquant le couple le long du raccord</w:t>
      </w:r>
      <w:r w:rsidR="00A86CEB">
        <w:rPr>
          <w:b/>
        </w:rPr>
        <w:t> ;</w:t>
      </w:r>
    </w:p>
    <w:p w:rsidR="007E35F7" w:rsidRPr="001304A9" w:rsidRDefault="001304A9" w:rsidP="001304A9">
      <w:pPr>
        <w:pStyle w:val="SingleTxtG"/>
        <w:ind w:left="2835" w:hanging="567"/>
        <w:rPr>
          <w:rFonts w:eastAsia="MS Mincho"/>
          <w:b/>
          <w:spacing w:val="-2"/>
        </w:rPr>
      </w:pPr>
      <w:r w:rsidRPr="001304A9">
        <w:rPr>
          <w:b/>
        </w:rPr>
        <w:t>b)</w:t>
      </w:r>
      <w:r w:rsidRPr="001304A9">
        <w:rPr>
          <w:b/>
        </w:rPr>
        <w:tab/>
      </w:r>
      <w:r w:rsidR="007E35F7" w:rsidRPr="001304A9">
        <w:rPr>
          <w:b/>
        </w:rPr>
        <w:t>Dans le cas d</w:t>
      </w:r>
      <w:r w:rsidR="00246DCB" w:rsidRPr="001304A9">
        <w:rPr>
          <w:b/>
        </w:rPr>
        <w:t>’</w:t>
      </w:r>
      <w:r w:rsidR="007E35F7" w:rsidRPr="001304A9">
        <w:rPr>
          <w:b/>
        </w:rPr>
        <w:t>un organe doté d</w:t>
      </w:r>
      <w:r w:rsidR="00246DCB" w:rsidRPr="001304A9">
        <w:rPr>
          <w:b/>
        </w:rPr>
        <w:t>’</w:t>
      </w:r>
      <w:r w:rsidR="007E35F7" w:rsidRPr="001304A9">
        <w:rPr>
          <w:b/>
        </w:rPr>
        <w:t>un ou de plusieurs connecteurs filetés,</w:t>
      </w:r>
      <w:r w:rsidR="003B337E">
        <w:rPr>
          <w:b/>
        </w:rPr>
        <w:t xml:space="preserve"> appliquer le couple pendant 15 </w:t>
      </w:r>
      <w:r w:rsidR="007E35F7" w:rsidRPr="001304A9">
        <w:rPr>
          <w:b/>
        </w:rPr>
        <w:t>minutes, puis arrêter, et retirer l</w:t>
      </w:r>
      <w:r w:rsidR="00246DCB" w:rsidRPr="001304A9">
        <w:rPr>
          <w:b/>
        </w:rPr>
        <w:t>’</w:t>
      </w:r>
      <w:r w:rsidR="007E35F7" w:rsidRPr="001304A9">
        <w:rPr>
          <w:b/>
        </w:rPr>
        <w:t>organe pour l</w:t>
      </w:r>
      <w:r w:rsidR="00246DCB" w:rsidRPr="001304A9">
        <w:rPr>
          <w:b/>
        </w:rPr>
        <w:t>’</w:t>
      </w:r>
      <w:r w:rsidR="007E35F7" w:rsidRPr="001304A9">
        <w:rPr>
          <w:b/>
        </w:rPr>
        <w:t>examiner afin d</w:t>
      </w:r>
      <w:r w:rsidR="00246DCB" w:rsidRPr="001304A9">
        <w:rPr>
          <w:b/>
        </w:rPr>
        <w:t>’</w:t>
      </w:r>
      <w:r w:rsidR="007E35F7" w:rsidRPr="001304A9">
        <w:rPr>
          <w:b/>
        </w:rPr>
        <w:t>y détecter toute déformation ou dégradation</w:t>
      </w:r>
      <w:r w:rsidR="00DE362B">
        <w:rPr>
          <w:b/>
        </w:rPr>
        <w:t> ;</w:t>
      </w:r>
    </w:p>
    <w:p w:rsidR="007E35F7" w:rsidRPr="001304A9" w:rsidRDefault="001304A9" w:rsidP="001304A9">
      <w:pPr>
        <w:pStyle w:val="SingleTxtG"/>
        <w:ind w:left="2835" w:hanging="567"/>
        <w:rPr>
          <w:rFonts w:eastAsia="MS Mincho"/>
          <w:b/>
          <w:spacing w:val="-2"/>
        </w:rPr>
      </w:pPr>
      <w:r w:rsidRPr="001304A9">
        <w:rPr>
          <w:b/>
        </w:rPr>
        <w:t>c)</w:t>
      </w:r>
      <w:r w:rsidRPr="001304A9">
        <w:rPr>
          <w:b/>
        </w:rPr>
        <w:tab/>
      </w:r>
      <w:r w:rsidR="007E35F7" w:rsidRPr="001304A9">
        <w:rPr>
          <w:b/>
        </w:rPr>
        <w:t>Réaliser l</w:t>
      </w:r>
      <w:r w:rsidR="00246DCB" w:rsidRPr="001304A9">
        <w:rPr>
          <w:b/>
        </w:rPr>
        <w:t>’</w:t>
      </w:r>
      <w:r w:rsidR="007E35F7" w:rsidRPr="001304A9">
        <w:rPr>
          <w:b/>
        </w:rPr>
        <w:t>épreuve d</w:t>
      </w:r>
      <w:r w:rsidR="00246DCB" w:rsidRPr="001304A9">
        <w:rPr>
          <w:b/>
        </w:rPr>
        <w:t>’</w:t>
      </w:r>
      <w:r w:rsidR="007E35F7" w:rsidRPr="001304A9">
        <w:rPr>
          <w:b/>
        </w:rPr>
        <w:t>étanchéité conformément aux paragraphes 5, 6 et 7 de l</w:t>
      </w:r>
      <w:r w:rsidR="00246DCB" w:rsidRPr="001304A9">
        <w:rPr>
          <w:b/>
        </w:rPr>
        <w:t>’</w:t>
      </w:r>
      <w:r w:rsidR="00DE362B">
        <w:rPr>
          <w:b/>
        </w:rPr>
        <w:t>annexe 16 ;</w:t>
      </w:r>
    </w:p>
    <w:p w:rsidR="007E35F7" w:rsidRPr="001304A9" w:rsidRDefault="007E35F7" w:rsidP="001304A9">
      <w:pPr>
        <w:pStyle w:val="SingleTxtG"/>
        <w:ind w:left="2835" w:hanging="567"/>
        <w:rPr>
          <w:rFonts w:eastAsia="MS Mincho"/>
          <w:b/>
          <w:spacing w:val="-2"/>
        </w:rPr>
      </w:pPr>
      <w:r w:rsidRPr="001304A9">
        <w:rPr>
          <w:b/>
        </w:rPr>
        <w:t>d)</w:t>
      </w:r>
      <w:r w:rsidR="001304A9" w:rsidRPr="001304A9">
        <w:rPr>
          <w:b/>
        </w:rPr>
        <w:tab/>
      </w:r>
      <w:r w:rsidRPr="001304A9">
        <w:rPr>
          <w:b/>
        </w:rPr>
        <w:t>Réaliser l</w:t>
      </w:r>
      <w:r w:rsidR="00246DCB" w:rsidRPr="001304A9">
        <w:rPr>
          <w:b/>
        </w:rPr>
        <w:t>’</w:t>
      </w:r>
      <w:r w:rsidRPr="001304A9">
        <w:rPr>
          <w:b/>
        </w:rPr>
        <w:t>épreuve de surpression conformément au paragraphe 4 de l</w:t>
      </w:r>
      <w:r w:rsidR="00246DCB" w:rsidRPr="001304A9">
        <w:rPr>
          <w:b/>
        </w:rPr>
        <w:t>’</w:t>
      </w:r>
      <w:r w:rsidRPr="001304A9">
        <w:rPr>
          <w:b/>
        </w:rPr>
        <w:t>annexe 16.</w:t>
      </w:r>
    </w:p>
    <w:p w:rsidR="007E35F7" w:rsidRPr="001304A9" w:rsidRDefault="007E35F7" w:rsidP="005C0306">
      <w:pPr>
        <w:pStyle w:val="SingleTxtG"/>
        <w:keepNext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6.3.4</w:t>
      </w:r>
      <w:r w:rsidR="00CA3262" w:rsidRPr="001304A9">
        <w:rPr>
          <w:b/>
        </w:rPr>
        <w:tab/>
      </w:r>
      <w:r w:rsidRPr="001304A9">
        <w:rPr>
          <w:b/>
        </w:rPr>
        <w:t>Épreuve de vibration</w:t>
      </w:r>
    </w:p>
    <w:p w:rsidR="007E35F7" w:rsidRPr="001304A9" w:rsidRDefault="007E35F7" w:rsidP="002862FE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Faire vibrer le tuyau à gaz et ses raccords conformément à l</w:t>
      </w:r>
      <w:r w:rsidR="00246DCB" w:rsidRPr="001304A9">
        <w:rPr>
          <w:b/>
        </w:rPr>
        <w:t>’</w:t>
      </w:r>
      <w:r w:rsidRPr="001304A9">
        <w:rPr>
          <w:b/>
        </w:rPr>
        <w:t>essai décrit dans le paragraphe 10.5.4 de l</w:t>
      </w:r>
      <w:r w:rsidR="00246DCB" w:rsidRPr="001304A9">
        <w:rPr>
          <w:b/>
        </w:rPr>
        <w:t>’</w:t>
      </w:r>
      <w:r w:rsidR="00DE362B">
        <w:rPr>
          <w:b/>
        </w:rPr>
        <w:t>a</w:t>
      </w:r>
      <w:r w:rsidRPr="001304A9">
        <w:rPr>
          <w:b/>
        </w:rPr>
        <w:t>nnexe 16 (Procédure A).</w:t>
      </w:r>
    </w:p>
    <w:p w:rsidR="007E35F7" w:rsidRPr="001304A9" w:rsidRDefault="007E35F7" w:rsidP="002862FE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Après cette épreuve, le tuyaux à gaz et son(ses) raccord(s) doivent être soumis à l</w:t>
      </w:r>
      <w:r w:rsidR="00246DCB" w:rsidRPr="001304A9">
        <w:rPr>
          <w:b/>
        </w:rPr>
        <w:t>’</w:t>
      </w:r>
      <w:r w:rsidRPr="001304A9">
        <w:rPr>
          <w:b/>
        </w:rPr>
        <w:t>épreuve d</w:t>
      </w:r>
      <w:r w:rsidR="00246DCB" w:rsidRPr="001304A9">
        <w:rPr>
          <w:b/>
        </w:rPr>
        <w:t>’</w:t>
      </w:r>
      <w:r w:rsidRPr="001304A9">
        <w:rPr>
          <w:b/>
        </w:rPr>
        <w:t>étanchéité décrite aux paragraphes 5, 6 et 7 de l</w:t>
      </w:r>
      <w:r w:rsidR="00246DCB" w:rsidRPr="001304A9">
        <w:rPr>
          <w:b/>
        </w:rPr>
        <w:t>’</w:t>
      </w:r>
      <w:r w:rsidRPr="001304A9">
        <w:rPr>
          <w:b/>
        </w:rPr>
        <w:t>annexe 16 et à l</w:t>
      </w:r>
      <w:r w:rsidR="00246DCB" w:rsidRPr="001304A9">
        <w:rPr>
          <w:b/>
        </w:rPr>
        <w:t>’</w:t>
      </w:r>
      <w:r w:rsidRPr="001304A9">
        <w:rPr>
          <w:b/>
        </w:rPr>
        <w:t>épreuve de surpression conformément au paragraphe 4 de l</w:t>
      </w:r>
      <w:r w:rsidR="00246DCB" w:rsidRPr="001304A9">
        <w:rPr>
          <w:b/>
        </w:rPr>
        <w:t>’</w:t>
      </w:r>
      <w:r w:rsidRPr="001304A9">
        <w:rPr>
          <w:b/>
        </w:rPr>
        <w:t>annexe 16.</w:t>
      </w:r>
    </w:p>
    <w:p w:rsidR="007E35F7" w:rsidRPr="001304A9" w:rsidRDefault="007E35F7" w:rsidP="005C0306">
      <w:pPr>
        <w:pStyle w:val="SingleTxtG"/>
        <w:keepNext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6.3.5</w:t>
      </w:r>
      <w:r w:rsidRPr="001304A9">
        <w:rPr>
          <w:b/>
        </w:rPr>
        <w:tab/>
        <w:t>Traction</w:t>
      </w:r>
    </w:p>
    <w:p w:rsidR="007E35F7" w:rsidRPr="001304A9" w:rsidRDefault="007E35F7" w:rsidP="002862FE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Le tuyau à gaz et son(ses) raccord(s) doivent être éprouvés selon la procédure et les critères d</w:t>
      </w:r>
      <w:r w:rsidR="00246DCB" w:rsidRPr="001304A9">
        <w:rPr>
          <w:b/>
        </w:rPr>
        <w:t>’</w:t>
      </w:r>
      <w:r w:rsidRPr="001304A9">
        <w:rPr>
          <w:b/>
        </w:rPr>
        <w:t>acceptation ci-après</w:t>
      </w:r>
      <w:r w:rsidR="00A86CEB">
        <w:rPr>
          <w:b/>
        </w:rPr>
        <w:t> :</w:t>
      </w:r>
    </w:p>
    <w:p w:rsidR="007E35F7" w:rsidRPr="001304A9" w:rsidRDefault="007E35F7" w:rsidP="002862FE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Fixer le raccord à éprouver dans un montage d</w:t>
      </w:r>
      <w:r w:rsidR="00246DCB" w:rsidRPr="001304A9">
        <w:rPr>
          <w:b/>
        </w:rPr>
        <w:t>’</w:t>
      </w:r>
      <w:r w:rsidRPr="001304A9">
        <w:rPr>
          <w:b/>
        </w:rPr>
        <w:t>essai approprié, puis appliquer statiquement une charge de traction le long de l</w:t>
      </w:r>
      <w:r w:rsidR="00246DCB" w:rsidRPr="001304A9">
        <w:rPr>
          <w:b/>
        </w:rPr>
        <w:t>’</w:t>
      </w:r>
      <w:r w:rsidRPr="001304A9">
        <w:rPr>
          <w:b/>
        </w:rPr>
        <w:t xml:space="preserve">axe du tuyau à gaz, à </w:t>
      </w:r>
      <w:r w:rsidR="005C0306">
        <w:rPr>
          <w:b/>
        </w:rPr>
        <w:t>une valeur ne dépassant pas 250 </w:t>
      </w:r>
      <w:r w:rsidRPr="001304A9">
        <w:rPr>
          <w:b/>
        </w:rPr>
        <w:t>N/min, jusqu</w:t>
      </w:r>
      <w:r w:rsidR="00246DCB" w:rsidRPr="001304A9">
        <w:rPr>
          <w:b/>
        </w:rPr>
        <w:t>’</w:t>
      </w:r>
      <w:r w:rsidRPr="001304A9">
        <w:rPr>
          <w:b/>
        </w:rPr>
        <w:t>à ce que le tuyau se dissocie du (des) raccord(s).</w:t>
      </w:r>
    </w:p>
    <w:p w:rsidR="007E35F7" w:rsidRPr="001304A9" w:rsidRDefault="007E35F7" w:rsidP="005C0306">
      <w:pPr>
        <w:pStyle w:val="SingleTxtG"/>
        <w:keepNext/>
        <w:ind w:left="2268"/>
        <w:rPr>
          <w:rFonts w:eastAsia="MS Mincho"/>
          <w:b/>
          <w:spacing w:val="-2"/>
        </w:rPr>
      </w:pPr>
      <w:r w:rsidRPr="001304A9">
        <w:rPr>
          <w:b/>
        </w:rPr>
        <w:t>La force F, exprimée en Newton, nécessaire pour séparer le tuyau à gaz de son (ses) raccord(s), doit être calculée comme suit</w:t>
      </w:r>
      <w:r w:rsidR="00A86CEB">
        <w:rPr>
          <w:b/>
        </w:rPr>
        <w:t> :</w:t>
      </w:r>
    </w:p>
    <w:p w:rsidR="007E35F7" w:rsidRPr="001304A9" w:rsidRDefault="007E35F7" w:rsidP="002862FE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F = (π</w:t>
      </w:r>
      <w:r w:rsidR="006A2B65">
        <w:rPr>
          <w:b/>
        </w:rPr>
        <w:t> </w:t>
      </w:r>
      <w:r w:rsidRPr="001304A9">
        <w:rPr>
          <w:b/>
        </w:rPr>
        <w:t>∙</w:t>
      </w:r>
      <w:r w:rsidR="006A2B65">
        <w:rPr>
          <w:b/>
        </w:rPr>
        <w:t> </w:t>
      </w:r>
      <w:r w:rsidRPr="001304A9">
        <w:rPr>
          <w:b/>
        </w:rPr>
        <w:t>d</w:t>
      </w:r>
      <w:r w:rsidR="001A78F6" w:rsidRPr="001A78F6">
        <w:rPr>
          <w:b/>
          <w:vertAlign w:val="superscript"/>
        </w:rPr>
        <w:t>2</w:t>
      </w:r>
      <w:r w:rsidR="006A2B65" w:rsidRPr="006A2B65">
        <w:t> </w:t>
      </w:r>
      <w:r w:rsidRPr="001304A9">
        <w:rPr>
          <w:b/>
        </w:rPr>
        <w:t>∙</w:t>
      </w:r>
      <w:r w:rsidR="006A2B65">
        <w:rPr>
          <w:b/>
        </w:rPr>
        <w:t> </w:t>
      </w:r>
      <w:r w:rsidRPr="001304A9">
        <w:rPr>
          <w:b/>
        </w:rPr>
        <w:t>P)</w:t>
      </w:r>
      <w:r w:rsidR="006A2B65">
        <w:rPr>
          <w:b/>
        </w:rPr>
        <w:t> </w:t>
      </w:r>
      <w:r w:rsidRPr="001304A9">
        <w:rPr>
          <w:b/>
        </w:rPr>
        <w:t>/</w:t>
      </w:r>
      <w:r w:rsidR="006A2B65">
        <w:rPr>
          <w:b/>
        </w:rPr>
        <w:t> </w:t>
      </w:r>
      <w:r w:rsidRPr="001304A9">
        <w:rPr>
          <w:b/>
        </w:rPr>
        <w:t>10</w:t>
      </w:r>
    </w:p>
    <w:p w:rsidR="007E35F7" w:rsidRPr="001304A9" w:rsidRDefault="007E35F7" w:rsidP="005C0306">
      <w:pPr>
        <w:pStyle w:val="SingleTxtG"/>
        <w:keepNext/>
        <w:ind w:left="2268"/>
        <w:rPr>
          <w:rFonts w:eastAsia="MS Mincho"/>
          <w:b/>
          <w:spacing w:val="-2"/>
        </w:rPr>
      </w:pPr>
      <w:r w:rsidRPr="001304A9">
        <w:rPr>
          <w:b/>
        </w:rPr>
        <w:t>où</w:t>
      </w:r>
      <w:r w:rsidR="00A86CEB">
        <w:rPr>
          <w:b/>
        </w:rPr>
        <w:t> :</w:t>
      </w:r>
    </w:p>
    <w:p w:rsidR="007E35F7" w:rsidRPr="001304A9" w:rsidRDefault="007E35F7" w:rsidP="002862FE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d est le diamètre intérieur, en millimètres</w:t>
      </w:r>
      <w:r w:rsidR="00A86CEB">
        <w:rPr>
          <w:b/>
        </w:rPr>
        <w:t> ;</w:t>
      </w:r>
    </w:p>
    <w:p w:rsidR="007E35F7" w:rsidRPr="001304A9" w:rsidRDefault="007E35F7" w:rsidP="002862FE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P est la pression maximale de fonctionnement, en bar.</w:t>
      </w:r>
    </w:p>
    <w:p w:rsidR="007E35F7" w:rsidRPr="001304A9" w:rsidRDefault="007E35F7" w:rsidP="005C0306">
      <w:pPr>
        <w:pStyle w:val="SingleTxtG"/>
        <w:keepNext/>
        <w:ind w:left="2268" w:hanging="1134"/>
        <w:rPr>
          <w:rFonts w:eastAsia="MS Mincho"/>
          <w:b/>
          <w:spacing w:val="-2"/>
        </w:rPr>
      </w:pPr>
      <w:r w:rsidRPr="001304A9">
        <w:rPr>
          <w:b/>
        </w:rPr>
        <w:t>6.3.6</w:t>
      </w:r>
      <w:r w:rsidRPr="001304A9">
        <w:rPr>
          <w:b/>
        </w:rPr>
        <w:tab/>
        <w:t>Compatibilité des éléments en laiton</w:t>
      </w:r>
    </w:p>
    <w:p w:rsidR="007E35F7" w:rsidRPr="001304A9" w:rsidRDefault="007E35F7" w:rsidP="002862FE">
      <w:pPr>
        <w:pStyle w:val="SingleTxtG"/>
        <w:ind w:left="2268"/>
        <w:rPr>
          <w:rFonts w:eastAsia="MS Mincho"/>
          <w:b/>
          <w:spacing w:val="-2"/>
        </w:rPr>
      </w:pPr>
      <w:r w:rsidRPr="001304A9">
        <w:rPr>
          <w:b/>
        </w:rPr>
        <w:t>Tous les tuyaux à gaz et tous les raccords comprenant des composants en laiton doivent être soumis à l</w:t>
      </w:r>
      <w:r w:rsidR="00246DCB" w:rsidRPr="001304A9">
        <w:rPr>
          <w:b/>
        </w:rPr>
        <w:t>’</w:t>
      </w:r>
      <w:r w:rsidRPr="001304A9">
        <w:rPr>
          <w:b/>
        </w:rPr>
        <w:t>épreuve de compatibilité des éléments en laiton conformément aux dispositions du paragraphe 12.2 de l</w:t>
      </w:r>
      <w:r w:rsidR="00246DCB" w:rsidRPr="001304A9">
        <w:rPr>
          <w:b/>
        </w:rPr>
        <w:t>’</w:t>
      </w:r>
      <w:r w:rsidR="005C0306">
        <w:rPr>
          <w:b/>
        </w:rPr>
        <w:t>a</w:t>
      </w:r>
      <w:r w:rsidRPr="001304A9">
        <w:rPr>
          <w:b/>
        </w:rPr>
        <w:t>nnexe</w:t>
      </w:r>
      <w:r w:rsidR="005C0306">
        <w:rPr>
          <w:b/>
        </w:rPr>
        <w:t> </w:t>
      </w:r>
      <w:r w:rsidRPr="001304A9">
        <w:rPr>
          <w:b/>
        </w:rPr>
        <w:t>16.</w:t>
      </w:r>
    </w:p>
    <w:p w:rsidR="007E35F7" w:rsidRPr="001304A9" w:rsidRDefault="007E35F7" w:rsidP="005C0306">
      <w:pPr>
        <w:pStyle w:val="SingleTxtG"/>
        <w:keepLines/>
        <w:ind w:left="2268"/>
        <w:rPr>
          <w:rFonts w:eastAsia="MS Mincho"/>
          <w:b/>
          <w:spacing w:val="-2"/>
        </w:rPr>
      </w:pPr>
      <w:r w:rsidRPr="001304A9">
        <w:rPr>
          <w:b/>
        </w:rPr>
        <w:t>Après cette épreuve, le tuyau à gaz et son (ses) raccord(s) doivent être soumis à l</w:t>
      </w:r>
      <w:r w:rsidR="00246DCB" w:rsidRPr="001304A9">
        <w:rPr>
          <w:b/>
        </w:rPr>
        <w:t>’</w:t>
      </w:r>
      <w:r w:rsidRPr="001304A9">
        <w:rPr>
          <w:b/>
        </w:rPr>
        <w:t>épreuve d</w:t>
      </w:r>
      <w:r w:rsidR="00246DCB" w:rsidRPr="001304A9">
        <w:rPr>
          <w:b/>
        </w:rPr>
        <w:t>’</w:t>
      </w:r>
      <w:r w:rsidRPr="001304A9">
        <w:rPr>
          <w:b/>
        </w:rPr>
        <w:t>étanchéité décrite aux paragraphes 5, 6 et 7 de l</w:t>
      </w:r>
      <w:r w:rsidR="00246DCB" w:rsidRPr="001304A9">
        <w:rPr>
          <w:b/>
        </w:rPr>
        <w:t>’</w:t>
      </w:r>
      <w:r w:rsidR="007F1E0A">
        <w:rPr>
          <w:b/>
        </w:rPr>
        <w:t>a</w:t>
      </w:r>
      <w:r w:rsidRPr="001304A9">
        <w:rPr>
          <w:b/>
        </w:rPr>
        <w:t>nnexe 16 et à l</w:t>
      </w:r>
      <w:r w:rsidR="00246DCB" w:rsidRPr="001304A9">
        <w:rPr>
          <w:b/>
        </w:rPr>
        <w:t>’</w:t>
      </w:r>
      <w:r w:rsidRPr="001304A9">
        <w:rPr>
          <w:b/>
        </w:rPr>
        <w:t>épreuve de surpression conformément au paragraphe 4 de l</w:t>
      </w:r>
      <w:r w:rsidR="00246DCB" w:rsidRPr="001304A9">
        <w:rPr>
          <w:b/>
        </w:rPr>
        <w:t>’</w:t>
      </w:r>
      <w:r w:rsidRPr="001304A9">
        <w:rPr>
          <w:b/>
        </w:rPr>
        <w:t>annexe 16.</w:t>
      </w:r>
      <w:r w:rsidR="00B60B90" w:rsidRPr="001304A9">
        <w:t> ».</w:t>
      </w:r>
    </w:p>
    <w:p w:rsidR="007E35F7" w:rsidRPr="001304A9" w:rsidRDefault="007E35F7" w:rsidP="00CA3262">
      <w:pPr>
        <w:pStyle w:val="SingleTxtG"/>
        <w:rPr>
          <w:rFonts w:eastAsia="MS Mincho"/>
          <w:bCs/>
          <w:spacing w:val="-2"/>
        </w:rPr>
      </w:pPr>
      <w:r w:rsidRPr="001304A9">
        <w:rPr>
          <w:i/>
          <w:iCs/>
        </w:rPr>
        <w:t>L</w:t>
      </w:r>
      <w:r w:rsidR="00246DCB" w:rsidRPr="001304A9">
        <w:rPr>
          <w:i/>
          <w:iCs/>
        </w:rPr>
        <w:t>’</w:t>
      </w:r>
      <w:r w:rsidRPr="001304A9">
        <w:rPr>
          <w:i/>
          <w:iCs/>
        </w:rPr>
        <w:t>annexe 15</w:t>
      </w:r>
      <w:r w:rsidRPr="001304A9">
        <w:t xml:space="preserve"> devient l</w:t>
      </w:r>
      <w:r w:rsidR="00246DCB" w:rsidRPr="001304A9">
        <w:t>’</w:t>
      </w:r>
      <w:r w:rsidRPr="001304A9">
        <w:t>annexe 16.</w:t>
      </w:r>
    </w:p>
    <w:p w:rsidR="007E35F7" w:rsidRPr="001304A9" w:rsidRDefault="007E35F7" w:rsidP="00CA3262">
      <w:pPr>
        <w:pStyle w:val="SingleTxtG"/>
        <w:rPr>
          <w:rFonts w:eastAsia="MS Mincho"/>
          <w:bCs/>
          <w:spacing w:val="-2"/>
        </w:rPr>
      </w:pPr>
      <w:r w:rsidRPr="001304A9">
        <w:rPr>
          <w:i/>
          <w:iCs/>
        </w:rPr>
        <w:t>L</w:t>
      </w:r>
      <w:r w:rsidR="00246DCB" w:rsidRPr="001304A9">
        <w:rPr>
          <w:i/>
          <w:iCs/>
        </w:rPr>
        <w:t>’</w:t>
      </w:r>
      <w:r w:rsidRPr="001304A9">
        <w:rPr>
          <w:i/>
          <w:iCs/>
        </w:rPr>
        <w:t>annexe 16</w:t>
      </w:r>
      <w:r w:rsidRPr="001304A9">
        <w:t xml:space="preserve"> devient l</w:t>
      </w:r>
      <w:r w:rsidR="00246DCB" w:rsidRPr="001304A9">
        <w:t>’</w:t>
      </w:r>
      <w:r w:rsidRPr="001304A9">
        <w:t>annexe 17.</w:t>
      </w:r>
    </w:p>
    <w:p w:rsidR="007E35F7" w:rsidRPr="001304A9" w:rsidRDefault="007E35F7" w:rsidP="00CA3262">
      <w:pPr>
        <w:pStyle w:val="SingleTxtG"/>
        <w:rPr>
          <w:rFonts w:eastAsia="MS Mincho"/>
          <w:bCs/>
          <w:spacing w:val="-2"/>
        </w:rPr>
      </w:pPr>
      <w:r w:rsidRPr="001304A9">
        <w:rPr>
          <w:i/>
          <w:iCs/>
        </w:rPr>
        <w:t>L</w:t>
      </w:r>
      <w:r w:rsidR="00246DCB" w:rsidRPr="001304A9">
        <w:rPr>
          <w:i/>
          <w:iCs/>
        </w:rPr>
        <w:t>’</w:t>
      </w:r>
      <w:r w:rsidRPr="001304A9">
        <w:rPr>
          <w:i/>
          <w:iCs/>
        </w:rPr>
        <w:t xml:space="preserve">annexe 17 </w:t>
      </w:r>
      <w:r w:rsidRPr="001304A9">
        <w:t>devient l</w:t>
      </w:r>
      <w:r w:rsidR="00246DCB" w:rsidRPr="001304A9">
        <w:t>’</w:t>
      </w:r>
      <w:r w:rsidRPr="001304A9">
        <w:t>annexe 18.</w:t>
      </w:r>
    </w:p>
    <w:p w:rsidR="007E35F7" w:rsidRPr="001304A9" w:rsidRDefault="007E35F7" w:rsidP="00CA3262">
      <w:pPr>
        <w:pStyle w:val="HChG"/>
      </w:pPr>
      <w:r w:rsidRPr="001304A9">
        <w:tab/>
        <w:t>II.</w:t>
      </w:r>
      <w:r w:rsidRPr="001304A9">
        <w:tab/>
        <w:t>Justification</w:t>
      </w:r>
    </w:p>
    <w:p w:rsidR="007E35F7" w:rsidRPr="001304A9" w:rsidRDefault="007E35F7" w:rsidP="007E35F7">
      <w:pPr>
        <w:pStyle w:val="SingleTxtG"/>
      </w:pPr>
      <w:r w:rsidRPr="001304A9">
        <w:t>1.</w:t>
      </w:r>
      <w:r w:rsidRPr="001304A9">
        <w:tab/>
        <w:t>La présente proposition vise à tenir compte, dan</w:t>
      </w:r>
      <w:r w:rsidR="00CA3262" w:rsidRPr="001304A9">
        <w:t xml:space="preserve">s les dispositions du Règlement </w:t>
      </w:r>
      <w:r w:rsidRPr="001304A9">
        <w:t>n</w:t>
      </w:r>
      <w:r w:rsidR="00CA3262" w:rsidRPr="001304A9">
        <w:rPr>
          <w:vertAlign w:val="superscript"/>
        </w:rPr>
        <w:t>o</w:t>
      </w:r>
      <w:r w:rsidRPr="001304A9">
        <w:t> 67, des avancées techniques actuelles. Les tuyaux autres que sans soudure à simple et double paroi sont déjà utilisés dans les domaines du freinage et de l</w:t>
      </w:r>
      <w:r w:rsidR="00246DCB" w:rsidRPr="001304A9">
        <w:t>’</w:t>
      </w:r>
      <w:r w:rsidRPr="001304A9">
        <w:t>alimentation en carburant car ils permettent une grande diversité de formes et de techniques de raccordement. Pour être utilisés, ils doivent pouvoir résister à de fortes pressions et être dotés d</w:t>
      </w:r>
      <w:r w:rsidR="00246DCB" w:rsidRPr="001304A9">
        <w:t>’</w:t>
      </w:r>
      <w:r w:rsidRPr="001304A9">
        <w:t>une haute résistance aux impulsi</w:t>
      </w:r>
      <w:r w:rsidR="00CA3262" w:rsidRPr="001304A9">
        <w:t xml:space="preserve">ons de pression. Le Règlement </w:t>
      </w:r>
      <w:r w:rsidR="00CA3262" w:rsidRPr="001304A9">
        <w:rPr>
          <w:rFonts w:eastAsia="MS Mincho"/>
        </w:rPr>
        <w:t>n</w:t>
      </w:r>
      <w:r w:rsidR="00CA3262" w:rsidRPr="001304A9">
        <w:rPr>
          <w:rFonts w:eastAsia="MS Mincho"/>
          <w:vertAlign w:val="superscript"/>
        </w:rPr>
        <w:t>o</w:t>
      </w:r>
      <w:r w:rsidR="00CA3262" w:rsidRPr="001304A9">
        <w:t> </w:t>
      </w:r>
      <w:r w:rsidRPr="001304A9">
        <w:t>67 devrait permettre l</w:t>
      </w:r>
      <w:r w:rsidR="00246DCB" w:rsidRPr="001304A9">
        <w:t>’</w:t>
      </w:r>
      <w:r w:rsidRPr="001304A9">
        <w:t>utilisation de cette technologie éprouvée, pour autant que le tuyau satisfasse aux épreuves applicables de l</w:t>
      </w:r>
      <w:r w:rsidR="00246DCB" w:rsidRPr="001304A9">
        <w:t>’</w:t>
      </w:r>
      <w:r w:rsidR="00CA3262" w:rsidRPr="001304A9">
        <w:t xml:space="preserve">annexe 15. Le paragraphe </w:t>
      </w:r>
      <w:r w:rsidRPr="001304A9">
        <w:t>17.7.1 est modifié en conséquence.</w:t>
      </w:r>
    </w:p>
    <w:p w:rsidR="007E35F7" w:rsidRPr="001304A9" w:rsidRDefault="007E35F7" w:rsidP="007E35F7">
      <w:pPr>
        <w:pStyle w:val="SingleTxtG"/>
      </w:pPr>
      <w:r w:rsidRPr="001304A9">
        <w:t>2.</w:t>
      </w:r>
      <w:r w:rsidRPr="001304A9">
        <w:tab/>
        <w:t>La présente proposition vise à assouplir les prescriptions du Règlement n</w:t>
      </w:r>
      <w:r w:rsidR="00CA3262" w:rsidRPr="001304A9">
        <w:rPr>
          <w:vertAlign w:val="superscript"/>
        </w:rPr>
        <w:t>o</w:t>
      </w:r>
      <w:r w:rsidRPr="001304A9">
        <w:t> 67, dans l</w:t>
      </w:r>
      <w:r w:rsidR="00246DCB" w:rsidRPr="001304A9">
        <w:t>’</w:t>
      </w:r>
      <w:r w:rsidRPr="001304A9">
        <w:t>optique d</w:t>
      </w:r>
      <w:r w:rsidR="00246DCB" w:rsidRPr="001304A9">
        <w:t>’</w:t>
      </w:r>
      <w:r w:rsidRPr="001304A9">
        <w:t>un processus de commercialisation rapide du GPL. Les essais de présélection réalisés par les fabricants sont prometteurs.</w:t>
      </w:r>
    </w:p>
    <w:p w:rsidR="007E35F7" w:rsidRPr="001304A9" w:rsidRDefault="007E35F7" w:rsidP="007E35F7">
      <w:pPr>
        <w:pStyle w:val="SingleTxtG"/>
      </w:pPr>
      <w:r w:rsidRPr="001304A9">
        <w:t>3.</w:t>
      </w:r>
      <w:r w:rsidRPr="001304A9">
        <w:tab/>
        <w:t>Les informations techniques sur lesquelles se fonde la présente proposition ont été présentées à la 109</w:t>
      </w:r>
      <w:r w:rsidRPr="001304A9">
        <w:rPr>
          <w:vertAlign w:val="superscript"/>
        </w:rPr>
        <w:t>e</w:t>
      </w:r>
      <w:r w:rsidR="00C140DC" w:rsidRPr="001304A9">
        <w:t> </w:t>
      </w:r>
      <w:r w:rsidRPr="001304A9">
        <w:t>session du GRSG (voir le document informel GRSG-109-14, diapositives 11 à 21).</w:t>
      </w:r>
    </w:p>
    <w:p w:rsidR="007E35F7" w:rsidRPr="001304A9" w:rsidRDefault="007E35F7" w:rsidP="007E35F7">
      <w:pPr>
        <w:pStyle w:val="SingleTxtG"/>
      </w:pPr>
      <w:r w:rsidRPr="001304A9">
        <w:t>4.</w:t>
      </w:r>
      <w:r w:rsidRPr="001304A9">
        <w:tab/>
        <w:t>Lors de sa 110</w:t>
      </w:r>
      <w:r w:rsidRPr="001304A9">
        <w:rPr>
          <w:vertAlign w:val="superscript"/>
        </w:rPr>
        <w:t>e</w:t>
      </w:r>
      <w:r w:rsidR="00C140DC" w:rsidRPr="001304A9">
        <w:t> </w:t>
      </w:r>
      <w:r w:rsidRPr="001304A9">
        <w:t>session, le GRSG a étudié la possibilité d</w:t>
      </w:r>
      <w:r w:rsidR="00246DCB" w:rsidRPr="001304A9">
        <w:t>’</w:t>
      </w:r>
      <w:r w:rsidRPr="001304A9">
        <w:t>inclure les tuyauteries d</w:t>
      </w:r>
      <w:r w:rsidR="00246DCB" w:rsidRPr="001304A9">
        <w:t>’</w:t>
      </w:r>
      <w:r w:rsidRPr="001304A9">
        <w:t>alimentation et les raccords dans le processus de certification, plutôt que de s</w:t>
      </w:r>
      <w:r w:rsidR="00246DCB" w:rsidRPr="001304A9">
        <w:t>’</w:t>
      </w:r>
      <w:r w:rsidRPr="001304A9">
        <w:t>en tenir aux définitions générales.</w:t>
      </w:r>
    </w:p>
    <w:p w:rsidR="007E35F7" w:rsidRPr="001304A9" w:rsidRDefault="007E35F7" w:rsidP="007E35F7">
      <w:pPr>
        <w:pStyle w:val="SingleTxtG"/>
      </w:pPr>
      <w:r w:rsidRPr="001304A9">
        <w:t>5.</w:t>
      </w:r>
      <w:r w:rsidRPr="001304A9">
        <w:tab/>
        <w:t>Au cours de sa 111</w:t>
      </w:r>
      <w:r w:rsidRPr="001304A9">
        <w:rPr>
          <w:vertAlign w:val="superscript"/>
        </w:rPr>
        <w:t>e</w:t>
      </w:r>
      <w:r w:rsidR="00C140DC" w:rsidRPr="001304A9">
        <w:t> </w:t>
      </w:r>
      <w:r w:rsidRPr="001304A9">
        <w:t>session, le GRSG a examiné la possibilité d</w:t>
      </w:r>
      <w:r w:rsidR="00246DCB" w:rsidRPr="001304A9">
        <w:t>’</w:t>
      </w:r>
      <w:r w:rsidRPr="001304A9">
        <w:t>ajouter d</w:t>
      </w:r>
      <w:r w:rsidR="00246DCB" w:rsidRPr="001304A9">
        <w:t>’</w:t>
      </w:r>
      <w:r w:rsidRPr="001304A9">
        <w:t>autres matériaux (par exemple l</w:t>
      </w:r>
      <w:r w:rsidR="00246DCB" w:rsidRPr="001304A9">
        <w:t>’</w:t>
      </w:r>
      <w:r w:rsidRPr="001304A9">
        <w:t>aluminium).</w:t>
      </w:r>
    </w:p>
    <w:p w:rsidR="007E35F7" w:rsidRPr="001304A9" w:rsidRDefault="007E35F7" w:rsidP="007E35F7">
      <w:pPr>
        <w:pStyle w:val="SingleTxtG"/>
      </w:pPr>
      <w:r w:rsidRPr="001304A9">
        <w:t>6.</w:t>
      </w:r>
      <w:r w:rsidRPr="001304A9">
        <w:tab/>
        <w:t>Au cours de sa 112</w:t>
      </w:r>
      <w:r w:rsidRPr="001304A9">
        <w:rPr>
          <w:vertAlign w:val="superscript"/>
        </w:rPr>
        <w:t>e</w:t>
      </w:r>
      <w:r w:rsidR="00C140DC" w:rsidRPr="001304A9">
        <w:t> </w:t>
      </w:r>
      <w:r w:rsidRPr="001304A9">
        <w:t>session, il a examiné plusieurs des observations formulées, qui ont été prises en compte dans la présente proposition actualisée.</w:t>
      </w:r>
    </w:p>
    <w:p w:rsidR="007E35F7" w:rsidRPr="001304A9" w:rsidRDefault="007E35F7" w:rsidP="007E35F7">
      <w:pPr>
        <w:pStyle w:val="SingleTxtG"/>
      </w:pPr>
      <w:r w:rsidRPr="001304A9">
        <w:t>7.</w:t>
      </w:r>
      <w:r w:rsidRPr="001304A9">
        <w:tab/>
        <w:t>Cette proposition vise à mettre en œuvre les prescriptions générales d</w:t>
      </w:r>
      <w:r w:rsidR="00246DCB" w:rsidRPr="001304A9">
        <w:t>’</w:t>
      </w:r>
      <w:r w:rsidRPr="001304A9">
        <w:t xml:space="preserve">épreuve applicables aux tuyaux à gaz et à leurs raccords en introduisant un amendement au Règlement </w:t>
      </w:r>
      <w:r w:rsidR="00C140DC" w:rsidRPr="001304A9">
        <w:rPr>
          <w:rFonts w:eastAsia="MS Mincho"/>
        </w:rPr>
        <w:t>n</w:t>
      </w:r>
      <w:r w:rsidR="00C140DC" w:rsidRPr="001304A9">
        <w:rPr>
          <w:rFonts w:eastAsia="MS Mincho"/>
          <w:vertAlign w:val="superscript"/>
        </w:rPr>
        <w:t>o</w:t>
      </w:r>
      <w:r w:rsidR="00C140DC" w:rsidRPr="001304A9">
        <w:t> </w:t>
      </w:r>
      <w:r w:rsidRPr="001304A9">
        <w:t>67. Les épreuves spécifiques ainsi ajoutées sont fondées sur l</w:t>
      </w:r>
      <w:r w:rsidR="00246DCB" w:rsidRPr="001304A9">
        <w:t>’</w:t>
      </w:r>
      <w:r w:rsidRPr="001304A9">
        <w:t>expérience selon laquelle les tuyaux d</w:t>
      </w:r>
      <w:r w:rsidR="00246DCB" w:rsidRPr="001304A9">
        <w:t>’</w:t>
      </w:r>
      <w:r w:rsidRPr="001304A9">
        <w:t>alimentation en carburant utilisés dans les équipements destinés aux véhicules fonctionnant au gaz naturel comprimé (norme ISO 15500) subissent une pression supérieure à ce qu</w:t>
      </w:r>
      <w:r w:rsidR="00246DCB" w:rsidRPr="001304A9">
        <w:t>’</w:t>
      </w:r>
      <w:r w:rsidRPr="001304A9">
        <w:t>elle est dans le cas du GPL.</w:t>
      </w:r>
    </w:p>
    <w:p w:rsidR="007E35F7" w:rsidRPr="001304A9" w:rsidRDefault="007E35F7" w:rsidP="00C140DC">
      <w:pPr>
        <w:pStyle w:val="SingleTxtG"/>
      </w:pPr>
      <w:r w:rsidRPr="001304A9">
        <w:t>8.</w:t>
      </w:r>
      <w:r w:rsidRPr="001304A9">
        <w:tab/>
        <w:t>Les annexes 15, 16 et 17 deviennent les annexes 16, 17 et 18 respectivement (et les renvois à ces annexes sont modifiés en conséquence).</w:t>
      </w:r>
    </w:p>
    <w:p w:rsidR="00F9573C" w:rsidRPr="001304A9" w:rsidRDefault="007E35F7" w:rsidP="007E35F7">
      <w:pPr>
        <w:pStyle w:val="SingleTxtG"/>
        <w:spacing w:before="240" w:after="0"/>
        <w:jc w:val="center"/>
        <w:rPr>
          <w:u w:val="single"/>
        </w:rPr>
      </w:pPr>
      <w:r w:rsidRPr="001304A9">
        <w:rPr>
          <w:u w:val="single"/>
        </w:rPr>
        <w:tab/>
      </w:r>
      <w:r w:rsidRPr="001304A9">
        <w:rPr>
          <w:u w:val="single"/>
        </w:rPr>
        <w:tab/>
      </w:r>
      <w:r w:rsidRPr="001304A9">
        <w:rPr>
          <w:u w:val="single"/>
        </w:rPr>
        <w:tab/>
      </w:r>
    </w:p>
    <w:sectPr w:rsidR="00F9573C" w:rsidRPr="001304A9" w:rsidSect="00ED519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footnotePr>
        <w:numFmt w:val="chicago"/>
        <w:numStart w:val="2"/>
      </w:footnotePr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56" w:rsidRDefault="00DD7D56" w:rsidP="00F95C08">
      <w:pPr>
        <w:spacing w:line="240" w:lineRule="auto"/>
      </w:pPr>
    </w:p>
  </w:endnote>
  <w:endnote w:type="continuationSeparator" w:id="0">
    <w:p w:rsidR="00DD7D56" w:rsidRPr="00AC3823" w:rsidRDefault="00DD7D56" w:rsidP="00AC3823">
      <w:pPr>
        <w:pStyle w:val="Footer"/>
      </w:pPr>
    </w:p>
  </w:endnote>
  <w:endnote w:type="continuationNotice" w:id="1">
    <w:p w:rsidR="00DD7D56" w:rsidRDefault="00DD7D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6" w:rsidRPr="00ED519B" w:rsidRDefault="00DD7D56" w:rsidP="00ED519B">
    <w:pPr>
      <w:pStyle w:val="Footer"/>
      <w:tabs>
        <w:tab w:val="right" w:pos="9638"/>
      </w:tabs>
    </w:pPr>
    <w:r w:rsidRPr="00ED519B">
      <w:rPr>
        <w:b/>
        <w:sz w:val="18"/>
      </w:rPr>
      <w:fldChar w:fldCharType="begin"/>
    </w:r>
    <w:r w:rsidRPr="00ED519B">
      <w:rPr>
        <w:b/>
        <w:sz w:val="18"/>
      </w:rPr>
      <w:instrText xml:space="preserve"> PAGE  \* MERGEFORMAT </w:instrText>
    </w:r>
    <w:r w:rsidRPr="00ED519B">
      <w:rPr>
        <w:b/>
        <w:sz w:val="18"/>
      </w:rPr>
      <w:fldChar w:fldCharType="separate"/>
    </w:r>
    <w:r w:rsidR="00845D1D">
      <w:rPr>
        <w:b/>
        <w:noProof/>
        <w:sz w:val="18"/>
      </w:rPr>
      <w:t>8</w:t>
    </w:r>
    <w:r w:rsidRPr="00ED519B">
      <w:rPr>
        <w:b/>
        <w:sz w:val="18"/>
      </w:rPr>
      <w:fldChar w:fldCharType="end"/>
    </w:r>
    <w:r>
      <w:rPr>
        <w:b/>
        <w:sz w:val="18"/>
      </w:rPr>
      <w:tab/>
    </w:r>
    <w:r>
      <w:t>GE.17-12823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6" w:rsidRPr="00ED519B" w:rsidRDefault="00DD7D56" w:rsidP="00ED519B">
    <w:pPr>
      <w:pStyle w:val="Footer"/>
      <w:tabs>
        <w:tab w:val="right" w:pos="9638"/>
      </w:tabs>
      <w:rPr>
        <w:b/>
        <w:sz w:val="18"/>
      </w:rPr>
    </w:pPr>
    <w:r>
      <w:t>GE.17-12823</w:t>
    </w:r>
    <w:r>
      <w:tab/>
    </w:r>
    <w:r w:rsidRPr="00ED519B">
      <w:rPr>
        <w:b/>
        <w:sz w:val="18"/>
      </w:rPr>
      <w:fldChar w:fldCharType="begin"/>
    </w:r>
    <w:r w:rsidRPr="00ED519B">
      <w:rPr>
        <w:b/>
        <w:sz w:val="18"/>
      </w:rPr>
      <w:instrText xml:space="preserve"> PAGE  \* MERGEFORMAT </w:instrText>
    </w:r>
    <w:r w:rsidRPr="00ED519B">
      <w:rPr>
        <w:b/>
        <w:sz w:val="18"/>
      </w:rPr>
      <w:fldChar w:fldCharType="separate"/>
    </w:r>
    <w:r w:rsidR="00845D1D">
      <w:rPr>
        <w:b/>
        <w:noProof/>
        <w:sz w:val="18"/>
      </w:rPr>
      <w:t>7</w:t>
    </w:r>
    <w:r w:rsidRPr="00ED519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6" w:rsidRPr="00ED519B" w:rsidRDefault="00DD7D56" w:rsidP="00ED519B">
    <w:pPr>
      <w:pStyle w:val="Footer"/>
      <w:spacing w:before="120"/>
      <w:rPr>
        <w:sz w:val="20"/>
      </w:rPr>
    </w:pPr>
    <w:r>
      <w:rPr>
        <w:sz w:val="20"/>
      </w:rPr>
      <w:t>GE.</w:t>
    </w: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17-12823  (F)    040817    140817</w:t>
    </w:r>
    <w:r>
      <w:rPr>
        <w:sz w:val="20"/>
      </w:rPr>
      <w:br/>
    </w:r>
    <w:r w:rsidRPr="00ED519B">
      <w:rPr>
        <w:rFonts w:ascii="C39T30Lfz" w:hAnsi="C39T30Lfz"/>
        <w:sz w:val="56"/>
      </w:rPr>
      <w:t></w:t>
    </w:r>
    <w:r w:rsidRPr="00ED519B">
      <w:rPr>
        <w:rFonts w:ascii="C39T30Lfz" w:hAnsi="C39T30Lfz"/>
        <w:sz w:val="56"/>
      </w:rPr>
      <w:t></w:t>
    </w:r>
    <w:r w:rsidRPr="00ED519B">
      <w:rPr>
        <w:rFonts w:ascii="C39T30Lfz" w:hAnsi="C39T30Lfz"/>
        <w:sz w:val="56"/>
      </w:rPr>
      <w:t></w:t>
    </w:r>
    <w:r w:rsidRPr="00ED519B">
      <w:rPr>
        <w:rFonts w:ascii="C39T30Lfz" w:hAnsi="C39T30Lfz"/>
        <w:sz w:val="56"/>
      </w:rPr>
      <w:t></w:t>
    </w:r>
    <w:r w:rsidRPr="00ED519B">
      <w:rPr>
        <w:rFonts w:ascii="C39T30Lfz" w:hAnsi="C39T30Lfz"/>
        <w:sz w:val="56"/>
      </w:rPr>
      <w:t></w:t>
    </w:r>
    <w:r w:rsidRPr="00ED519B">
      <w:rPr>
        <w:rFonts w:ascii="C39T30Lfz" w:hAnsi="C39T30Lfz"/>
        <w:sz w:val="56"/>
      </w:rPr>
      <w:t></w:t>
    </w:r>
    <w:r w:rsidRPr="00ED519B">
      <w:rPr>
        <w:rFonts w:ascii="C39T30Lfz" w:hAnsi="C39T30Lfz"/>
        <w:sz w:val="56"/>
      </w:rPr>
      <w:t></w:t>
    </w:r>
    <w:r w:rsidRPr="00ED519B">
      <w:rPr>
        <w:rFonts w:ascii="C39T30Lfz" w:hAnsi="C39T30Lfz"/>
        <w:sz w:val="56"/>
      </w:rPr>
      <w:t></w:t>
    </w:r>
    <w:r w:rsidRPr="00ED519B">
      <w:rPr>
        <w:rFonts w:ascii="C39T30Lfz" w:hAnsi="C39T30Lfz"/>
        <w:sz w:val="56"/>
      </w:rPr>
      <w:t></w:t>
    </w:r>
    <w:r>
      <w:rPr>
        <w:noProof/>
        <w:sz w:val="20"/>
        <w:lang w:val="en-GB" w:eastAsia="en-GB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 descr="https://undocs.org/m2/QRCode.ashx?DS=ECE/TRANS/WP.29/GRSG/2017/27&amp;Size=2&amp;Lang=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G/2017/27&amp;Size=2&amp;Lang=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56" w:rsidRPr="00AC3823" w:rsidRDefault="00DD7D56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DD7D56" w:rsidRPr="00AC3823" w:rsidRDefault="00DD7D56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DD7D56" w:rsidRPr="00AC3823" w:rsidRDefault="00DD7D56">
      <w:pPr>
        <w:spacing w:line="240" w:lineRule="auto"/>
        <w:rPr>
          <w:sz w:val="2"/>
          <w:szCs w:val="2"/>
        </w:rPr>
      </w:pPr>
    </w:p>
  </w:footnote>
  <w:footnote w:id="2">
    <w:p w:rsidR="00DD7D56" w:rsidRPr="001475C5" w:rsidRDefault="00DD7D56" w:rsidP="007E35F7">
      <w:pPr>
        <w:pStyle w:val="FootnoteText"/>
        <w:rPr>
          <w:spacing w:val="-2"/>
        </w:rPr>
      </w:pPr>
      <w:r w:rsidRPr="001475C5">
        <w:rPr>
          <w:sz w:val="20"/>
        </w:rPr>
        <w:tab/>
        <w:t>*</w:t>
      </w:r>
      <w:r w:rsidRPr="001475C5">
        <w:rPr>
          <w:sz w:val="20"/>
        </w:rPr>
        <w:tab/>
      </w:r>
      <w:r w:rsidRPr="001475C5">
        <w:rPr>
          <w:spacing w:val="-2"/>
        </w:rPr>
        <w:t>Conformément au programme de travail du Comité des transports intérieurs pour la période 2016-2017 (ECE/TRANS/254, par. 159, et ECE/TRANS/2016/28/Add.1, module 3.1), le Forum mondial a pour mission d</w:t>
      </w:r>
      <w:r>
        <w:rPr>
          <w:spacing w:val="-2"/>
        </w:rPr>
        <w:t>’</w:t>
      </w:r>
      <w:r w:rsidRPr="001475C5">
        <w:rPr>
          <w:spacing w:val="-2"/>
        </w:rPr>
        <w:t>élaborer, d</w:t>
      </w:r>
      <w:r>
        <w:rPr>
          <w:spacing w:val="-2"/>
        </w:rPr>
        <w:t>’</w:t>
      </w:r>
      <w:r w:rsidRPr="001475C5">
        <w:rPr>
          <w:spacing w:val="-2"/>
        </w:rPr>
        <w:t>harmoniser et de mettre à jour les Règlements en vue d</w:t>
      </w:r>
      <w:r>
        <w:rPr>
          <w:spacing w:val="-2"/>
        </w:rPr>
        <w:t>’</w:t>
      </w:r>
      <w:r w:rsidRPr="001475C5">
        <w:rPr>
          <w:spacing w:val="-2"/>
        </w:rPr>
        <w:t>améliorer les caractéristiques fonctionnelles des véhicules. Le présent document est soumis en vertu de ce mandat.</w:t>
      </w:r>
    </w:p>
  </w:footnote>
  <w:footnote w:id="3">
    <w:p w:rsidR="00DD7D56" w:rsidRPr="009D4183" w:rsidRDefault="00DD7D56">
      <w:pPr>
        <w:pStyle w:val="FootnoteText"/>
      </w:pPr>
      <w:r>
        <w:rPr>
          <w:rStyle w:val="FootnoteReference"/>
        </w:rPr>
        <w:tab/>
      </w:r>
      <w:r w:rsidRPr="009D4183">
        <w:rPr>
          <w:rStyle w:val="FootnoteReference"/>
          <w:sz w:val="20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 w:rsidRPr="00BF24D4">
        <w:rPr>
          <w:b/>
          <w:bCs/>
        </w:rPr>
        <w:t>Parties non métalliques seulement.</w:t>
      </w:r>
    </w:p>
  </w:footnote>
  <w:footnote w:id="4">
    <w:p w:rsidR="00DD7D56" w:rsidRPr="002F4E19" w:rsidRDefault="00DD7D56">
      <w:pPr>
        <w:pStyle w:val="FootnoteText"/>
      </w:pPr>
      <w:r>
        <w:rPr>
          <w:rStyle w:val="FootnoteReference"/>
        </w:rPr>
        <w:tab/>
      </w:r>
      <w:r w:rsidRPr="002F4E19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BF24D4">
        <w:rPr>
          <w:b/>
          <w:bCs/>
        </w:rPr>
        <w:t>Parties métalliques seulement.</w:t>
      </w:r>
    </w:p>
  </w:footnote>
  <w:footnote w:id="5">
    <w:p w:rsidR="00DD7D56" w:rsidRDefault="00DD7D56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</w:r>
      <w:r w:rsidRPr="00BF24D4">
        <w:rPr>
          <w:b/>
          <w:bCs/>
        </w:rPr>
        <w:t>Parties métalliques seulement.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6" w:rsidRPr="00ED519B" w:rsidRDefault="00845D1D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F61972">
      <w:t>ECE/TRANS/WP.29/GRSG/2017/27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6" w:rsidRPr="00ED519B" w:rsidRDefault="00845D1D" w:rsidP="00ED519B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F61972">
      <w:t>ECE/TRANS/WP.29/GRSG/2017/27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4097"/>
  </w:hdrShapeDefaults>
  <w:footnotePr>
    <w:numFmt w:val="chicago"/>
    <w:numStart w:val="2"/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0E"/>
    <w:rsid w:val="00017F94"/>
    <w:rsid w:val="00023842"/>
    <w:rsid w:val="000334F9"/>
    <w:rsid w:val="00045FEB"/>
    <w:rsid w:val="000510EB"/>
    <w:rsid w:val="0007796D"/>
    <w:rsid w:val="00095073"/>
    <w:rsid w:val="000B7790"/>
    <w:rsid w:val="000C4B05"/>
    <w:rsid w:val="00111F2F"/>
    <w:rsid w:val="001304A9"/>
    <w:rsid w:val="0014365E"/>
    <w:rsid w:val="00143C66"/>
    <w:rsid w:val="001475C5"/>
    <w:rsid w:val="00176178"/>
    <w:rsid w:val="001A78F6"/>
    <w:rsid w:val="001B7A52"/>
    <w:rsid w:val="001F525A"/>
    <w:rsid w:val="00205C8C"/>
    <w:rsid w:val="00223272"/>
    <w:rsid w:val="00246DCB"/>
    <w:rsid w:val="0024779E"/>
    <w:rsid w:val="00254767"/>
    <w:rsid w:val="00257168"/>
    <w:rsid w:val="002641C3"/>
    <w:rsid w:val="002725D8"/>
    <w:rsid w:val="002744B8"/>
    <w:rsid w:val="002832AC"/>
    <w:rsid w:val="002862FE"/>
    <w:rsid w:val="002D7C93"/>
    <w:rsid w:val="002F4E19"/>
    <w:rsid w:val="00305801"/>
    <w:rsid w:val="00315A14"/>
    <w:rsid w:val="00382713"/>
    <w:rsid w:val="003916DE"/>
    <w:rsid w:val="003B148A"/>
    <w:rsid w:val="003B337E"/>
    <w:rsid w:val="003B3F6C"/>
    <w:rsid w:val="003C6B83"/>
    <w:rsid w:val="003E3C4B"/>
    <w:rsid w:val="00440027"/>
    <w:rsid w:val="00441C3B"/>
    <w:rsid w:val="004433B9"/>
    <w:rsid w:val="00446FE5"/>
    <w:rsid w:val="00452396"/>
    <w:rsid w:val="004837D8"/>
    <w:rsid w:val="004D3237"/>
    <w:rsid w:val="004E468C"/>
    <w:rsid w:val="005376A9"/>
    <w:rsid w:val="005505B7"/>
    <w:rsid w:val="00573BE5"/>
    <w:rsid w:val="00586ED3"/>
    <w:rsid w:val="00596AA9"/>
    <w:rsid w:val="005C0306"/>
    <w:rsid w:val="00617C0A"/>
    <w:rsid w:val="006A2B65"/>
    <w:rsid w:val="006D31A3"/>
    <w:rsid w:val="0071601D"/>
    <w:rsid w:val="00716951"/>
    <w:rsid w:val="00757F6B"/>
    <w:rsid w:val="007679F1"/>
    <w:rsid w:val="007837FE"/>
    <w:rsid w:val="007A5988"/>
    <w:rsid w:val="007A62E6"/>
    <w:rsid w:val="007D4B7E"/>
    <w:rsid w:val="007E35F7"/>
    <w:rsid w:val="007F1E0A"/>
    <w:rsid w:val="007F20FA"/>
    <w:rsid w:val="0080684C"/>
    <w:rsid w:val="00834C2F"/>
    <w:rsid w:val="00845D1D"/>
    <w:rsid w:val="00860F43"/>
    <w:rsid w:val="00871C75"/>
    <w:rsid w:val="00876233"/>
    <w:rsid w:val="008776DC"/>
    <w:rsid w:val="009116C3"/>
    <w:rsid w:val="0091185F"/>
    <w:rsid w:val="009446C0"/>
    <w:rsid w:val="009705C8"/>
    <w:rsid w:val="009A0439"/>
    <w:rsid w:val="009C1CF4"/>
    <w:rsid w:val="009D3677"/>
    <w:rsid w:val="009D4183"/>
    <w:rsid w:val="009F6B74"/>
    <w:rsid w:val="00A30353"/>
    <w:rsid w:val="00A31A1F"/>
    <w:rsid w:val="00A70DE7"/>
    <w:rsid w:val="00A86CEB"/>
    <w:rsid w:val="00AA5326"/>
    <w:rsid w:val="00AA589E"/>
    <w:rsid w:val="00AC3823"/>
    <w:rsid w:val="00AE323C"/>
    <w:rsid w:val="00AE37FE"/>
    <w:rsid w:val="00AF0CB5"/>
    <w:rsid w:val="00B00181"/>
    <w:rsid w:val="00B00B0D"/>
    <w:rsid w:val="00B34CDA"/>
    <w:rsid w:val="00B5037A"/>
    <w:rsid w:val="00B60B90"/>
    <w:rsid w:val="00B765F7"/>
    <w:rsid w:val="00BA0CA9"/>
    <w:rsid w:val="00BC0623"/>
    <w:rsid w:val="00BD0F87"/>
    <w:rsid w:val="00BF24D4"/>
    <w:rsid w:val="00C02897"/>
    <w:rsid w:val="00C140DC"/>
    <w:rsid w:val="00C3491D"/>
    <w:rsid w:val="00C54F0E"/>
    <w:rsid w:val="00C9044D"/>
    <w:rsid w:val="00C97039"/>
    <w:rsid w:val="00CA3262"/>
    <w:rsid w:val="00CC2737"/>
    <w:rsid w:val="00D3439C"/>
    <w:rsid w:val="00DB1831"/>
    <w:rsid w:val="00DD3BFD"/>
    <w:rsid w:val="00DD7D56"/>
    <w:rsid w:val="00DE2557"/>
    <w:rsid w:val="00DE362B"/>
    <w:rsid w:val="00DF6678"/>
    <w:rsid w:val="00E0299A"/>
    <w:rsid w:val="00E74385"/>
    <w:rsid w:val="00E85C74"/>
    <w:rsid w:val="00EA6547"/>
    <w:rsid w:val="00ED519B"/>
    <w:rsid w:val="00EE2C85"/>
    <w:rsid w:val="00EF2E22"/>
    <w:rsid w:val="00F05C6E"/>
    <w:rsid w:val="00F240CA"/>
    <w:rsid w:val="00F35BAF"/>
    <w:rsid w:val="00F61972"/>
    <w:rsid w:val="00F660DF"/>
    <w:rsid w:val="00F94664"/>
    <w:rsid w:val="00F9573C"/>
    <w:rsid w:val="00F95C08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,(Footnote Reference),BVI fnr, BVI fnr,Footnote symbol,Footnote,Footnote Reference Superscript,SUPERS,-E Fußnotenzeichen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7E35F7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7E35F7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paragraph" w:customStyle="1" w:styleId="Para">
    <w:name w:val="Para"/>
    <w:basedOn w:val="Normal"/>
    <w:qFormat/>
    <w:rsid w:val="007E35F7"/>
    <w:pPr>
      <w:widowControl w:val="0"/>
      <w:suppressAutoHyphens w:val="0"/>
      <w:kinsoku/>
      <w:overflowPunct/>
      <w:autoSpaceDE/>
      <w:autoSpaceDN/>
      <w:adjustRightInd/>
      <w:snapToGrid/>
      <w:spacing w:after="120" w:line="240" w:lineRule="exact"/>
      <w:ind w:left="2268" w:right="1134" w:hanging="1134"/>
      <w:jc w:val="both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E0299A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E0299A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,(Footnote Reference),BVI fnr, BVI fnr,Footnote symbol,Footnote,Footnote Reference Superscript,SUPERS,-E Fußnotenzeichen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7E35F7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7E35F7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paragraph" w:customStyle="1" w:styleId="Para">
    <w:name w:val="Para"/>
    <w:basedOn w:val="Normal"/>
    <w:qFormat/>
    <w:rsid w:val="007E35F7"/>
    <w:pPr>
      <w:widowControl w:val="0"/>
      <w:suppressAutoHyphens w:val="0"/>
      <w:kinsoku/>
      <w:overflowPunct/>
      <w:autoSpaceDE/>
      <w:autoSpaceDN/>
      <w:adjustRightInd/>
      <w:snapToGrid/>
      <w:spacing w:after="120" w:line="240" w:lineRule="exact"/>
      <w:ind w:left="2268" w:right="1134" w:hanging="1134"/>
      <w:jc w:val="both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5949-39CC-47F7-87D4-F7282A87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2499</Words>
  <Characters>14246</Characters>
  <Application>Microsoft Office Word</Application>
  <DocSecurity>4</DocSecurity>
  <Lines>118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ECE/TRANS/WP.29/GRSG/2017/27</vt:lpstr>
      <vt:lpstr>ECE/TRANS/WP.29/GRSG/2017/27</vt:lpstr>
      <vt:lpstr>Tableau 1</vt:lpstr>
    </vt:vector>
  </TitlesOfParts>
  <Company>DCM</Company>
  <LinksUpToDate>false</LinksUpToDate>
  <CharactersWithSpaces>16712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ECE/TRANS/WP.29/GRSG/2017/27</dc:title>
  <dc:creator>Nicolas MORIN</dc:creator>
  <cp:lastModifiedBy>Benedicte Boudol</cp:lastModifiedBy>
  <cp:revision>2</cp:revision>
  <cp:lastPrinted>2017-08-14T09:08:00Z</cp:lastPrinted>
  <dcterms:created xsi:type="dcterms:W3CDTF">2017-08-17T08:29:00Z</dcterms:created>
  <dcterms:modified xsi:type="dcterms:W3CDTF">2017-08-17T08:29:00Z</dcterms:modified>
</cp:coreProperties>
</file>