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CC0F69">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CC0F69" w:rsidP="00CC0F69">
            <w:pPr>
              <w:jc w:val="right"/>
            </w:pPr>
            <w:r w:rsidRPr="00CC0F69">
              <w:rPr>
                <w:sz w:val="40"/>
              </w:rPr>
              <w:t>ECE</w:t>
            </w:r>
            <w:r>
              <w:t>/TRANS/WP.29/GRSG/2017/26</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val="en-GB" w:eastAsia="en-GB"/>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CC0F69" w:rsidP="00C97039">
            <w:pPr>
              <w:spacing w:before="240"/>
            </w:pPr>
            <w:r>
              <w:t>Distr. générale</w:t>
            </w:r>
          </w:p>
          <w:p w:rsidR="00CC0F69" w:rsidRDefault="00CC0F69" w:rsidP="00CC0F69">
            <w:pPr>
              <w:spacing w:line="240" w:lineRule="exact"/>
            </w:pPr>
            <w:r>
              <w:t>28 juillet 2017</w:t>
            </w:r>
          </w:p>
          <w:p w:rsidR="00CC0F69" w:rsidRDefault="00CC0F69" w:rsidP="00CC0F69">
            <w:pPr>
              <w:spacing w:line="240" w:lineRule="exact"/>
            </w:pPr>
            <w:r>
              <w:t>Français</w:t>
            </w:r>
          </w:p>
          <w:p w:rsidR="00CC0F69" w:rsidRPr="00DB58B5" w:rsidRDefault="00CC0F69" w:rsidP="00CC0F69">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w:t>
      </w:r>
      <w:r w:rsidR="000D1719">
        <w:rPr>
          <w:b/>
          <w:sz w:val="28"/>
          <w:szCs w:val="28"/>
        </w:rPr>
        <w:t>’</w:t>
      </w:r>
      <w:r w:rsidRPr="000312C0">
        <w:rPr>
          <w:b/>
          <w:sz w:val="28"/>
          <w:szCs w:val="28"/>
        </w:rPr>
        <w:t>Europe</w:t>
      </w:r>
    </w:p>
    <w:p w:rsidR="007F20FA" w:rsidRDefault="007F20FA" w:rsidP="007F20FA">
      <w:pPr>
        <w:spacing w:before="120"/>
        <w:rPr>
          <w:sz w:val="28"/>
          <w:szCs w:val="28"/>
        </w:rPr>
      </w:pPr>
      <w:r w:rsidRPr="00685843">
        <w:rPr>
          <w:sz w:val="28"/>
          <w:szCs w:val="28"/>
        </w:rPr>
        <w:t>Comité des transports intérieurs</w:t>
      </w:r>
    </w:p>
    <w:p w:rsidR="001F3F58" w:rsidRDefault="001F3F58" w:rsidP="00AF0CB5">
      <w:pPr>
        <w:spacing w:before="120"/>
        <w:rPr>
          <w:b/>
          <w:sz w:val="24"/>
          <w:szCs w:val="24"/>
        </w:rPr>
      </w:pPr>
      <w:r w:rsidRPr="00685843">
        <w:rPr>
          <w:b/>
          <w:sz w:val="24"/>
          <w:szCs w:val="24"/>
        </w:rPr>
        <w:t>Forum mondial de l</w:t>
      </w:r>
      <w:r w:rsidR="000D1719">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rsidR="001F3F58" w:rsidRDefault="001F3F58" w:rsidP="00257168">
      <w:pPr>
        <w:spacing w:before="120" w:after="120" w:line="240" w:lineRule="exact"/>
        <w:rPr>
          <w:b/>
        </w:rPr>
      </w:pPr>
      <w:r>
        <w:rPr>
          <w:b/>
        </w:rPr>
        <w:t>Groupe de travail des dispositions générales de sécurité</w:t>
      </w:r>
    </w:p>
    <w:p w:rsidR="001F3F58" w:rsidRDefault="001F3F58" w:rsidP="00257168">
      <w:pPr>
        <w:spacing w:before="120" w:line="240" w:lineRule="exact"/>
        <w:rPr>
          <w:b/>
        </w:rPr>
      </w:pPr>
      <w:r>
        <w:rPr>
          <w:b/>
        </w:rPr>
        <w:t>113</w:t>
      </w:r>
      <w:r w:rsidRPr="001F3F58">
        <w:rPr>
          <w:b/>
          <w:vertAlign w:val="superscript"/>
        </w:rPr>
        <w:t>e</w:t>
      </w:r>
      <w:r>
        <w:rPr>
          <w:b/>
        </w:rPr>
        <w:t xml:space="preserve"> session</w:t>
      </w:r>
    </w:p>
    <w:p w:rsidR="001F3F58" w:rsidRDefault="001F3F58" w:rsidP="00257168">
      <w:pPr>
        <w:spacing w:line="240" w:lineRule="exact"/>
      </w:pPr>
      <w:r>
        <w:t xml:space="preserve">Genève, </w:t>
      </w:r>
      <w:r w:rsidRPr="005F7EB4">
        <w:rPr>
          <w:lang w:val="fr-FR"/>
        </w:rPr>
        <w:t>10-13 octobre 2017</w:t>
      </w:r>
    </w:p>
    <w:p w:rsidR="001F3F58" w:rsidRPr="005F7EB4" w:rsidRDefault="001F3F58" w:rsidP="001F3F58">
      <w:pPr>
        <w:rPr>
          <w:lang w:val="fr-FR"/>
        </w:rPr>
      </w:pPr>
      <w:r w:rsidRPr="005F7EB4">
        <w:rPr>
          <w:lang w:val="fr-FR"/>
        </w:rPr>
        <w:t>Point 6 a) de l</w:t>
      </w:r>
      <w:r w:rsidR="000D1719">
        <w:rPr>
          <w:lang w:val="fr-FR"/>
        </w:rPr>
        <w:t>’</w:t>
      </w:r>
      <w:r w:rsidRPr="005F7EB4">
        <w:rPr>
          <w:lang w:val="fr-FR"/>
        </w:rPr>
        <w:t>ordre du jour provisoire</w:t>
      </w:r>
    </w:p>
    <w:p w:rsidR="001F3F58" w:rsidRDefault="001F3F58" w:rsidP="001F3F58">
      <w:pPr>
        <w:rPr>
          <w:b/>
          <w:lang w:val="fr-FR"/>
        </w:rPr>
      </w:pPr>
      <w:r w:rsidRPr="005F7EB4">
        <w:rPr>
          <w:b/>
          <w:lang w:val="fr-FR"/>
        </w:rPr>
        <w:t xml:space="preserve">Amendements aux Règlements concernant les véhicules </w:t>
      </w:r>
      <w:r>
        <w:rPr>
          <w:b/>
          <w:lang w:val="fr-FR"/>
        </w:rPr>
        <w:br/>
        <w:t xml:space="preserve">fonctionnant au gaz − Règlement </w:t>
      </w:r>
      <w:r w:rsidRPr="001F3F58">
        <w:rPr>
          <w:rFonts w:eastAsia="MS Mincho"/>
          <w:b/>
          <w:lang w:val="fr-FR"/>
        </w:rPr>
        <w:t>n</w:t>
      </w:r>
      <w:r w:rsidRPr="001F3F58">
        <w:rPr>
          <w:rFonts w:eastAsia="MS Mincho"/>
          <w:b/>
          <w:vertAlign w:val="superscript"/>
          <w:lang w:val="fr-FR"/>
        </w:rPr>
        <w:t>o</w:t>
      </w:r>
      <w:r>
        <w:rPr>
          <w:b/>
          <w:lang w:val="fr-FR"/>
        </w:rPr>
        <w:t> 67</w:t>
      </w:r>
      <w:r>
        <w:rPr>
          <w:b/>
          <w:lang w:val="fr-FR"/>
        </w:rPr>
        <w:br/>
      </w:r>
      <w:r w:rsidRPr="005F7EB4">
        <w:rPr>
          <w:b/>
          <w:lang w:val="fr-FR"/>
        </w:rPr>
        <w:t>(Véhicules alimentés au GPL)</w:t>
      </w:r>
    </w:p>
    <w:p w:rsidR="00B639B6" w:rsidRPr="005F7EB4" w:rsidRDefault="006541E6" w:rsidP="006541E6">
      <w:pPr>
        <w:pStyle w:val="HChG"/>
        <w:rPr>
          <w:lang w:val="fr-FR"/>
        </w:rPr>
      </w:pPr>
      <w:r>
        <w:rPr>
          <w:lang w:val="fr-FR"/>
        </w:rPr>
        <w:tab/>
      </w:r>
      <w:r>
        <w:rPr>
          <w:lang w:val="fr-FR"/>
        </w:rPr>
        <w:tab/>
      </w:r>
      <w:r w:rsidR="00B639B6" w:rsidRPr="005F7EB4">
        <w:rPr>
          <w:lang w:val="fr-FR"/>
        </w:rPr>
        <w:t>Proposition de complément à la série 01 d</w:t>
      </w:r>
      <w:r w:rsidR="000D1719">
        <w:rPr>
          <w:lang w:val="fr-FR"/>
        </w:rPr>
        <w:t>’</w:t>
      </w:r>
      <w:r>
        <w:rPr>
          <w:lang w:val="fr-FR"/>
        </w:rPr>
        <w:t>amendements</w:t>
      </w:r>
      <w:r>
        <w:rPr>
          <w:lang w:val="fr-FR"/>
        </w:rPr>
        <w:br/>
        <w:t xml:space="preserve">au Règlement </w:t>
      </w:r>
      <w:r w:rsidRPr="006541E6">
        <w:rPr>
          <w:rFonts w:eastAsia="MS Mincho"/>
          <w:lang w:val="fr-FR"/>
        </w:rPr>
        <w:t>n</w:t>
      </w:r>
      <w:r w:rsidRPr="006541E6">
        <w:rPr>
          <w:rFonts w:eastAsia="MS Mincho"/>
          <w:vertAlign w:val="superscript"/>
          <w:lang w:val="fr-FR"/>
        </w:rPr>
        <w:t>o</w:t>
      </w:r>
      <w:r>
        <w:rPr>
          <w:lang w:val="fr-FR"/>
        </w:rPr>
        <w:t> </w:t>
      </w:r>
      <w:r w:rsidR="00B639B6" w:rsidRPr="005F7EB4">
        <w:rPr>
          <w:lang w:val="fr-FR"/>
        </w:rPr>
        <w:t>67 (Véhicules alimentés au GPL)</w:t>
      </w:r>
    </w:p>
    <w:p w:rsidR="00B639B6" w:rsidRPr="001F3F58" w:rsidRDefault="001F3F58" w:rsidP="001F3F58">
      <w:pPr>
        <w:pStyle w:val="H1G"/>
        <w:rPr>
          <w:b w:val="0"/>
          <w:vertAlign w:val="superscript"/>
          <w:lang w:val="fr-FR"/>
        </w:rPr>
      </w:pPr>
      <w:r>
        <w:rPr>
          <w:lang w:val="fr-FR"/>
        </w:rPr>
        <w:tab/>
      </w:r>
      <w:r>
        <w:rPr>
          <w:lang w:val="fr-FR"/>
        </w:rPr>
        <w:tab/>
      </w:r>
      <w:r w:rsidR="00B639B6" w:rsidRPr="005F7EB4">
        <w:rPr>
          <w:lang w:val="fr-FR"/>
        </w:rPr>
        <w:t>Communication de l</w:t>
      </w:r>
      <w:r w:rsidR="000D1719">
        <w:rPr>
          <w:lang w:val="fr-FR"/>
        </w:rPr>
        <w:t>’</w:t>
      </w:r>
      <w:r w:rsidR="00B639B6" w:rsidRPr="005F7EB4">
        <w:rPr>
          <w:lang w:val="fr-FR"/>
        </w:rPr>
        <w:t>exp</w:t>
      </w:r>
      <w:r>
        <w:rPr>
          <w:lang w:val="fr-FR"/>
        </w:rPr>
        <w:t>ert de l</w:t>
      </w:r>
      <w:r w:rsidR="000D1719">
        <w:rPr>
          <w:lang w:val="fr-FR"/>
        </w:rPr>
        <w:t>’</w:t>
      </w:r>
      <w:r>
        <w:rPr>
          <w:lang w:val="fr-FR"/>
        </w:rPr>
        <w:t>Association européenne</w:t>
      </w:r>
      <w:r>
        <w:rPr>
          <w:lang w:val="fr-FR"/>
        </w:rPr>
        <w:br/>
      </w:r>
      <w:r w:rsidR="00B639B6" w:rsidRPr="005F7EB4">
        <w:rPr>
          <w:lang w:val="fr-FR"/>
        </w:rPr>
        <w:t>des gaz de pétrole liquéfiés</w:t>
      </w:r>
      <w:r w:rsidRPr="001F3F58">
        <w:rPr>
          <w:rStyle w:val="FootnoteReference"/>
          <w:b w:val="0"/>
          <w:sz w:val="20"/>
          <w:vertAlign w:val="baseline"/>
        </w:rPr>
        <w:footnoteReference w:customMarkFollows="1" w:id="2"/>
        <w:t>*</w:t>
      </w:r>
    </w:p>
    <w:p w:rsidR="00B639B6" w:rsidRPr="005F7EB4" w:rsidRDefault="00B639B6" w:rsidP="00D3126D">
      <w:pPr>
        <w:pStyle w:val="SingleTxtG"/>
        <w:ind w:firstLine="567"/>
        <w:rPr>
          <w:lang w:val="fr-FR"/>
        </w:rPr>
      </w:pPr>
      <w:r w:rsidRPr="005F7EB4">
        <w:rPr>
          <w:lang w:val="fr-FR"/>
        </w:rPr>
        <w:t>Le texte ci-après, établi par l</w:t>
      </w:r>
      <w:r w:rsidR="000D1719">
        <w:rPr>
          <w:lang w:val="fr-FR"/>
        </w:rPr>
        <w:t>’</w:t>
      </w:r>
      <w:r w:rsidRPr="005F7EB4">
        <w:rPr>
          <w:lang w:val="fr-FR"/>
        </w:rPr>
        <w:t>expert de l</w:t>
      </w:r>
      <w:r w:rsidR="000D1719">
        <w:rPr>
          <w:lang w:val="fr-FR"/>
        </w:rPr>
        <w:t>’</w:t>
      </w:r>
      <w:r w:rsidRPr="005F7EB4">
        <w:rPr>
          <w:lang w:val="fr-FR"/>
        </w:rPr>
        <w:t xml:space="preserve">Association européenne des gaz de pétrole liquéfiés (AEGPL), vise à insérer, dans le Règlement ONU </w:t>
      </w:r>
      <w:r w:rsidR="00D3126D" w:rsidRPr="00D3126D">
        <w:rPr>
          <w:rFonts w:eastAsia="MS Mincho"/>
          <w:lang w:val="fr-FR"/>
        </w:rPr>
        <w:t>n</w:t>
      </w:r>
      <w:r w:rsidR="00D3126D" w:rsidRPr="00D3126D">
        <w:rPr>
          <w:rFonts w:eastAsia="MS Mincho"/>
          <w:vertAlign w:val="superscript"/>
          <w:lang w:val="fr-FR"/>
        </w:rPr>
        <w:t>o</w:t>
      </w:r>
      <w:r w:rsidR="00D3126D">
        <w:rPr>
          <w:lang w:val="fr-FR"/>
        </w:rPr>
        <w:t> </w:t>
      </w:r>
      <w:r w:rsidRPr="005F7EB4">
        <w:rPr>
          <w:lang w:val="fr-FR"/>
        </w:rPr>
        <w:t>67, de nouvelles dispositions de sécurité applicables aux systèmes alimentés au gaz de pétrole liquéfiés (GPL) ayant avec le système d</w:t>
      </w:r>
      <w:r w:rsidR="000D1719">
        <w:rPr>
          <w:lang w:val="fr-FR"/>
        </w:rPr>
        <w:t>’</w:t>
      </w:r>
      <w:r w:rsidRPr="005F7EB4">
        <w:rPr>
          <w:lang w:val="fr-FR"/>
        </w:rPr>
        <w:t>alimentation en essence ou en gazole des interconnexions hydrauliques par lesquelles des mélanges de carburants peuvent se produire. Il est fondé essentiellement sur le document ECE/TRANS/WP.29/GRSG/2016/15. Les modifications, à savoir des ajouts, qu</w:t>
      </w:r>
      <w:r w:rsidR="000D1719">
        <w:rPr>
          <w:lang w:val="fr-FR"/>
        </w:rPr>
        <w:t>’</w:t>
      </w:r>
      <w:r w:rsidRPr="005F7EB4">
        <w:rPr>
          <w:lang w:val="fr-FR"/>
        </w:rPr>
        <w:t>il est proposé d</w:t>
      </w:r>
      <w:r w:rsidR="000D1719">
        <w:rPr>
          <w:lang w:val="fr-FR"/>
        </w:rPr>
        <w:t>’</w:t>
      </w:r>
      <w:r w:rsidRPr="005F7EB4">
        <w:rPr>
          <w:lang w:val="fr-FR"/>
        </w:rPr>
        <w:t xml:space="preserve">apporter </w:t>
      </w:r>
      <w:r w:rsidR="00D3126D">
        <w:rPr>
          <w:lang w:val="fr-FR"/>
        </w:rPr>
        <w:t xml:space="preserve">au texte actuel du Règlement </w:t>
      </w:r>
      <w:r w:rsidR="00D3126D" w:rsidRPr="00D3126D">
        <w:rPr>
          <w:rFonts w:eastAsia="MS Mincho"/>
          <w:lang w:val="fr-FR"/>
        </w:rPr>
        <w:t>n</w:t>
      </w:r>
      <w:r w:rsidR="00D3126D" w:rsidRPr="00D3126D">
        <w:rPr>
          <w:rFonts w:eastAsia="MS Mincho"/>
          <w:vertAlign w:val="superscript"/>
          <w:lang w:val="fr-FR"/>
        </w:rPr>
        <w:t>o</w:t>
      </w:r>
      <w:r w:rsidR="00D3126D">
        <w:rPr>
          <w:lang w:val="fr-FR"/>
        </w:rPr>
        <w:t> </w:t>
      </w:r>
      <w:r w:rsidRPr="005F7EB4">
        <w:rPr>
          <w:lang w:val="fr-FR"/>
        </w:rPr>
        <w:t>67 figurent en caractères gras (voir le rapport ECE/TRANS/WP.29/GRSG/91, par. 20).</w:t>
      </w:r>
    </w:p>
    <w:p w:rsidR="00B639B6" w:rsidRPr="005F7EB4" w:rsidRDefault="00D3126D" w:rsidP="00D3126D">
      <w:pPr>
        <w:pStyle w:val="HChG"/>
        <w:rPr>
          <w:lang w:val="fr-FR" w:eastAsia="ar-SA"/>
        </w:rPr>
      </w:pPr>
      <w:r>
        <w:rPr>
          <w:lang w:val="fr-FR" w:eastAsia="ar-SA"/>
        </w:rPr>
        <w:br w:type="page"/>
      </w:r>
      <w:r>
        <w:rPr>
          <w:lang w:val="fr-FR" w:eastAsia="ar-SA"/>
        </w:rPr>
        <w:lastRenderedPageBreak/>
        <w:tab/>
      </w:r>
      <w:r w:rsidR="00B639B6" w:rsidRPr="005F7EB4">
        <w:rPr>
          <w:lang w:val="fr-FR" w:eastAsia="ar-SA"/>
        </w:rPr>
        <w:t>I.</w:t>
      </w:r>
      <w:r w:rsidR="00B639B6" w:rsidRPr="005F7EB4">
        <w:rPr>
          <w:lang w:val="fr-FR" w:eastAsia="ar-SA"/>
        </w:rPr>
        <w:tab/>
        <w:t>Proposition</w:t>
      </w:r>
    </w:p>
    <w:p w:rsidR="00B639B6" w:rsidRPr="005F7EB4" w:rsidRDefault="00B639B6" w:rsidP="00D3126D">
      <w:pPr>
        <w:pStyle w:val="SingleTxtG"/>
        <w:rPr>
          <w:b/>
          <w:lang w:val="fr-FR" w:eastAsia="ar-SA"/>
        </w:rPr>
      </w:pPr>
      <w:r w:rsidRPr="00D3126D">
        <w:rPr>
          <w:i/>
          <w:lang w:val="fr-FR" w:eastAsia="ar-SA"/>
        </w:rPr>
        <w:t>Table des matières, Annexes</w:t>
      </w:r>
      <w:r w:rsidRPr="0081094D">
        <w:rPr>
          <w:lang w:val="fr-FR" w:eastAsia="ar-SA"/>
        </w:rPr>
        <w:t>,</w:t>
      </w:r>
      <w:r w:rsidRPr="005F7EB4">
        <w:rPr>
          <w:b/>
          <w:lang w:val="fr-FR" w:eastAsia="ar-SA"/>
        </w:rPr>
        <w:t xml:space="preserve"> </w:t>
      </w:r>
      <w:r w:rsidRPr="0081094D">
        <w:rPr>
          <w:lang w:val="fr-FR" w:eastAsia="ar-SA"/>
        </w:rPr>
        <w:t>modifier comme suit :</w:t>
      </w:r>
    </w:p>
    <w:p w:rsidR="00B639B6" w:rsidRPr="00EF7E32" w:rsidRDefault="00B639B6" w:rsidP="00D3126D">
      <w:pPr>
        <w:pStyle w:val="SingleTxtG"/>
        <w:rPr>
          <w:b/>
          <w:lang w:val="fr-FR" w:eastAsia="ar-SA"/>
        </w:rPr>
      </w:pPr>
      <w:r w:rsidRPr="0081094D">
        <w:rPr>
          <w:lang w:val="fr-FR" w:eastAsia="ar-SA"/>
        </w:rPr>
        <w:t>« </w:t>
      </w:r>
      <w:r w:rsidRPr="00EF7E32">
        <w:rPr>
          <w:lang w:val="fr-FR" w:eastAsia="ar-SA"/>
        </w:rPr>
        <w:t>Annexes</w:t>
      </w:r>
      <w:r w:rsidRPr="00EF7E32">
        <w:rPr>
          <w:b/>
          <w:lang w:val="fr-FR" w:eastAsia="ar-SA"/>
        </w:rPr>
        <w:t xml:space="preserve"> </w:t>
      </w:r>
    </w:p>
    <w:p w:rsidR="00B639B6" w:rsidRPr="00EF7E32" w:rsidRDefault="00B639B6" w:rsidP="00EF7E32">
      <w:pPr>
        <w:pStyle w:val="SingleTxtG"/>
        <w:rPr>
          <w:lang w:val="fr-FR" w:eastAsia="ar-SA"/>
        </w:rPr>
      </w:pPr>
      <w:r w:rsidRPr="00EF7E32">
        <w:rPr>
          <w:lang w:val="fr-FR" w:eastAsia="ar-SA"/>
        </w:rPr>
        <w:t>…</w:t>
      </w:r>
    </w:p>
    <w:p w:rsidR="00B639B6" w:rsidRPr="00EF7E32" w:rsidRDefault="00B639B6" w:rsidP="00EF7E32">
      <w:pPr>
        <w:pStyle w:val="SingleTxtG"/>
        <w:ind w:left="2268" w:hanging="1134"/>
        <w:rPr>
          <w:b/>
          <w:lang w:val="fr-FR" w:eastAsia="ar-SA"/>
        </w:rPr>
      </w:pPr>
      <w:r w:rsidRPr="00EF7E32">
        <w:rPr>
          <w:b/>
          <w:lang w:val="fr-FR" w:eastAsia="ar-SA"/>
        </w:rPr>
        <w:t>Annexe 18</w:t>
      </w:r>
      <w:r w:rsidRPr="00EF7E32">
        <w:rPr>
          <w:b/>
          <w:lang w:val="fr-FR" w:eastAsia="ar-SA"/>
        </w:rPr>
        <w:tab/>
        <w:t>Dispositions relatives à la compatibilité des organes et parties métalliques et non métalliques avec l</w:t>
      </w:r>
      <w:r w:rsidR="000D1719">
        <w:rPr>
          <w:b/>
          <w:lang w:val="fr-FR" w:eastAsia="ar-SA"/>
        </w:rPr>
        <w:t>’</w:t>
      </w:r>
      <w:r w:rsidRPr="00EF7E32">
        <w:rPr>
          <w:b/>
          <w:lang w:val="fr-FR" w:eastAsia="ar-SA"/>
        </w:rPr>
        <w:t>essence</w:t>
      </w:r>
    </w:p>
    <w:p w:rsidR="00B639B6" w:rsidRPr="00B639B6" w:rsidRDefault="00B639B6" w:rsidP="00EF7E32">
      <w:pPr>
        <w:pStyle w:val="SingleTxtG"/>
        <w:rPr>
          <w:lang w:val="fr-FR" w:eastAsia="ar-SA"/>
        </w:rPr>
      </w:pPr>
      <w:r w:rsidRPr="00EF7E32">
        <w:rPr>
          <w:b/>
          <w:lang w:val="fr-FR" w:eastAsia="ar-SA"/>
        </w:rPr>
        <w:t>Annexe 19</w:t>
      </w:r>
      <w:r w:rsidRPr="00EF7E32">
        <w:rPr>
          <w:b/>
          <w:lang w:val="fr-FR" w:eastAsia="ar-SA"/>
        </w:rPr>
        <w:tab/>
        <w:t>Dispositions relatives aux équipements GPL interconnectés</w:t>
      </w:r>
      <w:r w:rsidRPr="00B639B6">
        <w:rPr>
          <w:lang w:val="fr-FR" w:eastAsia="ar-SA"/>
        </w:rPr>
        <w:t> ».</w:t>
      </w:r>
    </w:p>
    <w:p w:rsidR="00B639B6" w:rsidRPr="00B639B6" w:rsidRDefault="00B639B6" w:rsidP="00EF7E32">
      <w:pPr>
        <w:pStyle w:val="SingleTxtG"/>
        <w:rPr>
          <w:lang w:val="fr-FR"/>
        </w:rPr>
      </w:pPr>
      <w:r w:rsidRPr="00B639B6">
        <w:rPr>
          <w:i/>
          <w:lang w:val="fr-FR"/>
        </w:rPr>
        <w:t>Ajouter de nouveaux paragraphes 2.21 à 2.23</w:t>
      </w:r>
      <w:r w:rsidRPr="00B639B6">
        <w:rPr>
          <w:lang w:val="fr-FR"/>
        </w:rPr>
        <w:t>, libellés comme suit :</w:t>
      </w:r>
    </w:p>
    <w:p w:rsidR="00B639B6" w:rsidRPr="00B639B6" w:rsidRDefault="00B639B6" w:rsidP="00EF7E32">
      <w:pPr>
        <w:pStyle w:val="SingleTxtG"/>
        <w:ind w:left="2268" w:hanging="1134"/>
        <w:rPr>
          <w:b/>
          <w:lang w:val="fr-FR" w:eastAsia="ar-SA"/>
        </w:rPr>
      </w:pPr>
      <w:r w:rsidRPr="00B639B6">
        <w:rPr>
          <w:lang w:val="fr-FR" w:eastAsia="ar-SA"/>
        </w:rPr>
        <w:t>« </w:t>
      </w:r>
      <w:r w:rsidRPr="00B639B6">
        <w:rPr>
          <w:b/>
          <w:lang w:val="fr-FR" w:eastAsia="ar-SA"/>
        </w:rPr>
        <w:t>2.21</w:t>
      </w:r>
      <w:r w:rsidRPr="00B639B6">
        <w:rPr>
          <w:b/>
          <w:lang w:val="fr-FR" w:eastAsia="ar-SA"/>
        </w:rPr>
        <w:tab/>
      </w:r>
      <w:r w:rsidR="00EF7E32">
        <w:rPr>
          <w:b/>
          <w:lang w:val="fr-FR" w:eastAsia="ar-SA"/>
        </w:rPr>
        <w:tab/>
      </w:r>
      <w:r w:rsidRPr="00B639B6">
        <w:rPr>
          <w:b/>
          <w:lang w:val="fr-FR"/>
        </w:rPr>
        <w:t>Par “</w:t>
      </w:r>
      <w:r w:rsidRPr="00B639B6">
        <w:rPr>
          <w:b/>
          <w:i/>
          <w:lang w:val="fr-FR"/>
        </w:rPr>
        <w:t>équipement GPL</w:t>
      </w:r>
      <w:r w:rsidRPr="00B639B6">
        <w:rPr>
          <w:b/>
          <w:lang w:val="fr-FR"/>
        </w:rPr>
        <w:t>” un ensemble d</w:t>
      </w:r>
      <w:r w:rsidR="000D1719">
        <w:rPr>
          <w:b/>
          <w:lang w:val="fr-FR"/>
        </w:rPr>
        <w:t>’</w:t>
      </w:r>
      <w:r w:rsidRPr="00B639B6">
        <w:rPr>
          <w:b/>
          <w:lang w:val="fr-FR"/>
        </w:rPr>
        <w:t>éléments GPL spécifiques conçu pour être installé sur un véhicule pour constituer un tout intégré et fonctionnel destiné à permettre la propulsion au moyen du GPL ;</w:t>
      </w:r>
    </w:p>
    <w:p w:rsidR="00B639B6" w:rsidRPr="00B639B6" w:rsidRDefault="00B639B6" w:rsidP="00EF7E32">
      <w:pPr>
        <w:pStyle w:val="SingleTxtG"/>
        <w:ind w:left="2268" w:hanging="1134"/>
        <w:rPr>
          <w:b/>
          <w:lang w:val="fr-FR" w:eastAsia="ar-SA"/>
        </w:rPr>
      </w:pPr>
      <w:r w:rsidRPr="00B639B6">
        <w:rPr>
          <w:b/>
          <w:lang w:val="fr-FR" w:eastAsia="ar-SA"/>
        </w:rPr>
        <w:t>2.22</w:t>
      </w:r>
      <w:r w:rsidRPr="00B639B6">
        <w:rPr>
          <w:b/>
          <w:lang w:val="fr-FR" w:eastAsia="ar-SA"/>
        </w:rPr>
        <w:tab/>
      </w:r>
      <w:r w:rsidR="00EF7E32">
        <w:rPr>
          <w:b/>
          <w:lang w:val="fr-FR" w:eastAsia="ar-SA"/>
        </w:rPr>
        <w:tab/>
      </w:r>
      <w:r w:rsidRPr="00B639B6">
        <w:rPr>
          <w:b/>
          <w:lang w:val="fr-FR"/>
        </w:rPr>
        <w:t>Par “</w:t>
      </w:r>
      <w:r w:rsidRPr="00B639B6">
        <w:rPr>
          <w:b/>
          <w:i/>
          <w:lang w:val="fr-FR"/>
        </w:rPr>
        <w:t>équipement GPL interconnecté</w:t>
      </w:r>
      <w:r w:rsidRPr="00B639B6">
        <w:rPr>
          <w:b/>
          <w:lang w:val="fr-FR"/>
        </w:rPr>
        <w:t>”, un équipement GPL ayant des interconnexions hydrauliques avec le système d</w:t>
      </w:r>
      <w:r w:rsidR="000D1719">
        <w:rPr>
          <w:b/>
          <w:lang w:val="fr-FR"/>
        </w:rPr>
        <w:t>’</w:t>
      </w:r>
      <w:r w:rsidRPr="00B639B6">
        <w:rPr>
          <w:b/>
          <w:lang w:val="fr-FR"/>
        </w:rPr>
        <w:t>alimentation en essence ou en gazole ;</w:t>
      </w:r>
    </w:p>
    <w:p w:rsidR="00B639B6" w:rsidRPr="00B639B6" w:rsidRDefault="00B639B6" w:rsidP="00EF7E32">
      <w:pPr>
        <w:pStyle w:val="SingleTxtG"/>
        <w:ind w:left="2268" w:hanging="1134"/>
        <w:rPr>
          <w:b/>
          <w:lang w:val="fr-FR" w:eastAsia="ar-SA"/>
        </w:rPr>
      </w:pPr>
      <w:r w:rsidRPr="00B639B6">
        <w:rPr>
          <w:b/>
          <w:lang w:val="fr-FR" w:eastAsia="ar-SA"/>
        </w:rPr>
        <w:t>2.23</w:t>
      </w:r>
      <w:r w:rsidRPr="00B639B6">
        <w:rPr>
          <w:b/>
          <w:lang w:val="fr-FR" w:eastAsia="ar-SA"/>
        </w:rPr>
        <w:tab/>
      </w:r>
      <w:r w:rsidR="00EF7E32">
        <w:rPr>
          <w:b/>
          <w:lang w:val="fr-FR" w:eastAsia="ar-SA"/>
        </w:rPr>
        <w:tab/>
      </w:r>
      <w:r w:rsidRPr="00B639B6">
        <w:rPr>
          <w:b/>
          <w:lang w:val="fr-FR" w:eastAsia="ar-SA"/>
        </w:rPr>
        <w:t>Par “</w:t>
      </w:r>
      <w:r w:rsidRPr="00B639B6">
        <w:rPr>
          <w:b/>
          <w:i/>
          <w:lang w:val="fr-FR" w:eastAsia="ar-SA"/>
        </w:rPr>
        <w:t>bloc multiorganes”</w:t>
      </w:r>
      <w:r w:rsidRPr="00B639B6">
        <w:rPr>
          <w:b/>
          <w:lang w:val="fr-FR" w:eastAsia="ar-SA"/>
        </w:rPr>
        <w:t>, une combinaison ou un assemblage des organes spéciaux susmentionnés. </w:t>
      </w:r>
      <w:r w:rsidRPr="00B639B6">
        <w:rPr>
          <w:lang w:val="fr-FR" w:eastAsia="ar-SA"/>
        </w:rPr>
        <w:t xml:space="preserve">». </w:t>
      </w:r>
    </w:p>
    <w:p w:rsidR="00B639B6" w:rsidRPr="00B639B6" w:rsidRDefault="00B639B6" w:rsidP="00EF7E32">
      <w:pPr>
        <w:pStyle w:val="SingleTxtG"/>
        <w:rPr>
          <w:lang w:val="fr-FR" w:eastAsia="ar-SA"/>
        </w:rPr>
      </w:pPr>
      <w:r w:rsidRPr="00B639B6">
        <w:rPr>
          <w:i/>
          <w:lang w:val="fr-FR" w:eastAsia="ar-SA"/>
        </w:rPr>
        <w:t>Paragraphes 6.4 à 6.14 (anciens),</w:t>
      </w:r>
      <w:r w:rsidRPr="00B639B6">
        <w:rPr>
          <w:lang w:val="fr-FR" w:eastAsia="ar-SA"/>
        </w:rPr>
        <w:t xml:space="preserve"> modifier comme suit (insertion d</w:t>
      </w:r>
      <w:r w:rsidR="000D1719">
        <w:rPr>
          <w:lang w:val="fr-FR" w:eastAsia="ar-SA"/>
        </w:rPr>
        <w:t>’</w:t>
      </w:r>
      <w:r w:rsidRPr="00B639B6">
        <w:rPr>
          <w:lang w:val="fr-FR" w:eastAsia="ar-SA"/>
        </w:rPr>
        <w:t>un nouveau paragraphe 6.15) :</w:t>
      </w:r>
    </w:p>
    <w:p w:rsidR="00B639B6" w:rsidRPr="00B639B6" w:rsidRDefault="00B639B6" w:rsidP="00EF7E32">
      <w:pPr>
        <w:pStyle w:val="SingleTxtG"/>
        <w:rPr>
          <w:lang w:val="fr-FR"/>
        </w:rPr>
      </w:pPr>
      <w:r w:rsidRPr="00B639B6">
        <w:rPr>
          <w:lang w:val="fr-FR"/>
        </w:rPr>
        <w:t>« 6.4</w:t>
      </w:r>
      <w:r w:rsidR="00EF7E32">
        <w:rPr>
          <w:lang w:val="fr-FR"/>
        </w:rPr>
        <w:t>-</w:t>
      </w:r>
      <w:r w:rsidRPr="00B639B6">
        <w:rPr>
          <w:lang w:val="fr-FR"/>
        </w:rPr>
        <w:t>6.</w:t>
      </w:r>
      <w:r w:rsidRPr="00B639B6">
        <w:rPr>
          <w:b/>
          <w:lang w:val="fr-FR"/>
        </w:rPr>
        <w:t>15</w:t>
      </w:r>
      <w:r w:rsidRPr="00B639B6">
        <w:rPr>
          <w:lang w:val="fr-FR"/>
        </w:rPr>
        <w:tab/>
        <w:t>Prescriptions relatives aux autres organes</w:t>
      </w:r>
    </w:p>
    <w:p w:rsidR="00B639B6" w:rsidRPr="00B639B6" w:rsidRDefault="00B639B6" w:rsidP="00877B3B">
      <w:pPr>
        <w:pStyle w:val="SingleTxtG"/>
        <w:ind w:left="2268"/>
        <w:rPr>
          <w:lang w:val="fr-FR"/>
        </w:rPr>
      </w:pPr>
      <w:r w:rsidRPr="00B639B6">
        <w:rPr>
          <w:lang w:val="fr-FR"/>
        </w:rPr>
        <w:t>Les autres organes doivent être couverts</w:t>
      </w:r>
      <w:r w:rsidR="007171E7">
        <w:rPr>
          <w:lang w:val="fr-FR"/>
        </w:rPr>
        <w:t xml:space="preserve"> </w:t>
      </w:r>
      <w:r w:rsidRPr="00B639B6">
        <w:rPr>
          <w:lang w:val="fr-FR"/>
        </w:rPr>
        <w:t>… dans le tableau 1 ci-dessous.</w:t>
      </w:r>
    </w:p>
    <w:p w:rsidR="00B639B6" w:rsidRPr="007171E7" w:rsidRDefault="00B639B6" w:rsidP="00EF7E32">
      <w:pPr>
        <w:pStyle w:val="Heading1"/>
        <w:spacing w:after="120"/>
        <w:rPr>
          <w:b/>
          <w:lang w:val="fr-FR"/>
        </w:rPr>
      </w:pPr>
      <w:r w:rsidRPr="007171E7">
        <w:rPr>
          <w:b/>
          <w:lang w:val="fr-FR"/>
        </w:rPr>
        <w:t>Tableau 1</w:t>
      </w:r>
    </w:p>
    <w:tbl>
      <w:tblPr>
        <w:tblW w:w="0" w:type="auto"/>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418"/>
        <w:gridCol w:w="4536"/>
        <w:gridCol w:w="1418"/>
      </w:tblGrid>
      <w:tr w:rsidR="00B639B6" w:rsidRPr="005F7EB4" w:rsidTr="00483799">
        <w:trPr>
          <w:cantSplit/>
          <w:tblHeader/>
        </w:trPr>
        <w:tc>
          <w:tcPr>
            <w:tcW w:w="1418" w:type="dxa"/>
            <w:tcBorders>
              <w:bottom w:val="single" w:sz="12" w:space="0" w:color="auto"/>
            </w:tcBorders>
            <w:shd w:val="clear" w:color="auto" w:fill="auto"/>
            <w:vAlign w:val="bottom"/>
          </w:tcPr>
          <w:p w:rsidR="00B639B6" w:rsidRPr="005F7EB4" w:rsidRDefault="00B639B6" w:rsidP="00483799">
            <w:pPr>
              <w:spacing w:before="60" w:after="60" w:line="200" w:lineRule="exact"/>
              <w:ind w:left="57" w:right="57"/>
              <w:rPr>
                <w:i/>
                <w:sz w:val="16"/>
                <w:lang w:val="fr-FR"/>
              </w:rPr>
            </w:pPr>
            <w:r w:rsidRPr="005F7EB4">
              <w:rPr>
                <w:i/>
                <w:sz w:val="16"/>
                <w:lang w:val="fr-FR"/>
              </w:rPr>
              <w:t>Paragraphe</w:t>
            </w:r>
          </w:p>
        </w:tc>
        <w:tc>
          <w:tcPr>
            <w:tcW w:w="4536" w:type="dxa"/>
            <w:tcBorders>
              <w:bottom w:val="single" w:sz="12" w:space="0" w:color="auto"/>
            </w:tcBorders>
            <w:shd w:val="clear" w:color="auto" w:fill="auto"/>
            <w:vAlign w:val="bottom"/>
          </w:tcPr>
          <w:p w:rsidR="00B639B6" w:rsidRPr="00B639B6" w:rsidRDefault="00B639B6" w:rsidP="00483799">
            <w:pPr>
              <w:spacing w:before="60" w:after="60" w:line="200" w:lineRule="exact"/>
              <w:ind w:left="57" w:right="57"/>
              <w:rPr>
                <w:i/>
                <w:sz w:val="16"/>
                <w:lang w:val="fr-FR"/>
              </w:rPr>
            </w:pPr>
            <w:r w:rsidRPr="00B639B6">
              <w:rPr>
                <w:i/>
                <w:sz w:val="16"/>
                <w:lang w:val="fr-FR"/>
              </w:rPr>
              <w:t>Organe</w:t>
            </w:r>
          </w:p>
        </w:tc>
        <w:tc>
          <w:tcPr>
            <w:tcW w:w="1418" w:type="dxa"/>
            <w:tcBorders>
              <w:bottom w:val="single" w:sz="12" w:space="0" w:color="auto"/>
            </w:tcBorders>
            <w:shd w:val="clear" w:color="auto" w:fill="auto"/>
            <w:vAlign w:val="bottom"/>
          </w:tcPr>
          <w:p w:rsidR="00B639B6" w:rsidRPr="005F7EB4" w:rsidRDefault="00B639B6" w:rsidP="00483799">
            <w:pPr>
              <w:spacing w:before="60" w:after="60" w:line="200" w:lineRule="exact"/>
              <w:ind w:left="57" w:right="57"/>
              <w:rPr>
                <w:i/>
                <w:sz w:val="16"/>
                <w:lang w:val="fr-FR"/>
              </w:rPr>
            </w:pPr>
            <w:r w:rsidRPr="005F7EB4">
              <w:rPr>
                <w:i/>
                <w:sz w:val="16"/>
                <w:lang w:val="fr-FR"/>
              </w:rPr>
              <w:t>Annexe</w:t>
            </w:r>
          </w:p>
        </w:tc>
      </w:tr>
      <w:tr w:rsidR="00B639B6" w:rsidRPr="005F7EB4" w:rsidTr="00483799">
        <w:trPr>
          <w:cantSplit/>
        </w:trPr>
        <w:tc>
          <w:tcPr>
            <w:tcW w:w="1418" w:type="dxa"/>
            <w:tcBorders>
              <w:top w:val="single" w:sz="12" w:space="0" w:color="auto"/>
            </w:tcBorders>
            <w:shd w:val="clear" w:color="auto" w:fill="auto"/>
          </w:tcPr>
          <w:p w:rsidR="00B639B6" w:rsidRPr="005F7EB4" w:rsidRDefault="00B639B6" w:rsidP="00483799">
            <w:pPr>
              <w:spacing w:before="60" w:after="60"/>
              <w:ind w:left="57" w:right="57"/>
              <w:rPr>
                <w:lang w:val="fr-FR"/>
              </w:rPr>
            </w:pPr>
            <w:r w:rsidRPr="005F7EB4">
              <w:rPr>
                <w:lang w:val="fr-FR"/>
              </w:rPr>
              <w:t>6.4</w:t>
            </w:r>
          </w:p>
        </w:tc>
        <w:tc>
          <w:tcPr>
            <w:tcW w:w="4536" w:type="dxa"/>
            <w:tcBorders>
              <w:top w:val="single" w:sz="12" w:space="0" w:color="auto"/>
              <w:bottom w:val="single" w:sz="2" w:space="0" w:color="auto"/>
            </w:tcBorders>
            <w:shd w:val="clear" w:color="auto" w:fill="auto"/>
          </w:tcPr>
          <w:p w:rsidR="00B639B6" w:rsidRPr="005F7EB4" w:rsidRDefault="00B639B6" w:rsidP="00483799">
            <w:pPr>
              <w:spacing w:before="60" w:after="60"/>
              <w:ind w:left="57" w:right="57"/>
              <w:rPr>
                <w:lang w:val="fr-FR"/>
              </w:rPr>
            </w:pPr>
            <w:r w:rsidRPr="005F7EB4">
              <w:rPr>
                <w:lang w:val="fr-FR"/>
              </w:rPr>
              <w:t>Pompe à GPL</w:t>
            </w:r>
          </w:p>
        </w:tc>
        <w:tc>
          <w:tcPr>
            <w:tcW w:w="1418" w:type="dxa"/>
            <w:tcBorders>
              <w:top w:val="single" w:sz="12" w:space="0" w:color="auto"/>
            </w:tcBorders>
            <w:shd w:val="clear" w:color="auto" w:fill="auto"/>
          </w:tcPr>
          <w:p w:rsidR="00B639B6" w:rsidRPr="005F7EB4" w:rsidRDefault="00B639B6" w:rsidP="00483799">
            <w:pPr>
              <w:spacing w:before="60" w:after="60"/>
              <w:ind w:left="57" w:right="57"/>
              <w:rPr>
                <w:lang w:val="fr-FR"/>
              </w:rPr>
            </w:pPr>
            <w:r w:rsidRPr="005F7EB4">
              <w:rPr>
                <w:lang w:val="fr-FR"/>
              </w:rPr>
              <w:t>4</w:t>
            </w:r>
          </w:p>
        </w:tc>
      </w:tr>
      <w:tr w:rsidR="00B639B6" w:rsidRPr="005F7EB4" w:rsidTr="00483799">
        <w:trPr>
          <w:cantSplit/>
        </w:trPr>
        <w:tc>
          <w:tcPr>
            <w:tcW w:w="1418" w:type="dxa"/>
            <w:shd w:val="clear" w:color="auto" w:fill="auto"/>
          </w:tcPr>
          <w:p w:rsidR="00B639B6" w:rsidRPr="005F7EB4" w:rsidRDefault="00B639B6" w:rsidP="00483799">
            <w:pPr>
              <w:spacing w:before="60" w:after="60"/>
              <w:ind w:left="57" w:right="57"/>
              <w:rPr>
                <w:lang w:val="fr-FR"/>
              </w:rPr>
            </w:pPr>
            <w:r w:rsidRPr="005F7EB4">
              <w:rPr>
                <w:lang w:val="fr-FR"/>
              </w:rPr>
              <w:t>6.5</w:t>
            </w:r>
          </w:p>
        </w:tc>
        <w:tc>
          <w:tcPr>
            <w:tcW w:w="4536" w:type="dxa"/>
            <w:tcBorders>
              <w:top w:val="single" w:sz="2" w:space="0" w:color="auto"/>
            </w:tcBorders>
            <w:shd w:val="clear" w:color="auto" w:fill="auto"/>
          </w:tcPr>
          <w:p w:rsidR="00B639B6" w:rsidRPr="005F7EB4" w:rsidRDefault="00B639B6" w:rsidP="00483799">
            <w:pPr>
              <w:spacing w:before="60" w:after="60"/>
              <w:ind w:left="57" w:right="57"/>
              <w:rPr>
                <w:lang w:val="fr-FR"/>
              </w:rPr>
            </w:pPr>
            <w:r w:rsidRPr="005F7EB4">
              <w:rPr>
                <w:lang w:val="fr-FR"/>
              </w:rPr>
              <w:t>Vaporiseur</w:t>
            </w:r>
            <w:r w:rsidRPr="00EF7E32">
              <w:rPr>
                <w:i/>
                <w:vertAlign w:val="superscript"/>
                <w:lang w:val="fr-FR"/>
              </w:rPr>
              <w:t>1</w:t>
            </w:r>
          </w:p>
          <w:p w:rsidR="00B639B6" w:rsidRPr="005F7EB4" w:rsidRDefault="00B639B6" w:rsidP="00483799">
            <w:pPr>
              <w:spacing w:before="60" w:after="60"/>
              <w:ind w:left="57" w:right="57"/>
              <w:rPr>
                <w:lang w:val="fr-FR"/>
              </w:rPr>
            </w:pPr>
            <w:r w:rsidRPr="005F7EB4">
              <w:rPr>
                <w:lang w:val="fr-FR"/>
              </w:rPr>
              <w:t>Détendeur</w:t>
            </w:r>
            <w:r w:rsidRPr="00EF7E32">
              <w:rPr>
                <w:i/>
                <w:vertAlign w:val="superscript"/>
                <w:lang w:val="fr-FR"/>
              </w:rPr>
              <w:t>1</w:t>
            </w:r>
          </w:p>
        </w:tc>
        <w:tc>
          <w:tcPr>
            <w:tcW w:w="1418" w:type="dxa"/>
            <w:shd w:val="clear" w:color="auto" w:fill="auto"/>
          </w:tcPr>
          <w:p w:rsidR="00B639B6" w:rsidRPr="005F7EB4" w:rsidRDefault="00B639B6" w:rsidP="00483799">
            <w:pPr>
              <w:spacing w:before="60" w:after="60"/>
              <w:ind w:left="57" w:right="57"/>
              <w:rPr>
                <w:lang w:val="fr-FR"/>
              </w:rPr>
            </w:pPr>
            <w:r w:rsidRPr="005F7EB4">
              <w:rPr>
                <w:lang w:val="fr-FR"/>
              </w:rPr>
              <w:t>6</w:t>
            </w:r>
          </w:p>
        </w:tc>
      </w:tr>
      <w:tr w:rsidR="00B639B6" w:rsidRPr="005F7EB4" w:rsidTr="00483799">
        <w:trPr>
          <w:cantSplit/>
        </w:trPr>
        <w:tc>
          <w:tcPr>
            <w:tcW w:w="1418" w:type="dxa"/>
            <w:shd w:val="clear" w:color="auto" w:fill="auto"/>
          </w:tcPr>
          <w:p w:rsidR="00B639B6" w:rsidRPr="005F7EB4" w:rsidRDefault="00B639B6" w:rsidP="00483799">
            <w:pPr>
              <w:spacing w:before="60" w:after="60"/>
              <w:ind w:left="57" w:right="57"/>
              <w:rPr>
                <w:lang w:val="fr-FR"/>
              </w:rPr>
            </w:pPr>
            <w:r w:rsidRPr="005F7EB4">
              <w:rPr>
                <w:lang w:val="fr-FR"/>
              </w:rPr>
              <w:t>…</w:t>
            </w:r>
          </w:p>
        </w:tc>
        <w:tc>
          <w:tcPr>
            <w:tcW w:w="4536" w:type="dxa"/>
            <w:shd w:val="clear" w:color="auto" w:fill="auto"/>
          </w:tcPr>
          <w:p w:rsidR="00B639B6" w:rsidRPr="005F7EB4" w:rsidRDefault="00B639B6" w:rsidP="00483799">
            <w:pPr>
              <w:spacing w:before="60" w:after="60"/>
              <w:ind w:left="57" w:right="57"/>
              <w:rPr>
                <w:lang w:val="fr-FR"/>
              </w:rPr>
            </w:pPr>
            <w:r w:rsidRPr="005F7EB4">
              <w:rPr>
                <w:lang w:val="fr-FR"/>
              </w:rPr>
              <w:t>…</w:t>
            </w:r>
          </w:p>
        </w:tc>
        <w:tc>
          <w:tcPr>
            <w:tcW w:w="1418" w:type="dxa"/>
            <w:shd w:val="clear" w:color="auto" w:fill="auto"/>
          </w:tcPr>
          <w:p w:rsidR="00B639B6" w:rsidRPr="005F7EB4" w:rsidRDefault="00B639B6" w:rsidP="00483799">
            <w:pPr>
              <w:spacing w:before="60" w:after="60"/>
              <w:ind w:left="57" w:right="57"/>
              <w:rPr>
                <w:lang w:val="fr-FR"/>
              </w:rPr>
            </w:pPr>
            <w:r w:rsidRPr="005F7EB4">
              <w:rPr>
                <w:lang w:val="fr-FR"/>
              </w:rPr>
              <w:t>…</w:t>
            </w:r>
          </w:p>
        </w:tc>
      </w:tr>
      <w:tr w:rsidR="00B639B6" w:rsidRPr="005F7EB4" w:rsidTr="00483799">
        <w:trPr>
          <w:cantSplit/>
        </w:trPr>
        <w:tc>
          <w:tcPr>
            <w:tcW w:w="1418" w:type="dxa"/>
            <w:shd w:val="clear" w:color="auto" w:fill="auto"/>
          </w:tcPr>
          <w:p w:rsidR="00B639B6" w:rsidRPr="005F7EB4" w:rsidRDefault="00B639B6" w:rsidP="00483799">
            <w:pPr>
              <w:spacing w:before="60" w:after="60"/>
              <w:ind w:left="57" w:right="57"/>
              <w:rPr>
                <w:lang w:val="fr-FR"/>
              </w:rPr>
            </w:pPr>
            <w:r w:rsidRPr="005F7EB4">
              <w:rPr>
                <w:lang w:val="fr-FR"/>
              </w:rPr>
              <w:t>6.9</w:t>
            </w:r>
          </w:p>
        </w:tc>
        <w:tc>
          <w:tcPr>
            <w:tcW w:w="4536" w:type="dxa"/>
            <w:shd w:val="clear" w:color="auto" w:fill="auto"/>
          </w:tcPr>
          <w:p w:rsidR="00B639B6" w:rsidRPr="005F7EB4" w:rsidRDefault="00B639B6" w:rsidP="00483799">
            <w:pPr>
              <w:spacing w:before="60" w:after="60"/>
              <w:ind w:left="57" w:right="57"/>
              <w:rPr>
                <w:lang w:val="fr-FR"/>
              </w:rPr>
            </w:pPr>
            <w:r w:rsidRPr="005F7EB4">
              <w:rPr>
                <w:lang w:val="fr-FR"/>
              </w:rPr>
              <w:t>Dispositifs d</w:t>
            </w:r>
            <w:r w:rsidR="000D1719">
              <w:rPr>
                <w:lang w:val="fr-FR"/>
              </w:rPr>
              <w:t>’</w:t>
            </w:r>
            <w:r w:rsidRPr="005F7EB4">
              <w:rPr>
                <w:lang w:val="fr-FR"/>
              </w:rPr>
              <w:t>injection de gaz/Mélangeur de gaz</w:t>
            </w:r>
            <w:r w:rsidRPr="00EF7E32">
              <w:rPr>
                <w:i/>
                <w:vertAlign w:val="superscript"/>
                <w:lang w:val="fr-FR"/>
              </w:rPr>
              <w:t>3</w:t>
            </w:r>
          </w:p>
          <w:p w:rsidR="00B639B6" w:rsidRPr="005F7EB4" w:rsidRDefault="00B639B6" w:rsidP="00483799">
            <w:pPr>
              <w:spacing w:before="60" w:after="60"/>
              <w:ind w:left="57" w:right="57"/>
              <w:rPr>
                <w:lang w:val="fr-FR"/>
              </w:rPr>
            </w:pPr>
            <w:r w:rsidRPr="005F7EB4">
              <w:rPr>
                <w:lang w:val="fr-FR"/>
              </w:rPr>
              <w:t>ou</w:t>
            </w:r>
          </w:p>
          <w:p w:rsidR="00B639B6" w:rsidRPr="005F7EB4" w:rsidRDefault="00B639B6" w:rsidP="00483799">
            <w:pPr>
              <w:spacing w:before="60" w:after="60"/>
              <w:ind w:left="57" w:right="57"/>
              <w:rPr>
                <w:lang w:val="fr-FR"/>
              </w:rPr>
            </w:pPr>
            <w:r w:rsidRPr="005F7EB4">
              <w:rPr>
                <w:lang w:val="fr-FR"/>
              </w:rPr>
              <w:t>Injecteurs</w:t>
            </w:r>
          </w:p>
        </w:tc>
        <w:tc>
          <w:tcPr>
            <w:tcW w:w="1418" w:type="dxa"/>
            <w:shd w:val="clear" w:color="auto" w:fill="auto"/>
          </w:tcPr>
          <w:p w:rsidR="00B639B6" w:rsidRPr="005F7EB4" w:rsidRDefault="00B639B6" w:rsidP="00483799">
            <w:pPr>
              <w:spacing w:before="60" w:after="60"/>
              <w:ind w:left="57" w:right="57"/>
              <w:rPr>
                <w:lang w:val="fr-FR"/>
              </w:rPr>
            </w:pPr>
            <w:r w:rsidRPr="005F7EB4">
              <w:rPr>
                <w:lang w:val="fr-FR"/>
              </w:rPr>
              <w:t>11</w:t>
            </w:r>
          </w:p>
        </w:tc>
      </w:tr>
      <w:tr w:rsidR="00B639B6" w:rsidRPr="005F7EB4" w:rsidTr="00483799">
        <w:trPr>
          <w:cantSplit/>
        </w:trPr>
        <w:tc>
          <w:tcPr>
            <w:tcW w:w="1418" w:type="dxa"/>
            <w:shd w:val="clear" w:color="auto" w:fill="auto"/>
          </w:tcPr>
          <w:p w:rsidR="00B639B6" w:rsidRPr="005F7EB4" w:rsidRDefault="00B639B6" w:rsidP="00483799">
            <w:pPr>
              <w:spacing w:before="60" w:after="60"/>
              <w:ind w:left="57" w:right="57"/>
              <w:rPr>
                <w:lang w:val="fr-FR"/>
              </w:rPr>
            </w:pPr>
            <w:r w:rsidRPr="005F7EB4">
              <w:rPr>
                <w:lang w:val="fr-FR"/>
              </w:rPr>
              <w:t>6.10</w:t>
            </w:r>
          </w:p>
        </w:tc>
        <w:tc>
          <w:tcPr>
            <w:tcW w:w="4536" w:type="dxa"/>
            <w:shd w:val="clear" w:color="auto" w:fill="auto"/>
          </w:tcPr>
          <w:p w:rsidR="00B639B6" w:rsidRPr="005F7EB4" w:rsidRDefault="00B639B6" w:rsidP="00483799">
            <w:pPr>
              <w:spacing w:before="60" w:after="60"/>
              <w:ind w:left="57" w:right="57"/>
              <w:rPr>
                <w:lang w:val="fr-FR"/>
              </w:rPr>
            </w:pPr>
            <w:r w:rsidRPr="005F7EB4">
              <w:rPr>
                <w:lang w:val="fr-FR"/>
              </w:rPr>
              <w:t>Doseurs de gaz</w:t>
            </w:r>
            <w:r w:rsidRPr="00EF7E32">
              <w:rPr>
                <w:i/>
                <w:vertAlign w:val="superscript"/>
                <w:lang w:val="fr-FR"/>
              </w:rPr>
              <w:t>2</w:t>
            </w:r>
          </w:p>
        </w:tc>
        <w:tc>
          <w:tcPr>
            <w:tcW w:w="1418" w:type="dxa"/>
            <w:shd w:val="clear" w:color="auto" w:fill="auto"/>
          </w:tcPr>
          <w:p w:rsidR="00B639B6" w:rsidRPr="005F7EB4" w:rsidRDefault="00B639B6" w:rsidP="00483799">
            <w:pPr>
              <w:spacing w:before="60" w:after="60"/>
              <w:ind w:left="57" w:right="57"/>
              <w:rPr>
                <w:lang w:val="fr-FR"/>
              </w:rPr>
            </w:pPr>
            <w:r w:rsidRPr="005F7EB4">
              <w:rPr>
                <w:lang w:val="fr-FR"/>
              </w:rPr>
              <w:t>12</w:t>
            </w:r>
          </w:p>
        </w:tc>
      </w:tr>
      <w:tr w:rsidR="00B639B6" w:rsidRPr="005F7EB4" w:rsidTr="00483799">
        <w:trPr>
          <w:cantSplit/>
        </w:trPr>
        <w:tc>
          <w:tcPr>
            <w:tcW w:w="1418" w:type="dxa"/>
            <w:shd w:val="clear" w:color="auto" w:fill="auto"/>
          </w:tcPr>
          <w:p w:rsidR="00B639B6" w:rsidRPr="005F7EB4" w:rsidRDefault="00B639B6" w:rsidP="00483799">
            <w:pPr>
              <w:spacing w:before="60" w:after="60"/>
              <w:ind w:left="57" w:right="57"/>
              <w:rPr>
                <w:lang w:val="fr-FR"/>
              </w:rPr>
            </w:pPr>
            <w:r w:rsidRPr="005F7EB4">
              <w:rPr>
                <w:lang w:val="fr-FR"/>
              </w:rPr>
              <w:t>…</w:t>
            </w:r>
          </w:p>
        </w:tc>
        <w:tc>
          <w:tcPr>
            <w:tcW w:w="4536" w:type="dxa"/>
            <w:shd w:val="clear" w:color="auto" w:fill="auto"/>
          </w:tcPr>
          <w:p w:rsidR="00B639B6" w:rsidRPr="005F7EB4" w:rsidRDefault="00B639B6" w:rsidP="00483799">
            <w:pPr>
              <w:spacing w:before="60" w:after="60"/>
              <w:ind w:left="57" w:right="57"/>
              <w:rPr>
                <w:lang w:val="fr-FR"/>
              </w:rPr>
            </w:pPr>
            <w:r w:rsidRPr="005F7EB4">
              <w:rPr>
                <w:lang w:val="fr-FR"/>
              </w:rPr>
              <w:t>…</w:t>
            </w:r>
          </w:p>
        </w:tc>
        <w:tc>
          <w:tcPr>
            <w:tcW w:w="1418" w:type="dxa"/>
            <w:shd w:val="clear" w:color="auto" w:fill="auto"/>
          </w:tcPr>
          <w:p w:rsidR="00B639B6" w:rsidRPr="005F7EB4" w:rsidRDefault="00B639B6" w:rsidP="00483799">
            <w:pPr>
              <w:spacing w:before="60" w:after="60"/>
              <w:ind w:left="57" w:right="57"/>
              <w:rPr>
                <w:lang w:val="fr-FR"/>
              </w:rPr>
            </w:pPr>
            <w:r w:rsidRPr="005F7EB4">
              <w:rPr>
                <w:lang w:val="fr-FR"/>
              </w:rPr>
              <w:t>…</w:t>
            </w:r>
          </w:p>
        </w:tc>
      </w:tr>
      <w:tr w:rsidR="00B639B6" w:rsidRPr="005F7EB4" w:rsidTr="00483799">
        <w:trPr>
          <w:cantSplit/>
        </w:trPr>
        <w:tc>
          <w:tcPr>
            <w:tcW w:w="1418" w:type="dxa"/>
            <w:shd w:val="clear" w:color="auto" w:fill="auto"/>
          </w:tcPr>
          <w:p w:rsidR="00B639B6" w:rsidRPr="005F7EB4" w:rsidRDefault="00B639B6" w:rsidP="00483799">
            <w:pPr>
              <w:spacing w:before="60" w:after="60"/>
              <w:ind w:left="57" w:right="57"/>
              <w:rPr>
                <w:lang w:val="fr-FR"/>
              </w:rPr>
            </w:pPr>
            <w:r w:rsidRPr="005F7EB4">
              <w:rPr>
                <w:lang w:val="fr-FR"/>
              </w:rPr>
              <w:t>6.14</w:t>
            </w:r>
          </w:p>
        </w:tc>
        <w:tc>
          <w:tcPr>
            <w:tcW w:w="4536" w:type="dxa"/>
            <w:shd w:val="clear" w:color="auto" w:fill="auto"/>
          </w:tcPr>
          <w:p w:rsidR="00B639B6" w:rsidRPr="005F7EB4" w:rsidRDefault="00B639B6" w:rsidP="00483799">
            <w:pPr>
              <w:spacing w:before="60" w:after="60"/>
              <w:ind w:left="57" w:right="57"/>
              <w:rPr>
                <w:lang w:val="fr-FR"/>
              </w:rPr>
            </w:pPr>
            <w:r w:rsidRPr="005F7EB4">
              <w:rPr>
                <w:lang w:val="fr-FR"/>
              </w:rPr>
              <w:t>Dispositif de surpression</w:t>
            </w:r>
          </w:p>
        </w:tc>
        <w:tc>
          <w:tcPr>
            <w:tcW w:w="1418" w:type="dxa"/>
            <w:shd w:val="clear" w:color="auto" w:fill="auto"/>
          </w:tcPr>
          <w:p w:rsidR="00B639B6" w:rsidRPr="005F7EB4" w:rsidRDefault="00B639B6" w:rsidP="00483799">
            <w:pPr>
              <w:spacing w:before="60" w:after="60"/>
              <w:ind w:left="57" w:right="57"/>
              <w:rPr>
                <w:lang w:val="fr-FR"/>
              </w:rPr>
            </w:pPr>
            <w:r w:rsidRPr="005F7EB4">
              <w:rPr>
                <w:lang w:val="fr-FR"/>
              </w:rPr>
              <w:t>3</w:t>
            </w:r>
          </w:p>
        </w:tc>
      </w:tr>
      <w:tr w:rsidR="00B639B6" w:rsidRPr="005F7EB4" w:rsidTr="00483799">
        <w:trPr>
          <w:cantSplit/>
        </w:trPr>
        <w:tc>
          <w:tcPr>
            <w:tcW w:w="1418" w:type="dxa"/>
            <w:tcBorders>
              <w:bottom w:val="single" w:sz="12" w:space="0" w:color="auto"/>
            </w:tcBorders>
            <w:shd w:val="clear" w:color="auto" w:fill="auto"/>
          </w:tcPr>
          <w:p w:rsidR="00B639B6" w:rsidRPr="005F7EB4" w:rsidRDefault="00B639B6" w:rsidP="00483799">
            <w:pPr>
              <w:spacing w:before="60" w:after="60"/>
              <w:ind w:left="57" w:right="57"/>
              <w:rPr>
                <w:b/>
                <w:lang w:val="fr-FR"/>
              </w:rPr>
            </w:pPr>
            <w:r w:rsidRPr="005F7EB4">
              <w:rPr>
                <w:b/>
                <w:lang w:val="fr-FR"/>
              </w:rPr>
              <w:t>6.15</w:t>
            </w:r>
          </w:p>
        </w:tc>
        <w:tc>
          <w:tcPr>
            <w:tcW w:w="4536" w:type="dxa"/>
            <w:tcBorders>
              <w:bottom w:val="single" w:sz="12" w:space="0" w:color="auto"/>
            </w:tcBorders>
            <w:shd w:val="clear" w:color="auto" w:fill="auto"/>
          </w:tcPr>
          <w:p w:rsidR="00B639B6" w:rsidRPr="005F7EB4" w:rsidRDefault="00B639B6" w:rsidP="00483799">
            <w:pPr>
              <w:spacing w:before="60" w:after="60"/>
              <w:ind w:left="57" w:right="57"/>
              <w:rPr>
                <w:b/>
                <w:lang w:val="fr-FR"/>
              </w:rPr>
            </w:pPr>
            <w:r w:rsidRPr="005F7EB4">
              <w:rPr>
                <w:b/>
                <w:lang w:val="fr-FR"/>
              </w:rPr>
              <w:t>Bloc multiorganes</w:t>
            </w:r>
          </w:p>
        </w:tc>
        <w:tc>
          <w:tcPr>
            <w:tcW w:w="1418" w:type="dxa"/>
            <w:tcBorders>
              <w:bottom w:val="single" w:sz="12" w:space="0" w:color="auto"/>
            </w:tcBorders>
            <w:shd w:val="clear" w:color="auto" w:fill="auto"/>
          </w:tcPr>
          <w:p w:rsidR="00B639B6" w:rsidRPr="005F7EB4" w:rsidRDefault="00B639B6" w:rsidP="00483799">
            <w:pPr>
              <w:spacing w:before="60" w:after="60"/>
              <w:ind w:left="57" w:right="57"/>
              <w:rPr>
                <w:b/>
                <w:lang w:val="fr-FR"/>
              </w:rPr>
            </w:pPr>
            <w:r w:rsidRPr="00B639B6">
              <w:rPr>
                <w:b/>
                <w:lang w:val="fr-FR"/>
              </w:rPr>
              <w:t>Annexes applicables aux divers organes</w:t>
            </w:r>
          </w:p>
        </w:tc>
      </w:tr>
    </w:tbl>
    <w:p w:rsidR="00B639B6" w:rsidRPr="005F4FC6" w:rsidRDefault="00B639B6" w:rsidP="00B36D28">
      <w:pPr>
        <w:pStyle w:val="SingleTxtG"/>
        <w:spacing w:before="120" w:after="0"/>
        <w:ind w:firstLine="170"/>
        <w:rPr>
          <w:sz w:val="18"/>
          <w:szCs w:val="18"/>
          <w:lang w:val="fr-FR"/>
        </w:rPr>
      </w:pPr>
      <w:r w:rsidRPr="005F4FC6">
        <w:rPr>
          <w:i/>
          <w:sz w:val="18"/>
          <w:szCs w:val="18"/>
          <w:vertAlign w:val="superscript"/>
          <w:lang w:val="fr-FR"/>
        </w:rPr>
        <w:t>1</w:t>
      </w:r>
      <w:r w:rsidRPr="005F4FC6">
        <w:rPr>
          <w:sz w:val="18"/>
          <w:szCs w:val="18"/>
          <w:lang w:val="fr-FR"/>
        </w:rPr>
        <w:tab/>
        <w:t>Combinés ou indépendants.</w:t>
      </w:r>
    </w:p>
    <w:p w:rsidR="00B639B6" w:rsidRPr="005F4FC6" w:rsidRDefault="00B639B6" w:rsidP="00B36D28">
      <w:pPr>
        <w:pStyle w:val="SingleTxtG"/>
        <w:spacing w:after="0"/>
        <w:ind w:firstLine="170"/>
        <w:rPr>
          <w:sz w:val="18"/>
          <w:szCs w:val="18"/>
          <w:lang w:val="fr-FR"/>
        </w:rPr>
      </w:pPr>
      <w:r w:rsidRPr="005F4FC6">
        <w:rPr>
          <w:i/>
          <w:sz w:val="18"/>
          <w:szCs w:val="18"/>
          <w:vertAlign w:val="superscript"/>
          <w:lang w:val="fr-FR"/>
        </w:rPr>
        <w:t>2</w:t>
      </w:r>
      <w:r w:rsidRPr="005F4FC6">
        <w:rPr>
          <w:sz w:val="18"/>
          <w:szCs w:val="18"/>
          <w:lang w:val="fr-FR"/>
        </w:rPr>
        <w:tab/>
        <w:t>Ne s</w:t>
      </w:r>
      <w:r w:rsidR="000D1719">
        <w:rPr>
          <w:sz w:val="18"/>
          <w:szCs w:val="18"/>
          <w:lang w:val="fr-FR"/>
        </w:rPr>
        <w:t>’</w:t>
      </w:r>
      <w:r w:rsidRPr="005F4FC6">
        <w:rPr>
          <w:sz w:val="18"/>
          <w:szCs w:val="18"/>
          <w:lang w:val="fr-FR"/>
        </w:rPr>
        <w:t>applique que si l</w:t>
      </w:r>
      <w:r w:rsidR="000D1719">
        <w:rPr>
          <w:sz w:val="18"/>
          <w:szCs w:val="18"/>
          <w:lang w:val="fr-FR"/>
        </w:rPr>
        <w:t>’</w:t>
      </w:r>
      <w:r w:rsidRPr="005F4FC6">
        <w:rPr>
          <w:sz w:val="18"/>
          <w:szCs w:val="18"/>
          <w:lang w:val="fr-FR"/>
        </w:rPr>
        <w:t>actionneur du doseur n</w:t>
      </w:r>
      <w:r w:rsidR="000D1719">
        <w:rPr>
          <w:sz w:val="18"/>
          <w:szCs w:val="18"/>
          <w:lang w:val="fr-FR"/>
        </w:rPr>
        <w:t>’</w:t>
      </w:r>
      <w:r w:rsidRPr="005F4FC6">
        <w:rPr>
          <w:sz w:val="18"/>
          <w:szCs w:val="18"/>
          <w:lang w:val="fr-FR"/>
        </w:rPr>
        <w:t>est pas intégré au dispositif d</w:t>
      </w:r>
      <w:r w:rsidR="000D1719">
        <w:rPr>
          <w:sz w:val="18"/>
          <w:szCs w:val="18"/>
          <w:lang w:val="fr-FR"/>
        </w:rPr>
        <w:t>’</w:t>
      </w:r>
      <w:r w:rsidRPr="005F4FC6">
        <w:rPr>
          <w:sz w:val="18"/>
          <w:szCs w:val="18"/>
          <w:lang w:val="fr-FR"/>
        </w:rPr>
        <w:t>injection de gaz.</w:t>
      </w:r>
    </w:p>
    <w:p w:rsidR="00B639B6" w:rsidRPr="005F4FC6" w:rsidRDefault="00B639B6" w:rsidP="005F4FC6">
      <w:pPr>
        <w:pStyle w:val="SingleTxtG"/>
        <w:spacing w:after="240"/>
        <w:ind w:firstLine="170"/>
        <w:rPr>
          <w:sz w:val="18"/>
          <w:szCs w:val="18"/>
          <w:lang w:val="fr-FR"/>
        </w:rPr>
      </w:pPr>
      <w:r w:rsidRPr="005F4FC6">
        <w:rPr>
          <w:i/>
          <w:sz w:val="18"/>
          <w:szCs w:val="18"/>
          <w:vertAlign w:val="superscript"/>
          <w:lang w:val="fr-FR"/>
        </w:rPr>
        <w:t>3</w:t>
      </w:r>
      <w:r w:rsidRPr="005F4FC6">
        <w:rPr>
          <w:sz w:val="18"/>
          <w:szCs w:val="18"/>
          <w:lang w:val="fr-FR"/>
        </w:rPr>
        <w:tab/>
        <w:t>Ne s</w:t>
      </w:r>
      <w:r w:rsidR="000D1719">
        <w:rPr>
          <w:sz w:val="18"/>
          <w:szCs w:val="18"/>
          <w:lang w:val="fr-FR"/>
        </w:rPr>
        <w:t>’</w:t>
      </w:r>
      <w:r w:rsidRPr="005F4FC6">
        <w:rPr>
          <w:sz w:val="18"/>
          <w:szCs w:val="18"/>
          <w:lang w:val="fr-FR"/>
        </w:rPr>
        <w:t>applique que si la pression de fonctionnement du mélan</w:t>
      </w:r>
      <w:r w:rsidR="005F4FC6">
        <w:rPr>
          <w:sz w:val="18"/>
          <w:szCs w:val="18"/>
          <w:lang w:val="fr-FR"/>
        </w:rPr>
        <w:t>geur de gaz est supérieure à 20 </w:t>
      </w:r>
      <w:r w:rsidRPr="005F4FC6">
        <w:rPr>
          <w:sz w:val="18"/>
          <w:szCs w:val="18"/>
          <w:lang w:val="fr-FR"/>
        </w:rPr>
        <w:t>kPa (classe 2). ».</w:t>
      </w:r>
    </w:p>
    <w:p w:rsidR="00B639B6" w:rsidRPr="005F7EB4" w:rsidRDefault="00B639B6" w:rsidP="005F4FC6">
      <w:pPr>
        <w:pStyle w:val="SingleTxtG"/>
        <w:rPr>
          <w:lang w:val="fr-FR"/>
        </w:rPr>
      </w:pPr>
      <w:r w:rsidRPr="0081094D">
        <w:rPr>
          <w:lang w:val="fr-FR"/>
        </w:rPr>
        <w:t>Les</w:t>
      </w:r>
      <w:r w:rsidRPr="005F7EB4">
        <w:rPr>
          <w:i/>
          <w:lang w:val="fr-FR"/>
        </w:rPr>
        <w:t xml:space="preserve"> paragraphes 6.15 à 6.15.3.2</w:t>
      </w:r>
      <w:r w:rsidR="00AC6408">
        <w:rPr>
          <w:i/>
          <w:lang w:val="fr-FR"/>
        </w:rPr>
        <w:t xml:space="preserve"> (anciens)</w:t>
      </w:r>
      <w:r w:rsidRPr="005F7EB4">
        <w:rPr>
          <w:i/>
          <w:lang w:val="fr-FR"/>
        </w:rPr>
        <w:t xml:space="preserve"> </w:t>
      </w:r>
      <w:r w:rsidRPr="005F7EB4">
        <w:rPr>
          <w:lang w:val="fr-FR"/>
        </w:rPr>
        <w:t>deviennent les paragraphes 6.16 à 6.16.3.2.</w:t>
      </w:r>
    </w:p>
    <w:p w:rsidR="00B639B6" w:rsidRPr="005F7EB4" w:rsidRDefault="00B639B6" w:rsidP="005F4FC6">
      <w:pPr>
        <w:pStyle w:val="SingleTxtG"/>
        <w:keepNext/>
        <w:rPr>
          <w:lang w:val="fr-FR"/>
        </w:rPr>
      </w:pPr>
      <w:r w:rsidRPr="005F7EB4">
        <w:rPr>
          <w:i/>
          <w:lang w:val="fr-FR"/>
        </w:rPr>
        <w:lastRenderedPageBreak/>
        <w:t>Ajouter un nouveau paragraphe 6.16.3.3</w:t>
      </w:r>
      <w:r w:rsidRPr="005F7EB4">
        <w:rPr>
          <w:lang w:val="fr-FR"/>
        </w:rPr>
        <w:t>, libellé comme suit :</w:t>
      </w:r>
    </w:p>
    <w:p w:rsidR="005F4FC6" w:rsidRDefault="00B639B6" w:rsidP="005F4FC6">
      <w:pPr>
        <w:pStyle w:val="SingleTxtG"/>
        <w:ind w:left="2268" w:hanging="1134"/>
        <w:rPr>
          <w:b/>
          <w:lang w:val="fr-FR"/>
        </w:rPr>
      </w:pPr>
      <w:r w:rsidRPr="005F7EB4">
        <w:rPr>
          <w:lang w:val="fr-FR"/>
        </w:rPr>
        <w:t>« </w:t>
      </w:r>
      <w:r w:rsidRPr="005F7EB4">
        <w:rPr>
          <w:b/>
          <w:lang w:val="fr-FR"/>
        </w:rPr>
        <w:t>6.16.3.3</w:t>
      </w:r>
      <w:r w:rsidRPr="005F7EB4">
        <w:rPr>
          <w:b/>
          <w:lang w:val="fr-FR"/>
        </w:rPr>
        <w:tab/>
      </w:r>
      <w:r w:rsidRPr="00B639B6">
        <w:rPr>
          <w:b/>
          <w:lang w:val="fr-FR"/>
        </w:rPr>
        <w:t>Sans préjudice du paragraphe 1.7 de l</w:t>
      </w:r>
      <w:r w:rsidR="000D1719">
        <w:rPr>
          <w:b/>
          <w:lang w:val="fr-FR"/>
        </w:rPr>
        <w:t>’</w:t>
      </w:r>
      <w:r w:rsidRPr="00B639B6">
        <w:rPr>
          <w:b/>
          <w:lang w:val="fr-FR"/>
        </w:rPr>
        <w:t>annexe 7 du présent Règlement (phases d</w:t>
      </w:r>
      <w:r w:rsidR="000D1719">
        <w:rPr>
          <w:b/>
          <w:lang w:val="fr-FR"/>
        </w:rPr>
        <w:t>’</w:t>
      </w:r>
      <w:r w:rsidRPr="00B639B6">
        <w:rPr>
          <w:b/>
          <w:lang w:val="fr-FR"/>
        </w:rPr>
        <w:t>arrêt commandées), une vanne d</w:t>
      </w:r>
      <w:r w:rsidR="000D1719">
        <w:rPr>
          <w:b/>
          <w:lang w:val="fr-FR"/>
        </w:rPr>
        <w:t>’</w:t>
      </w:r>
      <w:r w:rsidRPr="00B639B6">
        <w:rPr>
          <w:b/>
          <w:lang w:val="fr-FR"/>
        </w:rPr>
        <w:t>arrêt télécommandée (lorsqu</w:t>
      </w:r>
      <w:r w:rsidR="000D1719">
        <w:rPr>
          <w:b/>
          <w:lang w:val="fr-FR"/>
        </w:rPr>
        <w:t>’</w:t>
      </w:r>
      <w:r w:rsidRPr="00B639B6">
        <w:rPr>
          <w:b/>
          <w:lang w:val="fr-FR"/>
        </w:rPr>
        <w:t>elle est conçue pour être installée comme organe d</w:t>
      </w:r>
      <w:r w:rsidR="000D1719">
        <w:rPr>
          <w:b/>
          <w:lang w:val="fr-FR"/>
        </w:rPr>
        <w:t>’</w:t>
      </w:r>
      <w:r w:rsidRPr="00B639B6">
        <w:rPr>
          <w:b/>
          <w:lang w:val="fr-FR"/>
        </w:rPr>
        <w:t>un équipement GPL interconnecté aux fins du paragraphe 17.13.2.2) doit être soumise, lors de l</w:t>
      </w:r>
      <w:r w:rsidR="000D1719">
        <w:rPr>
          <w:b/>
          <w:lang w:val="fr-FR"/>
        </w:rPr>
        <w:t>’</w:t>
      </w:r>
      <w:r w:rsidRPr="00B639B6">
        <w:rPr>
          <w:b/>
          <w:lang w:val="fr-FR"/>
        </w:rPr>
        <w:t>homologation, à un essai d</w:t>
      </w:r>
      <w:r w:rsidR="000D1719">
        <w:rPr>
          <w:b/>
          <w:lang w:val="fr-FR"/>
        </w:rPr>
        <w:t>’</w:t>
      </w:r>
      <w:r w:rsidRPr="00B639B6">
        <w:rPr>
          <w:b/>
          <w:lang w:val="fr-FR"/>
        </w:rPr>
        <w:t>endurance conformément au paragraphe 9 de l</w:t>
      </w:r>
      <w:r w:rsidR="000D1719">
        <w:rPr>
          <w:b/>
          <w:lang w:val="fr-FR"/>
        </w:rPr>
        <w:t>’</w:t>
      </w:r>
      <w:r w:rsidRPr="00B639B6">
        <w:rPr>
          <w:b/>
          <w:lang w:val="fr-FR"/>
        </w:rPr>
        <w:t>annexe 15, sur un nombre de cycles égal à 20</w:t>
      </w:r>
      <w:r w:rsidR="005F4FC6">
        <w:rPr>
          <w:b/>
          <w:lang w:val="fr-FR"/>
        </w:rPr>
        <w:t> </w:t>
      </w:r>
      <w:r w:rsidRPr="00B639B6">
        <w:rPr>
          <w:b/>
          <w:lang w:val="fr-FR"/>
        </w:rPr>
        <w:t>000.</w:t>
      </w:r>
    </w:p>
    <w:p w:rsidR="005F4FC6" w:rsidRDefault="00B639B6" w:rsidP="005F4FC6">
      <w:pPr>
        <w:pStyle w:val="SingleTxtG"/>
        <w:ind w:left="2268" w:hanging="1134"/>
        <w:rPr>
          <w:b/>
          <w:lang w:val="fr-FR"/>
        </w:rPr>
      </w:pPr>
      <w:r w:rsidRPr="00B639B6">
        <w:rPr>
          <w:b/>
          <w:lang w:val="fr-FR"/>
        </w:rPr>
        <w:tab/>
        <w:t>La vanne doit porter un marquage sur lequel les indications suivantes sont bien lisibles et indélébiles :</w:t>
      </w:r>
    </w:p>
    <w:p w:rsidR="005F4FC6" w:rsidRDefault="00B639B6" w:rsidP="005F4FC6">
      <w:pPr>
        <w:pStyle w:val="SingleTxtG"/>
        <w:ind w:left="2268" w:hanging="1134"/>
        <w:rPr>
          <w:b/>
          <w:lang w:val="fr-FR"/>
        </w:rPr>
      </w:pPr>
      <w:r w:rsidRPr="00B639B6">
        <w:rPr>
          <w:b/>
          <w:lang w:val="fr-FR"/>
        </w:rPr>
        <w:tab/>
        <w:t>a)</w:t>
      </w:r>
      <w:r w:rsidRPr="00B639B6">
        <w:rPr>
          <w:b/>
          <w:lang w:val="fr-FR"/>
        </w:rPr>
        <w:tab/>
        <w:t>La mention “ICS” ; et</w:t>
      </w:r>
    </w:p>
    <w:p w:rsidR="00B639B6" w:rsidRPr="005F7EB4" w:rsidRDefault="00B639B6" w:rsidP="008742A4">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sidRPr="00B639B6">
        <w:rPr>
          <w:b/>
          <w:lang w:val="fr-FR"/>
        </w:rPr>
        <w:tab/>
        <w:t>b)</w:t>
      </w:r>
      <w:r w:rsidRPr="00B639B6">
        <w:rPr>
          <w:b/>
          <w:lang w:val="fr-FR"/>
        </w:rPr>
        <w:tab/>
        <w:t>La marque d</w:t>
      </w:r>
      <w:r w:rsidR="000D1719">
        <w:rPr>
          <w:b/>
          <w:lang w:val="fr-FR"/>
        </w:rPr>
        <w:t>’</w:t>
      </w:r>
      <w:r w:rsidRPr="00B639B6">
        <w:rPr>
          <w:b/>
          <w:lang w:val="fr-FR"/>
        </w:rPr>
        <w:t>homologation conformément au paragraphe 5.4 du présent Règlement.</w:t>
      </w:r>
      <w:r w:rsidRPr="00B639B6">
        <w:rPr>
          <w:lang w:val="fr-FR"/>
        </w:rPr>
        <w:t> ».</w:t>
      </w:r>
    </w:p>
    <w:p w:rsidR="00B639B6" w:rsidRPr="005F7EB4" w:rsidRDefault="00B639B6" w:rsidP="005F4FC6">
      <w:pPr>
        <w:pStyle w:val="SingleTxtG"/>
        <w:rPr>
          <w:lang w:val="fr-FR"/>
        </w:rPr>
      </w:pPr>
      <w:r w:rsidRPr="0081094D">
        <w:rPr>
          <w:lang w:val="fr-FR"/>
        </w:rPr>
        <w:t>Les</w:t>
      </w:r>
      <w:r w:rsidRPr="005F7EB4">
        <w:rPr>
          <w:i/>
          <w:lang w:val="fr-FR"/>
        </w:rPr>
        <w:t xml:space="preserve"> paragraphes 6.15.4 à 6.15.13.2.4 </w:t>
      </w:r>
      <w:r w:rsidR="00AC6408">
        <w:rPr>
          <w:i/>
          <w:lang w:val="fr-FR"/>
        </w:rPr>
        <w:t xml:space="preserve">(anciens) </w:t>
      </w:r>
      <w:r w:rsidRPr="005F7EB4">
        <w:rPr>
          <w:lang w:val="fr-FR"/>
        </w:rPr>
        <w:t xml:space="preserve">deviennent les paragraphes 6.16.4 à 6.16.13.2.4. </w:t>
      </w:r>
    </w:p>
    <w:p w:rsidR="00B639B6" w:rsidRPr="005F7EB4" w:rsidRDefault="00B639B6" w:rsidP="005F4FC6">
      <w:pPr>
        <w:pStyle w:val="SingleTxtG"/>
        <w:rPr>
          <w:lang w:val="fr-FR"/>
        </w:rPr>
      </w:pPr>
      <w:r w:rsidRPr="005F7EB4">
        <w:rPr>
          <w:i/>
          <w:lang w:val="fr-FR"/>
        </w:rPr>
        <w:t>Ajouter de nouveaux paragraphes 6.16.14 et 6.16.14.1</w:t>
      </w:r>
      <w:r w:rsidRPr="005F7EB4">
        <w:rPr>
          <w:lang w:val="fr-FR"/>
        </w:rPr>
        <w:t>, libellés comme suit :</w:t>
      </w:r>
    </w:p>
    <w:p w:rsidR="00B639B6" w:rsidRPr="005F7EB4" w:rsidRDefault="00B639B6" w:rsidP="005F4FC6">
      <w:pPr>
        <w:pStyle w:val="SingleTxtG"/>
        <w:rPr>
          <w:b/>
          <w:lang w:val="fr-FR"/>
        </w:rPr>
      </w:pPr>
      <w:r w:rsidRPr="005F7EB4">
        <w:rPr>
          <w:lang w:val="fr-FR"/>
        </w:rPr>
        <w:t>« </w:t>
      </w:r>
      <w:r w:rsidRPr="005F7EB4">
        <w:rPr>
          <w:b/>
          <w:lang w:val="fr-FR"/>
        </w:rPr>
        <w:t>6.16.14</w:t>
      </w:r>
      <w:r w:rsidRPr="005F7EB4">
        <w:rPr>
          <w:b/>
          <w:lang w:val="fr-FR"/>
        </w:rPr>
        <w:tab/>
        <w:t xml:space="preserve">Dispositions applicables aux soupapes antiretour </w:t>
      </w:r>
    </w:p>
    <w:p w:rsidR="005F4FC6" w:rsidRDefault="00B639B6" w:rsidP="005F4FC6">
      <w:pPr>
        <w:pStyle w:val="SingleTxtG"/>
        <w:ind w:left="2268" w:hanging="1134"/>
        <w:rPr>
          <w:b/>
          <w:lang w:val="fr-FR"/>
        </w:rPr>
      </w:pPr>
      <w:r w:rsidRPr="005F7EB4">
        <w:rPr>
          <w:b/>
          <w:lang w:val="fr-FR"/>
        </w:rPr>
        <w:t>6.16.14.1</w:t>
      </w:r>
      <w:r w:rsidRPr="005F7EB4">
        <w:rPr>
          <w:b/>
          <w:lang w:val="fr-FR"/>
        </w:rPr>
        <w:tab/>
        <w:t>Lorsqu</w:t>
      </w:r>
      <w:r w:rsidR="000D1719">
        <w:rPr>
          <w:b/>
          <w:lang w:val="fr-FR"/>
        </w:rPr>
        <w:t>’</w:t>
      </w:r>
      <w:r w:rsidRPr="005F7EB4">
        <w:rPr>
          <w:b/>
          <w:lang w:val="fr-FR"/>
        </w:rPr>
        <w:t xml:space="preserve">une soupape antiretour est </w:t>
      </w:r>
      <w:r w:rsidRPr="00B639B6">
        <w:rPr>
          <w:b/>
          <w:lang w:val="fr-FR"/>
        </w:rPr>
        <w:t>conçue pour</w:t>
      </w:r>
      <w:r w:rsidRPr="005F7EB4">
        <w:rPr>
          <w:b/>
          <w:lang w:val="fr-FR"/>
        </w:rPr>
        <w:t xml:space="preserve"> être installée comme </w:t>
      </w:r>
      <w:r w:rsidRPr="00B639B6">
        <w:rPr>
          <w:b/>
          <w:lang w:val="fr-FR"/>
        </w:rPr>
        <w:t>organe</w:t>
      </w:r>
      <w:r w:rsidRPr="005F7EB4">
        <w:rPr>
          <w:b/>
          <w:lang w:val="fr-FR"/>
        </w:rPr>
        <w:t xml:space="preserve"> d</w:t>
      </w:r>
      <w:r w:rsidR="000D1719">
        <w:rPr>
          <w:b/>
          <w:lang w:val="fr-FR"/>
        </w:rPr>
        <w:t>’</w:t>
      </w:r>
      <w:r w:rsidRPr="005F7EB4">
        <w:rPr>
          <w:b/>
          <w:lang w:val="fr-FR"/>
        </w:rPr>
        <w:t>un équipement GPL interconnecté aux fins du paragraphe 17.13.1.1, 17.13.1.2 ou 17.13.2.1, elle doit être soumise, lors de l</w:t>
      </w:r>
      <w:r w:rsidR="000D1719">
        <w:rPr>
          <w:b/>
          <w:lang w:val="fr-FR"/>
        </w:rPr>
        <w:t>’</w:t>
      </w:r>
      <w:r w:rsidRPr="005F7EB4">
        <w:rPr>
          <w:b/>
          <w:lang w:val="fr-FR"/>
        </w:rPr>
        <w:t>homologation, à un essai d</w:t>
      </w:r>
      <w:r w:rsidR="000D1719">
        <w:rPr>
          <w:b/>
          <w:lang w:val="fr-FR"/>
        </w:rPr>
        <w:t>’</w:t>
      </w:r>
      <w:r w:rsidRPr="005F7EB4">
        <w:rPr>
          <w:b/>
          <w:lang w:val="fr-FR"/>
        </w:rPr>
        <w:t>endurance conformément au</w:t>
      </w:r>
      <w:r>
        <w:rPr>
          <w:b/>
          <w:lang w:val="fr-FR"/>
        </w:rPr>
        <w:t xml:space="preserve"> </w:t>
      </w:r>
      <w:r w:rsidRPr="00B639B6">
        <w:rPr>
          <w:b/>
          <w:lang w:val="fr-FR"/>
        </w:rPr>
        <w:t>paragraphe</w:t>
      </w:r>
      <w:r w:rsidRPr="005F7EB4">
        <w:rPr>
          <w:b/>
          <w:lang w:val="fr-FR"/>
        </w:rPr>
        <w:t xml:space="preserve"> 9.7 de l</w:t>
      </w:r>
      <w:r w:rsidR="000D1719">
        <w:rPr>
          <w:b/>
          <w:lang w:val="fr-FR"/>
        </w:rPr>
        <w:t>’</w:t>
      </w:r>
      <w:r w:rsidRPr="005F7EB4">
        <w:rPr>
          <w:b/>
          <w:lang w:val="fr-FR"/>
        </w:rPr>
        <w:t>annexe 15.</w:t>
      </w:r>
    </w:p>
    <w:p w:rsidR="005F4FC6" w:rsidRDefault="005F4FC6" w:rsidP="005F4FC6">
      <w:pPr>
        <w:pStyle w:val="SingleTxtG"/>
        <w:ind w:left="2268" w:hanging="1134"/>
        <w:rPr>
          <w:b/>
          <w:lang w:val="fr-FR"/>
        </w:rPr>
      </w:pPr>
      <w:r>
        <w:rPr>
          <w:b/>
          <w:lang w:val="fr-FR"/>
        </w:rPr>
        <w:tab/>
      </w:r>
      <w:r w:rsidR="00B639B6" w:rsidRPr="00B639B6">
        <w:rPr>
          <w:b/>
          <w:lang w:val="fr-FR"/>
        </w:rPr>
        <w:t>La vanne doit porter un marquage sur lequel les indications suivantes sont bien lisibles et indélébiles :</w:t>
      </w:r>
    </w:p>
    <w:p w:rsidR="005F4FC6" w:rsidRDefault="00B639B6" w:rsidP="005F4FC6">
      <w:pPr>
        <w:pStyle w:val="SingleTxtG"/>
        <w:ind w:left="2268" w:hanging="1134"/>
        <w:rPr>
          <w:b/>
          <w:lang w:val="fr-FR"/>
        </w:rPr>
      </w:pPr>
      <w:r w:rsidRPr="00B639B6">
        <w:rPr>
          <w:b/>
          <w:lang w:val="fr-FR"/>
        </w:rPr>
        <w:tab/>
        <w:t>a)</w:t>
      </w:r>
      <w:r w:rsidRPr="00B639B6">
        <w:rPr>
          <w:b/>
          <w:lang w:val="fr-FR"/>
        </w:rPr>
        <w:tab/>
        <w:t xml:space="preserve">La mention “ICS” ; et </w:t>
      </w:r>
    </w:p>
    <w:p w:rsidR="00B639B6" w:rsidRPr="005F7EB4" w:rsidRDefault="00B639B6" w:rsidP="008742A4">
      <w:pPr>
        <w:tabs>
          <w:tab w:val="left" w:pos="2268"/>
          <w:tab w:val="left" w:pos="2835"/>
          <w:tab w:val="left" w:pos="8505"/>
        </w:tabs>
        <w:kinsoku/>
        <w:overflowPunct/>
        <w:autoSpaceDE/>
        <w:autoSpaceDN/>
        <w:adjustRightInd/>
        <w:snapToGrid/>
        <w:spacing w:before="120" w:after="120" w:line="240" w:lineRule="auto"/>
        <w:ind w:left="2835" w:right="1134" w:hanging="1701"/>
        <w:jc w:val="both"/>
        <w:rPr>
          <w:b/>
          <w:lang w:val="fr-FR"/>
        </w:rPr>
      </w:pPr>
      <w:r w:rsidRPr="005F7EB4">
        <w:rPr>
          <w:b/>
          <w:bCs/>
          <w:lang w:val="fr-FR"/>
        </w:rPr>
        <w:tab/>
        <w:t>b)</w:t>
      </w:r>
      <w:r w:rsidRPr="005F7EB4">
        <w:rPr>
          <w:b/>
          <w:bCs/>
          <w:lang w:val="fr-FR"/>
        </w:rPr>
        <w:tab/>
        <w:t>La marque d</w:t>
      </w:r>
      <w:r w:rsidR="000D1719">
        <w:rPr>
          <w:b/>
          <w:bCs/>
          <w:lang w:val="fr-FR"/>
        </w:rPr>
        <w:t>’</w:t>
      </w:r>
      <w:r w:rsidRPr="005F7EB4">
        <w:rPr>
          <w:b/>
          <w:bCs/>
          <w:lang w:val="fr-FR"/>
        </w:rPr>
        <w:t>homologation conformément au paragraphe 5.4 du présent Règlement. ».</w:t>
      </w:r>
    </w:p>
    <w:p w:rsidR="00B639B6" w:rsidRPr="005F7EB4" w:rsidRDefault="00B639B6" w:rsidP="005F4FC6">
      <w:pPr>
        <w:pStyle w:val="SingleTxtG"/>
        <w:rPr>
          <w:b/>
          <w:bCs/>
          <w:lang w:val="fr-FR"/>
        </w:rPr>
      </w:pPr>
      <w:r w:rsidRPr="005F7EB4">
        <w:rPr>
          <w:i/>
          <w:lang w:val="fr-FR"/>
        </w:rPr>
        <w:t>Ajouter un nouveau paragraphe 6.17</w:t>
      </w:r>
      <w:r w:rsidRPr="005F7EB4">
        <w:rPr>
          <w:lang w:val="fr-FR"/>
        </w:rPr>
        <w:t>, libellé comme suit :</w:t>
      </w:r>
    </w:p>
    <w:p w:rsidR="00292F68" w:rsidRDefault="00B639B6" w:rsidP="00292F68">
      <w:pPr>
        <w:pStyle w:val="SingleTxtG"/>
        <w:ind w:left="2268" w:hanging="1134"/>
        <w:rPr>
          <w:b/>
          <w:lang w:val="fr-FR"/>
        </w:rPr>
      </w:pPr>
      <w:r w:rsidRPr="005F7EB4">
        <w:rPr>
          <w:lang w:val="fr-FR"/>
        </w:rPr>
        <w:t>« </w:t>
      </w:r>
      <w:r w:rsidRPr="005F7EB4">
        <w:rPr>
          <w:b/>
          <w:bCs/>
          <w:lang w:val="fr-FR"/>
        </w:rPr>
        <w:t>6.17</w:t>
      </w:r>
      <w:r w:rsidRPr="005F7EB4">
        <w:rPr>
          <w:b/>
          <w:bCs/>
          <w:lang w:val="fr-FR"/>
        </w:rPr>
        <w:tab/>
      </w:r>
      <w:r w:rsidRPr="00B639B6">
        <w:rPr>
          <w:b/>
          <w:lang w:val="fr-FR"/>
        </w:rPr>
        <w:t>Lorsqu</w:t>
      </w:r>
      <w:r w:rsidR="000D1719">
        <w:rPr>
          <w:b/>
          <w:lang w:val="fr-FR"/>
        </w:rPr>
        <w:t>’</w:t>
      </w:r>
      <w:r w:rsidRPr="00B639B6">
        <w:rPr>
          <w:b/>
          <w:lang w:val="fr-FR"/>
        </w:rPr>
        <w:t>ils sont conçus pour être installés comme organes</w:t>
      </w:r>
      <w:r w:rsidRPr="005F7EB4">
        <w:rPr>
          <w:b/>
          <w:lang w:val="fr-FR"/>
        </w:rPr>
        <w:t xml:space="preserve"> ou parties d</w:t>
      </w:r>
      <w:r w:rsidR="000D1719">
        <w:rPr>
          <w:b/>
          <w:lang w:val="fr-FR"/>
        </w:rPr>
        <w:t>’</w:t>
      </w:r>
      <w:r w:rsidRPr="005F7EB4">
        <w:rPr>
          <w:b/>
          <w:lang w:val="fr-FR"/>
        </w:rPr>
        <w:t xml:space="preserve">un équipement GPL interconnecté, les </w:t>
      </w:r>
      <w:r w:rsidRPr="00B639B6">
        <w:rPr>
          <w:b/>
          <w:lang w:val="fr-FR"/>
        </w:rPr>
        <w:t>organes non métalliques, métalliques ou partiellement métalliques, y compris les flexibles et leurs éléments, ainsi que leurs parties non métalliques, métalliques</w:t>
      </w:r>
      <w:r w:rsidRPr="005F7EB4">
        <w:rPr>
          <w:b/>
          <w:lang w:val="fr-FR"/>
        </w:rPr>
        <w:t xml:space="preserve"> ou partiellement métalliques susceptibles d</w:t>
      </w:r>
      <w:r w:rsidR="000D1719">
        <w:rPr>
          <w:b/>
          <w:lang w:val="fr-FR"/>
        </w:rPr>
        <w:t>’</w:t>
      </w:r>
      <w:r w:rsidRPr="005F7EB4">
        <w:rPr>
          <w:b/>
          <w:lang w:val="fr-FR"/>
        </w:rPr>
        <w:t>entrer en contact avec l</w:t>
      </w:r>
      <w:r w:rsidR="000D1719">
        <w:rPr>
          <w:b/>
          <w:lang w:val="fr-FR"/>
        </w:rPr>
        <w:t>’</w:t>
      </w:r>
      <w:r w:rsidRPr="005F7EB4">
        <w:rPr>
          <w:b/>
          <w:lang w:val="fr-FR"/>
        </w:rPr>
        <w:t>essence doivent satisfaire aux prescriptions énoncées dans l</w:t>
      </w:r>
      <w:r w:rsidR="000D1719">
        <w:rPr>
          <w:b/>
          <w:lang w:val="fr-FR"/>
        </w:rPr>
        <w:t>’</w:t>
      </w:r>
      <w:r w:rsidRPr="005F7EB4">
        <w:rPr>
          <w:b/>
          <w:lang w:val="fr-FR"/>
        </w:rPr>
        <w:t>annexe 18 du présent Règlement.</w:t>
      </w:r>
    </w:p>
    <w:p w:rsidR="00B639B6" w:rsidRPr="005F7EB4" w:rsidRDefault="00292F68" w:rsidP="00292F68">
      <w:pPr>
        <w:pStyle w:val="SingleTxtG"/>
        <w:ind w:left="2268" w:hanging="1134"/>
        <w:rPr>
          <w:b/>
          <w:bCs/>
          <w:lang w:val="fr-FR"/>
        </w:rPr>
      </w:pPr>
      <w:r>
        <w:rPr>
          <w:b/>
          <w:lang w:val="fr-FR"/>
        </w:rPr>
        <w:tab/>
      </w:r>
      <w:r w:rsidR="00B639B6" w:rsidRPr="00B639B6">
        <w:rPr>
          <w:b/>
          <w:lang w:val="fr-FR"/>
        </w:rPr>
        <w:t>Les organes non métalliques, métalliques</w:t>
      </w:r>
      <w:r w:rsidR="00B639B6" w:rsidRPr="005F7EB4">
        <w:rPr>
          <w:b/>
          <w:lang w:val="fr-FR"/>
        </w:rPr>
        <w:t xml:space="preserve"> ou partiellement métalliques ou les </w:t>
      </w:r>
      <w:r w:rsidR="00B639B6" w:rsidRPr="00B639B6">
        <w:rPr>
          <w:b/>
          <w:lang w:val="fr-FR"/>
        </w:rPr>
        <w:t>organes</w:t>
      </w:r>
      <w:r w:rsidR="00B639B6" w:rsidRPr="005F7EB4">
        <w:rPr>
          <w:b/>
          <w:lang w:val="fr-FR"/>
        </w:rPr>
        <w:t xml:space="preserve"> contenant des parties non métalliques doivent porter une marque d</w:t>
      </w:r>
      <w:r w:rsidR="000D1719">
        <w:rPr>
          <w:b/>
          <w:lang w:val="fr-FR"/>
        </w:rPr>
        <w:t>’</w:t>
      </w:r>
      <w:r w:rsidR="00B639B6" w:rsidRPr="005F7EB4">
        <w:rPr>
          <w:b/>
          <w:lang w:val="fr-FR"/>
        </w:rPr>
        <w:t>homologation conformément à l</w:t>
      </w:r>
      <w:r w:rsidR="000D1719">
        <w:rPr>
          <w:b/>
          <w:lang w:val="fr-FR"/>
        </w:rPr>
        <w:t>’</w:t>
      </w:r>
      <w:r w:rsidR="00B639B6" w:rsidRPr="005F7EB4">
        <w:rPr>
          <w:b/>
          <w:lang w:val="fr-FR"/>
        </w:rPr>
        <w:t>appendice 1 de l</w:t>
      </w:r>
      <w:r w:rsidR="000D1719">
        <w:rPr>
          <w:b/>
          <w:lang w:val="fr-FR"/>
        </w:rPr>
        <w:t>’</w:t>
      </w:r>
      <w:r w:rsidR="00B639B6" w:rsidRPr="005F7EB4">
        <w:rPr>
          <w:b/>
          <w:lang w:val="fr-FR"/>
        </w:rPr>
        <w:t>annexe A. </w:t>
      </w:r>
      <w:r w:rsidR="00B639B6" w:rsidRPr="005F7EB4">
        <w:rPr>
          <w:lang w:val="fr-FR"/>
        </w:rPr>
        <w:t>».</w:t>
      </w:r>
    </w:p>
    <w:p w:rsidR="00B639B6" w:rsidRPr="005F7EB4" w:rsidRDefault="00B639B6" w:rsidP="00292F68">
      <w:pPr>
        <w:pStyle w:val="SingleTxtG"/>
        <w:rPr>
          <w:b/>
          <w:bCs/>
          <w:lang w:val="fr-FR"/>
        </w:rPr>
      </w:pPr>
      <w:r w:rsidRPr="005F7EB4">
        <w:rPr>
          <w:i/>
          <w:lang w:val="fr-FR"/>
        </w:rPr>
        <w:t>Ajouter de nouveaux paragraphes 17.13 à 17.13.2.5</w:t>
      </w:r>
      <w:r w:rsidRPr="005F7EB4">
        <w:rPr>
          <w:lang w:val="fr-FR"/>
        </w:rPr>
        <w:t>, libellés comme suit :</w:t>
      </w:r>
    </w:p>
    <w:p w:rsidR="00292F68" w:rsidRDefault="00B639B6" w:rsidP="00292F68">
      <w:pPr>
        <w:pStyle w:val="SingleTxtG"/>
        <w:ind w:left="2268" w:hanging="1134"/>
        <w:rPr>
          <w:b/>
          <w:lang w:val="fr-FR"/>
        </w:rPr>
      </w:pPr>
      <w:r w:rsidRPr="005F7EB4">
        <w:rPr>
          <w:bCs/>
          <w:lang w:val="fr-FR"/>
        </w:rPr>
        <w:t>« </w:t>
      </w:r>
      <w:r w:rsidRPr="005F7EB4">
        <w:rPr>
          <w:b/>
          <w:bCs/>
          <w:lang w:val="fr-FR"/>
        </w:rPr>
        <w:t>17.13</w:t>
      </w:r>
      <w:r w:rsidRPr="005F7EB4">
        <w:rPr>
          <w:b/>
          <w:bCs/>
          <w:lang w:val="fr-FR"/>
        </w:rPr>
        <w:tab/>
      </w:r>
      <w:r w:rsidRPr="005F7EB4">
        <w:rPr>
          <w:b/>
          <w:lang w:val="fr-FR"/>
        </w:rPr>
        <w:t>Dispositions spécifiques applicables aux équipements GPL interconnectés</w:t>
      </w:r>
    </w:p>
    <w:p w:rsidR="00292F68" w:rsidRDefault="00B639B6" w:rsidP="00292F68">
      <w:pPr>
        <w:pStyle w:val="SingleTxtG"/>
        <w:ind w:left="2268" w:hanging="1134"/>
        <w:rPr>
          <w:b/>
          <w:lang w:val="fr-FR"/>
        </w:rPr>
      </w:pPr>
      <w:r w:rsidRPr="005F7EB4">
        <w:rPr>
          <w:b/>
          <w:bCs/>
          <w:lang w:val="fr-FR"/>
        </w:rPr>
        <w:t>17.13.1</w:t>
      </w:r>
      <w:r w:rsidRPr="005F7EB4">
        <w:rPr>
          <w:b/>
          <w:bCs/>
          <w:lang w:val="fr-FR"/>
        </w:rPr>
        <w:tab/>
      </w:r>
      <w:r w:rsidRPr="005F7EB4">
        <w:rPr>
          <w:b/>
          <w:lang w:val="fr-FR"/>
        </w:rPr>
        <w:t xml:space="preserve">Équipement GPL pour véhicules </w:t>
      </w:r>
      <w:r w:rsidRPr="00B639B6">
        <w:rPr>
          <w:b/>
          <w:lang w:val="fr-FR"/>
        </w:rPr>
        <w:t>à bicarburation simultanée</w:t>
      </w:r>
      <w:r w:rsidRPr="005F7EB4">
        <w:rPr>
          <w:b/>
          <w:lang w:val="fr-FR"/>
        </w:rPr>
        <w:t xml:space="preserve"> </w:t>
      </w:r>
      <w:r w:rsidR="004D3191">
        <w:rPr>
          <w:b/>
          <w:lang w:val="fr-FR"/>
        </w:rPr>
        <w:t>(GPL</w:t>
      </w:r>
      <w:r w:rsidR="004D3191">
        <w:rPr>
          <w:b/>
          <w:lang w:val="fr-FR"/>
        </w:rPr>
        <w:noBreakHyphen/>
      </w:r>
      <w:r w:rsidRPr="005F7EB4">
        <w:rPr>
          <w:b/>
          <w:lang w:val="fr-FR"/>
        </w:rPr>
        <w:t>gazole)</w:t>
      </w:r>
    </w:p>
    <w:p w:rsidR="00292F68" w:rsidRDefault="00B639B6" w:rsidP="00292F68">
      <w:pPr>
        <w:pStyle w:val="SingleTxtG"/>
        <w:ind w:left="2268" w:hanging="1134"/>
        <w:rPr>
          <w:b/>
          <w:lang w:val="fr-FR"/>
        </w:rPr>
      </w:pPr>
      <w:r w:rsidRPr="005F7EB4">
        <w:rPr>
          <w:b/>
          <w:bCs/>
          <w:lang w:val="fr-FR"/>
        </w:rPr>
        <w:t>17.13.1.1</w:t>
      </w:r>
      <w:r w:rsidRPr="005F7EB4">
        <w:rPr>
          <w:b/>
          <w:bCs/>
          <w:lang w:val="fr-FR"/>
        </w:rPr>
        <w:tab/>
        <w:t>Des moyens doivent être prévus pour empêcher tout reflux de GPL</w:t>
      </w:r>
      <w:r>
        <w:rPr>
          <w:b/>
          <w:bCs/>
          <w:lang w:val="fr-FR"/>
        </w:rPr>
        <w:t xml:space="preserve"> </w:t>
      </w:r>
      <w:r w:rsidRPr="005F7EB4">
        <w:rPr>
          <w:b/>
          <w:bCs/>
          <w:lang w:val="fr-FR"/>
        </w:rPr>
        <w:t xml:space="preserve">dans le réservoir à gazole. </w:t>
      </w:r>
      <w:r w:rsidRPr="005F7EB4">
        <w:rPr>
          <w:b/>
          <w:lang w:val="fr-FR"/>
        </w:rPr>
        <w:t>L</w:t>
      </w:r>
      <w:r w:rsidR="000D1719">
        <w:rPr>
          <w:b/>
          <w:lang w:val="fr-FR"/>
        </w:rPr>
        <w:t>’</w:t>
      </w:r>
      <w:r w:rsidRPr="005F7EB4">
        <w:rPr>
          <w:b/>
          <w:lang w:val="fr-FR"/>
        </w:rPr>
        <w:t>installation de deux soupapes antiretour sur le circuit d</w:t>
      </w:r>
      <w:r w:rsidR="000D1719">
        <w:rPr>
          <w:b/>
          <w:lang w:val="fr-FR"/>
        </w:rPr>
        <w:t>’</w:t>
      </w:r>
      <w:r w:rsidRPr="005F7EB4">
        <w:rPr>
          <w:b/>
          <w:lang w:val="fr-FR"/>
        </w:rPr>
        <w:t>écoulement sera considérée comme remplissant cette condition si les soupapes satisfont aux prescriptions du paragraphe 6.16.14.1.</w:t>
      </w:r>
    </w:p>
    <w:p w:rsidR="00292F68" w:rsidRDefault="00B639B6" w:rsidP="00292F68">
      <w:pPr>
        <w:pStyle w:val="SingleTxtG"/>
        <w:ind w:left="2268" w:hanging="1134"/>
        <w:rPr>
          <w:b/>
          <w:lang w:val="fr-FR"/>
        </w:rPr>
      </w:pPr>
      <w:r w:rsidRPr="005F7EB4">
        <w:rPr>
          <w:b/>
          <w:bCs/>
          <w:lang w:val="fr-FR"/>
        </w:rPr>
        <w:t>17.13.1.2</w:t>
      </w:r>
      <w:r w:rsidRPr="005F7EB4">
        <w:rPr>
          <w:b/>
          <w:bCs/>
          <w:lang w:val="fr-FR"/>
        </w:rPr>
        <w:tab/>
      </w:r>
      <w:r w:rsidRPr="005F7EB4">
        <w:rPr>
          <w:b/>
          <w:lang w:val="fr-FR"/>
        </w:rPr>
        <w:t>Des moyens doivent être prévus pour empêcher tout reflux de gazole dans le réservoir à GPL. L</w:t>
      </w:r>
      <w:r w:rsidR="000D1719">
        <w:rPr>
          <w:b/>
          <w:lang w:val="fr-FR"/>
        </w:rPr>
        <w:t>’</w:t>
      </w:r>
      <w:r w:rsidRPr="005F7EB4">
        <w:rPr>
          <w:b/>
          <w:lang w:val="fr-FR"/>
        </w:rPr>
        <w:t>installation de deux soupapes antiretour sur le circuit d</w:t>
      </w:r>
      <w:r w:rsidR="000D1719">
        <w:rPr>
          <w:b/>
          <w:lang w:val="fr-FR"/>
        </w:rPr>
        <w:t>’</w:t>
      </w:r>
      <w:r w:rsidRPr="005F7EB4">
        <w:rPr>
          <w:b/>
          <w:lang w:val="fr-FR"/>
        </w:rPr>
        <w:t xml:space="preserve">écoulement sera considérée comme remplissant cette condition si les soupapes satisfont aux prescriptions du paragraphe </w:t>
      </w:r>
      <w:r w:rsidRPr="00B639B6">
        <w:rPr>
          <w:b/>
          <w:lang w:val="fr-FR"/>
        </w:rPr>
        <w:t>6.16.14.1</w:t>
      </w:r>
      <w:r w:rsidRPr="005F7EB4">
        <w:rPr>
          <w:b/>
          <w:lang w:val="fr-FR"/>
        </w:rPr>
        <w:t>.</w:t>
      </w:r>
    </w:p>
    <w:p w:rsidR="00292F68" w:rsidRDefault="00B639B6" w:rsidP="00292F68">
      <w:pPr>
        <w:pStyle w:val="SingleTxtG"/>
        <w:ind w:left="2268" w:hanging="1134"/>
        <w:rPr>
          <w:b/>
          <w:lang w:val="fr-FR"/>
        </w:rPr>
      </w:pPr>
      <w:r w:rsidRPr="00B639B6">
        <w:rPr>
          <w:b/>
          <w:lang w:val="fr-FR"/>
        </w:rPr>
        <w:t>17.13.2</w:t>
      </w:r>
      <w:r w:rsidRPr="00B639B6">
        <w:rPr>
          <w:b/>
          <w:lang w:val="fr-FR"/>
        </w:rPr>
        <w:tab/>
        <w:t>Équipement GPL pour véhicules à bicarburation alternée (GPL-essence)</w:t>
      </w:r>
    </w:p>
    <w:p w:rsidR="00292F68" w:rsidRDefault="00B639B6" w:rsidP="00292F68">
      <w:pPr>
        <w:pStyle w:val="SingleTxtG"/>
        <w:ind w:left="2268" w:hanging="1134"/>
        <w:rPr>
          <w:b/>
          <w:lang w:val="fr-FR"/>
        </w:rPr>
      </w:pPr>
      <w:r w:rsidRPr="00B639B6">
        <w:rPr>
          <w:b/>
          <w:lang w:val="fr-FR"/>
        </w:rPr>
        <w:t>17.13.2.1</w:t>
      </w:r>
      <w:r w:rsidRPr="00B639B6">
        <w:rPr>
          <w:b/>
          <w:lang w:val="fr-FR"/>
        </w:rPr>
        <w:tab/>
      </w:r>
      <w:r w:rsidRPr="005F7EB4">
        <w:rPr>
          <w:b/>
          <w:lang w:val="fr-FR"/>
        </w:rPr>
        <w:t>Des moyens doivent être prévus pour empêcher tout reflux de GPL dans le réservoir à essence. L</w:t>
      </w:r>
      <w:r w:rsidR="000D1719">
        <w:rPr>
          <w:b/>
          <w:lang w:val="fr-FR"/>
        </w:rPr>
        <w:t>’</w:t>
      </w:r>
      <w:r w:rsidRPr="005F7EB4">
        <w:rPr>
          <w:b/>
          <w:lang w:val="fr-FR"/>
        </w:rPr>
        <w:t>installation de deux soupapes antiretour sur le circuit d</w:t>
      </w:r>
      <w:r w:rsidR="000D1719">
        <w:rPr>
          <w:b/>
          <w:lang w:val="fr-FR"/>
        </w:rPr>
        <w:t>’</w:t>
      </w:r>
      <w:r w:rsidRPr="005F7EB4">
        <w:rPr>
          <w:b/>
          <w:lang w:val="fr-FR"/>
        </w:rPr>
        <w:t xml:space="preserve">écoulement sera considérée comme remplissant cette condition si les soupapes satisfont aux prescriptions du paragraphe </w:t>
      </w:r>
      <w:r w:rsidRPr="00B639B6">
        <w:rPr>
          <w:b/>
          <w:lang w:val="fr-FR"/>
        </w:rPr>
        <w:t>6.16.14.1</w:t>
      </w:r>
      <w:r w:rsidRPr="005F7EB4">
        <w:rPr>
          <w:b/>
          <w:lang w:val="fr-FR"/>
        </w:rPr>
        <w:t>.</w:t>
      </w:r>
    </w:p>
    <w:p w:rsidR="00292F68" w:rsidRDefault="00B639B6" w:rsidP="00292F68">
      <w:pPr>
        <w:pStyle w:val="SingleTxtG"/>
        <w:ind w:left="2268" w:hanging="1134"/>
        <w:rPr>
          <w:b/>
          <w:lang w:val="fr-FR"/>
        </w:rPr>
      </w:pPr>
      <w:r>
        <w:rPr>
          <w:b/>
          <w:bCs/>
          <w:lang w:val="fr-FR"/>
        </w:rPr>
        <w:t>17.13.2.2</w:t>
      </w:r>
      <w:r w:rsidRPr="005F7EB4">
        <w:rPr>
          <w:b/>
          <w:bCs/>
          <w:lang w:val="fr-FR"/>
        </w:rPr>
        <w:tab/>
      </w:r>
      <w:r w:rsidRPr="005F7EB4">
        <w:rPr>
          <w:b/>
          <w:lang w:val="fr-FR"/>
        </w:rPr>
        <w:t>Pour éviter que ces reflux d</w:t>
      </w:r>
      <w:r w:rsidR="000D1719">
        <w:rPr>
          <w:b/>
          <w:lang w:val="fr-FR"/>
        </w:rPr>
        <w:t>’</w:t>
      </w:r>
      <w:r w:rsidRPr="005F7EB4">
        <w:rPr>
          <w:b/>
          <w:lang w:val="fr-FR"/>
        </w:rPr>
        <w:t>essence dans le réservoir à GPL, se produisant durant les opérations de transition d</w:t>
      </w:r>
      <w:r w:rsidR="000D1719">
        <w:rPr>
          <w:b/>
          <w:lang w:val="fr-FR"/>
        </w:rPr>
        <w:t>’</w:t>
      </w:r>
      <w:r w:rsidRPr="005F7EB4">
        <w:rPr>
          <w:b/>
          <w:lang w:val="fr-FR"/>
        </w:rPr>
        <w:t>un carburant à l</w:t>
      </w:r>
      <w:r w:rsidR="000D1719">
        <w:rPr>
          <w:b/>
          <w:lang w:val="fr-FR"/>
        </w:rPr>
        <w:t>’</w:t>
      </w:r>
      <w:r w:rsidRPr="005F7EB4">
        <w:rPr>
          <w:b/>
          <w:lang w:val="fr-FR"/>
        </w:rPr>
        <w:t>autre, ne puissent causer un surremplissage du réservoir à GPL (c</w:t>
      </w:r>
      <w:r w:rsidR="000D1719">
        <w:rPr>
          <w:b/>
          <w:lang w:val="fr-FR"/>
        </w:rPr>
        <w:t>’</w:t>
      </w:r>
      <w:r w:rsidRPr="005F7EB4">
        <w:rPr>
          <w:b/>
          <w:lang w:val="fr-FR"/>
        </w:rPr>
        <w:t xml:space="preserve">est-à-dire à plus de 80 % de sa contenance, à savoir </w:t>
      </w:r>
      <w:r w:rsidR="000D1719">
        <w:rPr>
          <w:b/>
          <w:lang w:val="fr-FR"/>
        </w:rPr>
        <w:t>80 % de carburant liquide et 20 </w:t>
      </w:r>
      <w:r w:rsidRPr="005F7EB4">
        <w:rPr>
          <w:b/>
          <w:lang w:val="fr-FR"/>
        </w:rPr>
        <w:t>% de carburant gazeux), l</w:t>
      </w:r>
      <w:r w:rsidR="000D1719">
        <w:rPr>
          <w:b/>
          <w:lang w:val="fr-FR"/>
        </w:rPr>
        <w:t>’</w:t>
      </w:r>
      <w:r w:rsidRPr="005F7EB4">
        <w:rPr>
          <w:b/>
          <w:lang w:val="fr-FR"/>
        </w:rPr>
        <w:t>équipement GPL doit inclure un module de commande électronique qui doit aussi satisfaire aux prescriptions du paragraphe 6 de l</w:t>
      </w:r>
      <w:r w:rsidR="000D1719">
        <w:rPr>
          <w:b/>
          <w:lang w:val="fr-FR"/>
        </w:rPr>
        <w:t>’</w:t>
      </w:r>
      <w:r w:rsidRPr="005F7EB4">
        <w:rPr>
          <w:b/>
          <w:lang w:val="fr-FR"/>
        </w:rPr>
        <w:t>annexe 14.</w:t>
      </w:r>
    </w:p>
    <w:p w:rsidR="00292F68" w:rsidRDefault="00B639B6" w:rsidP="00292F68">
      <w:pPr>
        <w:pStyle w:val="SingleTxtG"/>
        <w:ind w:left="2268" w:hanging="1134"/>
        <w:rPr>
          <w:b/>
          <w:lang w:val="fr-FR"/>
        </w:rPr>
      </w:pPr>
      <w:r w:rsidRPr="005F7EB4">
        <w:rPr>
          <w:b/>
          <w:bCs/>
          <w:lang w:val="fr-FR"/>
        </w:rPr>
        <w:tab/>
      </w:r>
      <w:r w:rsidRPr="005F7EB4">
        <w:rPr>
          <w:b/>
          <w:lang w:val="fr-FR"/>
        </w:rPr>
        <w:t>Une vanne d</w:t>
      </w:r>
      <w:r w:rsidR="000D1719">
        <w:rPr>
          <w:b/>
          <w:lang w:val="fr-FR"/>
        </w:rPr>
        <w:t>’</w:t>
      </w:r>
      <w:r w:rsidRPr="005F7EB4">
        <w:rPr>
          <w:b/>
          <w:lang w:val="fr-FR"/>
        </w:rPr>
        <w:t xml:space="preserve">arrêt télécommandée satisfaisant aux prescriptions du paragraphe </w:t>
      </w:r>
      <w:r w:rsidRPr="00B639B6">
        <w:rPr>
          <w:b/>
          <w:lang w:val="fr-FR"/>
        </w:rPr>
        <w:t>6.16.3.3</w:t>
      </w:r>
      <w:r w:rsidRPr="005F7EB4">
        <w:rPr>
          <w:b/>
          <w:lang w:val="fr-FR"/>
        </w:rPr>
        <w:t xml:space="preserve"> doit être installée sur le circuit d</w:t>
      </w:r>
      <w:r w:rsidR="000D1719">
        <w:rPr>
          <w:b/>
          <w:lang w:val="fr-FR"/>
        </w:rPr>
        <w:t>’</w:t>
      </w:r>
      <w:r w:rsidRPr="005F7EB4">
        <w:rPr>
          <w:b/>
          <w:lang w:val="fr-FR"/>
        </w:rPr>
        <w:t>écoulement.</w:t>
      </w:r>
    </w:p>
    <w:p w:rsidR="00292F68" w:rsidRDefault="00B639B6" w:rsidP="00292F68">
      <w:pPr>
        <w:pStyle w:val="SingleTxtG"/>
        <w:ind w:left="2268" w:hanging="1134"/>
        <w:rPr>
          <w:b/>
          <w:lang w:val="fr-FR"/>
        </w:rPr>
      </w:pPr>
      <w:r>
        <w:rPr>
          <w:b/>
          <w:bCs/>
          <w:lang w:val="fr-FR"/>
        </w:rPr>
        <w:t>17.13.2.3</w:t>
      </w:r>
      <w:r w:rsidRPr="005F7EB4">
        <w:rPr>
          <w:b/>
          <w:bCs/>
          <w:lang w:val="fr-FR"/>
        </w:rPr>
        <w:tab/>
      </w:r>
      <w:r w:rsidRPr="005F7EB4">
        <w:rPr>
          <w:b/>
          <w:lang w:val="fr-FR"/>
        </w:rPr>
        <w:t>Des moyens doivent être prévus pour empêcher tout reflux d</w:t>
      </w:r>
      <w:r w:rsidR="000D1719">
        <w:rPr>
          <w:b/>
          <w:lang w:val="fr-FR"/>
        </w:rPr>
        <w:t>’</w:t>
      </w:r>
      <w:r w:rsidRPr="005F7EB4">
        <w:rPr>
          <w:b/>
          <w:lang w:val="fr-FR"/>
        </w:rPr>
        <w:t xml:space="preserve">essence dans le réservoir à GPL qui puisse causer un surremplissage, avec un </w:t>
      </w:r>
      <w:r w:rsidR="000D1719">
        <w:rPr>
          <w:b/>
          <w:lang w:val="fr-FR"/>
        </w:rPr>
        <w:t>contenu en essence dépassant 16 </w:t>
      </w:r>
      <w:r w:rsidRPr="005F7EB4">
        <w:rPr>
          <w:b/>
          <w:lang w:val="fr-FR"/>
        </w:rPr>
        <w:t>% du volume réel contenu dans le réservoir à GPL.</w:t>
      </w:r>
    </w:p>
    <w:p w:rsidR="00292F68" w:rsidRDefault="00B639B6" w:rsidP="00292F68">
      <w:pPr>
        <w:pStyle w:val="SingleTxtG"/>
        <w:ind w:left="2268" w:hanging="1134"/>
        <w:rPr>
          <w:b/>
          <w:lang w:val="fr-FR"/>
        </w:rPr>
      </w:pPr>
      <w:r w:rsidRPr="005F7EB4">
        <w:rPr>
          <w:b/>
          <w:bCs/>
          <w:lang w:val="fr-FR"/>
        </w:rPr>
        <w:tab/>
      </w:r>
      <w:r w:rsidRPr="005F7EB4">
        <w:rPr>
          <w:b/>
          <w:lang w:val="fr-FR"/>
        </w:rPr>
        <w:t>L</w:t>
      </w:r>
      <w:r w:rsidR="000D1719">
        <w:rPr>
          <w:b/>
          <w:lang w:val="fr-FR"/>
        </w:rPr>
        <w:t>’</w:t>
      </w:r>
      <w:r w:rsidRPr="005F7EB4">
        <w:rPr>
          <w:b/>
          <w:lang w:val="fr-FR"/>
        </w:rPr>
        <w:t>application de cette mesure doit être démontrée conformément aux procédures prescrites dans l</w:t>
      </w:r>
      <w:r w:rsidR="000D1719">
        <w:rPr>
          <w:b/>
          <w:lang w:val="fr-FR"/>
        </w:rPr>
        <w:t>’</w:t>
      </w:r>
      <w:r w:rsidRPr="005F7EB4">
        <w:rPr>
          <w:b/>
          <w:lang w:val="fr-FR"/>
        </w:rPr>
        <w:t>annexe 19.</w:t>
      </w:r>
    </w:p>
    <w:p w:rsidR="00292F68" w:rsidRDefault="00B639B6" w:rsidP="00292F68">
      <w:pPr>
        <w:pStyle w:val="SingleTxtG"/>
        <w:ind w:left="2268" w:hanging="1134"/>
        <w:rPr>
          <w:b/>
          <w:lang w:val="fr-FR"/>
        </w:rPr>
      </w:pPr>
      <w:r w:rsidRPr="005F7EB4">
        <w:rPr>
          <w:b/>
          <w:bCs/>
          <w:lang w:val="fr-FR"/>
        </w:rPr>
        <w:tab/>
        <w:t xml:space="preserve">La présente prescription doit être respectée même </w:t>
      </w:r>
      <w:r w:rsidRPr="00B639B6">
        <w:rPr>
          <w:b/>
          <w:lang w:val="fr-FR"/>
        </w:rPr>
        <w:t>en cas de défaut dû à l</w:t>
      </w:r>
      <w:r w:rsidR="000D1719">
        <w:rPr>
          <w:b/>
          <w:lang w:val="fr-FR"/>
        </w:rPr>
        <w:t>’</w:t>
      </w:r>
      <w:r w:rsidRPr="00B639B6">
        <w:rPr>
          <w:b/>
          <w:lang w:val="fr-FR"/>
        </w:rPr>
        <w:t>indication d</w:t>
      </w:r>
      <w:r w:rsidR="000D1719">
        <w:rPr>
          <w:b/>
          <w:lang w:val="fr-FR"/>
        </w:rPr>
        <w:t>’</w:t>
      </w:r>
      <w:r w:rsidRPr="00B639B6">
        <w:rPr>
          <w:b/>
          <w:lang w:val="fr-FR"/>
        </w:rPr>
        <w:t>un défaut de fonctionnement donnée au conducteur et d</w:t>
      </w:r>
      <w:r w:rsidR="000D1719">
        <w:rPr>
          <w:b/>
          <w:lang w:val="fr-FR"/>
        </w:rPr>
        <w:t>’</w:t>
      </w:r>
      <w:r w:rsidRPr="00B639B6">
        <w:rPr>
          <w:b/>
          <w:lang w:val="fr-FR"/>
        </w:rPr>
        <w:t>activation facultative du fonctionnement en mode dégradé.</w:t>
      </w:r>
    </w:p>
    <w:p w:rsidR="00292F68" w:rsidRDefault="00B639B6" w:rsidP="00292F68">
      <w:pPr>
        <w:pStyle w:val="SingleTxtG"/>
        <w:ind w:left="2268" w:hanging="1134"/>
        <w:rPr>
          <w:b/>
          <w:lang w:val="fr-FR"/>
        </w:rPr>
      </w:pPr>
      <w:r w:rsidRPr="00B639B6">
        <w:rPr>
          <w:b/>
          <w:lang w:val="fr-FR"/>
        </w:rPr>
        <w:t>17.13.2.4</w:t>
      </w:r>
      <w:r w:rsidRPr="00B639B6">
        <w:rPr>
          <w:b/>
          <w:lang w:val="fr-FR"/>
        </w:rPr>
        <w:tab/>
      </w:r>
      <w:r w:rsidRPr="005F7EB4">
        <w:rPr>
          <w:b/>
          <w:lang w:val="fr-FR"/>
        </w:rPr>
        <w:t xml:space="preserve">Les </w:t>
      </w:r>
      <w:r w:rsidRPr="00B639B6">
        <w:rPr>
          <w:b/>
          <w:lang w:val="fr-FR"/>
        </w:rPr>
        <w:t>organes</w:t>
      </w:r>
      <w:r w:rsidRPr="005F7EB4">
        <w:rPr>
          <w:b/>
          <w:lang w:val="fr-FR"/>
        </w:rPr>
        <w:t xml:space="preserve"> non métalliques, métalliques ou partiellement métalliques d</w:t>
      </w:r>
      <w:r w:rsidR="000D1719">
        <w:rPr>
          <w:b/>
          <w:lang w:val="fr-FR"/>
        </w:rPr>
        <w:t>’</w:t>
      </w:r>
      <w:r w:rsidRPr="005F7EB4">
        <w:rPr>
          <w:b/>
          <w:lang w:val="fr-FR"/>
        </w:rPr>
        <w:t xml:space="preserve">un équipement GPL, y compris les flexibles et leurs éléments, ainsi que leurs parties </w:t>
      </w:r>
      <w:r w:rsidRPr="00B639B6">
        <w:rPr>
          <w:b/>
          <w:lang w:val="fr-FR"/>
        </w:rPr>
        <w:t>non métalliques, métalliques</w:t>
      </w:r>
      <w:r w:rsidRPr="005F7EB4">
        <w:rPr>
          <w:b/>
          <w:lang w:val="fr-FR"/>
        </w:rPr>
        <w:t xml:space="preserve"> ou partiellement métalliques susceptibles d</w:t>
      </w:r>
      <w:r w:rsidR="000D1719">
        <w:rPr>
          <w:b/>
          <w:lang w:val="fr-FR"/>
        </w:rPr>
        <w:t>’</w:t>
      </w:r>
      <w:r w:rsidRPr="005F7EB4">
        <w:rPr>
          <w:b/>
          <w:lang w:val="fr-FR"/>
        </w:rPr>
        <w:t>entrer en contact avec l</w:t>
      </w:r>
      <w:r w:rsidR="000D1719">
        <w:rPr>
          <w:b/>
          <w:lang w:val="fr-FR"/>
        </w:rPr>
        <w:t>’</w:t>
      </w:r>
      <w:r w:rsidRPr="005F7EB4">
        <w:rPr>
          <w:b/>
          <w:lang w:val="fr-FR"/>
        </w:rPr>
        <w:t>essence doivent satisfaire aux prescriptions énoncées au paragraphe 6.17.</w:t>
      </w:r>
    </w:p>
    <w:p w:rsidR="00292F68" w:rsidRDefault="00B639B6" w:rsidP="00292F68">
      <w:pPr>
        <w:pStyle w:val="SingleTxtG"/>
        <w:ind w:left="2268" w:hanging="1134"/>
        <w:rPr>
          <w:b/>
          <w:lang w:val="fr-FR"/>
        </w:rPr>
      </w:pPr>
      <w:r>
        <w:rPr>
          <w:b/>
          <w:bCs/>
          <w:lang w:val="fr-FR"/>
        </w:rPr>
        <w:t>17.13.2.5</w:t>
      </w:r>
      <w:r w:rsidRPr="005F7EB4">
        <w:rPr>
          <w:b/>
          <w:bCs/>
          <w:lang w:val="fr-FR"/>
        </w:rPr>
        <w:tab/>
      </w:r>
      <w:r w:rsidRPr="00B639B6">
        <w:rPr>
          <w:b/>
          <w:lang w:val="fr-FR"/>
        </w:rPr>
        <w:t>Le module de commande électronique satisfaisant aux prescriptions du paragraphe 17.13.2.2 doit être installé :</w:t>
      </w:r>
    </w:p>
    <w:p w:rsidR="00292F68" w:rsidRDefault="002C1614" w:rsidP="002C1614">
      <w:pPr>
        <w:tabs>
          <w:tab w:val="left" w:pos="2268"/>
          <w:tab w:val="left" w:pos="2835"/>
          <w:tab w:val="left" w:pos="8505"/>
        </w:tabs>
        <w:kinsoku/>
        <w:overflowPunct/>
        <w:autoSpaceDE/>
        <w:autoSpaceDN/>
        <w:adjustRightInd/>
        <w:snapToGrid/>
        <w:spacing w:before="120" w:after="120" w:line="240" w:lineRule="auto"/>
        <w:ind w:left="2835" w:right="1134" w:hanging="1701"/>
        <w:jc w:val="both"/>
        <w:rPr>
          <w:b/>
          <w:lang w:val="fr-FR"/>
        </w:rPr>
      </w:pPr>
      <w:r>
        <w:rPr>
          <w:b/>
          <w:lang w:val="fr-FR"/>
        </w:rPr>
        <w:tab/>
      </w:r>
      <w:r w:rsidR="00B639B6" w:rsidRPr="00B639B6">
        <w:rPr>
          <w:b/>
          <w:lang w:val="fr-FR"/>
        </w:rPr>
        <w:t>a)</w:t>
      </w:r>
      <w:r w:rsidR="00B639B6" w:rsidRPr="00B639B6">
        <w:rPr>
          <w:b/>
          <w:lang w:val="fr-FR"/>
        </w:rPr>
        <w:tab/>
        <w:t xml:space="preserve">Sur les véhicules avec un volume entré par reflux égal ou inférieur à 0,4 litre ; et </w:t>
      </w:r>
    </w:p>
    <w:p w:rsidR="00B639B6" w:rsidRPr="005F7EB4" w:rsidRDefault="002C1614" w:rsidP="002C1614">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Pr>
          <w:b/>
          <w:lang w:val="fr-FR"/>
        </w:rPr>
        <w:tab/>
      </w:r>
      <w:r w:rsidR="00B639B6" w:rsidRPr="00B639B6">
        <w:rPr>
          <w:b/>
          <w:lang w:val="fr-FR"/>
        </w:rPr>
        <w:t>b)</w:t>
      </w:r>
      <w:r w:rsidR="00B639B6" w:rsidRPr="00B639B6">
        <w:rPr>
          <w:b/>
          <w:lang w:val="fr-FR"/>
        </w:rPr>
        <w:tab/>
        <w:t>Sur les véhicules équipés d</w:t>
      </w:r>
      <w:r w:rsidR="000D1719">
        <w:rPr>
          <w:b/>
          <w:lang w:val="fr-FR"/>
        </w:rPr>
        <w:t>’</w:t>
      </w:r>
      <w:r w:rsidR="00B639B6" w:rsidRPr="00B639B6">
        <w:rPr>
          <w:b/>
          <w:lang w:val="fr-FR"/>
        </w:rPr>
        <w:t>un réservoir à GPL d</w:t>
      </w:r>
      <w:r w:rsidR="000D1719">
        <w:rPr>
          <w:b/>
          <w:lang w:val="fr-FR"/>
        </w:rPr>
        <w:t>’</w:t>
      </w:r>
      <w:r w:rsidR="00B639B6" w:rsidRPr="00B639B6">
        <w:rPr>
          <w:b/>
          <w:lang w:val="fr-FR"/>
        </w:rPr>
        <w:t>une capacité supérieure à 20 litres.</w:t>
      </w:r>
      <w:r w:rsidR="00B639B6" w:rsidRPr="00292F68">
        <w:rPr>
          <w:b/>
          <w:bCs/>
          <w:lang w:val="fr-FR"/>
        </w:rPr>
        <w:t> </w:t>
      </w:r>
      <w:r w:rsidR="00B639B6" w:rsidRPr="00292F68">
        <w:rPr>
          <w:bCs/>
          <w:lang w:val="fr-FR"/>
        </w:rPr>
        <w:t>».</w:t>
      </w:r>
    </w:p>
    <w:p w:rsidR="00B639B6" w:rsidRPr="005F7EB4" w:rsidRDefault="00B639B6" w:rsidP="00292F68">
      <w:pPr>
        <w:pStyle w:val="SingleTxtG"/>
        <w:rPr>
          <w:lang w:val="fr-FR"/>
        </w:rPr>
      </w:pPr>
      <w:r w:rsidRPr="005F7EB4">
        <w:rPr>
          <w:i/>
          <w:lang w:val="fr-FR"/>
        </w:rPr>
        <w:t>Annexe 1, ajouter les nouveaux points 1.2.6 et 1.2.7</w:t>
      </w:r>
      <w:r w:rsidRPr="005F7EB4">
        <w:rPr>
          <w:lang w:val="fr-FR"/>
        </w:rPr>
        <w:t xml:space="preserve">, libellés comme suit : </w:t>
      </w:r>
    </w:p>
    <w:p w:rsidR="00292F68" w:rsidRDefault="00B639B6" w:rsidP="002C1614">
      <w:pPr>
        <w:pStyle w:val="SingleTxtG"/>
        <w:tabs>
          <w:tab w:val="right" w:leader="dot" w:pos="8505"/>
        </w:tabs>
        <w:ind w:left="2268" w:hanging="1134"/>
        <w:rPr>
          <w:b/>
          <w:lang w:val="fr-FR"/>
        </w:rPr>
      </w:pPr>
      <w:r w:rsidRPr="005F7EB4">
        <w:rPr>
          <w:lang w:val="fr-FR"/>
        </w:rPr>
        <w:t>« </w:t>
      </w:r>
      <w:r w:rsidRPr="005F7EB4">
        <w:rPr>
          <w:b/>
          <w:lang w:val="fr-FR"/>
        </w:rPr>
        <w:t>1.2.6</w:t>
      </w:r>
      <w:r w:rsidRPr="005F7EB4">
        <w:rPr>
          <w:b/>
          <w:lang w:val="fr-FR"/>
        </w:rPr>
        <w:tab/>
      </w:r>
      <w:r w:rsidRPr="00B639B6">
        <w:rPr>
          <w:b/>
          <w:lang w:val="fr-FR"/>
        </w:rPr>
        <w:t>Documentation liée aux dispositions et description et schéma de l</w:t>
      </w:r>
      <w:r w:rsidR="000D1719">
        <w:rPr>
          <w:b/>
          <w:lang w:val="fr-FR"/>
        </w:rPr>
        <w:t>’</w:t>
      </w:r>
      <w:r w:rsidRPr="00B639B6">
        <w:rPr>
          <w:b/>
          <w:lang w:val="fr-FR"/>
        </w:rPr>
        <w:t>équipement destiné à empêcher le surremplissage du réservoir à GPL (par. 17.3.2.2)</w:t>
      </w:r>
      <w:r w:rsidRPr="00B639B6">
        <w:rPr>
          <w:b/>
        </w:rPr>
        <w:t> </w:t>
      </w:r>
      <w:r w:rsidR="00292F68">
        <w:rPr>
          <w:b/>
          <w:lang w:val="fr-FR"/>
        </w:rPr>
        <w:t>:</w:t>
      </w:r>
      <w:r w:rsidR="002C1614">
        <w:rPr>
          <w:b/>
          <w:lang w:val="fr-FR"/>
        </w:rPr>
        <w:tab/>
      </w:r>
    </w:p>
    <w:p w:rsidR="00AC6408" w:rsidRDefault="00B639B6" w:rsidP="002C1614">
      <w:pPr>
        <w:pStyle w:val="SingleTxtG"/>
        <w:tabs>
          <w:tab w:val="right" w:leader="dot" w:pos="8505"/>
        </w:tabs>
        <w:ind w:left="2268" w:hanging="1134"/>
        <w:rPr>
          <w:lang w:val="fr-FR"/>
        </w:rPr>
      </w:pPr>
      <w:r w:rsidRPr="00B639B6">
        <w:rPr>
          <w:b/>
          <w:lang w:val="fr-FR"/>
        </w:rPr>
        <w:t>1.2.7</w:t>
      </w:r>
      <w:r w:rsidRPr="00B639B6">
        <w:rPr>
          <w:b/>
          <w:lang w:val="fr-FR"/>
        </w:rPr>
        <w:tab/>
        <w:t>Documentation liée aux dispositions applicables aux équipements GPL interconnectés (annexe 19) :</w:t>
      </w:r>
      <w:r w:rsidR="00292F68">
        <w:rPr>
          <w:b/>
          <w:lang w:val="fr-FR"/>
        </w:rPr>
        <w:t> »</w:t>
      </w:r>
      <w:r w:rsidRPr="00292F68">
        <w:rPr>
          <w:lang w:val="fr-FR"/>
        </w:rPr>
        <w:t>.</w:t>
      </w:r>
      <w:r w:rsidR="002C1614" w:rsidRPr="002C1614">
        <w:rPr>
          <w:b/>
          <w:lang w:val="fr-FR"/>
        </w:rPr>
        <w:tab/>
      </w:r>
      <w:r w:rsidR="00252023">
        <w:rPr>
          <w:b/>
          <w:lang w:val="fr-FR"/>
        </w:rPr>
        <w:t> </w:t>
      </w:r>
      <w:r w:rsidR="00252023" w:rsidRPr="00252023">
        <w:rPr>
          <w:lang w:val="fr-FR"/>
        </w:rPr>
        <w:t>».</w:t>
      </w:r>
    </w:p>
    <w:p w:rsidR="00B639B6" w:rsidRPr="005F7EB4" w:rsidRDefault="00AC6408" w:rsidP="00AC6408">
      <w:pPr>
        <w:pStyle w:val="SingleTxtG"/>
        <w:tabs>
          <w:tab w:val="right" w:leader="dot" w:pos="8505"/>
        </w:tabs>
        <w:ind w:left="2268" w:hanging="1134"/>
        <w:rPr>
          <w:lang w:val="fr-FR"/>
        </w:rPr>
      </w:pPr>
      <w:r>
        <w:rPr>
          <w:lang w:val="fr-FR"/>
        </w:rPr>
        <w:br w:type="page"/>
      </w:r>
      <w:r w:rsidR="00B639B6" w:rsidRPr="005F7EB4">
        <w:rPr>
          <w:i/>
          <w:lang w:val="fr-FR"/>
        </w:rPr>
        <w:t>Annexe 2A, ajouter un nouvel appendice 1</w:t>
      </w:r>
      <w:r w:rsidR="00B639B6" w:rsidRPr="005F7EB4">
        <w:rPr>
          <w:lang w:val="fr-FR"/>
        </w:rPr>
        <w:t>, libellé comme suit :</w:t>
      </w:r>
    </w:p>
    <w:p w:rsidR="00B639B6" w:rsidRPr="005F7EB4" w:rsidRDefault="00B639B6" w:rsidP="002D62CE">
      <w:pPr>
        <w:pStyle w:val="HChG"/>
        <w:rPr>
          <w:lang w:val="fr-FR"/>
        </w:rPr>
      </w:pPr>
      <w:r w:rsidRPr="005F7EB4">
        <w:rPr>
          <w:lang w:val="fr-FR"/>
        </w:rPr>
        <w:t>« Annexe</w:t>
      </w:r>
      <w:r w:rsidR="002D62CE">
        <w:rPr>
          <w:lang w:val="fr-FR"/>
        </w:rPr>
        <w:t xml:space="preserve"> 2A −</w:t>
      </w:r>
      <w:r w:rsidRPr="005F7EB4">
        <w:rPr>
          <w:lang w:val="fr-FR"/>
        </w:rPr>
        <w:t xml:space="preserve"> Appendice 1</w:t>
      </w:r>
    </w:p>
    <w:p w:rsidR="00B639B6" w:rsidRDefault="00B639B6" w:rsidP="002D62CE">
      <w:pPr>
        <w:pStyle w:val="SingleTxtG"/>
        <w:ind w:firstLine="567"/>
        <w:rPr>
          <w:b/>
          <w:lang w:val="fr-FR"/>
        </w:rPr>
      </w:pPr>
      <w:r w:rsidRPr="002D62CE">
        <w:rPr>
          <w:b/>
          <w:lang w:val="fr-FR"/>
        </w:rPr>
        <w:t>Exemple de marque d</w:t>
      </w:r>
      <w:r w:rsidR="000D1719">
        <w:rPr>
          <w:b/>
          <w:lang w:val="fr-FR"/>
        </w:rPr>
        <w:t>’</w:t>
      </w:r>
      <w:r w:rsidRPr="002D62CE">
        <w:rPr>
          <w:b/>
          <w:lang w:val="fr-FR"/>
        </w:rPr>
        <w:t>homologation de type des organes non métalliques, métalliques ou partiellement métalliques d</w:t>
      </w:r>
      <w:r w:rsidR="000D1719">
        <w:rPr>
          <w:b/>
          <w:lang w:val="fr-FR"/>
        </w:rPr>
        <w:t>’</w:t>
      </w:r>
      <w:r w:rsidRPr="002D62CE">
        <w:rPr>
          <w:b/>
          <w:lang w:val="fr-FR"/>
        </w:rPr>
        <w:t>un équipement GPL, ainsi que de leurs parties non métalliques, métalliques ou partiellement métalliques compatibles avec l</w:t>
      </w:r>
      <w:r w:rsidR="000D1719">
        <w:rPr>
          <w:b/>
          <w:lang w:val="fr-FR"/>
        </w:rPr>
        <w:t>’</w:t>
      </w:r>
      <w:r w:rsidRPr="002D62CE">
        <w:rPr>
          <w:b/>
          <w:lang w:val="fr-FR"/>
        </w:rPr>
        <w:t>essence. La lette N désigne les organes non métalliques. La lettre M désigne les organes métalliques.</w:t>
      </w:r>
      <w:r w:rsidRPr="005F7EB4">
        <w:rPr>
          <w:lang w:val="fr-FR"/>
        </w:rPr>
        <w:t xml:space="preserve"> </w:t>
      </w:r>
      <w:r w:rsidRPr="002D62CE">
        <w:rPr>
          <w:b/>
          <w:lang w:val="fr-FR"/>
        </w:rPr>
        <w:t>Les lettres NM désignent une combinaison d</w:t>
      </w:r>
      <w:r w:rsidR="000D1719">
        <w:rPr>
          <w:b/>
          <w:lang w:val="fr-FR"/>
        </w:rPr>
        <w:t>’</w:t>
      </w:r>
      <w:r w:rsidRPr="002D62CE">
        <w:rPr>
          <w:b/>
          <w:lang w:val="fr-FR"/>
        </w:rPr>
        <w:t>organes métalliques et non métalliques. (Voir le paragraphe 6.17 du présent Règlement.)</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685"/>
      </w:tblGrid>
      <w:tr w:rsidR="005940C0" w:rsidRPr="001C3C86" w:rsidTr="00720C80">
        <w:trPr>
          <w:trHeight w:val="1960"/>
        </w:trPr>
        <w:tc>
          <w:tcPr>
            <w:tcW w:w="3976" w:type="dxa"/>
            <w:shd w:val="clear" w:color="auto" w:fill="auto"/>
          </w:tcPr>
          <w:p w:rsidR="005940C0" w:rsidRPr="005940C0" w:rsidRDefault="005940C0" w:rsidP="008C768C">
            <w:pPr>
              <w:spacing w:line="200" w:lineRule="exact"/>
              <w:ind w:right="113"/>
              <w:rPr>
                <w:i/>
                <w:sz w:val="16"/>
              </w:rPr>
            </w:pPr>
            <w:r>
              <w:rPr>
                <w:noProof/>
                <w:lang w:val="en-GB" w:eastAsia="en-GB"/>
              </w:rPr>
              <w:drawing>
                <wp:anchor distT="0" distB="0" distL="114300" distR="114300" simplePos="0" relativeHeight="251665920" behindDoc="1" locked="0" layoutInCell="1" allowOverlap="1">
                  <wp:simplePos x="0" y="0"/>
                  <wp:positionH relativeFrom="column">
                    <wp:posOffset>-2511</wp:posOffset>
                  </wp:positionH>
                  <wp:positionV relativeFrom="paragraph">
                    <wp:posOffset>-80975</wp:posOffset>
                  </wp:positionV>
                  <wp:extent cx="2120265" cy="1192530"/>
                  <wp:effectExtent l="0" t="0" r="0" b="7620"/>
                  <wp:wrapTight wrapText="bothSides">
                    <wp:wrapPolygon edited="0">
                      <wp:start x="0" y="0"/>
                      <wp:lineTo x="0" y="21393"/>
                      <wp:lineTo x="21348" y="21393"/>
                      <wp:lineTo x="21348" y="0"/>
                      <wp:lineTo x="0" y="0"/>
                    </wp:wrapPolygon>
                  </wp:wrapTight>
                  <wp:docPr id="1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0265" cy="1192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shd w:val="clear" w:color="auto" w:fill="auto"/>
            <w:vAlign w:val="center"/>
          </w:tcPr>
          <w:p w:rsidR="005940C0" w:rsidRPr="005940C0" w:rsidRDefault="005940C0" w:rsidP="008C768C">
            <w:pPr>
              <w:spacing w:after="240"/>
              <w:rPr>
                <w:b/>
                <w:bCs/>
                <w:sz w:val="28"/>
                <w:szCs w:val="28"/>
                <w:lang w:val="en-US"/>
              </w:rPr>
            </w:pPr>
            <w:r w:rsidRPr="005940C0">
              <w:rPr>
                <w:b/>
                <w:sz w:val="28"/>
                <w:szCs w:val="28"/>
                <w:lang w:val="en-US"/>
              </w:rPr>
              <w:t>67 R-012439-NM CLASS #</w:t>
            </w:r>
            <w:r w:rsidRPr="005940C0">
              <w:rPr>
                <w:b/>
                <w:bCs/>
                <w:sz w:val="28"/>
                <w:szCs w:val="28"/>
                <w:vertAlign w:val="superscript"/>
                <w:lang w:val="en-US"/>
              </w:rPr>
              <w:t>1</w:t>
            </w:r>
          </w:p>
          <w:p w:rsidR="005940C0" w:rsidRPr="005940C0" w:rsidRDefault="005940C0" w:rsidP="008C768C">
            <w:pPr>
              <w:spacing w:after="120"/>
              <w:rPr>
                <w:b/>
                <w:bCs/>
                <w:lang w:val="en-US"/>
              </w:rPr>
            </w:pPr>
            <w:r w:rsidRPr="005940C0">
              <w:rPr>
                <w:b/>
                <w:bCs/>
                <w:lang w:val="en-US"/>
              </w:rPr>
              <w:t xml:space="preserve">a </w:t>
            </w:r>
            <w:r w:rsidRPr="005F7EB4">
              <w:rPr>
                <w:b/>
                <w:bCs/>
                <w:lang w:val="fr-FR"/>
              </w:rPr>
              <w:sym w:font="Symbol" w:char="F0B3"/>
            </w:r>
            <w:r w:rsidRPr="005940C0">
              <w:rPr>
                <w:b/>
                <w:bCs/>
                <w:lang w:val="en-US"/>
              </w:rPr>
              <w:t xml:space="preserve"> 5 mm</w:t>
            </w:r>
          </w:p>
          <w:p w:rsidR="005940C0" w:rsidRPr="005940C0" w:rsidRDefault="005940C0" w:rsidP="008C768C">
            <w:pPr>
              <w:spacing w:line="200" w:lineRule="exact"/>
              <w:ind w:right="113"/>
              <w:jc w:val="right"/>
              <w:rPr>
                <w:i/>
                <w:sz w:val="16"/>
                <w:lang w:val="en-US"/>
              </w:rPr>
            </w:pPr>
            <w:r w:rsidRPr="005940C0">
              <w:rPr>
                <w:b/>
                <w:bCs/>
                <w:vertAlign w:val="superscript"/>
                <w:lang w:val="en-US"/>
              </w:rPr>
              <w:t>1</w:t>
            </w:r>
            <w:r w:rsidRPr="005940C0">
              <w:rPr>
                <w:b/>
                <w:bCs/>
                <w:lang w:val="en-US"/>
              </w:rPr>
              <w:t xml:space="preserve">  Class 0, 1, 2, 2A ou 3</w:t>
            </w:r>
          </w:p>
        </w:tc>
      </w:tr>
    </w:tbl>
    <w:p w:rsidR="002D62CE" w:rsidRPr="002D62CE" w:rsidRDefault="00B639B6" w:rsidP="002D62CE">
      <w:pPr>
        <w:pStyle w:val="SingleTxtG"/>
        <w:ind w:firstLine="567"/>
        <w:rPr>
          <w:b/>
          <w:lang w:val="fr-FR"/>
        </w:rPr>
      </w:pPr>
      <w:r w:rsidRPr="002D62CE">
        <w:rPr>
          <w:b/>
          <w:lang w:val="fr-FR"/>
        </w:rPr>
        <w:t>La marque d</w:t>
      </w:r>
      <w:r w:rsidR="000D1719">
        <w:rPr>
          <w:b/>
          <w:lang w:val="fr-FR"/>
        </w:rPr>
        <w:t>’</w:t>
      </w:r>
      <w:r w:rsidRPr="002D62CE">
        <w:rPr>
          <w:b/>
          <w:lang w:val="fr-FR"/>
        </w:rPr>
        <w:t>homologation ci-dessus doit être apposée sur l</w:t>
      </w:r>
      <w:r w:rsidR="000D1719">
        <w:rPr>
          <w:b/>
          <w:lang w:val="fr-FR"/>
        </w:rPr>
        <w:t>’</w:t>
      </w:r>
      <w:r w:rsidRPr="002D62CE">
        <w:rPr>
          <w:b/>
          <w:lang w:val="fr-FR"/>
        </w:rPr>
        <w:t>organe GPL ou sur une plaque d</w:t>
      </w:r>
      <w:r w:rsidR="000D1719">
        <w:rPr>
          <w:b/>
          <w:lang w:val="fr-FR"/>
        </w:rPr>
        <w:t>’</w:t>
      </w:r>
      <w:r w:rsidRPr="002D62CE">
        <w:rPr>
          <w:b/>
          <w:lang w:val="fr-FR"/>
        </w:rPr>
        <w:t xml:space="preserve">identification qui doit être placée dans le compartiment moteur sur une partie visible, fixe et inamovible du </w:t>
      </w:r>
      <w:r w:rsidRPr="002D62CE">
        <w:rPr>
          <w:b/>
          <w:bCs/>
          <w:lang w:val="fr-FR"/>
        </w:rPr>
        <w:t>châssis, lorsque l</w:t>
      </w:r>
      <w:r w:rsidR="000D1719">
        <w:rPr>
          <w:b/>
          <w:bCs/>
          <w:lang w:val="fr-FR"/>
        </w:rPr>
        <w:t>’</w:t>
      </w:r>
      <w:r w:rsidRPr="002D62CE">
        <w:rPr>
          <w:b/>
          <w:bCs/>
          <w:lang w:val="fr-FR"/>
        </w:rPr>
        <w:t>organe doit être installé de telle façon qu</w:t>
      </w:r>
      <w:r w:rsidR="000D1719">
        <w:rPr>
          <w:b/>
          <w:bCs/>
          <w:lang w:val="fr-FR"/>
        </w:rPr>
        <w:t>’</w:t>
      </w:r>
      <w:r w:rsidRPr="002D62CE">
        <w:rPr>
          <w:b/>
          <w:bCs/>
          <w:lang w:val="fr-FR"/>
        </w:rPr>
        <w:t>il ne sera</w:t>
      </w:r>
      <w:r w:rsidRPr="002D62CE">
        <w:rPr>
          <w:b/>
          <w:lang w:val="fr-FR"/>
        </w:rPr>
        <w:t xml:space="preserve"> plus facilement accessible.</w:t>
      </w:r>
    </w:p>
    <w:p w:rsidR="00B639B6" w:rsidRPr="005F7EB4" w:rsidRDefault="00B639B6" w:rsidP="002D62CE">
      <w:pPr>
        <w:pStyle w:val="SingleTxtG"/>
        <w:ind w:firstLine="567"/>
        <w:rPr>
          <w:b/>
          <w:lang w:val="fr-FR"/>
        </w:rPr>
      </w:pPr>
      <w:r w:rsidRPr="005F7EB4">
        <w:rPr>
          <w:b/>
          <w:lang w:val="fr-FR"/>
        </w:rPr>
        <w:t>La marque d</w:t>
      </w:r>
      <w:r w:rsidR="000D1719">
        <w:rPr>
          <w:b/>
          <w:lang w:val="fr-FR"/>
        </w:rPr>
        <w:t>’</w:t>
      </w:r>
      <w:r w:rsidRPr="005F7EB4">
        <w:rPr>
          <w:b/>
          <w:lang w:val="fr-FR"/>
        </w:rPr>
        <w:t>homologation indique que l</w:t>
      </w:r>
      <w:r w:rsidR="000D1719">
        <w:rPr>
          <w:b/>
          <w:lang w:val="fr-FR"/>
        </w:rPr>
        <w:t>’</w:t>
      </w:r>
      <w:r w:rsidRPr="005F7EB4">
        <w:rPr>
          <w:b/>
          <w:lang w:val="fr-FR"/>
        </w:rPr>
        <w:t>organe a été homologué aux Pays-Bas (E4)</w:t>
      </w:r>
      <w:r w:rsidR="002D62CE">
        <w:rPr>
          <w:b/>
          <w:lang w:val="fr-FR"/>
        </w:rPr>
        <w:t xml:space="preserve"> en application du Règlement </w:t>
      </w:r>
      <w:r w:rsidR="002D62CE" w:rsidRPr="002D62CE">
        <w:rPr>
          <w:rFonts w:eastAsia="MS Mincho"/>
          <w:b/>
          <w:lang w:val="fr-FR"/>
        </w:rPr>
        <w:t>n</w:t>
      </w:r>
      <w:r w:rsidR="002D62CE" w:rsidRPr="002D62CE">
        <w:rPr>
          <w:rFonts w:eastAsia="MS Mincho"/>
          <w:b/>
          <w:vertAlign w:val="superscript"/>
          <w:lang w:val="fr-FR"/>
        </w:rPr>
        <w:t>o</w:t>
      </w:r>
      <w:r w:rsidR="002D62CE">
        <w:rPr>
          <w:b/>
          <w:lang w:val="fr-FR"/>
        </w:rPr>
        <w:t> </w:t>
      </w:r>
      <w:r w:rsidRPr="005F7EB4">
        <w:rPr>
          <w:b/>
          <w:lang w:val="fr-FR"/>
        </w:rPr>
        <w:t>67, sous le nu</w:t>
      </w:r>
      <w:r w:rsidR="002D62CE">
        <w:rPr>
          <w:b/>
          <w:lang w:val="fr-FR"/>
        </w:rPr>
        <w:t>méro d</w:t>
      </w:r>
      <w:r w:rsidR="000D1719">
        <w:rPr>
          <w:b/>
          <w:lang w:val="fr-FR"/>
        </w:rPr>
        <w:t>’</w:t>
      </w:r>
      <w:r w:rsidR="002D62CE">
        <w:rPr>
          <w:b/>
          <w:lang w:val="fr-FR"/>
        </w:rPr>
        <w:t>homologation 012439. Les </w:t>
      </w:r>
      <w:r w:rsidRPr="005F7EB4">
        <w:rPr>
          <w:b/>
          <w:lang w:val="fr-FR"/>
        </w:rPr>
        <w:t>deux premiers chiffres de ce numéro signifient que l</w:t>
      </w:r>
      <w:r w:rsidR="000D1719">
        <w:rPr>
          <w:b/>
          <w:lang w:val="fr-FR"/>
        </w:rPr>
        <w:t>’</w:t>
      </w:r>
      <w:r w:rsidRPr="005F7EB4">
        <w:rPr>
          <w:b/>
          <w:lang w:val="fr-FR"/>
        </w:rPr>
        <w:t>homologation a été délivrée conformément a</w:t>
      </w:r>
      <w:r w:rsidR="002D62CE">
        <w:rPr>
          <w:b/>
          <w:lang w:val="fr-FR"/>
        </w:rPr>
        <w:t xml:space="preserve">ux dispositions du Règlement </w:t>
      </w:r>
      <w:r w:rsidR="002D62CE" w:rsidRPr="002D62CE">
        <w:rPr>
          <w:rFonts w:eastAsia="MS Mincho"/>
          <w:b/>
          <w:lang w:val="fr-FR"/>
        </w:rPr>
        <w:t>n</w:t>
      </w:r>
      <w:r w:rsidR="002D62CE" w:rsidRPr="002D62CE">
        <w:rPr>
          <w:rFonts w:eastAsia="MS Mincho"/>
          <w:b/>
          <w:vertAlign w:val="superscript"/>
          <w:lang w:val="fr-FR"/>
        </w:rPr>
        <w:t>o</w:t>
      </w:r>
      <w:r w:rsidR="002D62CE">
        <w:rPr>
          <w:b/>
          <w:lang w:val="fr-FR"/>
        </w:rPr>
        <w:t> </w:t>
      </w:r>
      <w:r w:rsidRPr="005F7EB4">
        <w:rPr>
          <w:b/>
          <w:lang w:val="fr-FR"/>
        </w:rPr>
        <w:t>67 tel qu</w:t>
      </w:r>
      <w:r w:rsidR="000D1719">
        <w:rPr>
          <w:b/>
          <w:lang w:val="fr-FR"/>
        </w:rPr>
        <w:t>’</w:t>
      </w:r>
      <w:r w:rsidRPr="005F7EB4">
        <w:rPr>
          <w:b/>
          <w:lang w:val="fr-FR"/>
        </w:rPr>
        <w:t>amendé par la série 01 d</w:t>
      </w:r>
      <w:r w:rsidR="000D1719">
        <w:rPr>
          <w:b/>
          <w:lang w:val="fr-FR"/>
        </w:rPr>
        <w:t>’</w:t>
      </w:r>
      <w:r w:rsidRPr="005F7EB4">
        <w:rPr>
          <w:b/>
          <w:lang w:val="fr-FR"/>
        </w:rPr>
        <w:t xml:space="preserve">amendements. </w:t>
      </w:r>
      <w:r w:rsidRPr="001B57B2">
        <w:rPr>
          <w:lang w:val="fr-FR"/>
        </w:rPr>
        <w:t>».</w:t>
      </w:r>
    </w:p>
    <w:p w:rsidR="00754991" w:rsidRDefault="00754991" w:rsidP="002D62CE">
      <w:pPr>
        <w:pStyle w:val="SingleTxtG"/>
        <w:rPr>
          <w:i/>
          <w:lang w:val="fr-FR"/>
        </w:rPr>
      </w:pPr>
      <w:r>
        <w:rPr>
          <w:i/>
          <w:lang w:val="fr-FR"/>
        </w:rPr>
        <w:t xml:space="preserve">Annexe 7, </w:t>
      </w:r>
    </w:p>
    <w:p w:rsidR="00B639B6" w:rsidRPr="0081094D" w:rsidRDefault="00754991" w:rsidP="002D62CE">
      <w:pPr>
        <w:pStyle w:val="SingleTxtG"/>
        <w:rPr>
          <w:i/>
          <w:highlight w:val="yellow"/>
          <w:lang w:val="fr-FR"/>
        </w:rPr>
      </w:pPr>
      <w:r>
        <w:rPr>
          <w:i/>
          <w:lang w:val="fr-FR"/>
        </w:rPr>
        <w:t>A</w:t>
      </w:r>
      <w:r w:rsidR="00B639B6" w:rsidRPr="00B639B6">
        <w:rPr>
          <w:i/>
          <w:lang w:val="fr-FR"/>
        </w:rPr>
        <w:t>jouter un nouveau paragraphe 1.8</w:t>
      </w:r>
      <w:r w:rsidR="00B639B6" w:rsidRPr="00B639B6">
        <w:rPr>
          <w:lang w:val="fr-FR"/>
        </w:rPr>
        <w:t>, libellé comme suit :</w:t>
      </w:r>
    </w:p>
    <w:p w:rsidR="00B639B6" w:rsidRPr="005F7EB4" w:rsidRDefault="00B639B6" w:rsidP="00334EE3">
      <w:pPr>
        <w:pStyle w:val="SingleTxtG"/>
        <w:ind w:left="2268" w:hanging="1134"/>
        <w:rPr>
          <w:highlight w:val="yellow"/>
          <w:lang w:val="fr-FR"/>
        </w:rPr>
      </w:pPr>
      <w:r w:rsidRPr="00B639B6">
        <w:rPr>
          <w:lang w:val="fr-FR"/>
        </w:rPr>
        <w:t>« </w:t>
      </w:r>
      <w:r w:rsidRPr="00B639B6">
        <w:rPr>
          <w:b/>
          <w:bCs/>
          <w:lang w:val="fr-FR"/>
        </w:rPr>
        <w:t>1.8</w:t>
      </w:r>
      <w:r w:rsidRPr="00B639B6">
        <w:rPr>
          <w:b/>
          <w:bCs/>
          <w:lang w:val="fr-FR"/>
        </w:rPr>
        <w:tab/>
        <w:t>Si l</w:t>
      </w:r>
      <w:r w:rsidR="000D1719">
        <w:rPr>
          <w:b/>
          <w:bCs/>
          <w:lang w:val="fr-FR"/>
        </w:rPr>
        <w:t>’</w:t>
      </w:r>
      <w:r w:rsidRPr="00B639B6">
        <w:rPr>
          <w:b/>
          <w:bCs/>
          <w:lang w:val="fr-FR"/>
        </w:rPr>
        <w:t>équipement GPL interconnecté est équipé d</w:t>
      </w:r>
      <w:r w:rsidR="000D1719">
        <w:rPr>
          <w:b/>
          <w:bCs/>
          <w:lang w:val="fr-FR"/>
        </w:rPr>
        <w:t>’</w:t>
      </w:r>
      <w:r w:rsidRPr="00B639B6">
        <w:rPr>
          <w:b/>
          <w:bCs/>
          <w:lang w:val="fr-FR"/>
        </w:rPr>
        <w:t>une vanne d</w:t>
      </w:r>
      <w:r w:rsidR="000D1719">
        <w:rPr>
          <w:b/>
          <w:bCs/>
          <w:lang w:val="fr-FR"/>
        </w:rPr>
        <w:t>’</w:t>
      </w:r>
      <w:r w:rsidRPr="00B639B6">
        <w:rPr>
          <w:b/>
          <w:bCs/>
          <w:lang w:val="fr-FR"/>
        </w:rPr>
        <w:t>arrêt télécommandée, les dispositions du paragraphe 6.16.3.3 s</w:t>
      </w:r>
      <w:r w:rsidR="000D1719">
        <w:rPr>
          <w:b/>
          <w:bCs/>
          <w:lang w:val="fr-FR"/>
        </w:rPr>
        <w:t>’</w:t>
      </w:r>
      <w:r w:rsidRPr="00B639B6">
        <w:rPr>
          <w:b/>
          <w:bCs/>
          <w:lang w:val="fr-FR"/>
        </w:rPr>
        <w:t>appliquent.</w:t>
      </w:r>
      <w:r w:rsidRPr="00B639B6">
        <w:rPr>
          <w:lang w:val="fr-FR"/>
        </w:rPr>
        <w:t> ».</w:t>
      </w:r>
    </w:p>
    <w:p w:rsidR="00B639B6" w:rsidRPr="005F7EB4" w:rsidRDefault="00B639B6" w:rsidP="00334EE3">
      <w:pPr>
        <w:pStyle w:val="SingleTxtG"/>
        <w:rPr>
          <w:bCs/>
          <w:highlight w:val="yellow"/>
          <w:lang w:val="fr-FR"/>
        </w:rPr>
      </w:pPr>
      <w:r w:rsidRPr="00B639B6">
        <w:rPr>
          <w:i/>
          <w:lang w:val="fr-FR"/>
        </w:rPr>
        <w:t>Ajouter un nouveau paragraphe 2.7</w:t>
      </w:r>
      <w:r w:rsidRPr="00B639B6">
        <w:rPr>
          <w:lang w:val="fr-FR"/>
        </w:rPr>
        <w:t>, libellé comme suit :</w:t>
      </w:r>
    </w:p>
    <w:p w:rsidR="00B639B6" w:rsidRPr="00B639B6" w:rsidRDefault="00B639B6" w:rsidP="00334EE3">
      <w:pPr>
        <w:pStyle w:val="SingleTxtG"/>
        <w:ind w:left="2268" w:hanging="1134"/>
        <w:rPr>
          <w:b/>
          <w:bCs/>
          <w:lang w:val="fr-FR"/>
        </w:rPr>
      </w:pPr>
      <w:r w:rsidRPr="00B639B6">
        <w:rPr>
          <w:lang w:val="fr-FR"/>
        </w:rPr>
        <w:t>« </w:t>
      </w:r>
      <w:r w:rsidRPr="00B639B6">
        <w:rPr>
          <w:b/>
          <w:bCs/>
          <w:lang w:val="fr-FR"/>
        </w:rPr>
        <w:t>2.7</w:t>
      </w:r>
      <w:r w:rsidRPr="00B639B6">
        <w:rPr>
          <w:b/>
          <w:bCs/>
          <w:lang w:val="fr-FR"/>
        </w:rPr>
        <w:tab/>
        <w:t>En cas d</w:t>
      </w:r>
      <w:r w:rsidR="000D1719">
        <w:rPr>
          <w:b/>
          <w:bCs/>
          <w:lang w:val="fr-FR"/>
        </w:rPr>
        <w:t>’</w:t>
      </w:r>
      <w:r w:rsidRPr="00B639B6">
        <w:rPr>
          <w:b/>
          <w:bCs/>
          <w:lang w:val="fr-FR"/>
        </w:rPr>
        <w:t>utilisation d</w:t>
      </w:r>
      <w:r w:rsidR="000D1719">
        <w:rPr>
          <w:b/>
          <w:bCs/>
          <w:lang w:val="fr-FR"/>
        </w:rPr>
        <w:t>’</w:t>
      </w:r>
      <w:r w:rsidRPr="00B639B6">
        <w:rPr>
          <w:b/>
          <w:bCs/>
          <w:lang w:val="fr-FR"/>
        </w:rPr>
        <w:t>une soupape antiretour conformément au paragraphe 6.16.14.1 (équipement GPL interconnecté), les dispositions de ce paragraphe s</w:t>
      </w:r>
      <w:r w:rsidR="000D1719">
        <w:rPr>
          <w:b/>
          <w:bCs/>
          <w:lang w:val="fr-FR"/>
        </w:rPr>
        <w:t>’</w:t>
      </w:r>
      <w:r w:rsidRPr="00B639B6">
        <w:rPr>
          <w:b/>
          <w:bCs/>
          <w:lang w:val="fr-FR"/>
        </w:rPr>
        <w:t>appliquent.</w:t>
      </w:r>
      <w:r w:rsidRPr="00B639B6">
        <w:rPr>
          <w:lang w:val="fr-FR"/>
        </w:rPr>
        <w:t> ».</w:t>
      </w:r>
    </w:p>
    <w:p w:rsidR="00B639B6" w:rsidRPr="005F7EB4" w:rsidRDefault="00B639B6" w:rsidP="00334EE3">
      <w:pPr>
        <w:pStyle w:val="SingleTxtG"/>
        <w:rPr>
          <w:lang w:val="fr-FR"/>
        </w:rPr>
      </w:pPr>
      <w:r w:rsidRPr="005F7EB4">
        <w:rPr>
          <w:i/>
          <w:lang w:val="fr-FR"/>
        </w:rPr>
        <w:t>Annexe 14, ajouter de nouveaux paragraphes 6 à 6.4</w:t>
      </w:r>
      <w:r w:rsidRPr="005F7EB4">
        <w:rPr>
          <w:lang w:val="fr-FR"/>
        </w:rPr>
        <w:t>, libellés comme suit :</w:t>
      </w:r>
    </w:p>
    <w:p w:rsidR="006B69DC" w:rsidRDefault="00B639B6" w:rsidP="006B69DC">
      <w:pPr>
        <w:pStyle w:val="SingleTxtG"/>
        <w:ind w:left="2268" w:hanging="1134"/>
        <w:rPr>
          <w:b/>
          <w:bCs/>
          <w:lang w:val="fr-FR"/>
        </w:rPr>
      </w:pPr>
      <w:r w:rsidRPr="005F7EB4">
        <w:rPr>
          <w:lang w:val="fr-FR"/>
        </w:rPr>
        <w:t>« </w:t>
      </w:r>
      <w:r w:rsidRPr="005F7EB4">
        <w:rPr>
          <w:b/>
          <w:lang w:val="fr-FR"/>
        </w:rPr>
        <w:t>6</w:t>
      </w:r>
      <w:r>
        <w:rPr>
          <w:b/>
          <w:lang w:val="fr-FR"/>
        </w:rPr>
        <w:t>.</w:t>
      </w:r>
      <w:r w:rsidRPr="005F7EB4">
        <w:rPr>
          <w:b/>
          <w:lang w:val="fr-FR"/>
        </w:rPr>
        <w:tab/>
        <w:t xml:space="preserve">Lorsque le module de commande électronique </w:t>
      </w:r>
      <w:r w:rsidRPr="00B639B6">
        <w:rPr>
          <w:b/>
          <w:bCs/>
          <w:lang w:val="fr-FR"/>
        </w:rPr>
        <w:t>est conçu pour être installé comme organe d</w:t>
      </w:r>
      <w:r w:rsidR="000D1719">
        <w:rPr>
          <w:b/>
          <w:bCs/>
          <w:lang w:val="fr-FR"/>
        </w:rPr>
        <w:t>’</w:t>
      </w:r>
      <w:r w:rsidRPr="00B639B6">
        <w:rPr>
          <w:b/>
          <w:bCs/>
          <w:lang w:val="fr-FR"/>
        </w:rPr>
        <w:t>un</w:t>
      </w:r>
      <w:r w:rsidRPr="005F7EB4">
        <w:rPr>
          <w:b/>
          <w:lang w:val="fr-FR"/>
        </w:rPr>
        <w:t xml:space="preserve"> équipement GPL interconnecté, il doit empêcher, en contrôlant le système de sélection du carburant, le fonctionnement du véhicule en mode essence après chaque opération de passage au mode GPL jusqu</w:t>
      </w:r>
      <w:r w:rsidR="000D1719">
        <w:rPr>
          <w:b/>
          <w:lang w:val="fr-FR"/>
        </w:rPr>
        <w:t>’</w:t>
      </w:r>
      <w:r w:rsidRPr="005F7EB4">
        <w:rPr>
          <w:b/>
          <w:lang w:val="fr-FR"/>
        </w:rPr>
        <w:t>à ce qu</w:t>
      </w:r>
      <w:r w:rsidR="000D1719">
        <w:rPr>
          <w:b/>
          <w:lang w:val="fr-FR"/>
        </w:rPr>
        <w:t>’</w:t>
      </w:r>
      <w:r w:rsidRPr="005F7EB4">
        <w:rPr>
          <w:b/>
          <w:lang w:val="fr-FR"/>
        </w:rPr>
        <w:t>un volume de carburant liquide équivalent à celui qui s</w:t>
      </w:r>
      <w:r w:rsidR="000D1719">
        <w:rPr>
          <w:b/>
          <w:lang w:val="fr-FR"/>
        </w:rPr>
        <w:t>’</w:t>
      </w:r>
      <w:r w:rsidRPr="005F7EB4">
        <w:rPr>
          <w:b/>
          <w:lang w:val="fr-FR"/>
        </w:rPr>
        <w:t xml:space="preserve">est écoulé dans le réservoir à GPL durant une telle opération ait été </w:t>
      </w:r>
      <w:r w:rsidRPr="00B639B6">
        <w:rPr>
          <w:b/>
          <w:bCs/>
          <w:lang w:val="fr-FR"/>
        </w:rPr>
        <w:t>consommé.</w:t>
      </w:r>
    </w:p>
    <w:p w:rsidR="006B69DC" w:rsidRDefault="00B639B6" w:rsidP="006B69DC">
      <w:pPr>
        <w:pStyle w:val="SingleTxtG"/>
        <w:ind w:left="2268" w:hanging="1134"/>
        <w:rPr>
          <w:b/>
          <w:bCs/>
          <w:lang w:val="fr-FR"/>
        </w:rPr>
      </w:pPr>
      <w:r w:rsidRPr="00B639B6">
        <w:rPr>
          <w:b/>
          <w:bCs/>
          <w:lang w:val="fr-FR"/>
        </w:rPr>
        <w:tab/>
        <w:t>Néanmoins, le module de commande électronique peut autoriser le passage au mode essence si une défaillance dans l</w:t>
      </w:r>
      <w:r w:rsidR="000D1719">
        <w:rPr>
          <w:b/>
          <w:bCs/>
          <w:lang w:val="fr-FR"/>
        </w:rPr>
        <w:t>’</w:t>
      </w:r>
      <w:r w:rsidRPr="00B639B6">
        <w:rPr>
          <w:b/>
          <w:bCs/>
          <w:lang w:val="fr-FR"/>
        </w:rPr>
        <w:t>équipement GPL met celui</w:t>
      </w:r>
      <w:r w:rsidRPr="00B639B6">
        <w:rPr>
          <w:b/>
          <w:bCs/>
          <w:lang w:val="fr-FR"/>
        </w:rPr>
        <w:noBreakHyphen/>
        <w:t>ci hors fonction. Une telle défaillance doit être signalée clairement au conducteur.</w:t>
      </w:r>
    </w:p>
    <w:p w:rsidR="006B69DC" w:rsidRDefault="00B639B6" w:rsidP="006B69DC">
      <w:pPr>
        <w:pStyle w:val="SingleTxtG"/>
        <w:ind w:left="2268" w:hanging="1134"/>
        <w:rPr>
          <w:b/>
          <w:bCs/>
          <w:lang w:val="fr-FR"/>
        </w:rPr>
      </w:pPr>
      <w:r w:rsidRPr="005F7EB4">
        <w:rPr>
          <w:b/>
          <w:bCs/>
          <w:lang w:val="fr-FR"/>
        </w:rPr>
        <w:tab/>
      </w:r>
      <w:r>
        <w:rPr>
          <w:b/>
          <w:bCs/>
          <w:lang w:val="fr-FR"/>
        </w:rPr>
        <w:t>Dans le</w:t>
      </w:r>
      <w:r w:rsidRPr="005F7EB4">
        <w:rPr>
          <w:b/>
          <w:bCs/>
          <w:lang w:val="fr-FR"/>
        </w:rPr>
        <w:t xml:space="preserve"> cas où l</w:t>
      </w:r>
      <w:r w:rsidR="000D1719">
        <w:rPr>
          <w:b/>
          <w:bCs/>
          <w:lang w:val="fr-FR"/>
        </w:rPr>
        <w:t>’</w:t>
      </w:r>
      <w:r w:rsidRPr="005F7EB4">
        <w:rPr>
          <w:b/>
          <w:bCs/>
          <w:lang w:val="fr-FR"/>
        </w:rPr>
        <w:t xml:space="preserve">équipement GPL est mis hors fonction, </w:t>
      </w:r>
      <w:r w:rsidRPr="00B639B6">
        <w:rPr>
          <w:b/>
          <w:bCs/>
          <w:lang w:val="fr-FR"/>
        </w:rPr>
        <w:t>une vanne d</w:t>
      </w:r>
      <w:r w:rsidR="000D1719">
        <w:rPr>
          <w:b/>
          <w:bCs/>
          <w:lang w:val="fr-FR"/>
        </w:rPr>
        <w:t>’</w:t>
      </w:r>
      <w:r w:rsidRPr="00B639B6">
        <w:rPr>
          <w:b/>
          <w:bCs/>
          <w:lang w:val="fr-FR"/>
        </w:rPr>
        <w:t>arrêt télécommandée satisfaisant aux prescriptions du paragraphe 6.16.3.3 doit être installée sur le circuit d</w:t>
      </w:r>
      <w:r w:rsidR="000D1719">
        <w:rPr>
          <w:b/>
          <w:bCs/>
          <w:lang w:val="fr-FR"/>
        </w:rPr>
        <w:t>’</w:t>
      </w:r>
      <w:r w:rsidRPr="00B639B6">
        <w:rPr>
          <w:b/>
          <w:bCs/>
          <w:lang w:val="fr-FR"/>
        </w:rPr>
        <w:t>écoulement afin d</w:t>
      </w:r>
      <w:r w:rsidR="000D1719">
        <w:rPr>
          <w:b/>
          <w:bCs/>
          <w:lang w:val="fr-FR"/>
        </w:rPr>
        <w:t>’</w:t>
      </w:r>
      <w:r w:rsidRPr="00B639B6">
        <w:rPr>
          <w:b/>
          <w:bCs/>
          <w:lang w:val="fr-FR"/>
        </w:rPr>
        <w:t>empêcher tout reflux d</w:t>
      </w:r>
      <w:r w:rsidR="000D1719">
        <w:rPr>
          <w:b/>
          <w:bCs/>
          <w:lang w:val="fr-FR"/>
        </w:rPr>
        <w:t>’</w:t>
      </w:r>
      <w:r w:rsidRPr="00B639B6">
        <w:rPr>
          <w:b/>
          <w:bCs/>
          <w:lang w:val="fr-FR"/>
        </w:rPr>
        <w:t>essence dans le réservoir à GPL après passage au mode essence.</w:t>
      </w:r>
    </w:p>
    <w:p w:rsidR="006B69DC" w:rsidRDefault="0041734D" w:rsidP="006B69DC">
      <w:pPr>
        <w:pStyle w:val="SingleTxtG"/>
        <w:ind w:left="2268" w:hanging="1134"/>
        <w:rPr>
          <w:b/>
          <w:bCs/>
          <w:lang w:val="fr-FR"/>
        </w:rPr>
      </w:pPr>
      <w:r>
        <w:rPr>
          <w:b/>
          <w:bCs/>
          <w:lang w:val="fr-FR"/>
        </w:rPr>
        <w:t>6.1</w:t>
      </w:r>
      <w:r w:rsidR="00B639B6" w:rsidRPr="00B639B6">
        <w:rPr>
          <w:b/>
          <w:bCs/>
          <w:lang w:val="fr-FR"/>
        </w:rPr>
        <w:tab/>
        <w:t>Le volume de carburant liquide qui reflue durant l</w:t>
      </w:r>
      <w:r w:rsidR="000D1719">
        <w:rPr>
          <w:b/>
          <w:bCs/>
          <w:lang w:val="fr-FR"/>
        </w:rPr>
        <w:t>’</w:t>
      </w:r>
      <w:r w:rsidR="00B639B6" w:rsidRPr="00B639B6">
        <w:rPr>
          <w:b/>
          <w:bCs/>
          <w:lang w:val="fr-FR"/>
        </w:rPr>
        <w:t>opération de changement de mode ne doit pas excéder 0,4 litre, et le volume du réservoir ne doit pas être inférieur à 20 litres.</w:t>
      </w:r>
      <w:r w:rsidR="00B639B6" w:rsidRPr="005F7EB4">
        <w:rPr>
          <w:b/>
          <w:bCs/>
          <w:lang w:val="fr-FR"/>
        </w:rPr>
        <w:t xml:space="preserve"> </w:t>
      </w:r>
    </w:p>
    <w:p w:rsidR="006B69DC" w:rsidRDefault="0041734D" w:rsidP="006B69DC">
      <w:pPr>
        <w:pStyle w:val="SingleTxtG"/>
        <w:ind w:left="2268" w:hanging="1134"/>
        <w:rPr>
          <w:b/>
          <w:lang w:val="fr-FR"/>
        </w:rPr>
      </w:pPr>
      <w:r>
        <w:rPr>
          <w:b/>
          <w:bCs/>
          <w:lang w:val="fr-FR"/>
        </w:rPr>
        <w:t>6.2</w:t>
      </w:r>
      <w:r w:rsidR="00B639B6" w:rsidRPr="005F7EB4">
        <w:rPr>
          <w:b/>
          <w:bCs/>
          <w:lang w:val="fr-FR"/>
        </w:rPr>
        <w:tab/>
      </w:r>
      <w:r w:rsidR="00B639B6" w:rsidRPr="005F7EB4">
        <w:rPr>
          <w:b/>
          <w:lang w:val="fr-FR"/>
        </w:rPr>
        <w:t>Pour vérifier le respect des prescriptions du paragraphe 6 de la présente annexe, le module de commande électronique doit être essayé comme suit :</w:t>
      </w:r>
    </w:p>
    <w:p w:rsidR="006B69DC" w:rsidRDefault="00B639B6" w:rsidP="006B69DC">
      <w:pPr>
        <w:pStyle w:val="SingleTxtG"/>
        <w:ind w:left="2268" w:hanging="1134"/>
        <w:rPr>
          <w:b/>
          <w:bCs/>
          <w:lang w:val="fr-FR"/>
        </w:rPr>
      </w:pPr>
      <w:r w:rsidRPr="005F7EB4">
        <w:rPr>
          <w:b/>
          <w:bCs/>
          <w:lang w:val="fr-FR"/>
        </w:rPr>
        <w:tab/>
        <w:t>a)</w:t>
      </w:r>
      <w:r w:rsidRPr="005F7EB4">
        <w:rPr>
          <w:b/>
          <w:bCs/>
          <w:lang w:val="fr-FR"/>
        </w:rPr>
        <w:tab/>
        <w:t>Installer l</w:t>
      </w:r>
      <w:r w:rsidR="000D1719">
        <w:rPr>
          <w:b/>
          <w:bCs/>
          <w:lang w:val="fr-FR"/>
        </w:rPr>
        <w:t>’</w:t>
      </w:r>
      <w:r w:rsidRPr="005F7EB4">
        <w:rPr>
          <w:b/>
          <w:bCs/>
          <w:lang w:val="fr-FR"/>
        </w:rPr>
        <w:t>équipement GPL sur un véhicule ;</w:t>
      </w:r>
    </w:p>
    <w:p w:rsidR="006B69DC" w:rsidRDefault="00B639B6" w:rsidP="006B69DC">
      <w:pPr>
        <w:pStyle w:val="SingleTxtG"/>
        <w:ind w:left="2268" w:hanging="1134"/>
        <w:rPr>
          <w:b/>
          <w:bCs/>
          <w:lang w:val="fr-FR"/>
        </w:rPr>
      </w:pPr>
      <w:r w:rsidRPr="005F7EB4">
        <w:rPr>
          <w:b/>
          <w:bCs/>
          <w:lang w:val="fr-FR"/>
        </w:rPr>
        <w:tab/>
        <w:t>b)</w:t>
      </w:r>
      <w:r w:rsidRPr="005F7EB4">
        <w:rPr>
          <w:b/>
          <w:bCs/>
          <w:lang w:val="fr-FR"/>
        </w:rPr>
        <w:tab/>
        <w:t>Régler le système de sélection du carburant sur le mode GPL ;</w:t>
      </w:r>
    </w:p>
    <w:p w:rsidR="006B69DC" w:rsidRDefault="006B69DC"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lang w:val="fr-FR"/>
        </w:rPr>
      </w:pPr>
      <w:r>
        <w:rPr>
          <w:b/>
          <w:bCs/>
          <w:lang w:val="fr-FR"/>
        </w:rPr>
        <w:tab/>
      </w:r>
      <w:r w:rsidR="00B639B6" w:rsidRPr="005F7EB4">
        <w:rPr>
          <w:b/>
          <w:bCs/>
          <w:lang w:val="fr-FR"/>
        </w:rPr>
        <w:t>c)</w:t>
      </w:r>
      <w:r w:rsidR="00B639B6" w:rsidRPr="005F7EB4">
        <w:rPr>
          <w:b/>
          <w:bCs/>
          <w:lang w:val="fr-FR"/>
        </w:rPr>
        <w:tab/>
      </w:r>
      <w:r w:rsidR="00B639B6" w:rsidRPr="005F7EB4">
        <w:rPr>
          <w:b/>
          <w:lang w:val="fr-FR"/>
        </w:rPr>
        <w:t>Faire chauffer le moteur jusqu</w:t>
      </w:r>
      <w:r w:rsidR="000D1719">
        <w:rPr>
          <w:b/>
          <w:lang w:val="fr-FR"/>
        </w:rPr>
        <w:t>’</w:t>
      </w:r>
      <w:r w:rsidR="00B639B6" w:rsidRPr="005F7EB4">
        <w:rPr>
          <w:b/>
          <w:lang w:val="fr-FR"/>
        </w:rPr>
        <w:t>à ce que les températures des liquides de refroidissement et de lubrification ainsi que la pression du lubrifiant aient atteint leur point d</w:t>
      </w:r>
      <w:r w:rsidR="000D1719">
        <w:rPr>
          <w:b/>
          <w:lang w:val="fr-FR"/>
        </w:rPr>
        <w:t>’</w:t>
      </w:r>
      <w:r w:rsidR="00B639B6" w:rsidRPr="005F7EB4">
        <w:rPr>
          <w:b/>
          <w:lang w:val="fr-FR"/>
        </w:rPr>
        <w:t>équilibre ;</w:t>
      </w:r>
    </w:p>
    <w:p w:rsidR="006B69DC" w:rsidRDefault="00B639B6" w:rsidP="006B69DC">
      <w:pPr>
        <w:pStyle w:val="SingleTxtG"/>
        <w:ind w:left="2268" w:hanging="1134"/>
        <w:rPr>
          <w:b/>
          <w:lang w:val="fr-FR"/>
        </w:rPr>
      </w:pPr>
      <w:r w:rsidRPr="005F7EB4">
        <w:rPr>
          <w:b/>
          <w:bCs/>
          <w:lang w:val="fr-FR"/>
        </w:rPr>
        <w:tab/>
        <w:t>d)</w:t>
      </w:r>
      <w:r w:rsidRPr="005F7EB4">
        <w:rPr>
          <w:b/>
          <w:bCs/>
          <w:lang w:val="fr-FR"/>
        </w:rPr>
        <w:tab/>
      </w:r>
      <w:r w:rsidRPr="005F7EB4">
        <w:rPr>
          <w:b/>
          <w:lang w:val="fr-FR"/>
        </w:rPr>
        <w:t>Laisser le moteur tourner au régime de ralenti le plus bas ;</w:t>
      </w:r>
    </w:p>
    <w:p w:rsidR="006B69DC" w:rsidRDefault="00B639B6" w:rsidP="006B69DC">
      <w:pPr>
        <w:pStyle w:val="SingleTxtG"/>
        <w:ind w:left="2268" w:hanging="1134"/>
        <w:rPr>
          <w:b/>
          <w:lang w:val="fr-FR"/>
        </w:rPr>
      </w:pPr>
      <w:r w:rsidRPr="005F7EB4">
        <w:rPr>
          <w:b/>
          <w:bCs/>
          <w:lang w:val="fr-FR"/>
        </w:rPr>
        <w:tab/>
        <w:t>e)</w:t>
      </w:r>
      <w:r w:rsidRPr="005F7EB4">
        <w:rPr>
          <w:b/>
          <w:bCs/>
          <w:lang w:val="fr-FR"/>
        </w:rPr>
        <w:tab/>
      </w:r>
      <w:r w:rsidRPr="005F7EB4">
        <w:rPr>
          <w:b/>
          <w:lang w:val="fr-FR"/>
        </w:rPr>
        <w:t>Passer du mode GPL au mode essence et inversement ;</w:t>
      </w:r>
    </w:p>
    <w:p w:rsidR="006B69DC" w:rsidRDefault="00B639B6" w:rsidP="006B69DC">
      <w:pPr>
        <w:pStyle w:val="SingleTxtG"/>
        <w:ind w:left="2268" w:hanging="1134"/>
        <w:rPr>
          <w:b/>
          <w:lang w:val="fr-FR"/>
        </w:rPr>
      </w:pPr>
      <w:r w:rsidRPr="005F7EB4">
        <w:rPr>
          <w:b/>
          <w:bCs/>
          <w:lang w:val="fr-FR"/>
        </w:rPr>
        <w:tab/>
        <w:t>f)</w:t>
      </w:r>
      <w:r w:rsidRPr="005F7EB4">
        <w:rPr>
          <w:b/>
          <w:bCs/>
          <w:lang w:val="fr-FR"/>
        </w:rPr>
        <w:tab/>
      </w:r>
      <w:r w:rsidRPr="005F7EB4">
        <w:rPr>
          <w:b/>
          <w:lang w:val="fr-FR"/>
        </w:rPr>
        <w:t>Régler le système de sélection du carburant sur le mode essence.</w:t>
      </w:r>
    </w:p>
    <w:p w:rsidR="006B69DC" w:rsidRDefault="00B639B6" w:rsidP="006B69DC">
      <w:pPr>
        <w:pStyle w:val="SingleTxtG"/>
        <w:ind w:left="2268" w:hanging="1134"/>
        <w:rPr>
          <w:b/>
          <w:bCs/>
          <w:lang w:val="fr-FR"/>
        </w:rPr>
      </w:pPr>
      <w:r w:rsidRPr="005F7EB4">
        <w:rPr>
          <w:b/>
          <w:bCs/>
          <w:lang w:val="fr-FR"/>
        </w:rPr>
        <w:tab/>
        <w:t>Interprétation de l</w:t>
      </w:r>
      <w:r w:rsidR="000D1719">
        <w:rPr>
          <w:b/>
          <w:bCs/>
          <w:lang w:val="fr-FR"/>
        </w:rPr>
        <w:t>’</w:t>
      </w:r>
      <w:r w:rsidRPr="005F7EB4">
        <w:rPr>
          <w:b/>
          <w:bCs/>
          <w:lang w:val="fr-FR"/>
        </w:rPr>
        <w:t>essai</w:t>
      </w:r>
    </w:p>
    <w:p w:rsidR="006B69DC" w:rsidRDefault="006B69DC" w:rsidP="00DD521B">
      <w:pPr>
        <w:pStyle w:val="SingleTxtG"/>
        <w:ind w:left="2835"/>
        <w:rPr>
          <w:b/>
          <w:bCs/>
          <w:lang w:val="fr-FR"/>
        </w:rPr>
      </w:pPr>
      <w:r>
        <w:rPr>
          <w:b/>
          <w:bCs/>
          <w:lang w:val="fr-FR"/>
        </w:rPr>
        <w:tab/>
      </w:r>
      <w:r w:rsidR="00B639B6" w:rsidRPr="005F7EB4">
        <w:rPr>
          <w:b/>
          <w:bCs/>
          <w:lang w:val="fr-FR"/>
        </w:rPr>
        <w:t>Les critères appliqués pour l</w:t>
      </w:r>
      <w:r w:rsidR="000D1719">
        <w:rPr>
          <w:b/>
          <w:bCs/>
          <w:lang w:val="fr-FR"/>
        </w:rPr>
        <w:t>’</w:t>
      </w:r>
      <w:r w:rsidR="00B639B6" w:rsidRPr="005F7EB4">
        <w:rPr>
          <w:b/>
          <w:bCs/>
          <w:lang w:val="fr-FR"/>
        </w:rPr>
        <w:t>interprétation de l</w:t>
      </w:r>
      <w:r w:rsidR="000D1719">
        <w:rPr>
          <w:b/>
          <w:bCs/>
          <w:lang w:val="fr-FR"/>
        </w:rPr>
        <w:t>’</w:t>
      </w:r>
      <w:r w:rsidR="00B639B6" w:rsidRPr="005F7EB4">
        <w:rPr>
          <w:b/>
          <w:bCs/>
          <w:lang w:val="fr-FR"/>
        </w:rPr>
        <w:t>essai sont les suivants :</w:t>
      </w:r>
    </w:p>
    <w:p w:rsidR="00B639B6" w:rsidRPr="005F7EB4" w:rsidRDefault="00B639B6" w:rsidP="006B69DC">
      <w:pPr>
        <w:tabs>
          <w:tab w:val="left" w:pos="2268"/>
          <w:tab w:val="left" w:pos="2835"/>
          <w:tab w:val="left" w:pos="3402"/>
          <w:tab w:val="left" w:pos="8505"/>
        </w:tabs>
        <w:kinsoku/>
        <w:overflowPunct/>
        <w:autoSpaceDE/>
        <w:autoSpaceDN/>
        <w:adjustRightInd/>
        <w:snapToGrid/>
        <w:spacing w:before="120" w:after="120" w:line="240" w:lineRule="auto"/>
        <w:ind w:left="3402" w:right="1134" w:hanging="1701"/>
        <w:jc w:val="both"/>
        <w:rPr>
          <w:b/>
          <w:bCs/>
          <w:lang w:val="fr-FR"/>
        </w:rPr>
      </w:pPr>
      <w:r w:rsidRPr="005F7EB4">
        <w:rPr>
          <w:b/>
          <w:bCs/>
          <w:lang w:val="fr-FR"/>
        </w:rPr>
        <w:tab/>
      </w:r>
      <w:r w:rsidRPr="005F7EB4">
        <w:rPr>
          <w:b/>
          <w:bCs/>
          <w:lang w:val="fr-FR"/>
        </w:rPr>
        <w:tab/>
        <w:t>i)</w:t>
      </w:r>
      <w:r w:rsidRPr="005F7EB4">
        <w:rPr>
          <w:b/>
          <w:bCs/>
          <w:lang w:val="fr-FR"/>
        </w:rPr>
        <w:tab/>
        <w:t>Le mode essence est désactivé jusqu</w:t>
      </w:r>
      <w:r w:rsidR="000D1719">
        <w:rPr>
          <w:b/>
          <w:bCs/>
          <w:lang w:val="fr-FR"/>
        </w:rPr>
        <w:t>’</w:t>
      </w:r>
      <w:r w:rsidRPr="005F7EB4">
        <w:rPr>
          <w:b/>
          <w:bCs/>
          <w:lang w:val="fr-FR"/>
        </w:rPr>
        <w:t>à ce qu</w:t>
      </w:r>
      <w:r w:rsidR="000D1719">
        <w:rPr>
          <w:b/>
          <w:bCs/>
          <w:lang w:val="fr-FR"/>
        </w:rPr>
        <w:t>’</w:t>
      </w:r>
      <w:r w:rsidRPr="005F7EB4">
        <w:rPr>
          <w:b/>
          <w:bCs/>
          <w:lang w:val="fr-FR"/>
        </w:rPr>
        <w:t xml:space="preserve">un volume de carburant liquide égal à </w:t>
      </w:r>
      <w:r w:rsidRPr="00B639B6">
        <w:rPr>
          <w:b/>
          <w:bCs/>
          <w:lang w:val="fr-FR"/>
        </w:rPr>
        <w:t>0,4 litre ait été consommé. Cette consommation doit être calculée par un dispositif de mesure du banc d</w:t>
      </w:r>
      <w:r w:rsidR="000D1719">
        <w:rPr>
          <w:b/>
          <w:bCs/>
          <w:lang w:val="fr-FR"/>
        </w:rPr>
        <w:t>’</w:t>
      </w:r>
      <w:r w:rsidRPr="00B639B6">
        <w:rPr>
          <w:b/>
          <w:bCs/>
          <w:lang w:val="fr-FR"/>
        </w:rPr>
        <w:t>essai</w:t>
      </w:r>
      <w:r w:rsidRPr="005F7EB4">
        <w:rPr>
          <w:b/>
          <w:bCs/>
          <w:lang w:val="fr-FR"/>
        </w:rPr>
        <w:t>. Elle peut être calculée au moyen des signaux de débit du carburant du module de commande électronique de l</w:t>
      </w:r>
      <w:r w:rsidR="000D1719">
        <w:rPr>
          <w:b/>
          <w:bCs/>
          <w:lang w:val="fr-FR"/>
        </w:rPr>
        <w:t>’</w:t>
      </w:r>
      <w:r w:rsidRPr="005F7EB4">
        <w:rPr>
          <w:b/>
          <w:bCs/>
          <w:lang w:val="fr-FR"/>
        </w:rPr>
        <w:t xml:space="preserve">équipement GPL lus </w:t>
      </w:r>
      <w:r w:rsidRPr="00B639B6">
        <w:rPr>
          <w:b/>
          <w:bCs/>
          <w:lang w:val="fr-FR"/>
        </w:rPr>
        <w:t>à l</w:t>
      </w:r>
      <w:r w:rsidR="000D1719">
        <w:rPr>
          <w:b/>
          <w:bCs/>
          <w:lang w:val="fr-FR"/>
        </w:rPr>
        <w:t>’</w:t>
      </w:r>
      <w:r w:rsidRPr="00B639B6">
        <w:rPr>
          <w:b/>
          <w:bCs/>
          <w:lang w:val="fr-FR"/>
        </w:rPr>
        <w:t>aide</w:t>
      </w:r>
      <w:r w:rsidRPr="005F7EB4">
        <w:rPr>
          <w:b/>
          <w:bCs/>
          <w:lang w:val="fr-FR"/>
        </w:rPr>
        <w:t xml:space="preserve"> d</w:t>
      </w:r>
      <w:r w:rsidR="000D1719">
        <w:rPr>
          <w:b/>
          <w:bCs/>
          <w:lang w:val="fr-FR"/>
        </w:rPr>
        <w:t>’</w:t>
      </w:r>
      <w:r w:rsidRPr="005F7EB4">
        <w:rPr>
          <w:b/>
          <w:bCs/>
          <w:lang w:val="fr-FR"/>
        </w:rPr>
        <w:t>un outil d</w:t>
      </w:r>
      <w:r w:rsidR="000D1719">
        <w:rPr>
          <w:b/>
          <w:bCs/>
          <w:lang w:val="fr-FR"/>
        </w:rPr>
        <w:t>’</w:t>
      </w:r>
      <w:r w:rsidRPr="005F7EB4">
        <w:rPr>
          <w:b/>
          <w:bCs/>
          <w:lang w:val="fr-FR"/>
        </w:rPr>
        <w:t xml:space="preserve">analyse approprié, </w:t>
      </w:r>
      <w:r w:rsidRPr="00B639B6">
        <w:rPr>
          <w:b/>
          <w:bCs/>
          <w:lang w:val="fr-FR"/>
        </w:rPr>
        <w:t>à condition que la fiabilité de ces signaux ait été préalablement vérifiée.</w:t>
      </w:r>
      <w:r w:rsidRPr="005F7EB4">
        <w:rPr>
          <w:b/>
          <w:bCs/>
          <w:lang w:val="fr-FR"/>
        </w:rPr>
        <w:t xml:space="preserve"> </w:t>
      </w:r>
    </w:p>
    <w:p w:rsidR="00B639B6" w:rsidRPr="005F7EB4" w:rsidRDefault="00B639B6" w:rsidP="006B69DC">
      <w:pPr>
        <w:pStyle w:val="SingleTxtG"/>
        <w:ind w:left="2268" w:hanging="1134"/>
        <w:rPr>
          <w:bCs/>
          <w:lang w:val="fr-FR"/>
        </w:rPr>
      </w:pPr>
      <w:r w:rsidRPr="005F7EB4">
        <w:rPr>
          <w:b/>
          <w:bCs/>
          <w:lang w:val="fr-FR"/>
        </w:rPr>
        <w:tab/>
      </w:r>
      <w:r w:rsidRPr="005F7EB4">
        <w:rPr>
          <w:b/>
          <w:bCs/>
          <w:lang w:val="fr-FR"/>
        </w:rPr>
        <w:tab/>
        <w:t>L</w:t>
      </w:r>
      <w:r w:rsidR="000D1719">
        <w:rPr>
          <w:b/>
          <w:bCs/>
          <w:lang w:val="fr-FR"/>
        </w:rPr>
        <w:t>’</w:t>
      </w:r>
      <w:r w:rsidRPr="005F7EB4">
        <w:rPr>
          <w:b/>
          <w:bCs/>
          <w:lang w:val="fr-FR"/>
        </w:rPr>
        <w:t>essai doit aussi être répété au régime de ralenti le plus élevé.</w:t>
      </w:r>
    </w:p>
    <w:p w:rsidR="00B639B6" w:rsidRPr="005F7EB4" w:rsidRDefault="00B639B6" w:rsidP="006B69DC">
      <w:pPr>
        <w:pStyle w:val="SingleTxtG"/>
        <w:ind w:left="2268" w:hanging="1134"/>
        <w:rPr>
          <w:b/>
          <w:bCs/>
          <w:lang w:val="fr-FR"/>
        </w:rPr>
      </w:pPr>
      <w:r w:rsidRPr="005F7EB4">
        <w:rPr>
          <w:b/>
          <w:bCs/>
          <w:lang w:val="fr-FR"/>
        </w:rPr>
        <w:t>6.3</w:t>
      </w:r>
      <w:r w:rsidRPr="005F7EB4">
        <w:rPr>
          <w:b/>
          <w:bCs/>
          <w:lang w:val="fr-FR"/>
        </w:rPr>
        <w:tab/>
      </w:r>
      <w:r w:rsidRPr="005F7EB4">
        <w:rPr>
          <w:b/>
          <w:lang w:val="fr-FR"/>
        </w:rPr>
        <w:t>Afin de mesurer le volume de carburant liquide qui reflue durant les opérations de changement de mode, l</w:t>
      </w:r>
      <w:r w:rsidR="000D1719">
        <w:rPr>
          <w:b/>
          <w:lang w:val="fr-FR"/>
        </w:rPr>
        <w:t>’</w:t>
      </w:r>
      <w:r w:rsidRPr="005F7EB4">
        <w:rPr>
          <w:b/>
          <w:lang w:val="fr-FR"/>
        </w:rPr>
        <w:t>essai décrit ci-après doit être réalisé :</w:t>
      </w:r>
    </w:p>
    <w:p w:rsidR="00B639B6" w:rsidRPr="005F7EB4"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a)</w:t>
      </w:r>
      <w:r w:rsidRPr="005F7EB4">
        <w:rPr>
          <w:b/>
          <w:bCs/>
          <w:lang w:val="fr-FR"/>
        </w:rPr>
        <w:tab/>
      </w:r>
      <w:r w:rsidRPr="005F7EB4">
        <w:rPr>
          <w:b/>
          <w:lang w:val="fr-FR"/>
        </w:rPr>
        <w:t>Installer sur un véhicule l</w:t>
      </w:r>
      <w:r w:rsidR="000D1719">
        <w:rPr>
          <w:b/>
          <w:lang w:val="fr-FR"/>
        </w:rPr>
        <w:t>’</w:t>
      </w:r>
      <w:r w:rsidRPr="005F7EB4">
        <w:rPr>
          <w:b/>
          <w:lang w:val="fr-FR"/>
        </w:rPr>
        <w:t>équipement GPL sans le réservoir ;</w:t>
      </w:r>
    </w:p>
    <w:p w:rsidR="00B639B6" w:rsidRPr="005F7EB4"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b)</w:t>
      </w:r>
      <w:r w:rsidRPr="005F7EB4">
        <w:rPr>
          <w:b/>
          <w:bCs/>
          <w:lang w:val="fr-FR"/>
        </w:rPr>
        <w:tab/>
      </w:r>
      <w:r w:rsidRPr="005F7EB4">
        <w:rPr>
          <w:b/>
          <w:lang w:val="fr-FR"/>
        </w:rPr>
        <w:t>Placer le réservoir à GPL sur un appareil de pesée et le remplir ;</w:t>
      </w:r>
    </w:p>
    <w:p w:rsidR="00B639B6" w:rsidRPr="005F7EB4"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c)</w:t>
      </w:r>
      <w:r w:rsidRPr="005F7EB4">
        <w:rPr>
          <w:b/>
          <w:bCs/>
          <w:lang w:val="fr-FR"/>
        </w:rPr>
        <w:tab/>
      </w:r>
      <w:r w:rsidRPr="005F7EB4">
        <w:rPr>
          <w:b/>
          <w:lang w:val="fr-FR"/>
        </w:rPr>
        <w:t>Après avoir mis en pression l</w:t>
      </w:r>
      <w:r w:rsidR="000D1719">
        <w:rPr>
          <w:b/>
          <w:lang w:val="fr-FR"/>
        </w:rPr>
        <w:t>’</w:t>
      </w:r>
      <w:r w:rsidRPr="005F7EB4">
        <w:rPr>
          <w:b/>
          <w:lang w:val="fr-FR"/>
        </w:rPr>
        <w:t>équipement GPL jusqu</w:t>
      </w:r>
      <w:r w:rsidR="000D1719">
        <w:rPr>
          <w:b/>
          <w:lang w:val="fr-FR"/>
        </w:rPr>
        <w:t>’</w:t>
      </w:r>
      <w:r w:rsidRPr="005F7EB4">
        <w:rPr>
          <w:b/>
          <w:lang w:val="fr-FR"/>
        </w:rPr>
        <w:t>aux conditions normales de fonctionnement, relever le poids indiqué par l</w:t>
      </w:r>
      <w:r w:rsidR="000D1719">
        <w:rPr>
          <w:b/>
          <w:lang w:val="fr-FR"/>
        </w:rPr>
        <w:t>’</w:t>
      </w:r>
      <w:r w:rsidRPr="005F7EB4">
        <w:rPr>
          <w:b/>
          <w:lang w:val="fr-FR"/>
        </w:rPr>
        <w:t>appareil de pesée (W1) ;</w:t>
      </w:r>
    </w:p>
    <w:p w:rsidR="00B639B6" w:rsidRPr="005F7EB4"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d)</w:t>
      </w:r>
      <w:r w:rsidRPr="005F7EB4">
        <w:rPr>
          <w:b/>
          <w:bCs/>
          <w:lang w:val="fr-FR"/>
        </w:rPr>
        <w:tab/>
      </w:r>
      <w:r w:rsidRPr="005F7EB4">
        <w:rPr>
          <w:b/>
          <w:lang w:val="fr-FR"/>
        </w:rPr>
        <w:t>Désactiver le module de commande électronique décrit au paragraphe 6 ci-dessus ;</w:t>
      </w:r>
    </w:p>
    <w:p w:rsidR="00B639B6" w:rsidRPr="005F7EB4"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e)</w:t>
      </w:r>
      <w:r w:rsidRPr="005F7EB4">
        <w:rPr>
          <w:b/>
          <w:bCs/>
          <w:lang w:val="fr-FR"/>
        </w:rPr>
        <w:tab/>
      </w:r>
      <w:r w:rsidRPr="005F7EB4">
        <w:rPr>
          <w:b/>
          <w:lang w:val="fr-FR"/>
        </w:rPr>
        <w:t>Passer du mode GPL au mode ess</w:t>
      </w:r>
      <w:r w:rsidR="004D3191">
        <w:rPr>
          <w:b/>
          <w:lang w:val="fr-FR"/>
        </w:rPr>
        <w:t>ence et inversement au moins 10 </w:t>
      </w:r>
      <w:r w:rsidRPr="005F7EB4">
        <w:rPr>
          <w:b/>
          <w:lang w:val="fr-FR"/>
        </w:rPr>
        <w:t>fois de suite ;</w:t>
      </w:r>
    </w:p>
    <w:p w:rsidR="00B639B6" w:rsidRPr="005F7EB4"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f)</w:t>
      </w:r>
      <w:r w:rsidRPr="005F7EB4">
        <w:rPr>
          <w:b/>
          <w:bCs/>
          <w:lang w:val="fr-FR"/>
        </w:rPr>
        <w:tab/>
      </w:r>
      <w:r w:rsidRPr="005F7EB4">
        <w:rPr>
          <w:b/>
          <w:lang w:val="fr-FR"/>
        </w:rPr>
        <w:t>Relever le poids indiqué par l</w:t>
      </w:r>
      <w:r w:rsidR="000D1719">
        <w:rPr>
          <w:b/>
          <w:lang w:val="fr-FR"/>
        </w:rPr>
        <w:t>’</w:t>
      </w:r>
      <w:r w:rsidRPr="005F7EB4">
        <w:rPr>
          <w:b/>
          <w:lang w:val="fr-FR"/>
        </w:rPr>
        <w:t>appareil de pesée (W2).</w:t>
      </w:r>
    </w:p>
    <w:p w:rsidR="00B639B6" w:rsidRPr="005F7EB4" w:rsidRDefault="00B639B6" w:rsidP="006B69DC">
      <w:pPr>
        <w:pStyle w:val="SingleTxtG"/>
        <w:ind w:left="2268" w:hanging="1134"/>
        <w:rPr>
          <w:b/>
          <w:bCs/>
          <w:lang w:val="fr-FR"/>
        </w:rPr>
      </w:pPr>
      <w:r w:rsidRPr="005F7EB4">
        <w:rPr>
          <w:b/>
          <w:bCs/>
          <w:lang w:val="fr-FR"/>
        </w:rPr>
        <w:tab/>
        <w:t>Le volume d</w:t>
      </w:r>
      <w:r w:rsidR="000D1719">
        <w:rPr>
          <w:b/>
          <w:bCs/>
          <w:lang w:val="fr-FR"/>
        </w:rPr>
        <w:t>’</w:t>
      </w:r>
      <w:r w:rsidRPr="005F7EB4">
        <w:rPr>
          <w:b/>
          <w:bCs/>
          <w:lang w:val="fr-FR"/>
        </w:rPr>
        <w:t xml:space="preserve">essence reflué par opération de changement de mode est calculé comme suit : </w:t>
      </w:r>
    </w:p>
    <w:p w:rsidR="00B639B6" w:rsidRPr="005F7EB4" w:rsidRDefault="00B639B6" w:rsidP="006B69DC">
      <w:pPr>
        <w:pStyle w:val="SingleTxtG"/>
        <w:ind w:left="2268" w:hanging="1134"/>
        <w:rPr>
          <w:b/>
          <w:bCs/>
          <w:lang w:val="fr-FR"/>
        </w:rPr>
      </w:pPr>
      <w:r w:rsidRPr="005F7EB4">
        <w:rPr>
          <w:b/>
          <w:bCs/>
          <w:lang w:val="fr-FR"/>
        </w:rPr>
        <w:tab/>
        <w:t xml:space="preserve">Vsw = (W2-W1) / #SW / </w:t>
      </w:r>
      <w:r w:rsidRPr="009B5B63">
        <w:rPr>
          <w:rFonts w:ascii="Times New Roman Gras" w:hAnsi="Times New Roman Gras"/>
          <w:b/>
          <w:bCs/>
          <w:lang w:val="fr-FR"/>
        </w:rPr>
        <w:t>D</w:t>
      </w:r>
      <w:r w:rsidRPr="00212426">
        <w:rPr>
          <w:rFonts w:ascii="Times New Roman Gras" w:hAnsi="Times New Roman Gras"/>
          <w:b/>
          <w:bCs/>
          <w:lang w:val="fr-FR"/>
        </w:rPr>
        <w:t>essence</w:t>
      </w:r>
    </w:p>
    <w:p w:rsidR="00B639B6" w:rsidRPr="005F7EB4" w:rsidRDefault="00B639B6" w:rsidP="006B69DC">
      <w:pPr>
        <w:pStyle w:val="SingleTxtG"/>
        <w:ind w:left="2268" w:hanging="1134"/>
        <w:rPr>
          <w:b/>
          <w:bCs/>
          <w:lang w:val="fr-FR"/>
        </w:rPr>
      </w:pPr>
      <w:r w:rsidRPr="005F7EB4">
        <w:rPr>
          <w:b/>
          <w:bCs/>
          <w:lang w:val="fr-FR"/>
        </w:rPr>
        <w:tab/>
        <w:t>où :</w:t>
      </w:r>
    </w:p>
    <w:p w:rsidR="00B639B6" w:rsidRPr="005F7EB4" w:rsidRDefault="00B639B6" w:rsidP="006B69DC">
      <w:pPr>
        <w:pStyle w:val="SingleTxtG"/>
        <w:ind w:left="2268" w:hanging="1134"/>
        <w:rPr>
          <w:b/>
          <w:bCs/>
          <w:lang w:val="fr-FR"/>
        </w:rPr>
      </w:pPr>
      <w:r w:rsidRPr="005F7EB4">
        <w:rPr>
          <w:b/>
          <w:bCs/>
          <w:lang w:val="fr-FR"/>
        </w:rPr>
        <w:tab/>
        <w:t>D</w:t>
      </w:r>
      <w:r w:rsidRPr="00212426">
        <w:rPr>
          <w:rFonts w:ascii="Times New Roman Gras" w:hAnsi="Times New Roman Gras"/>
          <w:b/>
          <w:bCs/>
          <w:lang w:val="fr-FR"/>
        </w:rPr>
        <w:t>essence</w:t>
      </w:r>
      <w:r w:rsidRPr="00212426">
        <w:rPr>
          <w:b/>
          <w:bCs/>
          <w:lang w:val="fr-FR"/>
        </w:rPr>
        <w:t xml:space="preserve"> </w:t>
      </w:r>
      <w:r w:rsidRPr="005F7EB4">
        <w:rPr>
          <w:b/>
          <w:bCs/>
          <w:lang w:val="fr-FR"/>
        </w:rPr>
        <w:t>= 743 kg/m</w:t>
      </w:r>
      <w:r w:rsidRPr="005F7EB4">
        <w:rPr>
          <w:b/>
          <w:bCs/>
          <w:vertAlign w:val="superscript"/>
          <w:lang w:val="fr-FR"/>
        </w:rPr>
        <w:t>3</w:t>
      </w:r>
      <w:r w:rsidR="00C450A1">
        <w:rPr>
          <w:b/>
          <w:bCs/>
          <w:lang w:val="fr-FR"/>
        </w:rPr>
        <w:t xml:space="preserve"> ;</w:t>
      </w:r>
    </w:p>
    <w:p w:rsidR="00B639B6" w:rsidRPr="005F7EB4" w:rsidRDefault="00B639B6" w:rsidP="006B69DC">
      <w:pPr>
        <w:pStyle w:val="SingleTxtG"/>
        <w:ind w:left="2268" w:hanging="1134"/>
        <w:rPr>
          <w:b/>
          <w:bCs/>
          <w:lang w:val="fr-FR"/>
        </w:rPr>
      </w:pPr>
      <w:r w:rsidRPr="005F7EB4">
        <w:rPr>
          <w:b/>
          <w:bCs/>
          <w:lang w:val="fr-FR"/>
        </w:rPr>
        <w:tab/>
        <w:t>#SW = nombre d</w:t>
      </w:r>
      <w:r w:rsidR="000D1719">
        <w:rPr>
          <w:b/>
          <w:bCs/>
          <w:lang w:val="fr-FR"/>
        </w:rPr>
        <w:t>’</w:t>
      </w:r>
      <w:r w:rsidRPr="005F7EB4">
        <w:rPr>
          <w:b/>
          <w:bCs/>
          <w:lang w:val="fr-FR"/>
        </w:rPr>
        <w:t>opérations de passage du mode GPL au mode essence et inversement durant l</w:t>
      </w:r>
      <w:r w:rsidR="000D1719">
        <w:rPr>
          <w:b/>
          <w:bCs/>
          <w:lang w:val="fr-FR"/>
        </w:rPr>
        <w:t>’</w:t>
      </w:r>
      <w:r w:rsidRPr="005F7EB4">
        <w:rPr>
          <w:b/>
          <w:bCs/>
          <w:lang w:val="fr-FR"/>
        </w:rPr>
        <w:t>essai.</w:t>
      </w:r>
    </w:p>
    <w:p w:rsidR="00B639B6" w:rsidRPr="005F7EB4" w:rsidRDefault="006B69DC" w:rsidP="006B69DC">
      <w:pPr>
        <w:pStyle w:val="SingleTxtG"/>
        <w:ind w:left="2268" w:hanging="1134"/>
        <w:rPr>
          <w:b/>
          <w:bCs/>
          <w:lang w:val="fr-FR"/>
        </w:rPr>
      </w:pPr>
      <w:r>
        <w:rPr>
          <w:b/>
          <w:bCs/>
          <w:lang w:val="fr-FR"/>
        </w:rPr>
        <w:tab/>
      </w:r>
      <w:r w:rsidR="00B639B6" w:rsidRPr="005F7EB4">
        <w:rPr>
          <w:b/>
          <w:bCs/>
          <w:lang w:val="fr-FR"/>
        </w:rPr>
        <w:t>L</w:t>
      </w:r>
      <w:r w:rsidR="000D1719">
        <w:rPr>
          <w:b/>
          <w:bCs/>
          <w:lang w:val="fr-FR"/>
        </w:rPr>
        <w:t>’</w:t>
      </w:r>
      <w:r w:rsidR="00B639B6" w:rsidRPr="005F7EB4">
        <w:rPr>
          <w:b/>
          <w:bCs/>
          <w:lang w:val="fr-FR"/>
        </w:rPr>
        <w:t>appareil de pesée doit avoir les caractéristiques suivantes :</w:t>
      </w:r>
    </w:p>
    <w:p w:rsidR="00B639B6" w:rsidRPr="005F7EB4" w:rsidRDefault="006B69DC"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Pr>
          <w:b/>
          <w:bCs/>
          <w:lang w:val="fr-FR"/>
        </w:rPr>
        <w:tab/>
      </w:r>
      <w:r w:rsidR="00B639B6" w:rsidRPr="005F7EB4">
        <w:rPr>
          <w:b/>
          <w:bCs/>
          <w:lang w:val="fr-FR"/>
        </w:rPr>
        <w:t>a)</w:t>
      </w:r>
      <w:r w:rsidR="00B639B6" w:rsidRPr="005F7EB4">
        <w:rPr>
          <w:b/>
          <w:bCs/>
          <w:lang w:val="fr-FR"/>
        </w:rPr>
        <w:tab/>
      </w:r>
      <w:r w:rsidR="00B639B6" w:rsidRPr="005F7EB4">
        <w:rPr>
          <w:b/>
          <w:lang w:val="fr-FR"/>
        </w:rPr>
        <w:t xml:space="preserve">Une </w:t>
      </w:r>
      <w:r w:rsidR="00B639B6" w:rsidRPr="00B639B6">
        <w:rPr>
          <w:b/>
          <w:lang w:val="fr-FR"/>
        </w:rPr>
        <w:t>précision</w:t>
      </w:r>
      <w:r w:rsidR="00B639B6" w:rsidRPr="005F7EB4">
        <w:rPr>
          <w:b/>
          <w:lang w:val="fr-FR"/>
        </w:rPr>
        <w:t xml:space="preserve"> de ± 0,02 % à pleine échelle ou mieux ;</w:t>
      </w:r>
    </w:p>
    <w:p w:rsidR="00B639B6" w:rsidRPr="005F7EB4" w:rsidRDefault="006B69DC"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Pr>
          <w:b/>
          <w:bCs/>
          <w:lang w:val="fr-FR"/>
        </w:rPr>
        <w:tab/>
      </w:r>
      <w:r w:rsidR="00B639B6" w:rsidRPr="005F7EB4">
        <w:rPr>
          <w:b/>
          <w:bCs/>
          <w:lang w:val="fr-FR"/>
        </w:rPr>
        <w:t>b)</w:t>
      </w:r>
      <w:r w:rsidR="00B639B6" w:rsidRPr="005F7EB4">
        <w:rPr>
          <w:b/>
          <w:bCs/>
          <w:lang w:val="fr-FR"/>
        </w:rPr>
        <w:tab/>
      </w:r>
      <w:r w:rsidR="00B639B6" w:rsidRPr="005F7EB4">
        <w:rPr>
          <w:b/>
          <w:lang w:val="fr-FR"/>
        </w:rPr>
        <w:t>Une résolution de 20 g ;</w:t>
      </w:r>
    </w:p>
    <w:p w:rsidR="00B639B6" w:rsidRPr="005F7EB4" w:rsidRDefault="006B69DC"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Pr>
          <w:b/>
          <w:bCs/>
          <w:lang w:val="fr-FR"/>
        </w:rPr>
        <w:tab/>
      </w:r>
      <w:r w:rsidR="00B639B6" w:rsidRPr="005F7EB4">
        <w:rPr>
          <w:b/>
          <w:bCs/>
          <w:lang w:val="fr-FR"/>
        </w:rPr>
        <w:t>c)</w:t>
      </w:r>
      <w:r w:rsidR="00B639B6" w:rsidRPr="005F7EB4">
        <w:rPr>
          <w:b/>
          <w:bCs/>
          <w:lang w:val="fr-FR"/>
        </w:rPr>
        <w:tab/>
      </w:r>
      <w:r w:rsidR="00B639B6" w:rsidRPr="005F7EB4">
        <w:rPr>
          <w:b/>
          <w:lang w:val="fr-FR"/>
        </w:rPr>
        <w:t>Un écart d</w:t>
      </w:r>
      <w:r w:rsidR="000D1719">
        <w:rPr>
          <w:b/>
          <w:lang w:val="fr-FR"/>
        </w:rPr>
        <w:t>’</w:t>
      </w:r>
      <w:r w:rsidR="00B639B6" w:rsidRPr="005F7EB4">
        <w:rPr>
          <w:b/>
          <w:lang w:val="fr-FR"/>
        </w:rPr>
        <w:t>exactitude de ± 2 % de la valeur lue ou de ± 0,3 % de l</w:t>
      </w:r>
      <w:r w:rsidR="000D1719">
        <w:rPr>
          <w:b/>
          <w:lang w:val="fr-FR"/>
        </w:rPr>
        <w:t>’</w:t>
      </w:r>
      <w:r w:rsidR="00B639B6" w:rsidRPr="005F7EB4">
        <w:rPr>
          <w:b/>
          <w:lang w:val="fr-FR"/>
        </w:rPr>
        <w:t>échelle, la valeur la meilleure étant retenue.</w:t>
      </w:r>
    </w:p>
    <w:p w:rsidR="00B639B6" w:rsidRPr="005F7EB4" w:rsidRDefault="00B639B6" w:rsidP="006B69DC">
      <w:pPr>
        <w:pStyle w:val="SingleTxtG"/>
        <w:ind w:left="2268" w:hanging="1134"/>
        <w:rPr>
          <w:b/>
          <w:bCs/>
          <w:lang w:val="fr-FR"/>
        </w:rPr>
      </w:pPr>
      <w:r w:rsidRPr="005F7EB4">
        <w:rPr>
          <w:b/>
          <w:bCs/>
          <w:lang w:val="fr-FR"/>
        </w:rPr>
        <w:t>6.4</w:t>
      </w:r>
      <w:r w:rsidRPr="005F7EB4">
        <w:rPr>
          <w:b/>
          <w:bCs/>
          <w:lang w:val="fr-FR"/>
        </w:rPr>
        <w:tab/>
        <w:t>Le module de commande électronique doit porter un marquage sur lequel les indications suivantes sont bien lisibles et indélébiles :</w:t>
      </w:r>
    </w:p>
    <w:p w:rsidR="006B69DC"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a)</w:t>
      </w:r>
      <w:r w:rsidRPr="005F7EB4">
        <w:rPr>
          <w:b/>
          <w:bCs/>
          <w:lang w:val="fr-FR"/>
        </w:rPr>
        <w:tab/>
        <w:t>La mention “ICS” ;</w:t>
      </w:r>
    </w:p>
    <w:p w:rsidR="006B69DC"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b)</w:t>
      </w:r>
      <w:r w:rsidRPr="005F7EB4">
        <w:rPr>
          <w:b/>
          <w:bCs/>
          <w:lang w:val="fr-FR"/>
        </w:rPr>
        <w:tab/>
        <w:t xml:space="preserve">La </w:t>
      </w:r>
      <w:r w:rsidR="001510F5">
        <w:rPr>
          <w:b/>
          <w:bCs/>
          <w:lang w:val="fr-FR"/>
        </w:rPr>
        <w:t>mention “</w:t>
      </w:r>
      <w:r w:rsidRPr="005F7EB4">
        <w:rPr>
          <w:b/>
          <w:bCs/>
          <w:lang w:val="fr-FR"/>
        </w:rPr>
        <w:t>0,4 litre</w:t>
      </w:r>
      <w:r w:rsidR="001510F5">
        <w:rPr>
          <w:b/>
          <w:bCs/>
          <w:lang w:val="fr-FR"/>
        </w:rPr>
        <w:t>”</w:t>
      </w:r>
      <w:r w:rsidRPr="005F7EB4">
        <w:rPr>
          <w:b/>
          <w:bCs/>
          <w:lang w:val="fr-FR"/>
        </w:rPr>
        <w:t xml:space="preserve"> ; et </w:t>
      </w:r>
    </w:p>
    <w:p w:rsidR="00B639B6" w:rsidRPr="005F7EB4"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lang w:val="fr-FR"/>
        </w:rPr>
      </w:pPr>
      <w:r w:rsidRPr="005F7EB4">
        <w:rPr>
          <w:b/>
          <w:bCs/>
          <w:lang w:val="fr-FR"/>
        </w:rPr>
        <w:tab/>
      </w:r>
      <w:r w:rsidR="0036467B">
        <w:rPr>
          <w:b/>
          <w:bCs/>
          <w:lang w:val="fr-FR"/>
        </w:rPr>
        <w:t>c</w:t>
      </w:r>
      <w:r w:rsidRPr="005F7EB4">
        <w:rPr>
          <w:b/>
          <w:bCs/>
          <w:lang w:val="fr-FR"/>
        </w:rPr>
        <w:t>)</w:t>
      </w:r>
      <w:r w:rsidRPr="005F7EB4">
        <w:rPr>
          <w:b/>
          <w:bCs/>
          <w:lang w:val="fr-FR"/>
        </w:rPr>
        <w:tab/>
        <w:t>La marque d</w:t>
      </w:r>
      <w:r w:rsidR="000D1719">
        <w:rPr>
          <w:b/>
          <w:bCs/>
          <w:lang w:val="fr-FR"/>
        </w:rPr>
        <w:t>’</w:t>
      </w:r>
      <w:r w:rsidRPr="005F7EB4">
        <w:rPr>
          <w:b/>
          <w:bCs/>
          <w:lang w:val="fr-FR"/>
        </w:rPr>
        <w:t>homologation conformément au paragraphe 5.4 du présent Règlement. </w:t>
      </w:r>
      <w:r w:rsidRPr="00481B0B">
        <w:rPr>
          <w:bCs/>
          <w:lang w:val="fr-FR"/>
        </w:rPr>
        <w:t>».</w:t>
      </w:r>
    </w:p>
    <w:p w:rsidR="00B639B6" w:rsidRPr="005F7EB4" w:rsidRDefault="00B639B6" w:rsidP="006B69DC">
      <w:pPr>
        <w:pStyle w:val="SingleTxtG"/>
        <w:rPr>
          <w:lang w:val="fr-FR"/>
        </w:rPr>
      </w:pPr>
      <w:r w:rsidRPr="005F7EB4">
        <w:rPr>
          <w:i/>
          <w:lang w:val="fr-FR"/>
        </w:rPr>
        <w:t>Annexe 15, ajouter de nouveaux paragraphes 9.7 et 9.7.1</w:t>
      </w:r>
      <w:r w:rsidRPr="005F7EB4">
        <w:rPr>
          <w:lang w:val="fr-FR"/>
        </w:rPr>
        <w:t>, libellés comme suit :</w:t>
      </w:r>
    </w:p>
    <w:p w:rsidR="00B639B6" w:rsidRPr="005F7EB4" w:rsidRDefault="00B639B6" w:rsidP="006B69DC">
      <w:pPr>
        <w:pStyle w:val="SingleTxtG"/>
        <w:ind w:left="2268" w:hanging="1134"/>
        <w:rPr>
          <w:b/>
          <w:lang w:val="fr-FR"/>
        </w:rPr>
      </w:pPr>
      <w:r w:rsidRPr="005F7EB4">
        <w:rPr>
          <w:lang w:val="fr-FR"/>
        </w:rPr>
        <w:t>« </w:t>
      </w:r>
      <w:r w:rsidRPr="005F7EB4">
        <w:rPr>
          <w:b/>
          <w:lang w:val="fr-FR"/>
        </w:rPr>
        <w:t>9.7</w:t>
      </w:r>
      <w:r w:rsidRPr="005F7EB4">
        <w:rPr>
          <w:b/>
          <w:lang w:val="fr-FR"/>
        </w:rPr>
        <w:tab/>
        <w:t>Essai d</w:t>
      </w:r>
      <w:r w:rsidR="000D1719">
        <w:rPr>
          <w:b/>
          <w:lang w:val="fr-FR"/>
        </w:rPr>
        <w:t>’</w:t>
      </w:r>
      <w:r w:rsidRPr="005F7EB4">
        <w:rPr>
          <w:b/>
          <w:lang w:val="fr-FR"/>
        </w:rPr>
        <w:t>endurance pour les soupape</w:t>
      </w:r>
      <w:r>
        <w:rPr>
          <w:b/>
          <w:lang w:val="fr-FR"/>
        </w:rPr>
        <w:t>s</w:t>
      </w:r>
      <w:r w:rsidRPr="005F7EB4">
        <w:rPr>
          <w:b/>
          <w:lang w:val="fr-FR"/>
        </w:rPr>
        <w:t xml:space="preserve"> antiretour des équipement GPL interconnectés</w:t>
      </w:r>
    </w:p>
    <w:p w:rsidR="00B639B6" w:rsidRPr="005F7EB4" w:rsidRDefault="00B639B6" w:rsidP="006B69DC">
      <w:pPr>
        <w:pStyle w:val="SingleTxtG"/>
        <w:ind w:left="2268" w:hanging="1134"/>
        <w:rPr>
          <w:b/>
          <w:lang w:val="fr-FR"/>
        </w:rPr>
      </w:pPr>
      <w:r w:rsidRPr="005F7EB4">
        <w:rPr>
          <w:b/>
          <w:lang w:val="fr-FR"/>
        </w:rPr>
        <w:t>9.7.1</w:t>
      </w:r>
      <w:r w:rsidRPr="005F7EB4">
        <w:rPr>
          <w:b/>
          <w:lang w:val="fr-FR"/>
        </w:rPr>
        <w:tab/>
        <w:t>La soupape antiretour doit être capable de supporter 20 000 cycles de fonctionnement et 24 h au débit de battement lorsqu</w:t>
      </w:r>
      <w:r w:rsidR="000D1719">
        <w:rPr>
          <w:b/>
          <w:lang w:val="fr-FR"/>
        </w:rPr>
        <w:t>’</w:t>
      </w:r>
      <w:r w:rsidRPr="005F7EB4">
        <w:rPr>
          <w:b/>
          <w:lang w:val="fr-FR"/>
        </w:rPr>
        <w:t>elle est éprouvée conformément à la procédure ci-dessous :</w:t>
      </w:r>
    </w:p>
    <w:p w:rsidR="00B639B6" w:rsidRPr="005F7EB4" w:rsidRDefault="006B69DC"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lang w:val="fr-FR"/>
        </w:rPr>
      </w:pPr>
      <w:r>
        <w:rPr>
          <w:b/>
          <w:lang w:val="fr-FR"/>
        </w:rPr>
        <w:tab/>
      </w:r>
      <w:r w:rsidR="00B639B6" w:rsidRPr="005F7EB4">
        <w:rPr>
          <w:b/>
          <w:lang w:val="fr-FR"/>
        </w:rPr>
        <w:t>a)</w:t>
      </w:r>
      <w:r w:rsidR="00B639B6" w:rsidRPr="005F7EB4">
        <w:rPr>
          <w:b/>
          <w:lang w:val="fr-FR"/>
        </w:rPr>
        <w:tab/>
        <w:t>La soupape antiretour est placée sur un montage d</w:t>
      </w:r>
      <w:r w:rsidR="000D1719">
        <w:rPr>
          <w:b/>
          <w:lang w:val="fr-FR"/>
        </w:rPr>
        <w:t>’</w:t>
      </w:r>
      <w:r w:rsidR="00B639B6" w:rsidRPr="005F7EB4">
        <w:rPr>
          <w:b/>
          <w:lang w:val="fr-FR"/>
        </w:rPr>
        <w:t>essai et une pression égale à 3 000 kPa ou à PS en fonction de la classe de pression de la soupape est appliquée à l</w:t>
      </w:r>
      <w:r w:rsidR="000D1719">
        <w:rPr>
          <w:b/>
          <w:lang w:val="fr-FR"/>
        </w:rPr>
        <w:t>’</w:t>
      </w:r>
      <w:r w:rsidR="00B639B6" w:rsidRPr="005F7EB4">
        <w:rPr>
          <w:b/>
          <w:lang w:val="fr-FR"/>
        </w:rPr>
        <w:t>orifice d</w:t>
      </w:r>
      <w:r w:rsidR="000D1719">
        <w:rPr>
          <w:b/>
          <w:lang w:val="fr-FR"/>
        </w:rPr>
        <w:t>’</w:t>
      </w:r>
      <w:r w:rsidR="00B639B6" w:rsidRPr="005F7EB4">
        <w:rPr>
          <w:b/>
          <w:lang w:val="fr-FR"/>
        </w:rPr>
        <w:t>entrée, puis on laisse la pression se décharger par l</w:t>
      </w:r>
      <w:r w:rsidR="000D1719">
        <w:rPr>
          <w:b/>
          <w:lang w:val="fr-FR"/>
        </w:rPr>
        <w:t>’</w:t>
      </w:r>
      <w:r w:rsidR="00B639B6" w:rsidRPr="005F7EB4">
        <w:rPr>
          <w:b/>
          <w:lang w:val="fr-FR"/>
        </w:rPr>
        <w:t xml:space="preserve">orifice de sortie. On abaisse la pression à </w:t>
      </w:r>
      <w:r w:rsidR="00B639B6" w:rsidRPr="006B69DC">
        <w:rPr>
          <w:b/>
          <w:bCs/>
          <w:lang w:val="fr-FR"/>
        </w:rPr>
        <w:t>l</w:t>
      </w:r>
      <w:r w:rsidR="000D1719">
        <w:rPr>
          <w:b/>
          <w:bCs/>
          <w:lang w:val="fr-FR"/>
        </w:rPr>
        <w:t>’</w:t>
      </w:r>
      <w:r w:rsidR="00B639B6" w:rsidRPr="006B69DC">
        <w:rPr>
          <w:b/>
          <w:bCs/>
          <w:lang w:val="fr-FR"/>
        </w:rPr>
        <w:t>orifice</w:t>
      </w:r>
      <w:r w:rsidR="00B639B6" w:rsidRPr="005F7EB4">
        <w:rPr>
          <w:b/>
          <w:lang w:val="fr-FR"/>
        </w:rPr>
        <w:t xml:space="preserve"> de sortie à une valeur comprise entre 0 et un maximum de 0,5 fois la valeur ci-dessus avant le cycle suivant.</w:t>
      </w:r>
    </w:p>
    <w:p w:rsidR="00B639B6" w:rsidRPr="005F7EB4" w:rsidRDefault="00B639B6" w:rsidP="006B69DC">
      <w:pPr>
        <w:tabs>
          <w:tab w:val="left" w:pos="2268"/>
          <w:tab w:val="left" w:pos="2835"/>
          <w:tab w:val="left" w:pos="8505"/>
        </w:tabs>
        <w:kinsoku/>
        <w:overflowPunct/>
        <w:autoSpaceDE/>
        <w:autoSpaceDN/>
        <w:adjustRightInd/>
        <w:snapToGrid/>
        <w:spacing w:before="120" w:after="120" w:line="240" w:lineRule="auto"/>
        <w:ind w:left="2835" w:right="1134" w:hanging="1701"/>
        <w:jc w:val="both"/>
        <w:rPr>
          <w:b/>
          <w:lang w:val="fr-FR"/>
        </w:rPr>
      </w:pPr>
      <w:r w:rsidRPr="005F7EB4">
        <w:rPr>
          <w:b/>
          <w:lang w:val="fr-FR"/>
        </w:rPr>
        <w:tab/>
        <w:t>b)</w:t>
      </w:r>
      <w:r w:rsidRPr="005F7EB4">
        <w:rPr>
          <w:b/>
          <w:lang w:val="fr-FR"/>
        </w:rPr>
        <w:tab/>
        <w:t>Après avoir été soumise à 20 000 cycles de fonctionnement, la soupape antiretour est soumise pendant 24 h au débit causant l</w:t>
      </w:r>
      <w:r w:rsidR="000D1719">
        <w:rPr>
          <w:b/>
          <w:lang w:val="fr-FR"/>
        </w:rPr>
        <w:t>’</w:t>
      </w:r>
      <w:r w:rsidRPr="005F7EB4">
        <w:rPr>
          <w:b/>
          <w:lang w:val="fr-FR"/>
        </w:rPr>
        <w:t>effet de battement maximum.</w:t>
      </w:r>
    </w:p>
    <w:p w:rsidR="00B639B6" w:rsidRPr="005F7EB4" w:rsidRDefault="00B639B6" w:rsidP="006B69DC">
      <w:pPr>
        <w:pStyle w:val="SingleTxtG"/>
        <w:ind w:left="2268" w:hanging="1134"/>
        <w:rPr>
          <w:b/>
          <w:lang w:val="fr-FR"/>
        </w:rPr>
      </w:pPr>
      <w:r w:rsidRPr="005F7EB4">
        <w:rPr>
          <w:b/>
          <w:lang w:val="fr-FR"/>
        </w:rPr>
        <w:tab/>
        <w:t>Après cet essai, la soupape antiretour doit satisfaire aux prescriptions des essais d</w:t>
      </w:r>
      <w:r w:rsidR="000D1719">
        <w:rPr>
          <w:b/>
          <w:lang w:val="fr-FR"/>
        </w:rPr>
        <w:t>’</w:t>
      </w:r>
      <w:r w:rsidRPr="005F7EB4">
        <w:rPr>
          <w:b/>
          <w:lang w:val="fr-FR"/>
        </w:rPr>
        <w:t>étanchéité des paragraphes 5 et 8 ci-dessus.</w:t>
      </w:r>
    </w:p>
    <w:p w:rsidR="00B639B6" w:rsidRPr="005F7EB4" w:rsidRDefault="00B639B6" w:rsidP="006B69DC">
      <w:pPr>
        <w:pStyle w:val="SingleTxtG"/>
        <w:ind w:left="2268" w:hanging="1134"/>
        <w:rPr>
          <w:b/>
          <w:lang w:val="fr-FR"/>
        </w:rPr>
      </w:pPr>
      <w:r w:rsidRPr="005F7EB4">
        <w:rPr>
          <w:b/>
          <w:lang w:val="fr-FR"/>
        </w:rPr>
        <w:tab/>
        <w:t>Toute défaillance quelle qu</w:t>
      </w:r>
      <w:r w:rsidR="000D1719">
        <w:rPr>
          <w:b/>
          <w:lang w:val="fr-FR"/>
        </w:rPr>
        <w:t>’</w:t>
      </w:r>
      <w:r w:rsidRPr="005F7EB4">
        <w:rPr>
          <w:b/>
          <w:lang w:val="fr-FR"/>
        </w:rPr>
        <w:t xml:space="preserve">elle soit au </w:t>
      </w:r>
      <w:r w:rsidRPr="006B69DC">
        <w:rPr>
          <w:b/>
          <w:bCs/>
          <w:lang w:val="fr-FR"/>
        </w:rPr>
        <w:t>cours</w:t>
      </w:r>
      <w:r w:rsidRPr="005F7EB4">
        <w:rPr>
          <w:b/>
          <w:lang w:val="fr-FR"/>
        </w:rPr>
        <w:t xml:space="preserve"> de l</w:t>
      </w:r>
      <w:r w:rsidR="000D1719">
        <w:rPr>
          <w:b/>
          <w:lang w:val="fr-FR"/>
        </w:rPr>
        <w:t>’</w:t>
      </w:r>
      <w:r w:rsidRPr="005F7EB4">
        <w:rPr>
          <w:b/>
          <w:lang w:val="fr-FR"/>
        </w:rPr>
        <w:t>essai entraîne l</w:t>
      </w:r>
      <w:r w:rsidR="000D1719">
        <w:rPr>
          <w:b/>
          <w:lang w:val="fr-FR"/>
        </w:rPr>
        <w:t>’</w:t>
      </w:r>
      <w:r w:rsidRPr="005F7EB4">
        <w:rPr>
          <w:b/>
          <w:lang w:val="fr-FR"/>
        </w:rPr>
        <w:t>échec de l</w:t>
      </w:r>
      <w:r w:rsidR="000D1719">
        <w:rPr>
          <w:b/>
          <w:lang w:val="fr-FR"/>
        </w:rPr>
        <w:t>’</w:t>
      </w:r>
      <w:r w:rsidRPr="005F7EB4">
        <w:rPr>
          <w:b/>
          <w:lang w:val="fr-FR"/>
        </w:rPr>
        <w:t>essai.</w:t>
      </w:r>
    </w:p>
    <w:p w:rsidR="00B639B6" w:rsidRPr="005F7EB4" w:rsidRDefault="00B639B6" w:rsidP="006B69DC">
      <w:pPr>
        <w:pStyle w:val="SingleTxtG"/>
        <w:ind w:left="2268" w:hanging="1134"/>
        <w:rPr>
          <w:b/>
          <w:lang w:val="fr-FR"/>
        </w:rPr>
      </w:pPr>
      <w:r w:rsidRPr="005F7EB4">
        <w:rPr>
          <w:b/>
          <w:lang w:val="fr-FR"/>
        </w:rPr>
        <w:tab/>
        <w:t>Toutes les parties du dispositif doivent demeurer en place et fonctionner correctement après l</w:t>
      </w:r>
      <w:r w:rsidR="000D1719">
        <w:rPr>
          <w:b/>
          <w:lang w:val="fr-FR"/>
        </w:rPr>
        <w:t>’</w:t>
      </w:r>
      <w:r w:rsidRPr="005F7EB4">
        <w:rPr>
          <w:b/>
          <w:lang w:val="fr-FR"/>
        </w:rPr>
        <w:t>essai.</w:t>
      </w:r>
    </w:p>
    <w:p w:rsidR="00B639B6" w:rsidRPr="005F7EB4" w:rsidRDefault="00B639B6" w:rsidP="0036467B">
      <w:pPr>
        <w:pStyle w:val="SingleTxtG"/>
        <w:spacing w:after="480"/>
        <w:ind w:left="2268" w:hanging="1134"/>
        <w:rPr>
          <w:b/>
          <w:lang w:val="fr-FR"/>
        </w:rPr>
      </w:pPr>
      <w:r w:rsidRPr="005F7EB4">
        <w:rPr>
          <w:b/>
          <w:lang w:val="fr-FR"/>
        </w:rPr>
        <w:tab/>
        <w:t>Après cet essai, la soupape antiretour doit satisfaire aux prescriptions des essais de surpression conformément au paragraphe 4.</w:t>
      </w:r>
      <w:r w:rsidRPr="005F7EB4">
        <w:rPr>
          <w:lang w:val="fr-FR"/>
        </w:rPr>
        <w:t xml:space="preserve"> ».</w:t>
      </w:r>
    </w:p>
    <w:p w:rsidR="00B639B6" w:rsidRPr="005F7EB4" w:rsidRDefault="00B639B6" w:rsidP="00A405FE">
      <w:pPr>
        <w:pStyle w:val="SingleTxtG"/>
        <w:rPr>
          <w:lang w:val="fr-FR"/>
        </w:rPr>
      </w:pPr>
      <w:r w:rsidRPr="005F7EB4">
        <w:rPr>
          <w:i/>
          <w:lang w:val="fr-FR"/>
        </w:rPr>
        <w:t>Ajouter une nouvelle annexe 18</w:t>
      </w:r>
      <w:r w:rsidRPr="005F7EB4">
        <w:rPr>
          <w:lang w:val="fr-FR"/>
        </w:rPr>
        <w:t>, libellée comme suit :</w:t>
      </w:r>
    </w:p>
    <w:p w:rsidR="00B639B6" w:rsidRPr="005F7EB4" w:rsidRDefault="00B639B6" w:rsidP="00A405FE">
      <w:pPr>
        <w:pStyle w:val="HChG"/>
        <w:rPr>
          <w:bCs/>
          <w:lang w:val="fr-FR"/>
        </w:rPr>
      </w:pPr>
      <w:r w:rsidRPr="005F7EB4">
        <w:rPr>
          <w:lang w:val="fr-FR"/>
        </w:rPr>
        <w:t>« Annexe 18</w:t>
      </w:r>
    </w:p>
    <w:p w:rsidR="00B639B6" w:rsidRPr="005F7EB4" w:rsidRDefault="00B639B6" w:rsidP="00A405FE">
      <w:pPr>
        <w:pStyle w:val="HChG"/>
        <w:rPr>
          <w:lang w:val="fr-FR"/>
        </w:rPr>
      </w:pPr>
      <w:r w:rsidRPr="005F7EB4">
        <w:rPr>
          <w:lang w:val="fr-FR"/>
        </w:rPr>
        <w:tab/>
      </w:r>
      <w:r w:rsidRPr="005F7EB4">
        <w:rPr>
          <w:lang w:val="fr-FR"/>
        </w:rPr>
        <w:tab/>
        <w:t xml:space="preserve">Dispositions relatives à la compatibilité des </w:t>
      </w:r>
      <w:r w:rsidRPr="00B639B6">
        <w:rPr>
          <w:lang w:val="fr-FR"/>
        </w:rPr>
        <w:t>organes</w:t>
      </w:r>
      <w:r w:rsidRPr="005F7EB4">
        <w:rPr>
          <w:lang w:val="fr-FR"/>
        </w:rPr>
        <w:t xml:space="preserve"> et parties métalliques et non métalliques avec l</w:t>
      </w:r>
      <w:r w:rsidR="000D1719">
        <w:rPr>
          <w:lang w:val="fr-FR"/>
        </w:rPr>
        <w:t>’</w:t>
      </w:r>
      <w:r w:rsidRPr="005F7EB4">
        <w:rPr>
          <w:lang w:val="fr-FR"/>
        </w:rPr>
        <w:t>essence</w:t>
      </w:r>
    </w:p>
    <w:p w:rsidR="003F460E" w:rsidRPr="003F460E"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lang w:val="fr-FR"/>
        </w:rPr>
      </w:pPr>
      <w:r w:rsidRPr="003F460E">
        <w:rPr>
          <w:b/>
          <w:lang w:val="fr-FR"/>
        </w:rPr>
        <w:t>1.</w:t>
      </w:r>
      <w:r w:rsidRPr="003F460E">
        <w:rPr>
          <w:b/>
          <w:lang w:val="fr-FR"/>
        </w:rPr>
        <w:tab/>
      </w:r>
      <w:r w:rsidRPr="00C50206">
        <w:rPr>
          <w:rFonts w:eastAsia="Times New Roman"/>
          <w:b/>
        </w:rPr>
        <w:t>Prescriptions</w:t>
      </w:r>
      <w:r w:rsidRPr="003F460E">
        <w:rPr>
          <w:b/>
          <w:lang w:val="fr-FR"/>
        </w:rPr>
        <w:t xml:space="preserve"> applicables aux organes et parties métalliques et non métalliques</w:t>
      </w:r>
    </w:p>
    <w:p w:rsidR="00B639B6" w:rsidRPr="005F7EB4"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lang w:val="fr-FR"/>
        </w:rPr>
      </w:pPr>
      <w:r w:rsidRPr="005F7EB4">
        <w:rPr>
          <w:b/>
          <w:lang w:val="fr-FR"/>
        </w:rPr>
        <w:t>1.1</w:t>
      </w:r>
      <w:r w:rsidRPr="005F7EB4">
        <w:rPr>
          <w:b/>
          <w:lang w:val="fr-FR"/>
        </w:rPr>
        <w:tab/>
        <w:t xml:space="preserve">Les </w:t>
      </w:r>
      <w:r w:rsidRPr="00B639B6">
        <w:rPr>
          <w:b/>
          <w:lang w:val="fr-FR"/>
        </w:rPr>
        <w:t>organes</w:t>
      </w:r>
      <w:r w:rsidRPr="005F7EB4">
        <w:rPr>
          <w:b/>
          <w:lang w:val="fr-FR"/>
        </w:rPr>
        <w:t xml:space="preserve"> ou parties non métalliques susceptibles d</w:t>
      </w:r>
      <w:r w:rsidR="000D1719">
        <w:rPr>
          <w:b/>
          <w:lang w:val="fr-FR"/>
        </w:rPr>
        <w:t>’</w:t>
      </w:r>
      <w:r w:rsidRPr="005F7EB4">
        <w:rPr>
          <w:b/>
          <w:lang w:val="fr-FR"/>
        </w:rPr>
        <w:t>entrer en contact avec de l</w:t>
      </w:r>
      <w:r w:rsidR="000D1719">
        <w:rPr>
          <w:b/>
          <w:lang w:val="fr-FR"/>
        </w:rPr>
        <w:t>’</w:t>
      </w:r>
      <w:r w:rsidRPr="005F7EB4">
        <w:rPr>
          <w:b/>
          <w:lang w:val="fr-FR"/>
        </w:rPr>
        <w:t>essence ne doivent pas présenter, lorsque cela est le cas, un changement excessif de volume ou une perte de poids excessive.</w:t>
      </w:r>
    </w:p>
    <w:p w:rsidR="00B639B6" w:rsidRPr="005F7EB4" w:rsidRDefault="003F460E"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Pr>
          <w:b/>
          <w:lang w:val="fr-FR"/>
        </w:rPr>
        <w:tab/>
      </w:r>
      <w:r w:rsidR="00B639B6" w:rsidRPr="005F7EB4">
        <w:rPr>
          <w:b/>
          <w:lang w:val="fr-FR"/>
        </w:rPr>
        <w:t>La résistance à l</w:t>
      </w:r>
      <w:r w:rsidR="000D1719">
        <w:rPr>
          <w:b/>
          <w:lang w:val="fr-FR"/>
        </w:rPr>
        <w:t>’</w:t>
      </w:r>
      <w:r w:rsidR="00B639B6" w:rsidRPr="005F7EB4">
        <w:rPr>
          <w:b/>
          <w:lang w:val="fr-FR"/>
        </w:rPr>
        <w:t>essence doit être déterminée selon la norme ISO 1817 dans les conditions suivantes :</w:t>
      </w:r>
    </w:p>
    <w:p w:rsidR="00B639B6" w:rsidRPr="003F460E" w:rsidRDefault="003F460E" w:rsidP="003F460E">
      <w:pPr>
        <w:tabs>
          <w:tab w:val="left" w:pos="2268"/>
          <w:tab w:val="left" w:pos="8505"/>
        </w:tabs>
        <w:kinsoku/>
        <w:overflowPunct/>
        <w:autoSpaceDE/>
        <w:autoSpaceDN/>
        <w:adjustRightInd/>
        <w:snapToGrid/>
        <w:spacing w:before="120" w:after="120" w:line="240" w:lineRule="auto"/>
        <w:ind w:left="2835" w:right="1134" w:hanging="1701"/>
        <w:jc w:val="both"/>
        <w:rPr>
          <w:rFonts w:eastAsia="Times New Roman"/>
          <w:b/>
          <w:bCs/>
        </w:rPr>
      </w:pPr>
      <w:r>
        <w:rPr>
          <w:b/>
          <w:bCs/>
          <w:lang w:val="fr-FR"/>
        </w:rPr>
        <w:tab/>
        <w:t>a)</w:t>
      </w:r>
      <w:r>
        <w:rPr>
          <w:b/>
          <w:bCs/>
          <w:lang w:val="fr-FR"/>
        </w:rPr>
        <w:tab/>
      </w:r>
      <w:r w:rsidR="00B639B6" w:rsidRPr="005F7EB4">
        <w:rPr>
          <w:b/>
          <w:lang w:val="fr-FR"/>
        </w:rPr>
        <w:t>Milieu : essence (E10) conforme aux prescriptions de l</w:t>
      </w:r>
      <w:r w:rsidR="000D1719">
        <w:rPr>
          <w:b/>
          <w:lang w:val="fr-FR"/>
        </w:rPr>
        <w:t>’</w:t>
      </w:r>
      <w:r w:rsidR="004B5830">
        <w:rPr>
          <w:b/>
          <w:lang w:val="fr-FR"/>
        </w:rPr>
        <w:t xml:space="preserve">annexe 10 du Règlement </w:t>
      </w:r>
      <w:r w:rsidR="004B5830" w:rsidRPr="004B5830">
        <w:rPr>
          <w:rFonts w:eastAsia="MS Mincho"/>
          <w:b/>
          <w:lang w:val="fr-FR"/>
        </w:rPr>
        <w:t>n</w:t>
      </w:r>
      <w:r w:rsidR="004B5830" w:rsidRPr="004B5830">
        <w:rPr>
          <w:rFonts w:eastAsia="MS Mincho"/>
          <w:b/>
          <w:vertAlign w:val="superscript"/>
          <w:lang w:val="fr-FR"/>
        </w:rPr>
        <w:t>o</w:t>
      </w:r>
      <w:r w:rsidR="004B5830">
        <w:rPr>
          <w:b/>
          <w:lang w:val="fr-FR"/>
        </w:rPr>
        <w:t> </w:t>
      </w:r>
      <w:r w:rsidR="00B639B6" w:rsidRPr="005F7EB4">
        <w:rPr>
          <w:b/>
          <w:lang w:val="fr-FR"/>
        </w:rPr>
        <w:t>83 ;</w:t>
      </w:r>
    </w:p>
    <w:p w:rsidR="00B639B6" w:rsidRPr="005F7EB4" w:rsidRDefault="003F460E" w:rsidP="003F460E">
      <w:pPr>
        <w:tabs>
          <w:tab w:val="left" w:pos="2268"/>
          <w:tab w:val="left" w:pos="8505"/>
        </w:tabs>
        <w:kinsoku/>
        <w:overflowPunct/>
        <w:autoSpaceDE/>
        <w:autoSpaceDN/>
        <w:adjustRightInd/>
        <w:snapToGrid/>
        <w:spacing w:before="120" w:after="120" w:line="240" w:lineRule="auto"/>
        <w:ind w:left="2835" w:right="1134" w:hanging="1701"/>
        <w:jc w:val="both"/>
        <w:rPr>
          <w:b/>
          <w:bCs/>
          <w:lang w:val="fr-FR"/>
        </w:rPr>
      </w:pPr>
      <w:r>
        <w:rPr>
          <w:b/>
          <w:bCs/>
          <w:lang w:val="fr-FR"/>
        </w:rPr>
        <w:tab/>
      </w:r>
      <w:r w:rsidR="00B639B6" w:rsidRPr="005F7EB4">
        <w:rPr>
          <w:b/>
          <w:bCs/>
          <w:lang w:val="fr-FR"/>
        </w:rPr>
        <w:t>b)</w:t>
      </w:r>
      <w:r w:rsidR="00B639B6" w:rsidRPr="005F7EB4">
        <w:rPr>
          <w:b/>
          <w:bCs/>
          <w:lang w:val="fr-FR"/>
        </w:rPr>
        <w:tab/>
      </w:r>
      <w:r w:rsidR="00B639B6" w:rsidRPr="005F7EB4">
        <w:rPr>
          <w:b/>
          <w:lang w:val="fr-FR"/>
        </w:rPr>
        <w:t>Température : 23 °C (tolérance selon la norme ISO 1817) ;</w:t>
      </w:r>
    </w:p>
    <w:p w:rsidR="00B639B6" w:rsidRPr="005F7EB4" w:rsidRDefault="003F460E" w:rsidP="003F460E">
      <w:pPr>
        <w:tabs>
          <w:tab w:val="left" w:pos="2268"/>
          <w:tab w:val="left" w:pos="8505"/>
        </w:tabs>
        <w:kinsoku/>
        <w:overflowPunct/>
        <w:autoSpaceDE/>
        <w:autoSpaceDN/>
        <w:adjustRightInd/>
        <w:snapToGrid/>
        <w:spacing w:before="120" w:after="120" w:line="240" w:lineRule="auto"/>
        <w:ind w:left="2835" w:right="1134" w:hanging="1701"/>
        <w:jc w:val="both"/>
        <w:rPr>
          <w:b/>
          <w:bCs/>
          <w:lang w:val="fr-FR"/>
        </w:rPr>
      </w:pPr>
      <w:r>
        <w:rPr>
          <w:b/>
          <w:bCs/>
          <w:lang w:val="fr-FR"/>
        </w:rPr>
        <w:tab/>
      </w:r>
      <w:r w:rsidR="00B639B6" w:rsidRPr="005F7EB4">
        <w:rPr>
          <w:b/>
          <w:bCs/>
          <w:lang w:val="fr-FR"/>
        </w:rPr>
        <w:t>c)</w:t>
      </w:r>
      <w:r w:rsidR="00B639B6" w:rsidRPr="005F7EB4">
        <w:rPr>
          <w:b/>
          <w:bCs/>
          <w:lang w:val="fr-FR"/>
        </w:rPr>
        <w:tab/>
      </w:r>
      <w:r w:rsidR="00B639B6" w:rsidRPr="00C50206">
        <w:rPr>
          <w:rFonts w:eastAsia="Times New Roman"/>
          <w:b/>
        </w:rPr>
        <w:t>Durée</w:t>
      </w:r>
      <w:r w:rsidR="00B639B6" w:rsidRPr="005F7EB4">
        <w:rPr>
          <w:b/>
          <w:lang w:val="fr-FR"/>
        </w:rPr>
        <w:t xml:space="preserve"> d</w:t>
      </w:r>
      <w:r w:rsidR="000D1719">
        <w:rPr>
          <w:b/>
          <w:lang w:val="fr-FR"/>
        </w:rPr>
        <w:t>’</w:t>
      </w:r>
      <w:r w:rsidR="00B639B6" w:rsidRPr="005F7EB4">
        <w:rPr>
          <w:b/>
          <w:lang w:val="fr-FR"/>
        </w:rPr>
        <w:t>immersion : 72 h.</w:t>
      </w:r>
    </w:p>
    <w:p w:rsidR="00B639B6" w:rsidRPr="005F7EB4"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sidRPr="005F7EB4">
        <w:rPr>
          <w:b/>
          <w:bCs/>
          <w:lang w:val="fr-FR"/>
        </w:rPr>
        <w:t>1.1.1</w:t>
      </w:r>
      <w:r w:rsidRPr="005F7EB4">
        <w:rPr>
          <w:b/>
          <w:bCs/>
          <w:lang w:val="fr-FR"/>
        </w:rPr>
        <w:tab/>
        <w:t xml:space="preserve">Prescriptions applicables aux </w:t>
      </w:r>
      <w:r w:rsidRPr="00B639B6">
        <w:rPr>
          <w:b/>
          <w:lang w:val="fr-FR"/>
        </w:rPr>
        <w:t xml:space="preserve">organes </w:t>
      </w:r>
      <w:r w:rsidRPr="005F7EB4">
        <w:rPr>
          <w:b/>
          <w:bCs/>
          <w:lang w:val="fr-FR"/>
        </w:rPr>
        <w:t>et parties non métalliques :</w:t>
      </w:r>
    </w:p>
    <w:p w:rsidR="00B639B6" w:rsidRPr="005F7EB4"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sidRPr="005F7EB4">
        <w:rPr>
          <w:b/>
          <w:bCs/>
          <w:lang w:val="fr-FR"/>
        </w:rPr>
        <w:tab/>
      </w:r>
      <w:r w:rsidRPr="005F7EB4">
        <w:rPr>
          <w:b/>
          <w:lang w:val="fr-FR"/>
        </w:rPr>
        <w:t>Changement maximal de volume : 20 % ;</w:t>
      </w:r>
    </w:p>
    <w:p w:rsidR="00B639B6" w:rsidRPr="005F7EB4"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sidRPr="005F7EB4">
        <w:rPr>
          <w:b/>
          <w:bCs/>
          <w:lang w:val="fr-FR"/>
        </w:rPr>
        <w:tab/>
      </w:r>
      <w:r w:rsidRPr="005F7EB4">
        <w:rPr>
          <w:b/>
          <w:lang w:val="fr-FR"/>
        </w:rPr>
        <w:t>Après exposition à l</w:t>
      </w:r>
      <w:r w:rsidR="000D1719">
        <w:rPr>
          <w:b/>
          <w:lang w:val="fr-FR"/>
        </w:rPr>
        <w:t>’</w:t>
      </w:r>
      <w:r w:rsidRPr="005F7EB4">
        <w:rPr>
          <w:b/>
          <w:lang w:val="fr-FR"/>
        </w:rPr>
        <w:t>air à 40 °C pendant 48 h, la masse ne doit pas avoir diminué de plus de 5 % par rapport à la masse initiale.</w:t>
      </w:r>
    </w:p>
    <w:p w:rsidR="00B639B6" w:rsidRPr="005F7EB4" w:rsidRDefault="00B639B6" w:rsidP="0036467B">
      <w:pPr>
        <w:tabs>
          <w:tab w:val="left" w:pos="2835"/>
          <w:tab w:val="left" w:pos="8505"/>
        </w:tabs>
        <w:kinsoku/>
        <w:overflowPunct/>
        <w:autoSpaceDE/>
        <w:autoSpaceDN/>
        <w:adjustRightInd/>
        <w:snapToGrid/>
        <w:spacing w:before="120" w:after="480" w:line="240" w:lineRule="auto"/>
        <w:ind w:left="2268" w:right="1134" w:hanging="1134"/>
        <w:jc w:val="both"/>
        <w:rPr>
          <w:lang w:val="fr-FR"/>
        </w:rPr>
      </w:pPr>
      <w:r w:rsidRPr="005F7EB4">
        <w:rPr>
          <w:b/>
          <w:bCs/>
          <w:lang w:val="fr-FR"/>
        </w:rPr>
        <w:t>1.3</w:t>
      </w:r>
      <w:r w:rsidRPr="00B639B6">
        <w:rPr>
          <w:b/>
          <w:lang w:val="fr-FR"/>
        </w:rPr>
        <w:tab/>
      </w:r>
      <w:r w:rsidRPr="005F7EB4">
        <w:rPr>
          <w:b/>
          <w:lang w:val="fr-FR"/>
        </w:rPr>
        <w:t xml:space="preserve">Les </w:t>
      </w:r>
      <w:r w:rsidRPr="00B639B6">
        <w:rPr>
          <w:b/>
          <w:lang w:val="fr-FR"/>
        </w:rPr>
        <w:t>organes</w:t>
      </w:r>
      <w:r w:rsidRPr="005F7EB4">
        <w:rPr>
          <w:b/>
          <w:lang w:val="fr-FR"/>
        </w:rPr>
        <w:t xml:space="preserve"> ou parties métalliques susceptibles d</w:t>
      </w:r>
      <w:r w:rsidR="000D1719">
        <w:rPr>
          <w:b/>
          <w:lang w:val="fr-FR"/>
        </w:rPr>
        <w:t>’</w:t>
      </w:r>
      <w:r w:rsidRPr="005F7EB4">
        <w:rPr>
          <w:b/>
          <w:lang w:val="fr-FR"/>
        </w:rPr>
        <w:t>entrer en contact avec de l</w:t>
      </w:r>
      <w:r w:rsidR="000D1719">
        <w:rPr>
          <w:b/>
          <w:lang w:val="fr-FR"/>
        </w:rPr>
        <w:t>’</w:t>
      </w:r>
      <w:r w:rsidRPr="005F7EB4">
        <w:rPr>
          <w:b/>
          <w:lang w:val="fr-FR"/>
        </w:rPr>
        <w:t>essence doivent avoir une résistance permanente à l</w:t>
      </w:r>
      <w:r w:rsidR="000D1719">
        <w:rPr>
          <w:b/>
          <w:lang w:val="fr-FR"/>
        </w:rPr>
        <w:t>’</w:t>
      </w:r>
      <w:r w:rsidR="004D3191">
        <w:rPr>
          <w:b/>
          <w:lang w:val="fr-FR"/>
        </w:rPr>
        <w:t>essence. Les </w:t>
      </w:r>
      <w:r w:rsidRPr="005F7EB4">
        <w:rPr>
          <w:b/>
          <w:lang w:val="fr-FR"/>
        </w:rPr>
        <w:t>parties métalliques doivent être protégées de manière permanente contre la corrosion (revêtement, fini de surface, combinaison de matériaux) et satisfaire aux prescriptions du paragraphe 12 de l</w:t>
      </w:r>
      <w:r w:rsidR="000D1719">
        <w:rPr>
          <w:b/>
          <w:lang w:val="fr-FR"/>
        </w:rPr>
        <w:t>’</w:t>
      </w:r>
      <w:r w:rsidR="0036467B">
        <w:rPr>
          <w:b/>
          <w:lang w:val="fr-FR"/>
        </w:rPr>
        <w:t>annexe </w:t>
      </w:r>
      <w:r w:rsidRPr="005F7EB4">
        <w:rPr>
          <w:b/>
          <w:lang w:val="fr-FR"/>
        </w:rPr>
        <w:t>15. </w:t>
      </w:r>
      <w:r w:rsidRPr="009A1038">
        <w:rPr>
          <w:lang w:val="fr-FR"/>
        </w:rPr>
        <w:t>».</w:t>
      </w:r>
    </w:p>
    <w:p w:rsidR="00B639B6" w:rsidRPr="005F7EB4" w:rsidRDefault="00B639B6" w:rsidP="003F460E">
      <w:pPr>
        <w:pStyle w:val="SingleTxtG"/>
        <w:rPr>
          <w:lang w:val="fr-FR"/>
        </w:rPr>
      </w:pPr>
      <w:r w:rsidRPr="005F7EB4">
        <w:rPr>
          <w:i/>
          <w:lang w:val="fr-FR"/>
        </w:rPr>
        <w:t>Ajouter une nouvelle annexe 19</w:t>
      </w:r>
      <w:r w:rsidRPr="005F7EB4">
        <w:rPr>
          <w:lang w:val="fr-FR"/>
        </w:rPr>
        <w:t>, libellée comme suit :</w:t>
      </w:r>
    </w:p>
    <w:p w:rsidR="00B639B6" w:rsidRPr="005F7EB4" w:rsidRDefault="00B639B6" w:rsidP="003F460E">
      <w:pPr>
        <w:pStyle w:val="HChG"/>
        <w:rPr>
          <w:bCs/>
          <w:lang w:val="fr-FR"/>
        </w:rPr>
      </w:pPr>
      <w:r w:rsidRPr="009D02CE">
        <w:rPr>
          <w:b w:val="0"/>
          <w:lang w:val="fr-FR"/>
        </w:rPr>
        <w:t>«</w:t>
      </w:r>
      <w:r w:rsidRPr="005F7EB4">
        <w:rPr>
          <w:lang w:val="fr-FR"/>
        </w:rPr>
        <w:t> Annexe 19</w:t>
      </w:r>
    </w:p>
    <w:p w:rsidR="00B639B6" w:rsidRPr="005F7EB4" w:rsidRDefault="00B639B6" w:rsidP="003F460E">
      <w:pPr>
        <w:pStyle w:val="HChG"/>
        <w:rPr>
          <w:bCs/>
          <w:lang w:val="fr-FR"/>
        </w:rPr>
      </w:pPr>
      <w:r w:rsidRPr="005F7EB4">
        <w:rPr>
          <w:bCs/>
          <w:lang w:val="fr-FR"/>
        </w:rPr>
        <w:tab/>
      </w:r>
      <w:r w:rsidRPr="005F7EB4">
        <w:rPr>
          <w:bCs/>
          <w:lang w:val="fr-FR"/>
        </w:rPr>
        <w:tab/>
      </w:r>
      <w:r w:rsidRPr="005F7EB4">
        <w:rPr>
          <w:lang w:val="fr-FR" w:eastAsia="ar-SA"/>
        </w:rPr>
        <w:t>Dispositions relatives aux équipements GPL interconnectés </w:t>
      </w:r>
    </w:p>
    <w:p w:rsidR="00B639B6" w:rsidRPr="005F7EB4"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sidRPr="005F7EB4">
        <w:rPr>
          <w:b/>
          <w:bCs/>
          <w:lang w:val="fr-FR"/>
        </w:rPr>
        <w:t>1</w:t>
      </w:r>
      <w:r>
        <w:rPr>
          <w:b/>
          <w:bCs/>
          <w:lang w:val="fr-FR"/>
        </w:rPr>
        <w:t>.</w:t>
      </w:r>
      <w:r w:rsidRPr="005F7EB4">
        <w:rPr>
          <w:b/>
          <w:bCs/>
          <w:lang w:val="fr-FR"/>
        </w:rPr>
        <w:tab/>
        <w:t>Documentation</w:t>
      </w:r>
    </w:p>
    <w:p w:rsidR="00B639B6" w:rsidRPr="005F7EB4"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sidRPr="005F7EB4">
        <w:rPr>
          <w:b/>
          <w:bCs/>
          <w:lang w:val="fr-FR"/>
        </w:rPr>
        <w:t>1.1</w:t>
      </w:r>
      <w:r w:rsidRPr="005F7EB4">
        <w:rPr>
          <w:b/>
          <w:bCs/>
          <w:lang w:val="fr-FR"/>
        </w:rPr>
        <w:tab/>
      </w:r>
      <w:r w:rsidRPr="005F7EB4">
        <w:rPr>
          <w:b/>
          <w:lang w:val="fr-FR"/>
        </w:rPr>
        <w:t>La documentation suivante sera communiquée à l</w:t>
      </w:r>
      <w:r w:rsidR="000D1719">
        <w:rPr>
          <w:b/>
          <w:lang w:val="fr-FR"/>
        </w:rPr>
        <w:t>’</w:t>
      </w:r>
      <w:r w:rsidRPr="005F7EB4">
        <w:rPr>
          <w:b/>
          <w:lang w:val="fr-FR"/>
        </w:rPr>
        <w:t>autorité d</w:t>
      </w:r>
      <w:r w:rsidR="000D1719">
        <w:rPr>
          <w:b/>
          <w:lang w:val="fr-FR"/>
        </w:rPr>
        <w:t>’</w:t>
      </w:r>
      <w:r w:rsidRPr="005F7EB4">
        <w:rPr>
          <w:b/>
          <w:lang w:val="fr-FR"/>
        </w:rPr>
        <w:t>homologation d</w:t>
      </w:r>
      <w:r w:rsidR="003F460E">
        <w:rPr>
          <w:b/>
          <w:lang w:val="fr-FR"/>
        </w:rPr>
        <w:t>e type et au service technique :</w:t>
      </w:r>
    </w:p>
    <w:p w:rsidR="00B639B6" w:rsidRPr="005F7EB4" w:rsidRDefault="00B639B6" w:rsidP="003F460E">
      <w:pPr>
        <w:tabs>
          <w:tab w:val="left" w:pos="2268"/>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a)</w:t>
      </w:r>
      <w:r w:rsidRPr="005F7EB4">
        <w:rPr>
          <w:b/>
          <w:bCs/>
          <w:lang w:val="fr-FR"/>
        </w:rPr>
        <w:tab/>
      </w:r>
      <w:r w:rsidRPr="005F7EB4">
        <w:rPr>
          <w:b/>
          <w:lang w:val="fr-FR"/>
        </w:rPr>
        <w:t>Une liste de toutes les parties de l</w:t>
      </w:r>
      <w:r w:rsidR="000D1719">
        <w:rPr>
          <w:b/>
          <w:lang w:val="fr-FR"/>
        </w:rPr>
        <w:t>’</w:t>
      </w:r>
      <w:r w:rsidRPr="005F7EB4">
        <w:rPr>
          <w:b/>
          <w:lang w:val="fr-FR"/>
        </w:rPr>
        <w:t>équipement spécifique mentionné au paragraphe 2.2 du présent Règlement, y compris la documentation d</w:t>
      </w:r>
      <w:r w:rsidR="000D1719">
        <w:rPr>
          <w:b/>
          <w:lang w:val="fr-FR"/>
        </w:rPr>
        <w:t>’</w:t>
      </w:r>
      <w:r w:rsidRPr="005F7EB4">
        <w:rPr>
          <w:b/>
          <w:lang w:val="fr-FR"/>
        </w:rPr>
        <w:t>homologation</w:t>
      </w:r>
      <w:r>
        <w:rPr>
          <w:b/>
          <w:lang w:val="fr-FR"/>
        </w:rPr>
        <w:t>, qui font partie d</w:t>
      </w:r>
      <w:r w:rsidR="000D1719">
        <w:rPr>
          <w:b/>
          <w:lang w:val="fr-FR"/>
        </w:rPr>
        <w:t>’</w:t>
      </w:r>
      <w:r>
        <w:rPr>
          <w:b/>
          <w:lang w:val="fr-FR"/>
        </w:rPr>
        <w:t>un « </w:t>
      </w:r>
      <w:r w:rsidRPr="005F7EB4">
        <w:rPr>
          <w:b/>
          <w:lang w:val="fr-FR"/>
        </w:rPr>
        <w:t xml:space="preserve">bloc </w:t>
      </w:r>
      <w:r w:rsidRPr="00B639B6">
        <w:rPr>
          <w:b/>
          <w:lang w:val="fr-FR"/>
        </w:rPr>
        <w:t>multiorganes</w:t>
      </w:r>
      <w:r>
        <w:rPr>
          <w:b/>
          <w:lang w:val="fr-FR"/>
        </w:rPr>
        <w:t> »</w:t>
      </w:r>
      <w:r w:rsidRPr="005F7EB4">
        <w:rPr>
          <w:b/>
          <w:lang w:val="fr-FR"/>
        </w:rPr>
        <w:t>, comme défini au paragraphe 2.23 du présent Règlement, s</w:t>
      </w:r>
      <w:r w:rsidR="000D1719">
        <w:rPr>
          <w:b/>
          <w:lang w:val="fr-FR"/>
        </w:rPr>
        <w:t>’</w:t>
      </w:r>
      <w:r w:rsidRPr="005F7EB4">
        <w:rPr>
          <w:b/>
          <w:lang w:val="fr-FR"/>
        </w:rPr>
        <w:t>il existe dans le système ;</w:t>
      </w:r>
    </w:p>
    <w:p w:rsidR="00B639B6" w:rsidRPr="005F7EB4" w:rsidRDefault="00B639B6" w:rsidP="003F460E">
      <w:pPr>
        <w:tabs>
          <w:tab w:val="left" w:pos="2268"/>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b)</w:t>
      </w:r>
      <w:r w:rsidRPr="005F7EB4">
        <w:rPr>
          <w:b/>
          <w:bCs/>
          <w:lang w:val="fr-FR"/>
        </w:rPr>
        <w:tab/>
      </w:r>
      <w:r w:rsidRPr="005F7EB4">
        <w:rPr>
          <w:b/>
          <w:lang w:val="fr-FR"/>
        </w:rPr>
        <w:t xml:space="preserve">La description </w:t>
      </w:r>
      <w:r w:rsidRPr="00B639B6">
        <w:rPr>
          <w:b/>
          <w:lang w:val="fr-FR"/>
        </w:rPr>
        <w:t>des moyens permettant</w:t>
      </w:r>
      <w:r w:rsidRPr="003F460E">
        <w:rPr>
          <w:b/>
          <w:lang w:val="fr-FR"/>
        </w:rPr>
        <w:t xml:space="preserve"> d</w:t>
      </w:r>
      <w:r w:rsidR="000D1719">
        <w:rPr>
          <w:b/>
          <w:lang w:val="fr-FR"/>
        </w:rPr>
        <w:t>’</w:t>
      </w:r>
      <w:r w:rsidRPr="005F7EB4">
        <w:rPr>
          <w:b/>
          <w:lang w:val="fr-FR"/>
        </w:rPr>
        <w:t>assurer le respect des prescriptions énoncées au paragraphe 17.13.2.3 du présent Règlement, y compris tous les équipements, les paramètres surveillés, les facteurs pertinents et les critères et mesures appliqués ;</w:t>
      </w:r>
    </w:p>
    <w:p w:rsidR="00B639B6" w:rsidRPr="005F7EB4" w:rsidRDefault="00B639B6" w:rsidP="003F460E">
      <w:pPr>
        <w:tabs>
          <w:tab w:val="left" w:pos="2268"/>
          <w:tab w:val="left" w:pos="8505"/>
        </w:tabs>
        <w:kinsoku/>
        <w:overflowPunct/>
        <w:autoSpaceDE/>
        <w:autoSpaceDN/>
        <w:adjustRightInd/>
        <w:snapToGrid/>
        <w:spacing w:before="120" w:after="120" w:line="240" w:lineRule="auto"/>
        <w:ind w:left="2835" w:right="1134" w:hanging="1701"/>
        <w:jc w:val="both"/>
        <w:rPr>
          <w:b/>
          <w:bCs/>
          <w:lang w:val="fr-FR"/>
        </w:rPr>
      </w:pPr>
      <w:r w:rsidRPr="005F7EB4">
        <w:rPr>
          <w:b/>
          <w:bCs/>
          <w:lang w:val="fr-FR"/>
        </w:rPr>
        <w:tab/>
        <w:t>c)</w:t>
      </w:r>
      <w:r w:rsidRPr="005F7EB4">
        <w:rPr>
          <w:b/>
          <w:bCs/>
          <w:lang w:val="fr-FR"/>
        </w:rPr>
        <w:tab/>
      </w:r>
      <w:r w:rsidRPr="005F7EB4">
        <w:rPr>
          <w:b/>
          <w:lang w:val="fr-FR"/>
        </w:rPr>
        <w:t>Un diagramme de décision présentant les stratégies utilisées pour satisfaire aux prescriptions énoncées au paragraphe 17.13.2.3 du présent Règlement.</w:t>
      </w:r>
    </w:p>
    <w:p w:rsidR="00B639B6" w:rsidRPr="005F7EB4"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sidRPr="005F7EB4">
        <w:rPr>
          <w:b/>
          <w:bCs/>
          <w:lang w:val="fr-FR"/>
        </w:rPr>
        <w:t>2</w:t>
      </w:r>
      <w:r w:rsidRPr="005F7EB4">
        <w:rPr>
          <w:b/>
          <w:bCs/>
          <w:lang w:val="fr-FR"/>
        </w:rPr>
        <w:tab/>
        <w:t>Procédures d</w:t>
      </w:r>
      <w:r w:rsidR="000D1719">
        <w:rPr>
          <w:b/>
          <w:bCs/>
          <w:lang w:val="fr-FR"/>
        </w:rPr>
        <w:t>’</w:t>
      </w:r>
      <w:r w:rsidRPr="005F7EB4">
        <w:rPr>
          <w:b/>
          <w:bCs/>
          <w:lang w:val="fr-FR"/>
        </w:rPr>
        <w:t>essai</w:t>
      </w:r>
    </w:p>
    <w:p w:rsidR="003F460E"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lang w:val="fr-FR"/>
        </w:rPr>
      </w:pPr>
      <w:r w:rsidRPr="005F7EB4">
        <w:rPr>
          <w:b/>
          <w:bCs/>
          <w:lang w:val="fr-FR"/>
        </w:rPr>
        <w:t>2.1</w:t>
      </w:r>
      <w:r w:rsidRPr="005F7EB4">
        <w:rPr>
          <w:b/>
          <w:bCs/>
          <w:lang w:val="fr-FR"/>
        </w:rPr>
        <w:tab/>
      </w:r>
      <w:r w:rsidRPr="005F7EB4">
        <w:rPr>
          <w:b/>
          <w:lang w:val="fr-FR"/>
        </w:rPr>
        <w:t>Afin de vérifier le respect des prescriptions du paragraphe 17.13.2.3 du présent Règlement, un véhicule doit être soumis à l</w:t>
      </w:r>
      <w:r w:rsidR="000D1719">
        <w:rPr>
          <w:b/>
          <w:lang w:val="fr-FR"/>
        </w:rPr>
        <w:t>’</w:t>
      </w:r>
      <w:r w:rsidRPr="005F7EB4">
        <w:rPr>
          <w:b/>
          <w:lang w:val="fr-FR"/>
        </w:rPr>
        <w:t>essai suivant :</w:t>
      </w:r>
    </w:p>
    <w:p w:rsidR="00B639B6" w:rsidRPr="005F7EB4"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sidRPr="005F7EB4">
        <w:rPr>
          <w:b/>
          <w:bCs/>
          <w:lang w:val="fr-FR"/>
        </w:rPr>
        <w:tab/>
        <w:t>Procédure d</w:t>
      </w:r>
      <w:r w:rsidR="000D1719">
        <w:rPr>
          <w:b/>
          <w:bCs/>
          <w:lang w:val="fr-FR"/>
        </w:rPr>
        <w:t>’</w:t>
      </w:r>
      <w:r w:rsidRPr="005F7EB4">
        <w:rPr>
          <w:b/>
          <w:bCs/>
          <w:lang w:val="fr-FR"/>
        </w:rPr>
        <w:t>essai</w:t>
      </w:r>
    </w:p>
    <w:p w:rsidR="00B639B6" w:rsidRPr="003F460E" w:rsidRDefault="00B639B6" w:rsidP="003F460E">
      <w:pPr>
        <w:tabs>
          <w:tab w:val="left" w:pos="2268"/>
          <w:tab w:val="left" w:pos="8505"/>
        </w:tabs>
        <w:kinsoku/>
        <w:overflowPunct/>
        <w:autoSpaceDE/>
        <w:autoSpaceDN/>
        <w:adjustRightInd/>
        <w:snapToGrid/>
        <w:spacing w:before="120" w:after="120" w:line="240" w:lineRule="auto"/>
        <w:ind w:left="2835" w:right="1134" w:hanging="1701"/>
        <w:jc w:val="both"/>
        <w:rPr>
          <w:b/>
          <w:lang w:val="fr-FR"/>
        </w:rPr>
      </w:pPr>
      <w:r w:rsidRPr="005F7EB4">
        <w:rPr>
          <w:b/>
          <w:bCs/>
          <w:lang w:val="fr-FR"/>
        </w:rPr>
        <w:tab/>
        <w:t>a)</w:t>
      </w:r>
      <w:r w:rsidRPr="005F7EB4">
        <w:rPr>
          <w:b/>
          <w:bCs/>
          <w:lang w:val="fr-FR"/>
        </w:rPr>
        <w:tab/>
      </w:r>
      <w:r w:rsidRPr="005F7EB4">
        <w:rPr>
          <w:b/>
          <w:lang w:val="fr-FR"/>
        </w:rPr>
        <w:t>Installer l</w:t>
      </w:r>
      <w:r w:rsidR="000D1719">
        <w:rPr>
          <w:b/>
          <w:lang w:val="fr-FR"/>
        </w:rPr>
        <w:t>’</w:t>
      </w:r>
      <w:r w:rsidRPr="005F7EB4">
        <w:rPr>
          <w:b/>
          <w:lang w:val="fr-FR"/>
        </w:rPr>
        <w:t>équipement GPL sur le véhicule ;</w:t>
      </w:r>
    </w:p>
    <w:p w:rsidR="00B639B6" w:rsidRPr="003F460E" w:rsidRDefault="00B639B6" w:rsidP="003F460E">
      <w:pPr>
        <w:tabs>
          <w:tab w:val="left" w:pos="2268"/>
          <w:tab w:val="left" w:pos="8505"/>
        </w:tabs>
        <w:kinsoku/>
        <w:overflowPunct/>
        <w:autoSpaceDE/>
        <w:autoSpaceDN/>
        <w:adjustRightInd/>
        <w:snapToGrid/>
        <w:spacing w:before="120" w:after="120" w:line="240" w:lineRule="auto"/>
        <w:ind w:left="2835" w:right="1134" w:hanging="1701"/>
        <w:jc w:val="both"/>
        <w:rPr>
          <w:b/>
          <w:lang w:val="fr-FR"/>
        </w:rPr>
      </w:pPr>
      <w:r w:rsidRPr="003F460E">
        <w:rPr>
          <w:b/>
          <w:lang w:val="fr-FR"/>
        </w:rPr>
        <w:tab/>
        <w:t>b)</w:t>
      </w:r>
      <w:r w:rsidRPr="003F460E">
        <w:rPr>
          <w:b/>
          <w:lang w:val="fr-FR"/>
        </w:rPr>
        <w:tab/>
      </w:r>
      <w:r w:rsidRPr="005F7EB4">
        <w:rPr>
          <w:b/>
          <w:lang w:val="fr-FR"/>
        </w:rPr>
        <w:t>Remplir le réservoir à GPL avec au moins 10 l de carburant ;</w:t>
      </w:r>
    </w:p>
    <w:p w:rsidR="00B639B6" w:rsidRPr="003F460E" w:rsidRDefault="00B639B6" w:rsidP="003F460E">
      <w:pPr>
        <w:tabs>
          <w:tab w:val="left" w:pos="2268"/>
          <w:tab w:val="left" w:pos="8505"/>
        </w:tabs>
        <w:kinsoku/>
        <w:overflowPunct/>
        <w:autoSpaceDE/>
        <w:autoSpaceDN/>
        <w:adjustRightInd/>
        <w:snapToGrid/>
        <w:spacing w:before="120" w:after="120" w:line="240" w:lineRule="auto"/>
        <w:ind w:left="2835" w:right="1134" w:hanging="1701"/>
        <w:jc w:val="both"/>
        <w:rPr>
          <w:b/>
          <w:lang w:val="fr-FR"/>
        </w:rPr>
      </w:pPr>
      <w:r w:rsidRPr="003F460E">
        <w:rPr>
          <w:b/>
          <w:lang w:val="fr-FR"/>
        </w:rPr>
        <w:tab/>
        <w:t>c)</w:t>
      </w:r>
      <w:r w:rsidRPr="003F460E">
        <w:rPr>
          <w:b/>
          <w:lang w:val="fr-FR"/>
        </w:rPr>
        <w:tab/>
      </w:r>
      <w:r w:rsidRPr="005F7EB4">
        <w:rPr>
          <w:b/>
          <w:lang w:val="fr-FR"/>
        </w:rPr>
        <w:t>Régler le système de sélection du carburant sur le mode GPL ;</w:t>
      </w:r>
    </w:p>
    <w:p w:rsidR="00B639B6" w:rsidRPr="003F460E" w:rsidRDefault="00B639B6" w:rsidP="003F460E">
      <w:pPr>
        <w:tabs>
          <w:tab w:val="left" w:pos="2268"/>
          <w:tab w:val="left" w:pos="8505"/>
        </w:tabs>
        <w:kinsoku/>
        <w:overflowPunct/>
        <w:autoSpaceDE/>
        <w:autoSpaceDN/>
        <w:adjustRightInd/>
        <w:snapToGrid/>
        <w:spacing w:before="120" w:after="120" w:line="240" w:lineRule="auto"/>
        <w:ind w:left="2835" w:right="1134" w:hanging="1701"/>
        <w:jc w:val="both"/>
        <w:rPr>
          <w:b/>
          <w:lang w:val="fr-FR"/>
        </w:rPr>
      </w:pPr>
      <w:r w:rsidRPr="003F460E">
        <w:rPr>
          <w:b/>
          <w:lang w:val="fr-FR"/>
        </w:rPr>
        <w:tab/>
        <w:t>d)</w:t>
      </w:r>
      <w:r w:rsidRPr="003F460E">
        <w:rPr>
          <w:b/>
          <w:lang w:val="fr-FR"/>
        </w:rPr>
        <w:tab/>
      </w:r>
      <w:r w:rsidRPr="005F7EB4">
        <w:rPr>
          <w:b/>
          <w:lang w:val="fr-FR"/>
        </w:rPr>
        <w:t>Faire tourner le moteur au régime de ralenti le plus bas ;</w:t>
      </w:r>
    </w:p>
    <w:p w:rsidR="00B639B6" w:rsidRPr="003F460E" w:rsidRDefault="00B639B6" w:rsidP="003F460E">
      <w:pPr>
        <w:tabs>
          <w:tab w:val="left" w:pos="2268"/>
          <w:tab w:val="left" w:pos="8505"/>
        </w:tabs>
        <w:kinsoku/>
        <w:overflowPunct/>
        <w:autoSpaceDE/>
        <w:autoSpaceDN/>
        <w:adjustRightInd/>
        <w:snapToGrid/>
        <w:spacing w:before="120" w:after="120" w:line="240" w:lineRule="auto"/>
        <w:ind w:left="2835" w:right="1134" w:hanging="1701"/>
        <w:jc w:val="both"/>
        <w:rPr>
          <w:b/>
          <w:lang w:val="fr-FR"/>
        </w:rPr>
      </w:pPr>
      <w:r w:rsidRPr="003F460E">
        <w:rPr>
          <w:b/>
          <w:lang w:val="fr-FR"/>
        </w:rPr>
        <w:tab/>
        <w:t>e)</w:t>
      </w:r>
      <w:r w:rsidRPr="003F460E">
        <w:rPr>
          <w:b/>
          <w:lang w:val="fr-FR"/>
        </w:rPr>
        <w:tab/>
      </w:r>
      <w:r w:rsidRPr="005F7EB4">
        <w:rPr>
          <w:b/>
          <w:lang w:val="fr-FR"/>
        </w:rPr>
        <w:t>Passer du mode GPL au mode essence et inversement ;</w:t>
      </w:r>
    </w:p>
    <w:p w:rsidR="00B639B6" w:rsidRPr="005F7EB4" w:rsidRDefault="00B639B6" w:rsidP="003F460E">
      <w:pPr>
        <w:tabs>
          <w:tab w:val="left" w:pos="2268"/>
          <w:tab w:val="left" w:pos="8505"/>
        </w:tabs>
        <w:kinsoku/>
        <w:overflowPunct/>
        <w:autoSpaceDE/>
        <w:autoSpaceDN/>
        <w:adjustRightInd/>
        <w:snapToGrid/>
        <w:spacing w:before="120" w:after="120" w:line="240" w:lineRule="auto"/>
        <w:ind w:left="2835" w:right="1134" w:hanging="1701"/>
        <w:jc w:val="both"/>
        <w:rPr>
          <w:b/>
          <w:bCs/>
          <w:lang w:val="fr-FR"/>
        </w:rPr>
      </w:pPr>
      <w:r w:rsidRPr="003F460E">
        <w:rPr>
          <w:b/>
          <w:lang w:val="fr-FR"/>
        </w:rPr>
        <w:tab/>
        <w:t>f)</w:t>
      </w:r>
      <w:r w:rsidRPr="003F460E">
        <w:rPr>
          <w:b/>
          <w:lang w:val="fr-FR"/>
        </w:rPr>
        <w:tab/>
      </w:r>
      <w:r w:rsidRPr="005F7EB4">
        <w:rPr>
          <w:b/>
          <w:lang w:val="fr-FR"/>
        </w:rPr>
        <w:t>Répéter l</w:t>
      </w:r>
      <w:r w:rsidR="000D1719">
        <w:rPr>
          <w:b/>
          <w:lang w:val="fr-FR"/>
        </w:rPr>
        <w:t>’</w:t>
      </w:r>
      <w:r w:rsidRPr="005F7EB4">
        <w:rPr>
          <w:b/>
          <w:lang w:val="fr-FR"/>
        </w:rPr>
        <w:t>action e) jusqu</w:t>
      </w:r>
      <w:r w:rsidR="000D1719">
        <w:rPr>
          <w:b/>
          <w:lang w:val="fr-FR"/>
        </w:rPr>
        <w:t>’</w:t>
      </w:r>
      <w:r w:rsidRPr="005F7EB4">
        <w:rPr>
          <w:b/>
          <w:lang w:val="fr-FR"/>
        </w:rPr>
        <w:t>à ce que la désactivation du mode essence devienne permanente.</w:t>
      </w:r>
    </w:p>
    <w:p w:rsidR="003F460E"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sidRPr="005F7EB4">
        <w:rPr>
          <w:b/>
          <w:bCs/>
          <w:lang w:val="fr-FR"/>
        </w:rPr>
        <w:tab/>
        <w:t>Interprétation de l</w:t>
      </w:r>
      <w:r w:rsidR="000D1719">
        <w:rPr>
          <w:b/>
          <w:bCs/>
          <w:lang w:val="fr-FR"/>
        </w:rPr>
        <w:t>’</w:t>
      </w:r>
      <w:r w:rsidRPr="005F7EB4">
        <w:rPr>
          <w:b/>
          <w:bCs/>
          <w:lang w:val="fr-FR"/>
        </w:rPr>
        <w:t>essai</w:t>
      </w:r>
    </w:p>
    <w:p w:rsidR="003F460E"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lang w:val="fr-FR"/>
        </w:rPr>
      </w:pPr>
      <w:r w:rsidRPr="005F7EB4">
        <w:rPr>
          <w:b/>
          <w:bCs/>
          <w:lang w:val="fr-FR"/>
        </w:rPr>
        <w:tab/>
      </w:r>
      <w:r w:rsidRPr="005F7EB4">
        <w:rPr>
          <w:b/>
          <w:lang w:val="fr-FR"/>
        </w:rPr>
        <w:t>Les critères appliqués pour l</w:t>
      </w:r>
      <w:r w:rsidR="000D1719">
        <w:rPr>
          <w:b/>
          <w:lang w:val="fr-FR"/>
        </w:rPr>
        <w:t>’</w:t>
      </w:r>
      <w:r w:rsidRPr="005F7EB4">
        <w:rPr>
          <w:b/>
          <w:lang w:val="fr-FR"/>
        </w:rPr>
        <w:t>interprétation des résultats de l</w:t>
      </w:r>
      <w:r w:rsidR="000D1719">
        <w:rPr>
          <w:b/>
          <w:lang w:val="fr-FR"/>
        </w:rPr>
        <w:t>’</w:t>
      </w:r>
      <w:r w:rsidRPr="005F7EB4">
        <w:rPr>
          <w:b/>
          <w:lang w:val="fr-FR"/>
        </w:rPr>
        <w:t>essai sont les suivants :</w:t>
      </w:r>
    </w:p>
    <w:p w:rsidR="003F460E" w:rsidRDefault="00B639B6" w:rsidP="003F460E">
      <w:pPr>
        <w:tabs>
          <w:tab w:val="left" w:pos="2835"/>
          <w:tab w:val="left" w:pos="8505"/>
        </w:tabs>
        <w:kinsoku/>
        <w:overflowPunct/>
        <w:autoSpaceDE/>
        <w:autoSpaceDN/>
        <w:adjustRightInd/>
        <w:snapToGrid/>
        <w:spacing w:before="120" w:after="120" w:line="240" w:lineRule="auto"/>
        <w:ind w:left="2835" w:right="1134" w:hanging="1134"/>
        <w:jc w:val="both"/>
        <w:rPr>
          <w:b/>
          <w:bCs/>
          <w:lang w:val="fr-FR"/>
        </w:rPr>
      </w:pPr>
      <w:r>
        <w:rPr>
          <w:b/>
          <w:bCs/>
          <w:lang w:val="fr-FR"/>
        </w:rPr>
        <w:tab/>
        <w:t>Nsw &lt; 0,</w:t>
      </w:r>
      <w:r w:rsidRPr="005F7EB4">
        <w:rPr>
          <w:b/>
          <w:bCs/>
          <w:lang w:val="fr-FR"/>
        </w:rPr>
        <w:t>16 * Vin / Vsw</w:t>
      </w:r>
    </w:p>
    <w:p w:rsidR="003F460E" w:rsidRDefault="00B639B6" w:rsidP="003F460E">
      <w:pPr>
        <w:tabs>
          <w:tab w:val="left" w:pos="2835"/>
          <w:tab w:val="left" w:pos="8505"/>
        </w:tabs>
        <w:kinsoku/>
        <w:overflowPunct/>
        <w:autoSpaceDE/>
        <w:autoSpaceDN/>
        <w:adjustRightInd/>
        <w:snapToGrid/>
        <w:spacing w:before="120" w:after="120" w:line="240" w:lineRule="auto"/>
        <w:ind w:left="2268" w:right="1134" w:hanging="1134"/>
        <w:jc w:val="both"/>
        <w:rPr>
          <w:b/>
          <w:bCs/>
          <w:lang w:val="fr-FR"/>
        </w:rPr>
      </w:pPr>
      <w:r w:rsidRPr="005F7EB4">
        <w:rPr>
          <w:b/>
          <w:bCs/>
          <w:lang w:val="fr-FR"/>
        </w:rPr>
        <w:tab/>
        <w:t>où :</w:t>
      </w:r>
    </w:p>
    <w:p w:rsidR="003F460E" w:rsidRDefault="00B639B6" w:rsidP="00523CA3">
      <w:pPr>
        <w:tabs>
          <w:tab w:val="left" w:pos="2835"/>
          <w:tab w:val="left" w:pos="8505"/>
        </w:tabs>
        <w:kinsoku/>
        <w:overflowPunct/>
        <w:autoSpaceDE/>
        <w:autoSpaceDN/>
        <w:adjustRightInd/>
        <w:snapToGrid/>
        <w:spacing w:before="120" w:after="120" w:line="240" w:lineRule="auto"/>
        <w:ind w:left="3686" w:right="1134" w:hanging="1985"/>
        <w:jc w:val="both"/>
        <w:rPr>
          <w:b/>
          <w:lang w:val="fr-FR"/>
        </w:rPr>
      </w:pPr>
      <w:r w:rsidRPr="005F7EB4">
        <w:rPr>
          <w:b/>
          <w:bCs/>
          <w:lang w:val="fr-FR"/>
        </w:rPr>
        <w:tab/>
        <w:t>Nsw =</w:t>
      </w:r>
      <w:r w:rsidR="00523CA3">
        <w:rPr>
          <w:b/>
          <w:bCs/>
          <w:lang w:val="fr-FR"/>
        </w:rPr>
        <w:t xml:space="preserve"> </w:t>
      </w:r>
      <w:r w:rsidR="00523CA3">
        <w:rPr>
          <w:b/>
          <w:bCs/>
          <w:lang w:val="fr-FR"/>
        </w:rPr>
        <w:tab/>
      </w:r>
      <w:r w:rsidRPr="005F7EB4">
        <w:rPr>
          <w:b/>
          <w:lang w:val="fr-FR"/>
        </w:rPr>
        <w:t>nombre d</w:t>
      </w:r>
      <w:r w:rsidR="000D1719">
        <w:rPr>
          <w:b/>
          <w:lang w:val="fr-FR"/>
        </w:rPr>
        <w:t>’</w:t>
      </w:r>
      <w:r w:rsidRPr="005F7EB4">
        <w:rPr>
          <w:b/>
          <w:lang w:val="fr-FR"/>
        </w:rPr>
        <w:t>opérations de passage du mode GPL au mode essence et inversement jusqu</w:t>
      </w:r>
      <w:r w:rsidR="000D1719">
        <w:rPr>
          <w:b/>
          <w:lang w:val="fr-FR"/>
        </w:rPr>
        <w:t>’</w:t>
      </w:r>
      <w:r w:rsidRPr="005F7EB4">
        <w:rPr>
          <w:b/>
          <w:lang w:val="fr-FR"/>
        </w:rPr>
        <w:t>à ce que l</w:t>
      </w:r>
      <w:r w:rsidR="000D1719">
        <w:rPr>
          <w:b/>
          <w:lang w:val="fr-FR"/>
        </w:rPr>
        <w:t>’</w:t>
      </w:r>
      <w:r w:rsidRPr="005F7EB4">
        <w:rPr>
          <w:b/>
          <w:lang w:val="fr-FR"/>
        </w:rPr>
        <w:t>inactivation du mode essence devienne permanente.</w:t>
      </w:r>
    </w:p>
    <w:p w:rsidR="003F460E" w:rsidRDefault="00B639B6" w:rsidP="00523CA3">
      <w:pPr>
        <w:tabs>
          <w:tab w:val="left" w:pos="2835"/>
          <w:tab w:val="left" w:pos="8505"/>
        </w:tabs>
        <w:kinsoku/>
        <w:overflowPunct/>
        <w:autoSpaceDE/>
        <w:autoSpaceDN/>
        <w:adjustRightInd/>
        <w:snapToGrid/>
        <w:spacing w:before="120" w:after="120" w:line="240" w:lineRule="auto"/>
        <w:ind w:left="3686" w:right="1134" w:hanging="1985"/>
        <w:jc w:val="both"/>
        <w:rPr>
          <w:b/>
          <w:lang w:val="fr-FR"/>
        </w:rPr>
      </w:pPr>
      <w:r w:rsidRPr="005F7EB4">
        <w:rPr>
          <w:b/>
          <w:bCs/>
          <w:lang w:val="fr-FR"/>
        </w:rPr>
        <w:tab/>
        <w:t>Vsw =</w:t>
      </w:r>
      <w:r w:rsidR="003F460E">
        <w:rPr>
          <w:b/>
          <w:bCs/>
          <w:lang w:val="fr-FR"/>
        </w:rPr>
        <w:t xml:space="preserve"> </w:t>
      </w:r>
      <w:r w:rsidR="00523CA3">
        <w:rPr>
          <w:b/>
          <w:bCs/>
          <w:lang w:val="fr-FR"/>
        </w:rPr>
        <w:tab/>
      </w:r>
      <w:r w:rsidRPr="005F7EB4">
        <w:rPr>
          <w:b/>
          <w:lang w:val="fr-FR"/>
        </w:rPr>
        <w:t>volume d</w:t>
      </w:r>
      <w:r w:rsidR="000D1719">
        <w:rPr>
          <w:b/>
          <w:lang w:val="fr-FR"/>
        </w:rPr>
        <w:t>’</w:t>
      </w:r>
      <w:r w:rsidRPr="005F7EB4">
        <w:rPr>
          <w:b/>
          <w:lang w:val="fr-FR"/>
        </w:rPr>
        <w:t>essence qui a reflué dans le réservoir à GPL par opération de passage d</w:t>
      </w:r>
      <w:r w:rsidR="000D1719">
        <w:rPr>
          <w:b/>
          <w:lang w:val="fr-FR"/>
        </w:rPr>
        <w:t>’</w:t>
      </w:r>
      <w:r w:rsidRPr="005F7EB4">
        <w:rPr>
          <w:b/>
          <w:lang w:val="fr-FR"/>
        </w:rPr>
        <w:t xml:space="preserve">un mode à un autre, tel que mesuré conformément au paragraphe 6.1 </w:t>
      </w:r>
      <w:r w:rsidRPr="00B639B6">
        <w:rPr>
          <w:b/>
          <w:lang w:val="fr-FR"/>
        </w:rPr>
        <w:t>de l</w:t>
      </w:r>
      <w:r w:rsidR="000D1719">
        <w:rPr>
          <w:b/>
          <w:lang w:val="fr-FR"/>
        </w:rPr>
        <w:t>’</w:t>
      </w:r>
      <w:r w:rsidRPr="00B639B6">
        <w:rPr>
          <w:b/>
          <w:lang w:val="fr-FR"/>
        </w:rPr>
        <w:t>annexe 14 du présent Règlement</w:t>
      </w:r>
      <w:r w:rsidRPr="005F7EB4">
        <w:rPr>
          <w:b/>
          <w:lang w:val="fr-FR"/>
        </w:rPr>
        <w:t>.</w:t>
      </w:r>
    </w:p>
    <w:p w:rsidR="004D3191" w:rsidRDefault="00B639B6" w:rsidP="00523CA3">
      <w:pPr>
        <w:tabs>
          <w:tab w:val="left" w:pos="2835"/>
          <w:tab w:val="left" w:pos="8505"/>
        </w:tabs>
        <w:kinsoku/>
        <w:overflowPunct/>
        <w:autoSpaceDE/>
        <w:autoSpaceDN/>
        <w:adjustRightInd/>
        <w:snapToGrid/>
        <w:spacing w:before="120" w:after="120" w:line="240" w:lineRule="auto"/>
        <w:ind w:left="3686" w:right="1134" w:hanging="1985"/>
        <w:jc w:val="both"/>
        <w:rPr>
          <w:lang w:val="fr-FR"/>
        </w:rPr>
      </w:pPr>
      <w:r w:rsidRPr="00B639B6">
        <w:rPr>
          <w:b/>
          <w:lang w:val="fr-FR"/>
        </w:rPr>
        <w:tab/>
        <w:t>Vin =</w:t>
      </w:r>
      <w:r w:rsidR="00523CA3">
        <w:rPr>
          <w:b/>
          <w:lang w:val="fr-FR"/>
        </w:rPr>
        <w:tab/>
      </w:r>
      <w:r w:rsidRPr="00B639B6">
        <w:rPr>
          <w:b/>
          <w:lang w:val="fr-FR"/>
        </w:rPr>
        <w:t>volume initial de GPL conformément au paragraphe 2</w:t>
      </w:r>
      <w:r w:rsidR="00523CA3">
        <w:rPr>
          <w:b/>
          <w:lang w:val="fr-FR"/>
        </w:rPr>
        <w:t>.1 </w:t>
      </w:r>
      <w:r w:rsidRPr="00B639B6">
        <w:rPr>
          <w:b/>
          <w:lang w:val="fr-FR"/>
        </w:rPr>
        <w:t>b) de la présente annexe. </w:t>
      </w:r>
      <w:r w:rsidRPr="003F460E">
        <w:rPr>
          <w:lang w:val="fr-FR"/>
        </w:rPr>
        <w:t>».</w:t>
      </w:r>
    </w:p>
    <w:p w:rsidR="00B639B6" w:rsidRPr="005F7EB4" w:rsidRDefault="00B639B6" w:rsidP="004D3191">
      <w:pPr>
        <w:pStyle w:val="HChG"/>
        <w:rPr>
          <w:lang w:val="fr-FR"/>
        </w:rPr>
      </w:pPr>
      <w:r w:rsidRPr="005F7EB4">
        <w:rPr>
          <w:lang w:val="fr-FR"/>
        </w:rPr>
        <w:tab/>
        <w:t>II.</w:t>
      </w:r>
      <w:r w:rsidRPr="005F7EB4">
        <w:rPr>
          <w:lang w:val="fr-FR"/>
        </w:rPr>
        <w:tab/>
        <w:t>Justification</w:t>
      </w:r>
    </w:p>
    <w:p w:rsidR="00B639B6" w:rsidRPr="005F7EB4" w:rsidRDefault="00B639B6" w:rsidP="002F67CE">
      <w:pPr>
        <w:pStyle w:val="SingleTxtG"/>
        <w:ind w:left="1701" w:hanging="567"/>
        <w:rPr>
          <w:lang w:val="fr-FR" w:eastAsia="ar-SA"/>
        </w:rPr>
      </w:pPr>
      <w:r w:rsidRPr="005F7EB4">
        <w:rPr>
          <w:lang w:val="fr-FR" w:eastAsia="ar-SA"/>
        </w:rPr>
        <w:t>A.</w:t>
      </w:r>
      <w:r w:rsidRPr="005F7EB4">
        <w:rPr>
          <w:lang w:val="fr-FR" w:eastAsia="ar-SA"/>
        </w:rPr>
        <w:tab/>
        <w:t>Introduction</w:t>
      </w:r>
    </w:p>
    <w:p w:rsidR="00B639B6" w:rsidRPr="005F7EB4" w:rsidRDefault="00B80C89" w:rsidP="009D02CE">
      <w:pPr>
        <w:pStyle w:val="SingleTxtG"/>
        <w:ind w:left="1701" w:hanging="567"/>
        <w:rPr>
          <w:lang w:val="fr-FR" w:eastAsia="ar-SA"/>
        </w:rPr>
      </w:pPr>
      <w:r>
        <w:rPr>
          <w:lang w:val="fr-FR" w:eastAsia="ar-SA"/>
        </w:rPr>
        <w:t>A.1</w:t>
      </w:r>
      <w:r w:rsidR="00B639B6" w:rsidRPr="005F7EB4">
        <w:rPr>
          <w:lang w:val="fr-FR" w:eastAsia="ar-SA"/>
        </w:rPr>
        <w:tab/>
      </w:r>
      <w:r w:rsidR="00B639B6" w:rsidRPr="005F7EB4">
        <w:rPr>
          <w:lang w:val="fr-FR"/>
        </w:rPr>
        <w:t>Les amendements proposés visent avant tout à améliorer les caractéristiques de sécurité des équipements à gaz qui, de par leur architecture, permettent des reflux limités d</w:t>
      </w:r>
      <w:r w:rsidR="000D1719">
        <w:rPr>
          <w:lang w:val="fr-FR"/>
        </w:rPr>
        <w:t>’</w:t>
      </w:r>
      <w:r w:rsidR="00B639B6" w:rsidRPr="005F7EB4">
        <w:rPr>
          <w:lang w:val="fr-FR"/>
        </w:rPr>
        <w:t>essence dans le réservoir à GPL. C</w:t>
      </w:r>
      <w:r w:rsidR="000D1719">
        <w:rPr>
          <w:lang w:val="fr-FR"/>
        </w:rPr>
        <w:t>’</w:t>
      </w:r>
      <w:r w:rsidR="00B639B6" w:rsidRPr="005F7EB4">
        <w:rPr>
          <w:lang w:val="fr-FR"/>
        </w:rPr>
        <w:t>est le cas par exemple des équipements actuels à injection directe de GPL, sur tous les modèles actuellement disponibles sur le marché, quel que soit le fabricant : dans les rares cas où l</w:t>
      </w:r>
      <w:r w:rsidR="000D1719">
        <w:rPr>
          <w:lang w:val="fr-FR"/>
        </w:rPr>
        <w:t>’</w:t>
      </w:r>
      <w:r w:rsidR="00B639B6" w:rsidRPr="005F7EB4">
        <w:rPr>
          <w:lang w:val="fr-FR"/>
        </w:rPr>
        <w:t>équipement active, automatiquement ou à la demande de l</w:t>
      </w:r>
      <w:r w:rsidR="000D1719">
        <w:rPr>
          <w:lang w:val="fr-FR"/>
        </w:rPr>
        <w:t>’</w:t>
      </w:r>
      <w:r w:rsidR="00B639B6" w:rsidRPr="005F7EB4">
        <w:rPr>
          <w:lang w:val="fr-FR"/>
        </w:rPr>
        <w:t>utilisateur, le passage d</w:t>
      </w:r>
      <w:r w:rsidR="000D1719">
        <w:rPr>
          <w:lang w:val="fr-FR"/>
        </w:rPr>
        <w:t>’</w:t>
      </w:r>
      <w:r w:rsidR="00B639B6" w:rsidRPr="005F7EB4">
        <w:rPr>
          <w:lang w:val="fr-FR"/>
        </w:rPr>
        <w:t>un mode de fonctionnement à l</w:t>
      </w:r>
      <w:r w:rsidR="000D1719">
        <w:rPr>
          <w:lang w:val="fr-FR"/>
        </w:rPr>
        <w:t>’</w:t>
      </w:r>
      <w:r w:rsidR="00B639B6" w:rsidRPr="005F7EB4">
        <w:rPr>
          <w:lang w:val="fr-FR"/>
        </w:rPr>
        <w:t>autre (par exemple lorsque le réservoir à GPL est presque vide), une petite quantité d</w:t>
      </w:r>
      <w:r w:rsidR="000D1719">
        <w:rPr>
          <w:lang w:val="fr-FR"/>
        </w:rPr>
        <w:t>’</w:t>
      </w:r>
      <w:r w:rsidR="00B639B6" w:rsidRPr="005F7EB4">
        <w:rPr>
          <w:lang w:val="fr-FR"/>
        </w:rPr>
        <w:t>essence reflue dans le réservoir à GPL.</w:t>
      </w:r>
    </w:p>
    <w:p w:rsidR="00B639B6" w:rsidRPr="005F7EB4" w:rsidRDefault="00B80C89" w:rsidP="009D02CE">
      <w:pPr>
        <w:pStyle w:val="SingleTxtG"/>
        <w:ind w:left="1701" w:hanging="567"/>
        <w:rPr>
          <w:lang w:val="fr-FR" w:eastAsia="ar-SA"/>
        </w:rPr>
      </w:pPr>
      <w:r>
        <w:rPr>
          <w:lang w:val="fr-FR" w:eastAsia="ar-SA"/>
        </w:rPr>
        <w:t>A.2</w:t>
      </w:r>
      <w:r w:rsidR="00B639B6" w:rsidRPr="005F7EB4">
        <w:rPr>
          <w:lang w:val="fr-FR" w:eastAsia="ar-SA"/>
        </w:rPr>
        <w:tab/>
      </w:r>
      <w:r w:rsidR="00B639B6" w:rsidRPr="005F7EB4">
        <w:rPr>
          <w:lang w:val="fr-FR"/>
        </w:rPr>
        <w:t>L</w:t>
      </w:r>
      <w:r w:rsidR="000D1719">
        <w:rPr>
          <w:lang w:val="fr-FR"/>
        </w:rPr>
        <w:t>’</w:t>
      </w:r>
      <w:r w:rsidR="00B639B6" w:rsidRPr="005F7EB4">
        <w:rPr>
          <w:lang w:val="fr-FR"/>
        </w:rPr>
        <w:t>interdiction absolue de tels reflux reviendrait à exclure du marché, de manière injustifiable, des systèmes innovants, au détriment de la protection de l</w:t>
      </w:r>
      <w:r w:rsidR="000D1719">
        <w:rPr>
          <w:lang w:val="fr-FR"/>
        </w:rPr>
        <w:t>’</w:t>
      </w:r>
      <w:r w:rsidR="00B639B6" w:rsidRPr="005F7EB4">
        <w:rPr>
          <w:lang w:val="fr-FR"/>
        </w:rPr>
        <w:t>environnement, car ces nouveaux systèmes à gaz réduisent considérablement les émissions de polluants et de gaz à effet de serre par rapport aux technologies équivalentes qui utilisent l</w:t>
      </w:r>
      <w:r w:rsidR="000D1719">
        <w:rPr>
          <w:lang w:val="fr-FR"/>
        </w:rPr>
        <w:t>’</w:t>
      </w:r>
      <w:r w:rsidR="00B639B6" w:rsidRPr="005F7EB4">
        <w:rPr>
          <w:lang w:val="fr-FR"/>
        </w:rPr>
        <w:t>essence.</w:t>
      </w:r>
    </w:p>
    <w:p w:rsidR="00B639B6" w:rsidRPr="005F7EB4" w:rsidRDefault="00B80C89" w:rsidP="009D02CE">
      <w:pPr>
        <w:pStyle w:val="SingleTxtG"/>
        <w:rPr>
          <w:lang w:val="fr-FR" w:eastAsia="ar-SA"/>
        </w:rPr>
      </w:pPr>
      <w:r>
        <w:rPr>
          <w:lang w:val="fr-FR" w:eastAsia="ar-SA"/>
        </w:rPr>
        <w:t>A.3</w:t>
      </w:r>
      <w:r w:rsidR="00B639B6" w:rsidRPr="005F7EB4">
        <w:rPr>
          <w:lang w:val="fr-FR" w:eastAsia="ar-SA"/>
        </w:rPr>
        <w:tab/>
        <w:t>En général, on constate que :</w:t>
      </w:r>
    </w:p>
    <w:p w:rsidR="00B639B6" w:rsidRPr="005F7EB4" w:rsidRDefault="009D02CE" w:rsidP="009D02CE">
      <w:pPr>
        <w:pStyle w:val="SingleTxtG"/>
        <w:ind w:left="1701" w:hanging="567"/>
        <w:rPr>
          <w:lang w:val="fr-FR" w:eastAsia="ar-SA"/>
        </w:rPr>
      </w:pPr>
      <w:r>
        <w:rPr>
          <w:lang w:val="fr-FR"/>
        </w:rPr>
        <w:tab/>
      </w:r>
      <w:r w:rsidR="00B639B6" w:rsidRPr="005F7EB4">
        <w:rPr>
          <w:lang w:val="fr-FR"/>
        </w:rPr>
        <w:t>a)</w:t>
      </w:r>
      <w:r w:rsidR="00B639B6" w:rsidRPr="005F7EB4">
        <w:rPr>
          <w:lang w:val="fr-FR"/>
        </w:rPr>
        <w:tab/>
        <w:t>La présence d</w:t>
      </w:r>
      <w:r w:rsidR="000D1719">
        <w:rPr>
          <w:lang w:val="fr-FR"/>
        </w:rPr>
        <w:t>’</w:t>
      </w:r>
      <w:r w:rsidR="00B639B6" w:rsidRPr="005F7EB4">
        <w:rPr>
          <w:lang w:val="fr-FR"/>
        </w:rPr>
        <w:t>essence dans le réservoir à GPL n</w:t>
      </w:r>
      <w:r w:rsidR="000D1719">
        <w:rPr>
          <w:lang w:val="fr-FR"/>
        </w:rPr>
        <w:t>’</w:t>
      </w:r>
      <w:r w:rsidR="00B639B6" w:rsidRPr="005F7EB4">
        <w:rPr>
          <w:lang w:val="fr-FR"/>
        </w:rPr>
        <w:t>engendre pas de risques liés à la pression, car l</w:t>
      </w:r>
      <w:r w:rsidR="000D1719">
        <w:rPr>
          <w:lang w:val="fr-FR"/>
        </w:rPr>
        <w:t>’</w:t>
      </w:r>
      <w:r w:rsidR="00B639B6" w:rsidRPr="005F7EB4">
        <w:rPr>
          <w:lang w:val="fr-FR"/>
        </w:rPr>
        <w:t>essence est moins volatile et son mélange avec le carburant gazeux ne peut en réalité que faire baisser la pression intérieure à température égale ;</w:t>
      </w:r>
    </w:p>
    <w:p w:rsidR="00B639B6" w:rsidRPr="005F7EB4" w:rsidRDefault="00B639B6" w:rsidP="009D02CE">
      <w:pPr>
        <w:pStyle w:val="SingleTxtG"/>
        <w:ind w:left="1701" w:hanging="567"/>
        <w:rPr>
          <w:lang w:val="fr-FR" w:eastAsia="ar-SA"/>
        </w:rPr>
      </w:pPr>
      <w:r w:rsidRPr="005F7EB4">
        <w:rPr>
          <w:lang w:val="fr-FR" w:eastAsia="ar-SA"/>
        </w:rPr>
        <w:tab/>
        <w:t>b)</w:t>
      </w:r>
      <w:r w:rsidRPr="005F7EB4">
        <w:rPr>
          <w:lang w:val="fr-FR" w:eastAsia="ar-SA"/>
        </w:rPr>
        <w:tab/>
      </w:r>
      <w:r w:rsidRPr="005F7EB4">
        <w:rPr>
          <w:lang w:val="fr-FR"/>
        </w:rPr>
        <w:t>Le reflux d</w:t>
      </w:r>
      <w:r w:rsidR="000D1719">
        <w:rPr>
          <w:lang w:val="fr-FR"/>
        </w:rPr>
        <w:t>’</w:t>
      </w:r>
      <w:r w:rsidRPr="005F7EB4">
        <w:rPr>
          <w:lang w:val="fr-FR"/>
        </w:rPr>
        <w:t>essence dans le réservoir à GPL est seulement causé par le passage d</w:t>
      </w:r>
      <w:r w:rsidR="000D1719">
        <w:rPr>
          <w:lang w:val="fr-FR"/>
        </w:rPr>
        <w:t>’</w:t>
      </w:r>
      <w:r w:rsidRPr="005F7EB4">
        <w:rPr>
          <w:lang w:val="fr-FR"/>
        </w:rPr>
        <w:t>un mode de fonctionnement à l</w:t>
      </w:r>
      <w:r w:rsidR="000D1719">
        <w:rPr>
          <w:lang w:val="fr-FR"/>
        </w:rPr>
        <w:t>’</w:t>
      </w:r>
      <w:r w:rsidRPr="005F7EB4">
        <w:rPr>
          <w:lang w:val="fr-FR"/>
        </w:rPr>
        <w:t>autre et, comme le système d</w:t>
      </w:r>
      <w:r w:rsidR="000D1719">
        <w:rPr>
          <w:lang w:val="fr-FR"/>
        </w:rPr>
        <w:t>’</w:t>
      </w:r>
      <w:r w:rsidRPr="005F7EB4">
        <w:rPr>
          <w:lang w:val="fr-FR"/>
        </w:rPr>
        <w:t xml:space="preserve">alimentation au gaz démarre, chauffe et fonctionne uniquement au gaz, un tel événement est </w:t>
      </w:r>
      <w:r w:rsidRPr="005F7EB4">
        <w:rPr>
          <w:lang w:val="fr-FR" w:eastAsia="ar-SA"/>
        </w:rPr>
        <w:t>très rare, surtout lorsque l</w:t>
      </w:r>
      <w:r w:rsidR="000D1719">
        <w:rPr>
          <w:lang w:val="fr-FR" w:eastAsia="ar-SA"/>
        </w:rPr>
        <w:t>’</w:t>
      </w:r>
      <w:r w:rsidRPr="005F7EB4">
        <w:rPr>
          <w:lang w:val="fr-FR" w:eastAsia="ar-SA"/>
        </w:rPr>
        <w:t>on fait la comparaison avec les autres technologies utilisant aussi l</w:t>
      </w:r>
      <w:r w:rsidR="000D1719">
        <w:rPr>
          <w:lang w:val="fr-FR" w:eastAsia="ar-SA"/>
        </w:rPr>
        <w:t>’</w:t>
      </w:r>
      <w:r w:rsidRPr="005F7EB4">
        <w:rPr>
          <w:lang w:val="fr-FR" w:eastAsia="ar-SA"/>
        </w:rPr>
        <w:t>essence en mode gaz durant le cycle de conduite ;</w:t>
      </w:r>
    </w:p>
    <w:p w:rsidR="00B639B6" w:rsidRPr="005F7EB4" w:rsidRDefault="00B639B6" w:rsidP="009D02CE">
      <w:pPr>
        <w:pStyle w:val="SingleTxtG"/>
        <w:ind w:left="1701" w:hanging="567"/>
        <w:rPr>
          <w:lang w:val="fr-FR" w:eastAsia="ar-SA"/>
        </w:rPr>
      </w:pPr>
      <w:r w:rsidRPr="005F7EB4">
        <w:rPr>
          <w:lang w:val="fr-FR" w:eastAsia="ar-SA"/>
        </w:rPr>
        <w:tab/>
        <w:t>c)</w:t>
      </w:r>
      <w:r w:rsidRPr="005F7EB4">
        <w:rPr>
          <w:lang w:val="fr-FR" w:eastAsia="ar-SA"/>
        </w:rPr>
        <w:tab/>
        <w:t>L</w:t>
      </w:r>
      <w:r w:rsidR="000D1719">
        <w:rPr>
          <w:lang w:val="fr-FR" w:eastAsia="ar-SA"/>
        </w:rPr>
        <w:t>’</w:t>
      </w:r>
      <w:r w:rsidRPr="005F7EB4">
        <w:rPr>
          <w:lang w:val="fr-FR" w:eastAsia="ar-SA"/>
        </w:rPr>
        <w:t>essence a une pression de vapeur et un coefficient d</w:t>
      </w:r>
      <w:r w:rsidR="000D1719">
        <w:rPr>
          <w:lang w:val="fr-FR" w:eastAsia="ar-SA"/>
        </w:rPr>
        <w:t>’</w:t>
      </w:r>
      <w:r w:rsidRPr="005F7EB4">
        <w:rPr>
          <w:lang w:val="fr-FR" w:eastAsia="ar-SA"/>
        </w:rPr>
        <w:t>expansion thermique qui sont négligeables, de sorte que la présence d</w:t>
      </w:r>
      <w:r w:rsidR="000D1719">
        <w:rPr>
          <w:lang w:val="fr-FR" w:eastAsia="ar-SA"/>
        </w:rPr>
        <w:t>’</w:t>
      </w:r>
      <w:r w:rsidRPr="005F7EB4">
        <w:rPr>
          <w:lang w:val="fr-FR" w:eastAsia="ar-SA"/>
        </w:rPr>
        <w:t>une certaine quantité d</w:t>
      </w:r>
      <w:r w:rsidR="000D1719">
        <w:rPr>
          <w:lang w:val="fr-FR" w:eastAsia="ar-SA"/>
        </w:rPr>
        <w:t>’</w:t>
      </w:r>
      <w:r w:rsidRPr="005F7EB4">
        <w:rPr>
          <w:lang w:val="fr-FR" w:eastAsia="ar-SA"/>
        </w:rPr>
        <w:t>essence (très faible) à la place de GPL améliore le niveau de sécurité pour ce qui est des risques liés à la pression ;</w:t>
      </w:r>
    </w:p>
    <w:p w:rsidR="00B639B6" w:rsidRPr="005F7EB4" w:rsidRDefault="00B639B6" w:rsidP="009D02CE">
      <w:pPr>
        <w:pStyle w:val="SingleTxtG"/>
        <w:ind w:left="1701" w:hanging="567"/>
        <w:rPr>
          <w:lang w:val="fr-FR" w:eastAsia="ar-SA"/>
        </w:rPr>
      </w:pPr>
      <w:r w:rsidRPr="005F7EB4">
        <w:rPr>
          <w:lang w:val="fr-FR" w:eastAsia="ar-SA"/>
        </w:rPr>
        <w:tab/>
        <w:t>d)</w:t>
      </w:r>
      <w:r w:rsidRPr="005F7EB4">
        <w:rPr>
          <w:lang w:val="fr-FR" w:eastAsia="ar-SA"/>
        </w:rPr>
        <w:tab/>
      </w:r>
      <w:r w:rsidR="004675A1">
        <w:rPr>
          <w:lang w:val="fr-FR" w:eastAsia="ar-SA"/>
        </w:rPr>
        <w:t>La limite de remplissage de 80 </w:t>
      </w:r>
      <w:r w:rsidRPr="005F7EB4">
        <w:rPr>
          <w:lang w:val="fr-FR" w:eastAsia="ar-SA"/>
        </w:rPr>
        <w:t>% est une limite plutôt prudente, avec une marge importante par rapport à la limite de 85</w:t>
      </w:r>
      <w:r w:rsidR="004675A1">
        <w:rPr>
          <w:lang w:val="fr-FR" w:eastAsia="ar-SA"/>
        </w:rPr>
        <w:t> </w:t>
      </w:r>
      <w:r w:rsidRPr="005F7EB4">
        <w:rPr>
          <w:lang w:val="fr-FR" w:eastAsia="ar-SA"/>
        </w:rPr>
        <w:t xml:space="preserve">% qui est la valeur correcte, notamment retenue dans la directive </w:t>
      </w:r>
      <w:r w:rsidRPr="00B639B6">
        <w:rPr>
          <w:lang w:val="fr-FR" w:eastAsia="ar-SA"/>
        </w:rPr>
        <w:t>relative aux équipements sous pression transportables</w:t>
      </w:r>
      <w:r w:rsidRPr="005F7EB4">
        <w:rPr>
          <w:lang w:val="fr-FR" w:eastAsia="ar-SA"/>
        </w:rPr>
        <w:t xml:space="preserve"> (TPED) et les </w:t>
      </w:r>
      <w:r w:rsidRPr="00B639B6">
        <w:rPr>
          <w:lang w:val="fr-FR" w:eastAsia="ar-SA"/>
        </w:rPr>
        <w:t>directives relatives aux équipements sous pression</w:t>
      </w:r>
      <w:r w:rsidRPr="005F7EB4">
        <w:rPr>
          <w:lang w:val="fr-FR" w:eastAsia="ar-SA"/>
        </w:rPr>
        <w:t xml:space="preserve"> (PED) de l</w:t>
      </w:r>
      <w:r w:rsidR="000D1719">
        <w:rPr>
          <w:lang w:val="fr-FR" w:eastAsia="ar-SA"/>
        </w:rPr>
        <w:t>’</w:t>
      </w:r>
      <w:r w:rsidRPr="005F7EB4">
        <w:rPr>
          <w:lang w:val="fr-FR" w:eastAsia="ar-SA"/>
        </w:rPr>
        <w:t xml:space="preserve">Union Européenne ; </w:t>
      </w:r>
    </w:p>
    <w:p w:rsidR="00B80C89" w:rsidRDefault="00B639B6" w:rsidP="00B80C89">
      <w:pPr>
        <w:pStyle w:val="SingleTxtG"/>
        <w:ind w:left="1701" w:hanging="567"/>
        <w:rPr>
          <w:lang w:val="fr-FR"/>
        </w:rPr>
      </w:pPr>
      <w:r w:rsidRPr="005F7EB4">
        <w:rPr>
          <w:lang w:val="fr-FR" w:eastAsia="ar-SA"/>
        </w:rPr>
        <w:tab/>
        <w:t>e)</w:t>
      </w:r>
      <w:r w:rsidRPr="005F7EB4">
        <w:rPr>
          <w:lang w:val="fr-FR" w:eastAsia="ar-SA"/>
        </w:rPr>
        <w:tab/>
        <w:t>Le surremplissage du réservoir à GPL sera évité grâce à la stratégie proposée dans le présent document : on éliminera chaque volume</w:t>
      </w:r>
      <w:r w:rsidRPr="005F7EB4">
        <w:rPr>
          <w:lang w:val="fr-FR"/>
        </w:rPr>
        <w:t xml:space="preserve"> entré par reflux en désactivant le passage du GPL à l</w:t>
      </w:r>
      <w:r w:rsidR="000D1719">
        <w:rPr>
          <w:lang w:val="fr-FR"/>
        </w:rPr>
        <w:t>’</w:t>
      </w:r>
      <w:r w:rsidRPr="005F7EB4">
        <w:rPr>
          <w:lang w:val="fr-FR"/>
        </w:rPr>
        <w:t>essence jusqu</w:t>
      </w:r>
      <w:r w:rsidR="000D1719">
        <w:rPr>
          <w:lang w:val="fr-FR"/>
        </w:rPr>
        <w:t>’</w:t>
      </w:r>
      <w:r w:rsidRPr="005F7EB4">
        <w:rPr>
          <w:lang w:val="fr-FR"/>
        </w:rPr>
        <w:t>à ce que ce volume soit totalement consommé ; des essais sérieux et pertinents en laboratoire ont été proposés pour le démontrer.</w:t>
      </w:r>
    </w:p>
    <w:p w:rsidR="00B639B6" w:rsidRPr="005F7EB4" w:rsidRDefault="00B639B6" w:rsidP="00B80C89">
      <w:pPr>
        <w:pStyle w:val="SingleTxtG"/>
        <w:ind w:left="1701" w:hanging="567"/>
        <w:rPr>
          <w:lang w:val="fr-FR" w:eastAsia="ar-SA"/>
        </w:rPr>
      </w:pPr>
      <w:r w:rsidRPr="005F7EB4">
        <w:rPr>
          <w:lang w:val="fr-FR" w:eastAsia="ar-SA"/>
        </w:rPr>
        <w:t>B.</w:t>
      </w:r>
      <w:r w:rsidRPr="005F7EB4">
        <w:rPr>
          <w:lang w:val="fr-FR" w:eastAsia="ar-SA"/>
        </w:rPr>
        <w:tab/>
        <w:t>Justifications détaillées</w:t>
      </w:r>
    </w:p>
    <w:p w:rsidR="009D02CE" w:rsidRDefault="00B80C89" w:rsidP="009D02CE">
      <w:pPr>
        <w:pStyle w:val="SingleTxtG"/>
        <w:ind w:left="1701" w:hanging="567"/>
        <w:rPr>
          <w:lang w:val="fr-FR"/>
        </w:rPr>
      </w:pPr>
      <w:r>
        <w:rPr>
          <w:lang w:val="fr-FR" w:eastAsia="ar-SA"/>
        </w:rPr>
        <w:t>B.1</w:t>
      </w:r>
      <w:r w:rsidR="00B639B6" w:rsidRPr="005F7EB4">
        <w:rPr>
          <w:lang w:val="fr-FR" w:eastAsia="ar-SA"/>
        </w:rPr>
        <w:tab/>
      </w:r>
      <w:r w:rsidR="00B639B6" w:rsidRPr="005F7EB4">
        <w:rPr>
          <w:lang w:val="fr-FR"/>
        </w:rPr>
        <w:t>Le nouveau paragraphe 2.20</w:t>
      </w:r>
      <w:r w:rsidR="00B639B6">
        <w:rPr>
          <w:lang w:val="fr-FR"/>
        </w:rPr>
        <w:t xml:space="preserve"> introduit la définition d</w:t>
      </w:r>
      <w:r w:rsidR="000D1719">
        <w:rPr>
          <w:lang w:val="fr-FR"/>
        </w:rPr>
        <w:t>’</w:t>
      </w:r>
      <w:r w:rsidR="00B639B6">
        <w:rPr>
          <w:lang w:val="fr-FR"/>
        </w:rPr>
        <w:t>un « équipement GPL </w:t>
      </w:r>
      <w:r w:rsidR="00B639B6" w:rsidRPr="005F7EB4">
        <w:rPr>
          <w:lang w:val="fr-FR"/>
        </w:rPr>
        <w:t>» générique. L</w:t>
      </w:r>
      <w:r w:rsidR="000D1719">
        <w:rPr>
          <w:lang w:val="fr-FR"/>
        </w:rPr>
        <w:t>’</w:t>
      </w:r>
      <w:r w:rsidR="00B639B6" w:rsidRPr="00B639B6">
        <w:rPr>
          <w:lang w:val="fr-FR"/>
        </w:rPr>
        <w:t>équipement</w:t>
      </w:r>
      <w:r w:rsidR="00B639B6" w:rsidRPr="005F7EB4">
        <w:rPr>
          <w:lang w:val="fr-FR"/>
        </w:rPr>
        <w:t xml:space="preserve"> GPL est mentionné en plusieurs endroits du texte actuel du Règlement, mais il n</w:t>
      </w:r>
      <w:r w:rsidR="000D1719">
        <w:rPr>
          <w:lang w:val="fr-FR"/>
        </w:rPr>
        <w:t>’</w:t>
      </w:r>
      <w:r w:rsidR="00B639B6" w:rsidRPr="005F7EB4">
        <w:rPr>
          <w:lang w:val="fr-FR"/>
        </w:rPr>
        <w:t>y est pas défini de manière adéquate.</w:t>
      </w:r>
    </w:p>
    <w:p w:rsidR="009D02CE" w:rsidRDefault="00B80C89" w:rsidP="009D02CE">
      <w:pPr>
        <w:pStyle w:val="SingleTxtG"/>
        <w:ind w:left="1701" w:hanging="567"/>
        <w:rPr>
          <w:lang w:val="fr-FR"/>
        </w:rPr>
      </w:pPr>
      <w:r>
        <w:rPr>
          <w:lang w:val="fr-FR" w:eastAsia="ar-SA"/>
        </w:rPr>
        <w:t>B.2</w:t>
      </w:r>
      <w:r w:rsidR="00B639B6" w:rsidRPr="005F7EB4">
        <w:rPr>
          <w:lang w:val="fr-FR" w:eastAsia="ar-SA"/>
        </w:rPr>
        <w:tab/>
      </w:r>
      <w:r w:rsidR="00B639B6" w:rsidRPr="005F7EB4">
        <w:rPr>
          <w:lang w:val="fr-FR"/>
        </w:rPr>
        <w:t>Le nouveau paragraphe 2.21, en définissant un équipement GPL particulier, l</w:t>
      </w:r>
      <w:r w:rsidR="000D1719">
        <w:rPr>
          <w:lang w:val="fr-FR"/>
        </w:rPr>
        <w:t>’</w:t>
      </w:r>
      <w:r w:rsidR="00B639B6" w:rsidRPr="005F7EB4">
        <w:rPr>
          <w:lang w:val="fr-FR"/>
        </w:rPr>
        <w:t>«</w:t>
      </w:r>
      <w:r w:rsidR="00B639B6">
        <w:rPr>
          <w:lang w:val="fr-FR"/>
        </w:rPr>
        <w:t> équipement GPL interconnecté </w:t>
      </w:r>
      <w:r w:rsidR="00B639B6" w:rsidRPr="005F7EB4">
        <w:rPr>
          <w:lang w:val="fr-FR"/>
        </w:rPr>
        <w:t>», fait ressortir plus clairement le champ d</w:t>
      </w:r>
      <w:r w:rsidR="000D1719">
        <w:rPr>
          <w:lang w:val="fr-FR"/>
        </w:rPr>
        <w:t>’</w:t>
      </w:r>
      <w:r w:rsidR="00B639B6" w:rsidRPr="005F7EB4">
        <w:rPr>
          <w:lang w:val="fr-FR"/>
        </w:rPr>
        <w:t>application des dispositions proposées dans cet amendement.</w:t>
      </w:r>
    </w:p>
    <w:p w:rsidR="00B639B6" w:rsidRPr="005F7EB4" w:rsidRDefault="00B639B6" w:rsidP="009D02CE">
      <w:pPr>
        <w:pStyle w:val="SingleTxtG"/>
        <w:ind w:left="1701" w:hanging="567"/>
        <w:rPr>
          <w:lang w:val="fr-FR" w:eastAsia="ar-SA"/>
        </w:rPr>
      </w:pPr>
      <w:r w:rsidRPr="005F7EB4">
        <w:rPr>
          <w:lang w:val="fr-FR" w:eastAsia="ar-SA"/>
        </w:rPr>
        <w:tab/>
      </w:r>
      <w:r w:rsidRPr="005F7EB4">
        <w:rPr>
          <w:lang w:val="fr-FR"/>
        </w:rPr>
        <w:t>Il convient de noter que cette nouvelle définition spécifique exclut les équipements GPL sans interconnexions hydrauliques avec le système d</w:t>
      </w:r>
      <w:r w:rsidR="000D1719">
        <w:rPr>
          <w:lang w:val="fr-FR"/>
        </w:rPr>
        <w:t>’</w:t>
      </w:r>
      <w:r w:rsidRPr="005F7EB4">
        <w:rPr>
          <w:lang w:val="fr-FR"/>
        </w:rPr>
        <w:t>alimentation en essence/gazole, ainsi que les équipements avec des interconnexions ne comportant pas de circuit hydraulique par lequel un reflux d</w:t>
      </w:r>
      <w:r w:rsidR="000D1719">
        <w:rPr>
          <w:lang w:val="fr-FR"/>
        </w:rPr>
        <w:t>’</w:t>
      </w:r>
      <w:r w:rsidRPr="005F7EB4">
        <w:rPr>
          <w:lang w:val="fr-FR"/>
        </w:rPr>
        <w:t>essence ou de gazole peut se produire dans le réservoir à GPL.</w:t>
      </w:r>
    </w:p>
    <w:p w:rsidR="00B639B6" w:rsidRPr="005F7EB4" w:rsidRDefault="00B639B6" w:rsidP="001C4009">
      <w:pPr>
        <w:pStyle w:val="SingleTxtG"/>
        <w:ind w:left="1701" w:hanging="567"/>
        <w:rPr>
          <w:lang w:val="fr-FR" w:eastAsia="ar-SA"/>
        </w:rPr>
      </w:pPr>
      <w:r w:rsidRPr="005F7EB4">
        <w:rPr>
          <w:lang w:val="fr-FR" w:eastAsia="ar-SA"/>
        </w:rPr>
        <w:tab/>
      </w:r>
      <w:r>
        <w:rPr>
          <w:lang w:val="fr-FR"/>
        </w:rPr>
        <w:t>Quant au « </w:t>
      </w:r>
      <w:r w:rsidRPr="005F7EB4">
        <w:rPr>
          <w:lang w:val="fr-FR"/>
        </w:rPr>
        <w:t>système d</w:t>
      </w:r>
      <w:r w:rsidR="000D1719">
        <w:rPr>
          <w:lang w:val="fr-FR"/>
        </w:rPr>
        <w:t>’</w:t>
      </w:r>
      <w:r w:rsidRPr="005F7EB4">
        <w:rPr>
          <w:lang w:val="fr-FR"/>
        </w:rPr>
        <w:t>alime</w:t>
      </w:r>
      <w:r>
        <w:rPr>
          <w:lang w:val="fr-FR"/>
        </w:rPr>
        <w:t>ntation en essence ou en gazole </w:t>
      </w:r>
      <w:r w:rsidRPr="005F7EB4">
        <w:rPr>
          <w:lang w:val="fr-FR"/>
        </w:rPr>
        <w:t>», il s</w:t>
      </w:r>
      <w:r w:rsidR="000D1719">
        <w:rPr>
          <w:lang w:val="fr-FR"/>
        </w:rPr>
        <w:t>’</w:t>
      </w:r>
      <w:r w:rsidRPr="005F7EB4">
        <w:rPr>
          <w:lang w:val="fr-FR"/>
        </w:rPr>
        <w:t>agit implicitement du circuit hydraulique en amont du point d</w:t>
      </w:r>
      <w:r w:rsidR="000D1719">
        <w:rPr>
          <w:lang w:val="fr-FR"/>
        </w:rPr>
        <w:t>’</w:t>
      </w:r>
      <w:r w:rsidRPr="005F7EB4">
        <w:rPr>
          <w:lang w:val="fr-FR"/>
        </w:rPr>
        <w:t>injection/aspiration du carburant.</w:t>
      </w:r>
    </w:p>
    <w:p w:rsidR="00B639B6" w:rsidRPr="005F7EB4" w:rsidRDefault="00B80C89" w:rsidP="001C4009">
      <w:pPr>
        <w:pStyle w:val="SingleTxtG"/>
        <w:ind w:left="1701" w:hanging="567"/>
        <w:rPr>
          <w:lang w:val="fr-FR"/>
        </w:rPr>
      </w:pPr>
      <w:r>
        <w:rPr>
          <w:lang w:val="fr-FR" w:eastAsia="ar-SA"/>
        </w:rPr>
        <w:t>B.3</w:t>
      </w:r>
      <w:r w:rsidR="00B639B6" w:rsidRPr="005F7EB4">
        <w:rPr>
          <w:lang w:val="fr-FR" w:eastAsia="ar-SA"/>
        </w:rPr>
        <w:tab/>
      </w:r>
      <w:r w:rsidR="00B639B6" w:rsidRPr="005F7EB4">
        <w:rPr>
          <w:lang w:val="fr-FR"/>
        </w:rPr>
        <w:t>Le nouveau paragraphe 2.2</w:t>
      </w:r>
      <w:r w:rsidR="00B639B6" w:rsidRPr="00B639B6">
        <w:rPr>
          <w:lang w:val="fr-FR"/>
        </w:rPr>
        <w:t>3</w:t>
      </w:r>
      <w:r w:rsidR="00B639B6" w:rsidRPr="005F7EB4">
        <w:rPr>
          <w:lang w:val="fr-FR"/>
        </w:rPr>
        <w:t xml:space="preserve"> introduit une</w:t>
      </w:r>
      <w:r w:rsidR="00B639B6">
        <w:rPr>
          <w:lang w:val="fr-FR"/>
        </w:rPr>
        <w:t xml:space="preserve"> définition adéquate de « </w:t>
      </w:r>
      <w:r w:rsidR="00B639B6" w:rsidRPr="005F7EB4">
        <w:rPr>
          <w:lang w:val="fr-FR"/>
        </w:rPr>
        <w:t xml:space="preserve">bloc </w:t>
      </w:r>
      <w:r w:rsidR="00B639B6" w:rsidRPr="00B639B6">
        <w:rPr>
          <w:lang w:val="fr-FR"/>
        </w:rPr>
        <w:t>multiorganes</w:t>
      </w:r>
      <w:r w:rsidR="00B639B6">
        <w:rPr>
          <w:lang w:val="fr-FR"/>
        </w:rPr>
        <w:t> </w:t>
      </w:r>
      <w:r w:rsidR="00B639B6" w:rsidRPr="005F7EB4">
        <w:rPr>
          <w:lang w:val="fr-FR"/>
        </w:rPr>
        <w:t xml:space="preserve">», comblant ainsi une lacune manifeste dans le Règlement : plusieurs points </w:t>
      </w:r>
      <w:r w:rsidR="00B639B6" w:rsidRPr="00B639B6">
        <w:rPr>
          <w:lang w:val="fr-FR"/>
        </w:rPr>
        <w:t>y</w:t>
      </w:r>
      <w:r w:rsidR="00B639B6" w:rsidRPr="005F7EB4">
        <w:rPr>
          <w:lang w:val="fr-FR"/>
        </w:rPr>
        <w:t xml:space="preserve"> font référence sans en donner de définition spécifique.</w:t>
      </w:r>
    </w:p>
    <w:p w:rsidR="00B639B6" w:rsidRPr="005F7EB4" w:rsidRDefault="00B639B6" w:rsidP="001C4009">
      <w:pPr>
        <w:pStyle w:val="SingleTxtG"/>
        <w:ind w:left="1701" w:hanging="567"/>
        <w:rPr>
          <w:lang w:val="fr-FR"/>
        </w:rPr>
      </w:pPr>
      <w:r w:rsidRPr="005F7EB4">
        <w:rPr>
          <w:lang w:val="fr-FR"/>
        </w:rPr>
        <w:tab/>
        <w:t xml:space="preserve">Le nouveau paragraphe 6.15 vise à clarifier les prescriptions énoncées et les essais décrits dans le Règlement qui concernent les blocs </w:t>
      </w:r>
      <w:r w:rsidRPr="00B639B6">
        <w:rPr>
          <w:lang w:val="fr-FR"/>
        </w:rPr>
        <w:t>multiorganes</w:t>
      </w:r>
      <w:r w:rsidRPr="005F7EB4">
        <w:rPr>
          <w:lang w:val="fr-FR"/>
        </w:rPr>
        <w:t>.</w:t>
      </w:r>
    </w:p>
    <w:p w:rsidR="00B639B6" w:rsidRPr="005F7EB4" w:rsidRDefault="00B639B6" w:rsidP="001C4009">
      <w:pPr>
        <w:pStyle w:val="SingleTxtG"/>
        <w:ind w:left="1701" w:hanging="567"/>
        <w:rPr>
          <w:lang w:val="fr-FR" w:eastAsia="ar-SA"/>
        </w:rPr>
      </w:pPr>
      <w:r w:rsidRPr="005F7EB4">
        <w:rPr>
          <w:lang w:val="fr-FR"/>
        </w:rPr>
        <w:tab/>
        <w:t>Les paragraphes 2.2</w:t>
      </w:r>
      <w:r w:rsidRPr="00B639B6">
        <w:rPr>
          <w:lang w:val="fr-FR"/>
        </w:rPr>
        <w:t>3</w:t>
      </w:r>
      <w:r w:rsidRPr="005F7EB4">
        <w:rPr>
          <w:lang w:val="fr-FR"/>
        </w:rPr>
        <w:t xml:space="preserve"> et 6.15 revêtent une importance toute particulière pour cette proposition d</w:t>
      </w:r>
      <w:r w:rsidR="000D1719">
        <w:rPr>
          <w:lang w:val="fr-FR"/>
        </w:rPr>
        <w:t>’</w:t>
      </w:r>
      <w:r w:rsidRPr="005F7EB4">
        <w:rPr>
          <w:lang w:val="fr-FR"/>
        </w:rPr>
        <w:t>amendement parce que l</w:t>
      </w:r>
      <w:r w:rsidR="000D1719">
        <w:rPr>
          <w:lang w:val="fr-FR"/>
        </w:rPr>
        <w:t>’</w:t>
      </w:r>
      <w:r w:rsidRPr="005F7EB4">
        <w:rPr>
          <w:lang w:val="fr-FR"/>
        </w:rPr>
        <w:t>un des principaux composants de l</w:t>
      </w:r>
      <w:r w:rsidR="000D1719">
        <w:rPr>
          <w:lang w:val="fr-FR"/>
        </w:rPr>
        <w:t>’</w:t>
      </w:r>
      <w:r w:rsidRPr="005F7EB4">
        <w:rPr>
          <w:lang w:val="fr-FR"/>
        </w:rPr>
        <w:t xml:space="preserve">équipement GPL à injection directe est un bloc </w:t>
      </w:r>
      <w:r w:rsidRPr="00B639B6">
        <w:rPr>
          <w:lang w:val="fr-FR"/>
        </w:rPr>
        <w:t>multiorganes</w:t>
      </w:r>
      <w:r w:rsidRPr="005F7EB4">
        <w:rPr>
          <w:lang w:val="fr-FR"/>
        </w:rPr>
        <w:t xml:space="preserve"> généralement commercialisé sous le nom de FSU (Fuel Selection Unit en anglais, groupe de sélection du carburant en français).</w:t>
      </w:r>
    </w:p>
    <w:p w:rsidR="00B639B6" w:rsidRPr="005F7EB4" w:rsidRDefault="00B639B6" w:rsidP="001C4009">
      <w:pPr>
        <w:pStyle w:val="SingleTxtG"/>
        <w:ind w:left="1701" w:hanging="567"/>
        <w:rPr>
          <w:lang w:val="fr-FR" w:eastAsia="ar-SA"/>
        </w:rPr>
      </w:pPr>
      <w:r w:rsidRPr="005F7EB4">
        <w:rPr>
          <w:lang w:val="fr-FR" w:eastAsia="ar-SA"/>
        </w:rPr>
        <w:t>B.4.</w:t>
      </w:r>
      <w:r w:rsidRPr="005F7EB4">
        <w:rPr>
          <w:lang w:val="fr-FR" w:eastAsia="ar-SA"/>
        </w:rPr>
        <w:tab/>
      </w:r>
      <w:r w:rsidRPr="005F7EB4">
        <w:rPr>
          <w:lang w:val="fr-FR"/>
        </w:rPr>
        <w:t>Dans le nouveau paragraphe 6.16.3.3, il est prescrit que la vanne d</w:t>
      </w:r>
      <w:r w:rsidR="000D1719">
        <w:rPr>
          <w:lang w:val="fr-FR"/>
        </w:rPr>
        <w:t>’</w:t>
      </w:r>
      <w:r w:rsidRPr="005F7EB4">
        <w:rPr>
          <w:lang w:val="fr-FR"/>
        </w:rPr>
        <w:t>arrêt télécommandée installée sur le circuit d</w:t>
      </w:r>
      <w:r w:rsidR="000D1719">
        <w:rPr>
          <w:lang w:val="fr-FR"/>
        </w:rPr>
        <w:t>’</w:t>
      </w:r>
      <w:r w:rsidRPr="005F7EB4">
        <w:rPr>
          <w:lang w:val="fr-FR"/>
        </w:rPr>
        <w:t>écoulement pour activer les passages d</w:t>
      </w:r>
      <w:r w:rsidR="000D1719">
        <w:rPr>
          <w:lang w:val="fr-FR"/>
        </w:rPr>
        <w:t>’</w:t>
      </w:r>
      <w:r w:rsidRPr="005F7EB4">
        <w:rPr>
          <w:lang w:val="fr-FR"/>
        </w:rPr>
        <w:t>un carburant à l</w:t>
      </w:r>
      <w:r w:rsidR="000D1719">
        <w:rPr>
          <w:lang w:val="fr-FR"/>
        </w:rPr>
        <w:t>’</w:t>
      </w:r>
      <w:r w:rsidRPr="005F7EB4">
        <w:rPr>
          <w:lang w:val="fr-FR"/>
        </w:rPr>
        <w:t xml:space="preserve">autre, doit satisfaire à un essai de durabilité plus rigoureux que celui prescrit pour les autres </w:t>
      </w:r>
      <w:r w:rsidRPr="00B639B6">
        <w:rPr>
          <w:lang w:val="fr-FR"/>
        </w:rPr>
        <w:t>organes</w:t>
      </w:r>
      <w:r w:rsidRPr="005F7EB4">
        <w:rPr>
          <w:lang w:val="fr-FR"/>
        </w:rPr>
        <w:t>.</w:t>
      </w:r>
    </w:p>
    <w:p w:rsidR="00B639B6" w:rsidRPr="005F7EB4" w:rsidRDefault="00B639B6" w:rsidP="001C4009">
      <w:pPr>
        <w:pStyle w:val="SingleTxtG"/>
        <w:ind w:left="1701" w:hanging="567"/>
        <w:rPr>
          <w:lang w:val="fr-FR" w:eastAsia="ar-SA"/>
        </w:rPr>
      </w:pPr>
      <w:r w:rsidRPr="005F7EB4">
        <w:rPr>
          <w:lang w:val="fr-FR" w:eastAsia="ar-SA"/>
        </w:rPr>
        <w:tab/>
      </w:r>
      <w:r w:rsidRPr="005F7EB4">
        <w:rPr>
          <w:lang w:val="fr-FR"/>
        </w:rPr>
        <w:t>Cette vanne devra porter un marquage distinctif ICS également aux fins des réparations et remplacements.</w:t>
      </w:r>
    </w:p>
    <w:p w:rsidR="00B639B6" w:rsidRPr="005F7EB4" w:rsidRDefault="00B80C89" w:rsidP="001C4009">
      <w:pPr>
        <w:pStyle w:val="SingleTxtG"/>
        <w:ind w:left="1701" w:hanging="567"/>
        <w:rPr>
          <w:lang w:val="fr-FR" w:eastAsia="ar-SA"/>
        </w:rPr>
      </w:pPr>
      <w:r>
        <w:rPr>
          <w:lang w:val="fr-FR" w:eastAsia="ar-SA"/>
        </w:rPr>
        <w:t>B.4.1</w:t>
      </w:r>
      <w:r>
        <w:rPr>
          <w:lang w:val="fr-FR" w:eastAsia="ar-SA"/>
        </w:rPr>
        <w:tab/>
      </w:r>
      <w:r w:rsidR="00B639B6" w:rsidRPr="005F7EB4">
        <w:rPr>
          <w:lang w:val="fr-FR"/>
        </w:rPr>
        <w:t>Dans le nouveau paragraphe 6.16.14, il est prescrit que les soupapes antiretour utilisées pour empêcher les reflux de GPL dans les réservoirs à essence/gazole (voir par. 17.13.1.1, 17.13.1.2 et 17.13.2.1) doivent être homologuées conformément à un essai de durabilité spécifique comme prescrit au paragraphe 9.6 de l</w:t>
      </w:r>
      <w:r w:rsidR="000D1719">
        <w:rPr>
          <w:lang w:val="fr-FR"/>
        </w:rPr>
        <w:t>’</w:t>
      </w:r>
      <w:r w:rsidR="00B639B6" w:rsidRPr="005F7EB4">
        <w:rPr>
          <w:lang w:val="fr-FR"/>
        </w:rPr>
        <w:t>annexe 15.</w:t>
      </w:r>
    </w:p>
    <w:p w:rsidR="00B639B6" w:rsidRPr="005F7EB4" w:rsidRDefault="00B639B6" w:rsidP="001C4009">
      <w:pPr>
        <w:pStyle w:val="SingleTxtG"/>
        <w:ind w:left="1701" w:hanging="567"/>
        <w:rPr>
          <w:lang w:val="fr-FR" w:eastAsia="ar-SA"/>
        </w:rPr>
      </w:pPr>
      <w:r w:rsidRPr="005F7EB4">
        <w:rPr>
          <w:lang w:val="fr-FR" w:eastAsia="ar-SA"/>
        </w:rPr>
        <w:tab/>
      </w:r>
      <w:r w:rsidRPr="005F7EB4">
        <w:rPr>
          <w:lang w:val="fr-FR"/>
        </w:rPr>
        <w:t>Ces soupapes devront porter un marquage distinctif ICS également aux fins des réparations et remplacements.</w:t>
      </w:r>
    </w:p>
    <w:p w:rsidR="00B80C89" w:rsidRDefault="00B80C89" w:rsidP="001C4009">
      <w:pPr>
        <w:pStyle w:val="SingleTxtG"/>
        <w:ind w:left="1701" w:hanging="567"/>
        <w:rPr>
          <w:lang w:val="fr-FR"/>
        </w:rPr>
      </w:pPr>
      <w:r>
        <w:rPr>
          <w:lang w:val="fr-FR" w:eastAsia="ar-SA"/>
        </w:rPr>
        <w:t>B.4.2</w:t>
      </w:r>
      <w:r>
        <w:rPr>
          <w:lang w:val="fr-FR" w:eastAsia="ar-SA"/>
        </w:rPr>
        <w:tab/>
      </w:r>
      <w:r w:rsidR="00B639B6" w:rsidRPr="005F7EB4">
        <w:rPr>
          <w:lang w:val="fr-FR"/>
        </w:rPr>
        <w:t>Le nouveau paragraphe 6.16.1.6 tel que proposé dans le document ECE/TRANS/WP.29/GRSG/2015/35 a été supprimé, car aucune prescription supplémentaire ou spécifique pour le limiteur de remplissage à 80 % conçu pour être installé sur un équipement GPL interconnecté n</w:t>
      </w:r>
      <w:r w:rsidR="000D1719">
        <w:rPr>
          <w:lang w:val="fr-FR"/>
        </w:rPr>
        <w:t>’</w:t>
      </w:r>
      <w:r w:rsidR="00B639B6" w:rsidRPr="005F7EB4">
        <w:rPr>
          <w:lang w:val="fr-FR"/>
        </w:rPr>
        <w:t>est nécessaire, même si l</w:t>
      </w:r>
      <w:r w:rsidR="000D1719">
        <w:rPr>
          <w:lang w:val="fr-FR"/>
        </w:rPr>
        <w:t>’</w:t>
      </w:r>
      <w:r w:rsidR="00B639B6" w:rsidRPr="005F7EB4">
        <w:rPr>
          <w:lang w:val="fr-FR"/>
        </w:rPr>
        <w:t>on considère le cas d</w:t>
      </w:r>
      <w:r w:rsidR="000D1719">
        <w:rPr>
          <w:lang w:val="fr-FR"/>
        </w:rPr>
        <w:t>’</w:t>
      </w:r>
      <w:r w:rsidR="00B639B6" w:rsidRPr="005F7EB4">
        <w:rPr>
          <w:lang w:val="fr-FR"/>
        </w:rPr>
        <w:t>un passage de l</w:t>
      </w:r>
      <w:r w:rsidR="000D1719">
        <w:rPr>
          <w:lang w:val="fr-FR"/>
        </w:rPr>
        <w:t>’</w:t>
      </w:r>
      <w:r w:rsidR="00B639B6" w:rsidRPr="005F7EB4">
        <w:rPr>
          <w:lang w:val="fr-FR"/>
        </w:rPr>
        <w:t>essence au GPL après avoir refait le plein du réservoir à GPL jusqu</w:t>
      </w:r>
      <w:r w:rsidR="000D1719">
        <w:rPr>
          <w:lang w:val="fr-FR"/>
        </w:rPr>
        <w:t>’</w:t>
      </w:r>
      <w:r w:rsidR="00B639B6" w:rsidRPr="005F7EB4">
        <w:rPr>
          <w:lang w:val="fr-FR"/>
        </w:rPr>
        <w:t>à 80 %.</w:t>
      </w:r>
    </w:p>
    <w:p w:rsidR="00B639B6" w:rsidRPr="005F7EB4" w:rsidRDefault="00B639B6" w:rsidP="00B80C89">
      <w:pPr>
        <w:pStyle w:val="SingleTxtG"/>
        <w:ind w:left="2268" w:hanging="567"/>
        <w:rPr>
          <w:lang w:val="fr-FR" w:eastAsia="ar-SA"/>
        </w:rPr>
      </w:pPr>
      <w:r w:rsidRPr="005F7EB4">
        <w:rPr>
          <w:lang w:val="fr-FR" w:eastAsia="ar-SA"/>
        </w:rPr>
        <w:t>En particulier pour les raisons suivantes :</w:t>
      </w:r>
    </w:p>
    <w:p w:rsidR="00B639B6" w:rsidRPr="005F7EB4" w:rsidRDefault="00B639B6" w:rsidP="001C4009">
      <w:pPr>
        <w:pStyle w:val="SingleTxtG"/>
        <w:ind w:left="1701" w:hanging="567"/>
        <w:rPr>
          <w:lang w:val="fr-FR" w:eastAsia="ar-SA"/>
        </w:rPr>
      </w:pPr>
      <w:r w:rsidRPr="005F7EB4">
        <w:rPr>
          <w:lang w:val="fr-FR" w:eastAsia="ar-SA"/>
        </w:rPr>
        <w:tab/>
      </w:r>
      <w:r>
        <w:rPr>
          <w:lang w:val="fr-FR"/>
        </w:rPr>
        <w:t>a)</w:t>
      </w:r>
      <w:r>
        <w:rPr>
          <w:lang w:val="fr-FR"/>
        </w:rPr>
        <w:tab/>
      </w:r>
      <w:r w:rsidRPr="005F7EB4">
        <w:rPr>
          <w:lang w:val="fr-FR"/>
        </w:rPr>
        <w:t>Le taux de remplissage maximum pour le GPL dans les conditions de température à prévoir se situe au-delà de 85 % (voir prescriptions TPED, PED, Accord européen relatif au transport international des marchandises dangereuses par route (ADR)).</w:t>
      </w:r>
      <w:r>
        <w:rPr>
          <w:lang w:val="fr-FR"/>
        </w:rPr>
        <w:t xml:space="preserve"> Le Règlement O</w:t>
      </w:r>
      <w:r w:rsidR="005F61E1">
        <w:rPr>
          <w:lang w:val="fr-FR"/>
        </w:rPr>
        <w:t xml:space="preserve">NU </w:t>
      </w:r>
      <w:r w:rsidR="005F61E1" w:rsidRPr="005F61E1">
        <w:rPr>
          <w:rFonts w:eastAsia="MS Mincho"/>
          <w:lang w:val="fr-FR"/>
        </w:rPr>
        <w:t>n</w:t>
      </w:r>
      <w:r w:rsidR="005F61E1" w:rsidRPr="005F61E1">
        <w:rPr>
          <w:rFonts w:eastAsia="MS Mincho"/>
          <w:vertAlign w:val="superscript"/>
          <w:lang w:val="fr-FR"/>
        </w:rPr>
        <w:t>o</w:t>
      </w:r>
      <w:r w:rsidR="005F61E1">
        <w:rPr>
          <w:lang w:val="fr-FR"/>
        </w:rPr>
        <w:t> </w:t>
      </w:r>
      <w:r w:rsidRPr="005F7EB4">
        <w:rPr>
          <w:lang w:val="fr-FR"/>
        </w:rPr>
        <w:t>67, série 01 d</w:t>
      </w:r>
      <w:r w:rsidR="000D1719">
        <w:rPr>
          <w:lang w:val="fr-FR"/>
        </w:rPr>
        <w:t>’</w:t>
      </w:r>
      <w:r w:rsidRPr="005F7EB4">
        <w:rPr>
          <w:lang w:val="fr-FR"/>
        </w:rPr>
        <w:t>amendements, offre donc une marge de sécurité de 5 %.</w:t>
      </w:r>
    </w:p>
    <w:p w:rsidR="00B639B6" w:rsidRPr="005F7EB4" w:rsidRDefault="00B639B6" w:rsidP="001C4009">
      <w:pPr>
        <w:pStyle w:val="SingleTxtG"/>
        <w:ind w:left="1701" w:hanging="567"/>
        <w:rPr>
          <w:lang w:val="fr-FR"/>
        </w:rPr>
      </w:pPr>
      <w:r w:rsidRPr="005F7EB4">
        <w:rPr>
          <w:lang w:val="fr-FR" w:eastAsia="ar-SA"/>
        </w:rPr>
        <w:tab/>
      </w:r>
      <w:r>
        <w:rPr>
          <w:lang w:val="fr-FR"/>
        </w:rPr>
        <w:t>b)</w:t>
      </w:r>
      <w:r>
        <w:rPr>
          <w:lang w:val="fr-FR"/>
        </w:rPr>
        <w:tab/>
      </w:r>
      <w:r w:rsidRPr="005F7EB4">
        <w:rPr>
          <w:lang w:val="fr-FR"/>
        </w:rPr>
        <w:t>Le risque de surremplissage d</w:t>
      </w:r>
      <w:r w:rsidR="000D1719">
        <w:rPr>
          <w:lang w:val="fr-FR"/>
        </w:rPr>
        <w:t>’</w:t>
      </w:r>
      <w:r w:rsidRPr="005F7EB4">
        <w:rPr>
          <w:lang w:val="fr-FR"/>
        </w:rPr>
        <w:t xml:space="preserve">un </w:t>
      </w:r>
      <w:r w:rsidRPr="00B639B6">
        <w:rPr>
          <w:lang w:val="fr-FR"/>
        </w:rPr>
        <w:t>équipement</w:t>
      </w:r>
      <w:r w:rsidRPr="005F7EB4">
        <w:rPr>
          <w:lang w:val="fr-FR"/>
        </w:rPr>
        <w:t xml:space="preserve"> GPL resterait le plus important au moment de ravitaillement en carburant indépendamment de l</w:t>
      </w:r>
      <w:r w:rsidR="000D1719">
        <w:rPr>
          <w:lang w:val="fr-FR"/>
        </w:rPr>
        <w:t>’</w:t>
      </w:r>
      <w:r w:rsidRPr="005F7EB4">
        <w:rPr>
          <w:lang w:val="fr-FR"/>
        </w:rPr>
        <w:t>éventuel reflux d</w:t>
      </w:r>
      <w:r w:rsidR="000D1719">
        <w:rPr>
          <w:lang w:val="fr-FR"/>
        </w:rPr>
        <w:t>’</w:t>
      </w:r>
      <w:r w:rsidRPr="005F7EB4">
        <w:rPr>
          <w:lang w:val="fr-FR"/>
        </w:rPr>
        <w:t>une petite quantité d</w:t>
      </w:r>
      <w:r w:rsidR="000D1719">
        <w:rPr>
          <w:lang w:val="fr-FR"/>
        </w:rPr>
        <w:t>’</w:t>
      </w:r>
      <w:r w:rsidRPr="005F7EB4">
        <w:rPr>
          <w:lang w:val="fr-FR"/>
        </w:rPr>
        <w:t>essence dans le réservoir à GPL, car le limiteur de remplissage à 80 % autorise un débit résiduel d</w:t>
      </w:r>
      <w:r w:rsidR="000D1719">
        <w:rPr>
          <w:lang w:val="fr-FR"/>
        </w:rPr>
        <w:t>’</w:t>
      </w:r>
      <w:r w:rsidRPr="005F7EB4">
        <w:rPr>
          <w:lang w:val="fr-FR"/>
        </w:rPr>
        <w:t>un demi-litre par minute pour permettre d</w:t>
      </w:r>
      <w:r w:rsidR="000D1719">
        <w:rPr>
          <w:lang w:val="fr-FR"/>
        </w:rPr>
        <w:t>’</w:t>
      </w:r>
      <w:r w:rsidRPr="005F7EB4">
        <w:rPr>
          <w:lang w:val="fr-FR"/>
        </w:rPr>
        <w:t>arrondir le montant à payer. Compte tenu de la réduction radicale du débit (de valeurs à deux chiffres en l/min jusqu</w:t>
      </w:r>
      <w:r w:rsidR="000D1719">
        <w:rPr>
          <w:lang w:val="fr-FR"/>
        </w:rPr>
        <w:t>’</w:t>
      </w:r>
      <w:r w:rsidRPr="005F7EB4">
        <w:rPr>
          <w:lang w:val="fr-FR"/>
        </w:rPr>
        <w:t>à 0,5 l/min maximum) et de la marge de sécurité suffisante (80 % contre 85 %), ce point a déjà été traité de manière adéquate dans le Règlement.</w:t>
      </w:r>
    </w:p>
    <w:p w:rsidR="00B639B6" w:rsidRPr="005F7EB4" w:rsidRDefault="00B639B6" w:rsidP="001C4009">
      <w:pPr>
        <w:pStyle w:val="SingleTxtG"/>
        <w:ind w:left="1701" w:hanging="567"/>
        <w:rPr>
          <w:lang w:val="fr-FR"/>
        </w:rPr>
      </w:pPr>
      <w:r w:rsidRPr="005F7EB4">
        <w:rPr>
          <w:lang w:val="fr-FR"/>
        </w:rPr>
        <w:tab/>
      </w:r>
      <w:r>
        <w:rPr>
          <w:lang w:val="fr-FR"/>
        </w:rPr>
        <w:t>c)</w:t>
      </w:r>
      <w:r>
        <w:rPr>
          <w:lang w:val="fr-FR"/>
        </w:rPr>
        <w:tab/>
      </w:r>
      <w:r w:rsidRPr="005F7EB4">
        <w:rPr>
          <w:lang w:val="fr-FR"/>
        </w:rPr>
        <w:t>Conformément aux dispositions du nouveau paragraphe 6 de l</w:t>
      </w:r>
      <w:r w:rsidR="000D1719">
        <w:rPr>
          <w:lang w:val="fr-FR"/>
        </w:rPr>
        <w:t>’</w:t>
      </w:r>
      <w:r w:rsidRPr="005F7EB4">
        <w:rPr>
          <w:lang w:val="fr-FR"/>
        </w:rPr>
        <w:t xml:space="preserve">annexe 14, les </w:t>
      </w:r>
      <w:r w:rsidRPr="00B639B6">
        <w:rPr>
          <w:lang w:val="fr-FR"/>
        </w:rPr>
        <w:t>équipements</w:t>
      </w:r>
      <w:r w:rsidRPr="005F7EB4">
        <w:rPr>
          <w:lang w:val="fr-FR"/>
        </w:rPr>
        <w:t xml:space="preserve"> GPL interconnectés devront consommer le reflux unique qui sera causé par le passage de l</w:t>
      </w:r>
      <w:r w:rsidR="000D1719">
        <w:rPr>
          <w:lang w:val="fr-FR"/>
        </w:rPr>
        <w:t>’</w:t>
      </w:r>
      <w:r w:rsidRPr="005F7EB4">
        <w:rPr>
          <w:lang w:val="fr-FR"/>
        </w:rPr>
        <w:t>essence au GPL après le ravitaillement.</w:t>
      </w:r>
    </w:p>
    <w:p w:rsidR="00B639B6" w:rsidRPr="005F7EB4" w:rsidRDefault="00B80C89" w:rsidP="001C4009">
      <w:pPr>
        <w:pStyle w:val="SingleTxtG"/>
        <w:ind w:left="1701" w:hanging="567"/>
        <w:rPr>
          <w:lang w:val="fr-FR"/>
        </w:rPr>
      </w:pPr>
      <w:r>
        <w:rPr>
          <w:lang w:val="fr-FR"/>
        </w:rPr>
        <w:t>B.5</w:t>
      </w:r>
      <w:r w:rsidR="00B639B6" w:rsidRPr="005F7EB4">
        <w:rPr>
          <w:lang w:val="fr-FR"/>
        </w:rPr>
        <w:tab/>
        <w:t>Le nouveau paragraphe 6.17 impose un essai approprié de compatibilité entre l</w:t>
      </w:r>
      <w:r w:rsidR="000D1719">
        <w:rPr>
          <w:lang w:val="fr-FR"/>
        </w:rPr>
        <w:t>’</w:t>
      </w:r>
      <w:r w:rsidR="00B639B6" w:rsidRPr="005F7EB4">
        <w:rPr>
          <w:lang w:val="fr-FR"/>
        </w:rPr>
        <w:t xml:space="preserve">essence et les </w:t>
      </w:r>
      <w:r w:rsidR="00B639B6" w:rsidRPr="00B639B6">
        <w:rPr>
          <w:lang w:val="fr-FR"/>
        </w:rPr>
        <w:t>organes</w:t>
      </w:r>
      <w:r w:rsidR="00B639B6" w:rsidRPr="005F7EB4">
        <w:rPr>
          <w:lang w:val="fr-FR"/>
        </w:rPr>
        <w:t xml:space="preserve"> ou parties des équipements GPL interconnectés qui peuvent entrer en contact avec elle. Il impose aussi un marquage distinctif pour ces </w:t>
      </w:r>
      <w:r w:rsidR="00B639B6" w:rsidRPr="00B639B6">
        <w:rPr>
          <w:lang w:val="fr-FR"/>
        </w:rPr>
        <w:t>organes</w:t>
      </w:r>
      <w:r w:rsidR="00B639B6" w:rsidRPr="005F7EB4">
        <w:rPr>
          <w:lang w:val="fr-FR"/>
        </w:rPr>
        <w:t xml:space="preserve"> ou les </w:t>
      </w:r>
      <w:r w:rsidR="00B639B6" w:rsidRPr="00B639B6">
        <w:rPr>
          <w:lang w:val="fr-FR"/>
        </w:rPr>
        <w:t>organes</w:t>
      </w:r>
      <w:r w:rsidR="00B639B6" w:rsidRPr="005F7EB4">
        <w:rPr>
          <w:lang w:val="fr-FR"/>
        </w:rPr>
        <w:t xml:space="preserve"> contenant ces parties.</w:t>
      </w:r>
    </w:p>
    <w:p w:rsidR="00B639B6" w:rsidRPr="005F7EB4" w:rsidRDefault="00B80C89" w:rsidP="001C4009">
      <w:pPr>
        <w:pStyle w:val="SingleTxtG"/>
        <w:ind w:left="1701" w:hanging="567"/>
        <w:rPr>
          <w:lang w:val="fr-FR"/>
        </w:rPr>
      </w:pPr>
      <w:r>
        <w:rPr>
          <w:lang w:val="fr-FR"/>
        </w:rPr>
        <w:t>B.6</w:t>
      </w:r>
      <w:r w:rsidR="00B639B6" w:rsidRPr="005F7EB4">
        <w:rPr>
          <w:lang w:val="fr-FR"/>
        </w:rPr>
        <w:tab/>
        <w:t xml:space="preserve">Le nouveau paragraphe 17.13 contient les prescriptions relatives aux équipements GPL interconnectés et établit une distinction entre les véhicules </w:t>
      </w:r>
      <w:r w:rsidR="00B639B6" w:rsidRPr="00B639B6">
        <w:rPr>
          <w:lang w:val="fr-FR"/>
        </w:rPr>
        <w:t>à bicarburation simultanée</w:t>
      </w:r>
      <w:r w:rsidR="00B639B6" w:rsidRPr="005F7EB4">
        <w:rPr>
          <w:lang w:val="fr-FR"/>
        </w:rPr>
        <w:t xml:space="preserve"> (GPL-gazole) (par. 17.13.1) et les véhicules </w:t>
      </w:r>
      <w:r w:rsidR="00B639B6" w:rsidRPr="00B639B6">
        <w:rPr>
          <w:lang w:val="fr-FR"/>
        </w:rPr>
        <w:t>à bicarburation</w:t>
      </w:r>
      <w:r w:rsidR="00B639B6" w:rsidRPr="005F7EB4">
        <w:rPr>
          <w:lang w:val="fr-FR"/>
        </w:rPr>
        <w:t xml:space="preserve"> </w:t>
      </w:r>
      <w:r w:rsidR="00B639B6" w:rsidRPr="00B639B6">
        <w:rPr>
          <w:lang w:val="fr-FR"/>
        </w:rPr>
        <w:t>alternée</w:t>
      </w:r>
      <w:r w:rsidR="00B639B6" w:rsidRPr="005F7EB4">
        <w:rPr>
          <w:lang w:val="fr-FR"/>
        </w:rPr>
        <w:t xml:space="preserve"> (GPL-essence) (par. 17.13.2).</w:t>
      </w:r>
    </w:p>
    <w:p w:rsidR="00B639B6" w:rsidRPr="005F7EB4" w:rsidRDefault="00B639B6" w:rsidP="00B80C89">
      <w:pPr>
        <w:pStyle w:val="SingleTxtG"/>
        <w:ind w:left="1701" w:hanging="567"/>
        <w:rPr>
          <w:lang w:val="fr-FR"/>
        </w:rPr>
      </w:pPr>
      <w:r w:rsidRPr="00B639B6">
        <w:rPr>
          <w:lang w:val="fr-FR"/>
        </w:rPr>
        <w:tab/>
      </w:r>
      <w:r w:rsidRPr="005F7EB4">
        <w:rPr>
          <w:lang w:val="fr-FR"/>
        </w:rPr>
        <w:t xml:space="preserve">Sur un véhicule à bicarburation simultanée, on empêche le reflux de GPL vers le réservoir à </w:t>
      </w:r>
      <w:r w:rsidRPr="00B639B6">
        <w:rPr>
          <w:lang w:val="fr-FR"/>
        </w:rPr>
        <w:t>gazole</w:t>
      </w:r>
      <w:r w:rsidRPr="005F7EB4">
        <w:rPr>
          <w:lang w:val="fr-FR"/>
        </w:rPr>
        <w:t xml:space="preserve"> en imposant l</w:t>
      </w:r>
      <w:r w:rsidR="000D1719">
        <w:rPr>
          <w:lang w:val="fr-FR"/>
        </w:rPr>
        <w:t>’</w:t>
      </w:r>
      <w:r w:rsidRPr="005F7EB4">
        <w:rPr>
          <w:lang w:val="fr-FR"/>
        </w:rPr>
        <w:t>application d</w:t>
      </w:r>
      <w:r w:rsidR="000D1719">
        <w:rPr>
          <w:lang w:val="fr-FR"/>
        </w:rPr>
        <w:t>’</w:t>
      </w:r>
      <w:r w:rsidRPr="005F7EB4">
        <w:rPr>
          <w:lang w:val="fr-FR"/>
        </w:rPr>
        <w:t xml:space="preserve">un concept de sécurité approprié, </w:t>
      </w:r>
      <w:r w:rsidRPr="00B639B6">
        <w:rPr>
          <w:lang w:val="fr-FR"/>
        </w:rPr>
        <w:t>respectivement dans les paragraphes 17.13.1.1 et 17.13.1.2</w:t>
      </w:r>
      <w:r w:rsidRPr="005F7EB4">
        <w:rPr>
          <w:lang w:val="fr-FR"/>
        </w:rPr>
        <w:t>.</w:t>
      </w:r>
    </w:p>
    <w:p w:rsidR="00B639B6" w:rsidRPr="005F7EB4" w:rsidRDefault="00B639B6" w:rsidP="00B80C89">
      <w:pPr>
        <w:pStyle w:val="SingleTxtG"/>
        <w:ind w:left="1701" w:hanging="567"/>
        <w:rPr>
          <w:lang w:val="fr-FR"/>
        </w:rPr>
      </w:pPr>
      <w:r w:rsidRPr="005F7EB4">
        <w:rPr>
          <w:lang w:val="fr-FR"/>
        </w:rPr>
        <w:tab/>
        <w:t>L</w:t>
      </w:r>
      <w:r w:rsidR="000D1719">
        <w:rPr>
          <w:lang w:val="fr-FR"/>
        </w:rPr>
        <w:t>’</w:t>
      </w:r>
      <w:r w:rsidRPr="005F7EB4">
        <w:rPr>
          <w:lang w:val="fr-FR"/>
        </w:rPr>
        <w:t>installation de deux soupapes antiretour sur le circuit d</w:t>
      </w:r>
      <w:r w:rsidR="000D1719">
        <w:rPr>
          <w:lang w:val="fr-FR"/>
        </w:rPr>
        <w:t>’</w:t>
      </w:r>
      <w:r w:rsidRPr="005F7EB4">
        <w:rPr>
          <w:lang w:val="fr-FR"/>
        </w:rPr>
        <w:t>écoulement est considérée comme un moyen efficace et fiable si les soupapes sont homologuées conformément à l</w:t>
      </w:r>
      <w:r w:rsidR="000D1719">
        <w:rPr>
          <w:lang w:val="fr-FR"/>
        </w:rPr>
        <w:t>’</w:t>
      </w:r>
      <w:r w:rsidRPr="005F7EB4">
        <w:rPr>
          <w:lang w:val="fr-FR"/>
        </w:rPr>
        <w:t>essai de durabilité prescrit au paragraphe 9.6 de l</w:t>
      </w:r>
      <w:r w:rsidR="000D1719">
        <w:rPr>
          <w:lang w:val="fr-FR"/>
        </w:rPr>
        <w:t>’</w:t>
      </w:r>
      <w:r w:rsidRPr="005F7EB4">
        <w:rPr>
          <w:lang w:val="fr-FR"/>
        </w:rPr>
        <w:t>annexe 15 (voir la justification B.7.1)</w:t>
      </w:r>
    </w:p>
    <w:p w:rsidR="00B639B6" w:rsidRPr="005F7EB4" w:rsidRDefault="00B639B6" w:rsidP="00B80C89">
      <w:pPr>
        <w:pStyle w:val="SingleTxtG"/>
        <w:ind w:left="1701" w:hanging="567"/>
        <w:rPr>
          <w:lang w:val="fr-FR"/>
        </w:rPr>
      </w:pPr>
      <w:r w:rsidRPr="00B80C89">
        <w:rPr>
          <w:lang w:val="fr-FR"/>
        </w:rPr>
        <w:tab/>
      </w:r>
      <w:r w:rsidRPr="005F7EB4">
        <w:rPr>
          <w:lang w:val="fr-FR"/>
        </w:rPr>
        <w:t xml:space="preserve">Sur un véhicule à bicarburation </w:t>
      </w:r>
      <w:r w:rsidRPr="00B639B6">
        <w:rPr>
          <w:lang w:val="fr-FR"/>
        </w:rPr>
        <w:t>alternée</w:t>
      </w:r>
      <w:r w:rsidRPr="005F7EB4">
        <w:rPr>
          <w:lang w:val="fr-FR"/>
        </w:rPr>
        <w:t>, on empêche le reflux de GPL vers le réservoir à essence en imposant l</w:t>
      </w:r>
      <w:r w:rsidR="000D1719">
        <w:rPr>
          <w:lang w:val="fr-FR"/>
        </w:rPr>
        <w:t>’</w:t>
      </w:r>
      <w:r w:rsidRPr="005F7EB4">
        <w:rPr>
          <w:lang w:val="fr-FR"/>
        </w:rPr>
        <w:t>application d</w:t>
      </w:r>
      <w:r w:rsidR="000D1719">
        <w:rPr>
          <w:lang w:val="fr-FR"/>
        </w:rPr>
        <w:t>’</w:t>
      </w:r>
      <w:r w:rsidRPr="005F7EB4">
        <w:rPr>
          <w:lang w:val="fr-FR"/>
        </w:rPr>
        <w:t>un concept de sécurité approprié (par. 17.13.2.1, première phrase).</w:t>
      </w:r>
    </w:p>
    <w:p w:rsidR="00B639B6" w:rsidRPr="005F7EB4" w:rsidRDefault="00B639B6" w:rsidP="00B80C89">
      <w:pPr>
        <w:pStyle w:val="SingleTxtG"/>
        <w:ind w:left="1701" w:hanging="567"/>
        <w:rPr>
          <w:lang w:val="fr-FR"/>
        </w:rPr>
      </w:pPr>
      <w:r w:rsidRPr="005F7EB4">
        <w:rPr>
          <w:lang w:val="fr-FR"/>
        </w:rPr>
        <w:tab/>
        <w:t>L</w:t>
      </w:r>
      <w:r w:rsidR="000D1719">
        <w:rPr>
          <w:lang w:val="fr-FR"/>
        </w:rPr>
        <w:t>’</w:t>
      </w:r>
      <w:r w:rsidRPr="005F7EB4">
        <w:rPr>
          <w:lang w:val="fr-FR"/>
        </w:rPr>
        <w:t>installation de deux soupapes antiretour sur le circuit d</w:t>
      </w:r>
      <w:r w:rsidR="000D1719">
        <w:rPr>
          <w:lang w:val="fr-FR"/>
        </w:rPr>
        <w:t>’</w:t>
      </w:r>
      <w:r w:rsidRPr="005F7EB4">
        <w:rPr>
          <w:lang w:val="fr-FR"/>
        </w:rPr>
        <w:t>écoulement est considérée comme un moyen efficace et fiable si les soupapes sont homologuées conformément à l</w:t>
      </w:r>
      <w:r w:rsidR="000D1719">
        <w:rPr>
          <w:lang w:val="fr-FR"/>
        </w:rPr>
        <w:t>’</w:t>
      </w:r>
      <w:r w:rsidRPr="005F7EB4">
        <w:rPr>
          <w:lang w:val="fr-FR"/>
        </w:rPr>
        <w:t>essai de durabilité prescrit au paragraphe 9.6 de l</w:t>
      </w:r>
      <w:r w:rsidR="000D1719">
        <w:rPr>
          <w:lang w:val="fr-FR"/>
        </w:rPr>
        <w:t>’</w:t>
      </w:r>
      <w:r w:rsidRPr="005F7EB4">
        <w:rPr>
          <w:lang w:val="fr-FR"/>
        </w:rPr>
        <w:t>annexe 15 (voir la justification B.7.1) (par. 17.13.2.1, seconde phrase).</w:t>
      </w:r>
    </w:p>
    <w:p w:rsidR="00B639B6" w:rsidRPr="005F7EB4" w:rsidRDefault="00B639B6" w:rsidP="00B80C89">
      <w:pPr>
        <w:pStyle w:val="SingleTxtG"/>
        <w:ind w:left="1701" w:hanging="567"/>
        <w:rPr>
          <w:lang w:val="fr-FR"/>
        </w:rPr>
      </w:pPr>
      <w:r w:rsidRPr="005F7EB4">
        <w:rPr>
          <w:lang w:val="fr-FR"/>
        </w:rPr>
        <w:tab/>
        <w:t>Les reflux d</w:t>
      </w:r>
      <w:r w:rsidR="000D1719">
        <w:rPr>
          <w:lang w:val="fr-FR"/>
        </w:rPr>
        <w:t>’</w:t>
      </w:r>
      <w:r w:rsidRPr="005F7EB4">
        <w:rPr>
          <w:lang w:val="fr-FR"/>
        </w:rPr>
        <w:t>essence vers le réservoir à GPL ne sont autorisés que durant les opérations de passage d</w:t>
      </w:r>
      <w:r w:rsidR="000D1719">
        <w:rPr>
          <w:lang w:val="fr-FR"/>
        </w:rPr>
        <w:t>’</w:t>
      </w:r>
      <w:r w:rsidRPr="005F7EB4">
        <w:rPr>
          <w:lang w:val="fr-FR"/>
        </w:rPr>
        <w:t>un carburant à l</w:t>
      </w:r>
      <w:r w:rsidR="000D1719">
        <w:rPr>
          <w:lang w:val="fr-FR"/>
        </w:rPr>
        <w:t>’</w:t>
      </w:r>
      <w:r w:rsidRPr="005F7EB4">
        <w:rPr>
          <w:lang w:val="fr-FR"/>
        </w:rPr>
        <w:t>autre et dans certaines conditions visant à empêcher le surremplissage du réservoir à GPL (par. 17.13.2.2) et le mélange d</w:t>
      </w:r>
      <w:r w:rsidR="000D1719">
        <w:rPr>
          <w:lang w:val="fr-FR"/>
        </w:rPr>
        <w:t>’</w:t>
      </w:r>
      <w:r w:rsidRPr="005F7EB4">
        <w:rPr>
          <w:lang w:val="fr-FR"/>
        </w:rPr>
        <w:t>une quantité excessive d</w:t>
      </w:r>
      <w:r w:rsidR="000D1719">
        <w:rPr>
          <w:lang w:val="fr-FR"/>
        </w:rPr>
        <w:t>’</w:t>
      </w:r>
      <w:r w:rsidRPr="005F7EB4">
        <w:rPr>
          <w:lang w:val="fr-FR"/>
        </w:rPr>
        <w:t xml:space="preserve">essence avec le GPL (par. 17.13.2.3), dépassant la limite fixée dans les Règlements </w:t>
      </w:r>
      <w:r w:rsidR="005F61E1" w:rsidRPr="005F61E1">
        <w:rPr>
          <w:rFonts w:eastAsia="MS Mincho"/>
          <w:lang w:val="fr-FR"/>
        </w:rPr>
        <w:t>n</w:t>
      </w:r>
      <w:r w:rsidR="005F61E1" w:rsidRPr="005F61E1">
        <w:rPr>
          <w:rFonts w:eastAsia="MS Mincho"/>
          <w:vertAlign w:val="superscript"/>
          <w:lang w:val="fr-FR"/>
        </w:rPr>
        <w:t>o</w:t>
      </w:r>
      <w:r w:rsidR="005F61E1">
        <w:rPr>
          <w:rFonts w:eastAsia="MS Mincho"/>
          <w:vertAlign w:val="superscript"/>
          <w:lang w:val="fr-FR"/>
        </w:rPr>
        <w:t>s</w:t>
      </w:r>
      <w:r w:rsidR="005F61E1">
        <w:rPr>
          <w:lang w:val="fr-FR"/>
        </w:rPr>
        <w:t> </w:t>
      </w:r>
      <w:r w:rsidRPr="005F7EB4">
        <w:rPr>
          <w:lang w:val="fr-FR"/>
        </w:rPr>
        <w:t>83 et 115 (20 % en énergie).</w:t>
      </w:r>
    </w:p>
    <w:p w:rsidR="00B639B6" w:rsidRPr="005F7EB4" w:rsidRDefault="00B639B6" w:rsidP="00B80C89">
      <w:pPr>
        <w:pStyle w:val="SingleTxtG"/>
        <w:ind w:left="1701" w:hanging="567"/>
        <w:rPr>
          <w:lang w:val="fr-FR"/>
        </w:rPr>
      </w:pPr>
      <w:r w:rsidRPr="005F7EB4">
        <w:rPr>
          <w:lang w:val="fr-FR"/>
        </w:rPr>
        <w:tab/>
        <w:t>Une vanne d</w:t>
      </w:r>
      <w:r w:rsidR="000D1719">
        <w:rPr>
          <w:lang w:val="fr-FR"/>
        </w:rPr>
        <w:t>’</w:t>
      </w:r>
      <w:r w:rsidRPr="005F7EB4">
        <w:rPr>
          <w:lang w:val="fr-FR"/>
        </w:rPr>
        <w:t>arrêt télécommandée doit être installée sur le circuit d</w:t>
      </w:r>
      <w:r w:rsidR="000D1719">
        <w:rPr>
          <w:lang w:val="fr-FR"/>
        </w:rPr>
        <w:t>’</w:t>
      </w:r>
      <w:r w:rsidRPr="005F7EB4">
        <w:rPr>
          <w:lang w:val="fr-FR"/>
        </w:rPr>
        <w:t>écoulement, pour actionner les passages d</w:t>
      </w:r>
      <w:r w:rsidR="000D1719">
        <w:rPr>
          <w:lang w:val="fr-FR"/>
        </w:rPr>
        <w:t>’</w:t>
      </w:r>
      <w:r w:rsidRPr="005F7EB4">
        <w:rPr>
          <w:lang w:val="fr-FR"/>
        </w:rPr>
        <w:t>un carburant à l</w:t>
      </w:r>
      <w:r w:rsidR="000D1719">
        <w:rPr>
          <w:lang w:val="fr-FR"/>
        </w:rPr>
        <w:t>’</w:t>
      </w:r>
      <w:r w:rsidRPr="005F7EB4">
        <w:rPr>
          <w:lang w:val="fr-FR"/>
        </w:rPr>
        <w:t>autre.</w:t>
      </w:r>
    </w:p>
    <w:p w:rsidR="00B639B6" w:rsidRPr="005F7EB4" w:rsidRDefault="00B639B6" w:rsidP="00B80C89">
      <w:pPr>
        <w:pStyle w:val="SingleTxtG"/>
        <w:ind w:left="1701" w:hanging="567"/>
        <w:rPr>
          <w:lang w:val="fr-FR"/>
        </w:rPr>
      </w:pPr>
      <w:r w:rsidRPr="005F7EB4">
        <w:rPr>
          <w:lang w:val="fr-FR"/>
        </w:rPr>
        <w:tab/>
        <w:t>La vanne doit satisfaire à un essai de durabilité prévoyant des conditions d</w:t>
      </w:r>
      <w:r w:rsidR="000D1719">
        <w:rPr>
          <w:lang w:val="fr-FR"/>
        </w:rPr>
        <w:t>’</w:t>
      </w:r>
      <w:r w:rsidRPr="005F7EB4">
        <w:rPr>
          <w:lang w:val="fr-FR"/>
        </w:rPr>
        <w:t xml:space="preserve">endurance plus rigoureuses que celui prescrit pour les autres </w:t>
      </w:r>
      <w:r w:rsidRPr="00B639B6">
        <w:rPr>
          <w:lang w:val="fr-FR"/>
        </w:rPr>
        <w:t>organes</w:t>
      </w:r>
      <w:r w:rsidRPr="005F7EB4">
        <w:rPr>
          <w:lang w:val="fr-FR"/>
        </w:rPr>
        <w:t xml:space="preserve"> (voir justification B.4).</w:t>
      </w:r>
    </w:p>
    <w:p w:rsidR="00B639B6" w:rsidRPr="005F7EB4" w:rsidRDefault="00B80C89" w:rsidP="00B80C89">
      <w:pPr>
        <w:pStyle w:val="SingleTxtG"/>
        <w:ind w:left="1701" w:hanging="567"/>
        <w:rPr>
          <w:lang w:val="fr-FR" w:eastAsia="ar-SA"/>
        </w:rPr>
      </w:pPr>
      <w:r>
        <w:rPr>
          <w:lang w:val="fr-FR"/>
        </w:rPr>
        <w:t>B.7</w:t>
      </w:r>
      <w:r w:rsidR="00B639B6" w:rsidRPr="005F7EB4">
        <w:rPr>
          <w:lang w:val="fr-FR"/>
        </w:rPr>
        <w:tab/>
        <w:t>Afin d</w:t>
      </w:r>
      <w:r w:rsidR="000D1719">
        <w:rPr>
          <w:lang w:val="fr-FR"/>
        </w:rPr>
        <w:t>’</w:t>
      </w:r>
      <w:r w:rsidR="00B639B6" w:rsidRPr="005F7EB4">
        <w:rPr>
          <w:lang w:val="fr-FR"/>
        </w:rPr>
        <w:t>empêcher un surremplissage du réservoir à GPL à la suite de reflux d</w:t>
      </w:r>
      <w:r w:rsidR="000D1719">
        <w:rPr>
          <w:lang w:val="fr-FR"/>
        </w:rPr>
        <w:t>’</w:t>
      </w:r>
      <w:r w:rsidR="00B639B6" w:rsidRPr="005F7EB4">
        <w:rPr>
          <w:lang w:val="fr-FR"/>
        </w:rPr>
        <w:t>essence pouvant se produire durant les opérations de passage d</w:t>
      </w:r>
      <w:r w:rsidR="000D1719">
        <w:rPr>
          <w:lang w:val="fr-FR"/>
        </w:rPr>
        <w:t>’</w:t>
      </w:r>
      <w:r w:rsidR="00B639B6" w:rsidRPr="005F7EB4">
        <w:rPr>
          <w:lang w:val="fr-FR"/>
        </w:rPr>
        <w:t>un mode à un autre, le module de commande électronique d</w:t>
      </w:r>
      <w:r w:rsidR="000D1719">
        <w:rPr>
          <w:lang w:val="fr-FR"/>
        </w:rPr>
        <w:t>’</w:t>
      </w:r>
      <w:r w:rsidR="00B639B6" w:rsidRPr="005F7EB4">
        <w:rPr>
          <w:lang w:val="fr-FR"/>
        </w:rPr>
        <w:t>un équipement GPL interconnecté doit satisfaire aux dispositions du nouveau paragraphe 6 de l</w:t>
      </w:r>
      <w:r w:rsidR="000D1719">
        <w:rPr>
          <w:lang w:val="fr-FR"/>
        </w:rPr>
        <w:t>’</w:t>
      </w:r>
      <w:r w:rsidR="00B639B6" w:rsidRPr="005F7EB4">
        <w:rPr>
          <w:lang w:val="fr-FR"/>
        </w:rPr>
        <w:t>annexe 14, en plus des autres prescriptions applicables (par. 17.1.2.2).</w:t>
      </w:r>
    </w:p>
    <w:p w:rsidR="00B639B6" w:rsidRPr="005F7EB4" w:rsidRDefault="00B639B6" w:rsidP="00B80C89">
      <w:pPr>
        <w:pStyle w:val="SingleTxtG"/>
        <w:ind w:left="1701" w:hanging="567"/>
        <w:rPr>
          <w:lang w:val="fr-FR"/>
        </w:rPr>
      </w:pPr>
      <w:r w:rsidRPr="005F7EB4">
        <w:rPr>
          <w:lang w:val="fr-FR" w:eastAsia="ar-SA"/>
        </w:rPr>
        <w:tab/>
      </w:r>
      <w:r w:rsidRPr="005F7EB4">
        <w:rPr>
          <w:lang w:val="fr-FR"/>
        </w:rPr>
        <w:t>Le paragraphe 6 de l</w:t>
      </w:r>
      <w:r w:rsidR="000D1719">
        <w:rPr>
          <w:lang w:val="fr-FR"/>
        </w:rPr>
        <w:t>’</w:t>
      </w:r>
      <w:r w:rsidRPr="005F7EB4">
        <w:rPr>
          <w:lang w:val="fr-FR"/>
        </w:rPr>
        <w:t>annexe 14 prescrit que le module de commande électronique doit garantir la consommation d</w:t>
      </w:r>
      <w:r w:rsidR="000D1719">
        <w:rPr>
          <w:lang w:val="fr-FR"/>
        </w:rPr>
        <w:t>’</w:t>
      </w:r>
      <w:r w:rsidRPr="005F7EB4">
        <w:rPr>
          <w:lang w:val="fr-FR"/>
        </w:rPr>
        <w:t>un volume équivalent à chaque reflux d</w:t>
      </w:r>
      <w:r w:rsidR="000D1719">
        <w:rPr>
          <w:lang w:val="fr-FR"/>
        </w:rPr>
        <w:t>’</w:t>
      </w:r>
      <w:r w:rsidRPr="005F7EB4">
        <w:rPr>
          <w:lang w:val="fr-FR"/>
        </w:rPr>
        <w:t>essence se produisant lors de l</w:t>
      </w:r>
      <w:r w:rsidR="000D1719">
        <w:rPr>
          <w:lang w:val="fr-FR"/>
        </w:rPr>
        <w:t>’</w:t>
      </w:r>
      <w:r w:rsidRPr="005F7EB4">
        <w:rPr>
          <w:lang w:val="fr-FR"/>
        </w:rPr>
        <w:t>opération de passage d</w:t>
      </w:r>
      <w:r w:rsidR="000D1719">
        <w:rPr>
          <w:lang w:val="fr-FR"/>
        </w:rPr>
        <w:t>’</w:t>
      </w:r>
      <w:r w:rsidRPr="005F7EB4">
        <w:rPr>
          <w:lang w:val="fr-FR"/>
        </w:rPr>
        <w:t>un mode à un autre.</w:t>
      </w:r>
    </w:p>
    <w:p w:rsidR="00B639B6" w:rsidRPr="005F7EB4" w:rsidRDefault="00B639B6" w:rsidP="00B80C89">
      <w:pPr>
        <w:pStyle w:val="SingleTxtG"/>
        <w:ind w:left="1701" w:hanging="567"/>
        <w:rPr>
          <w:lang w:val="fr-FR"/>
        </w:rPr>
      </w:pPr>
      <w:r w:rsidRPr="005F7EB4">
        <w:rPr>
          <w:lang w:val="fr-FR"/>
        </w:rPr>
        <w:tab/>
        <w:t>En d</w:t>
      </w:r>
      <w:r w:rsidR="000D1719">
        <w:rPr>
          <w:lang w:val="fr-FR"/>
        </w:rPr>
        <w:t>’</w:t>
      </w:r>
      <w:r w:rsidRPr="005F7EB4">
        <w:rPr>
          <w:lang w:val="fr-FR"/>
        </w:rPr>
        <w:t>autres termes, le module de commande électronique doit empêcher le retour au mode essence tant qu</w:t>
      </w:r>
      <w:r w:rsidR="000D1719">
        <w:rPr>
          <w:lang w:val="fr-FR"/>
        </w:rPr>
        <w:t>’</w:t>
      </w:r>
      <w:r w:rsidRPr="005F7EB4">
        <w:rPr>
          <w:lang w:val="fr-FR"/>
        </w:rPr>
        <w:t>un tel volume n</w:t>
      </w:r>
      <w:r w:rsidR="000D1719">
        <w:rPr>
          <w:lang w:val="fr-FR"/>
        </w:rPr>
        <w:t>’</w:t>
      </w:r>
      <w:r w:rsidRPr="005F7EB4">
        <w:rPr>
          <w:lang w:val="fr-FR"/>
        </w:rPr>
        <w:t>aura pas été consommé.</w:t>
      </w:r>
    </w:p>
    <w:p w:rsidR="00B639B6" w:rsidRPr="005F7EB4" w:rsidRDefault="00B639B6" w:rsidP="00B80C89">
      <w:pPr>
        <w:pStyle w:val="SingleTxtG"/>
        <w:ind w:left="1701" w:hanging="567"/>
        <w:rPr>
          <w:lang w:val="fr-FR"/>
        </w:rPr>
      </w:pPr>
      <w:r w:rsidRPr="005F7EB4">
        <w:rPr>
          <w:lang w:val="fr-FR"/>
        </w:rPr>
        <w:tab/>
        <w:t>Une dérogation à une telle désactivation temporaire du mode essence n</w:t>
      </w:r>
      <w:r w:rsidR="000D1719">
        <w:rPr>
          <w:lang w:val="fr-FR"/>
        </w:rPr>
        <w:t>’</w:t>
      </w:r>
      <w:r w:rsidRPr="005F7EB4">
        <w:rPr>
          <w:lang w:val="fr-FR"/>
        </w:rPr>
        <w:t>est admise que dans le cas o</w:t>
      </w:r>
      <w:r>
        <w:rPr>
          <w:lang w:val="fr-FR"/>
        </w:rPr>
        <w:t>ù l</w:t>
      </w:r>
      <w:r w:rsidR="000D1719">
        <w:rPr>
          <w:lang w:val="fr-FR"/>
        </w:rPr>
        <w:t>’</w:t>
      </w:r>
      <w:r>
        <w:rPr>
          <w:lang w:val="fr-FR"/>
        </w:rPr>
        <w:t xml:space="preserve">équipement GPL est mis hors </w:t>
      </w:r>
      <w:r w:rsidRPr="005F7EB4">
        <w:rPr>
          <w:lang w:val="fr-FR"/>
        </w:rPr>
        <w:t>fonction par suite d</w:t>
      </w:r>
      <w:r w:rsidR="000D1719">
        <w:rPr>
          <w:lang w:val="fr-FR"/>
        </w:rPr>
        <w:t>’</w:t>
      </w:r>
      <w:r w:rsidRPr="005F7EB4">
        <w:rPr>
          <w:lang w:val="fr-FR"/>
        </w:rPr>
        <w:t>une défaillance interne, pour éviter de mettre le véhicule dans une situation encore plus dangereuse.</w:t>
      </w:r>
    </w:p>
    <w:p w:rsidR="00B639B6" w:rsidRPr="005F7EB4" w:rsidRDefault="00B639B6" w:rsidP="00B80C89">
      <w:pPr>
        <w:pStyle w:val="SingleTxtG"/>
        <w:ind w:left="1701" w:hanging="567"/>
        <w:rPr>
          <w:lang w:val="fr-FR"/>
        </w:rPr>
      </w:pPr>
      <w:r w:rsidRPr="005F7EB4">
        <w:rPr>
          <w:lang w:val="fr-FR"/>
        </w:rPr>
        <w:tab/>
      </w:r>
      <w:r w:rsidRPr="00B639B6">
        <w:rPr>
          <w:lang w:val="fr-FR"/>
        </w:rPr>
        <w:t>Le volume maximal du reflux est fixé à 0,4 litre, et le module de commande électronique doit empêcher tout retour au mode essence tant qu</w:t>
      </w:r>
      <w:r w:rsidR="000D1719">
        <w:rPr>
          <w:lang w:val="fr-FR"/>
        </w:rPr>
        <w:t>’</w:t>
      </w:r>
      <w:r w:rsidR="005F61E1">
        <w:rPr>
          <w:lang w:val="fr-FR"/>
        </w:rPr>
        <w:t>un volume de 0,4 </w:t>
      </w:r>
      <w:r w:rsidRPr="00B639B6">
        <w:rPr>
          <w:lang w:val="fr-FR"/>
        </w:rPr>
        <w:t>litre de GPL n</w:t>
      </w:r>
      <w:r w:rsidR="000D1719">
        <w:rPr>
          <w:lang w:val="fr-FR"/>
        </w:rPr>
        <w:t>’</w:t>
      </w:r>
      <w:r w:rsidRPr="00B639B6">
        <w:rPr>
          <w:lang w:val="fr-FR"/>
        </w:rPr>
        <w:t>a pas été consommé. Si l</w:t>
      </w:r>
      <w:r w:rsidR="000D1719">
        <w:rPr>
          <w:lang w:val="fr-FR"/>
        </w:rPr>
        <w:t>’</w:t>
      </w:r>
      <w:r w:rsidRPr="00B639B6">
        <w:rPr>
          <w:lang w:val="fr-FR"/>
        </w:rPr>
        <w:t>équipement GPL inclut un module de commande électronique, le volume du réservoir doit être d</w:t>
      </w:r>
      <w:r w:rsidR="000D1719">
        <w:rPr>
          <w:lang w:val="fr-FR"/>
        </w:rPr>
        <w:t>’</w:t>
      </w:r>
      <w:r w:rsidRPr="00B639B6">
        <w:rPr>
          <w:lang w:val="fr-FR"/>
        </w:rPr>
        <w:t>au moins 20 litres, conformément aux prescriptions des paragraphes 6.1 et 6.2 de l</w:t>
      </w:r>
      <w:r w:rsidR="000D1719">
        <w:rPr>
          <w:lang w:val="fr-FR"/>
        </w:rPr>
        <w:t>’</w:t>
      </w:r>
      <w:r w:rsidRPr="00B639B6">
        <w:rPr>
          <w:lang w:val="fr-FR"/>
        </w:rPr>
        <w:t>annexe 14. L</w:t>
      </w:r>
      <w:r w:rsidR="000D1719">
        <w:rPr>
          <w:lang w:val="fr-FR"/>
        </w:rPr>
        <w:t>’</w:t>
      </w:r>
      <w:r w:rsidRPr="00B639B6">
        <w:rPr>
          <w:lang w:val="fr-FR"/>
        </w:rPr>
        <w:t>essai visant à vérifier le volume réel du reflux avec module de commande électronique est décrit au paragraphe 6.3.</w:t>
      </w:r>
      <w:r w:rsidRPr="005F7EB4">
        <w:rPr>
          <w:lang w:val="fr-FR"/>
        </w:rPr>
        <w:t xml:space="preserve"> </w:t>
      </w:r>
    </w:p>
    <w:p w:rsidR="00B639B6" w:rsidRPr="005F7EB4" w:rsidRDefault="00B80C89" w:rsidP="00B80C89">
      <w:pPr>
        <w:pStyle w:val="SingleTxtG"/>
        <w:ind w:left="1701" w:hanging="567"/>
        <w:rPr>
          <w:lang w:val="fr-FR"/>
        </w:rPr>
      </w:pPr>
      <w:r>
        <w:rPr>
          <w:lang w:val="fr-FR"/>
        </w:rPr>
        <w:t>B.7.1</w:t>
      </w:r>
      <w:r>
        <w:rPr>
          <w:lang w:val="fr-FR"/>
        </w:rPr>
        <w:tab/>
      </w:r>
      <w:r w:rsidR="00B639B6" w:rsidRPr="005F7EB4">
        <w:rPr>
          <w:lang w:val="fr-FR"/>
        </w:rPr>
        <w:t>Le nouveau paragraphe 9.</w:t>
      </w:r>
      <w:r w:rsidR="00B639B6" w:rsidRPr="00B639B6">
        <w:rPr>
          <w:lang w:val="fr-FR"/>
        </w:rPr>
        <w:t>6</w:t>
      </w:r>
      <w:r w:rsidR="00B639B6" w:rsidRPr="005F7EB4">
        <w:rPr>
          <w:lang w:val="fr-FR"/>
        </w:rPr>
        <w:t xml:space="preserve"> de l</w:t>
      </w:r>
      <w:r w:rsidR="000D1719">
        <w:rPr>
          <w:lang w:val="fr-FR"/>
        </w:rPr>
        <w:t>’</w:t>
      </w:r>
      <w:r w:rsidR="00B639B6" w:rsidRPr="005F7EB4">
        <w:rPr>
          <w:lang w:val="fr-FR"/>
        </w:rPr>
        <w:t>annexe 15 énonce les dispositions d</w:t>
      </w:r>
      <w:r w:rsidR="000D1719">
        <w:rPr>
          <w:lang w:val="fr-FR"/>
        </w:rPr>
        <w:t>’</w:t>
      </w:r>
      <w:r w:rsidR="00B639B6" w:rsidRPr="005F7EB4">
        <w:rPr>
          <w:lang w:val="fr-FR"/>
        </w:rPr>
        <w:t>un essai d</w:t>
      </w:r>
      <w:r w:rsidR="000D1719">
        <w:rPr>
          <w:lang w:val="fr-FR"/>
        </w:rPr>
        <w:t>’</w:t>
      </w:r>
      <w:r w:rsidR="00B639B6" w:rsidRPr="005F7EB4">
        <w:rPr>
          <w:lang w:val="fr-FR"/>
        </w:rPr>
        <w:t>endurance spécifique pour les soupapes antiretour utilisées conformément aux paragraphes 17.13.1.1, 17.13.1.2 et 17.13.2.1.</w:t>
      </w:r>
    </w:p>
    <w:p w:rsidR="00B639B6" w:rsidRPr="005F7EB4" w:rsidRDefault="00B639B6" w:rsidP="00B80C89">
      <w:pPr>
        <w:pStyle w:val="SingleTxtG"/>
        <w:ind w:left="1701" w:hanging="567"/>
        <w:rPr>
          <w:lang w:val="fr-FR"/>
        </w:rPr>
      </w:pPr>
      <w:r w:rsidRPr="005F7EB4">
        <w:rPr>
          <w:lang w:val="fr-FR"/>
        </w:rPr>
        <w:tab/>
        <w:t>Cet essai est</w:t>
      </w:r>
      <w:r>
        <w:rPr>
          <w:lang w:val="fr-FR"/>
        </w:rPr>
        <w:t xml:space="preserve"> fondé sur les conditions d</w:t>
      </w:r>
      <w:r w:rsidR="000D1719">
        <w:rPr>
          <w:lang w:val="fr-FR"/>
        </w:rPr>
        <w:t>’</w:t>
      </w:r>
      <w:r>
        <w:rPr>
          <w:lang w:val="fr-FR"/>
        </w:rPr>
        <w:t>un « fonctionnement continu </w:t>
      </w:r>
      <w:r w:rsidRPr="005F7EB4">
        <w:rPr>
          <w:lang w:val="fr-FR"/>
        </w:rPr>
        <w:t>» comme défini au paragraphe 6.4 de la norme ISO15500-3:2012.</w:t>
      </w:r>
    </w:p>
    <w:p w:rsidR="00B639B6" w:rsidRPr="005F7EB4" w:rsidRDefault="00B639B6" w:rsidP="00B80C89">
      <w:pPr>
        <w:pStyle w:val="SingleTxtG"/>
        <w:ind w:left="1701" w:hanging="567"/>
        <w:rPr>
          <w:lang w:val="fr-FR" w:eastAsia="ar-SA"/>
        </w:rPr>
      </w:pPr>
      <w:r w:rsidRPr="005F7EB4">
        <w:rPr>
          <w:lang w:val="fr-FR"/>
        </w:rPr>
        <w:tab/>
        <w:t>Le nombre élevé de cycles et la durée prolongée de fonctionnement au débit de battement rend cet essai particulièrement bien adapté aux soupapes antiretour des équipements GPL interconnectés.</w:t>
      </w:r>
    </w:p>
    <w:p w:rsidR="00B639B6" w:rsidRPr="005F7EB4" w:rsidRDefault="00B639B6" w:rsidP="00B80C89">
      <w:pPr>
        <w:pStyle w:val="SingleTxtG"/>
        <w:ind w:left="1701" w:hanging="567"/>
        <w:rPr>
          <w:lang w:val="fr-FR"/>
        </w:rPr>
      </w:pPr>
      <w:r w:rsidRPr="005F7EB4">
        <w:rPr>
          <w:lang w:val="fr-FR" w:eastAsia="ar-SA"/>
        </w:rPr>
        <w:t>B.8</w:t>
      </w:r>
      <w:r w:rsidRPr="005F7EB4">
        <w:rPr>
          <w:lang w:val="fr-FR" w:eastAsia="ar-SA"/>
        </w:rPr>
        <w:tab/>
      </w:r>
      <w:r w:rsidRPr="005F7EB4">
        <w:rPr>
          <w:lang w:val="fr-FR"/>
        </w:rPr>
        <w:t>Pour empêcher le mélange d</w:t>
      </w:r>
      <w:r w:rsidR="000D1719">
        <w:rPr>
          <w:lang w:val="fr-FR"/>
        </w:rPr>
        <w:t>’</w:t>
      </w:r>
      <w:r w:rsidRPr="005F7EB4">
        <w:rPr>
          <w:lang w:val="fr-FR"/>
        </w:rPr>
        <w:t>une trop grande quantité d</w:t>
      </w:r>
      <w:r w:rsidR="000D1719">
        <w:rPr>
          <w:lang w:val="fr-FR"/>
        </w:rPr>
        <w:t>’</w:t>
      </w:r>
      <w:r w:rsidRPr="005F7EB4">
        <w:rPr>
          <w:lang w:val="fr-FR"/>
        </w:rPr>
        <w:t>essence au GPL, l</w:t>
      </w:r>
      <w:r w:rsidR="000D1719">
        <w:rPr>
          <w:lang w:val="fr-FR"/>
        </w:rPr>
        <w:t>’</w:t>
      </w:r>
      <w:r w:rsidRPr="005F7EB4">
        <w:rPr>
          <w:lang w:val="fr-FR"/>
        </w:rPr>
        <w:t>équipement GPL interconnecté en tant qu</w:t>
      </w:r>
      <w:r w:rsidR="000D1719">
        <w:rPr>
          <w:lang w:val="fr-FR"/>
        </w:rPr>
        <w:t>’</w:t>
      </w:r>
      <w:r w:rsidRPr="005F7EB4">
        <w:rPr>
          <w:lang w:val="fr-FR"/>
        </w:rPr>
        <w:t>ensemble doit satisfaire aux dispositions énoncées dans l</w:t>
      </w:r>
      <w:r w:rsidR="000D1719">
        <w:rPr>
          <w:lang w:val="fr-FR"/>
        </w:rPr>
        <w:t>’</w:t>
      </w:r>
      <w:r w:rsidRPr="005F7EB4">
        <w:rPr>
          <w:lang w:val="fr-FR"/>
        </w:rPr>
        <w:t>annexe 19 (par. 17.13.2.3).</w:t>
      </w:r>
    </w:p>
    <w:p w:rsidR="00B639B6" w:rsidRPr="005F7EB4" w:rsidRDefault="00B639B6" w:rsidP="00B80C89">
      <w:pPr>
        <w:pStyle w:val="SingleTxtG"/>
        <w:ind w:left="1701" w:hanging="567"/>
        <w:rPr>
          <w:lang w:val="fr-FR"/>
        </w:rPr>
      </w:pPr>
      <w:r w:rsidRPr="005F7EB4">
        <w:rPr>
          <w:lang w:val="fr-FR"/>
        </w:rPr>
        <w:tab/>
        <w:t>Selon le paragraphe 1.1 de l</w:t>
      </w:r>
      <w:r w:rsidR="000D1719">
        <w:rPr>
          <w:lang w:val="fr-FR"/>
        </w:rPr>
        <w:t>’</w:t>
      </w:r>
      <w:r w:rsidRPr="005F7EB4">
        <w:rPr>
          <w:lang w:val="fr-FR"/>
        </w:rPr>
        <w:t xml:space="preserve">annexe 19, il </w:t>
      </w:r>
      <w:r w:rsidRPr="00B639B6">
        <w:rPr>
          <w:lang w:val="fr-FR"/>
        </w:rPr>
        <w:t>faut communiquer</w:t>
      </w:r>
      <w:r w:rsidRPr="005F7EB4">
        <w:rPr>
          <w:lang w:val="fr-FR"/>
        </w:rPr>
        <w:t xml:space="preserve"> à l</w:t>
      </w:r>
      <w:r w:rsidR="000D1719">
        <w:rPr>
          <w:lang w:val="fr-FR"/>
        </w:rPr>
        <w:t>’</w:t>
      </w:r>
      <w:r w:rsidRPr="005F7EB4">
        <w:rPr>
          <w:lang w:val="fr-FR"/>
        </w:rPr>
        <w:t>autorité d</w:t>
      </w:r>
      <w:r w:rsidR="000D1719">
        <w:rPr>
          <w:lang w:val="fr-FR"/>
        </w:rPr>
        <w:t>’</w:t>
      </w:r>
      <w:r w:rsidRPr="005F7EB4">
        <w:rPr>
          <w:lang w:val="fr-FR"/>
        </w:rPr>
        <w:t>homologation de type et au service technique une documentation appropriée décrivant l</w:t>
      </w:r>
      <w:r w:rsidR="000D1719">
        <w:rPr>
          <w:lang w:val="fr-FR"/>
        </w:rPr>
        <w:t>’</w:t>
      </w:r>
      <w:r w:rsidRPr="005F7EB4">
        <w:rPr>
          <w:lang w:val="fr-FR"/>
        </w:rPr>
        <w:t>équipement et la stratégie utilisés pour empêcher le mélange d</w:t>
      </w:r>
      <w:r w:rsidR="000D1719">
        <w:rPr>
          <w:lang w:val="fr-FR"/>
        </w:rPr>
        <w:t>’</w:t>
      </w:r>
      <w:r w:rsidRPr="005F7EB4">
        <w:rPr>
          <w:lang w:val="fr-FR"/>
        </w:rPr>
        <w:t>une trop grande quantité d</w:t>
      </w:r>
      <w:r w:rsidR="000D1719">
        <w:rPr>
          <w:lang w:val="fr-FR"/>
        </w:rPr>
        <w:t>’</w:t>
      </w:r>
      <w:r w:rsidRPr="005F7EB4">
        <w:rPr>
          <w:lang w:val="fr-FR"/>
        </w:rPr>
        <w:t>essence au GPL.</w:t>
      </w:r>
    </w:p>
    <w:p w:rsidR="00B639B6" w:rsidRPr="005F7EB4" w:rsidRDefault="00B639B6" w:rsidP="00B80C89">
      <w:pPr>
        <w:pStyle w:val="SingleTxtG"/>
        <w:ind w:left="1701" w:hanging="567"/>
        <w:rPr>
          <w:lang w:val="fr-FR"/>
        </w:rPr>
      </w:pPr>
      <w:r w:rsidRPr="005F7EB4">
        <w:rPr>
          <w:lang w:val="fr-FR"/>
        </w:rPr>
        <w:tab/>
        <w:t>L</w:t>
      </w:r>
      <w:r w:rsidR="000D1719">
        <w:rPr>
          <w:lang w:val="fr-FR"/>
        </w:rPr>
        <w:t>’</w:t>
      </w:r>
      <w:r w:rsidRPr="005F7EB4">
        <w:rPr>
          <w:lang w:val="fr-FR"/>
        </w:rPr>
        <w:t>équipement GPL doit pouvoir désactiver le mode essence de façon permanente (c</w:t>
      </w:r>
      <w:r w:rsidR="000D1719">
        <w:rPr>
          <w:lang w:val="fr-FR"/>
        </w:rPr>
        <w:t>’</w:t>
      </w:r>
      <w:r w:rsidRPr="005F7EB4">
        <w:rPr>
          <w:lang w:val="fr-FR"/>
        </w:rPr>
        <w:t>est-à-dire jusqu</w:t>
      </w:r>
      <w:r w:rsidR="000D1719">
        <w:rPr>
          <w:lang w:val="fr-FR"/>
        </w:rPr>
        <w:t>’</w:t>
      </w:r>
      <w:r w:rsidRPr="005F7EB4">
        <w:rPr>
          <w:lang w:val="fr-FR"/>
        </w:rPr>
        <w:t>à ce que le réservoir à GPL soit vide) lorsque la concentration d</w:t>
      </w:r>
      <w:r w:rsidR="000D1719">
        <w:rPr>
          <w:lang w:val="fr-FR"/>
        </w:rPr>
        <w:t>’</w:t>
      </w:r>
      <w:r w:rsidRPr="005F7EB4">
        <w:rPr>
          <w:lang w:val="fr-FR"/>
        </w:rPr>
        <w:t xml:space="preserve">essence dans le carburant liquide présent dans le réservoir à GPL dépasse la limite maximale de mélange de 16 % en volume (valeur équivalente à 20 % en énergie, comme prescrit par les Règlements </w:t>
      </w:r>
      <w:r w:rsidR="007A36C8" w:rsidRPr="007A36C8">
        <w:rPr>
          <w:rFonts w:eastAsia="MS Mincho"/>
          <w:lang w:val="fr-FR"/>
        </w:rPr>
        <w:t>n</w:t>
      </w:r>
      <w:r w:rsidR="007A36C8" w:rsidRPr="007A36C8">
        <w:rPr>
          <w:rFonts w:eastAsia="MS Mincho"/>
          <w:vertAlign w:val="superscript"/>
          <w:lang w:val="fr-FR"/>
        </w:rPr>
        <w:t>o</w:t>
      </w:r>
      <w:r w:rsidR="007A36C8">
        <w:rPr>
          <w:rFonts w:eastAsia="MS Mincho"/>
          <w:vertAlign w:val="superscript"/>
          <w:lang w:val="fr-FR"/>
        </w:rPr>
        <w:t>s</w:t>
      </w:r>
      <w:r w:rsidR="007A36C8" w:rsidRPr="007A36C8">
        <w:rPr>
          <w:rFonts w:eastAsia="MS Mincho"/>
          <w:lang w:val="fr-FR"/>
        </w:rPr>
        <w:t> </w:t>
      </w:r>
      <w:r w:rsidRPr="005F7EB4">
        <w:rPr>
          <w:lang w:val="fr-FR"/>
        </w:rPr>
        <w:t>83 et 115).</w:t>
      </w:r>
    </w:p>
    <w:p w:rsidR="00B639B6" w:rsidRPr="005F7EB4" w:rsidRDefault="00B639B6" w:rsidP="00B80C89">
      <w:pPr>
        <w:pStyle w:val="SingleTxtG"/>
        <w:ind w:left="1701" w:hanging="567"/>
        <w:rPr>
          <w:lang w:val="fr-FR"/>
        </w:rPr>
      </w:pPr>
      <w:r w:rsidRPr="005F7EB4">
        <w:rPr>
          <w:lang w:val="fr-FR"/>
        </w:rPr>
        <w:tab/>
        <w:t>Un essai d</w:t>
      </w:r>
      <w:r w:rsidR="000D1719">
        <w:rPr>
          <w:lang w:val="fr-FR"/>
        </w:rPr>
        <w:t>’</w:t>
      </w:r>
      <w:r w:rsidRPr="005F7EB4">
        <w:rPr>
          <w:lang w:val="fr-FR"/>
        </w:rPr>
        <w:t>efficacité doit être réalisé pour démontrer que cette limite maximale de mélange (16 % en volume) est respectée, une comparaison étant faite entre le nombre d</w:t>
      </w:r>
      <w:r w:rsidR="000D1719">
        <w:rPr>
          <w:lang w:val="fr-FR"/>
        </w:rPr>
        <w:t>’</w:t>
      </w:r>
      <w:r w:rsidRPr="005F7EB4">
        <w:rPr>
          <w:lang w:val="fr-FR"/>
        </w:rPr>
        <w:t>opérations de changement de mode avant que la désactivation du mode essence ne devienne permanente et le nombre de telles opérations qui causeraient (selon des estimations prudentes) un dépassement de la limite de mélange.</w:t>
      </w:r>
    </w:p>
    <w:p w:rsidR="00B639B6" w:rsidRPr="005F7EB4" w:rsidRDefault="00B639B6" w:rsidP="00B80C89">
      <w:pPr>
        <w:pStyle w:val="SingleTxtG"/>
        <w:ind w:left="1701" w:hanging="567"/>
        <w:rPr>
          <w:lang w:val="fr-FR"/>
        </w:rPr>
      </w:pPr>
      <w:r w:rsidRPr="005F7EB4">
        <w:rPr>
          <w:lang w:val="fr-FR"/>
        </w:rPr>
        <w:tab/>
        <w:t xml:space="preserve">La formule proposée </w:t>
      </w:r>
      <w:r>
        <w:rPr>
          <w:lang w:val="fr-FR"/>
        </w:rPr>
        <w:t>est fondée</w:t>
      </w:r>
      <w:r w:rsidRPr="005F7EB4">
        <w:rPr>
          <w:lang w:val="fr-FR"/>
        </w:rPr>
        <w:t xml:space="preserve"> sur les éléments suivants :</w:t>
      </w:r>
    </w:p>
    <w:p w:rsidR="00B639B6" w:rsidRPr="005F7EB4" w:rsidRDefault="00B639B6" w:rsidP="00B80C89">
      <w:pPr>
        <w:pStyle w:val="SingleTxtG"/>
        <w:ind w:left="1701" w:hanging="567"/>
        <w:rPr>
          <w:lang w:val="fr-FR"/>
        </w:rPr>
      </w:pPr>
      <w:r w:rsidRPr="005F7EB4">
        <w:rPr>
          <w:lang w:val="fr-FR"/>
        </w:rPr>
        <w:tab/>
        <w:t>a)</w:t>
      </w:r>
      <w:r w:rsidRPr="005F7EB4">
        <w:rPr>
          <w:lang w:val="fr-FR"/>
        </w:rPr>
        <w:tab/>
        <w:t>La concentration d</w:t>
      </w:r>
      <w:r w:rsidR="000D1719">
        <w:rPr>
          <w:lang w:val="fr-FR"/>
        </w:rPr>
        <w:t>’</w:t>
      </w:r>
      <w:r w:rsidRPr="005F7EB4">
        <w:rPr>
          <w:lang w:val="fr-FR"/>
        </w:rPr>
        <w:t>essence dans le GPL juste après le premier changement de mode sera Vsw/(Vin + Vsw) ; où Vsw est le volume de reflux lors du changement de mode et Vin est le volume initial de GPL ;</w:t>
      </w:r>
    </w:p>
    <w:p w:rsidR="00B639B6" w:rsidRPr="005F7EB4" w:rsidRDefault="00B639B6" w:rsidP="00B80C89">
      <w:pPr>
        <w:pStyle w:val="SingleTxtG"/>
        <w:ind w:left="1701" w:hanging="567"/>
        <w:rPr>
          <w:lang w:val="fr-FR" w:eastAsia="ar-SA"/>
        </w:rPr>
      </w:pPr>
      <w:r w:rsidRPr="005F7EB4">
        <w:rPr>
          <w:lang w:val="fr-FR"/>
        </w:rPr>
        <w:tab/>
        <w:t>b)</w:t>
      </w:r>
      <w:r w:rsidRPr="005F7EB4">
        <w:rPr>
          <w:lang w:val="fr-FR"/>
        </w:rPr>
        <w:tab/>
        <w:t>À chaque nouveau changement de mode, une concentration additionnelle, égale à Vsw/Vin, sera ajoutée, compte tenu du fait que le même volume (Vsw) de carburant liquide sera (d</w:t>
      </w:r>
      <w:r w:rsidR="000D1719">
        <w:rPr>
          <w:lang w:val="fr-FR"/>
        </w:rPr>
        <w:t>’</w:t>
      </w:r>
      <w:r w:rsidRPr="005F7EB4">
        <w:rPr>
          <w:lang w:val="fr-FR"/>
        </w:rPr>
        <w:t>abord) consommé et (ensuite) injecté ;</w:t>
      </w:r>
    </w:p>
    <w:p w:rsidR="00F9573C" w:rsidRDefault="00B639B6" w:rsidP="00B80C89">
      <w:pPr>
        <w:pStyle w:val="SingleTxtG"/>
        <w:ind w:left="1701" w:hanging="567"/>
        <w:rPr>
          <w:lang w:val="fr-FR"/>
        </w:rPr>
      </w:pPr>
      <w:r w:rsidRPr="005F7EB4">
        <w:rPr>
          <w:lang w:val="fr-FR" w:eastAsia="ar-SA"/>
        </w:rPr>
        <w:tab/>
        <w:t>c)</w:t>
      </w:r>
      <w:r w:rsidRPr="005F7EB4">
        <w:rPr>
          <w:lang w:val="fr-FR" w:eastAsia="ar-SA"/>
        </w:rPr>
        <w:tab/>
      </w:r>
      <w:r w:rsidRPr="005F7EB4">
        <w:rPr>
          <w:lang w:val="fr-FR"/>
        </w:rPr>
        <w:t>Comme Vsw peut être considéré comme négligeable par rapport à</w:t>
      </w:r>
      <w:r w:rsidR="000F0D96">
        <w:rPr>
          <w:lang w:val="fr-FR"/>
        </w:rPr>
        <w:t xml:space="preserve"> Vin, la concentration à la i-ème </w:t>
      </w:r>
      <w:r w:rsidRPr="005F7EB4">
        <w:rPr>
          <w:lang w:val="fr-FR"/>
        </w:rPr>
        <w:t xml:space="preserve">opération de </w:t>
      </w:r>
      <w:r w:rsidR="0036467B">
        <w:rPr>
          <w:lang w:val="fr-FR"/>
        </w:rPr>
        <w:t>changement de mode sera Ci = i*</w:t>
      </w:r>
      <w:r w:rsidRPr="005F7EB4">
        <w:rPr>
          <w:lang w:val="fr-FR"/>
        </w:rPr>
        <w:t>Vsw/Vin. Par conséquent,</w:t>
      </w:r>
      <w:r w:rsidR="0036467B">
        <w:rPr>
          <w:lang w:val="fr-FR"/>
        </w:rPr>
        <w:t xml:space="preserve"> i-max sera inférieure à 0,16*</w:t>
      </w:r>
      <w:r w:rsidRPr="005F7EB4">
        <w:rPr>
          <w:lang w:val="fr-FR"/>
        </w:rPr>
        <w:t>Vin/Vsw.</w:t>
      </w:r>
    </w:p>
    <w:p w:rsidR="00B80C89" w:rsidRPr="00B80C89" w:rsidRDefault="00B80C89" w:rsidP="00B80C89">
      <w:pPr>
        <w:pStyle w:val="SingleTxtG"/>
        <w:spacing w:before="240" w:after="0"/>
        <w:jc w:val="center"/>
        <w:rPr>
          <w:u w:val="single"/>
        </w:rPr>
      </w:pPr>
      <w:r>
        <w:rPr>
          <w:u w:val="single"/>
        </w:rPr>
        <w:tab/>
      </w:r>
      <w:r>
        <w:rPr>
          <w:u w:val="single"/>
        </w:rPr>
        <w:tab/>
      </w:r>
      <w:r>
        <w:rPr>
          <w:u w:val="single"/>
        </w:rPr>
        <w:tab/>
      </w:r>
    </w:p>
    <w:sectPr w:rsidR="00B80C89" w:rsidRPr="00B80C89" w:rsidSect="00CC0F69">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C2" w:rsidRDefault="005679C2" w:rsidP="00F95C08">
      <w:pPr>
        <w:spacing w:line="240" w:lineRule="auto"/>
      </w:pPr>
    </w:p>
  </w:endnote>
  <w:endnote w:type="continuationSeparator" w:id="0">
    <w:p w:rsidR="005679C2" w:rsidRPr="00AC3823" w:rsidRDefault="005679C2" w:rsidP="00AC3823">
      <w:pPr>
        <w:pStyle w:val="Footer"/>
      </w:pPr>
    </w:p>
  </w:endnote>
  <w:endnote w:type="continuationNotice" w:id="1">
    <w:p w:rsidR="005679C2" w:rsidRDefault="005679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Gras">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C2" w:rsidRPr="00CC0F69" w:rsidRDefault="005679C2" w:rsidP="00CC0F69">
    <w:pPr>
      <w:pStyle w:val="Footer"/>
      <w:tabs>
        <w:tab w:val="right" w:pos="9638"/>
      </w:tabs>
    </w:pPr>
    <w:r w:rsidRPr="00CC0F69">
      <w:rPr>
        <w:b/>
        <w:sz w:val="18"/>
      </w:rPr>
      <w:fldChar w:fldCharType="begin"/>
    </w:r>
    <w:r w:rsidRPr="00CC0F69">
      <w:rPr>
        <w:b/>
        <w:sz w:val="18"/>
      </w:rPr>
      <w:instrText xml:space="preserve"> PAGE  \* MERGEFORMAT </w:instrText>
    </w:r>
    <w:r w:rsidRPr="00CC0F69">
      <w:rPr>
        <w:b/>
        <w:sz w:val="18"/>
      </w:rPr>
      <w:fldChar w:fldCharType="separate"/>
    </w:r>
    <w:r w:rsidR="001C3C86">
      <w:rPr>
        <w:b/>
        <w:noProof/>
        <w:sz w:val="18"/>
      </w:rPr>
      <w:t>8</w:t>
    </w:r>
    <w:r w:rsidRPr="00CC0F69">
      <w:rPr>
        <w:b/>
        <w:sz w:val="18"/>
      </w:rPr>
      <w:fldChar w:fldCharType="end"/>
    </w:r>
    <w:r>
      <w:rPr>
        <w:b/>
        <w:sz w:val="18"/>
      </w:rPr>
      <w:tab/>
    </w:r>
    <w:r>
      <w:t>GE.17-12919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C2" w:rsidRPr="00CC0F69" w:rsidRDefault="005679C2" w:rsidP="00CC0F69">
    <w:pPr>
      <w:pStyle w:val="Footer"/>
      <w:tabs>
        <w:tab w:val="right" w:pos="9638"/>
      </w:tabs>
      <w:rPr>
        <w:b/>
        <w:sz w:val="18"/>
      </w:rPr>
    </w:pPr>
    <w:r>
      <w:t>GE.17-12919</w:t>
    </w:r>
    <w:r>
      <w:tab/>
    </w:r>
    <w:r w:rsidRPr="00CC0F69">
      <w:rPr>
        <w:b/>
        <w:sz w:val="18"/>
      </w:rPr>
      <w:fldChar w:fldCharType="begin"/>
    </w:r>
    <w:r w:rsidRPr="00CC0F69">
      <w:rPr>
        <w:b/>
        <w:sz w:val="18"/>
      </w:rPr>
      <w:instrText xml:space="preserve"> PAGE  \* MERGEFORMAT </w:instrText>
    </w:r>
    <w:r w:rsidRPr="00CC0F69">
      <w:rPr>
        <w:b/>
        <w:sz w:val="18"/>
      </w:rPr>
      <w:fldChar w:fldCharType="separate"/>
    </w:r>
    <w:r w:rsidR="001C3C86">
      <w:rPr>
        <w:b/>
        <w:noProof/>
        <w:sz w:val="18"/>
      </w:rPr>
      <w:t>7</w:t>
    </w:r>
    <w:r w:rsidRPr="00CC0F6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C2" w:rsidRPr="00CC0F69" w:rsidRDefault="005679C2" w:rsidP="00CC0F69">
    <w:pPr>
      <w:pStyle w:val="Footer"/>
      <w:spacing w:before="120"/>
      <w:rPr>
        <w:sz w:val="20"/>
      </w:rPr>
    </w:pPr>
    <w:r>
      <w:rPr>
        <w:sz w:val="20"/>
      </w:rPr>
      <w:t>GE.</w:t>
    </w:r>
    <w:r>
      <w:rPr>
        <w:noProof/>
        <w:lang w:val="en-GB" w:eastAsia="en-GB"/>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17-12919  (F)    220817    230817</w:t>
    </w:r>
    <w:r>
      <w:rPr>
        <w:sz w:val="20"/>
      </w:rPr>
      <w:br/>
    </w:r>
    <w:r w:rsidRPr="00CC0F69">
      <w:rPr>
        <w:rFonts w:ascii="C39T30Lfz" w:hAnsi="C39T30Lfz"/>
        <w:sz w:val="56"/>
      </w:rPr>
      <w:t></w:t>
    </w:r>
    <w:r w:rsidRPr="00CC0F69">
      <w:rPr>
        <w:rFonts w:ascii="C39T30Lfz" w:hAnsi="C39T30Lfz"/>
        <w:sz w:val="56"/>
      </w:rPr>
      <w:t></w:t>
    </w:r>
    <w:r w:rsidRPr="00CC0F69">
      <w:rPr>
        <w:rFonts w:ascii="C39T30Lfz" w:hAnsi="C39T30Lfz"/>
        <w:sz w:val="56"/>
      </w:rPr>
      <w:t></w:t>
    </w:r>
    <w:r w:rsidRPr="00CC0F69">
      <w:rPr>
        <w:rFonts w:ascii="C39T30Lfz" w:hAnsi="C39T30Lfz"/>
        <w:sz w:val="56"/>
      </w:rPr>
      <w:t></w:t>
    </w:r>
    <w:r w:rsidRPr="00CC0F69">
      <w:rPr>
        <w:rFonts w:ascii="C39T30Lfz" w:hAnsi="C39T30Lfz"/>
        <w:sz w:val="56"/>
      </w:rPr>
      <w:t></w:t>
    </w:r>
    <w:r w:rsidRPr="00CC0F69">
      <w:rPr>
        <w:rFonts w:ascii="C39T30Lfz" w:hAnsi="C39T30Lfz"/>
        <w:sz w:val="56"/>
      </w:rPr>
      <w:t></w:t>
    </w:r>
    <w:r w:rsidRPr="00CC0F69">
      <w:rPr>
        <w:rFonts w:ascii="C39T30Lfz" w:hAnsi="C39T30Lfz"/>
        <w:sz w:val="56"/>
      </w:rPr>
      <w:t></w:t>
    </w:r>
    <w:r w:rsidRPr="00CC0F69">
      <w:rPr>
        <w:rFonts w:ascii="C39T30Lfz" w:hAnsi="C39T30Lfz"/>
        <w:sz w:val="56"/>
      </w:rPr>
      <w:t></w:t>
    </w:r>
    <w:r w:rsidRPr="00CC0F69">
      <w:rPr>
        <w:rFonts w:ascii="C39T30Lfz" w:hAnsi="C39T30Lfz"/>
        <w:sz w:val="56"/>
      </w:rPr>
      <w:t></w:t>
    </w:r>
    <w:r>
      <w:rPr>
        <w:noProof/>
        <w:sz w:val="20"/>
        <w:lang w:val="en-GB" w:eastAsia="en-GB"/>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SG/2017/2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C2" w:rsidRPr="00AC3823" w:rsidRDefault="005679C2" w:rsidP="00AC3823">
      <w:pPr>
        <w:pStyle w:val="Footer"/>
        <w:tabs>
          <w:tab w:val="right" w:pos="2155"/>
        </w:tabs>
        <w:spacing w:after="80" w:line="240" w:lineRule="atLeast"/>
        <w:ind w:left="680"/>
        <w:rPr>
          <w:u w:val="single"/>
        </w:rPr>
      </w:pPr>
      <w:r>
        <w:rPr>
          <w:u w:val="single"/>
        </w:rPr>
        <w:tab/>
      </w:r>
    </w:p>
  </w:footnote>
  <w:footnote w:type="continuationSeparator" w:id="0">
    <w:p w:rsidR="005679C2" w:rsidRPr="00AC3823" w:rsidRDefault="005679C2" w:rsidP="00AC3823">
      <w:pPr>
        <w:pStyle w:val="Footer"/>
        <w:tabs>
          <w:tab w:val="right" w:pos="2155"/>
        </w:tabs>
        <w:spacing w:after="80" w:line="240" w:lineRule="atLeast"/>
        <w:ind w:left="680"/>
        <w:rPr>
          <w:u w:val="single"/>
        </w:rPr>
      </w:pPr>
      <w:r>
        <w:rPr>
          <w:u w:val="single"/>
        </w:rPr>
        <w:tab/>
      </w:r>
    </w:p>
  </w:footnote>
  <w:footnote w:type="continuationNotice" w:id="1">
    <w:p w:rsidR="005679C2" w:rsidRPr="00AC3823" w:rsidRDefault="005679C2">
      <w:pPr>
        <w:spacing w:line="240" w:lineRule="auto"/>
        <w:rPr>
          <w:sz w:val="2"/>
          <w:szCs w:val="2"/>
        </w:rPr>
      </w:pPr>
    </w:p>
  </w:footnote>
  <w:footnote w:id="2">
    <w:p w:rsidR="005679C2" w:rsidRPr="001F3F58" w:rsidRDefault="005679C2">
      <w:pPr>
        <w:pStyle w:val="FootnoteText"/>
      </w:pPr>
      <w:r>
        <w:rPr>
          <w:rStyle w:val="FootnoteReference"/>
        </w:rPr>
        <w:tab/>
      </w:r>
      <w:r w:rsidRPr="001F3F58">
        <w:rPr>
          <w:rStyle w:val="FootnoteReference"/>
          <w:sz w:val="20"/>
          <w:vertAlign w:val="baseline"/>
        </w:rPr>
        <w:t>*</w:t>
      </w:r>
      <w:r>
        <w:rPr>
          <w:rStyle w:val="FootnoteReference"/>
          <w:sz w:val="20"/>
          <w:vertAlign w:val="baseline"/>
        </w:rPr>
        <w:tab/>
      </w:r>
      <w:r w:rsidRPr="00F4392C">
        <w:t xml:space="preserve">Conformément au programme de travail du Comité des transports </w:t>
      </w:r>
      <w:r>
        <w:t>intérieurs pour la période 2016</w:t>
      </w:r>
      <w:r>
        <w:noBreakHyphen/>
      </w:r>
      <w:r w:rsidRPr="00F4392C">
        <w:t>2017 (</w:t>
      </w:r>
      <w:r>
        <w:t>ECE/TRANS/254, par</w:t>
      </w:r>
      <w:r w:rsidRPr="00F4392C">
        <w:t>. 159</w:t>
      </w:r>
      <w:r>
        <w:t>,</w:t>
      </w:r>
      <w:r w:rsidRPr="00F4392C">
        <w:t xml:space="preserve"> </w:t>
      </w:r>
      <w:r>
        <w:t>et</w:t>
      </w:r>
      <w:r w:rsidRPr="00F4392C">
        <w:t xml:space="preserve"> ECE/TRANS/2016/28/Add.1, </w:t>
      </w:r>
      <w:r>
        <w:t>module</w:t>
      </w:r>
      <w:r w:rsidRPr="00F4392C">
        <w:t xml:space="preserve"> 3.1)</w:t>
      </w:r>
      <w:r>
        <w:t>, le Forum mondial a pour mission d’élaborer, d’harmoniser et de mettre à jour les Règlements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C2" w:rsidRPr="00CC0F69" w:rsidRDefault="001C3C86">
    <w:pPr>
      <w:pStyle w:val="Header"/>
    </w:pPr>
    <w:r>
      <w:fldChar w:fldCharType="begin"/>
    </w:r>
    <w:r>
      <w:instrText xml:space="preserve"> TITLE  \* MERGEFORMAT </w:instrText>
    </w:r>
    <w:r>
      <w:fldChar w:fldCharType="separate"/>
    </w:r>
    <w:r w:rsidR="00784E3E">
      <w:t>ECE/TRANS/WP.29/GRSG/2017/26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C2" w:rsidRPr="00CC0F69" w:rsidRDefault="001C3C86" w:rsidP="00CC0F69">
    <w:pPr>
      <w:pStyle w:val="Header"/>
      <w:jc w:val="right"/>
    </w:pPr>
    <w:r>
      <w:fldChar w:fldCharType="begin"/>
    </w:r>
    <w:r>
      <w:instrText xml:space="preserve"> TITLE  \* MERGEFORMAT </w:instrText>
    </w:r>
    <w:r>
      <w:fldChar w:fldCharType="separate"/>
    </w:r>
    <w:r w:rsidR="00784E3E">
      <w:t>ECE/TRANS/WP.29/GRSG/2017/26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isplayBackgroundShape/>
  <w:defaultTabStop w:val="567"/>
  <w:hyphenationZone w:val="425"/>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78"/>
    <w:rsid w:val="00017F94"/>
    <w:rsid w:val="00023842"/>
    <w:rsid w:val="000334F9"/>
    <w:rsid w:val="00045FEB"/>
    <w:rsid w:val="00057B8E"/>
    <w:rsid w:val="0007796D"/>
    <w:rsid w:val="000B7790"/>
    <w:rsid w:val="000D1719"/>
    <w:rsid w:val="000F0D96"/>
    <w:rsid w:val="00111F2F"/>
    <w:rsid w:val="00136D98"/>
    <w:rsid w:val="0014365E"/>
    <w:rsid w:val="00143C66"/>
    <w:rsid w:val="001510F5"/>
    <w:rsid w:val="00176178"/>
    <w:rsid w:val="001C3C86"/>
    <w:rsid w:val="001C4009"/>
    <w:rsid w:val="001F3F58"/>
    <w:rsid w:val="001F525A"/>
    <w:rsid w:val="00212426"/>
    <w:rsid w:val="00223272"/>
    <w:rsid w:val="0024779E"/>
    <w:rsid w:val="00252023"/>
    <w:rsid w:val="00256A1B"/>
    <w:rsid w:val="00257168"/>
    <w:rsid w:val="002744B8"/>
    <w:rsid w:val="002832AC"/>
    <w:rsid w:val="00292F68"/>
    <w:rsid w:val="00297590"/>
    <w:rsid w:val="002C1614"/>
    <w:rsid w:val="002D62CE"/>
    <w:rsid w:val="002D7C93"/>
    <w:rsid w:val="002F67CE"/>
    <w:rsid w:val="00305801"/>
    <w:rsid w:val="00334EE3"/>
    <w:rsid w:val="0036467B"/>
    <w:rsid w:val="003916DE"/>
    <w:rsid w:val="003F460E"/>
    <w:rsid w:val="0041734D"/>
    <w:rsid w:val="00441C3B"/>
    <w:rsid w:val="00446FE5"/>
    <w:rsid w:val="00452396"/>
    <w:rsid w:val="004675A1"/>
    <w:rsid w:val="00483799"/>
    <w:rsid w:val="004837D8"/>
    <w:rsid w:val="004B5830"/>
    <w:rsid w:val="004D3191"/>
    <w:rsid w:val="004E468C"/>
    <w:rsid w:val="00523CA3"/>
    <w:rsid w:val="005505B7"/>
    <w:rsid w:val="005679C2"/>
    <w:rsid w:val="00573BE5"/>
    <w:rsid w:val="00586ED3"/>
    <w:rsid w:val="005940C0"/>
    <w:rsid w:val="00596AA9"/>
    <w:rsid w:val="005F4FC6"/>
    <w:rsid w:val="005F61E1"/>
    <w:rsid w:val="006541E6"/>
    <w:rsid w:val="006B69DC"/>
    <w:rsid w:val="0071601D"/>
    <w:rsid w:val="007171E7"/>
    <w:rsid w:val="00720C80"/>
    <w:rsid w:val="00754991"/>
    <w:rsid w:val="00784E3E"/>
    <w:rsid w:val="007A36C8"/>
    <w:rsid w:val="007A62E6"/>
    <w:rsid w:val="007F20FA"/>
    <w:rsid w:val="0080684C"/>
    <w:rsid w:val="00871C75"/>
    <w:rsid w:val="008742A4"/>
    <w:rsid w:val="008776DC"/>
    <w:rsid w:val="00877B3B"/>
    <w:rsid w:val="008C0824"/>
    <w:rsid w:val="008C768C"/>
    <w:rsid w:val="008D7D2F"/>
    <w:rsid w:val="009360D3"/>
    <w:rsid w:val="009446C0"/>
    <w:rsid w:val="009705C8"/>
    <w:rsid w:val="009A0634"/>
    <w:rsid w:val="009C1CF4"/>
    <w:rsid w:val="009D02CE"/>
    <w:rsid w:val="009F6B74"/>
    <w:rsid w:val="00A30353"/>
    <w:rsid w:val="00A405FE"/>
    <w:rsid w:val="00AC3823"/>
    <w:rsid w:val="00AC6408"/>
    <w:rsid w:val="00AE323C"/>
    <w:rsid w:val="00AF0CB5"/>
    <w:rsid w:val="00B00181"/>
    <w:rsid w:val="00B00B0D"/>
    <w:rsid w:val="00B36D28"/>
    <w:rsid w:val="00B639B6"/>
    <w:rsid w:val="00B765F7"/>
    <w:rsid w:val="00B80C89"/>
    <w:rsid w:val="00BA0CA9"/>
    <w:rsid w:val="00C02897"/>
    <w:rsid w:val="00C450A1"/>
    <w:rsid w:val="00C50206"/>
    <w:rsid w:val="00C97039"/>
    <w:rsid w:val="00CC0F69"/>
    <w:rsid w:val="00D3126D"/>
    <w:rsid w:val="00D3439C"/>
    <w:rsid w:val="00DB1831"/>
    <w:rsid w:val="00DD3BFD"/>
    <w:rsid w:val="00DD521B"/>
    <w:rsid w:val="00DF6678"/>
    <w:rsid w:val="00DF7178"/>
    <w:rsid w:val="00E0299A"/>
    <w:rsid w:val="00E85C74"/>
    <w:rsid w:val="00EA6547"/>
    <w:rsid w:val="00ED4E8B"/>
    <w:rsid w:val="00EF2E22"/>
    <w:rsid w:val="00EF7E3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styleId="CommentReference">
    <w:name w:val="annotation reference"/>
    <w:rsid w:val="00B639B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1"/>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styleId="CommentReference">
    <w:name w:val="annotation reference"/>
    <w:rsid w:val="00B639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D788-2F13-48F0-8E04-34FA6664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4762</Words>
  <Characters>27150</Characters>
  <Application>Microsoft Office Word</Application>
  <DocSecurity>4</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ECE/TRANS/WP.29/GRSG/2017/26</vt:lpstr>
      <vt:lpstr>ECE/TRANS/WP.29/GRSG/2017/26</vt:lpstr>
    </vt:vector>
  </TitlesOfParts>
  <Company>DCM</Company>
  <LinksUpToDate>false</LinksUpToDate>
  <CharactersWithSpaces>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ECE/TRANS/WP.29/GRSG/2017/26</dc:title>
  <dc:creator>Sylvie LAMY</dc:creator>
  <cp:lastModifiedBy>Benedicte Boudol</cp:lastModifiedBy>
  <cp:revision>2</cp:revision>
  <cp:lastPrinted>2017-08-23T14:25:00Z</cp:lastPrinted>
  <dcterms:created xsi:type="dcterms:W3CDTF">2017-08-23T15:10:00Z</dcterms:created>
  <dcterms:modified xsi:type="dcterms:W3CDTF">2017-08-23T15:10:00Z</dcterms:modified>
</cp:coreProperties>
</file>