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C64574" w:rsidRPr="00C64574" w:rsidTr="00D5792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593753" w:rsidRDefault="00B56E9C" w:rsidP="00D5792F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D5792F" w:rsidRDefault="00B56E9C" w:rsidP="00D5792F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D5792F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20EF" w:rsidRPr="00C64574" w:rsidRDefault="00803BF8" w:rsidP="00C1641D">
            <w:pPr>
              <w:jc w:val="right"/>
            </w:pPr>
            <w:r w:rsidRPr="00C64574">
              <w:rPr>
                <w:sz w:val="40"/>
              </w:rPr>
              <w:t>ECE</w:t>
            </w:r>
            <w:r w:rsidRPr="00C64574">
              <w:t>/TRANS/WP.29/GR</w:t>
            </w:r>
            <w:r w:rsidR="000D4EB3" w:rsidRPr="00C64574">
              <w:t>SG</w:t>
            </w:r>
            <w:r w:rsidRPr="00C64574">
              <w:t>/201</w:t>
            </w:r>
            <w:r w:rsidR="0053398B">
              <w:t>7</w:t>
            </w:r>
            <w:r w:rsidR="001F20EF">
              <w:t>/</w:t>
            </w:r>
            <w:r w:rsidR="00C1641D">
              <w:t>22</w:t>
            </w:r>
          </w:p>
        </w:tc>
      </w:tr>
      <w:tr w:rsidR="00B56E9C" w:rsidRPr="00593753" w:rsidTr="00D5792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593753" w:rsidRDefault="00D40653" w:rsidP="00D5792F">
            <w:pPr>
              <w:spacing w:before="12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D5792F" w:rsidRDefault="00D773DF" w:rsidP="00D5792F">
            <w:pPr>
              <w:spacing w:before="120" w:line="420" w:lineRule="exact"/>
              <w:rPr>
                <w:sz w:val="40"/>
                <w:szCs w:val="40"/>
              </w:rPr>
            </w:pPr>
            <w:r w:rsidRPr="00D5792F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03BF8" w:rsidRPr="00593753" w:rsidRDefault="00803BF8" w:rsidP="00D5792F">
            <w:pPr>
              <w:spacing w:before="240" w:line="240" w:lineRule="exact"/>
            </w:pPr>
            <w:r w:rsidRPr="00593753">
              <w:t>Distr.: General</w:t>
            </w:r>
          </w:p>
          <w:p w:rsidR="00803BF8" w:rsidRPr="00593753" w:rsidRDefault="00306F5F" w:rsidP="00D5792F">
            <w:pPr>
              <w:spacing w:line="240" w:lineRule="exact"/>
            </w:pPr>
            <w:r>
              <w:t>2</w:t>
            </w:r>
            <w:r w:rsidR="002376A0">
              <w:t>7</w:t>
            </w:r>
            <w:r w:rsidR="009A1E55">
              <w:t xml:space="preserve"> </w:t>
            </w:r>
            <w:r w:rsidR="002376A0">
              <w:t>Jul</w:t>
            </w:r>
            <w:r w:rsidR="009A1E55">
              <w:t>y</w:t>
            </w:r>
            <w:r w:rsidR="002B47CA">
              <w:t xml:space="preserve"> 201</w:t>
            </w:r>
            <w:r w:rsidR="0053398B">
              <w:t>7</w:t>
            </w:r>
          </w:p>
          <w:p w:rsidR="00803BF8" w:rsidRPr="00593753" w:rsidRDefault="00803BF8" w:rsidP="00D5792F">
            <w:pPr>
              <w:spacing w:line="240" w:lineRule="exact"/>
            </w:pPr>
          </w:p>
          <w:p w:rsidR="003C17CC" w:rsidRPr="00593753" w:rsidRDefault="00803BF8" w:rsidP="00D5792F">
            <w:pPr>
              <w:spacing w:line="240" w:lineRule="exact"/>
            </w:pPr>
            <w:r w:rsidRPr="00593753">
              <w:t>Original: English</w:t>
            </w:r>
          </w:p>
          <w:p w:rsidR="00EA2A77" w:rsidRPr="00593753" w:rsidRDefault="00EA2A77" w:rsidP="00D5792F">
            <w:pPr>
              <w:spacing w:line="240" w:lineRule="exact"/>
            </w:pPr>
          </w:p>
        </w:tc>
      </w:tr>
    </w:tbl>
    <w:p w:rsidR="00442A83" w:rsidRPr="00593753" w:rsidRDefault="00C96DF2" w:rsidP="00C96DF2">
      <w:pPr>
        <w:spacing w:before="120"/>
        <w:rPr>
          <w:b/>
          <w:sz w:val="28"/>
          <w:szCs w:val="28"/>
        </w:rPr>
      </w:pPr>
      <w:r w:rsidRPr="00593753">
        <w:rPr>
          <w:b/>
          <w:sz w:val="28"/>
          <w:szCs w:val="28"/>
        </w:rPr>
        <w:t>Economic Commission for Europe</w:t>
      </w:r>
    </w:p>
    <w:p w:rsidR="00C96DF2" w:rsidRPr="00593753" w:rsidRDefault="008F31D2" w:rsidP="00C96DF2">
      <w:pPr>
        <w:spacing w:before="120"/>
        <w:rPr>
          <w:sz w:val="28"/>
          <w:szCs w:val="28"/>
        </w:rPr>
      </w:pPr>
      <w:r w:rsidRPr="00593753">
        <w:rPr>
          <w:sz w:val="28"/>
          <w:szCs w:val="28"/>
        </w:rPr>
        <w:t>Inland Transport Committee</w:t>
      </w:r>
    </w:p>
    <w:p w:rsidR="00EA2A77" w:rsidRPr="00593753" w:rsidRDefault="00EA2A77" w:rsidP="00EA2A77">
      <w:pPr>
        <w:spacing w:before="120"/>
        <w:rPr>
          <w:b/>
          <w:sz w:val="24"/>
          <w:szCs w:val="24"/>
        </w:rPr>
      </w:pPr>
      <w:r w:rsidRPr="00593753">
        <w:rPr>
          <w:b/>
          <w:sz w:val="24"/>
          <w:szCs w:val="24"/>
        </w:rPr>
        <w:t xml:space="preserve">World Forum for Harmonization of Vehicle </w:t>
      </w:r>
      <w:r w:rsidR="00D26E07" w:rsidRPr="00593753">
        <w:rPr>
          <w:b/>
          <w:sz w:val="24"/>
          <w:szCs w:val="24"/>
        </w:rPr>
        <w:t>Regulation</w:t>
      </w:r>
      <w:r w:rsidRPr="00593753">
        <w:rPr>
          <w:b/>
          <w:sz w:val="24"/>
          <w:szCs w:val="24"/>
        </w:rPr>
        <w:t>s</w:t>
      </w:r>
    </w:p>
    <w:p w:rsidR="003C17CC" w:rsidRPr="00C64574" w:rsidRDefault="003C17CC" w:rsidP="00EA2A77">
      <w:pPr>
        <w:spacing w:before="120"/>
        <w:rPr>
          <w:b/>
        </w:rPr>
      </w:pPr>
      <w:r w:rsidRPr="00C64574">
        <w:rPr>
          <w:b/>
        </w:rPr>
        <w:t xml:space="preserve">Working Party on </w:t>
      </w:r>
      <w:r w:rsidR="00E109DD" w:rsidRPr="00C64574">
        <w:rPr>
          <w:b/>
        </w:rPr>
        <w:t xml:space="preserve">General Safety </w:t>
      </w:r>
      <w:r w:rsidR="00F96D3C" w:rsidRPr="00C64574">
        <w:rPr>
          <w:b/>
        </w:rPr>
        <w:t>Provisions</w:t>
      </w:r>
    </w:p>
    <w:p w:rsidR="00C96DF2" w:rsidRPr="00C64574" w:rsidRDefault="00856FAA" w:rsidP="00C96DF2">
      <w:pPr>
        <w:spacing w:before="120"/>
        <w:rPr>
          <w:b/>
        </w:rPr>
      </w:pPr>
      <w:r w:rsidRPr="00C64574">
        <w:rPr>
          <w:b/>
        </w:rPr>
        <w:t>1</w:t>
      </w:r>
      <w:r w:rsidR="002A7DBF">
        <w:rPr>
          <w:b/>
        </w:rPr>
        <w:t>1</w:t>
      </w:r>
      <w:r w:rsidR="002376A0">
        <w:rPr>
          <w:b/>
        </w:rPr>
        <w:t>3</w:t>
      </w:r>
      <w:r w:rsidR="0003564D" w:rsidRPr="00EC0B17">
        <w:rPr>
          <w:b/>
        </w:rPr>
        <w:t>th</w:t>
      </w:r>
      <w:r w:rsidR="003C17CC" w:rsidRPr="00C64574">
        <w:rPr>
          <w:b/>
        </w:rPr>
        <w:t xml:space="preserve"> </w:t>
      </w:r>
      <w:r w:rsidR="00182290" w:rsidRPr="00C64574">
        <w:rPr>
          <w:b/>
        </w:rPr>
        <w:t>session</w:t>
      </w:r>
    </w:p>
    <w:p w:rsidR="0067362F" w:rsidRPr="00C64574" w:rsidRDefault="00915EF6" w:rsidP="00C96DF2">
      <w:r w:rsidRPr="00C64574">
        <w:t>Gen</w:t>
      </w:r>
      <w:r w:rsidR="003C17CC" w:rsidRPr="00C64574">
        <w:t>e</w:t>
      </w:r>
      <w:r w:rsidRPr="00C64574">
        <w:t>v</w:t>
      </w:r>
      <w:r w:rsidR="003C17CC" w:rsidRPr="00C64574">
        <w:t>a</w:t>
      </w:r>
      <w:r w:rsidRPr="00C64574">
        <w:t xml:space="preserve">, </w:t>
      </w:r>
      <w:r w:rsidR="00C768BA">
        <w:t>10</w:t>
      </w:r>
      <w:r w:rsidR="004F79AB">
        <w:t>-</w:t>
      </w:r>
      <w:r w:rsidR="00C768BA">
        <w:t>13</w:t>
      </w:r>
      <w:r w:rsidR="00967ACA">
        <w:t xml:space="preserve"> </w:t>
      </w:r>
      <w:r w:rsidR="00C768BA">
        <w:t>October</w:t>
      </w:r>
      <w:r w:rsidR="00B53C21" w:rsidRPr="00C64574">
        <w:t xml:space="preserve"> </w:t>
      </w:r>
      <w:r w:rsidR="00856FAA" w:rsidRPr="00C64574">
        <w:t>201</w:t>
      </w:r>
      <w:r w:rsidR="0053398B">
        <w:t>7</w:t>
      </w:r>
    </w:p>
    <w:p w:rsidR="00B53C21" w:rsidRPr="00DF418A" w:rsidRDefault="00915EF6" w:rsidP="00C96DF2">
      <w:r w:rsidRPr="00DF418A">
        <w:t xml:space="preserve">Item </w:t>
      </w:r>
      <w:r w:rsidR="00576E18">
        <w:t>6(a)</w:t>
      </w:r>
      <w:r w:rsidRPr="00DF418A">
        <w:t xml:space="preserve"> of the provisional agenda</w:t>
      </w:r>
    </w:p>
    <w:p w:rsidR="009D448C" w:rsidRDefault="00576E18" w:rsidP="00C96DF2">
      <w:pPr>
        <w:rPr>
          <w:b/>
          <w:lang w:val="en-US"/>
        </w:rPr>
      </w:pPr>
      <w:r w:rsidRPr="00576E18">
        <w:rPr>
          <w:b/>
        </w:rPr>
        <w:t>Amendments to gas-fuelled vehicle</w:t>
      </w:r>
      <w:r w:rsidR="009D448C">
        <w:rPr>
          <w:b/>
        </w:rPr>
        <w:t xml:space="preserve"> </w:t>
      </w:r>
      <w:r w:rsidRPr="00576E18">
        <w:rPr>
          <w:b/>
        </w:rPr>
        <w:t>regulations</w:t>
      </w:r>
      <w:r w:rsidR="009D448C">
        <w:rPr>
          <w:b/>
          <w:lang w:val="en-US"/>
        </w:rPr>
        <w:t>:</w:t>
      </w:r>
    </w:p>
    <w:p w:rsidR="00915EF6" w:rsidRPr="001F20EF" w:rsidRDefault="00C64574" w:rsidP="00C96DF2">
      <w:pPr>
        <w:rPr>
          <w:b/>
          <w:lang w:val="en-US"/>
        </w:rPr>
      </w:pPr>
      <w:r w:rsidRPr="00DF418A">
        <w:rPr>
          <w:b/>
        </w:rPr>
        <w:t xml:space="preserve">Regulation No. </w:t>
      </w:r>
      <w:r w:rsidR="00EE6770">
        <w:rPr>
          <w:b/>
        </w:rPr>
        <w:t>6</w:t>
      </w:r>
      <w:r w:rsidR="00C768BA">
        <w:rPr>
          <w:b/>
        </w:rPr>
        <w:t>7</w:t>
      </w:r>
      <w:r w:rsidRPr="00DF418A">
        <w:rPr>
          <w:b/>
        </w:rPr>
        <w:t xml:space="preserve"> (</w:t>
      </w:r>
      <w:r w:rsidR="00EE6770">
        <w:rPr>
          <w:b/>
        </w:rPr>
        <w:t xml:space="preserve">LPG </w:t>
      </w:r>
      <w:r w:rsidR="00C768BA" w:rsidRPr="00C768BA">
        <w:rPr>
          <w:b/>
        </w:rPr>
        <w:t>vehicles</w:t>
      </w:r>
      <w:r w:rsidRPr="00DF418A">
        <w:rPr>
          <w:b/>
        </w:rPr>
        <w:t>)</w:t>
      </w:r>
    </w:p>
    <w:p w:rsidR="00DF418A" w:rsidRPr="00142B92" w:rsidRDefault="00DF418A" w:rsidP="00133E6D">
      <w:pPr>
        <w:pStyle w:val="HChG"/>
        <w:tabs>
          <w:tab w:val="clear" w:pos="851"/>
        </w:tabs>
        <w:ind w:firstLine="0"/>
        <w:jc w:val="both"/>
        <w:rPr>
          <w:sz w:val="26"/>
          <w:szCs w:val="26"/>
        </w:rPr>
      </w:pPr>
      <w:r w:rsidRPr="00142B92">
        <w:rPr>
          <w:sz w:val="26"/>
          <w:szCs w:val="26"/>
        </w:rPr>
        <w:t xml:space="preserve">Proposal for </w:t>
      </w:r>
      <w:r w:rsidR="00745ADF">
        <w:rPr>
          <w:sz w:val="26"/>
          <w:szCs w:val="26"/>
        </w:rPr>
        <w:t xml:space="preserve">the </w:t>
      </w:r>
      <w:r w:rsidR="00557459" w:rsidRPr="00142B92">
        <w:rPr>
          <w:sz w:val="26"/>
          <w:szCs w:val="26"/>
        </w:rPr>
        <w:t xml:space="preserve">amendments to Regulation No. </w:t>
      </w:r>
      <w:r w:rsidR="00EE6770">
        <w:rPr>
          <w:sz w:val="26"/>
          <w:szCs w:val="26"/>
        </w:rPr>
        <w:t>6</w:t>
      </w:r>
      <w:r w:rsidR="00C768BA" w:rsidRPr="00142B92">
        <w:rPr>
          <w:sz w:val="26"/>
          <w:szCs w:val="26"/>
        </w:rPr>
        <w:t>7</w:t>
      </w:r>
      <w:r w:rsidR="00557459" w:rsidRPr="00142B92">
        <w:rPr>
          <w:sz w:val="26"/>
          <w:szCs w:val="26"/>
        </w:rPr>
        <w:t xml:space="preserve"> (</w:t>
      </w:r>
      <w:r w:rsidR="00EE6770">
        <w:rPr>
          <w:sz w:val="26"/>
          <w:szCs w:val="26"/>
        </w:rPr>
        <w:t xml:space="preserve">LPG </w:t>
      </w:r>
      <w:r w:rsidR="00C768BA" w:rsidRPr="00142B92">
        <w:rPr>
          <w:sz w:val="26"/>
          <w:szCs w:val="26"/>
        </w:rPr>
        <w:t>vehicles</w:t>
      </w:r>
      <w:r w:rsidR="00557459" w:rsidRPr="00142B92">
        <w:rPr>
          <w:sz w:val="26"/>
          <w:szCs w:val="26"/>
        </w:rPr>
        <w:t>)</w:t>
      </w:r>
    </w:p>
    <w:p w:rsidR="002B47CA" w:rsidRPr="00142B92" w:rsidRDefault="002B47CA" w:rsidP="002B47CA">
      <w:pPr>
        <w:pStyle w:val="H1G"/>
        <w:tabs>
          <w:tab w:val="clear" w:pos="851"/>
        </w:tabs>
        <w:ind w:firstLine="0"/>
        <w:rPr>
          <w:vertAlign w:val="superscript"/>
        </w:rPr>
      </w:pPr>
      <w:r w:rsidRPr="00142B92">
        <w:t xml:space="preserve">Submitted by </w:t>
      </w:r>
      <w:r w:rsidR="00DF418A" w:rsidRPr="00142B92">
        <w:t xml:space="preserve">the expert </w:t>
      </w:r>
      <w:r w:rsidR="00B253FC" w:rsidRPr="00142B92">
        <w:t xml:space="preserve">from </w:t>
      </w:r>
      <w:r w:rsidR="00C1641D">
        <w:t>Turkey</w:t>
      </w:r>
      <w:r w:rsidRPr="00142B92">
        <w:rPr>
          <w:vertAlign w:val="superscript"/>
        </w:rPr>
        <w:footnoteReference w:customMarkFollows="1" w:id="2"/>
        <w:t>*</w:t>
      </w:r>
    </w:p>
    <w:p w:rsidR="00EE6770" w:rsidRDefault="0053398B" w:rsidP="000A6739">
      <w:pPr>
        <w:ind w:left="1134" w:right="1134" w:firstLine="567"/>
        <w:jc w:val="both"/>
      </w:pPr>
      <w:r w:rsidRPr="00142B92">
        <w:t xml:space="preserve">The text reproduced below was prepared by the expert from </w:t>
      </w:r>
      <w:r w:rsidR="00C1641D" w:rsidRPr="00C1641D">
        <w:t>Turkey</w:t>
      </w:r>
      <w:r w:rsidR="00C1641D">
        <w:t>. It</w:t>
      </w:r>
      <w:r w:rsidR="00793FE4">
        <w:t xml:space="preserve"> </w:t>
      </w:r>
      <w:r w:rsidR="00EE6770" w:rsidRPr="00EE6770">
        <w:t>propos</w:t>
      </w:r>
      <w:r w:rsidR="00793FE4">
        <w:t>es</w:t>
      </w:r>
      <w:r w:rsidR="00EE6770" w:rsidRPr="00EE6770">
        <w:t xml:space="preserve"> amendments to UN Regulation No. 67 </w:t>
      </w:r>
      <w:r w:rsidR="004A00F6">
        <w:t>on Liquefied Petroleum Gas (LPG) vehicles</w:t>
      </w:r>
      <w:r w:rsidR="004A00F6" w:rsidRPr="00EE6770">
        <w:t xml:space="preserve"> </w:t>
      </w:r>
      <w:r w:rsidR="00EE6770" w:rsidRPr="00EE6770">
        <w:t xml:space="preserve">to </w:t>
      </w:r>
      <w:r w:rsidR="00C1641D">
        <w:t>insert new provisions on the location on the vehicle of the filling unit and a limitation of the service life of LPG containers</w:t>
      </w:r>
      <w:r w:rsidR="00EE6770" w:rsidRPr="00EE6770">
        <w:t>. The modifications to the current text of UN Regulation No. 67 are marked in bold for new characters.</w:t>
      </w:r>
    </w:p>
    <w:p w:rsidR="00DF418A" w:rsidRPr="00142B92" w:rsidRDefault="00757F2F" w:rsidP="000B315E">
      <w:pPr>
        <w:pStyle w:val="HChG"/>
        <w:rPr>
          <w:b w:val="0"/>
        </w:rPr>
      </w:pPr>
      <w:r w:rsidRPr="00142B92">
        <w:br w:type="page"/>
      </w:r>
      <w:r w:rsidR="000B315E" w:rsidRPr="00142B92">
        <w:lastRenderedPageBreak/>
        <w:tab/>
      </w:r>
      <w:r w:rsidR="00DF418A" w:rsidRPr="00142B92">
        <w:t>I.</w:t>
      </w:r>
      <w:r w:rsidR="00DF418A" w:rsidRPr="00142B92">
        <w:tab/>
        <w:t>Proposal</w:t>
      </w:r>
    </w:p>
    <w:p w:rsidR="00C1641D" w:rsidRDefault="00C1641D" w:rsidP="00C1641D">
      <w:pPr>
        <w:tabs>
          <w:tab w:val="left" w:pos="2835"/>
        </w:tabs>
        <w:spacing w:before="120" w:after="120" w:line="240" w:lineRule="auto"/>
        <w:ind w:left="2268" w:right="1134" w:hanging="1134"/>
        <w:jc w:val="both"/>
        <w:rPr>
          <w:lang w:eastAsia="ar-SA"/>
        </w:rPr>
      </w:pPr>
      <w:r w:rsidRPr="00C1641D">
        <w:rPr>
          <w:i/>
          <w:lang w:eastAsia="ar-SA"/>
        </w:rPr>
        <w:t xml:space="preserve">Insert </w:t>
      </w:r>
      <w:r w:rsidR="007405BD">
        <w:rPr>
          <w:i/>
          <w:lang w:eastAsia="ar-SA"/>
        </w:rPr>
        <w:t xml:space="preserve">a </w:t>
      </w:r>
      <w:r w:rsidRPr="00C1641D">
        <w:rPr>
          <w:i/>
          <w:lang w:eastAsia="ar-SA"/>
        </w:rPr>
        <w:t>new paragraph 2.21.,</w:t>
      </w:r>
      <w:r>
        <w:rPr>
          <w:lang w:eastAsia="ar-SA"/>
        </w:rPr>
        <w:t xml:space="preserve"> to read:</w:t>
      </w:r>
    </w:p>
    <w:p w:rsidR="00BF6CC1" w:rsidRDefault="00C1641D" w:rsidP="00C1641D">
      <w:pPr>
        <w:tabs>
          <w:tab w:val="left" w:pos="2835"/>
        </w:tabs>
        <w:spacing w:before="120" w:after="120" w:line="240" w:lineRule="auto"/>
        <w:ind w:left="2268" w:right="1134" w:hanging="1134"/>
        <w:jc w:val="both"/>
        <w:rPr>
          <w:lang w:eastAsia="ar-SA"/>
        </w:rPr>
      </w:pPr>
      <w:r>
        <w:rPr>
          <w:lang w:eastAsia="ar-SA"/>
        </w:rPr>
        <w:t>"</w:t>
      </w:r>
      <w:r w:rsidR="00F1552A">
        <w:rPr>
          <w:b/>
          <w:lang w:eastAsia="ar-SA"/>
        </w:rPr>
        <w:t>2.21.</w:t>
      </w:r>
      <w:r w:rsidR="00F1552A">
        <w:rPr>
          <w:b/>
          <w:lang w:eastAsia="ar-SA"/>
        </w:rPr>
        <w:tab/>
        <w:t>"Service l</w:t>
      </w:r>
      <w:r w:rsidRPr="00C1641D">
        <w:rPr>
          <w:b/>
          <w:lang w:eastAsia="ar-SA"/>
        </w:rPr>
        <w:t>ife" means the life in years during which the containers may safely be used</w:t>
      </w:r>
      <w:r>
        <w:rPr>
          <w:lang w:eastAsia="ar-SA"/>
        </w:rPr>
        <w:t>."</w:t>
      </w:r>
    </w:p>
    <w:p w:rsidR="00C1641D" w:rsidRPr="00C1641D" w:rsidRDefault="00C1641D" w:rsidP="00C1641D">
      <w:pPr>
        <w:tabs>
          <w:tab w:val="left" w:pos="2835"/>
        </w:tabs>
        <w:spacing w:before="120" w:after="120" w:line="240" w:lineRule="auto"/>
        <w:ind w:left="2268" w:right="1134" w:hanging="1134"/>
        <w:jc w:val="both"/>
        <w:rPr>
          <w:lang w:val="tr-TR" w:eastAsia="ar-SA"/>
        </w:rPr>
      </w:pPr>
      <w:r w:rsidRPr="00C1641D">
        <w:rPr>
          <w:i/>
          <w:lang w:val="tr-TR" w:eastAsia="ar-SA"/>
        </w:rPr>
        <w:t>Paragraph 4.3.</w:t>
      </w:r>
      <w:r>
        <w:rPr>
          <w:lang w:val="tr-TR" w:eastAsia="ar-SA"/>
        </w:rPr>
        <w:t>, i</w:t>
      </w:r>
      <w:r w:rsidRPr="00C1641D">
        <w:rPr>
          <w:lang w:val="tr-TR" w:eastAsia="ar-SA"/>
        </w:rPr>
        <w:t>nsert new items (i) and (j) to read:</w:t>
      </w:r>
    </w:p>
    <w:p w:rsidR="00C1641D" w:rsidRDefault="00306F5F" w:rsidP="00C1641D">
      <w:pPr>
        <w:tabs>
          <w:tab w:val="left" w:pos="2835"/>
        </w:tabs>
        <w:spacing w:before="120" w:after="120" w:line="240" w:lineRule="auto"/>
        <w:ind w:left="2268" w:right="1134" w:hanging="1134"/>
        <w:jc w:val="both"/>
        <w:rPr>
          <w:lang w:val="tr-TR" w:eastAsia="ar-SA"/>
        </w:rPr>
      </w:pPr>
      <w:r>
        <w:rPr>
          <w:lang w:val="tr-TR" w:eastAsia="ar-SA"/>
        </w:rPr>
        <w:t>"4.3.</w:t>
      </w:r>
      <w:r w:rsidR="00C1641D">
        <w:rPr>
          <w:lang w:val="tr-TR" w:eastAsia="ar-SA"/>
        </w:rPr>
        <w:tab/>
      </w:r>
      <w:r>
        <w:rPr>
          <w:lang w:val="tr-TR" w:eastAsia="ar-SA"/>
        </w:rPr>
        <w:t xml:space="preserve">Every container </w:t>
      </w:r>
      <w:r w:rsidR="00C1641D">
        <w:rPr>
          <w:lang w:val="tr-TR" w:eastAsia="ar-SA"/>
        </w:rPr>
        <w:t>...</w:t>
      </w:r>
    </w:p>
    <w:p w:rsidR="00306F5F" w:rsidRDefault="00306F5F" w:rsidP="00C1641D">
      <w:pPr>
        <w:tabs>
          <w:tab w:val="left" w:pos="2835"/>
        </w:tabs>
        <w:spacing w:before="120" w:after="120" w:line="240" w:lineRule="auto"/>
        <w:ind w:left="2268" w:right="1134" w:hanging="1134"/>
        <w:jc w:val="both"/>
        <w:rPr>
          <w:lang w:val="tr-TR" w:eastAsia="ar-SA"/>
        </w:rPr>
      </w:pPr>
      <w:r>
        <w:rPr>
          <w:lang w:val="tr-TR" w:eastAsia="ar-SA"/>
        </w:rPr>
        <w:tab/>
        <w:t>...</w:t>
      </w:r>
    </w:p>
    <w:p w:rsidR="00C1641D" w:rsidRPr="00C1641D" w:rsidRDefault="00C1641D" w:rsidP="00C1641D">
      <w:pPr>
        <w:tabs>
          <w:tab w:val="left" w:pos="2835"/>
        </w:tabs>
        <w:spacing w:before="120" w:after="120" w:line="240" w:lineRule="auto"/>
        <w:ind w:left="2268" w:right="1134" w:hanging="1134"/>
        <w:jc w:val="both"/>
        <w:rPr>
          <w:b/>
          <w:lang w:val="tr-TR" w:eastAsia="ar-SA"/>
        </w:rPr>
      </w:pPr>
      <w:r w:rsidRPr="00C1641D">
        <w:rPr>
          <w:b/>
          <w:lang w:val="tr-TR" w:eastAsia="ar-SA"/>
        </w:rPr>
        <w:tab/>
        <w:t>(i)</w:t>
      </w:r>
      <w:r w:rsidRPr="00C1641D">
        <w:rPr>
          <w:b/>
          <w:lang w:val="tr-TR" w:eastAsia="ar-SA"/>
        </w:rPr>
        <w:tab/>
        <w:t>End of service life of the container (Month/Year)</w:t>
      </w:r>
    </w:p>
    <w:p w:rsidR="00C1641D" w:rsidRPr="00C1641D" w:rsidRDefault="00C1641D" w:rsidP="00C1641D">
      <w:pPr>
        <w:tabs>
          <w:tab w:val="left" w:pos="2835"/>
        </w:tabs>
        <w:spacing w:before="120" w:after="120" w:line="240" w:lineRule="auto"/>
        <w:ind w:left="2268" w:right="1134" w:hanging="1134"/>
        <w:jc w:val="both"/>
        <w:rPr>
          <w:lang w:val="tr-TR" w:eastAsia="ar-SA"/>
        </w:rPr>
      </w:pPr>
      <w:r w:rsidRPr="00C1641D">
        <w:rPr>
          <w:b/>
          <w:lang w:val="tr-TR" w:eastAsia="ar-SA"/>
        </w:rPr>
        <w:tab/>
        <w:t>(j)</w:t>
      </w:r>
      <w:r w:rsidRPr="00C1641D">
        <w:rPr>
          <w:b/>
          <w:lang w:val="tr-TR" w:eastAsia="ar-SA"/>
        </w:rPr>
        <w:tab/>
        <w:t>Date of production (Month/Year)</w:t>
      </w:r>
      <w:r>
        <w:rPr>
          <w:lang w:val="tr-TR" w:eastAsia="ar-SA"/>
        </w:rPr>
        <w:t>"</w:t>
      </w:r>
    </w:p>
    <w:p w:rsidR="00C1641D" w:rsidRDefault="00C1641D" w:rsidP="00C1641D">
      <w:pPr>
        <w:tabs>
          <w:tab w:val="left" w:pos="2835"/>
        </w:tabs>
        <w:spacing w:before="120" w:after="120" w:line="240" w:lineRule="auto"/>
        <w:ind w:left="2268" w:right="1134" w:hanging="1134"/>
        <w:jc w:val="both"/>
        <w:rPr>
          <w:lang w:eastAsia="ar-SA"/>
        </w:rPr>
      </w:pPr>
      <w:r w:rsidRPr="00C1641D">
        <w:rPr>
          <w:i/>
          <w:lang w:eastAsia="ar-SA"/>
        </w:rPr>
        <w:t xml:space="preserve">Insert </w:t>
      </w:r>
      <w:r w:rsidR="007405BD">
        <w:rPr>
          <w:i/>
          <w:lang w:eastAsia="ar-SA"/>
        </w:rPr>
        <w:t xml:space="preserve">a </w:t>
      </w:r>
      <w:r w:rsidRPr="00C1641D">
        <w:rPr>
          <w:i/>
          <w:lang w:eastAsia="ar-SA"/>
        </w:rPr>
        <w:t>new paragraph 6.15.10.8.</w:t>
      </w:r>
      <w:r>
        <w:rPr>
          <w:lang w:eastAsia="ar-SA"/>
        </w:rPr>
        <w:t>, to read:</w:t>
      </w:r>
    </w:p>
    <w:p w:rsidR="00C1641D" w:rsidRDefault="00C1641D" w:rsidP="00C1641D">
      <w:pPr>
        <w:tabs>
          <w:tab w:val="left" w:pos="2835"/>
        </w:tabs>
        <w:spacing w:before="120" w:after="120" w:line="240" w:lineRule="auto"/>
        <w:ind w:left="2268" w:right="1134" w:hanging="1134"/>
        <w:jc w:val="both"/>
        <w:rPr>
          <w:lang w:eastAsia="ar-SA"/>
        </w:rPr>
      </w:pPr>
      <w:r>
        <w:rPr>
          <w:lang w:eastAsia="ar-SA"/>
        </w:rPr>
        <w:t>"</w:t>
      </w:r>
      <w:r>
        <w:rPr>
          <w:b/>
          <w:lang w:eastAsia="ar-SA"/>
        </w:rPr>
        <w:t>6.15.10.8.</w:t>
      </w:r>
      <w:r w:rsidRPr="00C1641D">
        <w:rPr>
          <w:b/>
          <w:lang w:eastAsia="ar-SA"/>
        </w:rPr>
        <w:tab/>
      </w:r>
      <w:r>
        <w:rPr>
          <w:b/>
          <w:lang w:eastAsia="ar-SA"/>
        </w:rPr>
        <w:t>The f</w:t>
      </w:r>
      <w:r w:rsidRPr="00C1641D">
        <w:rPr>
          <w:b/>
          <w:lang w:eastAsia="ar-SA"/>
        </w:rPr>
        <w:t xml:space="preserve">illing unit shall not be located at </w:t>
      </w:r>
      <w:r>
        <w:rPr>
          <w:b/>
          <w:lang w:eastAsia="ar-SA"/>
        </w:rPr>
        <w:t xml:space="preserve">the </w:t>
      </w:r>
      <w:r w:rsidRPr="00C1641D">
        <w:rPr>
          <w:b/>
          <w:lang w:eastAsia="ar-SA"/>
        </w:rPr>
        <w:t xml:space="preserve">bottom surface of the vehicle. </w:t>
      </w:r>
      <w:r w:rsidR="006B5C4D">
        <w:rPr>
          <w:b/>
          <w:lang w:eastAsia="ar-SA"/>
        </w:rPr>
        <w:t>The c</w:t>
      </w:r>
      <w:r w:rsidRPr="00C1641D">
        <w:rPr>
          <w:b/>
          <w:lang w:eastAsia="ar-SA"/>
        </w:rPr>
        <w:t>entr</w:t>
      </w:r>
      <w:r w:rsidR="00306F5F">
        <w:rPr>
          <w:b/>
          <w:lang w:eastAsia="ar-SA"/>
        </w:rPr>
        <w:t>e</w:t>
      </w:r>
      <w:r w:rsidRPr="00C1641D">
        <w:rPr>
          <w:b/>
          <w:lang w:eastAsia="ar-SA"/>
        </w:rPr>
        <w:t xml:space="preserve"> of outlet of filling unit shall be above 350 mm from the ground surface when </w:t>
      </w:r>
      <w:r>
        <w:rPr>
          <w:b/>
          <w:lang w:eastAsia="ar-SA"/>
        </w:rPr>
        <w:t xml:space="preserve">the </w:t>
      </w:r>
      <w:r w:rsidRPr="00C1641D">
        <w:rPr>
          <w:b/>
          <w:lang w:eastAsia="ar-SA"/>
        </w:rPr>
        <w:t xml:space="preserve">vehicle is in its reference mass. In </w:t>
      </w:r>
      <w:r>
        <w:rPr>
          <w:b/>
          <w:lang w:eastAsia="ar-SA"/>
        </w:rPr>
        <w:t xml:space="preserve">the </w:t>
      </w:r>
      <w:r w:rsidRPr="00C1641D">
        <w:rPr>
          <w:b/>
          <w:lang w:eastAsia="ar-SA"/>
        </w:rPr>
        <w:t xml:space="preserve">case the outlet of filling unit is located between 350 mm </w:t>
      </w:r>
      <w:r>
        <w:rPr>
          <w:b/>
          <w:lang w:eastAsia="ar-SA"/>
        </w:rPr>
        <w:t>to 1</w:t>
      </w:r>
      <w:r w:rsidR="006B5C4D">
        <w:rPr>
          <w:b/>
          <w:lang w:eastAsia="ar-SA"/>
        </w:rPr>
        <w:t>,</w:t>
      </w:r>
      <w:r>
        <w:rPr>
          <w:b/>
          <w:lang w:eastAsia="ar-SA"/>
        </w:rPr>
        <w:t>200 mm above the ground</w:t>
      </w:r>
      <w:r w:rsidR="006B5C4D">
        <w:rPr>
          <w:b/>
          <w:lang w:eastAsia="ar-SA"/>
        </w:rPr>
        <w:t>,</w:t>
      </w:r>
      <w:r w:rsidRPr="00C1641D">
        <w:rPr>
          <w:b/>
          <w:lang w:eastAsia="ar-SA"/>
        </w:rPr>
        <w:t xml:space="preserve"> in vertical plane the angle between horizontal road surface and outlet plane of the filling unit shall be equal to or greater than 60 degrees</w:t>
      </w:r>
      <w:r w:rsidR="006B5C4D">
        <w:rPr>
          <w:b/>
          <w:lang w:eastAsia="ar-SA"/>
        </w:rPr>
        <w:t>,</w:t>
      </w:r>
      <w:r w:rsidRPr="00C1641D">
        <w:rPr>
          <w:b/>
          <w:lang w:eastAsia="ar-SA"/>
        </w:rPr>
        <w:t xml:space="preserve"> if </w:t>
      </w:r>
      <w:r w:rsidR="006B5C4D">
        <w:rPr>
          <w:b/>
          <w:lang w:eastAsia="ar-SA"/>
        </w:rPr>
        <w:t xml:space="preserve">the </w:t>
      </w:r>
      <w:r w:rsidRPr="00C1641D">
        <w:rPr>
          <w:b/>
          <w:lang w:eastAsia="ar-SA"/>
        </w:rPr>
        <w:t xml:space="preserve">outlet is </w:t>
      </w:r>
      <w:r>
        <w:rPr>
          <w:b/>
          <w:lang w:eastAsia="ar-SA"/>
        </w:rPr>
        <w:t>directed</w:t>
      </w:r>
      <w:r w:rsidRPr="00C1641D">
        <w:rPr>
          <w:b/>
          <w:lang w:eastAsia="ar-SA"/>
        </w:rPr>
        <w:t xml:space="preserve"> downwards</w:t>
      </w:r>
      <w:r>
        <w:rPr>
          <w:lang w:eastAsia="ar-SA"/>
        </w:rPr>
        <w:t>."</w:t>
      </w:r>
    </w:p>
    <w:p w:rsidR="006B5C4D" w:rsidRDefault="006B5C4D" w:rsidP="006B5C4D">
      <w:pPr>
        <w:tabs>
          <w:tab w:val="left" w:pos="2835"/>
        </w:tabs>
        <w:spacing w:before="120" w:after="120" w:line="240" w:lineRule="auto"/>
        <w:ind w:left="2268" w:right="1134" w:hanging="1134"/>
        <w:jc w:val="both"/>
        <w:rPr>
          <w:lang w:eastAsia="ar-SA"/>
        </w:rPr>
      </w:pPr>
      <w:r w:rsidRPr="006B5C4D">
        <w:rPr>
          <w:i/>
          <w:lang w:eastAsia="ar-SA"/>
        </w:rPr>
        <w:t>Annex 10, insert new paragraph 1.8.</w:t>
      </w:r>
      <w:r>
        <w:rPr>
          <w:lang w:eastAsia="ar-SA"/>
        </w:rPr>
        <w:t>, to read:</w:t>
      </w:r>
    </w:p>
    <w:p w:rsidR="006B5C4D" w:rsidRPr="006B5C4D" w:rsidRDefault="006B5C4D" w:rsidP="006B5C4D">
      <w:pPr>
        <w:tabs>
          <w:tab w:val="left" w:pos="2835"/>
        </w:tabs>
        <w:spacing w:before="120" w:after="120" w:line="240" w:lineRule="auto"/>
        <w:ind w:left="2268" w:right="1134" w:hanging="1134"/>
        <w:jc w:val="both"/>
        <w:rPr>
          <w:b/>
          <w:lang w:eastAsia="ar-SA"/>
        </w:rPr>
      </w:pPr>
      <w:r>
        <w:rPr>
          <w:lang w:eastAsia="ar-SA"/>
        </w:rPr>
        <w:t>"</w:t>
      </w:r>
      <w:r w:rsidRPr="006B5C4D">
        <w:rPr>
          <w:b/>
          <w:lang w:eastAsia="ar-SA"/>
        </w:rPr>
        <w:t>1.8.</w:t>
      </w:r>
      <w:r w:rsidRPr="006B5C4D">
        <w:rPr>
          <w:b/>
          <w:lang w:eastAsia="ar-SA"/>
        </w:rPr>
        <w:tab/>
        <w:t xml:space="preserve">Service </w:t>
      </w:r>
      <w:r w:rsidR="00034064">
        <w:rPr>
          <w:b/>
          <w:lang w:eastAsia="ar-SA"/>
        </w:rPr>
        <w:t>l</w:t>
      </w:r>
      <w:r w:rsidRPr="006B5C4D">
        <w:rPr>
          <w:b/>
          <w:lang w:eastAsia="ar-SA"/>
        </w:rPr>
        <w:t>ife</w:t>
      </w:r>
    </w:p>
    <w:p w:rsidR="006B5C4D" w:rsidRPr="006B5C4D" w:rsidRDefault="006B5C4D" w:rsidP="006B5C4D">
      <w:pPr>
        <w:tabs>
          <w:tab w:val="left" w:pos="2835"/>
        </w:tabs>
        <w:spacing w:before="120" w:after="120" w:line="240" w:lineRule="auto"/>
        <w:ind w:left="2268" w:right="1134" w:hanging="1134"/>
        <w:jc w:val="both"/>
        <w:rPr>
          <w:b/>
          <w:lang w:eastAsia="ar-SA"/>
        </w:rPr>
      </w:pPr>
      <w:r w:rsidRPr="006B5C4D">
        <w:rPr>
          <w:b/>
          <w:lang w:eastAsia="ar-SA"/>
        </w:rPr>
        <w:tab/>
        <w:t>The service life for which containers are safe shall be specified by the container manufacturer considering that external surfaces of the container may be inadvertently exposed to:</w:t>
      </w:r>
    </w:p>
    <w:p w:rsidR="006B5C4D" w:rsidRPr="006B5C4D" w:rsidRDefault="006B5C4D" w:rsidP="006B5C4D">
      <w:pPr>
        <w:tabs>
          <w:tab w:val="left" w:pos="2268"/>
          <w:tab w:val="left" w:pos="2835"/>
        </w:tabs>
        <w:spacing w:before="120" w:after="120" w:line="240" w:lineRule="auto"/>
        <w:ind w:left="2835" w:right="1134" w:hanging="1701"/>
        <w:jc w:val="both"/>
        <w:rPr>
          <w:b/>
          <w:lang w:eastAsia="ar-SA"/>
        </w:rPr>
      </w:pPr>
      <w:r w:rsidRPr="006B5C4D">
        <w:rPr>
          <w:b/>
          <w:lang w:eastAsia="ar-SA"/>
        </w:rPr>
        <w:tab/>
        <w:t>(a)</w:t>
      </w:r>
      <w:r w:rsidRPr="006B5C4D">
        <w:rPr>
          <w:b/>
          <w:lang w:eastAsia="ar-SA"/>
        </w:rPr>
        <w:tab/>
        <w:t>water, either by intermittent immersion or road spray;</w:t>
      </w:r>
    </w:p>
    <w:p w:rsidR="006B5C4D" w:rsidRPr="006B5C4D" w:rsidRDefault="006B5C4D" w:rsidP="006B5C4D">
      <w:pPr>
        <w:tabs>
          <w:tab w:val="left" w:pos="2268"/>
          <w:tab w:val="left" w:pos="2835"/>
        </w:tabs>
        <w:spacing w:before="120" w:after="120" w:line="240" w:lineRule="auto"/>
        <w:ind w:left="2835" w:right="1134" w:hanging="1701"/>
        <w:jc w:val="both"/>
        <w:rPr>
          <w:b/>
          <w:lang w:eastAsia="ar-SA"/>
        </w:rPr>
      </w:pPr>
      <w:r w:rsidRPr="006B5C4D">
        <w:rPr>
          <w:b/>
          <w:lang w:eastAsia="ar-SA"/>
        </w:rPr>
        <w:tab/>
        <w:t>(b)</w:t>
      </w:r>
      <w:r w:rsidRPr="006B5C4D">
        <w:rPr>
          <w:b/>
          <w:lang w:eastAsia="ar-SA"/>
        </w:rPr>
        <w:tab/>
        <w:t>salt, due to the operation of the vehicle near the ocean or where ice melting salt is used;</w:t>
      </w:r>
    </w:p>
    <w:p w:rsidR="006B5C4D" w:rsidRPr="006B5C4D" w:rsidRDefault="006B5C4D" w:rsidP="006B5C4D">
      <w:pPr>
        <w:tabs>
          <w:tab w:val="left" w:pos="2268"/>
          <w:tab w:val="left" w:pos="2835"/>
        </w:tabs>
        <w:spacing w:before="120" w:after="120" w:line="240" w:lineRule="auto"/>
        <w:ind w:left="2835" w:right="1134" w:hanging="1701"/>
        <w:jc w:val="both"/>
        <w:rPr>
          <w:b/>
          <w:lang w:eastAsia="ar-SA"/>
        </w:rPr>
      </w:pPr>
      <w:r w:rsidRPr="006B5C4D">
        <w:rPr>
          <w:b/>
          <w:lang w:eastAsia="ar-SA"/>
        </w:rPr>
        <w:tab/>
        <w:t>(c)</w:t>
      </w:r>
      <w:r w:rsidRPr="006B5C4D">
        <w:rPr>
          <w:b/>
          <w:lang w:eastAsia="ar-SA"/>
        </w:rPr>
        <w:tab/>
        <w:t>impact of gravel; and</w:t>
      </w:r>
    </w:p>
    <w:p w:rsidR="006B5C4D" w:rsidRPr="006B5C4D" w:rsidRDefault="006B5C4D" w:rsidP="006B5C4D">
      <w:pPr>
        <w:tabs>
          <w:tab w:val="left" w:pos="2268"/>
          <w:tab w:val="left" w:pos="2835"/>
        </w:tabs>
        <w:spacing w:before="120" w:after="120" w:line="240" w:lineRule="auto"/>
        <w:ind w:left="2835" w:right="1134" w:hanging="1701"/>
        <w:jc w:val="both"/>
        <w:rPr>
          <w:b/>
          <w:lang w:eastAsia="ar-SA"/>
        </w:rPr>
      </w:pPr>
      <w:r w:rsidRPr="006B5C4D">
        <w:rPr>
          <w:b/>
          <w:lang w:eastAsia="ar-SA"/>
        </w:rPr>
        <w:tab/>
        <w:t>(d)</w:t>
      </w:r>
      <w:r w:rsidRPr="006B5C4D">
        <w:rPr>
          <w:b/>
          <w:lang w:eastAsia="ar-SA"/>
        </w:rPr>
        <w:tab/>
        <w:t>automotive fluids, including gasoline, hydraulic fluids, glycol and oils.</w:t>
      </w:r>
    </w:p>
    <w:p w:rsidR="00C1641D" w:rsidRPr="00F371E8" w:rsidRDefault="006B5C4D" w:rsidP="006B5C4D">
      <w:pPr>
        <w:tabs>
          <w:tab w:val="left" w:pos="2835"/>
        </w:tabs>
        <w:spacing w:before="120" w:after="120" w:line="480" w:lineRule="auto"/>
        <w:ind w:left="2268" w:right="1134" w:hanging="1134"/>
        <w:jc w:val="both"/>
        <w:rPr>
          <w:lang w:eastAsia="ar-SA"/>
        </w:rPr>
      </w:pPr>
      <w:r w:rsidRPr="006B5C4D">
        <w:rPr>
          <w:b/>
          <w:lang w:eastAsia="ar-SA"/>
        </w:rPr>
        <w:tab/>
        <w:t>The maximum service life shall be 15 years</w:t>
      </w:r>
      <w:r>
        <w:rPr>
          <w:lang w:eastAsia="ar-SA"/>
        </w:rPr>
        <w:t>."</w:t>
      </w:r>
    </w:p>
    <w:p w:rsidR="00CB7013" w:rsidRPr="00142B92" w:rsidRDefault="00CB7013" w:rsidP="00CB7013">
      <w:pPr>
        <w:pStyle w:val="HChG"/>
      </w:pPr>
      <w:r w:rsidRPr="00142B92">
        <w:tab/>
        <w:t>II.</w:t>
      </w:r>
      <w:r w:rsidRPr="00142B92">
        <w:tab/>
        <w:t>Justification</w:t>
      </w:r>
    </w:p>
    <w:p w:rsidR="006B5C4D" w:rsidRDefault="00EC0B17" w:rsidP="006B5C4D">
      <w:pPr>
        <w:pStyle w:val="SingleTxtG"/>
      </w:pPr>
      <w:r w:rsidRPr="00142B92">
        <w:t>1.</w:t>
      </w:r>
      <w:r w:rsidRPr="00142B92">
        <w:tab/>
      </w:r>
      <w:r w:rsidR="006B5C4D">
        <w:t>At the 112th session of the Working Party on General Safety Provisions (GRSG), the expert from Turkey introduced GRSG-112-22 proposing to develop new provisions on the location on the vehicle of the filling unit and a limitation of the service life of containers. Informal document GRSG-112-22 provides some worldwide statistical information on a number of LPG vehicles, LPG consumption and refuelling sites which indicates the significance and importance of LPG vehicles in wor</w:t>
      </w:r>
      <w:r w:rsidR="00306F5F">
        <w:t>ldwide transportation industry.</w:t>
      </w:r>
    </w:p>
    <w:p w:rsidR="006B5C4D" w:rsidRDefault="006B5C4D" w:rsidP="006B5C4D">
      <w:pPr>
        <w:pStyle w:val="SingleTxtG"/>
      </w:pPr>
      <w:r>
        <w:t>2.</w:t>
      </w:r>
      <w:r>
        <w:tab/>
        <w:t xml:space="preserve">Although the maximum service life of </w:t>
      </w:r>
      <w:r w:rsidR="004A00F6">
        <w:t>compressed natural gas (</w:t>
      </w:r>
      <w:r>
        <w:t>CNG</w:t>
      </w:r>
      <w:r w:rsidR="004A00F6">
        <w:t>)</w:t>
      </w:r>
      <w:r>
        <w:t xml:space="preserve"> tanks in use is defined in UN Regulation No. 110, there are no provisions or restrictions regarding the </w:t>
      </w:r>
      <w:r>
        <w:lastRenderedPageBreak/>
        <w:t>maximum service life of LPG containers in UN Regulation No. 67. Countries follow their national legislations with regard to LPG container service life.</w:t>
      </w:r>
    </w:p>
    <w:p w:rsidR="006B5C4D" w:rsidRDefault="004A00F6" w:rsidP="006B5C4D">
      <w:pPr>
        <w:pStyle w:val="SingleTxtG"/>
      </w:pPr>
      <w:r>
        <w:t>3.</w:t>
      </w:r>
      <w:r>
        <w:tab/>
      </w:r>
      <w:r w:rsidR="006B5C4D">
        <w:t>According to academic studies</w:t>
      </w:r>
      <w:r w:rsidR="006B5C4D" w:rsidRPr="004A00F6">
        <w:rPr>
          <w:vertAlign w:val="superscript"/>
        </w:rPr>
        <w:t>1</w:t>
      </w:r>
      <w:r w:rsidR="006B5C4D">
        <w:t xml:space="preserve"> on LPG container service life, the service life of LPG containers may vary with the external conditions such as corrosion, humidity, temperature, vibration, re-filling frequency, impact, etc. as well as the design, manufacturing and assemble processes of the container by its manufacturer. </w:t>
      </w:r>
      <w:r>
        <w:t>T</w:t>
      </w:r>
      <w:r w:rsidRPr="004A00F6">
        <w:t>he service life</w:t>
      </w:r>
      <w:r w:rsidR="006B5C4D">
        <w:t xml:space="preserve"> is evaluated according to LPG containers</w:t>
      </w:r>
      <w:r>
        <w:t>'</w:t>
      </w:r>
      <w:r w:rsidR="006B5C4D">
        <w:t xml:space="preserve"> conditions of use</w:t>
      </w:r>
      <w:r>
        <w:t>. T</w:t>
      </w:r>
      <w:r w:rsidR="006B5C4D">
        <w:t xml:space="preserve">he LPG container must be replaced with a new one after its service life </w:t>
      </w:r>
      <w:r w:rsidR="007A6266">
        <w:t>ended</w:t>
      </w:r>
      <w:r w:rsidR="006B5C4D">
        <w:t xml:space="preserve"> in order to </w:t>
      </w:r>
      <w:r w:rsidR="007A6266">
        <w:t>ensure</w:t>
      </w:r>
      <w:r w:rsidR="006B5C4D">
        <w:t xml:space="preserve"> safe usage.</w:t>
      </w:r>
    </w:p>
    <w:p w:rsidR="006B5C4D" w:rsidRDefault="003E6495" w:rsidP="006B5C4D">
      <w:pPr>
        <w:pStyle w:val="SingleTxtG"/>
      </w:pPr>
      <w:r>
        <w:t>4.</w:t>
      </w:r>
      <w:r>
        <w:tab/>
        <w:t>Thus,</w:t>
      </w:r>
      <w:r w:rsidR="006B5C4D">
        <w:t xml:space="preserve"> the lack of </w:t>
      </w:r>
      <w:r>
        <w:t xml:space="preserve">a </w:t>
      </w:r>
      <w:r w:rsidR="006B5C4D">
        <w:t>harmoniz</w:t>
      </w:r>
      <w:r>
        <w:t>ed</w:t>
      </w:r>
      <w:r w:rsidR="006B5C4D">
        <w:t xml:space="preserve"> </w:t>
      </w:r>
      <w:r>
        <w:t>implementation in the different countries of the in-</w:t>
      </w:r>
      <w:r w:rsidR="006B5C4D">
        <w:t xml:space="preserve">service life </w:t>
      </w:r>
      <w:r>
        <w:t>of</w:t>
      </w:r>
      <w:r w:rsidR="006B5C4D">
        <w:t xml:space="preserve"> LPG containers may create problems. </w:t>
      </w:r>
      <w:r w:rsidR="007A6266">
        <w:t>For the sake of</w:t>
      </w:r>
      <w:r w:rsidR="006B5C4D">
        <w:t xml:space="preserve"> </w:t>
      </w:r>
      <w:r>
        <w:t>a</w:t>
      </w:r>
      <w:r w:rsidR="006B5C4D">
        <w:t xml:space="preserve"> safe</w:t>
      </w:r>
      <w:r>
        <w:t>r</w:t>
      </w:r>
      <w:r w:rsidR="006B5C4D">
        <w:t xml:space="preserve"> usage of </w:t>
      </w:r>
      <w:r>
        <w:t xml:space="preserve">LPG </w:t>
      </w:r>
      <w:r w:rsidR="006B5C4D">
        <w:t>vehicle</w:t>
      </w:r>
      <w:r w:rsidR="007A6266">
        <w:t>s</w:t>
      </w:r>
      <w:r w:rsidR="006B5C4D">
        <w:t xml:space="preserve"> and </w:t>
      </w:r>
      <w:r>
        <w:t>enhance</w:t>
      </w:r>
      <w:r w:rsidR="007A6266">
        <w:t>d</w:t>
      </w:r>
      <w:r>
        <w:t xml:space="preserve"> </w:t>
      </w:r>
      <w:r w:rsidR="006B5C4D">
        <w:t>safety of occupants</w:t>
      </w:r>
      <w:r>
        <w:t>,</w:t>
      </w:r>
      <w:r w:rsidR="006B5C4D">
        <w:t xml:space="preserve"> </w:t>
      </w:r>
      <w:r>
        <w:t>Turkey</w:t>
      </w:r>
      <w:r w:rsidR="006B5C4D">
        <w:t xml:space="preserve"> propose</w:t>
      </w:r>
      <w:r>
        <w:t>s</w:t>
      </w:r>
      <w:r w:rsidR="006B5C4D">
        <w:t xml:space="preserve"> to introduce </w:t>
      </w:r>
      <w:r>
        <w:t>a definition on "</w:t>
      </w:r>
      <w:r w:rsidR="00F1552A">
        <w:t>Service l</w:t>
      </w:r>
      <w:r w:rsidR="006B5C4D">
        <w:t>ife</w:t>
      </w:r>
      <w:r>
        <w:t>"</w:t>
      </w:r>
      <w:r w:rsidR="006B5C4D">
        <w:t xml:space="preserve"> into the text </w:t>
      </w:r>
      <w:r>
        <w:t xml:space="preserve">of the Regulation </w:t>
      </w:r>
      <w:r w:rsidR="006B5C4D">
        <w:t xml:space="preserve">and </w:t>
      </w:r>
      <w:r>
        <w:t xml:space="preserve">to </w:t>
      </w:r>
      <w:r w:rsidR="006B5C4D">
        <w:t>add</w:t>
      </w:r>
      <w:r>
        <w:t>,</w:t>
      </w:r>
      <w:r w:rsidR="006B5C4D">
        <w:t xml:space="preserve"> </w:t>
      </w:r>
      <w:r>
        <w:t>in Annex 10, a new p</w:t>
      </w:r>
      <w:r w:rsidR="006B5C4D">
        <w:t>aragraph 1.8</w:t>
      </w:r>
      <w:r>
        <w:t>.</w:t>
      </w:r>
      <w:r w:rsidR="006B5C4D">
        <w:t xml:space="preserve"> to limit the maximum service life of the containers to 15 years, taking into consideration of the service conditions, defined by the</w:t>
      </w:r>
      <w:r>
        <w:t xml:space="preserve"> manufacturer of the container.</w:t>
      </w:r>
    </w:p>
    <w:p w:rsidR="006B5C4D" w:rsidRDefault="003E6495" w:rsidP="006B5C4D">
      <w:pPr>
        <w:pStyle w:val="SingleTxtG"/>
      </w:pPr>
      <w:r>
        <w:t>5.</w:t>
      </w:r>
      <w:r>
        <w:tab/>
      </w:r>
      <w:r w:rsidR="007A6266">
        <w:t xml:space="preserve">Furthermore, Turkey </w:t>
      </w:r>
      <w:r w:rsidR="006B5C4D">
        <w:t>propose</w:t>
      </w:r>
      <w:r w:rsidR="007A6266">
        <w:t>s</w:t>
      </w:r>
      <w:r w:rsidR="006B5C4D">
        <w:t xml:space="preserve"> to add item</w:t>
      </w:r>
      <w:r w:rsidR="00BE6474">
        <w:t>s</w:t>
      </w:r>
      <w:r w:rsidR="006B5C4D">
        <w:t xml:space="preserve"> (i) and (j) into </w:t>
      </w:r>
      <w:r>
        <w:t>p</w:t>
      </w:r>
      <w:r w:rsidR="006B5C4D">
        <w:t>aragraph 4.3</w:t>
      </w:r>
      <w:r>
        <w:t>.</w:t>
      </w:r>
      <w:r w:rsidR="006B5C4D">
        <w:t xml:space="preserve"> to indicate the production date and service life of the LPG container on the marking plate on the LPG container, preventing possible misapplications </w:t>
      </w:r>
      <w:r w:rsidR="00BE6474">
        <w:t>of</w:t>
      </w:r>
      <w:r w:rsidR="006B5C4D">
        <w:t xml:space="preserve"> the service life.</w:t>
      </w:r>
    </w:p>
    <w:p w:rsidR="006B5C4D" w:rsidRDefault="003E6495" w:rsidP="006B5C4D">
      <w:pPr>
        <w:pStyle w:val="SingleTxtG"/>
      </w:pPr>
      <w:r>
        <w:t>6.</w:t>
      </w:r>
      <w:r>
        <w:tab/>
      </w:r>
      <w:r w:rsidR="007405BD">
        <w:t>In t</w:t>
      </w:r>
      <w:r w:rsidR="006B5C4D">
        <w:t xml:space="preserve">he current text of </w:t>
      </w:r>
      <w:r>
        <w:t xml:space="preserve">UN </w:t>
      </w:r>
      <w:r w:rsidR="006B5C4D">
        <w:t>R</w:t>
      </w:r>
      <w:r>
        <w:t xml:space="preserve">egulation No. </w:t>
      </w:r>
      <w:r w:rsidR="006B5C4D">
        <w:t>67</w:t>
      </w:r>
      <w:r w:rsidR="007405BD">
        <w:t>,</w:t>
      </w:r>
      <w:r w:rsidR="006B5C4D">
        <w:t xml:space="preserve"> </w:t>
      </w:r>
      <w:r w:rsidR="007405BD">
        <w:t>there are</w:t>
      </w:r>
      <w:r w:rsidR="006B5C4D">
        <w:t xml:space="preserve"> no provisions </w:t>
      </w:r>
      <w:r>
        <w:t>on</w:t>
      </w:r>
      <w:r w:rsidR="006B5C4D">
        <w:t xml:space="preserve"> the location of the filling unit of the LPG container outside the vehicle. As shown in informal document GRSG-112-22 with photographs</w:t>
      </w:r>
      <w:r w:rsidR="00BE6474" w:rsidRPr="00BE6474">
        <w:t xml:space="preserve"> </w:t>
      </w:r>
      <w:r w:rsidR="00BE6474">
        <w:t>of samples,</w:t>
      </w:r>
      <w:r w:rsidR="006B5C4D">
        <w:t xml:space="preserve"> the filling unit located under the vehicle causes problems including:</w:t>
      </w:r>
    </w:p>
    <w:p w:rsidR="006B5C4D" w:rsidRDefault="00BE6474" w:rsidP="007405BD">
      <w:pPr>
        <w:pStyle w:val="SingleTxtG"/>
        <w:numPr>
          <w:ilvl w:val="0"/>
          <w:numId w:val="27"/>
        </w:numPr>
        <w:tabs>
          <w:tab w:val="left" w:pos="1701"/>
        </w:tabs>
        <w:ind w:left="2127" w:hanging="426"/>
      </w:pPr>
      <w:r>
        <w:t>Difficulties</w:t>
      </w:r>
      <w:r w:rsidR="006B5C4D">
        <w:t xml:space="preserve"> </w:t>
      </w:r>
      <w:r>
        <w:t>with</w:t>
      </w:r>
      <w:r w:rsidR="007405BD">
        <w:t xml:space="preserve"> filling the LPG container;</w:t>
      </w:r>
    </w:p>
    <w:p w:rsidR="006B5C4D" w:rsidRDefault="006B5C4D" w:rsidP="007405BD">
      <w:pPr>
        <w:pStyle w:val="SingleTxtG"/>
        <w:numPr>
          <w:ilvl w:val="0"/>
          <w:numId w:val="27"/>
        </w:numPr>
        <w:tabs>
          <w:tab w:val="left" w:pos="1701"/>
        </w:tabs>
        <w:ind w:left="2127" w:hanging="426"/>
      </w:pPr>
      <w:r>
        <w:t xml:space="preserve">Risks involved on occupational health and safety of </w:t>
      </w:r>
      <w:r w:rsidR="007405BD">
        <w:t>LPG container filling operators;</w:t>
      </w:r>
    </w:p>
    <w:p w:rsidR="006B5C4D" w:rsidRDefault="00BE6474" w:rsidP="007405BD">
      <w:pPr>
        <w:pStyle w:val="SingleTxtG"/>
        <w:numPr>
          <w:ilvl w:val="0"/>
          <w:numId w:val="27"/>
        </w:numPr>
        <w:tabs>
          <w:tab w:val="left" w:pos="1701"/>
        </w:tabs>
        <w:ind w:left="2127" w:hanging="426"/>
      </w:pPr>
      <w:r>
        <w:t>When filling the container, obliges</w:t>
      </w:r>
      <w:r w:rsidR="006B5C4D">
        <w:t xml:space="preserve"> operators to kneel down/lie down on the ground</w:t>
      </w:r>
      <w:r>
        <w:t>;</w:t>
      </w:r>
    </w:p>
    <w:p w:rsidR="006B5C4D" w:rsidRDefault="006B5C4D" w:rsidP="007405BD">
      <w:pPr>
        <w:pStyle w:val="SingleTxtG"/>
        <w:numPr>
          <w:ilvl w:val="0"/>
          <w:numId w:val="27"/>
        </w:numPr>
        <w:tabs>
          <w:tab w:val="left" w:pos="1701"/>
        </w:tabs>
        <w:ind w:left="2127" w:hanging="426"/>
      </w:pPr>
      <w:r>
        <w:t>When the vehicle is in laden position, the filler pistol maybe unable to fit the space between ground and filling unit and prevents the filling of the container.</w:t>
      </w:r>
    </w:p>
    <w:p w:rsidR="006B5C4D" w:rsidRDefault="007405BD" w:rsidP="006B5C4D">
      <w:pPr>
        <w:pStyle w:val="SingleTxtG"/>
      </w:pPr>
      <w:r>
        <w:t>7.</w:t>
      </w:r>
      <w:r>
        <w:tab/>
        <w:t xml:space="preserve">Turkey </w:t>
      </w:r>
      <w:r w:rsidR="00BE6474">
        <w:t xml:space="preserve">also </w:t>
      </w:r>
      <w:r>
        <w:t xml:space="preserve">proposes to add new paragraph 6.15.10.8. </w:t>
      </w:r>
      <w:r w:rsidR="006B5C4D">
        <w:t xml:space="preserve">to avoid </w:t>
      </w:r>
      <w:r>
        <w:t xml:space="preserve">the </w:t>
      </w:r>
      <w:r w:rsidR="006B5C4D">
        <w:t>above</w:t>
      </w:r>
      <w:r>
        <w:t>-mentioned</w:t>
      </w:r>
      <w:r w:rsidR="006B5C4D">
        <w:t xml:space="preserve"> problems and risks</w:t>
      </w:r>
      <w:r w:rsidR="00BE6474">
        <w:t xml:space="preserve">, </w:t>
      </w:r>
      <w:r w:rsidR="006B5C4D">
        <w:t xml:space="preserve">and </w:t>
      </w:r>
      <w:r>
        <w:t xml:space="preserve">to </w:t>
      </w:r>
      <w:r w:rsidR="006B5C4D">
        <w:t xml:space="preserve">provide </w:t>
      </w:r>
      <w:r>
        <w:t xml:space="preserve">a </w:t>
      </w:r>
      <w:r w:rsidR="006B5C4D">
        <w:t>safe</w:t>
      </w:r>
      <w:r w:rsidR="00BE6474">
        <w:t>r</w:t>
      </w:r>
      <w:r w:rsidR="006B5C4D">
        <w:t xml:space="preserve"> use of the LPG container </w:t>
      </w:r>
      <w:r>
        <w:t>in vehicles.</w:t>
      </w:r>
    </w:p>
    <w:p w:rsidR="007405BD" w:rsidRDefault="007405BD" w:rsidP="006B5C4D">
      <w:pPr>
        <w:pStyle w:val="SingleTxtG"/>
      </w:pPr>
    </w:p>
    <w:p w:rsidR="004A00F6" w:rsidRDefault="004A00F6" w:rsidP="006B5C4D">
      <w:pPr>
        <w:pStyle w:val="SingleTxtG"/>
      </w:pPr>
      <w:r>
        <w:t>______________</w:t>
      </w:r>
    </w:p>
    <w:p w:rsidR="00BF6CC1" w:rsidRPr="004A00F6" w:rsidRDefault="004A00F6" w:rsidP="006B5C4D">
      <w:pPr>
        <w:pStyle w:val="SingleTxtG"/>
        <w:rPr>
          <w:sz w:val="18"/>
          <w:szCs w:val="18"/>
        </w:rPr>
      </w:pPr>
      <w:r w:rsidRPr="004A00F6">
        <w:rPr>
          <w:vertAlign w:val="superscript"/>
        </w:rPr>
        <w:t>1</w:t>
      </w:r>
      <w:r w:rsidRPr="004A00F6">
        <w:rPr>
          <w:sz w:val="18"/>
          <w:szCs w:val="18"/>
        </w:rPr>
        <w:tab/>
      </w:r>
      <w:r w:rsidR="006B5C4D" w:rsidRPr="004A00F6">
        <w:rPr>
          <w:sz w:val="18"/>
          <w:szCs w:val="18"/>
        </w:rPr>
        <w:t xml:space="preserve">Kartal, F., Kisioglu, Y. </w:t>
      </w:r>
      <w:r w:rsidR="007405BD">
        <w:rPr>
          <w:sz w:val="18"/>
          <w:szCs w:val="18"/>
        </w:rPr>
        <w:t>"</w:t>
      </w:r>
      <w:r w:rsidR="006B5C4D" w:rsidRPr="004A00F6">
        <w:rPr>
          <w:sz w:val="18"/>
          <w:szCs w:val="18"/>
        </w:rPr>
        <w:t>Fatigue Performance Evaluations of Vehicle Toroidal Liquefied Petroleum Gas Fuel Tanks</w:t>
      </w:r>
      <w:r w:rsidR="007405BD">
        <w:rPr>
          <w:sz w:val="18"/>
          <w:szCs w:val="18"/>
        </w:rPr>
        <w:t>"</w:t>
      </w:r>
      <w:r w:rsidR="006B5C4D" w:rsidRPr="004A00F6">
        <w:rPr>
          <w:sz w:val="18"/>
          <w:szCs w:val="18"/>
        </w:rPr>
        <w:t xml:space="preserve"> Journal of Pressure Vessel Technology, August 2017, Vol. 139</w:t>
      </w:r>
      <w:r w:rsidR="00BF6CC1" w:rsidRPr="004A00F6">
        <w:rPr>
          <w:sz w:val="18"/>
          <w:szCs w:val="18"/>
        </w:rPr>
        <w:t>.</w:t>
      </w:r>
    </w:p>
    <w:p w:rsidR="00C31258" w:rsidRPr="000D0516" w:rsidRDefault="00C31258" w:rsidP="00C31258">
      <w:pPr>
        <w:spacing w:before="240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31258" w:rsidRPr="000D0516" w:rsidSect="00803BF8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B8" w:rsidRDefault="009018B8"/>
  </w:endnote>
  <w:endnote w:type="continuationSeparator" w:id="0">
    <w:p w:rsidR="009018B8" w:rsidRDefault="009018B8"/>
  </w:endnote>
  <w:endnote w:type="continuationNotice" w:id="1">
    <w:p w:rsidR="009018B8" w:rsidRDefault="00901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08" w:rsidRPr="00803BF8" w:rsidRDefault="00102108" w:rsidP="00803BF8">
    <w:pPr>
      <w:pStyle w:val="Footer"/>
      <w:tabs>
        <w:tab w:val="right" w:pos="9638"/>
      </w:tabs>
      <w:rPr>
        <w:sz w:val="18"/>
      </w:rPr>
    </w:pP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2B65E5">
      <w:rPr>
        <w:b/>
        <w:noProof/>
        <w:sz w:val="18"/>
      </w:rPr>
      <w:t>2</w:t>
    </w:r>
    <w:r w:rsidRPr="00803B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08" w:rsidRPr="00803BF8" w:rsidRDefault="00102108" w:rsidP="00803BF8">
    <w:pPr>
      <w:pStyle w:val="Footer"/>
      <w:tabs>
        <w:tab w:val="right" w:pos="9638"/>
      </w:tabs>
      <w:rPr>
        <w:b/>
        <w:sz w:val="18"/>
      </w:rPr>
    </w:pPr>
    <w:r>
      <w:tab/>
    </w: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2B65E5">
      <w:rPr>
        <w:b/>
        <w:noProof/>
        <w:sz w:val="18"/>
      </w:rPr>
      <w:t>3</w:t>
    </w:r>
    <w:r w:rsidRPr="00803B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70" w:rsidRDefault="001A7870" w:rsidP="001A7870">
    <w:pPr>
      <w:pStyle w:val="Footer"/>
    </w:pPr>
    <w:r>
      <w:rPr>
        <w:rFonts w:ascii="C39T30Lfz" w:hAnsi="C39T30Lfz"/>
        <w:noProof/>
        <w:sz w:val="56"/>
        <w:lang w:eastAsia="en-GB"/>
      </w:rPr>
      <w:drawing>
        <wp:anchor distT="0" distB="0" distL="114300" distR="114300" simplePos="0" relativeHeight="251660288" behindDoc="0" locked="0" layoutInCell="1" allowOverlap="1" wp14:anchorId="1E33EA49" wp14:editId="48AFA9D1">
          <wp:simplePos x="0" y="0"/>
          <wp:positionH relativeFrom="margin">
            <wp:posOffset>5241290</wp:posOffset>
          </wp:positionH>
          <wp:positionV relativeFrom="margin">
            <wp:posOffset>7940040</wp:posOffset>
          </wp:positionV>
          <wp:extent cx="641985" cy="641985"/>
          <wp:effectExtent l="0" t="0" r="5715" b="5715"/>
          <wp:wrapNone/>
          <wp:docPr id="2" name="Picture 1" descr="https://undocs.org/m2/QRCode.ashx?DS=ECE/TRANS/WP.29/GRSG/2017/22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G/2017/22&amp;Size=2 &amp;Lang=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13DADB4D" wp14:editId="4E1BDE81">
          <wp:simplePos x="0" y="0"/>
          <wp:positionH relativeFrom="margin">
            <wp:posOffset>4232910</wp:posOffset>
          </wp:positionH>
          <wp:positionV relativeFrom="margin">
            <wp:posOffset>8187055</wp:posOffset>
          </wp:positionV>
          <wp:extent cx="932180" cy="229870"/>
          <wp:effectExtent l="0" t="0" r="1270" b="0"/>
          <wp:wrapNone/>
          <wp:docPr id="6" name="Picture 6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Englis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7870" w:rsidRDefault="001A7870" w:rsidP="001A7870">
    <w:pPr>
      <w:pStyle w:val="Footer"/>
      <w:ind w:right="1134"/>
      <w:rPr>
        <w:sz w:val="20"/>
      </w:rPr>
    </w:pPr>
    <w:r>
      <w:rPr>
        <w:sz w:val="20"/>
      </w:rPr>
      <w:t>GE.17-12821(E)</w:t>
    </w:r>
  </w:p>
  <w:p w:rsidR="001A7870" w:rsidRPr="001A7870" w:rsidRDefault="001A7870" w:rsidP="001A7870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B8" w:rsidRPr="000B175B" w:rsidRDefault="009018B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9018B8" w:rsidRPr="00FC68B7" w:rsidRDefault="009018B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9018B8" w:rsidRDefault="009018B8"/>
  </w:footnote>
  <w:footnote w:id="2">
    <w:p w:rsidR="00102108" w:rsidRPr="00B14735" w:rsidRDefault="00102108" w:rsidP="00E62CEA">
      <w:pPr>
        <w:pStyle w:val="FootnoteText"/>
        <w:tabs>
          <w:tab w:val="clear" w:pos="1021"/>
        </w:tabs>
        <w:ind w:hanging="283"/>
        <w:rPr>
          <w:rFonts w:eastAsia="Calibri"/>
        </w:rPr>
      </w:pPr>
      <w:r w:rsidRPr="007406A7">
        <w:rPr>
          <w:rStyle w:val="FootnoteReference"/>
          <w:vertAlign w:val="baseline"/>
        </w:rPr>
        <w:t>*</w:t>
      </w:r>
      <w:r w:rsidRPr="007406A7">
        <w:tab/>
      </w:r>
      <w:r w:rsidRPr="006636B2">
        <w:rPr>
          <w:szCs w:val="18"/>
          <w:lang w:val="en-US"/>
        </w:rPr>
        <w:t>In accordance with the programme of work of the Inland Transport Committee for 2016–2017 (ECE/TRANS/254, para. 159 and ECE/TRANS/2016/28/Add.1, cluster 3.1), the World Forum will develop, harmonize and update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08" w:rsidRPr="00803BF8" w:rsidRDefault="00102108">
    <w:pPr>
      <w:pStyle w:val="Header"/>
    </w:pPr>
    <w:r>
      <w:t>ECE/TRANS/WP.29/GRSG/</w:t>
    </w:r>
    <w:r w:rsidRPr="00DF418A">
      <w:t>201</w:t>
    </w:r>
    <w:r>
      <w:t>7/</w:t>
    </w:r>
    <w:r w:rsidR="006B5C4D">
      <w:t>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08" w:rsidRPr="00803BF8" w:rsidRDefault="00102108" w:rsidP="00803BF8">
    <w:pPr>
      <w:pStyle w:val="Header"/>
      <w:jc w:val="right"/>
    </w:pPr>
    <w:r>
      <w:t>ECE/TRANS/WP.29/GRSG/2017/</w:t>
    </w:r>
    <w:r w:rsidR="006B5C4D"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9D551D6"/>
    <w:multiLevelType w:val="hybridMultilevel"/>
    <w:tmpl w:val="75B87956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0A2677F5"/>
    <w:multiLevelType w:val="hybridMultilevel"/>
    <w:tmpl w:val="E7844C80"/>
    <w:lvl w:ilvl="0" w:tplc="5B5C464A">
      <w:numFmt w:val="bullet"/>
      <w:lvlText w:val="•"/>
      <w:lvlJc w:val="left"/>
      <w:pPr>
        <w:ind w:left="1689" w:hanging="55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A834F7"/>
    <w:multiLevelType w:val="hybridMultilevel"/>
    <w:tmpl w:val="71AC4AC0"/>
    <w:lvl w:ilvl="0" w:tplc="04100017">
      <w:start w:val="1"/>
      <w:numFmt w:val="lowerLetter"/>
      <w:lvlText w:val="%1)"/>
      <w:lvlJc w:val="left"/>
      <w:pPr>
        <w:ind w:left="2847" w:hanging="360"/>
      </w:p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</w:lvl>
    <w:lvl w:ilvl="3" w:tplc="0410000F" w:tentative="1">
      <w:start w:val="1"/>
      <w:numFmt w:val="decimal"/>
      <w:lvlText w:val="%4."/>
      <w:lvlJc w:val="left"/>
      <w:pPr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>
    <w:nsid w:val="39AD5E09"/>
    <w:multiLevelType w:val="hybridMultilevel"/>
    <w:tmpl w:val="1030609A"/>
    <w:lvl w:ilvl="0" w:tplc="36107EF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8F18C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7F83A7C"/>
    <w:multiLevelType w:val="multilevel"/>
    <w:tmpl w:val="AE9E80B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771040"/>
    <w:multiLevelType w:val="hybridMultilevel"/>
    <w:tmpl w:val="966AF0FE"/>
    <w:lvl w:ilvl="0" w:tplc="F4CE0ABA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68C756E9"/>
    <w:multiLevelType w:val="hybridMultilevel"/>
    <w:tmpl w:val="39B2CCA0"/>
    <w:lvl w:ilvl="0" w:tplc="658873BA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2" w:hanging="360"/>
      </w:pPr>
    </w:lvl>
    <w:lvl w:ilvl="2" w:tplc="0407001B" w:tentative="1">
      <w:start w:val="1"/>
      <w:numFmt w:val="lowerRoman"/>
      <w:lvlText w:val="%3."/>
      <w:lvlJc w:val="right"/>
      <w:pPr>
        <w:ind w:left="3492" w:hanging="180"/>
      </w:pPr>
    </w:lvl>
    <w:lvl w:ilvl="3" w:tplc="0407000F" w:tentative="1">
      <w:start w:val="1"/>
      <w:numFmt w:val="decimal"/>
      <w:lvlText w:val="%4."/>
      <w:lvlJc w:val="left"/>
      <w:pPr>
        <w:ind w:left="4212" w:hanging="360"/>
      </w:pPr>
    </w:lvl>
    <w:lvl w:ilvl="4" w:tplc="04070019" w:tentative="1">
      <w:start w:val="1"/>
      <w:numFmt w:val="lowerLetter"/>
      <w:lvlText w:val="%5."/>
      <w:lvlJc w:val="left"/>
      <w:pPr>
        <w:ind w:left="4932" w:hanging="360"/>
      </w:pPr>
    </w:lvl>
    <w:lvl w:ilvl="5" w:tplc="0407001B" w:tentative="1">
      <w:start w:val="1"/>
      <w:numFmt w:val="lowerRoman"/>
      <w:lvlText w:val="%6."/>
      <w:lvlJc w:val="right"/>
      <w:pPr>
        <w:ind w:left="5652" w:hanging="180"/>
      </w:pPr>
    </w:lvl>
    <w:lvl w:ilvl="6" w:tplc="0407000F" w:tentative="1">
      <w:start w:val="1"/>
      <w:numFmt w:val="decimal"/>
      <w:lvlText w:val="%7."/>
      <w:lvlJc w:val="left"/>
      <w:pPr>
        <w:ind w:left="6372" w:hanging="360"/>
      </w:pPr>
    </w:lvl>
    <w:lvl w:ilvl="7" w:tplc="04070019" w:tentative="1">
      <w:start w:val="1"/>
      <w:numFmt w:val="lowerLetter"/>
      <w:lvlText w:val="%8."/>
      <w:lvlJc w:val="left"/>
      <w:pPr>
        <w:ind w:left="7092" w:hanging="360"/>
      </w:pPr>
    </w:lvl>
    <w:lvl w:ilvl="8" w:tplc="0407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4">
    <w:nsid w:val="6D215EFB"/>
    <w:multiLevelType w:val="hybridMultilevel"/>
    <w:tmpl w:val="50DEE63A"/>
    <w:lvl w:ilvl="0" w:tplc="DAC2C7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776D1"/>
    <w:multiLevelType w:val="hybridMultilevel"/>
    <w:tmpl w:val="0F14CF68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4"/>
  </w:num>
  <w:num w:numId="13">
    <w:abstractNumId w:val="11"/>
  </w:num>
  <w:num w:numId="14">
    <w:abstractNumId w:val="21"/>
  </w:num>
  <w:num w:numId="15">
    <w:abstractNumId w:val="26"/>
  </w:num>
  <w:num w:numId="16">
    <w:abstractNumId w:val="10"/>
  </w:num>
  <w:num w:numId="17">
    <w:abstractNumId w:val="15"/>
  </w:num>
  <w:num w:numId="18">
    <w:abstractNumId w:val="25"/>
  </w:num>
  <w:num w:numId="19">
    <w:abstractNumId w:val="12"/>
  </w:num>
  <w:num w:numId="20">
    <w:abstractNumId w:val="22"/>
  </w:num>
  <w:num w:numId="21">
    <w:abstractNumId w:val="24"/>
  </w:num>
  <w:num w:numId="22">
    <w:abstractNumId w:val="16"/>
  </w:num>
  <w:num w:numId="23">
    <w:abstractNumId w:val="23"/>
  </w:num>
  <w:num w:numId="24">
    <w:abstractNumId w:val="17"/>
  </w:num>
  <w:num w:numId="25">
    <w:abstractNumId w:val="18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de-DE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F8"/>
    <w:rsid w:val="00000CCB"/>
    <w:rsid w:val="00001F4E"/>
    <w:rsid w:val="00013D2A"/>
    <w:rsid w:val="00014605"/>
    <w:rsid w:val="00015434"/>
    <w:rsid w:val="00015799"/>
    <w:rsid w:val="00031ABF"/>
    <w:rsid w:val="000333D4"/>
    <w:rsid w:val="00034064"/>
    <w:rsid w:val="00034C7C"/>
    <w:rsid w:val="0003564D"/>
    <w:rsid w:val="00046515"/>
    <w:rsid w:val="00046A36"/>
    <w:rsid w:val="00046B1F"/>
    <w:rsid w:val="00046CDF"/>
    <w:rsid w:val="00050F6B"/>
    <w:rsid w:val="00051315"/>
    <w:rsid w:val="00052635"/>
    <w:rsid w:val="00053B02"/>
    <w:rsid w:val="00056C6B"/>
    <w:rsid w:val="00057E97"/>
    <w:rsid w:val="00060E99"/>
    <w:rsid w:val="000646F4"/>
    <w:rsid w:val="00064DDF"/>
    <w:rsid w:val="00065561"/>
    <w:rsid w:val="00066C0D"/>
    <w:rsid w:val="00067829"/>
    <w:rsid w:val="00067F6C"/>
    <w:rsid w:val="00072C8C"/>
    <w:rsid w:val="000733B5"/>
    <w:rsid w:val="00073F5F"/>
    <w:rsid w:val="00074B8A"/>
    <w:rsid w:val="00075E1A"/>
    <w:rsid w:val="0008164E"/>
    <w:rsid w:val="00081815"/>
    <w:rsid w:val="000876DE"/>
    <w:rsid w:val="000931C0"/>
    <w:rsid w:val="00094F47"/>
    <w:rsid w:val="000A525F"/>
    <w:rsid w:val="000A5649"/>
    <w:rsid w:val="000A6646"/>
    <w:rsid w:val="000A6739"/>
    <w:rsid w:val="000B0595"/>
    <w:rsid w:val="000B175B"/>
    <w:rsid w:val="000B1CD2"/>
    <w:rsid w:val="000B2D7B"/>
    <w:rsid w:val="000B2F02"/>
    <w:rsid w:val="000B315E"/>
    <w:rsid w:val="000B3A0F"/>
    <w:rsid w:val="000B4AEF"/>
    <w:rsid w:val="000B4EF7"/>
    <w:rsid w:val="000C2C03"/>
    <w:rsid w:val="000C2D2E"/>
    <w:rsid w:val="000D0516"/>
    <w:rsid w:val="000D06A2"/>
    <w:rsid w:val="000D33FA"/>
    <w:rsid w:val="000D4EB3"/>
    <w:rsid w:val="000D70AC"/>
    <w:rsid w:val="000E034C"/>
    <w:rsid w:val="000E0415"/>
    <w:rsid w:val="000E2AC1"/>
    <w:rsid w:val="000E5E72"/>
    <w:rsid w:val="000F1AC1"/>
    <w:rsid w:val="000F2AD8"/>
    <w:rsid w:val="000F7E76"/>
    <w:rsid w:val="00101131"/>
    <w:rsid w:val="00102108"/>
    <w:rsid w:val="001044E5"/>
    <w:rsid w:val="001058B4"/>
    <w:rsid w:val="00107CBF"/>
    <w:rsid w:val="001103AA"/>
    <w:rsid w:val="0011666B"/>
    <w:rsid w:val="00122CBC"/>
    <w:rsid w:val="00123206"/>
    <w:rsid w:val="00130E03"/>
    <w:rsid w:val="0013231C"/>
    <w:rsid w:val="00132DE5"/>
    <w:rsid w:val="00133E6D"/>
    <w:rsid w:val="001359D2"/>
    <w:rsid w:val="00142B92"/>
    <w:rsid w:val="00143418"/>
    <w:rsid w:val="00147241"/>
    <w:rsid w:val="00151D03"/>
    <w:rsid w:val="00152B52"/>
    <w:rsid w:val="00154165"/>
    <w:rsid w:val="00155592"/>
    <w:rsid w:val="00156C8F"/>
    <w:rsid w:val="001602AF"/>
    <w:rsid w:val="00160B90"/>
    <w:rsid w:val="00163BF7"/>
    <w:rsid w:val="00164A85"/>
    <w:rsid w:val="00165F3A"/>
    <w:rsid w:val="001662EC"/>
    <w:rsid w:val="00170A05"/>
    <w:rsid w:val="00170EC6"/>
    <w:rsid w:val="0017324C"/>
    <w:rsid w:val="00182290"/>
    <w:rsid w:val="00182626"/>
    <w:rsid w:val="001827D1"/>
    <w:rsid w:val="00184490"/>
    <w:rsid w:val="0019102D"/>
    <w:rsid w:val="00192180"/>
    <w:rsid w:val="00193F1C"/>
    <w:rsid w:val="00194BD3"/>
    <w:rsid w:val="001963AC"/>
    <w:rsid w:val="00197D24"/>
    <w:rsid w:val="001A05FA"/>
    <w:rsid w:val="001A3955"/>
    <w:rsid w:val="001A5101"/>
    <w:rsid w:val="001A7870"/>
    <w:rsid w:val="001B4B04"/>
    <w:rsid w:val="001C4AFE"/>
    <w:rsid w:val="001C6663"/>
    <w:rsid w:val="001C7895"/>
    <w:rsid w:val="001D0C8C"/>
    <w:rsid w:val="001D1419"/>
    <w:rsid w:val="001D26DF"/>
    <w:rsid w:val="001D3882"/>
    <w:rsid w:val="001D3A03"/>
    <w:rsid w:val="001D4261"/>
    <w:rsid w:val="001D6907"/>
    <w:rsid w:val="001E0C22"/>
    <w:rsid w:val="001E2593"/>
    <w:rsid w:val="001E47B9"/>
    <w:rsid w:val="001E7B67"/>
    <w:rsid w:val="001F20EF"/>
    <w:rsid w:val="00202BF3"/>
    <w:rsid w:val="00202DA8"/>
    <w:rsid w:val="002057AE"/>
    <w:rsid w:val="0021164B"/>
    <w:rsid w:val="00211B31"/>
    <w:rsid w:val="00211E0B"/>
    <w:rsid w:val="002134E0"/>
    <w:rsid w:val="00221BD3"/>
    <w:rsid w:val="00226409"/>
    <w:rsid w:val="00230A28"/>
    <w:rsid w:val="00233BB0"/>
    <w:rsid w:val="00237023"/>
    <w:rsid w:val="002376A0"/>
    <w:rsid w:val="00243627"/>
    <w:rsid w:val="0024568B"/>
    <w:rsid w:val="00246027"/>
    <w:rsid w:val="0024772E"/>
    <w:rsid w:val="002530E8"/>
    <w:rsid w:val="002603C7"/>
    <w:rsid w:val="00263A29"/>
    <w:rsid w:val="002676B0"/>
    <w:rsid w:val="00267F5F"/>
    <w:rsid w:val="00270BEB"/>
    <w:rsid w:val="0027135F"/>
    <w:rsid w:val="00271CB5"/>
    <w:rsid w:val="002722E2"/>
    <w:rsid w:val="00273751"/>
    <w:rsid w:val="00276AEF"/>
    <w:rsid w:val="00283737"/>
    <w:rsid w:val="00283AEA"/>
    <w:rsid w:val="00283C63"/>
    <w:rsid w:val="0028413D"/>
    <w:rsid w:val="00284D1F"/>
    <w:rsid w:val="00286888"/>
    <w:rsid w:val="00286B4D"/>
    <w:rsid w:val="0028776F"/>
    <w:rsid w:val="002925FB"/>
    <w:rsid w:val="002934A0"/>
    <w:rsid w:val="002938CC"/>
    <w:rsid w:val="00294129"/>
    <w:rsid w:val="00297E26"/>
    <w:rsid w:val="002A0D4A"/>
    <w:rsid w:val="002A42DD"/>
    <w:rsid w:val="002A4687"/>
    <w:rsid w:val="002A4D51"/>
    <w:rsid w:val="002A63D3"/>
    <w:rsid w:val="002A7DBF"/>
    <w:rsid w:val="002B4079"/>
    <w:rsid w:val="002B47CA"/>
    <w:rsid w:val="002B65E5"/>
    <w:rsid w:val="002B6B22"/>
    <w:rsid w:val="002C1B3A"/>
    <w:rsid w:val="002C2315"/>
    <w:rsid w:val="002C3497"/>
    <w:rsid w:val="002C5141"/>
    <w:rsid w:val="002C567B"/>
    <w:rsid w:val="002C64E5"/>
    <w:rsid w:val="002C6BB6"/>
    <w:rsid w:val="002D046E"/>
    <w:rsid w:val="002D4643"/>
    <w:rsid w:val="002D4CFC"/>
    <w:rsid w:val="002E093F"/>
    <w:rsid w:val="002E2EB7"/>
    <w:rsid w:val="002E4A30"/>
    <w:rsid w:val="002E5532"/>
    <w:rsid w:val="002E5684"/>
    <w:rsid w:val="002F04B8"/>
    <w:rsid w:val="002F175C"/>
    <w:rsid w:val="002F1D8E"/>
    <w:rsid w:val="002F5AC5"/>
    <w:rsid w:val="002F7DE0"/>
    <w:rsid w:val="0030272D"/>
    <w:rsid w:val="00302E18"/>
    <w:rsid w:val="00306F5F"/>
    <w:rsid w:val="00312F59"/>
    <w:rsid w:val="003149B9"/>
    <w:rsid w:val="0031733E"/>
    <w:rsid w:val="003229D8"/>
    <w:rsid w:val="003237A4"/>
    <w:rsid w:val="00325908"/>
    <w:rsid w:val="00326932"/>
    <w:rsid w:val="00330656"/>
    <w:rsid w:val="00330F1A"/>
    <w:rsid w:val="003311A6"/>
    <w:rsid w:val="00336789"/>
    <w:rsid w:val="00336B80"/>
    <w:rsid w:val="003406CC"/>
    <w:rsid w:val="0034070E"/>
    <w:rsid w:val="0034168B"/>
    <w:rsid w:val="00341F69"/>
    <w:rsid w:val="003450DD"/>
    <w:rsid w:val="003451F4"/>
    <w:rsid w:val="0034735B"/>
    <w:rsid w:val="003516C1"/>
    <w:rsid w:val="00352181"/>
    <w:rsid w:val="00352709"/>
    <w:rsid w:val="00356E54"/>
    <w:rsid w:val="003619B5"/>
    <w:rsid w:val="00361AC3"/>
    <w:rsid w:val="00364634"/>
    <w:rsid w:val="00365763"/>
    <w:rsid w:val="00371178"/>
    <w:rsid w:val="00377817"/>
    <w:rsid w:val="003800C8"/>
    <w:rsid w:val="00383155"/>
    <w:rsid w:val="0038516A"/>
    <w:rsid w:val="00391650"/>
    <w:rsid w:val="00392E47"/>
    <w:rsid w:val="00394CC7"/>
    <w:rsid w:val="00396E5F"/>
    <w:rsid w:val="003A06B5"/>
    <w:rsid w:val="003A135A"/>
    <w:rsid w:val="003A3D17"/>
    <w:rsid w:val="003A5828"/>
    <w:rsid w:val="003A6810"/>
    <w:rsid w:val="003A7CB4"/>
    <w:rsid w:val="003B1EDF"/>
    <w:rsid w:val="003B4D85"/>
    <w:rsid w:val="003C17CC"/>
    <w:rsid w:val="003C2CC4"/>
    <w:rsid w:val="003C41C9"/>
    <w:rsid w:val="003C46E4"/>
    <w:rsid w:val="003C472E"/>
    <w:rsid w:val="003C4BA1"/>
    <w:rsid w:val="003C534D"/>
    <w:rsid w:val="003D4B23"/>
    <w:rsid w:val="003D64FA"/>
    <w:rsid w:val="003E120B"/>
    <w:rsid w:val="003E130E"/>
    <w:rsid w:val="003E44F5"/>
    <w:rsid w:val="003E6495"/>
    <w:rsid w:val="003F00E3"/>
    <w:rsid w:val="003F23F3"/>
    <w:rsid w:val="003F4275"/>
    <w:rsid w:val="003F6FC1"/>
    <w:rsid w:val="004019C4"/>
    <w:rsid w:val="00403D20"/>
    <w:rsid w:val="0040438C"/>
    <w:rsid w:val="00410C89"/>
    <w:rsid w:val="00414256"/>
    <w:rsid w:val="00420557"/>
    <w:rsid w:val="00422E03"/>
    <w:rsid w:val="00424503"/>
    <w:rsid w:val="00425C32"/>
    <w:rsid w:val="00426B9B"/>
    <w:rsid w:val="004325CB"/>
    <w:rsid w:val="00442A83"/>
    <w:rsid w:val="00443911"/>
    <w:rsid w:val="004476E6"/>
    <w:rsid w:val="0045495B"/>
    <w:rsid w:val="004561E5"/>
    <w:rsid w:val="00456BF3"/>
    <w:rsid w:val="004572AE"/>
    <w:rsid w:val="0046027B"/>
    <w:rsid w:val="00464BD6"/>
    <w:rsid w:val="00467FEF"/>
    <w:rsid w:val="00470604"/>
    <w:rsid w:val="00471BD2"/>
    <w:rsid w:val="0047621F"/>
    <w:rsid w:val="00477526"/>
    <w:rsid w:val="00477A0D"/>
    <w:rsid w:val="00477C6B"/>
    <w:rsid w:val="0048237A"/>
    <w:rsid w:val="0048397A"/>
    <w:rsid w:val="0048419F"/>
    <w:rsid w:val="00485CBB"/>
    <w:rsid w:val="004866B7"/>
    <w:rsid w:val="004935FC"/>
    <w:rsid w:val="00493DB9"/>
    <w:rsid w:val="00496553"/>
    <w:rsid w:val="004A00F6"/>
    <w:rsid w:val="004A4BF7"/>
    <w:rsid w:val="004A79FD"/>
    <w:rsid w:val="004B05F0"/>
    <w:rsid w:val="004B3889"/>
    <w:rsid w:val="004C2461"/>
    <w:rsid w:val="004C3774"/>
    <w:rsid w:val="004C7462"/>
    <w:rsid w:val="004C7D42"/>
    <w:rsid w:val="004D0424"/>
    <w:rsid w:val="004D65FF"/>
    <w:rsid w:val="004E0683"/>
    <w:rsid w:val="004E0FDB"/>
    <w:rsid w:val="004E58ED"/>
    <w:rsid w:val="004E77B2"/>
    <w:rsid w:val="004F1622"/>
    <w:rsid w:val="004F1CBD"/>
    <w:rsid w:val="004F7100"/>
    <w:rsid w:val="004F79AB"/>
    <w:rsid w:val="00501396"/>
    <w:rsid w:val="0050261A"/>
    <w:rsid w:val="0050463D"/>
    <w:rsid w:val="00504B2D"/>
    <w:rsid w:val="00506897"/>
    <w:rsid w:val="005075B1"/>
    <w:rsid w:val="00516F20"/>
    <w:rsid w:val="0052136D"/>
    <w:rsid w:val="00521B5A"/>
    <w:rsid w:val="00527001"/>
    <w:rsid w:val="0052775E"/>
    <w:rsid w:val="005305DD"/>
    <w:rsid w:val="0053398B"/>
    <w:rsid w:val="005420F2"/>
    <w:rsid w:val="0055161F"/>
    <w:rsid w:val="00551A59"/>
    <w:rsid w:val="0055217D"/>
    <w:rsid w:val="0055307C"/>
    <w:rsid w:val="005534A0"/>
    <w:rsid w:val="00554D08"/>
    <w:rsid w:val="00556130"/>
    <w:rsid w:val="00557459"/>
    <w:rsid w:val="0056209A"/>
    <w:rsid w:val="005628B6"/>
    <w:rsid w:val="005637BE"/>
    <w:rsid w:val="00564BCC"/>
    <w:rsid w:val="00566C4A"/>
    <w:rsid w:val="0057118C"/>
    <w:rsid w:val="0057288A"/>
    <w:rsid w:val="005751FB"/>
    <w:rsid w:val="00576E18"/>
    <w:rsid w:val="00581DFE"/>
    <w:rsid w:val="00583363"/>
    <w:rsid w:val="00583457"/>
    <w:rsid w:val="005907C7"/>
    <w:rsid w:val="00593353"/>
    <w:rsid w:val="00593753"/>
    <w:rsid w:val="005941EC"/>
    <w:rsid w:val="00596CF1"/>
    <w:rsid w:val="0059724D"/>
    <w:rsid w:val="0059757F"/>
    <w:rsid w:val="005B04D8"/>
    <w:rsid w:val="005B1513"/>
    <w:rsid w:val="005B320C"/>
    <w:rsid w:val="005B3DB3"/>
    <w:rsid w:val="005B4E13"/>
    <w:rsid w:val="005C1629"/>
    <w:rsid w:val="005C342F"/>
    <w:rsid w:val="005C5509"/>
    <w:rsid w:val="005C5CC4"/>
    <w:rsid w:val="005C7D1E"/>
    <w:rsid w:val="005D04B2"/>
    <w:rsid w:val="005D6B0A"/>
    <w:rsid w:val="005E0D4D"/>
    <w:rsid w:val="005F4257"/>
    <w:rsid w:val="005F72B3"/>
    <w:rsid w:val="005F7B75"/>
    <w:rsid w:val="006001EE"/>
    <w:rsid w:val="00600492"/>
    <w:rsid w:val="006032D8"/>
    <w:rsid w:val="00604C95"/>
    <w:rsid w:val="00605042"/>
    <w:rsid w:val="00605514"/>
    <w:rsid w:val="006072D0"/>
    <w:rsid w:val="00607952"/>
    <w:rsid w:val="006079FB"/>
    <w:rsid w:val="00607AFA"/>
    <w:rsid w:val="00611FC4"/>
    <w:rsid w:val="00616169"/>
    <w:rsid w:val="006176FB"/>
    <w:rsid w:val="006219A3"/>
    <w:rsid w:val="00626FBD"/>
    <w:rsid w:val="0063070C"/>
    <w:rsid w:val="00630C41"/>
    <w:rsid w:val="0063242B"/>
    <w:rsid w:val="00634F9F"/>
    <w:rsid w:val="006352A1"/>
    <w:rsid w:val="006372E5"/>
    <w:rsid w:val="0064099B"/>
    <w:rsid w:val="00640B26"/>
    <w:rsid w:val="0064292F"/>
    <w:rsid w:val="006429BE"/>
    <w:rsid w:val="00645EBB"/>
    <w:rsid w:val="006465CF"/>
    <w:rsid w:val="00647BAD"/>
    <w:rsid w:val="00650C86"/>
    <w:rsid w:val="00652D0A"/>
    <w:rsid w:val="0065391C"/>
    <w:rsid w:val="00654889"/>
    <w:rsid w:val="00662BB6"/>
    <w:rsid w:val="00663B3A"/>
    <w:rsid w:val="00664F9E"/>
    <w:rsid w:val="00671B51"/>
    <w:rsid w:val="0067362F"/>
    <w:rsid w:val="00675314"/>
    <w:rsid w:val="00676606"/>
    <w:rsid w:val="00680563"/>
    <w:rsid w:val="00682E86"/>
    <w:rsid w:val="0068459E"/>
    <w:rsid w:val="006848F2"/>
    <w:rsid w:val="00684C21"/>
    <w:rsid w:val="0069073C"/>
    <w:rsid w:val="006958E8"/>
    <w:rsid w:val="006A0BC2"/>
    <w:rsid w:val="006A2530"/>
    <w:rsid w:val="006A2748"/>
    <w:rsid w:val="006A46E9"/>
    <w:rsid w:val="006B0475"/>
    <w:rsid w:val="006B4D98"/>
    <w:rsid w:val="006B4E9F"/>
    <w:rsid w:val="006B5488"/>
    <w:rsid w:val="006B5C4D"/>
    <w:rsid w:val="006C3589"/>
    <w:rsid w:val="006C4609"/>
    <w:rsid w:val="006D37AF"/>
    <w:rsid w:val="006D4C02"/>
    <w:rsid w:val="006D51D0"/>
    <w:rsid w:val="006D5219"/>
    <w:rsid w:val="006D52CA"/>
    <w:rsid w:val="006D5FB9"/>
    <w:rsid w:val="006D658E"/>
    <w:rsid w:val="006E564B"/>
    <w:rsid w:val="006E7191"/>
    <w:rsid w:val="006E7863"/>
    <w:rsid w:val="006F0360"/>
    <w:rsid w:val="006F2D70"/>
    <w:rsid w:val="006F3D7F"/>
    <w:rsid w:val="00702B9C"/>
    <w:rsid w:val="00703577"/>
    <w:rsid w:val="00703633"/>
    <w:rsid w:val="00704CB6"/>
    <w:rsid w:val="00705894"/>
    <w:rsid w:val="007072C1"/>
    <w:rsid w:val="00715FB5"/>
    <w:rsid w:val="00716CB7"/>
    <w:rsid w:val="00720319"/>
    <w:rsid w:val="007247D3"/>
    <w:rsid w:val="0072632A"/>
    <w:rsid w:val="007304FA"/>
    <w:rsid w:val="00731186"/>
    <w:rsid w:val="007327D5"/>
    <w:rsid w:val="00735128"/>
    <w:rsid w:val="00736D05"/>
    <w:rsid w:val="00737569"/>
    <w:rsid w:val="007377C5"/>
    <w:rsid w:val="007405BD"/>
    <w:rsid w:val="00740D04"/>
    <w:rsid w:val="00745ADF"/>
    <w:rsid w:val="00750B8D"/>
    <w:rsid w:val="00757F2F"/>
    <w:rsid w:val="0076035A"/>
    <w:rsid w:val="007629C8"/>
    <w:rsid w:val="00764F85"/>
    <w:rsid w:val="0077047D"/>
    <w:rsid w:val="00775D04"/>
    <w:rsid w:val="00775F7C"/>
    <w:rsid w:val="0077691F"/>
    <w:rsid w:val="00781595"/>
    <w:rsid w:val="007828FA"/>
    <w:rsid w:val="00790A9A"/>
    <w:rsid w:val="00792970"/>
    <w:rsid w:val="00793B94"/>
    <w:rsid w:val="00793FE4"/>
    <w:rsid w:val="007948F3"/>
    <w:rsid w:val="00795767"/>
    <w:rsid w:val="007A1FFD"/>
    <w:rsid w:val="007A238A"/>
    <w:rsid w:val="007A52E6"/>
    <w:rsid w:val="007A6266"/>
    <w:rsid w:val="007B220C"/>
    <w:rsid w:val="007B2A30"/>
    <w:rsid w:val="007B6BA5"/>
    <w:rsid w:val="007C0546"/>
    <w:rsid w:val="007C2E71"/>
    <w:rsid w:val="007C3390"/>
    <w:rsid w:val="007C3B1C"/>
    <w:rsid w:val="007C4F4B"/>
    <w:rsid w:val="007D0567"/>
    <w:rsid w:val="007D2276"/>
    <w:rsid w:val="007D24C3"/>
    <w:rsid w:val="007E01E9"/>
    <w:rsid w:val="007E3C7D"/>
    <w:rsid w:val="007E5E15"/>
    <w:rsid w:val="007E63F3"/>
    <w:rsid w:val="007F0E12"/>
    <w:rsid w:val="007F1133"/>
    <w:rsid w:val="007F3673"/>
    <w:rsid w:val="007F53E5"/>
    <w:rsid w:val="007F6611"/>
    <w:rsid w:val="007F6FD3"/>
    <w:rsid w:val="00801D6A"/>
    <w:rsid w:val="00801EE7"/>
    <w:rsid w:val="00803BF8"/>
    <w:rsid w:val="00804C91"/>
    <w:rsid w:val="00811920"/>
    <w:rsid w:val="00815AD0"/>
    <w:rsid w:val="00815EDB"/>
    <w:rsid w:val="008163F1"/>
    <w:rsid w:val="00816704"/>
    <w:rsid w:val="008201B8"/>
    <w:rsid w:val="00822B44"/>
    <w:rsid w:val="008242D7"/>
    <w:rsid w:val="008257B1"/>
    <w:rsid w:val="00832334"/>
    <w:rsid w:val="008339DF"/>
    <w:rsid w:val="00835349"/>
    <w:rsid w:val="00835C20"/>
    <w:rsid w:val="00843767"/>
    <w:rsid w:val="00847CEC"/>
    <w:rsid w:val="00851184"/>
    <w:rsid w:val="00852982"/>
    <w:rsid w:val="0085492E"/>
    <w:rsid w:val="008562C9"/>
    <w:rsid w:val="00856494"/>
    <w:rsid w:val="00856FAA"/>
    <w:rsid w:val="00857409"/>
    <w:rsid w:val="00861117"/>
    <w:rsid w:val="0086135A"/>
    <w:rsid w:val="008623B5"/>
    <w:rsid w:val="00863DFD"/>
    <w:rsid w:val="00865560"/>
    <w:rsid w:val="008679D9"/>
    <w:rsid w:val="00872EA9"/>
    <w:rsid w:val="00873BB6"/>
    <w:rsid w:val="00874901"/>
    <w:rsid w:val="008774E7"/>
    <w:rsid w:val="008809C1"/>
    <w:rsid w:val="00881AE2"/>
    <w:rsid w:val="00881F52"/>
    <w:rsid w:val="00883E85"/>
    <w:rsid w:val="00886690"/>
    <w:rsid w:val="008878DE"/>
    <w:rsid w:val="00896B38"/>
    <w:rsid w:val="008979B1"/>
    <w:rsid w:val="00897C33"/>
    <w:rsid w:val="008A05CB"/>
    <w:rsid w:val="008A137D"/>
    <w:rsid w:val="008A1ED5"/>
    <w:rsid w:val="008A402D"/>
    <w:rsid w:val="008A4091"/>
    <w:rsid w:val="008A5F7A"/>
    <w:rsid w:val="008A6467"/>
    <w:rsid w:val="008A6B25"/>
    <w:rsid w:val="008A6C4F"/>
    <w:rsid w:val="008B2335"/>
    <w:rsid w:val="008B279D"/>
    <w:rsid w:val="008B2E36"/>
    <w:rsid w:val="008D37F7"/>
    <w:rsid w:val="008D39EC"/>
    <w:rsid w:val="008D7558"/>
    <w:rsid w:val="008E05FB"/>
    <w:rsid w:val="008E0678"/>
    <w:rsid w:val="008E305A"/>
    <w:rsid w:val="008E6DB5"/>
    <w:rsid w:val="008E7431"/>
    <w:rsid w:val="008F31D2"/>
    <w:rsid w:val="008F4D26"/>
    <w:rsid w:val="008F5E28"/>
    <w:rsid w:val="0090098B"/>
    <w:rsid w:val="009014EE"/>
    <w:rsid w:val="009018B8"/>
    <w:rsid w:val="00903103"/>
    <w:rsid w:val="00906A89"/>
    <w:rsid w:val="00911C3E"/>
    <w:rsid w:val="00915EF6"/>
    <w:rsid w:val="00920951"/>
    <w:rsid w:val="00920C5D"/>
    <w:rsid w:val="00921397"/>
    <w:rsid w:val="009223CA"/>
    <w:rsid w:val="009235EA"/>
    <w:rsid w:val="009241A2"/>
    <w:rsid w:val="0092494D"/>
    <w:rsid w:val="0092535E"/>
    <w:rsid w:val="00927C2B"/>
    <w:rsid w:val="00934FAC"/>
    <w:rsid w:val="00940F93"/>
    <w:rsid w:val="009448C3"/>
    <w:rsid w:val="00945A10"/>
    <w:rsid w:val="009465E1"/>
    <w:rsid w:val="0095793C"/>
    <w:rsid w:val="009629C4"/>
    <w:rsid w:val="00963752"/>
    <w:rsid w:val="00963BF3"/>
    <w:rsid w:val="00963E1A"/>
    <w:rsid w:val="0096421E"/>
    <w:rsid w:val="009650B1"/>
    <w:rsid w:val="00967ACA"/>
    <w:rsid w:val="00972EEF"/>
    <w:rsid w:val="009739C1"/>
    <w:rsid w:val="00974C2D"/>
    <w:rsid w:val="009760F3"/>
    <w:rsid w:val="009764DA"/>
    <w:rsid w:val="00976CFB"/>
    <w:rsid w:val="00981AA1"/>
    <w:rsid w:val="00982DEB"/>
    <w:rsid w:val="00985228"/>
    <w:rsid w:val="00992774"/>
    <w:rsid w:val="00997605"/>
    <w:rsid w:val="00997D09"/>
    <w:rsid w:val="009A0830"/>
    <w:rsid w:val="009A08AC"/>
    <w:rsid w:val="009A0E8D"/>
    <w:rsid w:val="009A1E55"/>
    <w:rsid w:val="009A26E0"/>
    <w:rsid w:val="009A5E59"/>
    <w:rsid w:val="009A6914"/>
    <w:rsid w:val="009B26E7"/>
    <w:rsid w:val="009B5B90"/>
    <w:rsid w:val="009B64BB"/>
    <w:rsid w:val="009B69E9"/>
    <w:rsid w:val="009C5020"/>
    <w:rsid w:val="009D10A9"/>
    <w:rsid w:val="009D272C"/>
    <w:rsid w:val="009D448C"/>
    <w:rsid w:val="009D4BEE"/>
    <w:rsid w:val="009D5431"/>
    <w:rsid w:val="009E15C8"/>
    <w:rsid w:val="009E5620"/>
    <w:rsid w:val="009F0B23"/>
    <w:rsid w:val="009F36A3"/>
    <w:rsid w:val="009F71D1"/>
    <w:rsid w:val="00A00697"/>
    <w:rsid w:val="00A00A3F"/>
    <w:rsid w:val="00A01489"/>
    <w:rsid w:val="00A053B0"/>
    <w:rsid w:val="00A1187A"/>
    <w:rsid w:val="00A14A4D"/>
    <w:rsid w:val="00A20DE2"/>
    <w:rsid w:val="00A225F4"/>
    <w:rsid w:val="00A23763"/>
    <w:rsid w:val="00A27E4A"/>
    <w:rsid w:val="00A3026E"/>
    <w:rsid w:val="00A32120"/>
    <w:rsid w:val="00A338F1"/>
    <w:rsid w:val="00A3529B"/>
    <w:rsid w:val="00A35BE0"/>
    <w:rsid w:val="00A4129A"/>
    <w:rsid w:val="00A508DF"/>
    <w:rsid w:val="00A51DCC"/>
    <w:rsid w:val="00A52B68"/>
    <w:rsid w:val="00A52EB3"/>
    <w:rsid w:val="00A54EBE"/>
    <w:rsid w:val="00A57437"/>
    <w:rsid w:val="00A6129C"/>
    <w:rsid w:val="00A6507F"/>
    <w:rsid w:val="00A66EBD"/>
    <w:rsid w:val="00A70DD4"/>
    <w:rsid w:val="00A72F22"/>
    <w:rsid w:val="00A7360F"/>
    <w:rsid w:val="00A748A6"/>
    <w:rsid w:val="00A769F4"/>
    <w:rsid w:val="00A776B4"/>
    <w:rsid w:val="00A80D02"/>
    <w:rsid w:val="00A81C59"/>
    <w:rsid w:val="00A83C2D"/>
    <w:rsid w:val="00A856A5"/>
    <w:rsid w:val="00A86546"/>
    <w:rsid w:val="00A877CE"/>
    <w:rsid w:val="00A94361"/>
    <w:rsid w:val="00A9495B"/>
    <w:rsid w:val="00A979DD"/>
    <w:rsid w:val="00AA293C"/>
    <w:rsid w:val="00AB01AB"/>
    <w:rsid w:val="00AB0FB1"/>
    <w:rsid w:val="00AB10D2"/>
    <w:rsid w:val="00AB19E3"/>
    <w:rsid w:val="00AB2C97"/>
    <w:rsid w:val="00AB4689"/>
    <w:rsid w:val="00AB6EC7"/>
    <w:rsid w:val="00AB7BF6"/>
    <w:rsid w:val="00AC1563"/>
    <w:rsid w:val="00AC3244"/>
    <w:rsid w:val="00AC38EE"/>
    <w:rsid w:val="00AC3BEE"/>
    <w:rsid w:val="00AC3D15"/>
    <w:rsid w:val="00AC56C3"/>
    <w:rsid w:val="00AC6708"/>
    <w:rsid w:val="00AD0033"/>
    <w:rsid w:val="00AD0670"/>
    <w:rsid w:val="00AD087C"/>
    <w:rsid w:val="00AE02E1"/>
    <w:rsid w:val="00AE03EE"/>
    <w:rsid w:val="00AF5118"/>
    <w:rsid w:val="00AF6850"/>
    <w:rsid w:val="00AF6B6C"/>
    <w:rsid w:val="00B03CA6"/>
    <w:rsid w:val="00B048EE"/>
    <w:rsid w:val="00B213A0"/>
    <w:rsid w:val="00B238A5"/>
    <w:rsid w:val="00B253FC"/>
    <w:rsid w:val="00B25FAF"/>
    <w:rsid w:val="00B30179"/>
    <w:rsid w:val="00B321FC"/>
    <w:rsid w:val="00B33901"/>
    <w:rsid w:val="00B341FF"/>
    <w:rsid w:val="00B371CD"/>
    <w:rsid w:val="00B421C1"/>
    <w:rsid w:val="00B43821"/>
    <w:rsid w:val="00B46F76"/>
    <w:rsid w:val="00B47053"/>
    <w:rsid w:val="00B50BFB"/>
    <w:rsid w:val="00B50D1A"/>
    <w:rsid w:val="00B53C21"/>
    <w:rsid w:val="00B55C71"/>
    <w:rsid w:val="00B56E37"/>
    <w:rsid w:val="00B56E4A"/>
    <w:rsid w:val="00B56E9C"/>
    <w:rsid w:val="00B64B1F"/>
    <w:rsid w:val="00B6553F"/>
    <w:rsid w:val="00B65D34"/>
    <w:rsid w:val="00B73F39"/>
    <w:rsid w:val="00B74954"/>
    <w:rsid w:val="00B77D05"/>
    <w:rsid w:val="00B81206"/>
    <w:rsid w:val="00B8192C"/>
    <w:rsid w:val="00B81E12"/>
    <w:rsid w:val="00B83F7A"/>
    <w:rsid w:val="00B845A8"/>
    <w:rsid w:val="00B8584A"/>
    <w:rsid w:val="00B924F0"/>
    <w:rsid w:val="00BA0141"/>
    <w:rsid w:val="00BA12BA"/>
    <w:rsid w:val="00BA22E5"/>
    <w:rsid w:val="00BA2B79"/>
    <w:rsid w:val="00BA51B3"/>
    <w:rsid w:val="00BA523F"/>
    <w:rsid w:val="00BA5FB8"/>
    <w:rsid w:val="00BA73AB"/>
    <w:rsid w:val="00BA770E"/>
    <w:rsid w:val="00BA7CCF"/>
    <w:rsid w:val="00BB1259"/>
    <w:rsid w:val="00BB214B"/>
    <w:rsid w:val="00BB290D"/>
    <w:rsid w:val="00BB646D"/>
    <w:rsid w:val="00BC14F0"/>
    <w:rsid w:val="00BC3FA0"/>
    <w:rsid w:val="00BC48C8"/>
    <w:rsid w:val="00BC5971"/>
    <w:rsid w:val="00BC6ABF"/>
    <w:rsid w:val="00BC74E9"/>
    <w:rsid w:val="00BC7E50"/>
    <w:rsid w:val="00BD0112"/>
    <w:rsid w:val="00BD1ED3"/>
    <w:rsid w:val="00BD577B"/>
    <w:rsid w:val="00BD6484"/>
    <w:rsid w:val="00BD6F32"/>
    <w:rsid w:val="00BE1BD5"/>
    <w:rsid w:val="00BE54D3"/>
    <w:rsid w:val="00BE584F"/>
    <w:rsid w:val="00BE6474"/>
    <w:rsid w:val="00BE7104"/>
    <w:rsid w:val="00BF071E"/>
    <w:rsid w:val="00BF5951"/>
    <w:rsid w:val="00BF68A8"/>
    <w:rsid w:val="00BF6CC1"/>
    <w:rsid w:val="00C0035E"/>
    <w:rsid w:val="00C04469"/>
    <w:rsid w:val="00C046F1"/>
    <w:rsid w:val="00C06463"/>
    <w:rsid w:val="00C0710B"/>
    <w:rsid w:val="00C074E5"/>
    <w:rsid w:val="00C11A03"/>
    <w:rsid w:val="00C15D44"/>
    <w:rsid w:val="00C1641D"/>
    <w:rsid w:val="00C22C0C"/>
    <w:rsid w:val="00C24EC4"/>
    <w:rsid w:val="00C24F50"/>
    <w:rsid w:val="00C26FD8"/>
    <w:rsid w:val="00C27BD6"/>
    <w:rsid w:val="00C27E9E"/>
    <w:rsid w:val="00C30E2E"/>
    <w:rsid w:val="00C31258"/>
    <w:rsid w:val="00C32F24"/>
    <w:rsid w:val="00C4058A"/>
    <w:rsid w:val="00C425BC"/>
    <w:rsid w:val="00C4340D"/>
    <w:rsid w:val="00C4527F"/>
    <w:rsid w:val="00C463DD"/>
    <w:rsid w:val="00C4724C"/>
    <w:rsid w:val="00C51808"/>
    <w:rsid w:val="00C522C3"/>
    <w:rsid w:val="00C57E75"/>
    <w:rsid w:val="00C629A0"/>
    <w:rsid w:val="00C64574"/>
    <w:rsid w:val="00C64629"/>
    <w:rsid w:val="00C65898"/>
    <w:rsid w:val="00C6695D"/>
    <w:rsid w:val="00C67A88"/>
    <w:rsid w:val="00C67DB7"/>
    <w:rsid w:val="00C67F0F"/>
    <w:rsid w:val="00C7153B"/>
    <w:rsid w:val="00C73591"/>
    <w:rsid w:val="00C74128"/>
    <w:rsid w:val="00C745C3"/>
    <w:rsid w:val="00C752BA"/>
    <w:rsid w:val="00C7656E"/>
    <w:rsid w:val="00C768BA"/>
    <w:rsid w:val="00C81F83"/>
    <w:rsid w:val="00C83F48"/>
    <w:rsid w:val="00C843AA"/>
    <w:rsid w:val="00C844EE"/>
    <w:rsid w:val="00C85255"/>
    <w:rsid w:val="00C85C77"/>
    <w:rsid w:val="00C863C9"/>
    <w:rsid w:val="00C86E02"/>
    <w:rsid w:val="00C91017"/>
    <w:rsid w:val="00C953EC"/>
    <w:rsid w:val="00C96DF2"/>
    <w:rsid w:val="00C9755B"/>
    <w:rsid w:val="00CA622E"/>
    <w:rsid w:val="00CA6DDD"/>
    <w:rsid w:val="00CB3E03"/>
    <w:rsid w:val="00CB7013"/>
    <w:rsid w:val="00CC138B"/>
    <w:rsid w:val="00CC4839"/>
    <w:rsid w:val="00CD4AA6"/>
    <w:rsid w:val="00CE4A8F"/>
    <w:rsid w:val="00CE5946"/>
    <w:rsid w:val="00CE7719"/>
    <w:rsid w:val="00CE7816"/>
    <w:rsid w:val="00CF1FA5"/>
    <w:rsid w:val="00CF263E"/>
    <w:rsid w:val="00CF2B7C"/>
    <w:rsid w:val="00CF75C1"/>
    <w:rsid w:val="00CF7C95"/>
    <w:rsid w:val="00D0541A"/>
    <w:rsid w:val="00D05E5E"/>
    <w:rsid w:val="00D12117"/>
    <w:rsid w:val="00D153A7"/>
    <w:rsid w:val="00D2031B"/>
    <w:rsid w:val="00D248B6"/>
    <w:rsid w:val="00D25FB2"/>
    <w:rsid w:val="00D25FE2"/>
    <w:rsid w:val="00D26E07"/>
    <w:rsid w:val="00D27713"/>
    <w:rsid w:val="00D32431"/>
    <w:rsid w:val="00D32DF8"/>
    <w:rsid w:val="00D33D1F"/>
    <w:rsid w:val="00D342A8"/>
    <w:rsid w:val="00D40653"/>
    <w:rsid w:val="00D43252"/>
    <w:rsid w:val="00D45868"/>
    <w:rsid w:val="00D46A88"/>
    <w:rsid w:val="00D46D61"/>
    <w:rsid w:val="00D47EEA"/>
    <w:rsid w:val="00D51801"/>
    <w:rsid w:val="00D53E7A"/>
    <w:rsid w:val="00D54E2A"/>
    <w:rsid w:val="00D57885"/>
    <w:rsid w:val="00D5792F"/>
    <w:rsid w:val="00D60A2A"/>
    <w:rsid w:val="00D66211"/>
    <w:rsid w:val="00D67C82"/>
    <w:rsid w:val="00D70083"/>
    <w:rsid w:val="00D71856"/>
    <w:rsid w:val="00D75C92"/>
    <w:rsid w:val="00D773DF"/>
    <w:rsid w:val="00D84D4D"/>
    <w:rsid w:val="00D87DAF"/>
    <w:rsid w:val="00D90CCF"/>
    <w:rsid w:val="00D92E08"/>
    <w:rsid w:val="00D94543"/>
    <w:rsid w:val="00D95303"/>
    <w:rsid w:val="00D978C6"/>
    <w:rsid w:val="00DA2569"/>
    <w:rsid w:val="00DA2C03"/>
    <w:rsid w:val="00DA3C1C"/>
    <w:rsid w:val="00DA3C80"/>
    <w:rsid w:val="00DA6998"/>
    <w:rsid w:val="00DB0466"/>
    <w:rsid w:val="00DB1B2B"/>
    <w:rsid w:val="00DB259A"/>
    <w:rsid w:val="00DB3822"/>
    <w:rsid w:val="00DC022E"/>
    <w:rsid w:val="00DC3A93"/>
    <w:rsid w:val="00DC6D39"/>
    <w:rsid w:val="00DD13A2"/>
    <w:rsid w:val="00DD19F5"/>
    <w:rsid w:val="00DD455F"/>
    <w:rsid w:val="00DD640F"/>
    <w:rsid w:val="00DE455C"/>
    <w:rsid w:val="00DE5FF7"/>
    <w:rsid w:val="00DF418A"/>
    <w:rsid w:val="00DF49B0"/>
    <w:rsid w:val="00E00FC9"/>
    <w:rsid w:val="00E03443"/>
    <w:rsid w:val="00E046DF"/>
    <w:rsid w:val="00E04BE9"/>
    <w:rsid w:val="00E1085B"/>
    <w:rsid w:val="00E109DD"/>
    <w:rsid w:val="00E2018A"/>
    <w:rsid w:val="00E201F4"/>
    <w:rsid w:val="00E2176E"/>
    <w:rsid w:val="00E22B0C"/>
    <w:rsid w:val="00E27346"/>
    <w:rsid w:val="00E319F7"/>
    <w:rsid w:val="00E320F1"/>
    <w:rsid w:val="00E325A3"/>
    <w:rsid w:val="00E34CD5"/>
    <w:rsid w:val="00E36EB6"/>
    <w:rsid w:val="00E40A45"/>
    <w:rsid w:val="00E4235A"/>
    <w:rsid w:val="00E42E80"/>
    <w:rsid w:val="00E466D9"/>
    <w:rsid w:val="00E502E6"/>
    <w:rsid w:val="00E5085F"/>
    <w:rsid w:val="00E525B6"/>
    <w:rsid w:val="00E55173"/>
    <w:rsid w:val="00E560CA"/>
    <w:rsid w:val="00E56E16"/>
    <w:rsid w:val="00E60FB1"/>
    <w:rsid w:val="00E62CEA"/>
    <w:rsid w:val="00E655A5"/>
    <w:rsid w:val="00E71BC8"/>
    <w:rsid w:val="00E71F79"/>
    <w:rsid w:val="00E7260F"/>
    <w:rsid w:val="00E73F5D"/>
    <w:rsid w:val="00E767AC"/>
    <w:rsid w:val="00E77E4E"/>
    <w:rsid w:val="00E835FB"/>
    <w:rsid w:val="00E83966"/>
    <w:rsid w:val="00E87504"/>
    <w:rsid w:val="00E9441D"/>
    <w:rsid w:val="00E96630"/>
    <w:rsid w:val="00E977BC"/>
    <w:rsid w:val="00EA04C1"/>
    <w:rsid w:val="00EA0FCE"/>
    <w:rsid w:val="00EA1A20"/>
    <w:rsid w:val="00EA2A77"/>
    <w:rsid w:val="00EA311A"/>
    <w:rsid w:val="00EA3786"/>
    <w:rsid w:val="00EA424E"/>
    <w:rsid w:val="00EA4B54"/>
    <w:rsid w:val="00EB3E7C"/>
    <w:rsid w:val="00EB44C5"/>
    <w:rsid w:val="00EC0B17"/>
    <w:rsid w:val="00EC12CB"/>
    <w:rsid w:val="00EC5980"/>
    <w:rsid w:val="00EC5F72"/>
    <w:rsid w:val="00ED09AC"/>
    <w:rsid w:val="00ED46C6"/>
    <w:rsid w:val="00ED5F6E"/>
    <w:rsid w:val="00ED6FE1"/>
    <w:rsid w:val="00ED72B5"/>
    <w:rsid w:val="00ED754F"/>
    <w:rsid w:val="00ED7A2A"/>
    <w:rsid w:val="00EE0B1C"/>
    <w:rsid w:val="00EE3082"/>
    <w:rsid w:val="00EE40EF"/>
    <w:rsid w:val="00EE5FCD"/>
    <w:rsid w:val="00EE6770"/>
    <w:rsid w:val="00EF088A"/>
    <w:rsid w:val="00EF1D7F"/>
    <w:rsid w:val="00EF402C"/>
    <w:rsid w:val="00EF54BA"/>
    <w:rsid w:val="00EF6DC7"/>
    <w:rsid w:val="00EF7A61"/>
    <w:rsid w:val="00F02817"/>
    <w:rsid w:val="00F02C84"/>
    <w:rsid w:val="00F11455"/>
    <w:rsid w:val="00F11A60"/>
    <w:rsid w:val="00F1224B"/>
    <w:rsid w:val="00F1552A"/>
    <w:rsid w:val="00F15DC0"/>
    <w:rsid w:val="00F20293"/>
    <w:rsid w:val="00F211B8"/>
    <w:rsid w:val="00F222A3"/>
    <w:rsid w:val="00F23709"/>
    <w:rsid w:val="00F2770E"/>
    <w:rsid w:val="00F31E5F"/>
    <w:rsid w:val="00F371E8"/>
    <w:rsid w:val="00F435BD"/>
    <w:rsid w:val="00F45200"/>
    <w:rsid w:val="00F452EF"/>
    <w:rsid w:val="00F45825"/>
    <w:rsid w:val="00F469F3"/>
    <w:rsid w:val="00F51A5B"/>
    <w:rsid w:val="00F5203B"/>
    <w:rsid w:val="00F54668"/>
    <w:rsid w:val="00F55ADC"/>
    <w:rsid w:val="00F57182"/>
    <w:rsid w:val="00F6100A"/>
    <w:rsid w:val="00F6777F"/>
    <w:rsid w:val="00F7336D"/>
    <w:rsid w:val="00F767A6"/>
    <w:rsid w:val="00F76E1C"/>
    <w:rsid w:val="00F77774"/>
    <w:rsid w:val="00F80A68"/>
    <w:rsid w:val="00F81727"/>
    <w:rsid w:val="00F836E5"/>
    <w:rsid w:val="00F86A82"/>
    <w:rsid w:val="00F93781"/>
    <w:rsid w:val="00F9407F"/>
    <w:rsid w:val="00F942A8"/>
    <w:rsid w:val="00F947D6"/>
    <w:rsid w:val="00F9569F"/>
    <w:rsid w:val="00F96D3C"/>
    <w:rsid w:val="00FA3475"/>
    <w:rsid w:val="00FA455A"/>
    <w:rsid w:val="00FB0E26"/>
    <w:rsid w:val="00FB1056"/>
    <w:rsid w:val="00FB4C45"/>
    <w:rsid w:val="00FB4FEB"/>
    <w:rsid w:val="00FB613B"/>
    <w:rsid w:val="00FB664B"/>
    <w:rsid w:val="00FB67BC"/>
    <w:rsid w:val="00FC3ADB"/>
    <w:rsid w:val="00FC3AEF"/>
    <w:rsid w:val="00FC598C"/>
    <w:rsid w:val="00FC67B0"/>
    <w:rsid w:val="00FC68B7"/>
    <w:rsid w:val="00FC71C6"/>
    <w:rsid w:val="00FD14FA"/>
    <w:rsid w:val="00FD3F98"/>
    <w:rsid w:val="00FD4DDB"/>
    <w:rsid w:val="00FE106A"/>
    <w:rsid w:val="00FE4326"/>
    <w:rsid w:val="00FE7450"/>
    <w:rsid w:val="00FF0126"/>
    <w:rsid w:val="00FF145D"/>
    <w:rsid w:val="00FF5955"/>
    <w:rsid w:val="00FF6053"/>
    <w:rsid w:val="00FF6A8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90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uiPriority w:val="22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semiHidden/>
    <w:rsid w:val="004C3774"/>
    <w:rPr>
      <w:b/>
      <w:bCs/>
    </w:rPr>
  </w:style>
  <w:style w:type="paragraph" w:styleId="BalloonText">
    <w:name w:val="Balloon Text"/>
    <w:basedOn w:val="Normal"/>
    <w:semiHidden/>
    <w:rsid w:val="004C377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,PP Char"/>
    <w:link w:val="FootnoteText"/>
    <w:locked/>
    <w:rsid w:val="002B47CA"/>
    <w:rPr>
      <w:sz w:val="18"/>
      <w:lang w:val="en-GB"/>
    </w:rPr>
  </w:style>
  <w:style w:type="character" w:customStyle="1" w:styleId="HChGChar">
    <w:name w:val="_ H _Ch_G Char"/>
    <w:link w:val="HChG"/>
    <w:rsid w:val="002B47CA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AF5118"/>
    <w:pPr>
      <w:suppressAutoHyphens w:val="0"/>
      <w:spacing w:line="240" w:lineRule="auto"/>
      <w:ind w:left="720"/>
    </w:pPr>
    <w:rPr>
      <w:rFonts w:ascii="Calibri" w:eastAsia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rsid w:val="00AF5118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character" w:customStyle="1" w:styleId="WW-">
    <w:name w:val="WW-Основной шрифт абзаца"/>
    <w:rsid w:val="0092494D"/>
  </w:style>
  <w:style w:type="paragraph" w:customStyle="1" w:styleId="para">
    <w:name w:val="para"/>
    <w:basedOn w:val="Normal"/>
    <w:link w:val="paraChar"/>
    <w:rsid w:val="00226409"/>
    <w:pPr>
      <w:spacing w:after="120"/>
      <w:ind w:left="2268" w:right="1134" w:hanging="1134"/>
      <w:jc w:val="both"/>
    </w:pPr>
  </w:style>
  <w:style w:type="character" w:customStyle="1" w:styleId="paraChar">
    <w:name w:val="para Char"/>
    <w:link w:val="para"/>
    <w:rsid w:val="00226409"/>
    <w:rPr>
      <w:lang w:eastAsia="en-US"/>
    </w:rPr>
  </w:style>
  <w:style w:type="character" w:customStyle="1" w:styleId="Heading1Char">
    <w:name w:val="Heading 1 Char"/>
    <w:aliases w:val="Table_G Char"/>
    <w:link w:val="Heading1"/>
    <w:rsid w:val="00226409"/>
  </w:style>
  <w:style w:type="paragraph" w:customStyle="1" w:styleId="Para0">
    <w:name w:val="Para"/>
    <w:basedOn w:val="Normal"/>
    <w:qFormat/>
    <w:rsid w:val="00CB7013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a">
    <w:name w:val="a)"/>
    <w:basedOn w:val="SingleTxtG"/>
    <w:rsid w:val="00F45200"/>
    <w:pPr>
      <w:ind w:left="2835" w:hanging="567"/>
    </w:pPr>
  </w:style>
  <w:style w:type="paragraph" w:customStyle="1" w:styleId="p3">
    <w:name w:val="p3"/>
    <w:basedOn w:val="Normal"/>
    <w:next w:val="Normal"/>
    <w:rsid w:val="00F45200"/>
    <w:pPr>
      <w:suppressAutoHyphens w:val="0"/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Helvetica" w:hAnsi="Helvetica"/>
      <w:color w:val="000000"/>
      <w:lang w:val="fr-FR"/>
    </w:rPr>
  </w:style>
  <w:style w:type="character" w:customStyle="1" w:styleId="zzISOSTDAutomation">
    <w:name w:val="zzISOSTDAutomation"/>
    <w:rsid w:val="00F45200"/>
    <w:rPr>
      <w:b/>
    </w:rPr>
  </w:style>
  <w:style w:type="paragraph" w:customStyle="1" w:styleId="Normalparagraph">
    <w:name w:val="Normal.paragraph"/>
    <w:rsid w:val="00F45200"/>
    <w:pPr>
      <w:widowControl w:val="0"/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ascii="Helvetica" w:hAnsi="Helvetica"/>
      <w:color w:val="000000"/>
      <w:lang w:eastAsia="en-US"/>
    </w:rPr>
  </w:style>
  <w:style w:type="paragraph" w:customStyle="1" w:styleId="ISOChange">
    <w:name w:val="ISO_Change"/>
    <w:basedOn w:val="Normal"/>
    <w:uiPriority w:val="99"/>
    <w:rsid w:val="00F45200"/>
    <w:pPr>
      <w:suppressAutoHyphens w:val="0"/>
      <w:spacing w:before="210" w:line="210" w:lineRule="exact"/>
    </w:pPr>
    <w:rPr>
      <w:rFonts w:ascii="Arial" w:hAnsi="Arial"/>
      <w:sz w:val="18"/>
    </w:rPr>
  </w:style>
  <w:style w:type="paragraph" w:customStyle="1" w:styleId="Figuretitle">
    <w:name w:val="Figure title"/>
    <w:basedOn w:val="Normal"/>
    <w:next w:val="Normal"/>
    <w:rsid w:val="00F45200"/>
    <w:pPr>
      <w:overflowPunct w:val="0"/>
      <w:autoSpaceDE w:val="0"/>
      <w:autoSpaceDN w:val="0"/>
      <w:adjustRightInd w:val="0"/>
      <w:spacing w:before="220" w:after="220" w:line="220" w:lineRule="exact"/>
      <w:jc w:val="center"/>
      <w:textAlignment w:val="baseline"/>
    </w:pPr>
    <w:rPr>
      <w:rFonts w:ascii="Helvetica" w:hAnsi="Helvetica"/>
      <w:b/>
      <w:color w:val="00000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90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uiPriority w:val="22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semiHidden/>
    <w:rsid w:val="004C3774"/>
    <w:rPr>
      <w:b/>
      <w:bCs/>
    </w:rPr>
  </w:style>
  <w:style w:type="paragraph" w:styleId="BalloonText">
    <w:name w:val="Balloon Text"/>
    <w:basedOn w:val="Normal"/>
    <w:semiHidden/>
    <w:rsid w:val="004C377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,PP Char"/>
    <w:link w:val="FootnoteText"/>
    <w:locked/>
    <w:rsid w:val="002B47CA"/>
    <w:rPr>
      <w:sz w:val="18"/>
      <w:lang w:val="en-GB"/>
    </w:rPr>
  </w:style>
  <w:style w:type="character" w:customStyle="1" w:styleId="HChGChar">
    <w:name w:val="_ H _Ch_G Char"/>
    <w:link w:val="HChG"/>
    <w:rsid w:val="002B47CA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AF5118"/>
    <w:pPr>
      <w:suppressAutoHyphens w:val="0"/>
      <w:spacing w:line="240" w:lineRule="auto"/>
      <w:ind w:left="720"/>
    </w:pPr>
    <w:rPr>
      <w:rFonts w:ascii="Calibri" w:eastAsia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rsid w:val="00AF5118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character" w:customStyle="1" w:styleId="WW-">
    <w:name w:val="WW-Основной шрифт абзаца"/>
    <w:rsid w:val="0092494D"/>
  </w:style>
  <w:style w:type="paragraph" w:customStyle="1" w:styleId="para">
    <w:name w:val="para"/>
    <w:basedOn w:val="Normal"/>
    <w:link w:val="paraChar"/>
    <w:rsid w:val="00226409"/>
    <w:pPr>
      <w:spacing w:after="120"/>
      <w:ind w:left="2268" w:right="1134" w:hanging="1134"/>
      <w:jc w:val="both"/>
    </w:pPr>
  </w:style>
  <w:style w:type="character" w:customStyle="1" w:styleId="paraChar">
    <w:name w:val="para Char"/>
    <w:link w:val="para"/>
    <w:rsid w:val="00226409"/>
    <w:rPr>
      <w:lang w:eastAsia="en-US"/>
    </w:rPr>
  </w:style>
  <w:style w:type="character" w:customStyle="1" w:styleId="Heading1Char">
    <w:name w:val="Heading 1 Char"/>
    <w:aliases w:val="Table_G Char"/>
    <w:link w:val="Heading1"/>
    <w:rsid w:val="00226409"/>
  </w:style>
  <w:style w:type="paragraph" w:customStyle="1" w:styleId="Para0">
    <w:name w:val="Para"/>
    <w:basedOn w:val="Normal"/>
    <w:qFormat/>
    <w:rsid w:val="00CB7013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a">
    <w:name w:val="a)"/>
    <w:basedOn w:val="SingleTxtG"/>
    <w:rsid w:val="00F45200"/>
    <w:pPr>
      <w:ind w:left="2835" w:hanging="567"/>
    </w:pPr>
  </w:style>
  <w:style w:type="paragraph" w:customStyle="1" w:styleId="p3">
    <w:name w:val="p3"/>
    <w:basedOn w:val="Normal"/>
    <w:next w:val="Normal"/>
    <w:rsid w:val="00F45200"/>
    <w:pPr>
      <w:suppressAutoHyphens w:val="0"/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Helvetica" w:hAnsi="Helvetica"/>
      <w:color w:val="000000"/>
      <w:lang w:val="fr-FR"/>
    </w:rPr>
  </w:style>
  <w:style w:type="character" w:customStyle="1" w:styleId="zzISOSTDAutomation">
    <w:name w:val="zzISOSTDAutomation"/>
    <w:rsid w:val="00F45200"/>
    <w:rPr>
      <w:b/>
    </w:rPr>
  </w:style>
  <w:style w:type="paragraph" w:customStyle="1" w:styleId="Normalparagraph">
    <w:name w:val="Normal.paragraph"/>
    <w:rsid w:val="00F45200"/>
    <w:pPr>
      <w:widowControl w:val="0"/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ascii="Helvetica" w:hAnsi="Helvetica"/>
      <w:color w:val="000000"/>
      <w:lang w:eastAsia="en-US"/>
    </w:rPr>
  </w:style>
  <w:style w:type="paragraph" w:customStyle="1" w:styleId="ISOChange">
    <w:name w:val="ISO_Change"/>
    <w:basedOn w:val="Normal"/>
    <w:uiPriority w:val="99"/>
    <w:rsid w:val="00F45200"/>
    <w:pPr>
      <w:suppressAutoHyphens w:val="0"/>
      <w:spacing w:before="210" w:line="210" w:lineRule="exact"/>
    </w:pPr>
    <w:rPr>
      <w:rFonts w:ascii="Arial" w:hAnsi="Arial"/>
      <w:sz w:val="18"/>
    </w:rPr>
  </w:style>
  <w:style w:type="paragraph" w:customStyle="1" w:styleId="Figuretitle">
    <w:name w:val="Figure title"/>
    <w:basedOn w:val="Normal"/>
    <w:next w:val="Normal"/>
    <w:rsid w:val="00F45200"/>
    <w:pPr>
      <w:overflowPunct w:val="0"/>
      <w:autoSpaceDE w:val="0"/>
      <w:autoSpaceDN w:val="0"/>
      <w:adjustRightInd w:val="0"/>
      <w:spacing w:before="220" w:after="220" w:line="220" w:lineRule="exact"/>
      <w:jc w:val="center"/>
      <w:textAlignment w:val="baseline"/>
    </w:pPr>
    <w:rPr>
      <w:rFonts w:ascii="Helvetica" w:hAnsi="Helvetica"/>
      <w:b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ert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A1670-A4CA-4E64-BD10-B8C111B8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1</TotalTime>
  <Pages>3</Pages>
  <Words>822</Words>
  <Characters>4687</Characters>
  <Application>Microsoft Office Word</Application>
  <DocSecurity>4</DocSecurity>
  <Lines>39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1712821</vt:lpstr>
      <vt:lpstr>United Nations</vt:lpstr>
      <vt:lpstr>United Nations</vt:lpstr>
    </vt:vector>
  </TitlesOfParts>
  <Company>CSD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1712821</dc:title>
  <dc:subject>ECE/TRANS/WP.29/GRSG/2017/22</dc:subject>
  <dc:creator>PDF ENG</dc:creator>
  <cp:lastModifiedBy>Benedicte Boudol</cp:lastModifiedBy>
  <cp:revision>2</cp:revision>
  <cp:lastPrinted>2017-01-18T13:10:00Z</cp:lastPrinted>
  <dcterms:created xsi:type="dcterms:W3CDTF">2017-08-17T13:28:00Z</dcterms:created>
  <dcterms:modified xsi:type="dcterms:W3CDTF">2017-08-17T13:28:00Z</dcterms:modified>
</cp:coreProperties>
</file>