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490049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490049" w:rsidP="00490049">
            <w:pPr>
              <w:jc w:val="right"/>
            </w:pPr>
            <w:r w:rsidRPr="00490049">
              <w:rPr>
                <w:sz w:val="40"/>
              </w:rPr>
              <w:t>ECE</w:t>
            </w:r>
            <w:r>
              <w:t>/TRANS/WP.29/GRSG/2017/19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490049" w:rsidP="00C97039">
            <w:pPr>
              <w:spacing w:before="240"/>
            </w:pPr>
            <w:r>
              <w:t>Distr. générale</w:t>
            </w:r>
          </w:p>
          <w:p w:rsidR="00490049" w:rsidRDefault="00490049" w:rsidP="00490049">
            <w:pPr>
              <w:spacing w:line="240" w:lineRule="exact"/>
            </w:pPr>
            <w:r>
              <w:t>14 juillet 2017</w:t>
            </w:r>
          </w:p>
          <w:p w:rsidR="00490049" w:rsidRDefault="00490049" w:rsidP="00490049">
            <w:pPr>
              <w:spacing w:line="240" w:lineRule="exact"/>
            </w:pPr>
            <w:r>
              <w:t>Français</w:t>
            </w:r>
          </w:p>
          <w:p w:rsidR="00490049" w:rsidRPr="00DB58B5" w:rsidRDefault="00490049" w:rsidP="00490049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D90149">
      <w:pPr>
        <w:spacing w:before="120" w:after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B64B9B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D90149">
      <w:pPr>
        <w:spacing w:before="120" w:after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797A75" w:rsidRPr="00D90149" w:rsidRDefault="00797A75" w:rsidP="00D90149">
      <w:pPr>
        <w:spacing w:after="120"/>
        <w:rPr>
          <w:b/>
          <w:sz w:val="24"/>
          <w:szCs w:val="24"/>
        </w:rPr>
      </w:pPr>
      <w:r w:rsidRPr="00D90149">
        <w:rPr>
          <w:b/>
          <w:sz w:val="24"/>
          <w:szCs w:val="24"/>
        </w:rPr>
        <w:t>Forum mondial de l</w:t>
      </w:r>
      <w:r w:rsidR="00B64B9B">
        <w:rPr>
          <w:b/>
          <w:sz w:val="24"/>
          <w:szCs w:val="24"/>
        </w:rPr>
        <w:t>’</w:t>
      </w:r>
      <w:r w:rsidR="00A60BA6">
        <w:rPr>
          <w:b/>
          <w:sz w:val="24"/>
          <w:szCs w:val="24"/>
        </w:rPr>
        <w:t>harmonisation des Règlements</w:t>
      </w:r>
      <w:r w:rsidR="00A60BA6">
        <w:rPr>
          <w:b/>
          <w:sz w:val="24"/>
          <w:szCs w:val="24"/>
        </w:rPr>
        <w:br/>
      </w:r>
      <w:r w:rsidRPr="00D90149">
        <w:rPr>
          <w:b/>
          <w:sz w:val="24"/>
          <w:szCs w:val="24"/>
        </w:rPr>
        <w:t>concernant les véhicules</w:t>
      </w:r>
    </w:p>
    <w:p w:rsidR="00797A75" w:rsidRPr="00C64574" w:rsidRDefault="00797A75" w:rsidP="00D90149">
      <w:pPr>
        <w:spacing w:after="120"/>
        <w:rPr>
          <w:b/>
        </w:rPr>
      </w:pPr>
      <w:r>
        <w:rPr>
          <w:b/>
        </w:rPr>
        <w:t>Groupe de travail des dispositions générales de sécurité</w:t>
      </w:r>
    </w:p>
    <w:p w:rsidR="00797A75" w:rsidRPr="00C64574" w:rsidRDefault="00797A75" w:rsidP="00797A75">
      <w:pPr>
        <w:rPr>
          <w:b/>
        </w:rPr>
      </w:pPr>
      <w:r>
        <w:rPr>
          <w:b/>
        </w:rPr>
        <w:t>113</w:t>
      </w:r>
      <w:r>
        <w:rPr>
          <w:b/>
          <w:vertAlign w:val="superscript"/>
        </w:rPr>
        <w:t>e</w:t>
      </w:r>
      <w:r>
        <w:rPr>
          <w:b/>
        </w:rPr>
        <w:t xml:space="preserve"> session</w:t>
      </w:r>
    </w:p>
    <w:p w:rsidR="00797A75" w:rsidRPr="00C64574" w:rsidRDefault="00797A75" w:rsidP="00797A75">
      <w:r>
        <w:t>Genève, 10-13 octobre 2017</w:t>
      </w:r>
    </w:p>
    <w:p w:rsidR="00797A75" w:rsidRPr="00DF418A" w:rsidRDefault="00797A75" w:rsidP="00797A75">
      <w:r>
        <w:t>Point 11 de l</w:t>
      </w:r>
      <w:r w:rsidR="00B64B9B">
        <w:t>’</w:t>
      </w:r>
      <w:r>
        <w:t>ordre du jour provisoire</w:t>
      </w:r>
    </w:p>
    <w:p w:rsidR="00797A75" w:rsidRPr="001F20EF" w:rsidRDefault="00797A75" w:rsidP="00797A75">
      <w:pPr>
        <w:rPr>
          <w:b/>
        </w:rPr>
      </w:pPr>
      <w:r>
        <w:rPr>
          <w:b/>
        </w:rPr>
        <w:t xml:space="preserve">Règlement </w:t>
      </w:r>
      <w:r w:rsidRPr="00797A75">
        <w:rPr>
          <w:rFonts w:eastAsia="MS Mincho"/>
          <w:b/>
        </w:rPr>
        <w:t>n</w:t>
      </w:r>
      <w:r w:rsidRPr="00797A75">
        <w:rPr>
          <w:rFonts w:eastAsia="MS Mincho"/>
          <w:b/>
          <w:vertAlign w:val="superscript"/>
        </w:rPr>
        <w:t>o</w:t>
      </w:r>
      <w:r>
        <w:rPr>
          <w:b/>
        </w:rPr>
        <w:t> 122 (Systèmes de chauffage)</w:t>
      </w:r>
    </w:p>
    <w:p w:rsidR="00797A75" w:rsidRPr="007A4B3D" w:rsidRDefault="00D90149" w:rsidP="00D90149">
      <w:pPr>
        <w:pStyle w:val="HChG"/>
      </w:pPr>
      <w:r>
        <w:tab/>
      </w:r>
      <w:r>
        <w:tab/>
      </w:r>
      <w:r w:rsidR="00797A75">
        <w:t xml:space="preserve">Proposition de complément 4 au Règlement </w:t>
      </w:r>
      <w:r w:rsidR="00797A75" w:rsidRPr="00797A75">
        <w:rPr>
          <w:rFonts w:eastAsia="MS Mincho"/>
        </w:rPr>
        <w:t>n</w:t>
      </w:r>
      <w:r w:rsidR="00797A75" w:rsidRPr="00797A75">
        <w:rPr>
          <w:rFonts w:eastAsia="MS Mincho"/>
          <w:vertAlign w:val="superscript"/>
        </w:rPr>
        <w:t>o</w:t>
      </w:r>
      <w:r w:rsidR="00797A75" w:rsidRPr="00797A75">
        <w:rPr>
          <w:rFonts w:eastAsia="MS Mincho"/>
        </w:rPr>
        <w:t> </w:t>
      </w:r>
      <w:r>
        <w:t>122</w:t>
      </w:r>
      <w:r>
        <w:br/>
      </w:r>
      <w:r w:rsidR="00797A75">
        <w:t>(Systèmes de chauffage)</w:t>
      </w:r>
    </w:p>
    <w:p w:rsidR="00797A75" w:rsidRPr="007A4B3D" w:rsidRDefault="00D90149" w:rsidP="00D90149">
      <w:pPr>
        <w:pStyle w:val="H1G"/>
        <w:rPr>
          <w:vertAlign w:val="superscript"/>
        </w:rPr>
      </w:pPr>
      <w:r>
        <w:tab/>
      </w:r>
      <w:r>
        <w:tab/>
      </w:r>
      <w:r w:rsidR="00797A75">
        <w:t>Communication de l</w:t>
      </w:r>
      <w:r w:rsidR="00B64B9B">
        <w:t>’</w:t>
      </w:r>
      <w:r w:rsidR="00797A75">
        <w:t>expert de la France</w:t>
      </w:r>
      <w:r w:rsidR="00797A75" w:rsidRPr="00D90149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797A75" w:rsidRPr="007A4B3D" w:rsidRDefault="00797A75" w:rsidP="00D90149">
      <w:pPr>
        <w:pStyle w:val="SingleTxtG"/>
        <w:ind w:firstLine="567"/>
      </w:pPr>
      <w:r>
        <w:t>Le texte ci-après, établi par l</w:t>
      </w:r>
      <w:r w:rsidR="00B64B9B">
        <w:t>’</w:t>
      </w:r>
      <w:r>
        <w:t>expert de la France, a pour objet de propose</w:t>
      </w:r>
      <w:r w:rsidR="00D90149">
        <w:t xml:space="preserve">r un amendement au Règlement </w:t>
      </w:r>
      <w:r w:rsidR="00D90149">
        <w:rPr>
          <w:rFonts w:eastAsia="MS Mincho"/>
        </w:rPr>
        <w:t>n</w:t>
      </w:r>
      <w:r w:rsidR="00D90149">
        <w:rPr>
          <w:rFonts w:eastAsia="MS Mincho"/>
          <w:vertAlign w:val="superscript"/>
        </w:rPr>
        <w:t>o</w:t>
      </w:r>
      <w:r w:rsidR="00D90149">
        <w:t> </w:t>
      </w:r>
      <w:r>
        <w:t>122 concernant l</w:t>
      </w:r>
      <w:r w:rsidR="00B64B9B">
        <w:t>’</w:t>
      </w:r>
      <w:r>
        <w:t>application des annexes aux chauffages situés à l</w:t>
      </w:r>
      <w:r w:rsidR="00B64B9B">
        <w:t>’</w:t>
      </w:r>
      <w:r>
        <w:t>extérieur de l</w:t>
      </w:r>
      <w:r w:rsidR="00B64B9B">
        <w:t>’</w:t>
      </w:r>
      <w:r>
        <w:t>habitacle et utilisant l</w:t>
      </w:r>
      <w:r w:rsidR="00B64B9B">
        <w:t>’</w:t>
      </w:r>
      <w:r>
        <w:t>eau comme fluide caloporteur. Il est fondé sur le document informel GRSG-112-10, distribué à la 112</w:t>
      </w:r>
      <w:r>
        <w:rPr>
          <w:vertAlign w:val="superscript"/>
        </w:rPr>
        <w:t>e</w:t>
      </w:r>
      <w:r>
        <w:t xml:space="preserve"> session du Groupe de travail des dispositions générales de sécurité (GRSG) (voir le rapport ECE/TRANS/WP.29/GRSG/91, par. 52). Les modifications qu</w:t>
      </w:r>
      <w:r w:rsidR="00B64B9B">
        <w:t>’</w:t>
      </w:r>
      <w:r>
        <w:t>il est proposé d</w:t>
      </w:r>
      <w:r w:rsidR="00B64B9B">
        <w:t>’</w:t>
      </w:r>
      <w:r>
        <w:t xml:space="preserve">apporter </w:t>
      </w:r>
      <w:r w:rsidR="00D90149">
        <w:t xml:space="preserve">au texte actuel du Règlement </w:t>
      </w:r>
      <w:r w:rsidR="00D90149">
        <w:rPr>
          <w:rFonts w:eastAsia="MS Mincho"/>
        </w:rPr>
        <w:t>n</w:t>
      </w:r>
      <w:r w:rsidR="00D90149">
        <w:rPr>
          <w:rFonts w:eastAsia="MS Mincho"/>
          <w:vertAlign w:val="superscript"/>
        </w:rPr>
        <w:t>o</w:t>
      </w:r>
      <w:r w:rsidR="00D90149">
        <w:t> </w:t>
      </w:r>
      <w:r>
        <w:t>122 figurent en caractères gras pour les ajouts.</w:t>
      </w:r>
    </w:p>
    <w:p w:rsidR="00797A75" w:rsidRPr="007A4B3D" w:rsidRDefault="00797A75" w:rsidP="00C732C2">
      <w:pPr>
        <w:pStyle w:val="HChG"/>
      </w:pPr>
      <w:r>
        <w:br w:type="page"/>
      </w:r>
      <w:r w:rsidR="00C732C2">
        <w:lastRenderedPageBreak/>
        <w:tab/>
      </w:r>
      <w:r>
        <w:t>I.</w:t>
      </w:r>
      <w:r>
        <w:tab/>
        <w:t>Proposition</w:t>
      </w:r>
    </w:p>
    <w:p w:rsidR="00797A75" w:rsidRPr="000F02C5" w:rsidRDefault="00797A75" w:rsidP="00C732C2">
      <w:pPr>
        <w:pStyle w:val="SingleTxtG"/>
        <w:rPr>
          <w:rFonts w:eastAsia="MS Mincho"/>
          <w:iCs/>
        </w:rPr>
      </w:pPr>
      <w:r>
        <w:rPr>
          <w:i/>
          <w:iCs/>
        </w:rPr>
        <w:t>Paragraphe 6.2.1</w:t>
      </w:r>
      <w:r>
        <w:t>,</w:t>
      </w:r>
      <w:r>
        <w:rPr>
          <w:i/>
          <w:iCs/>
        </w:rPr>
        <w:t xml:space="preserve"> </w:t>
      </w:r>
      <w:r>
        <w:t>modifier comme suit</w:t>
      </w:r>
      <w:r w:rsidR="00B64B9B">
        <w:t xml:space="preserve"> :</w:t>
      </w:r>
    </w:p>
    <w:p w:rsidR="00797A75" w:rsidRDefault="00797A75" w:rsidP="00C732C2">
      <w:pPr>
        <w:pStyle w:val="SingleTxtG"/>
        <w:ind w:left="2268" w:hanging="1134"/>
      </w:pPr>
      <w:r>
        <w:t>«6.2.1</w:t>
      </w:r>
      <w:r>
        <w:tab/>
      </w:r>
      <w:r w:rsidR="00C732C2">
        <w:tab/>
      </w:r>
      <w:r>
        <w:t>Le tableau ci-après indique les annexes applicables à chaque type de système de chauffage, à l</w:t>
      </w:r>
      <w:r w:rsidR="00B64B9B">
        <w:t>’</w:t>
      </w:r>
      <w:r>
        <w:t xml:space="preserve">intérieur </w:t>
      </w:r>
      <w:r w:rsidR="00C732C2">
        <w:t>de chaque catégorie de véhicule :</w:t>
      </w:r>
    </w:p>
    <w:tbl>
      <w:tblPr>
        <w:tblStyle w:val="TabTxt"/>
        <w:tblW w:w="8504" w:type="dxa"/>
        <w:tblInd w:w="11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380"/>
        <w:gridCol w:w="1224"/>
        <w:gridCol w:w="1225"/>
        <w:gridCol w:w="1225"/>
        <w:gridCol w:w="1225"/>
        <w:gridCol w:w="1225"/>
      </w:tblGrid>
      <w:tr w:rsidR="009E4B15" w:rsidRPr="00341E43" w:rsidTr="00D21CBF">
        <w:trPr>
          <w:tblHeader/>
        </w:trPr>
        <w:tc>
          <w:tcPr>
            <w:tcW w:w="2380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 w:line="200" w:lineRule="exact"/>
              <w:ind w:left="57" w:right="57"/>
              <w:rPr>
                <w:i/>
                <w:sz w:val="16"/>
                <w:szCs w:val="24"/>
                <w:lang w:val="fr-FR"/>
              </w:rPr>
            </w:pPr>
            <w:r w:rsidRPr="00341E43">
              <w:rPr>
                <w:i/>
                <w:sz w:val="16"/>
                <w:lang w:val="fr-FR"/>
              </w:rPr>
              <w:t>Système</w:t>
            </w:r>
            <w:r w:rsidR="00D21CBF" w:rsidRPr="00341E43">
              <w:rPr>
                <w:i/>
                <w:sz w:val="16"/>
                <w:lang w:val="fr-FR"/>
              </w:rPr>
              <w:t xml:space="preserve"> </w:t>
            </w:r>
            <w:r w:rsidRPr="00341E43">
              <w:rPr>
                <w:i/>
                <w:sz w:val="16"/>
                <w:lang w:val="fr-FR"/>
              </w:rPr>
              <w:t>de chauffage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 w:line="200" w:lineRule="exact"/>
              <w:ind w:left="57" w:right="57"/>
              <w:jc w:val="center"/>
              <w:rPr>
                <w:i/>
                <w:sz w:val="16"/>
                <w:szCs w:val="24"/>
                <w:lang w:val="fr-FR"/>
              </w:rPr>
            </w:pPr>
            <w:r w:rsidRPr="00341E43">
              <w:rPr>
                <w:bCs/>
                <w:i/>
                <w:sz w:val="16"/>
                <w:lang w:val="fr-FR"/>
              </w:rPr>
              <w:t>Catégorie</w:t>
            </w:r>
            <w:r w:rsidRPr="00341E43">
              <w:rPr>
                <w:bCs/>
                <w:i/>
                <w:sz w:val="16"/>
                <w:lang w:val="fr-FR"/>
              </w:rPr>
              <w:br/>
              <w:t>de véhicule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 w:line="200" w:lineRule="exact"/>
              <w:ind w:left="57" w:right="57"/>
              <w:jc w:val="center"/>
              <w:rPr>
                <w:i/>
                <w:sz w:val="16"/>
                <w:szCs w:val="24"/>
                <w:lang w:val="fr-FR"/>
              </w:rPr>
            </w:pPr>
            <w:r w:rsidRPr="00341E43">
              <w:rPr>
                <w:i/>
                <w:sz w:val="16"/>
                <w:lang w:val="fr-FR"/>
              </w:rPr>
              <w:t>Annexe 4</w:t>
            </w:r>
            <w:r w:rsidRPr="00341E43">
              <w:rPr>
                <w:i/>
                <w:sz w:val="16"/>
                <w:lang w:val="fr-FR"/>
              </w:rPr>
              <w:br/>
              <w:t>Qualité de l’air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 w:line="200" w:lineRule="exact"/>
              <w:ind w:left="57" w:right="57"/>
              <w:jc w:val="center"/>
              <w:rPr>
                <w:i/>
                <w:sz w:val="16"/>
                <w:szCs w:val="24"/>
                <w:lang w:val="fr-FR"/>
              </w:rPr>
            </w:pPr>
            <w:r w:rsidRPr="00341E43">
              <w:rPr>
                <w:i/>
                <w:sz w:val="16"/>
                <w:lang w:val="fr-FR"/>
              </w:rPr>
              <w:t>Annexe 5</w:t>
            </w:r>
            <w:r w:rsidRPr="00341E43">
              <w:rPr>
                <w:i/>
                <w:sz w:val="16"/>
                <w:lang w:val="fr-FR"/>
              </w:rPr>
              <w:br/>
              <w:t>Température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 w:line="200" w:lineRule="exact"/>
              <w:ind w:left="57" w:right="57"/>
              <w:jc w:val="center"/>
              <w:rPr>
                <w:i/>
                <w:sz w:val="16"/>
                <w:szCs w:val="24"/>
                <w:lang w:val="fr-FR"/>
              </w:rPr>
            </w:pPr>
            <w:r w:rsidRPr="00341E43">
              <w:rPr>
                <w:i/>
                <w:sz w:val="16"/>
                <w:lang w:val="fr-FR"/>
              </w:rPr>
              <w:t>Annexe 6</w:t>
            </w:r>
            <w:r w:rsidRPr="00341E43">
              <w:rPr>
                <w:i/>
                <w:sz w:val="16"/>
                <w:lang w:val="fr-FR"/>
              </w:rPr>
              <w:br/>
              <w:t>Échappement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 w:line="200" w:lineRule="exact"/>
              <w:ind w:left="57" w:right="57"/>
              <w:jc w:val="center"/>
              <w:rPr>
                <w:i/>
                <w:sz w:val="16"/>
                <w:szCs w:val="24"/>
                <w:lang w:val="fr-FR"/>
              </w:rPr>
            </w:pPr>
            <w:r w:rsidRPr="00341E43">
              <w:rPr>
                <w:i/>
                <w:sz w:val="16"/>
                <w:lang w:val="fr-FR"/>
              </w:rPr>
              <w:t>Annexe 8</w:t>
            </w:r>
            <w:r w:rsidRPr="00341E43">
              <w:rPr>
                <w:i/>
                <w:sz w:val="16"/>
                <w:lang w:val="fr-FR"/>
              </w:rPr>
              <w:br/>
              <w:t>Sécurité GPL</w:t>
            </w:r>
          </w:p>
        </w:tc>
      </w:tr>
      <w:tr w:rsidR="009E4B15" w:rsidRPr="00341E43" w:rsidTr="00D21CBF">
        <w:tc>
          <w:tcPr>
            <w:tcW w:w="2380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Chaleur récupérée</w:t>
            </w:r>
            <w:r w:rsidR="00F44ACC" w:rsidRPr="00341E43">
              <w:rPr>
                <w:lang w:val="fr-FR"/>
              </w:rPr>
              <w:br/>
            </w:r>
            <w:r w:rsidRPr="00341E43">
              <w:rPr>
                <w:lang w:val="fr-FR"/>
              </w:rPr>
              <w:t xml:space="preserve">du moteur − eau </w:t>
            </w:r>
          </w:p>
        </w:tc>
        <w:tc>
          <w:tcPr>
            <w:tcW w:w="122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bCs/>
                <w:lang w:val="fr-FR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M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N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  <w:r w:rsidRPr="00341E43">
              <w:rPr>
                <w:lang w:val="fr-FR"/>
              </w:rPr>
              <w:t>Chaleur récupérée</w:t>
            </w:r>
            <w:r w:rsidR="00F44ACC" w:rsidRPr="00341E43">
              <w:rPr>
                <w:lang w:val="fr-FR"/>
              </w:rPr>
              <w:br/>
            </w:r>
            <w:r w:rsidRPr="00341E43">
              <w:rPr>
                <w:lang w:val="fr-FR"/>
              </w:rPr>
              <w:t>du moteur −</w:t>
            </w:r>
            <w:r w:rsidR="00F44ACC" w:rsidRPr="00341E43">
              <w:rPr>
                <w:lang w:val="fr-FR"/>
              </w:rPr>
              <w:t xml:space="preserve"> air</w:t>
            </w:r>
            <w:r w:rsidR="00F44ACC" w:rsidRPr="00341E43">
              <w:rPr>
                <w:lang w:val="fr-FR"/>
              </w:rPr>
              <w:br/>
            </w:r>
            <w:r w:rsidRPr="00341E43">
              <w:rPr>
                <w:lang w:val="fr-FR"/>
              </w:rPr>
              <w:t>Voir note 1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M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N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  <w:r w:rsidRPr="00341E43">
              <w:rPr>
                <w:lang w:val="fr-FR"/>
              </w:rPr>
              <w:t>Chaleur récupérée</w:t>
            </w:r>
            <w:r w:rsidR="00F44ACC" w:rsidRPr="00341E43">
              <w:rPr>
                <w:lang w:val="fr-FR"/>
              </w:rPr>
              <w:br/>
            </w:r>
            <w:r w:rsidRPr="00341E43">
              <w:rPr>
                <w:lang w:val="fr-FR"/>
              </w:rPr>
              <w:t>du moteur − huile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M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N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  <w:r w:rsidRPr="00341E43">
              <w:rPr>
                <w:lang w:val="fr-FR"/>
              </w:rPr>
              <w:t>Chauffage à combustible Gazeux</w:t>
            </w:r>
            <w:r w:rsidRPr="00341E43">
              <w:rPr>
                <w:lang w:val="fr-FR"/>
              </w:rPr>
              <w:br/>
              <w:t>Voir note 2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M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N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</w:tr>
      <w:tr w:rsidR="009E4B15" w:rsidRPr="00341E43" w:rsidTr="00D21CBF">
        <w:tc>
          <w:tcPr>
            <w:tcW w:w="23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  <w:r w:rsidRPr="00341E43">
              <w:rPr>
                <w:lang w:val="fr-FR"/>
              </w:rPr>
              <w:t>Chauffage à combustible liquide</w:t>
            </w:r>
            <w:r w:rsidRPr="00341E43">
              <w:rPr>
                <w:lang w:val="fr-FR"/>
              </w:rPr>
              <w:br/>
              <w:t>Voir note 2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M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N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  <w:r w:rsidRPr="00341E43">
              <w:rPr>
                <w:lang w:val="fr-FR"/>
              </w:rPr>
              <w:t>Chauffage électrique</w:t>
            </w:r>
            <w:r w:rsidRPr="00341E43">
              <w:rPr>
                <w:lang w:val="fr-FR"/>
              </w:rPr>
              <w:br/>
            </w:r>
            <w:r w:rsidRPr="00341E43">
              <w:rPr>
                <w:b/>
                <w:lang w:val="fr-FR"/>
              </w:rPr>
              <w:t>Voir note 2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szCs w:val="24"/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 w:eastAsia="ar-SA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M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  <w:tr w:rsidR="009E4B15" w:rsidRPr="00341E43" w:rsidTr="00D21CBF">
        <w:tc>
          <w:tcPr>
            <w:tcW w:w="2380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N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tcW w:w="12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  <w:r w:rsidRPr="00341E43">
              <w:rPr>
                <w:lang w:val="fr-FR"/>
              </w:rPr>
              <w:t>Oui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15" w:rsidRPr="00341E43" w:rsidRDefault="009E4B15" w:rsidP="00D21CBF">
            <w:pPr>
              <w:spacing w:before="60" w:after="60"/>
              <w:ind w:left="57" w:right="57"/>
              <w:rPr>
                <w:lang w:val="fr-FR"/>
              </w:rPr>
            </w:pPr>
          </w:p>
        </w:tc>
      </w:tr>
    </w:tbl>
    <w:p w:rsidR="00797A75" w:rsidRPr="000C255B" w:rsidRDefault="000C255B" w:rsidP="003D17D0">
      <w:pPr>
        <w:pStyle w:val="SingleTxtG"/>
        <w:spacing w:before="120"/>
        <w:ind w:right="0" w:firstLine="170"/>
        <w:jc w:val="left"/>
        <w:rPr>
          <w:sz w:val="18"/>
          <w:szCs w:val="18"/>
        </w:rPr>
      </w:pPr>
      <w:r>
        <w:rPr>
          <w:sz w:val="18"/>
          <w:szCs w:val="18"/>
        </w:rPr>
        <w:t>Note 1 :</w:t>
      </w:r>
      <w:r w:rsidR="00797A75" w:rsidRPr="000C255B">
        <w:rPr>
          <w:sz w:val="18"/>
          <w:szCs w:val="18"/>
        </w:rPr>
        <w:t xml:space="preserve"> Les systèmes de chauffage remplissant les prescriptions de l</w:t>
      </w:r>
      <w:r w:rsidR="00B64B9B">
        <w:rPr>
          <w:sz w:val="18"/>
          <w:szCs w:val="18"/>
        </w:rPr>
        <w:t>’</w:t>
      </w:r>
      <w:r w:rsidR="00797A75" w:rsidRPr="000C255B">
        <w:rPr>
          <w:sz w:val="18"/>
          <w:szCs w:val="18"/>
        </w:rPr>
        <w:t>annexe 3 sont dispensés de ces prescriptions d</w:t>
      </w:r>
      <w:r w:rsidR="00B64B9B">
        <w:rPr>
          <w:sz w:val="18"/>
          <w:szCs w:val="18"/>
        </w:rPr>
        <w:t>’</w:t>
      </w:r>
      <w:r w:rsidR="00797A75" w:rsidRPr="000C255B">
        <w:rPr>
          <w:sz w:val="18"/>
          <w:szCs w:val="18"/>
        </w:rPr>
        <w:t>essai.</w:t>
      </w:r>
    </w:p>
    <w:p w:rsidR="00797A75" w:rsidRPr="000C255B" w:rsidRDefault="000C255B" w:rsidP="003D17D0">
      <w:pPr>
        <w:pStyle w:val="SingleTxtG"/>
        <w:ind w:right="0" w:firstLine="170"/>
        <w:jc w:val="left"/>
        <w:rPr>
          <w:sz w:val="18"/>
          <w:szCs w:val="18"/>
        </w:rPr>
      </w:pPr>
      <w:r>
        <w:rPr>
          <w:sz w:val="18"/>
          <w:szCs w:val="18"/>
        </w:rPr>
        <w:t>Note 2 :</w:t>
      </w:r>
      <w:r w:rsidR="00797A75" w:rsidRPr="000C255B">
        <w:rPr>
          <w:sz w:val="18"/>
          <w:szCs w:val="18"/>
        </w:rPr>
        <w:t xml:space="preserve"> </w:t>
      </w:r>
      <w:r w:rsidR="00797A75" w:rsidRPr="000C255B">
        <w:rPr>
          <w:b/>
          <w:sz w:val="18"/>
          <w:szCs w:val="18"/>
        </w:rPr>
        <w:t>Les chauffages</w:t>
      </w:r>
      <w:r w:rsidR="00797A75" w:rsidRPr="000C255B">
        <w:rPr>
          <w:sz w:val="18"/>
          <w:szCs w:val="18"/>
        </w:rPr>
        <w:t xml:space="preserve"> placés à l</w:t>
      </w:r>
      <w:r w:rsidR="00B64B9B">
        <w:rPr>
          <w:sz w:val="18"/>
          <w:szCs w:val="18"/>
        </w:rPr>
        <w:t>’</w:t>
      </w:r>
      <w:r w:rsidR="00797A75" w:rsidRPr="000C255B">
        <w:rPr>
          <w:sz w:val="18"/>
          <w:szCs w:val="18"/>
        </w:rPr>
        <w:t>extérieur de l</w:t>
      </w:r>
      <w:r w:rsidR="00B64B9B">
        <w:rPr>
          <w:sz w:val="18"/>
          <w:szCs w:val="18"/>
        </w:rPr>
        <w:t>’</w:t>
      </w:r>
      <w:r w:rsidR="00797A75" w:rsidRPr="000C255B">
        <w:rPr>
          <w:sz w:val="18"/>
          <w:szCs w:val="18"/>
        </w:rPr>
        <w:t xml:space="preserve">habitacle et </w:t>
      </w:r>
      <w:bookmarkStart w:id="1" w:name="__DdeLink__2567_1852504735"/>
      <w:r w:rsidR="00797A75" w:rsidRPr="000C255B">
        <w:rPr>
          <w:sz w:val="18"/>
          <w:szCs w:val="18"/>
        </w:rPr>
        <w:t>utilisant l</w:t>
      </w:r>
      <w:r w:rsidR="00B64B9B">
        <w:rPr>
          <w:sz w:val="18"/>
          <w:szCs w:val="18"/>
        </w:rPr>
        <w:t>’</w:t>
      </w:r>
      <w:r w:rsidR="00797A75" w:rsidRPr="000C255B">
        <w:rPr>
          <w:sz w:val="18"/>
          <w:szCs w:val="18"/>
        </w:rPr>
        <w:t>eau comme fluide caloporteur</w:t>
      </w:r>
      <w:bookmarkEnd w:id="1"/>
      <w:r w:rsidR="00797A75" w:rsidRPr="000C255B">
        <w:rPr>
          <w:sz w:val="18"/>
          <w:szCs w:val="18"/>
        </w:rPr>
        <w:t xml:space="preserve"> sont réputés conformes aux annexes 4 et 5.».</w:t>
      </w:r>
    </w:p>
    <w:p w:rsidR="00797A75" w:rsidRPr="007A4B3D" w:rsidRDefault="00797A75" w:rsidP="00901E77">
      <w:pPr>
        <w:pStyle w:val="HChG"/>
      </w:pPr>
      <w:r>
        <w:tab/>
        <w:t>II.</w:t>
      </w:r>
      <w:r>
        <w:tab/>
        <w:t>Justification</w:t>
      </w:r>
    </w:p>
    <w:p w:rsidR="00F9573C" w:rsidRDefault="00797A75" w:rsidP="000C255B">
      <w:pPr>
        <w:pStyle w:val="SingleTxtG"/>
        <w:ind w:firstLine="567"/>
      </w:pPr>
      <w:r>
        <w:t>Il n</w:t>
      </w:r>
      <w:r w:rsidR="00B64B9B">
        <w:t>’</w:t>
      </w:r>
      <w:r>
        <w:t>est pas impératif que les chauffages situés à l</w:t>
      </w:r>
      <w:r w:rsidR="00B64B9B">
        <w:t>’</w:t>
      </w:r>
      <w:r>
        <w:t>extérieur de l</w:t>
      </w:r>
      <w:r w:rsidR="00B64B9B">
        <w:t>’</w:t>
      </w:r>
      <w:r>
        <w:t>habitacle et utilisant l</w:t>
      </w:r>
      <w:r w:rsidR="00B64B9B">
        <w:t>’</w:t>
      </w:r>
      <w:r>
        <w:t>eau comme fluide caloporteur soient soumis aux procédures de contrôle de la qualité de l</w:t>
      </w:r>
      <w:r w:rsidR="00B64B9B">
        <w:t>’</w:t>
      </w:r>
      <w:r>
        <w:t>air et de la température définies aux annexes idoines, et cette prescription ne s</w:t>
      </w:r>
      <w:r w:rsidR="00B64B9B">
        <w:t>’</w:t>
      </w:r>
      <w:r>
        <w:t>applique pas exclusivement aux chauffages à combustion.</w:t>
      </w:r>
    </w:p>
    <w:p w:rsidR="003D17D0" w:rsidRPr="003D17D0" w:rsidRDefault="003D17D0" w:rsidP="003D17D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D17D0" w:rsidRPr="003D17D0" w:rsidSect="0049004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48" w:rsidRDefault="003D5648" w:rsidP="00F95C08">
      <w:pPr>
        <w:spacing w:line="240" w:lineRule="auto"/>
      </w:pPr>
    </w:p>
  </w:endnote>
  <w:endnote w:type="continuationSeparator" w:id="0">
    <w:p w:rsidR="003D5648" w:rsidRPr="00AC3823" w:rsidRDefault="003D5648" w:rsidP="00AC3823">
      <w:pPr>
        <w:pStyle w:val="Footer"/>
      </w:pPr>
    </w:p>
  </w:endnote>
  <w:endnote w:type="continuationNotice" w:id="1">
    <w:p w:rsidR="003D5648" w:rsidRDefault="003D56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9" w:rsidRPr="00490049" w:rsidRDefault="00490049" w:rsidP="00490049">
    <w:pPr>
      <w:pStyle w:val="Footer"/>
      <w:tabs>
        <w:tab w:val="right" w:pos="9638"/>
      </w:tabs>
    </w:pPr>
    <w:r w:rsidRPr="00490049">
      <w:rPr>
        <w:b/>
        <w:sz w:val="18"/>
      </w:rPr>
      <w:fldChar w:fldCharType="begin"/>
    </w:r>
    <w:r w:rsidRPr="00490049">
      <w:rPr>
        <w:b/>
        <w:sz w:val="18"/>
      </w:rPr>
      <w:instrText xml:space="preserve"> PAGE  \* MERGEFORMAT </w:instrText>
    </w:r>
    <w:r w:rsidRPr="00490049">
      <w:rPr>
        <w:b/>
        <w:sz w:val="18"/>
      </w:rPr>
      <w:fldChar w:fldCharType="separate"/>
    </w:r>
    <w:r w:rsidR="00785966">
      <w:rPr>
        <w:b/>
        <w:noProof/>
        <w:sz w:val="18"/>
      </w:rPr>
      <w:t>2</w:t>
    </w:r>
    <w:r w:rsidRPr="00490049">
      <w:rPr>
        <w:b/>
        <w:sz w:val="18"/>
      </w:rPr>
      <w:fldChar w:fldCharType="end"/>
    </w:r>
    <w:r>
      <w:rPr>
        <w:b/>
        <w:sz w:val="18"/>
      </w:rPr>
      <w:tab/>
    </w:r>
    <w:r>
      <w:t>GE.17-11942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9" w:rsidRPr="00490049" w:rsidRDefault="00490049" w:rsidP="00490049">
    <w:pPr>
      <w:pStyle w:val="Footer"/>
      <w:tabs>
        <w:tab w:val="right" w:pos="9638"/>
      </w:tabs>
      <w:rPr>
        <w:b/>
        <w:sz w:val="18"/>
      </w:rPr>
    </w:pPr>
    <w:r>
      <w:t>GE.17-11942</w:t>
    </w:r>
    <w:r>
      <w:tab/>
    </w:r>
    <w:r w:rsidRPr="00490049">
      <w:rPr>
        <w:b/>
        <w:sz w:val="18"/>
      </w:rPr>
      <w:fldChar w:fldCharType="begin"/>
    </w:r>
    <w:r w:rsidRPr="00490049">
      <w:rPr>
        <w:b/>
        <w:sz w:val="18"/>
      </w:rPr>
      <w:instrText xml:space="preserve"> PAGE  \* MERGEFORMAT </w:instrText>
    </w:r>
    <w:r w:rsidRPr="00490049">
      <w:rPr>
        <w:b/>
        <w:sz w:val="18"/>
      </w:rPr>
      <w:fldChar w:fldCharType="separate"/>
    </w:r>
    <w:r w:rsidR="00D21CBF">
      <w:rPr>
        <w:b/>
        <w:noProof/>
        <w:sz w:val="18"/>
      </w:rPr>
      <w:t>3</w:t>
    </w:r>
    <w:r w:rsidRPr="0049004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FA" w:rsidRPr="00490049" w:rsidRDefault="00490049" w:rsidP="00490049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17-11942  (F)    140817    150817</w:t>
    </w:r>
    <w:r>
      <w:rPr>
        <w:sz w:val="20"/>
      </w:rPr>
      <w:br/>
    </w:r>
    <w:r w:rsidRPr="00490049">
      <w:rPr>
        <w:rFonts w:ascii="C39T30Lfz" w:hAnsi="C39T30Lfz"/>
        <w:sz w:val="56"/>
      </w:rPr>
      <w:t></w:t>
    </w:r>
    <w:r w:rsidRPr="00490049">
      <w:rPr>
        <w:rFonts w:ascii="C39T30Lfz" w:hAnsi="C39T30Lfz"/>
        <w:sz w:val="56"/>
      </w:rPr>
      <w:t></w:t>
    </w:r>
    <w:r w:rsidRPr="00490049">
      <w:rPr>
        <w:rFonts w:ascii="C39T30Lfz" w:hAnsi="C39T30Lfz"/>
        <w:sz w:val="56"/>
      </w:rPr>
      <w:t></w:t>
    </w:r>
    <w:r w:rsidRPr="00490049">
      <w:rPr>
        <w:rFonts w:ascii="C39T30Lfz" w:hAnsi="C39T30Lfz"/>
        <w:sz w:val="56"/>
      </w:rPr>
      <w:t></w:t>
    </w:r>
    <w:r w:rsidRPr="00490049">
      <w:rPr>
        <w:rFonts w:ascii="C39T30Lfz" w:hAnsi="C39T30Lfz"/>
        <w:sz w:val="56"/>
      </w:rPr>
      <w:t></w:t>
    </w:r>
    <w:r w:rsidRPr="00490049">
      <w:rPr>
        <w:rFonts w:ascii="C39T30Lfz" w:hAnsi="C39T30Lfz"/>
        <w:sz w:val="56"/>
      </w:rPr>
      <w:t></w:t>
    </w:r>
    <w:r w:rsidRPr="00490049">
      <w:rPr>
        <w:rFonts w:ascii="C39T30Lfz" w:hAnsi="C39T30Lfz"/>
        <w:sz w:val="56"/>
      </w:rPr>
      <w:t></w:t>
    </w:r>
    <w:r w:rsidRPr="00490049">
      <w:rPr>
        <w:rFonts w:ascii="C39T30Lfz" w:hAnsi="C39T30Lfz"/>
        <w:sz w:val="56"/>
      </w:rPr>
      <w:t></w:t>
    </w:r>
    <w:r w:rsidRPr="00490049">
      <w:rPr>
        <w:rFonts w:ascii="C39T30Lfz" w:hAnsi="C39T30Lfz"/>
        <w:sz w:val="56"/>
      </w:rPr>
      <w:t></w:t>
    </w:r>
    <w:r>
      <w:rPr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SG/2017/19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19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48" w:rsidRPr="00AC3823" w:rsidRDefault="003D5648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D5648" w:rsidRPr="00AC3823" w:rsidRDefault="003D5648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D5648" w:rsidRPr="00AC3823" w:rsidRDefault="003D5648">
      <w:pPr>
        <w:spacing w:line="240" w:lineRule="auto"/>
        <w:rPr>
          <w:sz w:val="2"/>
          <w:szCs w:val="2"/>
        </w:rPr>
      </w:pPr>
    </w:p>
  </w:footnote>
  <w:footnote w:id="2">
    <w:p w:rsidR="00797A75" w:rsidRPr="00797A75" w:rsidRDefault="00797A75">
      <w:pPr>
        <w:pStyle w:val="FootnoteText"/>
      </w:pPr>
      <w:r>
        <w:rPr>
          <w:rStyle w:val="FootnoteReference"/>
        </w:rPr>
        <w:tab/>
      </w:r>
      <w:r w:rsidRPr="00797A75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>
        <w:t>Conformément au programme de travail du Comité des transports intérieurs pour la période 2016</w:t>
      </w:r>
      <w:r>
        <w:noBreakHyphen/>
        <w:t>2017 (ECE/TRANS/254, par. 159, et ECE/TRANS/2016/28/Add.1, module 3.1), le Forum mondial a pour mission d’élaborer, d’harmoniser et de mettre à jour les Règlements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9" w:rsidRPr="00490049" w:rsidRDefault="00785966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3506C5">
      <w:t>ECE/TRANS/WP.29/GRSG/2017/19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49" w:rsidRPr="00490049" w:rsidRDefault="00785966" w:rsidP="00490049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3506C5">
      <w:t>ECE/TRANS/WP.29/GRSG/2017/19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567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48"/>
    <w:rsid w:val="00017F94"/>
    <w:rsid w:val="00023842"/>
    <w:rsid w:val="000334F9"/>
    <w:rsid w:val="00045FEB"/>
    <w:rsid w:val="0007796D"/>
    <w:rsid w:val="000B7790"/>
    <w:rsid w:val="000C255B"/>
    <w:rsid w:val="00111F2F"/>
    <w:rsid w:val="0014365E"/>
    <w:rsid w:val="00143C66"/>
    <w:rsid w:val="00176178"/>
    <w:rsid w:val="001F525A"/>
    <w:rsid w:val="00223272"/>
    <w:rsid w:val="0024779E"/>
    <w:rsid w:val="00257168"/>
    <w:rsid w:val="002744B8"/>
    <w:rsid w:val="002832AC"/>
    <w:rsid w:val="002D7C93"/>
    <w:rsid w:val="00305801"/>
    <w:rsid w:val="00341E43"/>
    <w:rsid w:val="003506C5"/>
    <w:rsid w:val="003916DE"/>
    <w:rsid w:val="003D17D0"/>
    <w:rsid w:val="003D5648"/>
    <w:rsid w:val="00441C3B"/>
    <w:rsid w:val="00446FE5"/>
    <w:rsid w:val="00452396"/>
    <w:rsid w:val="00457492"/>
    <w:rsid w:val="004837D8"/>
    <w:rsid w:val="00490049"/>
    <w:rsid w:val="004E468C"/>
    <w:rsid w:val="005505B7"/>
    <w:rsid w:val="00573BE5"/>
    <w:rsid w:val="00586ED3"/>
    <w:rsid w:val="00596AA9"/>
    <w:rsid w:val="005A4F4C"/>
    <w:rsid w:val="0071601D"/>
    <w:rsid w:val="00785966"/>
    <w:rsid w:val="00797A75"/>
    <w:rsid w:val="007A62E6"/>
    <w:rsid w:val="007F20FA"/>
    <w:rsid w:val="0080684C"/>
    <w:rsid w:val="00871C75"/>
    <w:rsid w:val="008776DC"/>
    <w:rsid w:val="00901E77"/>
    <w:rsid w:val="009446C0"/>
    <w:rsid w:val="009705C8"/>
    <w:rsid w:val="009C1CF4"/>
    <w:rsid w:val="009E4B15"/>
    <w:rsid w:val="009F6B74"/>
    <w:rsid w:val="00A30353"/>
    <w:rsid w:val="00A60BA6"/>
    <w:rsid w:val="00AC3823"/>
    <w:rsid w:val="00AE323C"/>
    <w:rsid w:val="00AF0CB5"/>
    <w:rsid w:val="00B00181"/>
    <w:rsid w:val="00B00B0D"/>
    <w:rsid w:val="00B64B9B"/>
    <w:rsid w:val="00B765F7"/>
    <w:rsid w:val="00BA0CA9"/>
    <w:rsid w:val="00C02897"/>
    <w:rsid w:val="00C732C2"/>
    <w:rsid w:val="00C97039"/>
    <w:rsid w:val="00CD4DFC"/>
    <w:rsid w:val="00D21CBF"/>
    <w:rsid w:val="00D3439C"/>
    <w:rsid w:val="00D90149"/>
    <w:rsid w:val="00DB1831"/>
    <w:rsid w:val="00DD3BFD"/>
    <w:rsid w:val="00DF6678"/>
    <w:rsid w:val="00E0299A"/>
    <w:rsid w:val="00E85C74"/>
    <w:rsid w:val="00EA6547"/>
    <w:rsid w:val="00EF2E22"/>
    <w:rsid w:val="00F03122"/>
    <w:rsid w:val="00F35BAF"/>
    <w:rsid w:val="00F44ACC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paragraph" w:customStyle="1" w:styleId="Bullet1GR">
    <w:name w:val="_Bullet 1_GR"/>
    <w:basedOn w:val="Normal"/>
    <w:qFormat/>
    <w:rsid w:val="009E4B15"/>
    <w:pPr>
      <w:numPr>
        <w:numId w:val="17"/>
      </w:numPr>
      <w:suppressAutoHyphens w:val="0"/>
      <w:kinsoku/>
      <w:overflowPunct/>
      <w:autoSpaceDE/>
      <w:autoSpaceDN/>
      <w:adjustRightInd/>
      <w:snapToGrid/>
      <w:spacing w:after="120"/>
      <w:ind w:right="1134"/>
      <w:jc w:val="both"/>
    </w:pPr>
    <w:rPr>
      <w:rFonts w:eastAsia="Times New Roman"/>
      <w:spacing w:val="4"/>
      <w:w w:val="103"/>
      <w:kern w:val="14"/>
      <w:lang w:val="ru-RU" w:eastAsia="ru-RU"/>
    </w:rPr>
  </w:style>
  <w:style w:type="table" w:customStyle="1" w:styleId="TabTxt">
    <w:name w:val="_TabTxt"/>
    <w:basedOn w:val="TableNormal"/>
    <w:rsid w:val="009E4B15"/>
    <w:pPr>
      <w:spacing w:before="40" w:after="120" w:line="240" w:lineRule="atLeast"/>
    </w:pPr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paragraph" w:customStyle="1" w:styleId="Bullet1GR">
    <w:name w:val="_Bullet 1_GR"/>
    <w:basedOn w:val="Normal"/>
    <w:qFormat/>
    <w:rsid w:val="009E4B15"/>
    <w:pPr>
      <w:numPr>
        <w:numId w:val="17"/>
      </w:numPr>
      <w:suppressAutoHyphens w:val="0"/>
      <w:kinsoku/>
      <w:overflowPunct/>
      <w:autoSpaceDE/>
      <w:autoSpaceDN/>
      <w:adjustRightInd/>
      <w:snapToGrid/>
      <w:spacing w:after="120"/>
      <w:ind w:right="1134"/>
      <w:jc w:val="both"/>
    </w:pPr>
    <w:rPr>
      <w:rFonts w:eastAsia="Times New Roman"/>
      <w:spacing w:val="4"/>
      <w:w w:val="103"/>
      <w:kern w:val="14"/>
      <w:lang w:val="ru-RU" w:eastAsia="ru-RU"/>
    </w:rPr>
  </w:style>
  <w:style w:type="table" w:customStyle="1" w:styleId="TabTxt">
    <w:name w:val="_TabTxt"/>
    <w:basedOn w:val="TableNormal"/>
    <w:rsid w:val="009E4B15"/>
    <w:pPr>
      <w:spacing w:before="40" w:after="120" w:line="240" w:lineRule="atLeast"/>
    </w:pPr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ECE/TRANS/WP.29/GRSG/2017/19</vt:lpstr>
      <vt:lpstr>ECE/TRANS/WP.29/GRSG/2017/19</vt:lpstr>
    </vt:vector>
  </TitlesOfParts>
  <Company>DCM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ECE/TRANS/WP.29/GRSG/2017/19</dc:title>
  <dc:creator>Sylvie LAMY</dc:creator>
  <cp:lastModifiedBy>Benedicte Boudol</cp:lastModifiedBy>
  <cp:revision>2</cp:revision>
  <cp:lastPrinted>2017-08-15T06:53:00Z</cp:lastPrinted>
  <dcterms:created xsi:type="dcterms:W3CDTF">2017-08-17T13:08:00Z</dcterms:created>
  <dcterms:modified xsi:type="dcterms:W3CDTF">2017-08-17T13:08:00Z</dcterms:modified>
</cp:coreProperties>
</file>