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691B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691B65" w:rsidP="00691B65">
            <w:pPr>
              <w:jc w:val="right"/>
            </w:pPr>
            <w:r w:rsidRPr="00691B65">
              <w:rPr>
                <w:sz w:val="40"/>
              </w:rPr>
              <w:t>ECE</w:t>
            </w:r>
            <w:r>
              <w:t>/TRANS/WP.29/GRSG/2017/18</w:t>
            </w:r>
          </w:p>
        </w:tc>
      </w:tr>
      <w:tr w:rsidR="002D5AAC" w:rsidRPr="00E86429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691B65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691B65" w:rsidRDefault="00691B65" w:rsidP="00691B6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14 July 2017</w:t>
            </w:r>
          </w:p>
          <w:p w:rsidR="00691B65" w:rsidRDefault="00691B65" w:rsidP="00691B6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691B65" w:rsidRPr="008D53B6" w:rsidRDefault="00691B65" w:rsidP="00691B6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691B65" w:rsidRPr="00D901D7" w:rsidRDefault="00691B65" w:rsidP="00D901D7">
      <w:pPr>
        <w:pStyle w:val="SingleTxtGR"/>
        <w:spacing w:before="120"/>
        <w:ind w:left="0"/>
        <w:jc w:val="left"/>
        <w:rPr>
          <w:sz w:val="28"/>
          <w:szCs w:val="28"/>
        </w:rPr>
      </w:pPr>
      <w:r w:rsidRPr="00D901D7">
        <w:rPr>
          <w:sz w:val="28"/>
          <w:szCs w:val="28"/>
        </w:rPr>
        <w:t>Комитет по внутреннему транспорту</w:t>
      </w:r>
    </w:p>
    <w:p w:rsidR="00691B65" w:rsidRPr="00D901D7" w:rsidRDefault="00691B65" w:rsidP="00D901D7">
      <w:pPr>
        <w:pStyle w:val="SingleTxtGR"/>
        <w:spacing w:after="0"/>
        <w:ind w:left="0"/>
        <w:jc w:val="left"/>
        <w:rPr>
          <w:b/>
          <w:bCs/>
          <w:sz w:val="24"/>
          <w:szCs w:val="24"/>
        </w:rPr>
      </w:pPr>
      <w:r w:rsidRPr="00D901D7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D901D7">
        <w:rPr>
          <w:b/>
          <w:bCs/>
          <w:sz w:val="24"/>
          <w:szCs w:val="24"/>
        </w:rPr>
        <w:br/>
        <w:t>в области транспортных средств</w:t>
      </w:r>
    </w:p>
    <w:p w:rsidR="00691B65" w:rsidRPr="00691B65" w:rsidRDefault="00691B65" w:rsidP="00D901D7">
      <w:pPr>
        <w:pStyle w:val="SingleTxtGR"/>
        <w:spacing w:before="120" w:after="0"/>
        <w:ind w:left="0"/>
        <w:jc w:val="left"/>
        <w:rPr>
          <w:b/>
          <w:bCs/>
        </w:rPr>
      </w:pPr>
      <w:r w:rsidRPr="00691B65">
        <w:rPr>
          <w:b/>
          <w:bCs/>
        </w:rPr>
        <w:t xml:space="preserve">Рабочая группа по общим предписаниям, </w:t>
      </w:r>
      <w:r w:rsidRPr="00691B65">
        <w:rPr>
          <w:b/>
          <w:bCs/>
        </w:rPr>
        <w:br/>
        <w:t>касающимся безопасности</w:t>
      </w:r>
    </w:p>
    <w:p w:rsidR="00691B65" w:rsidRPr="00691B65" w:rsidRDefault="00691B65" w:rsidP="008057F2">
      <w:pPr>
        <w:pStyle w:val="SingleTxtGR"/>
        <w:spacing w:before="120" w:after="0"/>
        <w:ind w:left="0"/>
        <w:jc w:val="left"/>
        <w:rPr>
          <w:b/>
        </w:rPr>
      </w:pPr>
      <w:r w:rsidRPr="00691B65">
        <w:rPr>
          <w:b/>
          <w:bCs/>
        </w:rPr>
        <w:t>113-я сессия</w:t>
      </w:r>
    </w:p>
    <w:p w:rsidR="00691B65" w:rsidRPr="00691B65" w:rsidRDefault="00691B65" w:rsidP="00D901D7">
      <w:pPr>
        <w:pStyle w:val="SingleTxtGR"/>
        <w:spacing w:after="0"/>
        <w:ind w:left="0"/>
        <w:jc w:val="left"/>
      </w:pPr>
      <w:r w:rsidRPr="00691B65">
        <w:t>Женева, 10</w:t>
      </w:r>
      <w:r w:rsidR="008057F2">
        <w:t>–</w:t>
      </w:r>
      <w:r w:rsidRPr="00691B65">
        <w:t>13 октября 2017 года</w:t>
      </w:r>
    </w:p>
    <w:p w:rsidR="00691B65" w:rsidRPr="00691B65" w:rsidRDefault="00691B65" w:rsidP="00D901D7">
      <w:pPr>
        <w:pStyle w:val="SingleTxtGR"/>
        <w:spacing w:after="0"/>
        <w:ind w:left="0"/>
        <w:jc w:val="left"/>
      </w:pPr>
      <w:r w:rsidRPr="00691B65">
        <w:t>Пункт 10 предварительной повестки дня</w:t>
      </w:r>
    </w:p>
    <w:p w:rsidR="00691B65" w:rsidRPr="00691B65" w:rsidRDefault="00691B65" w:rsidP="00D901D7">
      <w:pPr>
        <w:pStyle w:val="SingleTxtGR"/>
        <w:spacing w:after="0"/>
        <w:ind w:left="0"/>
        <w:jc w:val="left"/>
        <w:rPr>
          <w:b/>
          <w:bCs/>
        </w:rPr>
      </w:pPr>
      <w:r w:rsidRPr="00691B65">
        <w:rPr>
          <w:b/>
          <w:bCs/>
        </w:rPr>
        <w:t xml:space="preserve">Правила № 121 (идентификация органов управления, </w:t>
      </w:r>
      <w:r w:rsidR="00D901D7">
        <w:rPr>
          <w:b/>
          <w:bCs/>
        </w:rPr>
        <w:br/>
      </w:r>
      <w:r w:rsidRPr="00691B65">
        <w:rPr>
          <w:b/>
          <w:bCs/>
        </w:rPr>
        <w:t>контрольных сигналов и индикаторов)</w:t>
      </w:r>
    </w:p>
    <w:p w:rsidR="00691B65" w:rsidRPr="00691B65" w:rsidRDefault="00D901D7" w:rsidP="00D901D7">
      <w:pPr>
        <w:pStyle w:val="HChGR"/>
      </w:pPr>
      <w:r>
        <w:tab/>
      </w:r>
      <w:r>
        <w:tab/>
      </w:r>
      <w:r w:rsidR="00691B65" w:rsidRPr="00691B65">
        <w:t>Предложение по дополнению 10 к поправкам первоначальной серии и по дополнению</w:t>
      </w:r>
      <w:r w:rsidR="00F176F1">
        <w:t> </w:t>
      </w:r>
      <w:r w:rsidR="00691B65" w:rsidRPr="00691B65">
        <w:t>2 к</w:t>
      </w:r>
      <w:r>
        <w:t> </w:t>
      </w:r>
      <w:r w:rsidR="00691B65" w:rsidRPr="00691B65">
        <w:t>поправкам серии 01 к Правилам № 121 (идентификация органов управления, контрольных сигналов и индикаторов)</w:t>
      </w:r>
    </w:p>
    <w:p w:rsidR="00691B65" w:rsidRPr="00691B65" w:rsidRDefault="00D901D7" w:rsidP="00D901D7">
      <w:pPr>
        <w:pStyle w:val="H1GR"/>
        <w:rPr>
          <w:vertAlign w:val="superscript"/>
        </w:rPr>
      </w:pPr>
      <w:r>
        <w:rPr>
          <w:bCs/>
        </w:rPr>
        <w:tab/>
      </w:r>
      <w:r>
        <w:rPr>
          <w:bCs/>
        </w:rPr>
        <w:tab/>
      </w:r>
      <w:r w:rsidR="00691B65" w:rsidRPr="00691B65">
        <w:rPr>
          <w:bCs/>
        </w:rPr>
        <w:t xml:space="preserve">Представлено экспертом от </w:t>
      </w:r>
      <w:bookmarkStart w:id="1" w:name="OLE_LINK16"/>
      <w:bookmarkStart w:id="2" w:name="OLE_LINK17"/>
      <w:r w:rsidR="00691B65" w:rsidRPr="00691B65">
        <w:t>Международной организации предприятий автомобильной промышленности</w:t>
      </w:r>
      <w:bookmarkEnd w:id="1"/>
      <w:bookmarkEnd w:id="2"/>
      <w:r w:rsidR="00DA3204" w:rsidRPr="00DA3204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691B65" w:rsidRPr="00691B65" w:rsidRDefault="00D901D7" w:rsidP="00691B65">
      <w:pPr>
        <w:pStyle w:val="SingleTxtGR"/>
      </w:pPr>
      <w:r>
        <w:tab/>
      </w:r>
      <w:r w:rsidR="00691B65" w:rsidRPr="00691B65">
        <w:t>Воспроизведенный ниже текст был подготовлен экспертом от Междун</w:t>
      </w:r>
      <w:r w:rsidR="00691B65" w:rsidRPr="00691B65">
        <w:t>а</w:t>
      </w:r>
      <w:r w:rsidR="00691B65" w:rsidRPr="00691B65">
        <w:t>родной организации предприятий автомобильной промышленности (МОПАП). Он нацелен на уточнение аспектов применения сноски</w:t>
      </w:r>
      <w:r w:rsidR="00D37407">
        <w:t xml:space="preserve"> </w:t>
      </w:r>
      <w:r w:rsidR="00691B65" w:rsidRPr="00D901D7">
        <w:rPr>
          <w:sz w:val="18"/>
          <w:szCs w:val="18"/>
          <w:vertAlign w:val="superscript"/>
        </w:rPr>
        <w:t>18</w:t>
      </w:r>
      <w:r w:rsidR="00691B65" w:rsidRPr="00691B65">
        <w:t xml:space="preserve"> </w:t>
      </w:r>
      <w:r w:rsidR="00691B65" w:rsidRPr="00691B65">
        <w:rPr>
          <w:bCs/>
        </w:rPr>
        <w:t>в том случае, когда контрольные сигналы № 1 и № 19 функционально совмещены</w:t>
      </w:r>
      <w:r w:rsidR="00691B65" w:rsidRPr="00691B65">
        <w:t>. В его основу п</w:t>
      </w:r>
      <w:r w:rsidR="00691B65" w:rsidRPr="00691B65">
        <w:t>о</w:t>
      </w:r>
      <w:r w:rsidR="00691B65" w:rsidRPr="00691B65">
        <w:t xml:space="preserve">ложен неофициальный документ </w:t>
      </w:r>
      <w:r w:rsidR="00691B65" w:rsidRPr="00691B65">
        <w:rPr>
          <w:lang w:val="en-GB"/>
        </w:rPr>
        <w:t>GRSG</w:t>
      </w:r>
      <w:r w:rsidR="00691B65" w:rsidRPr="00691B65">
        <w:t xml:space="preserve">-112-24, распространенный в ходе </w:t>
      </w:r>
      <w:r>
        <w:br/>
      </w:r>
      <w:r w:rsidR="00691B65" w:rsidRPr="00691B65">
        <w:t>112-й сессии Рабочей группы по общим предписаниям, касающимся безопасн</w:t>
      </w:r>
      <w:r w:rsidR="00691B65" w:rsidRPr="00691B65">
        <w:t>о</w:t>
      </w:r>
      <w:r w:rsidR="00691B65" w:rsidRPr="00691B65">
        <w:t>сти (</w:t>
      </w:r>
      <w:r w:rsidR="00691B65" w:rsidRPr="00691B65">
        <w:rPr>
          <w:lang w:val="en-GB"/>
        </w:rPr>
        <w:t>GRSG</w:t>
      </w:r>
      <w:r w:rsidR="00691B65" w:rsidRPr="00691B65">
        <w:t xml:space="preserve">) (см. доклад </w:t>
      </w:r>
      <w:r w:rsidR="00691B65" w:rsidRPr="00691B65">
        <w:rPr>
          <w:lang w:val="en-GB"/>
        </w:rPr>
        <w:t>ECE</w:t>
      </w:r>
      <w:r w:rsidR="00691B65" w:rsidRPr="00691B65">
        <w:t>/</w:t>
      </w:r>
      <w:r w:rsidR="00691B65" w:rsidRPr="00691B65">
        <w:rPr>
          <w:lang w:val="en-GB"/>
        </w:rPr>
        <w:t>TRANS</w:t>
      </w:r>
      <w:r w:rsidR="00691B65" w:rsidRPr="00691B65">
        <w:t>/</w:t>
      </w:r>
      <w:r w:rsidR="00691B65" w:rsidRPr="00691B65">
        <w:rPr>
          <w:lang w:val="en-GB"/>
        </w:rPr>
        <w:t>WP</w:t>
      </w:r>
      <w:r w:rsidR="00691B65" w:rsidRPr="00691B65">
        <w:t>.29/</w:t>
      </w:r>
      <w:r w:rsidR="00691B65" w:rsidRPr="00691B65">
        <w:rPr>
          <w:lang w:val="en-GB"/>
        </w:rPr>
        <w:t>GRSG</w:t>
      </w:r>
      <w:r w:rsidR="00691B65" w:rsidRPr="00691B65">
        <w:t>/91, пункт 39). Изменения к действующему тексту Правил № 121 ООН выделены жирным шрифтом в сл</w:t>
      </w:r>
      <w:r w:rsidR="00691B65" w:rsidRPr="00691B65">
        <w:t>у</w:t>
      </w:r>
      <w:r w:rsidR="00691B65" w:rsidRPr="00691B65">
        <w:t>чае новых положений.</w:t>
      </w:r>
    </w:p>
    <w:p w:rsidR="00691B65" w:rsidRPr="00691B65" w:rsidRDefault="00691B65" w:rsidP="00B22C6F">
      <w:pPr>
        <w:pStyle w:val="HChGR"/>
      </w:pPr>
      <w:r w:rsidRPr="00691B65">
        <w:br w:type="page"/>
      </w:r>
      <w:r w:rsidR="00B22C6F">
        <w:lastRenderedPageBreak/>
        <w:tab/>
      </w:r>
      <w:r w:rsidRPr="00691B65">
        <w:rPr>
          <w:lang w:val="en-GB"/>
        </w:rPr>
        <w:t>I</w:t>
      </w:r>
      <w:r w:rsidRPr="00691B65">
        <w:t>.</w:t>
      </w:r>
      <w:r w:rsidRPr="00691B65">
        <w:tab/>
        <w:t>Предложение</w:t>
      </w:r>
    </w:p>
    <w:p w:rsidR="00691B65" w:rsidRDefault="00691B65" w:rsidP="006436D9">
      <w:pPr>
        <w:pStyle w:val="SingleTxtGR"/>
        <w:rPr>
          <w:rFonts w:eastAsia="MS Mincho"/>
        </w:rPr>
      </w:pPr>
      <w:r w:rsidRPr="006436D9">
        <w:rPr>
          <w:rFonts w:eastAsia="MS Mincho"/>
          <w:i/>
        </w:rPr>
        <w:t>Табл</w:t>
      </w:r>
      <w:r w:rsidR="00FE4F8F">
        <w:rPr>
          <w:rFonts w:eastAsia="MS Mincho"/>
          <w:i/>
        </w:rPr>
        <w:t>.</w:t>
      </w:r>
      <w:r w:rsidRPr="006436D9">
        <w:rPr>
          <w:rFonts w:eastAsia="MS Mincho"/>
          <w:i/>
        </w:rPr>
        <w:t xml:space="preserve"> 1, сноску 18</w:t>
      </w:r>
      <w:r w:rsidRPr="006436D9">
        <w:rPr>
          <w:rFonts w:eastAsia="MS Mincho"/>
        </w:rPr>
        <w:t xml:space="preserve"> изменить следующим образом:</w:t>
      </w:r>
    </w:p>
    <w:p w:rsidR="00E505CD" w:rsidRPr="006436D9" w:rsidRDefault="00E505CD" w:rsidP="00E505CD">
      <w:pPr>
        <w:pStyle w:val="SingleTxtGR"/>
        <w:ind w:left="266"/>
        <w:rPr>
          <w:rFonts w:eastAsia="MS Mincho"/>
        </w:rPr>
      </w:pPr>
      <w:r>
        <w:rPr>
          <w:rFonts w:eastAsia="MS Mincho"/>
        </w:rPr>
        <w:t>«</w:t>
      </w:r>
    </w:p>
    <w:tbl>
      <w:tblPr>
        <w:tblStyle w:val="TabTxt"/>
        <w:tblW w:w="8847" w:type="dxa"/>
        <w:tblInd w:w="29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840"/>
        <w:gridCol w:w="2632"/>
        <w:gridCol w:w="1386"/>
        <w:gridCol w:w="1383"/>
        <w:gridCol w:w="1042"/>
        <w:gridCol w:w="1564"/>
      </w:tblGrid>
      <w:tr w:rsidR="006E4EB4" w:rsidRPr="006E4EB4" w:rsidTr="00FB5454"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65" w:rsidRPr="006E4EB4" w:rsidRDefault="00691B65" w:rsidP="008A225F">
            <w:pPr>
              <w:spacing w:before="80" w:after="80" w:line="200" w:lineRule="exact"/>
              <w:ind w:left="113"/>
              <w:rPr>
                <w:i/>
                <w:szCs w:val="20"/>
              </w:rPr>
            </w:pPr>
            <w:r w:rsidRPr="006E4EB4">
              <w:rPr>
                <w:i/>
                <w:szCs w:val="20"/>
              </w:rPr>
              <w:t xml:space="preserve">№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65" w:rsidRPr="006E4EB4" w:rsidRDefault="00691B65" w:rsidP="008A225F">
            <w:pPr>
              <w:spacing w:before="80" w:after="80" w:line="200" w:lineRule="exact"/>
              <w:ind w:left="113"/>
              <w:rPr>
                <w:i/>
                <w:szCs w:val="20"/>
              </w:rPr>
            </w:pPr>
            <w:r w:rsidRPr="006E4EB4">
              <w:rPr>
                <w:i/>
                <w:szCs w:val="20"/>
              </w:rPr>
              <w:t xml:space="preserve">Колонка 1 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65" w:rsidRPr="006E4EB4" w:rsidRDefault="00691B65" w:rsidP="005B4BE5">
            <w:pPr>
              <w:spacing w:before="80" w:after="80" w:line="200" w:lineRule="exact"/>
              <w:ind w:left="57"/>
              <w:rPr>
                <w:i/>
                <w:szCs w:val="20"/>
              </w:rPr>
            </w:pPr>
            <w:r w:rsidRPr="006E4EB4">
              <w:rPr>
                <w:i/>
                <w:szCs w:val="20"/>
              </w:rPr>
              <w:t xml:space="preserve">Колонка 2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65" w:rsidRPr="006E4EB4" w:rsidRDefault="00691B65" w:rsidP="005B4BE5">
            <w:pPr>
              <w:spacing w:before="80" w:after="80" w:line="200" w:lineRule="exact"/>
              <w:ind w:left="57"/>
              <w:rPr>
                <w:i/>
                <w:szCs w:val="20"/>
              </w:rPr>
            </w:pPr>
            <w:r w:rsidRPr="006E4EB4">
              <w:rPr>
                <w:i/>
                <w:szCs w:val="20"/>
              </w:rPr>
              <w:t xml:space="preserve">Колонка 3 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65" w:rsidRPr="006E4EB4" w:rsidRDefault="00691B65" w:rsidP="005B4BE5">
            <w:pPr>
              <w:spacing w:before="80" w:after="80" w:line="200" w:lineRule="exact"/>
              <w:ind w:left="57"/>
              <w:rPr>
                <w:i/>
                <w:szCs w:val="20"/>
              </w:rPr>
            </w:pPr>
            <w:r w:rsidRPr="006E4EB4">
              <w:rPr>
                <w:i/>
                <w:szCs w:val="20"/>
              </w:rPr>
              <w:t xml:space="preserve">Колонка 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65" w:rsidRPr="006E4EB4" w:rsidRDefault="00691B65" w:rsidP="005B4BE5">
            <w:pPr>
              <w:spacing w:before="80" w:after="80" w:line="200" w:lineRule="exact"/>
              <w:ind w:left="57"/>
              <w:rPr>
                <w:i/>
                <w:szCs w:val="20"/>
              </w:rPr>
            </w:pPr>
            <w:r w:rsidRPr="006E4EB4">
              <w:rPr>
                <w:i/>
                <w:szCs w:val="20"/>
              </w:rPr>
              <w:t xml:space="preserve">Колонка 5 </w:t>
            </w:r>
          </w:p>
        </w:tc>
      </w:tr>
      <w:tr w:rsidR="001D7756" w:rsidRPr="006E4EB4" w:rsidTr="001D7756">
        <w:tc>
          <w:tcPr>
            <w:tcW w:w="8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1B65" w:rsidRPr="006E4EB4" w:rsidRDefault="00691B65" w:rsidP="008A225F">
            <w:pPr>
              <w:spacing w:before="80" w:after="80" w:line="200" w:lineRule="exact"/>
              <w:ind w:left="113"/>
              <w:rPr>
                <w:i/>
                <w:sz w:val="18"/>
                <w:szCs w:val="18"/>
              </w:rPr>
            </w:pPr>
          </w:p>
        </w:tc>
        <w:tc>
          <w:tcPr>
            <w:tcW w:w="263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1B65" w:rsidRPr="006E4EB4" w:rsidRDefault="00691B65" w:rsidP="008A225F">
            <w:pPr>
              <w:spacing w:before="80" w:after="80" w:line="200" w:lineRule="exact"/>
              <w:ind w:left="113"/>
              <w:rPr>
                <w:i/>
                <w:sz w:val="18"/>
                <w:szCs w:val="18"/>
              </w:rPr>
            </w:pPr>
            <w:r w:rsidRPr="006E4EB4">
              <w:rPr>
                <w:i/>
                <w:sz w:val="18"/>
                <w:szCs w:val="18"/>
              </w:rPr>
              <w:t xml:space="preserve">Сигнал 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1B65" w:rsidRPr="006E4EB4" w:rsidRDefault="00691B65" w:rsidP="005B4BE5">
            <w:pPr>
              <w:spacing w:before="80" w:after="80" w:line="200" w:lineRule="exact"/>
              <w:ind w:left="57"/>
              <w:rPr>
                <w:i/>
                <w:sz w:val="18"/>
                <w:szCs w:val="18"/>
              </w:rPr>
            </w:pPr>
            <w:r w:rsidRPr="006E4EB4">
              <w:rPr>
                <w:i/>
                <w:sz w:val="18"/>
                <w:szCs w:val="18"/>
              </w:rPr>
              <w:t xml:space="preserve">Условное </w:t>
            </w:r>
            <w:r w:rsidR="00964C0E">
              <w:rPr>
                <w:i/>
                <w:sz w:val="18"/>
                <w:szCs w:val="18"/>
              </w:rPr>
              <w:br/>
            </w:r>
            <w:r w:rsidRPr="006E4EB4">
              <w:rPr>
                <w:i/>
                <w:sz w:val="18"/>
                <w:szCs w:val="18"/>
              </w:rPr>
              <w:t>обозначение</w:t>
            </w:r>
            <w:r w:rsidRPr="006E4EB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1B65" w:rsidRPr="006E4EB4" w:rsidRDefault="00691B65" w:rsidP="005B4BE5">
            <w:pPr>
              <w:spacing w:before="80" w:after="80" w:line="200" w:lineRule="exact"/>
              <w:ind w:left="57"/>
              <w:rPr>
                <w:i/>
                <w:sz w:val="18"/>
                <w:szCs w:val="18"/>
              </w:rPr>
            </w:pPr>
            <w:r w:rsidRPr="006E4EB4">
              <w:rPr>
                <w:i/>
                <w:sz w:val="18"/>
                <w:szCs w:val="18"/>
              </w:rPr>
              <w:t xml:space="preserve">Функция </w:t>
            </w:r>
          </w:p>
        </w:tc>
        <w:tc>
          <w:tcPr>
            <w:tcW w:w="10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1B65" w:rsidRPr="006E4EB4" w:rsidRDefault="00691B65" w:rsidP="005B4BE5">
            <w:pPr>
              <w:spacing w:before="80" w:after="80" w:line="200" w:lineRule="exact"/>
              <w:ind w:left="57"/>
              <w:rPr>
                <w:i/>
                <w:sz w:val="18"/>
                <w:szCs w:val="18"/>
              </w:rPr>
            </w:pPr>
            <w:r w:rsidRPr="006E4EB4">
              <w:rPr>
                <w:i/>
                <w:sz w:val="18"/>
                <w:szCs w:val="18"/>
              </w:rPr>
              <w:t xml:space="preserve">Освещение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1B65" w:rsidRPr="006E4EB4" w:rsidRDefault="00691B65" w:rsidP="005B4BE5">
            <w:pPr>
              <w:spacing w:before="80" w:after="80" w:line="200" w:lineRule="exact"/>
              <w:ind w:left="57"/>
              <w:rPr>
                <w:i/>
                <w:sz w:val="18"/>
                <w:szCs w:val="18"/>
              </w:rPr>
            </w:pPr>
            <w:r w:rsidRPr="006E4EB4">
              <w:rPr>
                <w:i/>
                <w:sz w:val="18"/>
                <w:szCs w:val="18"/>
              </w:rPr>
              <w:t xml:space="preserve">Цвет </w:t>
            </w:r>
          </w:p>
        </w:tc>
      </w:tr>
      <w:tr w:rsidR="00691B65" w:rsidRPr="00691B65" w:rsidTr="006E4EB4"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91B65" w:rsidRPr="00691B65" w:rsidRDefault="00691B65" w:rsidP="008A225F">
            <w:pPr>
              <w:ind w:left="113"/>
            </w:pPr>
            <w:r w:rsidRPr="00691B65">
              <w:t>1.</w:t>
            </w:r>
          </w:p>
        </w:tc>
        <w:tc>
          <w:tcPr>
            <w:tcW w:w="2632" w:type="dxa"/>
            <w:vMerge w:val="restart"/>
            <w:tcBorders>
              <w:top w:val="single" w:sz="12" w:space="0" w:color="auto"/>
            </w:tcBorders>
          </w:tcPr>
          <w:p w:rsidR="00691B65" w:rsidRPr="00691B65" w:rsidRDefault="00691B65" w:rsidP="008A225F">
            <w:pPr>
              <w:ind w:left="113"/>
            </w:pPr>
            <w:r w:rsidRPr="00691B65">
              <w:t>Общий переключатель освещения</w:t>
            </w:r>
          </w:p>
          <w:p w:rsidR="00691B65" w:rsidRPr="00691B65" w:rsidRDefault="00691B65" w:rsidP="008A225F">
            <w:pPr>
              <w:ind w:left="113"/>
            </w:pPr>
            <w:r w:rsidRPr="00691B65">
              <w:t>Контрольный сигнал не</w:t>
            </w:r>
            <w:r w:rsidR="006C3F71">
              <w:t> </w:t>
            </w:r>
            <w:r w:rsidRPr="00691B65">
              <w:t xml:space="preserve">может использоваться как контрольный сигнал боковых габаритных </w:t>
            </w:r>
            <w:r w:rsidR="006C3F71">
              <w:br/>
            </w:r>
            <w:r w:rsidRPr="00691B65">
              <w:t>фонарей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</w:tcBorders>
          </w:tcPr>
          <w:p w:rsidR="00691B65" w:rsidRPr="00691B65" w:rsidRDefault="00691B65" w:rsidP="00691B65">
            <w:pPr>
              <w:jc w:val="center"/>
            </w:pPr>
            <w:r w:rsidRPr="00691B65">
              <w:rPr>
                <w:noProof/>
                <w:lang w:val="en-GB" w:eastAsia="en-GB"/>
              </w:rPr>
              <w:drawing>
                <wp:inline distT="0" distB="0" distL="0" distR="0" wp14:anchorId="5F70A1F7" wp14:editId="7F026C06">
                  <wp:extent cx="263525" cy="249555"/>
                  <wp:effectExtent l="0" t="0" r="3175" b="0"/>
                  <wp:docPr id="7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DB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Орган упра</w:t>
            </w:r>
            <w:r w:rsidRPr="00691B65">
              <w:t>в</w:t>
            </w:r>
            <w:r w:rsidRPr="00691B65">
              <w:t>ления</w:t>
            </w:r>
          </w:p>
        </w:tc>
        <w:tc>
          <w:tcPr>
            <w:tcW w:w="1042" w:type="dxa"/>
            <w:tcBorders>
              <w:top w:val="single" w:sz="12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Нет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1B65" w:rsidRPr="00691B65" w:rsidRDefault="00691B65" w:rsidP="00691B65">
            <w:pPr>
              <w:ind w:left="57"/>
            </w:pPr>
          </w:p>
        </w:tc>
      </w:tr>
      <w:tr w:rsidR="00691B65" w:rsidRPr="00691B65" w:rsidTr="006E4EB4">
        <w:tc>
          <w:tcPr>
            <w:tcW w:w="840" w:type="dxa"/>
            <w:vMerge/>
          </w:tcPr>
          <w:p w:rsidR="00691B65" w:rsidRPr="00691B65" w:rsidRDefault="00691B65" w:rsidP="008A225F">
            <w:pPr>
              <w:ind w:left="113"/>
            </w:pPr>
          </w:p>
        </w:tc>
        <w:tc>
          <w:tcPr>
            <w:tcW w:w="2632" w:type="dxa"/>
            <w:vMerge/>
          </w:tcPr>
          <w:p w:rsidR="00691B65" w:rsidRPr="00691B65" w:rsidRDefault="00691B65" w:rsidP="008A225F">
            <w:pPr>
              <w:ind w:left="113"/>
            </w:pPr>
          </w:p>
        </w:tc>
        <w:tc>
          <w:tcPr>
            <w:tcW w:w="1386" w:type="dxa"/>
            <w:vMerge/>
          </w:tcPr>
          <w:p w:rsidR="00691B65" w:rsidRPr="00691B65" w:rsidRDefault="00691B65" w:rsidP="00691B65"/>
        </w:tc>
        <w:tc>
          <w:tcPr>
            <w:tcW w:w="1383" w:type="dxa"/>
          </w:tcPr>
          <w:p w:rsidR="00691B65" w:rsidRPr="00691B65" w:rsidRDefault="00691B65" w:rsidP="008E67E6">
            <w:pPr>
              <w:ind w:left="57"/>
            </w:pPr>
            <w:r w:rsidRPr="00691B65">
              <w:t>Контрольный сигнал</w:t>
            </w:r>
            <w:r w:rsidRPr="008E67E6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042" w:type="dxa"/>
          </w:tcPr>
          <w:p w:rsidR="00691B65" w:rsidRPr="00691B65" w:rsidRDefault="00691B65" w:rsidP="00691B65">
            <w:pPr>
              <w:ind w:left="57"/>
            </w:pPr>
            <w:r w:rsidRPr="00691B65">
              <w:t xml:space="preserve">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Зеленый</w:t>
            </w:r>
          </w:p>
        </w:tc>
      </w:tr>
      <w:tr w:rsidR="00691B65" w:rsidRPr="00691B65" w:rsidTr="006E4EB4">
        <w:tc>
          <w:tcPr>
            <w:tcW w:w="840" w:type="dxa"/>
            <w:vMerge w:val="restart"/>
          </w:tcPr>
          <w:p w:rsidR="00691B65" w:rsidRPr="00691B65" w:rsidRDefault="00691B65" w:rsidP="008A225F">
            <w:pPr>
              <w:ind w:left="113"/>
            </w:pPr>
            <w:r w:rsidRPr="00691B65">
              <w:t>2.</w:t>
            </w:r>
          </w:p>
        </w:tc>
        <w:tc>
          <w:tcPr>
            <w:tcW w:w="2632" w:type="dxa"/>
            <w:vMerge w:val="restart"/>
          </w:tcPr>
          <w:p w:rsidR="00691B65" w:rsidRPr="00691B65" w:rsidRDefault="00691B65" w:rsidP="008A225F">
            <w:pPr>
              <w:ind w:left="113"/>
            </w:pPr>
            <w:r w:rsidRPr="00691B65">
              <w:t xml:space="preserve">Ближний свет </w:t>
            </w:r>
          </w:p>
          <w:p w:rsidR="00691B65" w:rsidRPr="00691B65" w:rsidRDefault="00691B65" w:rsidP="008A225F">
            <w:pPr>
              <w:ind w:left="113"/>
            </w:pPr>
          </w:p>
        </w:tc>
        <w:tc>
          <w:tcPr>
            <w:tcW w:w="1386" w:type="dxa"/>
            <w:vMerge w:val="restart"/>
          </w:tcPr>
          <w:p w:rsidR="00691B65" w:rsidRPr="00691B65" w:rsidRDefault="00691B65" w:rsidP="00E42695">
            <w:pPr>
              <w:spacing w:before="400"/>
              <w:ind w:left="113"/>
            </w:pPr>
            <w:r w:rsidRPr="00691B65">
              <w:rPr>
                <w:noProof/>
                <w:lang w:val="en-GB" w:eastAsia="en-GB"/>
              </w:rPr>
              <w:drawing>
                <wp:inline distT="0" distB="0" distL="0" distR="0" wp14:anchorId="67055C77" wp14:editId="53B929E8">
                  <wp:extent cx="325755" cy="283845"/>
                  <wp:effectExtent l="0" t="0" r="0" b="1905"/>
                  <wp:docPr id="8" name="Image 43" descr="Low b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Low b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DB4">
              <w:rPr>
                <w:sz w:val="18"/>
                <w:szCs w:val="18"/>
                <w:vertAlign w:val="superscript"/>
              </w:rPr>
              <w:t>1, 6, 13, 18</w:t>
            </w:r>
          </w:p>
        </w:tc>
        <w:tc>
          <w:tcPr>
            <w:tcW w:w="1383" w:type="dxa"/>
          </w:tcPr>
          <w:p w:rsidR="00691B65" w:rsidRPr="00691B65" w:rsidRDefault="00691B65" w:rsidP="00691B65">
            <w:pPr>
              <w:ind w:left="57"/>
            </w:pPr>
            <w:r w:rsidRPr="00691B65">
              <w:t xml:space="preserve">Орган </w:t>
            </w:r>
            <w:r w:rsidR="006C3F71">
              <w:br/>
            </w:r>
            <w:r w:rsidRPr="00691B65">
              <w:t>управления</w:t>
            </w:r>
          </w:p>
        </w:tc>
        <w:tc>
          <w:tcPr>
            <w:tcW w:w="1042" w:type="dxa"/>
          </w:tcPr>
          <w:p w:rsidR="00691B65" w:rsidRPr="00691B65" w:rsidRDefault="00691B65" w:rsidP="00691B65">
            <w:pPr>
              <w:ind w:left="57"/>
            </w:pPr>
            <w:r w:rsidRPr="00691B65">
              <w:t>Нет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1B65" w:rsidRPr="00691B65" w:rsidRDefault="00691B65" w:rsidP="00691B65">
            <w:pPr>
              <w:ind w:left="57"/>
            </w:pPr>
          </w:p>
        </w:tc>
      </w:tr>
      <w:tr w:rsidR="00691B65" w:rsidRPr="00691B65" w:rsidTr="006E4EB4">
        <w:tc>
          <w:tcPr>
            <w:tcW w:w="840" w:type="dxa"/>
            <w:vMerge/>
          </w:tcPr>
          <w:p w:rsidR="00691B65" w:rsidRPr="00691B65" w:rsidRDefault="00691B65" w:rsidP="008A225F">
            <w:pPr>
              <w:ind w:left="113"/>
            </w:pPr>
          </w:p>
        </w:tc>
        <w:tc>
          <w:tcPr>
            <w:tcW w:w="2632" w:type="dxa"/>
            <w:vMerge/>
          </w:tcPr>
          <w:p w:rsidR="00691B65" w:rsidRPr="00691B65" w:rsidRDefault="00691B65" w:rsidP="008A225F">
            <w:pPr>
              <w:ind w:left="113"/>
            </w:pPr>
          </w:p>
        </w:tc>
        <w:tc>
          <w:tcPr>
            <w:tcW w:w="1386" w:type="dxa"/>
            <w:vMerge/>
          </w:tcPr>
          <w:p w:rsidR="00691B65" w:rsidRPr="00691B65" w:rsidRDefault="00691B65" w:rsidP="00691B65"/>
        </w:tc>
        <w:tc>
          <w:tcPr>
            <w:tcW w:w="1383" w:type="dxa"/>
          </w:tcPr>
          <w:p w:rsidR="00691B65" w:rsidRPr="00691B65" w:rsidRDefault="00691B65" w:rsidP="00691B65">
            <w:pPr>
              <w:ind w:left="57"/>
            </w:pPr>
            <w:r w:rsidRPr="00691B65">
              <w:t>Контрольный сигнал</w:t>
            </w:r>
          </w:p>
        </w:tc>
        <w:tc>
          <w:tcPr>
            <w:tcW w:w="1042" w:type="dxa"/>
          </w:tcPr>
          <w:p w:rsidR="00691B65" w:rsidRPr="00691B65" w:rsidRDefault="00691B65" w:rsidP="00691B65">
            <w:pPr>
              <w:ind w:left="57"/>
            </w:pPr>
            <w:r w:rsidRPr="00691B65">
              <w:t>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Зеленый</w:t>
            </w:r>
          </w:p>
        </w:tc>
      </w:tr>
      <w:tr w:rsidR="00691B65" w:rsidRPr="00691B65" w:rsidTr="006E4EB4">
        <w:tc>
          <w:tcPr>
            <w:tcW w:w="840" w:type="dxa"/>
          </w:tcPr>
          <w:p w:rsidR="00691B65" w:rsidRPr="00691B65" w:rsidRDefault="00691B65" w:rsidP="008A225F">
            <w:pPr>
              <w:ind w:left="113"/>
            </w:pPr>
            <w:r w:rsidRPr="00691B65">
              <w:t>…</w:t>
            </w:r>
          </w:p>
        </w:tc>
        <w:tc>
          <w:tcPr>
            <w:tcW w:w="2632" w:type="dxa"/>
          </w:tcPr>
          <w:p w:rsidR="00691B65" w:rsidRPr="00691B65" w:rsidRDefault="00691B65" w:rsidP="008A225F">
            <w:pPr>
              <w:ind w:left="113"/>
            </w:pPr>
            <w:r w:rsidRPr="00691B65">
              <w:t>…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691B65" w:rsidRPr="00691B65" w:rsidRDefault="00691B65" w:rsidP="00691B65">
            <w:r w:rsidRPr="00691B65">
              <w:t>…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…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…</w:t>
            </w:r>
          </w:p>
        </w:tc>
      </w:tr>
      <w:tr w:rsidR="00ED1DB4" w:rsidRPr="00691B65" w:rsidTr="006E4EB4">
        <w:tc>
          <w:tcPr>
            <w:tcW w:w="840" w:type="dxa"/>
            <w:vMerge w:val="restart"/>
          </w:tcPr>
          <w:p w:rsidR="00691B65" w:rsidRPr="00691B65" w:rsidRDefault="00691B65" w:rsidP="008A225F">
            <w:pPr>
              <w:ind w:left="113"/>
            </w:pPr>
            <w:r w:rsidRPr="00691B65">
              <w:t>19.</w:t>
            </w:r>
          </w:p>
        </w:tc>
        <w:tc>
          <w:tcPr>
            <w:tcW w:w="2632" w:type="dxa"/>
            <w:vMerge w:val="restart"/>
            <w:tcBorders>
              <w:right w:val="single" w:sz="4" w:space="0" w:color="auto"/>
            </w:tcBorders>
          </w:tcPr>
          <w:p w:rsidR="00691B65" w:rsidRPr="00691B65" w:rsidRDefault="00691B65" w:rsidP="008A225F">
            <w:pPr>
              <w:ind w:left="113"/>
            </w:pPr>
            <w:r w:rsidRPr="00691B65">
              <w:t xml:space="preserve">Передние габаритные </w:t>
            </w:r>
            <w:r w:rsidR="008A225F">
              <w:br/>
            </w:r>
            <w:r w:rsidRPr="00691B65">
              <w:t xml:space="preserve">огни, боковые габаритные огни и/или контурные </w:t>
            </w:r>
            <w:r w:rsidR="008A225F">
              <w:br/>
            </w:r>
            <w:r w:rsidRPr="00691B65">
              <w:t xml:space="preserve">огни </w:t>
            </w:r>
          </w:p>
          <w:p w:rsidR="00691B65" w:rsidRPr="00691B65" w:rsidRDefault="00691B65" w:rsidP="008A225F">
            <w:pPr>
              <w:ind w:left="113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B65" w:rsidRPr="00691B65" w:rsidRDefault="00691B65" w:rsidP="00E42695">
            <w:pPr>
              <w:ind w:left="113"/>
            </w:pPr>
            <w:r w:rsidRPr="00691B65">
              <w:rPr>
                <w:noProof/>
                <w:lang w:val="en-GB" w:eastAsia="en-GB"/>
              </w:rPr>
              <w:drawing>
                <wp:inline distT="0" distB="0" distL="0" distR="0" wp14:anchorId="5CF5B7E7" wp14:editId="599D09AF">
                  <wp:extent cx="422275" cy="249555"/>
                  <wp:effectExtent l="0" t="0" r="0" b="0"/>
                  <wp:docPr id="4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6F1">
              <w:rPr>
                <w:sz w:val="18"/>
                <w:szCs w:val="18"/>
                <w:vertAlign w:val="superscript"/>
              </w:rPr>
              <w:t xml:space="preserve"> </w:t>
            </w:r>
            <w:r w:rsidRPr="00ED1DB4">
              <w:rPr>
                <w:sz w:val="18"/>
                <w:szCs w:val="18"/>
                <w:vertAlign w:val="superscript"/>
              </w:rPr>
              <w:t>1, 6, 18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 xml:space="preserve">Орган </w:t>
            </w:r>
            <w:r w:rsidR="00107A19">
              <w:br/>
            </w:r>
            <w:r w:rsidRPr="00691B65">
              <w:t>управления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Нет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5" w:rsidRPr="00691B65" w:rsidRDefault="00691B65" w:rsidP="00691B65">
            <w:pPr>
              <w:ind w:left="57"/>
            </w:pPr>
          </w:p>
        </w:tc>
      </w:tr>
      <w:tr w:rsidR="00ED1DB4" w:rsidRPr="00691B65" w:rsidTr="006E4EB4">
        <w:tc>
          <w:tcPr>
            <w:tcW w:w="840" w:type="dxa"/>
            <w:vMerge/>
          </w:tcPr>
          <w:p w:rsidR="00691B65" w:rsidRPr="00691B65" w:rsidRDefault="00691B65" w:rsidP="008A225F">
            <w:pPr>
              <w:ind w:left="113"/>
            </w:pPr>
          </w:p>
        </w:tc>
        <w:tc>
          <w:tcPr>
            <w:tcW w:w="2632" w:type="dxa"/>
            <w:vMerge/>
            <w:tcBorders>
              <w:right w:val="single" w:sz="4" w:space="0" w:color="auto"/>
            </w:tcBorders>
          </w:tcPr>
          <w:p w:rsidR="00691B65" w:rsidRPr="00691B65" w:rsidRDefault="00691B65" w:rsidP="008A225F">
            <w:pPr>
              <w:ind w:left="113"/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5" w:rsidRPr="00691B65" w:rsidRDefault="00691B65" w:rsidP="00691B65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5" w:rsidRPr="00691B65" w:rsidRDefault="00691B65" w:rsidP="008E67E6">
            <w:pPr>
              <w:ind w:left="57"/>
            </w:pPr>
            <w:r w:rsidRPr="00691B65">
              <w:t>Контрольный сигнал</w:t>
            </w:r>
            <w:r w:rsidRPr="008E67E6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5" w:rsidRPr="00691B65" w:rsidRDefault="00691B65" w:rsidP="008E67E6">
            <w:pPr>
              <w:ind w:left="57"/>
            </w:pPr>
            <w:r w:rsidRPr="00691B65">
              <w:t>Да</w:t>
            </w:r>
            <w:r w:rsidRPr="008E67E6">
              <w:rPr>
                <w:sz w:val="18"/>
                <w:szCs w:val="18"/>
                <w:vertAlign w:val="superscript"/>
              </w:rPr>
              <w:t>6</w:t>
            </w:r>
            <w:r w:rsidRPr="00691B65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Зеленый</w:t>
            </w:r>
          </w:p>
        </w:tc>
      </w:tr>
      <w:tr w:rsidR="00691B65" w:rsidRPr="00691B65" w:rsidTr="00B22C6F">
        <w:tc>
          <w:tcPr>
            <w:tcW w:w="840" w:type="dxa"/>
            <w:tcBorders>
              <w:bottom w:val="single" w:sz="12" w:space="0" w:color="auto"/>
            </w:tcBorders>
          </w:tcPr>
          <w:p w:rsidR="00691B65" w:rsidRPr="00691B65" w:rsidRDefault="00691B65" w:rsidP="008A225F">
            <w:pPr>
              <w:ind w:left="113"/>
            </w:pPr>
            <w:r w:rsidRPr="00691B65">
              <w:t>…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691B65" w:rsidRPr="00691B65" w:rsidRDefault="00691B65" w:rsidP="008A225F">
            <w:pPr>
              <w:ind w:left="113"/>
            </w:pPr>
            <w:r w:rsidRPr="00691B65">
              <w:t>…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691B65" w:rsidRPr="00691B65" w:rsidRDefault="00691B65" w:rsidP="00691B65">
            <w:r w:rsidRPr="00691B65">
              <w:t>…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12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…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12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4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91B65" w:rsidRPr="00691B65" w:rsidRDefault="00691B65" w:rsidP="00691B65">
            <w:pPr>
              <w:ind w:left="57"/>
            </w:pPr>
            <w:r w:rsidRPr="00691B65">
              <w:t>…</w:t>
            </w:r>
          </w:p>
        </w:tc>
      </w:tr>
    </w:tbl>
    <w:p w:rsidR="004C5284" w:rsidRPr="004C5284" w:rsidRDefault="004C5284" w:rsidP="004151D1">
      <w:pPr>
        <w:pStyle w:val="SingleTxtGR"/>
        <w:suppressAutoHyphens/>
        <w:spacing w:before="120" w:after="0" w:line="220" w:lineRule="exact"/>
        <w:ind w:left="1503" w:hanging="301"/>
        <w:jc w:val="left"/>
        <w:rPr>
          <w:sz w:val="18"/>
          <w:szCs w:val="18"/>
        </w:rPr>
      </w:pPr>
      <w:r w:rsidRPr="004C5284">
        <w:rPr>
          <w:sz w:val="18"/>
          <w:szCs w:val="18"/>
          <w:vertAlign w:val="superscript"/>
        </w:rPr>
        <w:t>1</w:t>
      </w:r>
      <w:r w:rsidRPr="004C5284">
        <w:rPr>
          <w:sz w:val="18"/>
          <w:szCs w:val="18"/>
          <w:vertAlign w:val="superscript"/>
        </w:rPr>
        <w:tab/>
      </w:r>
      <w:r w:rsidRPr="004C5284">
        <w:rPr>
          <w:sz w:val="18"/>
          <w:szCs w:val="18"/>
        </w:rPr>
        <w:t>Для данного условного обозначения может быть предусмотрена отдельная позиция.</w:t>
      </w:r>
    </w:p>
    <w:p w:rsidR="004C5284" w:rsidRPr="004C5284" w:rsidRDefault="004C5284" w:rsidP="004C5284">
      <w:pPr>
        <w:pStyle w:val="SingleTxtGR"/>
        <w:suppressAutoHyphens/>
        <w:spacing w:after="0" w:line="220" w:lineRule="exact"/>
        <w:ind w:left="1503" w:hanging="301"/>
        <w:jc w:val="left"/>
        <w:rPr>
          <w:sz w:val="18"/>
          <w:szCs w:val="18"/>
        </w:rPr>
      </w:pPr>
      <w:r w:rsidRPr="004C5284">
        <w:rPr>
          <w:sz w:val="18"/>
          <w:szCs w:val="18"/>
        </w:rPr>
        <w:t>…</w:t>
      </w:r>
    </w:p>
    <w:p w:rsidR="004C5284" w:rsidRPr="004C5284" w:rsidRDefault="004C5284" w:rsidP="004C5284">
      <w:pPr>
        <w:pStyle w:val="SingleTxtGR"/>
        <w:suppressAutoHyphens/>
        <w:spacing w:after="0" w:line="220" w:lineRule="exact"/>
        <w:ind w:left="1503" w:hanging="301"/>
        <w:jc w:val="left"/>
        <w:rPr>
          <w:sz w:val="18"/>
          <w:szCs w:val="18"/>
        </w:rPr>
      </w:pPr>
      <w:r w:rsidRPr="004C5284">
        <w:rPr>
          <w:sz w:val="18"/>
          <w:szCs w:val="18"/>
          <w:vertAlign w:val="superscript"/>
        </w:rPr>
        <w:t>6</w:t>
      </w:r>
      <w:r w:rsidRPr="004C5284">
        <w:rPr>
          <w:sz w:val="18"/>
          <w:szCs w:val="18"/>
          <w:vertAlign w:val="superscript"/>
        </w:rPr>
        <w:tab/>
      </w:r>
      <w:r w:rsidRPr="004C5284">
        <w:rPr>
          <w:sz w:val="18"/>
          <w:szCs w:val="18"/>
        </w:rPr>
        <w:t>Отдельное опознавательное обозначение не требуется, если данный сигнал функционально совмещен с сигналом общего переключателя освещения.</w:t>
      </w:r>
    </w:p>
    <w:p w:rsidR="004C5284" w:rsidRPr="004C5284" w:rsidRDefault="004C5284" w:rsidP="004C5284">
      <w:pPr>
        <w:pStyle w:val="SingleTxtGR"/>
        <w:suppressAutoHyphens/>
        <w:spacing w:after="0" w:line="220" w:lineRule="exact"/>
        <w:ind w:left="1503" w:hanging="301"/>
        <w:jc w:val="left"/>
        <w:rPr>
          <w:sz w:val="18"/>
          <w:szCs w:val="18"/>
        </w:rPr>
      </w:pPr>
      <w:r w:rsidRPr="004C5284">
        <w:rPr>
          <w:sz w:val="18"/>
          <w:szCs w:val="18"/>
        </w:rPr>
        <w:t>…</w:t>
      </w:r>
    </w:p>
    <w:p w:rsidR="004C5284" w:rsidRPr="004C5284" w:rsidRDefault="004C5284" w:rsidP="004C5284">
      <w:pPr>
        <w:pStyle w:val="SingleTxtGR"/>
        <w:suppressAutoHyphens/>
        <w:spacing w:after="0" w:line="220" w:lineRule="exact"/>
        <w:ind w:left="1503" w:hanging="301"/>
        <w:jc w:val="left"/>
        <w:rPr>
          <w:sz w:val="18"/>
          <w:szCs w:val="18"/>
        </w:rPr>
      </w:pPr>
      <w:r w:rsidRPr="004C5284">
        <w:rPr>
          <w:sz w:val="18"/>
          <w:szCs w:val="18"/>
          <w:vertAlign w:val="superscript"/>
        </w:rPr>
        <w:t>12</w:t>
      </w:r>
      <w:r w:rsidRPr="004C5284">
        <w:rPr>
          <w:sz w:val="18"/>
          <w:szCs w:val="18"/>
          <w:vertAlign w:val="superscript"/>
        </w:rPr>
        <w:tab/>
      </w:r>
      <w:r w:rsidRPr="004C5284">
        <w:rPr>
          <w:sz w:val="18"/>
          <w:szCs w:val="18"/>
        </w:rPr>
        <w:t>Не требуется, если освещение приборной панели включается автоматически при приведении в действие общего выключателя освещения.</w:t>
      </w:r>
    </w:p>
    <w:p w:rsidR="004C5284" w:rsidRPr="004C5284" w:rsidRDefault="004C5284" w:rsidP="004C5284">
      <w:pPr>
        <w:pStyle w:val="SingleTxtGR"/>
        <w:suppressAutoHyphens/>
        <w:spacing w:after="0" w:line="220" w:lineRule="exact"/>
        <w:ind w:left="1503" w:hanging="301"/>
        <w:jc w:val="left"/>
        <w:rPr>
          <w:sz w:val="18"/>
          <w:szCs w:val="18"/>
        </w:rPr>
      </w:pPr>
      <w:r w:rsidRPr="004C5284">
        <w:rPr>
          <w:sz w:val="18"/>
          <w:szCs w:val="18"/>
        </w:rPr>
        <w:t>…</w:t>
      </w:r>
    </w:p>
    <w:p w:rsidR="004C5284" w:rsidRPr="004C5284" w:rsidRDefault="004C5284" w:rsidP="004C5284">
      <w:pPr>
        <w:pStyle w:val="SingleTxtGR"/>
        <w:suppressAutoHyphens/>
        <w:spacing w:after="0" w:line="220" w:lineRule="exact"/>
        <w:ind w:left="1503" w:hanging="301"/>
        <w:jc w:val="left"/>
        <w:rPr>
          <w:sz w:val="18"/>
          <w:szCs w:val="18"/>
        </w:rPr>
      </w:pPr>
      <w:r w:rsidRPr="004C5284">
        <w:rPr>
          <w:sz w:val="18"/>
          <w:szCs w:val="18"/>
          <w:vertAlign w:val="superscript"/>
        </w:rPr>
        <w:t>18</w:t>
      </w:r>
      <w:r w:rsidRPr="004C5284">
        <w:rPr>
          <w:bCs/>
          <w:sz w:val="18"/>
          <w:szCs w:val="18"/>
          <w:vertAlign w:val="superscript"/>
        </w:rPr>
        <w:tab/>
      </w:r>
      <w:r w:rsidRPr="004C5284">
        <w:rPr>
          <w:bCs/>
          <w:sz w:val="18"/>
          <w:szCs w:val="18"/>
        </w:rPr>
        <w:t>Условное обозначение может быть указано не тем цветом, который предусмотрен в</w:t>
      </w:r>
      <w:r>
        <w:rPr>
          <w:bCs/>
          <w:sz w:val="18"/>
          <w:szCs w:val="18"/>
        </w:rPr>
        <w:t> </w:t>
      </w:r>
      <w:r w:rsidRPr="004C5284">
        <w:rPr>
          <w:bCs/>
          <w:sz w:val="18"/>
          <w:szCs w:val="18"/>
        </w:rPr>
        <w:t>колонке 5, а другими цветами для придания иного значения в соответствии с</w:t>
      </w:r>
      <w:r>
        <w:rPr>
          <w:bCs/>
          <w:sz w:val="18"/>
          <w:szCs w:val="18"/>
        </w:rPr>
        <w:t> </w:t>
      </w:r>
      <w:r w:rsidRPr="004C5284">
        <w:rPr>
          <w:bCs/>
          <w:sz w:val="18"/>
          <w:szCs w:val="18"/>
        </w:rPr>
        <w:t xml:space="preserve">общей кодировкой цветов, предусмотренной в пункте 5 стандарта </w:t>
      </w:r>
      <w:r w:rsidRPr="004C5284">
        <w:rPr>
          <w:bCs/>
          <w:sz w:val="18"/>
          <w:szCs w:val="18"/>
          <w:lang w:val="en-GB"/>
        </w:rPr>
        <w:t>ISO</w:t>
      </w:r>
      <w:r w:rsidRPr="004C5284">
        <w:rPr>
          <w:bCs/>
          <w:sz w:val="18"/>
          <w:szCs w:val="18"/>
        </w:rPr>
        <w:t xml:space="preserve"> 2575-2004</w:t>
      </w:r>
      <w:r w:rsidRPr="004C5284">
        <w:rPr>
          <w:sz w:val="18"/>
          <w:szCs w:val="18"/>
        </w:rPr>
        <w:t xml:space="preserve">. </w:t>
      </w:r>
      <w:r w:rsidRPr="004C5284">
        <w:rPr>
          <w:b/>
          <w:sz w:val="18"/>
          <w:szCs w:val="18"/>
        </w:rPr>
        <w:t>Настоящая сноска может применяться к контрольному сигналу № 1 в том случае, когда контрольные сигналы № 1 и № 19 функционально совмещены</w:t>
      </w:r>
      <w:r w:rsidRPr="004C5284">
        <w:rPr>
          <w:sz w:val="18"/>
          <w:szCs w:val="18"/>
        </w:rPr>
        <w:t>.</w:t>
      </w:r>
      <w:r w:rsidR="00E505CD">
        <w:rPr>
          <w:sz w:val="18"/>
          <w:szCs w:val="18"/>
        </w:rPr>
        <w:t>».</w:t>
      </w:r>
    </w:p>
    <w:p w:rsidR="00691B65" w:rsidRPr="00691B65" w:rsidRDefault="00691B65" w:rsidP="0080607C">
      <w:pPr>
        <w:pStyle w:val="HChGR"/>
      </w:pPr>
      <w:r w:rsidRPr="00691B65">
        <w:tab/>
      </w:r>
      <w:r w:rsidRPr="00691B65">
        <w:rPr>
          <w:lang w:val="en-GB"/>
        </w:rPr>
        <w:t>II</w:t>
      </w:r>
      <w:r w:rsidRPr="00691B65">
        <w:t>.</w:t>
      </w:r>
      <w:r w:rsidRPr="00691B65">
        <w:tab/>
        <w:t>Обоснование</w:t>
      </w:r>
    </w:p>
    <w:p w:rsidR="00691B65" w:rsidRPr="00691B65" w:rsidRDefault="00691B65" w:rsidP="00691B65">
      <w:pPr>
        <w:pStyle w:val="SingleTxtGR"/>
      </w:pPr>
      <w:r w:rsidRPr="00691B65">
        <w:t>1.</w:t>
      </w:r>
      <w:r w:rsidRPr="00691B65">
        <w:tab/>
        <w:t xml:space="preserve">На своей 170-й сессии в ноябре 2016 года </w:t>
      </w:r>
      <w:r w:rsidRPr="00691B65">
        <w:rPr>
          <w:lang w:val="en-GB"/>
        </w:rPr>
        <w:t>WP</w:t>
      </w:r>
      <w:r w:rsidRPr="00691B65">
        <w:t>.29 принял дополнение</w:t>
      </w:r>
      <w:r w:rsidR="00D91D00">
        <w:t> </w:t>
      </w:r>
      <w:r w:rsidRPr="00691B65">
        <w:t>9 к</w:t>
      </w:r>
      <w:r w:rsidR="00D91D00">
        <w:t> </w:t>
      </w:r>
      <w:r w:rsidRPr="00691B65">
        <w:t>поправкам первоначальной серии и</w:t>
      </w:r>
      <w:r w:rsidR="00F176F1">
        <w:t xml:space="preserve"> </w:t>
      </w:r>
      <w:r w:rsidRPr="00691B65">
        <w:t>дополнение 1 к поправкам серии</w:t>
      </w:r>
      <w:r w:rsidR="00D91D00">
        <w:t> </w:t>
      </w:r>
      <w:r w:rsidRPr="00691B65">
        <w:t>01 к</w:t>
      </w:r>
      <w:r w:rsidR="00D91D00">
        <w:t> </w:t>
      </w:r>
      <w:r w:rsidRPr="00691B65">
        <w:t>Правилам № 121 (</w:t>
      </w:r>
      <w:r w:rsidRPr="00691B65">
        <w:rPr>
          <w:lang w:val="en-GB"/>
        </w:rPr>
        <w:t>ECE</w:t>
      </w:r>
      <w:r w:rsidRPr="00691B65">
        <w:t>/</w:t>
      </w:r>
      <w:r w:rsidRPr="00691B65">
        <w:rPr>
          <w:lang w:val="en-GB"/>
        </w:rPr>
        <w:t>TRANS</w:t>
      </w:r>
      <w:r w:rsidRPr="00691B65">
        <w:t>/</w:t>
      </w:r>
      <w:r w:rsidRPr="00691B65">
        <w:rPr>
          <w:lang w:val="en-GB"/>
        </w:rPr>
        <w:t>WP</w:t>
      </w:r>
      <w:r w:rsidRPr="00691B65">
        <w:t xml:space="preserve">.29/2016/96 и </w:t>
      </w:r>
      <w:r w:rsidRPr="00691B65">
        <w:rPr>
          <w:lang w:val="en-GB"/>
        </w:rPr>
        <w:t>ECE</w:t>
      </w:r>
      <w:r w:rsidRPr="00691B65">
        <w:t>/</w:t>
      </w:r>
      <w:r w:rsidRPr="00691B65">
        <w:rPr>
          <w:lang w:val="en-GB"/>
        </w:rPr>
        <w:t>TRANS</w:t>
      </w:r>
      <w:r w:rsidRPr="00691B65">
        <w:t>/</w:t>
      </w:r>
      <w:r w:rsidRPr="00691B65">
        <w:rPr>
          <w:lang w:val="en-GB"/>
        </w:rPr>
        <w:t>WP</w:t>
      </w:r>
      <w:r w:rsidRPr="00691B65">
        <w:t>.29/2016/97). В</w:t>
      </w:r>
      <w:r w:rsidR="00D91D00">
        <w:t> </w:t>
      </w:r>
      <w:r w:rsidRPr="00691B65">
        <w:t xml:space="preserve">основу обоих документов был положен документ </w:t>
      </w:r>
      <w:r w:rsidRPr="00691B65">
        <w:rPr>
          <w:lang w:val="en-GB"/>
        </w:rPr>
        <w:t>ECE</w:t>
      </w:r>
      <w:r w:rsidRPr="00691B65">
        <w:t>/</w:t>
      </w:r>
      <w:r w:rsidRPr="00691B65">
        <w:rPr>
          <w:lang w:val="en-GB"/>
        </w:rPr>
        <w:t>TRANS</w:t>
      </w:r>
      <w:r w:rsidRPr="00691B65">
        <w:t>/</w:t>
      </w:r>
      <w:r w:rsidRPr="00691B65">
        <w:rPr>
          <w:lang w:val="en-GB"/>
        </w:rPr>
        <w:t>WP</w:t>
      </w:r>
      <w:r w:rsidRPr="00691B65">
        <w:t>.29/</w:t>
      </w:r>
      <w:r w:rsidRPr="00691B65">
        <w:rPr>
          <w:lang w:val="en-GB"/>
        </w:rPr>
        <w:t>GRSG</w:t>
      </w:r>
      <w:r w:rsidRPr="00691B65">
        <w:t>/</w:t>
      </w:r>
      <w:r w:rsidR="00D91D00">
        <w:t xml:space="preserve"> </w:t>
      </w:r>
      <w:r w:rsidRPr="00691B65">
        <w:t>2015/24, одобренный Рабочей групп</w:t>
      </w:r>
      <w:r w:rsidR="00A809B6">
        <w:t>ой</w:t>
      </w:r>
      <w:r w:rsidRPr="00691B65">
        <w:t xml:space="preserve"> по общим предписаниям, касающимся безопасности (</w:t>
      </w:r>
      <w:r w:rsidRPr="00691B65">
        <w:rPr>
          <w:lang w:val="en-GB"/>
        </w:rPr>
        <w:t>GRSG</w:t>
      </w:r>
      <w:r w:rsidRPr="00691B65">
        <w:t xml:space="preserve">), на ее 110-й сессии. В силу этих дополнений в </w:t>
      </w:r>
      <w:r w:rsidRPr="00691B65">
        <w:rPr>
          <w:bCs/>
        </w:rPr>
        <w:t>контрол</w:t>
      </w:r>
      <w:r w:rsidRPr="00691B65">
        <w:rPr>
          <w:bCs/>
        </w:rPr>
        <w:t>ь</w:t>
      </w:r>
      <w:r w:rsidRPr="00691B65">
        <w:rPr>
          <w:bCs/>
        </w:rPr>
        <w:t xml:space="preserve">ных сигналах № </w:t>
      </w:r>
      <w:r w:rsidR="00A809B6">
        <w:rPr>
          <w:bCs/>
        </w:rPr>
        <w:t>2</w:t>
      </w:r>
      <w:r w:rsidRPr="00691B65">
        <w:rPr>
          <w:bCs/>
        </w:rPr>
        <w:t xml:space="preserve"> и № 19 </w:t>
      </w:r>
      <w:r w:rsidRPr="00691B65">
        <w:t xml:space="preserve">допускается использование и других цветов, помимо зеленого. </w:t>
      </w:r>
    </w:p>
    <w:p w:rsidR="00691B65" w:rsidRPr="00691B65" w:rsidRDefault="00691B65" w:rsidP="00691B65">
      <w:pPr>
        <w:pStyle w:val="SingleTxtGR"/>
      </w:pPr>
      <w:r w:rsidRPr="00691B65">
        <w:lastRenderedPageBreak/>
        <w:t>2.</w:t>
      </w:r>
      <w:r w:rsidRPr="00691B65">
        <w:tab/>
        <w:t>Вместе с тем в данном предложении четко не учтена предусмотренная сноской</w:t>
      </w:r>
      <w:r w:rsidR="001B0CF8">
        <w:t xml:space="preserve"> </w:t>
      </w:r>
      <w:r w:rsidRPr="00D91D00">
        <w:rPr>
          <w:sz w:val="18"/>
          <w:szCs w:val="18"/>
          <w:vertAlign w:val="superscript"/>
        </w:rPr>
        <w:t>12</w:t>
      </w:r>
      <w:r w:rsidRPr="00691B65">
        <w:t xml:space="preserve"> возможность </w:t>
      </w:r>
      <w:r w:rsidRPr="00691B65">
        <w:rPr>
          <w:bCs/>
        </w:rPr>
        <w:t>функционального совмещения контрольного сигнала №</w:t>
      </w:r>
      <w:r w:rsidR="001B0CF8">
        <w:rPr>
          <w:bCs/>
        </w:rPr>
        <w:t> </w:t>
      </w:r>
      <w:r w:rsidRPr="00691B65">
        <w:rPr>
          <w:bCs/>
        </w:rPr>
        <w:t>19 с контрольным сигналом № 1</w:t>
      </w:r>
      <w:r w:rsidRPr="00691B65">
        <w:t>.</w:t>
      </w:r>
    </w:p>
    <w:p w:rsidR="00691B65" w:rsidRPr="00691B65" w:rsidRDefault="00691B65" w:rsidP="00691B65">
      <w:pPr>
        <w:pStyle w:val="SingleTxtGR"/>
      </w:pPr>
      <w:r w:rsidRPr="00691B65">
        <w:t>3.</w:t>
      </w:r>
      <w:r w:rsidRPr="00691B65">
        <w:tab/>
        <w:t xml:space="preserve">Предлагаемыми поправками уточняется, что в случае </w:t>
      </w:r>
      <w:r w:rsidRPr="00691B65">
        <w:rPr>
          <w:bCs/>
        </w:rPr>
        <w:t>функционального совмещения контрольных сигналов № 1 и № 19 сноска</w:t>
      </w:r>
      <w:r w:rsidR="001B0CF8">
        <w:rPr>
          <w:bCs/>
        </w:rPr>
        <w:t xml:space="preserve"> </w:t>
      </w:r>
      <w:r w:rsidRPr="00D91D00">
        <w:rPr>
          <w:bCs/>
          <w:sz w:val="18"/>
          <w:szCs w:val="18"/>
          <w:vertAlign w:val="superscript"/>
        </w:rPr>
        <w:t>18</w:t>
      </w:r>
      <w:r w:rsidRPr="00691B65">
        <w:t xml:space="preserve"> применима к </w:t>
      </w:r>
      <w:r w:rsidRPr="00691B65">
        <w:rPr>
          <w:bCs/>
        </w:rPr>
        <w:t>ко</w:t>
      </w:r>
      <w:r w:rsidRPr="00691B65">
        <w:rPr>
          <w:bCs/>
        </w:rPr>
        <w:t>н</w:t>
      </w:r>
      <w:r w:rsidRPr="00691B65">
        <w:rPr>
          <w:bCs/>
        </w:rPr>
        <w:t>трольному сигналу № 1</w:t>
      </w:r>
      <w:r w:rsidRPr="00691B65">
        <w:t>.</w:t>
      </w:r>
    </w:p>
    <w:p w:rsidR="00E12C5F" w:rsidRDefault="00691B65" w:rsidP="00691B65">
      <w:pPr>
        <w:pStyle w:val="SingleTxtGR"/>
        <w:rPr>
          <w:lang w:val="en-US"/>
        </w:rPr>
      </w:pPr>
      <w:r w:rsidRPr="00691B65">
        <w:t>4.</w:t>
      </w:r>
      <w:r w:rsidRPr="00691B65">
        <w:tab/>
        <w:t>Предлагаемыми поправками не предусматривается изменения каких-либо технических предписаний Правил № 121. Следовательно, настоящее предлож</w:t>
      </w:r>
      <w:r w:rsidRPr="00691B65">
        <w:t>е</w:t>
      </w:r>
      <w:r w:rsidRPr="00691B65">
        <w:t>ние не содержит переходных положений.</w:t>
      </w:r>
    </w:p>
    <w:p w:rsidR="00691B65" w:rsidRPr="00691B65" w:rsidRDefault="00691B65" w:rsidP="00691B65">
      <w:pPr>
        <w:pStyle w:val="SingleTxtGR"/>
        <w:spacing w:before="240" w:after="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691B65" w:rsidRPr="00691B65" w:rsidSect="00691B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AF" w:rsidRPr="00A312BC" w:rsidRDefault="00CE2BAF" w:rsidP="00A312BC"/>
  </w:endnote>
  <w:endnote w:type="continuationSeparator" w:id="0">
    <w:p w:rsidR="00CE2BAF" w:rsidRPr="00A312BC" w:rsidRDefault="00CE2BA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65" w:rsidRPr="00691B65" w:rsidRDefault="00691B65">
    <w:pPr>
      <w:pStyle w:val="Footer"/>
    </w:pPr>
    <w:r w:rsidRPr="00691B65">
      <w:rPr>
        <w:b/>
        <w:sz w:val="18"/>
      </w:rPr>
      <w:fldChar w:fldCharType="begin"/>
    </w:r>
    <w:r w:rsidRPr="00691B65">
      <w:rPr>
        <w:b/>
        <w:sz w:val="18"/>
      </w:rPr>
      <w:instrText xml:space="preserve"> PAGE  \* MERGEFORMAT </w:instrText>
    </w:r>
    <w:r w:rsidRPr="00691B65">
      <w:rPr>
        <w:b/>
        <w:sz w:val="18"/>
      </w:rPr>
      <w:fldChar w:fldCharType="separate"/>
    </w:r>
    <w:r w:rsidR="00DD5153">
      <w:rPr>
        <w:b/>
        <w:noProof/>
        <w:sz w:val="18"/>
      </w:rPr>
      <w:t>2</w:t>
    </w:r>
    <w:r w:rsidRPr="00691B65">
      <w:rPr>
        <w:b/>
        <w:sz w:val="18"/>
      </w:rPr>
      <w:fldChar w:fldCharType="end"/>
    </w:r>
    <w:r>
      <w:rPr>
        <w:b/>
        <w:sz w:val="18"/>
      </w:rPr>
      <w:tab/>
    </w:r>
    <w:r>
      <w:t>GE.17-11941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65" w:rsidRPr="00691B65" w:rsidRDefault="00691B65" w:rsidP="00691B65">
    <w:pPr>
      <w:pStyle w:val="Footer"/>
      <w:tabs>
        <w:tab w:val="clear" w:pos="9639"/>
        <w:tab w:val="right" w:pos="9638"/>
      </w:tabs>
      <w:rPr>
        <w:b/>
        <w:sz w:val="18"/>
      </w:rPr>
    </w:pPr>
    <w:r>
      <w:t>GE.17-11941</w:t>
    </w:r>
    <w:r>
      <w:tab/>
    </w:r>
    <w:r w:rsidRPr="00691B65">
      <w:rPr>
        <w:b/>
        <w:sz w:val="18"/>
      </w:rPr>
      <w:fldChar w:fldCharType="begin"/>
    </w:r>
    <w:r w:rsidRPr="00691B65">
      <w:rPr>
        <w:b/>
        <w:sz w:val="18"/>
      </w:rPr>
      <w:instrText xml:space="preserve"> PAGE  \* MERGEFORMAT </w:instrText>
    </w:r>
    <w:r w:rsidRPr="00691B65">
      <w:rPr>
        <w:b/>
        <w:sz w:val="18"/>
      </w:rPr>
      <w:fldChar w:fldCharType="separate"/>
    </w:r>
    <w:r w:rsidR="00DD5153">
      <w:rPr>
        <w:b/>
        <w:noProof/>
        <w:sz w:val="18"/>
      </w:rPr>
      <w:t>3</w:t>
    </w:r>
    <w:r w:rsidRPr="00691B6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72" w:rsidRPr="00691B65" w:rsidRDefault="00691B65" w:rsidP="00691B65">
    <w:pPr>
      <w:spacing w:before="120" w:line="240" w:lineRule="auto"/>
    </w:pPr>
    <w:r>
      <w:t>GE.</w:t>
    </w:r>
    <w:r w:rsidR="00DF71B9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2507D09" wp14:editId="24D98EA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17-11941  (R)</w:t>
    </w:r>
    <w:r>
      <w:rPr>
        <w:lang w:val="en-US"/>
      </w:rPr>
      <w:t xml:space="preserve">  020817  040817</w:t>
    </w:r>
    <w:r>
      <w:br/>
    </w:r>
    <w:r w:rsidRPr="00691B65">
      <w:rPr>
        <w:rFonts w:ascii="C39T30Lfz" w:hAnsi="C39T30Lfz"/>
        <w:spacing w:val="0"/>
        <w:w w:val="100"/>
        <w:sz w:val="56"/>
      </w:rPr>
      <w:t></w:t>
    </w:r>
    <w:r w:rsidRPr="00691B65">
      <w:rPr>
        <w:rFonts w:ascii="C39T30Lfz" w:hAnsi="C39T30Lfz"/>
        <w:spacing w:val="0"/>
        <w:w w:val="100"/>
        <w:sz w:val="56"/>
      </w:rPr>
      <w:t></w:t>
    </w:r>
    <w:r w:rsidRPr="00691B65">
      <w:rPr>
        <w:rFonts w:ascii="C39T30Lfz" w:hAnsi="C39T30Lfz"/>
        <w:spacing w:val="0"/>
        <w:w w:val="100"/>
        <w:sz w:val="56"/>
      </w:rPr>
      <w:t></w:t>
    </w:r>
    <w:r w:rsidRPr="00691B65">
      <w:rPr>
        <w:rFonts w:ascii="C39T30Lfz" w:hAnsi="C39T30Lfz"/>
        <w:spacing w:val="0"/>
        <w:w w:val="100"/>
        <w:sz w:val="56"/>
      </w:rPr>
      <w:t></w:t>
    </w:r>
    <w:r w:rsidRPr="00691B65">
      <w:rPr>
        <w:rFonts w:ascii="C39T30Lfz" w:hAnsi="C39T30Lfz"/>
        <w:spacing w:val="0"/>
        <w:w w:val="100"/>
        <w:sz w:val="56"/>
      </w:rPr>
      <w:t></w:t>
    </w:r>
    <w:r w:rsidRPr="00691B65">
      <w:rPr>
        <w:rFonts w:ascii="C39T30Lfz" w:hAnsi="C39T30Lfz"/>
        <w:spacing w:val="0"/>
        <w:w w:val="100"/>
        <w:sz w:val="56"/>
      </w:rPr>
      <w:t></w:t>
    </w:r>
    <w:r w:rsidRPr="00691B65">
      <w:rPr>
        <w:rFonts w:ascii="C39T30Lfz" w:hAnsi="C39T30Lfz"/>
        <w:spacing w:val="0"/>
        <w:w w:val="100"/>
        <w:sz w:val="56"/>
      </w:rPr>
      <w:t></w:t>
    </w:r>
    <w:r w:rsidRPr="00691B65">
      <w:rPr>
        <w:rFonts w:ascii="C39T30Lfz" w:hAnsi="C39T30Lfz"/>
        <w:spacing w:val="0"/>
        <w:w w:val="100"/>
        <w:sz w:val="56"/>
      </w:rPr>
      <w:t></w:t>
    </w:r>
    <w:r w:rsidRPr="00691B65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355" cy="638355"/>
          <wp:effectExtent l="0" t="0" r="9525" b="9525"/>
          <wp:wrapNone/>
          <wp:docPr id="1" name="Рисунок 1" descr="https://undocs.org/m2/QRCode.ashx?DS=ECE/TRANS/WP.29/GRSG/2017/18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18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55" cy="63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AF" w:rsidRPr="001075E9" w:rsidRDefault="00CE2BA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E2BAF" w:rsidRDefault="00CE2BA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DA3204" w:rsidRPr="00DA3204" w:rsidRDefault="00DA3204">
      <w:pPr>
        <w:pStyle w:val="FootnoteText"/>
        <w:rPr>
          <w:sz w:val="20"/>
          <w:lang w:val="ru-RU"/>
        </w:rPr>
      </w:pPr>
      <w:r>
        <w:tab/>
      </w:r>
      <w:r w:rsidRPr="00DA3204">
        <w:rPr>
          <w:rStyle w:val="FootnoteReference"/>
          <w:sz w:val="20"/>
          <w:vertAlign w:val="baseline"/>
          <w:lang w:val="ru-RU"/>
        </w:rPr>
        <w:t>*</w:t>
      </w:r>
      <w:r w:rsidRPr="00DA3204">
        <w:rPr>
          <w:rStyle w:val="FootnoteReference"/>
          <w:vertAlign w:val="baseline"/>
          <w:lang w:val="ru-RU"/>
        </w:rPr>
        <w:tab/>
      </w:r>
      <w:r w:rsidRPr="00DA3204">
        <w:rPr>
          <w:lang w:val="ru-RU"/>
        </w:rPr>
        <w:t xml:space="preserve">В соответствии с программой работы Комитета по внутреннему транспорту </w:t>
      </w:r>
      <w:r w:rsidRPr="00DA3204">
        <w:rPr>
          <w:lang w:val="ru-RU"/>
        </w:rPr>
        <w:br/>
        <w:t>на 2016–2017 годы (ECE/TRANS/254, пункт159, и ECE/TRANS/2016/28/</w:t>
      </w:r>
      <w:r w:rsidRPr="00DA3204">
        <w:rPr>
          <w:lang w:val="en-US"/>
        </w:rPr>
        <w:t>Add</w:t>
      </w:r>
      <w:r w:rsidRPr="00DA3204">
        <w:rPr>
          <w:lang w:val="ru-RU"/>
        </w:rPr>
        <w:t>.1, направление деятельности 3.1) Всемирный форум будет разрабатывать, согласовывать и</w:t>
      </w:r>
      <w:r w:rsidRPr="00DA3204">
        <w:rPr>
          <w:lang w:val="en-US"/>
        </w:rPr>
        <w:t> </w:t>
      </w:r>
      <w:r w:rsidRPr="00DA3204">
        <w:rPr>
          <w:lang w:val="ru-RU"/>
        </w:rPr>
        <w:t>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65" w:rsidRPr="00691B65" w:rsidRDefault="00E86429">
    <w:pPr>
      <w:pStyle w:val="Header"/>
    </w:pPr>
    <w:fldSimple w:instr=" TITLE  \* MERGEFORMAT ">
      <w:r>
        <w:t>ECE/TRANS/WP.29/GRSG/2017/18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65" w:rsidRPr="00691B65" w:rsidRDefault="00E86429" w:rsidP="00691B65">
    <w:pPr>
      <w:pStyle w:val="Header"/>
      <w:jc w:val="right"/>
    </w:pPr>
    <w:fldSimple w:instr=" TITLE  \* MERGEFORMAT ">
      <w:r>
        <w:t>ECE/TRANS/WP.29/GRSG/2017/18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65" w:rsidRDefault="00691B65" w:rsidP="00691B6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AF"/>
    <w:rsid w:val="00033EE1"/>
    <w:rsid w:val="00042B72"/>
    <w:rsid w:val="00055256"/>
    <w:rsid w:val="000558BD"/>
    <w:rsid w:val="000B57E7"/>
    <w:rsid w:val="000B6373"/>
    <w:rsid w:val="000E4E5B"/>
    <w:rsid w:val="000F09DF"/>
    <w:rsid w:val="000F61B2"/>
    <w:rsid w:val="001075E9"/>
    <w:rsid w:val="00107A19"/>
    <w:rsid w:val="0014152F"/>
    <w:rsid w:val="00180183"/>
    <w:rsid w:val="0018024D"/>
    <w:rsid w:val="0018649F"/>
    <w:rsid w:val="00196389"/>
    <w:rsid w:val="001B0CF8"/>
    <w:rsid w:val="001B3EF6"/>
    <w:rsid w:val="001C7A89"/>
    <w:rsid w:val="001D7756"/>
    <w:rsid w:val="00255343"/>
    <w:rsid w:val="002607A7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B0B1C"/>
    <w:rsid w:val="003D0B56"/>
    <w:rsid w:val="00407B78"/>
    <w:rsid w:val="004151D1"/>
    <w:rsid w:val="00424203"/>
    <w:rsid w:val="00452493"/>
    <w:rsid w:val="00453318"/>
    <w:rsid w:val="00454AF2"/>
    <w:rsid w:val="00454E07"/>
    <w:rsid w:val="00472C5C"/>
    <w:rsid w:val="004B0EF5"/>
    <w:rsid w:val="004C5284"/>
    <w:rsid w:val="004E05B7"/>
    <w:rsid w:val="0050108D"/>
    <w:rsid w:val="00513081"/>
    <w:rsid w:val="00517901"/>
    <w:rsid w:val="00526683"/>
    <w:rsid w:val="00553A08"/>
    <w:rsid w:val="00562394"/>
    <w:rsid w:val="005639C1"/>
    <w:rsid w:val="005709E0"/>
    <w:rsid w:val="00572E19"/>
    <w:rsid w:val="005961C8"/>
    <w:rsid w:val="005966F1"/>
    <w:rsid w:val="005B4BE5"/>
    <w:rsid w:val="005D7914"/>
    <w:rsid w:val="005E2B41"/>
    <w:rsid w:val="005F0B42"/>
    <w:rsid w:val="006345DB"/>
    <w:rsid w:val="00640F49"/>
    <w:rsid w:val="006436D9"/>
    <w:rsid w:val="006743B6"/>
    <w:rsid w:val="00680D03"/>
    <w:rsid w:val="00681A10"/>
    <w:rsid w:val="00691B65"/>
    <w:rsid w:val="006A1ED8"/>
    <w:rsid w:val="006C2031"/>
    <w:rsid w:val="006C3F71"/>
    <w:rsid w:val="006D461A"/>
    <w:rsid w:val="006E4EB4"/>
    <w:rsid w:val="006F35EE"/>
    <w:rsid w:val="007021FF"/>
    <w:rsid w:val="00712895"/>
    <w:rsid w:val="00734ACB"/>
    <w:rsid w:val="00757357"/>
    <w:rsid w:val="00792497"/>
    <w:rsid w:val="008057F2"/>
    <w:rsid w:val="0080607C"/>
    <w:rsid w:val="00806737"/>
    <w:rsid w:val="00810D52"/>
    <w:rsid w:val="008132A7"/>
    <w:rsid w:val="00825F8D"/>
    <w:rsid w:val="00834B71"/>
    <w:rsid w:val="0086445C"/>
    <w:rsid w:val="00894693"/>
    <w:rsid w:val="008A08D7"/>
    <w:rsid w:val="008A225F"/>
    <w:rsid w:val="008A37C8"/>
    <w:rsid w:val="008B6909"/>
    <w:rsid w:val="008D53B6"/>
    <w:rsid w:val="008E3F3F"/>
    <w:rsid w:val="008E4BF4"/>
    <w:rsid w:val="008E67E6"/>
    <w:rsid w:val="008F7609"/>
    <w:rsid w:val="00906890"/>
    <w:rsid w:val="00911BE4"/>
    <w:rsid w:val="00951972"/>
    <w:rsid w:val="009608F3"/>
    <w:rsid w:val="00964C0E"/>
    <w:rsid w:val="009739B9"/>
    <w:rsid w:val="009A24AC"/>
    <w:rsid w:val="009B2EFC"/>
    <w:rsid w:val="009C6FE6"/>
    <w:rsid w:val="00A14DA8"/>
    <w:rsid w:val="00A312BC"/>
    <w:rsid w:val="00A34524"/>
    <w:rsid w:val="00A809B6"/>
    <w:rsid w:val="00A84021"/>
    <w:rsid w:val="00A84D35"/>
    <w:rsid w:val="00A917B3"/>
    <w:rsid w:val="00A91F6D"/>
    <w:rsid w:val="00AB4B51"/>
    <w:rsid w:val="00B10CC7"/>
    <w:rsid w:val="00B22C6F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805C9"/>
    <w:rsid w:val="00C92939"/>
    <w:rsid w:val="00CA1679"/>
    <w:rsid w:val="00CB151C"/>
    <w:rsid w:val="00CE2BAF"/>
    <w:rsid w:val="00CE5A1A"/>
    <w:rsid w:val="00CF55F6"/>
    <w:rsid w:val="00D33D63"/>
    <w:rsid w:val="00D37407"/>
    <w:rsid w:val="00D5253A"/>
    <w:rsid w:val="00D70272"/>
    <w:rsid w:val="00D90028"/>
    <w:rsid w:val="00D90138"/>
    <w:rsid w:val="00D901D7"/>
    <w:rsid w:val="00D91D00"/>
    <w:rsid w:val="00D96C4C"/>
    <w:rsid w:val="00DA3204"/>
    <w:rsid w:val="00DD5153"/>
    <w:rsid w:val="00DD78D1"/>
    <w:rsid w:val="00DE32CD"/>
    <w:rsid w:val="00DF5767"/>
    <w:rsid w:val="00DF71B9"/>
    <w:rsid w:val="00E12C5F"/>
    <w:rsid w:val="00E35F5A"/>
    <w:rsid w:val="00E42695"/>
    <w:rsid w:val="00E505CD"/>
    <w:rsid w:val="00E73F76"/>
    <w:rsid w:val="00E86429"/>
    <w:rsid w:val="00EA2C9F"/>
    <w:rsid w:val="00EA420E"/>
    <w:rsid w:val="00ED0BDA"/>
    <w:rsid w:val="00ED1DB4"/>
    <w:rsid w:val="00EE142A"/>
    <w:rsid w:val="00EF1360"/>
    <w:rsid w:val="00EF3220"/>
    <w:rsid w:val="00F176F1"/>
    <w:rsid w:val="00F2523A"/>
    <w:rsid w:val="00F43903"/>
    <w:rsid w:val="00F75428"/>
    <w:rsid w:val="00F94155"/>
    <w:rsid w:val="00F9783F"/>
    <w:rsid w:val="00FB5454"/>
    <w:rsid w:val="00FD2EF7"/>
    <w:rsid w:val="00FE447E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691B6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691B6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3232</Characters>
  <Application>Microsoft Office Word</Application>
  <DocSecurity>4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ECE/TRANS/WP.29/GRSG/2017/18</vt:lpstr>
      <vt:lpstr>ECE/TRANS/WP.29/GRSG/2017/18</vt:lpstr>
      <vt:lpstr>A/</vt:lpstr>
    </vt:vector>
  </TitlesOfParts>
  <Company>DCM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ECE/TRANS/WP.29/GRSG/2017/18</dc:title>
  <dc:creator>Ovchinnikova Olga</dc:creator>
  <cp:lastModifiedBy>Benedicte Boudol</cp:lastModifiedBy>
  <cp:revision>2</cp:revision>
  <cp:lastPrinted>2017-08-04T15:22:00Z</cp:lastPrinted>
  <dcterms:created xsi:type="dcterms:W3CDTF">2017-08-16T09:02:00Z</dcterms:created>
  <dcterms:modified xsi:type="dcterms:W3CDTF">2017-08-16T09:02:00Z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