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DC5F4D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DC5F4D" w:rsidP="00DC5F4D">
            <w:pPr>
              <w:jc w:val="right"/>
            </w:pPr>
            <w:r w:rsidRPr="00DC5F4D">
              <w:rPr>
                <w:sz w:val="40"/>
              </w:rPr>
              <w:t>ECE</w:t>
            </w:r>
            <w:r>
              <w:t>/TRANS/WP.29/GRSG/2017/14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DC5F4D" w:rsidP="00C97039">
            <w:pPr>
              <w:spacing w:before="240"/>
            </w:pPr>
            <w:r>
              <w:t>Distr. générale</w:t>
            </w:r>
          </w:p>
          <w:p w:rsidR="00DC5F4D" w:rsidRDefault="00DC5F4D" w:rsidP="00DC5F4D">
            <w:pPr>
              <w:spacing w:line="240" w:lineRule="exact"/>
            </w:pPr>
            <w:r>
              <w:t>17 juillet 2017</w:t>
            </w:r>
          </w:p>
          <w:p w:rsidR="00DC5F4D" w:rsidRDefault="00DC5F4D" w:rsidP="00DC5F4D">
            <w:pPr>
              <w:spacing w:line="240" w:lineRule="exact"/>
            </w:pPr>
            <w:r>
              <w:t>Français</w:t>
            </w:r>
          </w:p>
          <w:p w:rsidR="00DC5F4D" w:rsidRPr="00DB58B5" w:rsidRDefault="00DC5F4D" w:rsidP="00DC5F4D">
            <w:pPr>
              <w:spacing w:line="240" w:lineRule="exact"/>
            </w:pPr>
            <w:r>
              <w:t>Original 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46201F" w:rsidRDefault="0046201F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46201F" w:rsidRDefault="0046201F" w:rsidP="00257168">
      <w:pPr>
        <w:spacing w:before="120" w:after="120" w:line="240" w:lineRule="exact"/>
        <w:rPr>
          <w:b/>
        </w:rPr>
      </w:pPr>
      <w:r>
        <w:rPr>
          <w:b/>
        </w:rPr>
        <w:t>Groupe de travail des dispositions générales de sécurité</w:t>
      </w:r>
    </w:p>
    <w:p w:rsidR="0046201F" w:rsidRDefault="0046201F" w:rsidP="00257168">
      <w:pPr>
        <w:spacing w:before="120" w:line="240" w:lineRule="exact"/>
        <w:rPr>
          <w:b/>
        </w:rPr>
      </w:pPr>
      <w:r>
        <w:rPr>
          <w:b/>
        </w:rPr>
        <w:t>113</w:t>
      </w:r>
      <w:r w:rsidRPr="0046201F">
        <w:rPr>
          <w:b/>
          <w:vertAlign w:val="superscript"/>
        </w:rPr>
        <w:t>e</w:t>
      </w:r>
      <w:r>
        <w:rPr>
          <w:b/>
        </w:rPr>
        <w:t> session</w:t>
      </w:r>
    </w:p>
    <w:p w:rsidR="0046201F" w:rsidRDefault="0046201F" w:rsidP="00257168">
      <w:pPr>
        <w:spacing w:line="240" w:lineRule="exact"/>
      </w:pPr>
      <w:r>
        <w:t>Genève, 10-13 octobre 2017</w:t>
      </w:r>
    </w:p>
    <w:p w:rsidR="0046201F" w:rsidRDefault="0046201F" w:rsidP="00257168">
      <w:pPr>
        <w:spacing w:line="240" w:lineRule="exact"/>
      </w:pPr>
      <w:r>
        <w:t>Point</w:t>
      </w:r>
      <w:r w:rsidR="00B22527">
        <w:t> 2 a)</w:t>
      </w:r>
      <w:r>
        <w:t xml:space="preserve"> de l’ordre du jour</w:t>
      </w:r>
      <w:r w:rsidR="00B22527">
        <w:t xml:space="preserve"> provisoire</w:t>
      </w:r>
    </w:p>
    <w:p w:rsidR="00B22527" w:rsidRPr="00B22527" w:rsidRDefault="00B22527" w:rsidP="00B22527">
      <w:pPr>
        <w:rPr>
          <w:b/>
        </w:rPr>
      </w:pPr>
      <w:r w:rsidRPr="00B22527">
        <w:rPr>
          <w:b/>
        </w:rPr>
        <w:t xml:space="preserve">Amendements aux Règlements sur les autobus et les autocars : </w:t>
      </w:r>
      <w:r w:rsidRPr="00B22527">
        <w:rPr>
          <w:b/>
        </w:rPr>
        <w:br/>
        <w:t xml:space="preserve">Règlement </w:t>
      </w:r>
      <w:r w:rsidRPr="00B22527">
        <w:rPr>
          <w:rFonts w:eastAsia="MS Mincho"/>
          <w:b/>
          <w:szCs w:val="22"/>
        </w:rPr>
        <w:t>n</w:t>
      </w:r>
      <w:r w:rsidRPr="00B22527">
        <w:rPr>
          <w:rFonts w:eastAsia="MS Mincho"/>
          <w:b/>
          <w:szCs w:val="22"/>
          <w:vertAlign w:val="superscript"/>
        </w:rPr>
        <w:t>o</w:t>
      </w:r>
      <w:r w:rsidRPr="00B22527">
        <w:rPr>
          <w:b/>
        </w:rPr>
        <w:t> 107 (Véhicules des catégories M</w:t>
      </w:r>
      <w:r w:rsidRPr="00B05987">
        <w:rPr>
          <w:b/>
          <w:vertAlign w:val="subscript"/>
        </w:rPr>
        <w:t>2</w:t>
      </w:r>
      <w:r w:rsidRPr="00B22527">
        <w:rPr>
          <w:b/>
        </w:rPr>
        <w:t xml:space="preserve"> et M</w:t>
      </w:r>
      <w:r w:rsidRPr="00B05987">
        <w:rPr>
          <w:b/>
          <w:vertAlign w:val="subscript"/>
        </w:rPr>
        <w:t>3</w:t>
      </w:r>
      <w:r w:rsidRPr="00B22527">
        <w:rPr>
          <w:b/>
        </w:rPr>
        <w:t>)</w:t>
      </w:r>
    </w:p>
    <w:p w:rsidR="00B22527" w:rsidRPr="00142B92" w:rsidRDefault="00B22527" w:rsidP="00B22527">
      <w:pPr>
        <w:pStyle w:val="HChG"/>
      </w:pPr>
      <w:r w:rsidRPr="00B22527">
        <w:rPr>
          <w:spacing w:val="-2"/>
        </w:rPr>
        <w:tab/>
      </w:r>
      <w:r w:rsidRPr="00B22527">
        <w:rPr>
          <w:spacing w:val="-2"/>
        </w:rPr>
        <w:tab/>
        <w:t>Proposition de complément 7 à la série 06 d’amendements</w:t>
      </w:r>
      <w:r>
        <w:t xml:space="preserve"> </w:t>
      </w:r>
      <w:r>
        <w:br/>
      </w:r>
      <w:r w:rsidRPr="00B22527">
        <w:rPr>
          <w:spacing w:val="2"/>
        </w:rPr>
        <w:t>et de complément 2 à la série 07 d’amendements</w:t>
      </w:r>
      <w:r>
        <w:t xml:space="preserve"> </w:t>
      </w:r>
      <w:r>
        <w:br/>
      </w:r>
      <w:r w:rsidRPr="00B22527">
        <w:rPr>
          <w:spacing w:val="-2"/>
        </w:rPr>
        <w:t xml:space="preserve">au Règlement </w:t>
      </w:r>
      <w:r w:rsidRPr="00B22527">
        <w:rPr>
          <w:rFonts w:eastAsia="MS Mincho"/>
          <w:spacing w:val="-2"/>
          <w:szCs w:val="22"/>
        </w:rPr>
        <w:t>n</w:t>
      </w:r>
      <w:r w:rsidRPr="00B22527">
        <w:rPr>
          <w:rFonts w:eastAsia="MS Mincho"/>
          <w:spacing w:val="-2"/>
          <w:szCs w:val="22"/>
          <w:vertAlign w:val="superscript"/>
        </w:rPr>
        <w:t>o</w:t>
      </w:r>
      <w:r w:rsidRPr="00B22527">
        <w:rPr>
          <w:spacing w:val="-2"/>
        </w:rPr>
        <w:t> 107 (Véhicules des catégories M</w:t>
      </w:r>
      <w:r w:rsidRPr="00B22527">
        <w:rPr>
          <w:spacing w:val="-2"/>
          <w:vertAlign w:val="subscript"/>
        </w:rPr>
        <w:t>2</w:t>
      </w:r>
      <w:r w:rsidRPr="00B22527">
        <w:rPr>
          <w:spacing w:val="-2"/>
        </w:rPr>
        <w:t xml:space="preserve"> et M</w:t>
      </w:r>
      <w:r w:rsidRPr="00B22527">
        <w:rPr>
          <w:spacing w:val="-2"/>
          <w:vertAlign w:val="subscript"/>
        </w:rPr>
        <w:t>3</w:t>
      </w:r>
      <w:r w:rsidRPr="00B22527">
        <w:rPr>
          <w:spacing w:val="-2"/>
        </w:rPr>
        <w:t>)</w:t>
      </w:r>
    </w:p>
    <w:p w:rsidR="00B22527" w:rsidRPr="00142B92" w:rsidRDefault="00B22527" w:rsidP="00B22527">
      <w:pPr>
        <w:pStyle w:val="H1G"/>
        <w:rPr>
          <w:vertAlign w:val="superscript"/>
        </w:rPr>
      </w:pPr>
      <w:r>
        <w:tab/>
      </w:r>
      <w:r>
        <w:tab/>
        <w:t>Communication de l’expert de la République tchèque</w:t>
      </w:r>
      <w:r w:rsidRPr="00B2252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F9573C" w:rsidRDefault="00B22527" w:rsidP="00B22527">
      <w:pPr>
        <w:pStyle w:val="SingleTxtG"/>
        <w:ind w:firstLine="567"/>
      </w:pPr>
      <w:r>
        <w:t xml:space="preserve">Le texte ci-après, établi par l’expert de la République tchèque, vise à apporter des précisions concernant les dispositions du Règlement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107 relatives à la « double isolation » et à l’« isolation renforcée » dans les trolleybus. Il est fondé sur le document informel GRSG-112-16, qui a été distribué à la 112</w:t>
      </w:r>
      <w:r>
        <w:rPr>
          <w:vertAlign w:val="superscript"/>
        </w:rPr>
        <w:t>e</w:t>
      </w:r>
      <w:r>
        <w:t xml:space="preserve"> session du Groupe de travail des dispositions générales de sécurité (GRSG) (voir le rapport ECE/TRANS/WP.29/GRSG/91, par. 6). Les modifications qu’il est proposé d’apporter au texte actuel du Règlement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107 figurent en caractères gras pour les ajouts et biffés pour les suppressions.</w:t>
      </w:r>
    </w:p>
    <w:p w:rsidR="005A4FFB" w:rsidRPr="00142B92" w:rsidRDefault="00B22527" w:rsidP="00E00AEC">
      <w:pPr>
        <w:pStyle w:val="HChG"/>
      </w:pPr>
      <w:r>
        <w:br w:type="page"/>
      </w:r>
      <w:r w:rsidR="005A4FFB">
        <w:lastRenderedPageBreak/>
        <w:tab/>
        <w:t>I.</w:t>
      </w:r>
      <w:r w:rsidR="005A4FFB">
        <w:tab/>
        <w:t>Proposition</w:t>
      </w:r>
    </w:p>
    <w:p w:rsidR="005A4FFB" w:rsidRPr="00142B92" w:rsidRDefault="005A4FFB" w:rsidP="005A4FFB">
      <w:pPr>
        <w:pStyle w:val="SingleTxtG"/>
      </w:pPr>
      <w:r>
        <w:rPr>
          <w:i/>
        </w:rPr>
        <w:t>Annexe 12,</w:t>
      </w:r>
    </w:p>
    <w:p w:rsidR="005A4FFB" w:rsidRPr="00142B92" w:rsidRDefault="005A4FFB" w:rsidP="005A4FFB">
      <w:pPr>
        <w:pStyle w:val="SingleTxtG"/>
      </w:pPr>
      <w:r>
        <w:rPr>
          <w:i/>
        </w:rPr>
        <w:t>Paragraphe 3.10.12</w:t>
      </w:r>
      <w:r>
        <w:t>, modifier comme suit</w:t>
      </w:r>
      <w:r w:rsidR="00E00AEC">
        <w:t> </w:t>
      </w:r>
      <w:r>
        <w:t>:</w:t>
      </w:r>
    </w:p>
    <w:p w:rsidR="005A4FFB" w:rsidRPr="00142B92" w:rsidRDefault="005A4FFB" w:rsidP="005A4FFB">
      <w:pPr>
        <w:pStyle w:val="SingleTxtG"/>
      </w:pPr>
      <w:r>
        <w:t xml:space="preserve">« … </w:t>
      </w:r>
      <w:r w:rsidRPr="003F1299">
        <w:t>en courant alternatif</w:t>
      </w:r>
      <w:r>
        <w:t>.</w:t>
      </w:r>
    </w:p>
    <w:p w:rsidR="005A4FFB" w:rsidRPr="00142B92" w:rsidRDefault="005A4FFB" w:rsidP="005A4FFB">
      <w:pPr>
        <w:pStyle w:val="SingleTxtG"/>
        <w:rPr>
          <w:strike/>
        </w:rPr>
      </w:pPr>
      <w:r w:rsidRPr="003F1299">
        <w:rPr>
          <w:strike/>
        </w:rPr>
        <w:t>L</w:t>
      </w:r>
      <w:r>
        <w:rPr>
          <w:strike/>
        </w:rPr>
        <w:t>’</w:t>
      </w:r>
      <w:r w:rsidRPr="003F1299">
        <w:rPr>
          <w:strike/>
        </w:rPr>
        <w:t xml:space="preserve">isolation </w:t>
      </w:r>
      <w:r w:rsidR="00E00AEC" w:rsidRPr="003F1299">
        <w:rPr>
          <w:strike/>
        </w:rPr>
        <w:t>renforcée</w:t>
      </w:r>
      <w:r w:rsidRPr="003F1299">
        <w:rPr>
          <w:strike/>
        </w:rPr>
        <w:t xml:space="preserve"> n</w:t>
      </w:r>
      <w:r>
        <w:rPr>
          <w:strike/>
        </w:rPr>
        <w:t>’</w:t>
      </w:r>
      <w:r w:rsidRPr="003F1299">
        <w:rPr>
          <w:strike/>
        </w:rPr>
        <w:t xml:space="preserve">est pas </w:t>
      </w:r>
      <w:r w:rsidR="00E00AEC" w:rsidRPr="003F1299">
        <w:rPr>
          <w:strike/>
        </w:rPr>
        <w:t>autorisée</w:t>
      </w:r>
      <w:r w:rsidRPr="003F1299">
        <w:rPr>
          <w:strike/>
        </w:rPr>
        <w:t xml:space="preserve"> dans les trolleybus pour les circuits directement </w:t>
      </w:r>
      <w:r w:rsidR="00E00AEC" w:rsidRPr="003F1299">
        <w:rPr>
          <w:strike/>
        </w:rPr>
        <w:t>connectés</w:t>
      </w:r>
      <w:r w:rsidRPr="003F1299">
        <w:rPr>
          <w:strike/>
        </w:rPr>
        <w:t xml:space="preserve"> à la ligne </w:t>
      </w:r>
      <w:r w:rsidR="00E00AEC" w:rsidRPr="003F1299">
        <w:rPr>
          <w:strike/>
        </w:rPr>
        <w:t>aérienne</w:t>
      </w:r>
      <w:r>
        <w:rPr>
          <w:strike/>
        </w:rPr>
        <w:t>.</w:t>
      </w:r>
    </w:p>
    <w:p w:rsidR="005A4FFB" w:rsidRPr="004F1491" w:rsidRDefault="005A4FFB" w:rsidP="005A4FFB">
      <w:pPr>
        <w:pStyle w:val="SingleTxtG"/>
      </w:pPr>
      <w:r>
        <w:rPr>
          <w:b/>
        </w:rPr>
        <w:t xml:space="preserve">Les </w:t>
      </w:r>
      <w:r w:rsidRPr="003F1299">
        <w:rPr>
          <w:b/>
        </w:rPr>
        <w:t xml:space="preserve">circuits directement </w:t>
      </w:r>
      <w:r w:rsidR="00E00AEC" w:rsidRPr="003F1299">
        <w:rPr>
          <w:b/>
        </w:rPr>
        <w:t>connectés</w:t>
      </w:r>
      <w:r w:rsidRPr="003F1299">
        <w:rPr>
          <w:b/>
        </w:rPr>
        <w:t xml:space="preserve"> à la ligne </w:t>
      </w:r>
      <w:r w:rsidR="00E00AEC" w:rsidRPr="003F1299">
        <w:rPr>
          <w:b/>
        </w:rPr>
        <w:t>aérienne</w:t>
      </w:r>
      <w:r w:rsidRPr="003F1299">
        <w:rPr>
          <w:b/>
        </w:rPr>
        <w:t xml:space="preserve"> </w:t>
      </w:r>
      <w:r>
        <w:rPr>
          <w:b/>
        </w:rPr>
        <w:t>doivent être doublement isolés</w:t>
      </w:r>
      <w:r>
        <w:t>. ».</w:t>
      </w:r>
    </w:p>
    <w:p w:rsidR="005A4FFB" w:rsidRPr="00142B92" w:rsidRDefault="005A4FFB" w:rsidP="00E00AEC">
      <w:pPr>
        <w:pStyle w:val="HChG"/>
      </w:pPr>
      <w:r>
        <w:tab/>
        <w:t>II.</w:t>
      </w:r>
      <w:r>
        <w:tab/>
        <w:t>Justification</w:t>
      </w:r>
    </w:p>
    <w:p w:rsidR="005A4FFB" w:rsidRPr="00142B92" w:rsidRDefault="005A4FFB" w:rsidP="005A4FFB">
      <w:pPr>
        <w:pStyle w:val="SingleTxtG"/>
      </w:pPr>
      <w:r>
        <w:t>1.</w:t>
      </w:r>
      <w:r>
        <w:tab/>
        <w:t>De nombreux systèmes doublement isolés sont dotés d’une isolation renforcée. P</w:t>
      </w:r>
      <w:r w:rsidR="00E00AEC">
        <w:t>ar </w:t>
      </w:r>
      <w:r>
        <w:t xml:space="preserve">exemple lorsque le </w:t>
      </w:r>
      <w:r w:rsidR="00E00AEC">
        <w:t>boîtier</w:t>
      </w:r>
      <w:r>
        <w:t xml:space="preserve"> métallique d’un onduleur contient une </w:t>
      </w:r>
      <w:r w:rsidRPr="00321EA0">
        <w:t>borne à serrage sous tête de vis</w:t>
      </w:r>
      <w:r>
        <w:t xml:space="preserve"> pour l’alimentation, il existe un volume d’air associé à un écart important entre la vis et le couvercle métallique ; ce volume d’air est considéré comme une « isolation renforcée », comme on peut le voir sur le schéma suivant, aux emplacements désignés par les légendes « VOLUME D’AIR » et « ÉCART IMPORTANT ».</w:t>
      </w:r>
    </w:p>
    <w:p w:rsidR="005A4FFB" w:rsidRPr="00142B92" w:rsidRDefault="0027547F" w:rsidP="005A4FFB">
      <w:pPr>
        <w:pStyle w:val="SingleTxtG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98CBC7" wp14:editId="31CE7F97">
                <wp:simplePos x="0" y="0"/>
                <wp:positionH relativeFrom="column">
                  <wp:posOffset>4199928</wp:posOffset>
                </wp:positionH>
                <wp:positionV relativeFrom="paragraph">
                  <wp:posOffset>1362321</wp:posOffset>
                </wp:positionV>
                <wp:extent cx="832513" cy="170597"/>
                <wp:effectExtent l="0" t="0" r="5715" b="127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513" cy="1705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FFB" w:rsidRPr="007D4742" w:rsidRDefault="005A4FFB" w:rsidP="0027547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ISOLATION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598CBC7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330.7pt;margin-top:107.25pt;width:65.55pt;height:13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" fillcolor="white [3212]" stroked="f">
                <v:textbox inset="0,0,0,0">
                  <w:txbxContent>
                    <w:p w:rsidR="005A4FFB" w:rsidRPr="007D4742" w:rsidRDefault="005A4FFB" w:rsidP="0027547F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ISOLATION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0185B7" wp14:editId="0773B0B9">
                <wp:simplePos x="0" y="0"/>
                <wp:positionH relativeFrom="column">
                  <wp:posOffset>4240871</wp:posOffset>
                </wp:positionH>
                <wp:positionV relativeFrom="paragraph">
                  <wp:posOffset>714053</wp:posOffset>
                </wp:positionV>
                <wp:extent cx="620556" cy="204716"/>
                <wp:effectExtent l="0" t="0" r="8255" b="508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556" cy="2047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FFB" w:rsidRPr="007D4742" w:rsidRDefault="005A4FFB" w:rsidP="00CC3B5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MÉTAL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A0185B7" id="Zone de texte 6" o:spid="_x0000_s1027" type="#_x0000_t202" style="position:absolute;left:0;text-align:left;margin-left:333.95pt;margin-top:56.2pt;width:48.85pt;height:1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" fillcolor="white [3212]" stroked="f">
                <v:textbox inset="0,0,0,0">
                  <w:txbxContent>
                    <w:p w:rsidR="005A4FFB" w:rsidRPr="007D4742" w:rsidRDefault="005A4FFB" w:rsidP="00CC3B5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MÉTAL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4F6A9E" wp14:editId="0DBA1F32">
                <wp:simplePos x="0" y="0"/>
                <wp:positionH relativeFrom="column">
                  <wp:posOffset>869873</wp:posOffset>
                </wp:positionH>
                <wp:positionV relativeFrom="paragraph">
                  <wp:posOffset>584399</wp:posOffset>
                </wp:positionV>
                <wp:extent cx="1180323" cy="184245"/>
                <wp:effectExtent l="0" t="0" r="1270" b="63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323" cy="184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FFB" w:rsidRPr="007D4742" w:rsidRDefault="005A4FFB" w:rsidP="00CC3B5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ÉCART IMPORTANT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C4F6A9E" id="Zone de texte 4" o:spid="_x0000_s1028" type="#_x0000_t202" style="position:absolute;left:0;text-align:left;margin-left:68.5pt;margin-top:46pt;width:92.95pt;height:1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" fillcolor="white [3212]" stroked="f">
                <v:textbox inset="0,0,0,0">
                  <w:txbxContent>
                    <w:p w:rsidR="005A4FFB" w:rsidRPr="007D4742" w:rsidRDefault="005A4FFB" w:rsidP="00CC3B5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ÉCART IMPORTANT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84B74F1" wp14:editId="41D208BC">
                <wp:simplePos x="0" y="0"/>
                <wp:positionH relativeFrom="column">
                  <wp:posOffset>863051</wp:posOffset>
                </wp:positionH>
                <wp:positionV relativeFrom="paragraph">
                  <wp:posOffset>263677</wp:posOffset>
                </wp:positionV>
                <wp:extent cx="1180532" cy="177421"/>
                <wp:effectExtent l="0" t="0" r="63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532" cy="1774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FFB" w:rsidRPr="007D4742" w:rsidRDefault="005A4FFB" w:rsidP="00CC3B5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D4742">
                              <w:rPr>
                                <w:sz w:val="18"/>
                              </w:rPr>
                              <w:t>VOLUME D’AIR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84B74F1" id="Zone de texte 5" o:spid="_x0000_s1029" type="#_x0000_t202" style="position:absolute;left:0;text-align:left;margin-left:67.95pt;margin-top:20.75pt;width:92.95pt;height:13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" fillcolor="white [3212]" stroked="f">
                <v:textbox inset="0,0,0,0">
                  <w:txbxContent>
                    <w:p w:rsidR="005A4FFB" w:rsidRPr="007D4742" w:rsidRDefault="005A4FFB" w:rsidP="00CC3B56">
                      <w:pPr>
                        <w:jc w:val="center"/>
                        <w:rPr>
                          <w:sz w:val="18"/>
                        </w:rPr>
                      </w:pPr>
                      <w:r w:rsidRPr="007D4742">
                        <w:rPr>
                          <w:sz w:val="18"/>
                        </w:rPr>
                        <w:t>VOLUME D’AIR</w:t>
                      </w:r>
                    </w:p>
                  </w:txbxContent>
                </v:textbox>
              </v:shape>
            </w:pict>
          </mc:Fallback>
        </mc:AlternateContent>
      </w:r>
      <w:r w:rsidR="005A4FFB" w:rsidRPr="00142B92">
        <w:rPr>
          <w:noProof/>
          <w:lang w:val="en-GB" w:eastAsia="en-GB"/>
        </w:rPr>
        <w:drawing>
          <wp:inline distT="0" distB="0" distL="0" distR="0" wp14:anchorId="31A5DD34" wp14:editId="4323E39D">
            <wp:extent cx="4465320" cy="1888021"/>
            <wp:effectExtent l="0" t="0" r="5080" b="0"/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4" t="32228" r="73572" b="48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051" cy="189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FB" w:rsidRPr="004F1491" w:rsidRDefault="005A4FFB" w:rsidP="005A4FFB">
      <w:pPr>
        <w:pStyle w:val="SingleTxtG"/>
      </w:pPr>
      <w:r>
        <w:t>2.</w:t>
      </w:r>
      <w:r>
        <w:tab/>
        <w:t>La désignation « isolation renforcée » n’est pas définie au paragraphe 1.3 de l’annexe 12. Néanmoins, là n’est pas le principal problème. La norme européenne EN 50124-1 fournit les spécifications techniques les plus adaptées concernant la conception de l’isolation. Elle comporte aussi des explications relatives à la double isolation et à l’isolation renforcée, y</w:t>
      </w:r>
      <w:r w:rsidR="00E00AEC">
        <w:t> </w:t>
      </w:r>
      <w:r>
        <w:t xml:space="preserve">compris des définitions, des tableaux de distance d’isolement et de lignes de fuite ainsi que des procédures d’essai. Les trolleybus classiques et les trolleybus équipés d’un </w:t>
      </w:r>
      <w:r w:rsidRPr="006A040C">
        <w:rPr>
          <w:color w:val="000000"/>
        </w:rPr>
        <w:t>systèm</w:t>
      </w:r>
      <w:r>
        <w:rPr>
          <w:color w:val="000000"/>
        </w:rPr>
        <w:t>e rechargeable de stockage de l’</w:t>
      </w:r>
      <w:r w:rsidRPr="006A040C">
        <w:rPr>
          <w:color w:val="000000"/>
        </w:rPr>
        <w:t>énergie électrique</w:t>
      </w:r>
      <w:r>
        <w:rPr>
          <w:color w:val="000000"/>
        </w:rPr>
        <w:t>s</w:t>
      </w:r>
      <w:r>
        <w:t xml:space="preserve"> (SRSEE), comme des batteries de traction ou des supercondensateurs, doivent être conçus conformément à cette norme.</w:t>
      </w:r>
    </w:p>
    <w:p w:rsidR="005A4FFB" w:rsidRPr="00697366" w:rsidRDefault="00E00AEC" w:rsidP="00E00AEC">
      <w:pPr>
        <w:pStyle w:val="H23G"/>
      </w:pPr>
      <w:r>
        <w:tab/>
      </w:r>
      <w:r>
        <w:tab/>
      </w:r>
      <w:r w:rsidR="005A4FFB">
        <w:t>Observations explicatives supplémentaires</w:t>
      </w:r>
    </w:p>
    <w:p w:rsidR="005A4FFB" w:rsidRPr="004F1491" w:rsidRDefault="005A4FFB" w:rsidP="001E3936">
      <w:pPr>
        <w:pStyle w:val="SingleTxtG"/>
        <w:keepNext/>
      </w:pPr>
      <w:r>
        <w:t>3.</w:t>
      </w:r>
      <w:r>
        <w:tab/>
        <w:t xml:space="preserve">Le Règlement </w:t>
      </w:r>
      <w:r w:rsidR="00E00AEC" w:rsidRPr="002D76F4">
        <w:rPr>
          <w:rFonts w:eastAsia="MS Mincho"/>
          <w:szCs w:val="22"/>
        </w:rPr>
        <w:t>n</w:t>
      </w:r>
      <w:r w:rsidR="00E00AEC" w:rsidRPr="002D76F4">
        <w:rPr>
          <w:rFonts w:eastAsia="MS Mincho"/>
          <w:szCs w:val="22"/>
          <w:vertAlign w:val="superscript"/>
        </w:rPr>
        <w:t>o</w:t>
      </w:r>
      <w:r w:rsidR="00E00AEC">
        <w:t> </w:t>
      </w:r>
      <w:r>
        <w:t>100 est applicable aux sources d’énergie EMBARQUÉES, lorsque la sécurité du système électrique pendant la charge d’un SRSEE au moyen d’une source d’énergie extérieure est assurée en raccordant à la terre les parties métalliques du véhicule.</w:t>
      </w:r>
    </w:p>
    <w:p w:rsidR="005A4FFB" w:rsidRPr="004F1491" w:rsidRDefault="005A4FFB" w:rsidP="005A4FFB">
      <w:pPr>
        <w:pStyle w:val="SingleTxtG"/>
      </w:pPr>
      <w:r>
        <w:t>4.</w:t>
      </w:r>
      <w:r>
        <w:tab/>
        <w:t xml:space="preserve">L’annexe 12 du Règlement </w:t>
      </w:r>
      <w:r w:rsidR="00E00AEC" w:rsidRPr="002D76F4">
        <w:rPr>
          <w:rFonts w:eastAsia="MS Mincho"/>
          <w:szCs w:val="22"/>
        </w:rPr>
        <w:t>n</w:t>
      </w:r>
      <w:r w:rsidR="00E00AEC" w:rsidRPr="002D76F4">
        <w:rPr>
          <w:rFonts w:eastAsia="MS Mincho"/>
          <w:szCs w:val="22"/>
          <w:vertAlign w:val="superscript"/>
        </w:rPr>
        <w:t>o</w:t>
      </w:r>
      <w:r w:rsidR="00E00AEC">
        <w:t> </w:t>
      </w:r>
      <w:r>
        <w:t>107 est applicable :</w:t>
      </w:r>
    </w:p>
    <w:p w:rsidR="005A4FFB" w:rsidRPr="004F1491" w:rsidRDefault="005A4FFB" w:rsidP="00E00AEC">
      <w:pPr>
        <w:pStyle w:val="SingleTxtG"/>
        <w:ind w:firstLine="567"/>
      </w:pPr>
      <w:r>
        <w:t>a)</w:t>
      </w:r>
      <w:r>
        <w:tab/>
        <w:t>Au système de propulsion (onduleur et moteur de traction) directement alimenté par une source d’énergie extérieure, sans possibilité de raccorder à la terre les parties métalliques du véhicule ;</w:t>
      </w:r>
    </w:p>
    <w:p w:rsidR="005A4FFB" w:rsidRPr="004F1491" w:rsidRDefault="005A4FFB" w:rsidP="00E00AEC">
      <w:pPr>
        <w:pStyle w:val="SingleTxtG"/>
        <w:ind w:firstLine="567"/>
      </w:pPr>
      <w:r>
        <w:t>b)</w:t>
      </w:r>
      <w:r>
        <w:tab/>
        <w:t>À la charge du SRSEE au moyen d’une source d’énergie extérieure, sans possibilité de raccorder à la terre les parties métalliques du véhicule.</w:t>
      </w:r>
    </w:p>
    <w:p w:rsidR="005A4FFB" w:rsidRPr="004F1491" w:rsidRDefault="005A4FFB" w:rsidP="005A4FFB">
      <w:pPr>
        <w:pStyle w:val="SingleTxtG"/>
      </w:pPr>
      <w:r>
        <w:lastRenderedPageBreak/>
        <w:t>5.</w:t>
      </w:r>
      <w:r>
        <w:tab/>
        <w:t>On peut en déduire que, pour les véhicules co</w:t>
      </w:r>
      <w:r w:rsidR="00E00AEC">
        <w:t>nçus et essayés conformément au </w:t>
      </w:r>
      <w:r>
        <w:t xml:space="preserve">Règlement </w:t>
      </w:r>
      <w:r w:rsidR="00E00AEC" w:rsidRPr="002D76F4">
        <w:rPr>
          <w:rFonts w:eastAsia="MS Mincho"/>
          <w:szCs w:val="22"/>
        </w:rPr>
        <w:t>n</w:t>
      </w:r>
      <w:r w:rsidR="00E00AEC" w:rsidRPr="002D76F4">
        <w:rPr>
          <w:rFonts w:eastAsia="MS Mincho"/>
          <w:szCs w:val="22"/>
          <w:vertAlign w:val="superscript"/>
        </w:rPr>
        <w:t>o</w:t>
      </w:r>
      <w:r w:rsidR="00E00AEC">
        <w:t> </w:t>
      </w:r>
      <w:r>
        <w:t>100, tout déplacement du véhicule dû soit au moteur de traction, soit à une force extérieure, doit être évité pendant la charge. Un connecteur multipolaire, généralement à quatre pôles, doit être raccordé à la station de charge extérieure.</w:t>
      </w:r>
    </w:p>
    <w:p w:rsidR="00B22527" w:rsidRDefault="005A4FFB" w:rsidP="005A4FFB">
      <w:pPr>
        <w:pStyle w:val="SingleTxtG"/>
      </w:pPr>
      <w:r>
        <w:t>6.</w:t>
      </w:r>
      <w:r>
        <w:tab/>
        <w:t xml:space="preserve">Pour les véhicules conçus et essayés conformément à l’annexe 12 du Règlement </w:t>
      </w:r>
      <w:r w:rsidR="00E00AEC" w:rsidRPr="002D76F4">
        <w:rPr>
          <w:rFonts w:eastAsia="MS Mincho"/>
          <w:szCs w:val="22"/>
        </w:rPr>
        <w:t>n</w:t>
      </w:r>
      <w:r w:rsidR="00E00AEC" w:rsidRPr="002D76F4">
        <w:rPr>
          <w:rFonts w:eastAsia="MS Mincho"/>
          <w:szCs w:val="22"/>
          <w:vertAlign w:val="superscript"/>
        </w:rPr>
        <w:t>o</w:t>
      </w:r>
      <w:r w:rsidR="00E00AEC">
        <w:t> </w:t>
      </w:r>
      <w:r>
        <w:t>107, un déplacement est possible au cours de la charge du SRSEE (c’est-à-dire lorsque le véhicule est raccordé à la source d’énergie extérieure). Un connecteur bipolaire, par exemple un capteur de courant, peut être raccordé à la station de charge extérieure.</w:t>
      </w:r>
    </w:p>
    <w:p w:rsidR="005A4FFB" w:rsidRPr="005A4FFB" w:rsidRDefault="005A4FFB" w:rsidP="005A4FF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A4FFB" w:rsidRPr="005A4FFB" w:rsidSect="00DC5F4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4BF" w:rsidRDefault="000B24BF" w:rsidP="00F95C08">
      <w:pPr>
        <w:spacing w:line="240" w:lineRule="auto"/>
      </w:pPr>
    </w:p>
  </w:endnote>
  <w:endnote w:type="continuationSeparator" w:id="0">
    <w:p w:rsidR="000B24BF" w:rsidRPr="00AC3823" w:rsidRDefault="000B24BF" w:rsidP="00AC3823">
      <w:pPr>
        <w:pStyle w:val="Footer"/>
      </w:pPr>
    </w:p>
  </w:endnote>
  <w:endnote w:type="continuationNotice" w:id="1">
    <w:p w:rsidR="000B24BF" w:rsidRDefault="000B24B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4D" w:rsidRPr="00DC5F4D" w:rsidRDefault="00DC5F4D" w:rsidP="00DC5F4D">
    <w:pPr>
      <w:pStyle w:val="Footer"/>
      <w:tabs>
        <w:tab w:val="right" w:pos="9638"/>
      </w:tabs>
    </w:pPr>
    <w:r w:rsidRPr="00DC5F4D">
      <w:rPr>
        <w:b/>
        <w:sz w:val="18"/>
      </w:rPr>
      <w:fldChar w:fldCharType="begin"/>
    </w:r>
    <w:r w:rsidRPr="00DC5F4D">
      <w:rPr>
        <w:b/>
        <w:sz w:val="18"/>
      </w:rPr>
      <w:instrText xml:space="preserve"> PAGE  \* MERGEFORMAT </w:instrText>
    </w:r>
    <w:r w:rsidRPr="00DC5F4D">
      <w:rPr>
        <w:b/>
        <w:sz w:val="18"/>
      </w:rPr>
      <w:fldChar w:fldCharType="separate"/>
    </w:r>
    <w:r w:rsidR="00D96D5A">
      <w:rPr>
        <w:b/>
        <w:noProof/>
        <w:sz w:val="18"/>
      </w:rPr>
      <w:t>2</w:t>
    </w:r>
    <w:r w:rsidRPr="00DC5F4D">
      <w:rPr>
        <w:b/>
        <w:sz w:val="18"/>
      </w:rPr>
      <w:fldChar w:fldCharType="end"/>
    </w:r>
    <w:r>
      <w:rPr>
        <w:b/>
        <w:sz w:val="18"/>
      </w:rPr>
      <w:tab/>
    </w:r>
    <w:r>
      <w:t>GE.17-11945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4D" w:rsidRPr="00DC5F4D" w:rsidRDefault="00DC5F4D" w:rsidP="00DC5F4D">
    <w:pPr>
      <w:pStyle w:val="Footer"/>
      <w:tabs>
        <w:tab w:val="right" w:pos="9638"/>
      </w:tabs>
      <w:rPr>
        <w:b/>
        <w:sz w:val="18"/>
      </w:rPr>
    </w:pPr>
    <w:r>
      <w:t>GE.17-11945</w:t>
    </w:r>
    <w:r>
      <w:tab/>
    </w:r>
    <w:r w:rsidRPr="00DC5F4D">
      <w:rPr>
        <w:b/>
        <w:sz w:val="18"/>
      </w:rPr>
      <w:fldChar w:fldCharType="begin"/>
    </w:r>
    <w:r w:rsidRPr="00DC5F4D">
      <w:rPr>
        <w:b/>
        <w:sz w:val="18"/>
      </w:rPr>
      <w:instrText xml:space="preserve"> PAGE  \* MERGEFORMAT </w:instrText>
    </w:r>
    <w:r w:rsidRPr="00DC5F4D">
      <w:rPr>
        <w:b/>
        <w:sz w:val="18"/>
      </w:rPr>
      <w:fldChar w:fldCharType="separate"/>
    </w:r>
    <w:r w:rsidR="00D96D5A">
      <w:rPr>
        <w:b/>
        <w:noProof/>
        <w:sz w:val="18"/>
      </w:rPr>
      <w:t>3</w:t>
    </w:r>
    <w:r w:rsidRPr="00DC5F4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DC5F4D" w:rsidRDefault="00DC5F4D" w:rsidP="00DC5F4D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17-11945  (F)    140817    160817</w:t>
    </w:r>
    <w:r>
      <w:rPr>
        <w:sz w:val="20"/>
      </w:rPr>
      <w:br/>
    </w:r>
    <w:r w:rsidRPr="00DC5F4D">
      <w:rPr>
        <w:rFonts w:ascii="C39T30Lfz" w:hAnsi="C39T30Lfz"/>
        <w:sz w:val="56"/>
      </w:rPr>
      <w:t></w:t>
    </w:r>
    <w:r w:rsidRPr="00DC5F4D">
      <w:rPr>
        <w:rFonts w:ascii="C39T30Lfz" w:hAnsi="C39T30Lfz"/>
        <w:sz w:val="56"/>
      </w:rPr>
      <w:t></w:t>
    </w:r>
    <w:r w:rsidRPr="00DC5F4D">
      <w:rPr>
        <w:rFonts w:ascii="C39T30Lfz" w:hAnsi="C39T30Lfz"/>
        <w:sz w:val="56"/>
      </w:rPr>
      <w:t></w:t>
    </w:r>
    <w:r w:rsidRPr="00DC5F4D">
      <w:rPr>
        <w:rFonts w:ascii="C39T30Lfz" w:hAnsi="C39T30Lfz"/>
        <w:sz w:val="56"/>
      </w:rPr>
      <w:t></w:t>
    </w:r>
    <w:r w:rsidRPr="00DC5F4D">
      <w:rPr>
        <w:rFonts w:ascii="C39T30Lfz" w:hAnsi="C39T30Lfz"/>
        <w:sz w:val="56"/>
      </w:rPr>
      <w:t></w:t>
    </w:r>
    <w:r w:rsidRPr="00DC5F4D">
      <w:rPr>
        <w:rFonts w:ascii="C39T30Lfz" w:hAnsi="C39T30Lfz"/>
        <w:sz w:val="56"/>
      </w:rPr>
      <w:t></w:t>
    </w:r>
    <w:r w:rsidRPr="00DC5F4D">
      <w:rPr>
        <w:rFonts w:ascii="C39T30Lfz" w:hAnsi="C39T30Lfz"/>
        <w:sz w:val="56"/>
      </w:rPr>
      <w:t></w:t>
    </w:r>
    <w:r w:rsidRPr="00DC5F4D">
      <w:rPr>
        <w:rFonts w:ascii="C39T30Lfz" w:hAnsi="C39T30Lfz"/>
        <w:sz w:val="56"/>
      </w:rPr>
      <w:t></w:t>
    </w:r>
    <w:r w:rsidRPr="00DC5F4D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G/2017/1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7/1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4BF" w:rsidRPr="00AC3823" w:rsidRDefault="000B24B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B24BF" w:rsidRPr="00AC3823" w:rsidRDefault="000B24B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B24BF" w:rsidRPr="00AC3823" w:rsidRDefault="000B24BF">
      <w:pPr>
        <w:spacing w:line="240" w:lineRule="auto"/>
        <w:rPr>
          <w:sz w:val="2"/>
          <w:szCs w:val="2"/>
        </w:rPr>
      </w:pPr>
    </w:p>
  </w:footnote>
  <w:footnote w:id="2">
    <w:p w:rsidR="00B22527" w:rsidRPr="00B22527" w:rsidRDefault="00B22527">
      <w:pPr>
        <w:pStyle w:val="FootnoteText"/>
      </w:pPr>
      <w:r w:rsidRPr="00B22527">
        <w:rPr>
          <w:rStyle w:val="FootnoteReference"/>
          <w:spacing w:val="-1"/>
        </w:rPr>
        <w:tab/>
      </w:r>
      <w:r w:rsidRPr="00B22527">
        <w:rPr>
          <w:rStyle w:val="FootnoteReference"/>
          <w:spacing w:val="-1"/>
          <w:sz w:val="20"/>
          <w:vertAlign w:val="baseline"/>
        </w:rPr>
        <w:t>*</w:t>
      </w:r>
      <w:r w:rsidRPr="00B22527">
        <w:rPr>
          <w:rStyle w:val="FootnoteReference"/>
          <w:spacing w:val="-1"/>
          <w:sz w:val="20"/>
          <w:vertAlign w:val="baseline"/>
        </w:rPr>
        <w:tab/>
      </w:r>
      <w:r w:rsidRPr="00B22527">
        <w:rPr>
          <w:spacing w:val="-1"/>
        </w:rPr>
        <w:t>Conformément au programme de travail du Comité des transports intérieurs pour la période 2016-2017</w:t>
      </w:r>
      <w:r>
        <w:t xml:space="preserve"> (ECE/TRANS/254, par. 159, et ECE/TRANS/2016/28/Add.1, module 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4D" w:rsidRPr="00DC5F4D" w:rsidRDefault="00D96D5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05987">
      <w:t>ECE/TRANS/WP.29/GRSG/2017/14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4D" w:rsidRPr="00DC5F4D" w:rsidRDefault="00D96D5A" w:rsidP="00DC5F4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05987">
      <w:t>ECE/TRANS/WP.29/GRSG/2017/14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BF"/>
    <w:rsid w:val="00017F94"/>
    <w:rsid w:val="00023842"/>
    <w:rsid w:val="000334F9"/>
    <w:rsid w:val="00045FEB"/>
    <w:rsid w:val="0007796D"/>
    <w:rsid w:val="000B24BF"/>
    <w:rsid w:val="000B7790"/>
    <w:rsid w:val="00111F2F"/>
    <w:rsid w:val="0014365E"/>
    <w:rsid w:val="00143C66"/>
    <w:rsid w:val="00176178"/>
    <w:rsid w:val="001B4F55"/>
    <w:rsid w:val="001E3936"/>
    <w:rsid w:val="001F525A"/>
    <w:rsid w:val="00223272"/>
    <w:rsid w:val="0024779E"/>
    <w:rsid w:val="00257168"/>
    <w:rsid w:val="002744B8"/>
    <w:rsid w:val="0027547F"/>
    <w:rsid w:val="002832AC"/>
    <w:rsid w:val="002D7C93"/>
    <w:rsid w:val="00305801"/>
    <w:rsid w:val="003916DE"/>
    <w:rsid w:val="00441C3B"/>
    <w:rsid w:val="00446FE5"/>
    <w:rsid w:val="00452396"/>
    <w:rsid w:val="0046201F"/>
    <w:rsid w:val="004837D8"/>
    <w:rsid w:val="004E468C"/>
    <w:rsid w:val="005505B7"/>
    <w:rsid w:val="00573BE5"/>
    <w:rsid w:val="00586ED3"/>
    <w:rsid w:val="00596AA9"/>
    <w:rsid w:val="005A4FFB"/>
    <w:rsid w:val="0071601D"/>
    <w:rsid w:val="007A62E6"/>
    <w:rsid w:val="007E65D0"/>
    <w:rsid w:val="007F20FA"/>
    <w:rsid w:val="0080684C"/>
    <w:rsid w:val="00871C75"/>
    <w:rsid w:val="008776DC"/>
    <w:rsid w:val="009446C0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05987"/>
    <w:rsid w:val="00B22527"/>
    <w:rsid w:val="00B765F7"/>
    <w:rsid w:val="00BA0CA9"/>
    <w:rsid w:val="00C02897"/>
    <w:rsid w:val="00C97039"/>
    <w:rsid w:val="00CC3B56"/>
    <w:rsid w:val="00D3439C"/>
    <w:rsid w:val="00D96D5A"/>
    <w:rsid w:val="00DB1831"/>
    <w:rsid w:val="00DC5F4D"/>
    <w:rsid w:val="00DD3BFD"/>
    <w:rsid w:val="00DF6678"/>
    <w:rsid w:val="00E00AEC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3639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ECE/TRANS/WP.29/GRSG/2017/14</vt:lpstr>
      <vt:lpstr>ECE/TRANS/WP.29/GRSG/2017/14</vt:lpstr>
    </vt:vector>
  </TitlesOfParts>
  <Company>DCM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ECE/TRANS/WP.29/GRSG/2017/14</dc:title>
  <dc:creator>Marie DESCHAMPS</dc:creator>
  <cp:lastModifiedBy>Benedicte Boudol</cp:lastModifiedBy>
  <cp:revision>2</cp:revision>
  <cp:lastPrinted>2017-08-16T05:32:00Z</cp:lastPrinted>
  <dcterms:created xsi:type="dcterms:W3CDTF">2017-08-17T12:51:00Z</dcterms:created>
  <dcterms:modified xsi:type="dcterms:W3CDTF">2017-08-17T12:51:00Z</dcterms:modified>
</cp:coreProperties>
</file>