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602F1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602F15" w:rsidRDefault="00F35BAF" w:rsidP="00602F1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602F15" w:rsidRDefault="00F35BAF" w:rsidP="00892A2F">
            <w:pPr>
              <w:spacing w:after="80" w:line="300" w:lineRule="exact"/>
              <w:rPr>
                <w:sz w:val="28"/>
              </w:rPr>
            </w:pPr>
            <w:r w:rsidRPr="00602F1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602F15" w:rsidRDefault="00602F15" w:rsidP="00602F15">
            <w:pPr>
              <w:jc w:val="right"/>
            </w:pPr>
            <w:r w:rsidRPr="00602F15">
              <w:rPr>
                <w:sz w:val="40"/>
              </w:rPr>
              <w:t>ECE</w:t>
            </w:r>
            <w:r w:rsidRPr="00602F15">
              <w:t>/TRANS/WP.29/GRRF/2017/5</w:t>
            </w:r>
          </w:p>
        </w:tc>
      </w:tr>
      <w:tr w:rsidR="00F35BAF" w:rsidRPr="00602F1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602F15" w:rsidRDefault="00F35BAF" w:rsidP="00892A2F">
            <w:pPr>
              <w:spacing w:before="120"/>
              <w:jc w:val="center"/>
            </w:pPr>
            <w:r w:rsidRPr="00602F15">
              <w:rPr>
                <w:noProof/>
                <w:lang w:val="fr-FR" w:eastAsia="fr-FR"/>
              </w:rPr>
              <w:drawing>
                <wp:inline distT="0" distB="0" distL="0" distR="0" wp14:anchorId="7CB3D672" wp14:editId="1A36DCC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602F15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02F15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602F15" w:rsidRDefault="00602F15" w:rsidP="00892A2F">
            <w:pPr>
              <w:spacing w:before="240"/>
            </w:pPr>
            <w:r w:rsidRPr="00602F15">
              <w:t>Distr. générale</w:t>
            </w:r>
          </w:p>
          <w:p w:rsidR="00602F15" w:rsidRPr="00602F15" w:rsidRDefault="00602F15" w:rsidP="00602F15">
            <w:pPr>
              <w:spacing w:line="240" w:lineRule="exact"/>
            </w:pPr>
            <w:r w:rsidRPr="00602F15">
              <w:t>14 novembre 2016</w:t>
            </w:r>
          </w:p>
          <w:p w:rsidR="00602F15" w:rsidRPr="00602F15" w:rsidRDefault="00602F15" w:rsidP="00602F15">
            <w:pPr>
              <w:spacing w:line="240" w:lineRule="exact"/>
            </w:pPr>
            <w:r w:rsidRPr="00602F15">
              <w:t>Français</w:t>
            </w:r>
          </w:p>
          <w:p w:rsidR="00602F15" w:rsidRPr="00602F15" w:rsidRDefault="00602F15" w:rsidP="00602F15">
            <w:pPr>
              <w:spacing w:line="240" w:lineRule="exact"/>
            </w:pPr>
            <w:r w:rsidRPr="00602F15">
              <w:t>Original : anglais</w:t>
            </w:r>
          </w:p>
        </w:tc>
      </w:tr>
    </w:tbl>
    <w:p w:rsidR="007F20FA" w:rsidRPr="00602F15" w:rsidRDefault="007F20FA" w:rsidP="007F20FA">
      <w:pPr>
        <w:spacing w:before="120"/>
        <w:rPr>
          <w:b/>
          <w:sz w:val="28"/>
          <w:szCs w:val="28"/>
        </w:rPr>
      </w:pPr>
      <w:r w:rsidRPr="00602F15">
        <w:rPr>
          <w:b/>
          <w:sz w:val="28"/>
          <w:szCs w:val="28"/>
        </w:rPr>
        <w:t>Commission économique pour l</w:t>
      </w:r>
      <w:r w:rsidR="00A52825">
        <w:rPr>
          <w:b/>
          <w:sz w:val="28"/>
          <w:szCs w:val="28"/>
        </w:rPr>
        <w:t>’</w:t>
      </w:r>
      <w:r w:rsidRPr="00602F15">
        <w:rPr>
          <w:b/>
          <w:sz w:val="28"/>
          <w:szCs w:val="28"/>
        </w:rPr>
        <w:t>Europe</w:t>
      </w:r>
    </w:p>
    <w:p w:rsidR="007F20FA" w:rsidRPr="00602F15" w:rsidRDefault="007F20FA" w:rsidP="007F20FA">
      <w:pPr>
        <w:spacing w:before="120"/>
        <w:rPr>
          <w:sz w:val="28"/>
          <w:szCs w:val="28"/>
        </w:rPr>
      </w:pPr>
      <w:r w:rsidRPr="00602F15">
        <w:rPr>
          <w:sz w:val="28"/>
          <w:szCs w:val="28"/>
        </w:rPr>
        <w:t>Comité des transports intérieurs</w:t>
      </w:r>
    </w:p>
    <w:p w:rsidR="00602F15" w:rsidRPr="00602F15" w:rsidRDefault="00602F15" w:rsidP="00AF0CB5">
      <w:pPr>
        <w:spacing w:before="120"/>
        <w:rPr>
          <w:b/>
          <w:sz w:val="24"/>
          <w:szCs w:val="24"/>
        </w:rPr>
      </w:pPr>
      <w:r w:rsidRPr="00602F15">
        <w:rPr>
          <w:b/>
          <w:sz w:val="24"/>
          <w:szCs w:val="24"/>
        </w:rPr>
        <w:t>Forum mondial de l</w:t>
      </w:r>
      <w:r w:rsidR="00A52825">
        <w:rPr>
          <w:b/>
          <w:sz w:val="24"/>
          <w:szCs w:val="24"/>
        </w:rPr>
        <w:t>’</w:t>
      </w:r>
      <w:r w:rsidRPr="00602F15">
        <w:rPr>
          <w:b/>
          <w:sz w:val="24"/>
          <w:szCs w:val="24"/>
        </w:rPr>
        <w:t>harmonisation</w:t>
      </w:r>
      <w:r w:rsidRPr="00602F15">
        <w:rPr>
          <w:b/>
          <w:sz w:val="24"/>
          <w:szCs w:val="24"/>
        </w:rPr>
        <w:br/>
        <w:t>des Règlements concernant les véhicules</w:t>
      </w:r>
    </w:p>
    <w:p w:rsidR="00602F15" w:rsidRPr="00602F15" w:rsidRDefault="00602F15" w:rsidP="00257168">
      <w:pPr>
        <w:spacing w:before="120" w:after="120" w:line="240" w:lineRule="exact"/>
        <w:rPr>
          <w:b/>
        </w:rPr>
      </w:pPr>
      <w:r w:rsidRPr="00602F15">
        <w:rPr>
          <w:b/>
        </w:rPr>
        <w:t xml:space="preserve">Groupe de travail </w:t>
      </w:r>
      <w:r w:rsidRPr="00602F15">
        <w:rPr>
          <w:b/>
          <w:bCs/>
        </w:rPr>
        <w:t>en matière de roulement et de freinage</w:t>
      </w:r>
    </w:p>
    <w:p w:rsidR="00602F15" w:rsidRPr="00602F15" w:rsidRDefault="00602F15" w:rsidP="00257168">
      <w:pPr>
        <w:spacing w:before="120" w:line="240" w:lineRule="exact"/>
        <w:rPr>
          <w:b/>
        </w:rPr>
      </w:pPr>
      <w:r w:rsidRPr="00602F15">
        <w:rPr>
          <w:rFonts w:eastAsia="Times New Roman"/>
          <w:b/>
          <w:bCs/>
        </w:rPr>
        <w:t xml:space="preserve">Quatre-vingt-troisième </w:t>
      </w:r>
      <w:r w:rsidRPr="00602F15">
        <w:rPr>
          <w:b/>
        </w:rPr>
        <w:t>session</w:t>
      </w:r>
    </w:p>
    <w:p w:rsidR="00602F15" w:rsidRPr="00602F15" w:rsidRDefault="00602F15" w:rsidP="00257168">
      <w:pPr>
        <w:spacing w:line="240" w:lineRule="exact"/>
      </w:pPr>
      <w:r w:rsidRPr="00602F15">
        <w:t xml:space="preserve">Genève, </w:t>
      </w:r>
      <w:r w:rsidRPr="00602F15">
        <w:rPr>
          <w:rFonts w:eastAsia="Times New Roman"/>
        </w:rPr>
        <w:t>23-27</w:t>
      </w:r>
      <w:r w:rsidRPr="00602F15">
        <w:t> </w:t>
      </w:r>
      <w:r w:rsidRPr="00602F15">
        <w:rPr>
          <w:rFonts w:eastAsia="Times New Roman"/>
        </w:rPr>
        <w:t>j</w:t>
      </w:r>
      <w:r w:rsidRPr="00602F15">
        <w:rPr>
          <w:rFonts w:eastAsia="Times New Roman"/>
          <w:lang w:eastAsia="ja-JP"/>
        </w:rPr>
        <w:t xml:space="preserve">anvier </w:t>
      </w:r>
      <w:r w:rsidRPr="00602F15">
        <w:rPr>
          <w:rFonts w:eastAsia="Times New Roman"/>
        </w:rPr>
        <w:t>201</w:t>
      </w:r>
      <w:r w:rsidRPr="00602F15">
        <w:rPr>
          <w:rFonts w:eastAsia="Times New Roman"/>
          <w:lang w:eastAsia="ja-JP"/>
        </w:rPr>
        <w:t>7</w:t>
      </w:r>
    </w:p>
    <w:p w:rsidR="00602F15" w:rsidRPr="00602F15" w:rsidRDefault="00602F15" w:rsidP="00257168">
      <w:pPr>
        <w:spacing w:line="240" w:lineRule="exact"/>
      </w:pPr>
      <w:r w:rsidRPr="00602F15">
        <w:t xml:space="preserve">Point </w:t>
      </w:r>
      <w:r w:rsidRPr="00602F15">
        <w:rPr>
          <w:rFonts w:eastAsia="Times New Roman"/>
        </w:rPr>
        <w:t>7</w:t>
      </w:r>
      <w:r w:rsidR="00A52825">
        <w:rPr>
          <w:rFonts w:eastAsia="Times New Roman"/>
        </w:rPr>
        <w:t> </w:t>
      </w:r>
      <w:r w:rsidRPr="00602F15">
        <w:rPr>
          <w:rFonts w:eastAsia="Times New Roman"/>
        </w:rPr>
        <w:t>e) de l</w:t>
      </w:r>
      <w:r w:rsidR="00A52825">
        <w:rPr>
          <w:rFonts w:eastAsia="Times New Roman"/>
        </w:rPr>
        <w:t>’</w:t>
      </w:r>
      <w:r w:rsidRPr="00602F15">
        <w:rPr>
          <w:rFonts w:eastAsia="Times New Roman"/>
        </w:rPr>
        <w:t>ordre du jour provisoire</w:t>
      </w:r>
    </w:p>
    <w:p w:rsidR="00602F15" w:rsidRPr="00602F15" w:rsidRDefault="00602F15" w:rsidP="00602F15">
      <w:pPr>
        <w:rPr>
          <w:b/>
        </w:rPr>
      </w:pPr>
      <w:r w:rsidRPr="00602F15">
        <w:rPr>
          <w:rFonts w:eastAsia="Times New Roman"/>
          <w:b/>
        </w:rPr>
        <w:t xml:space="preserve">Pneumatiques : Règlement </w:t>
      </w:r>
      <w:r w:rsidRPr="00602F15">
        <w:rPr>
          <w:rFonts w:eastAsia="MS Mincho"/>
          <w:b/>
          <w:szCs w:val="22"/>
        </w:rPr>
        <w:t>n</w:t>
      </w:r>
      <w:r w:rsidRPr="00602F15">
        <w:rPr>
          <w:rFonts w:eastAsia="MS Mincho"/>
          <w:b/>
          <w:szCs w:val="22"/>
          <w:vertAlign w:val="superscript"/>
        </w:rPr>
        <w:t>o</w:t>
      </w:r>
      <w:r w:rsidRPr="00602F15">
        <w:rPr>
          <w:rFonts w:eastAsia="Times New Roman"/>
          <w:b/>
        </w:rPr>
        <w:t> 106</w:t>
      </w:r>
    </w:p>
    <w:p w:rsidR="00602F15" w:rsidRPr="00602F15" w:rsidRDefault="00602F15" w:rsidP="00602F15">
      <w:pPr>
        <w:pStyle w:val="HChG"/>
      </w:pPr>
      <w:r w:rsidRPr="00602F15">
        <w:tab/>
      </w:r>
      <w:r w:rsidRPr="00602F15">
        <w:tab/>
      </w:r>
      <w:r w:rsidRPr="00602F15">
        <w:rPr>
          <w:spacing w:val="2"/>
        </w:rPr>
        <w:t>Proposition d</w:t>
      </w:r>
      <w:r w:rsidR="00A52825">
        <w:rPr>
          <w:spacing w:val="2"/>
        </w:rPr>
        <w:t>’</w:t>
      </w:r>
      <w:r w:rsidRPr="00602F15">
        <w:rPr>
          <w:spacing w:val="2"/>
        </w:rPr>
        <w:t xml:space="preserve">amendements au Règlement </w:t>
      </w:r>
      <w:r w:rsidRPr="00602F15">
        <w:rPr>
          <w:rFonts w:eastAsia="MS Mincho"/>
          <w:spacing w:val="2"/>
          <w:szCs w:val="22"/>
        </w:rPr>
        <w:t>n</w:t>
      </w:r>
      <w:r w:rsidRPr="00602F15">
        <w:rPr>
          <w:rFonts w:eastAsia="MS Mincho"/>
          <w:spacing w:val="2"/>
          <w:szCs w:val="22"/>
          <w:vertAlign w:val="superscript"/>
        </w:rPr>
        <w:t>o</w:t>
      </w:r>
      <w:r w:rsidRPr="00602F15">
        <w:rPr>
          <w:spacing w:val="2"/>
        </w:rPr>
        <w:t> 106</w:t>
      </w:r>
      <w:r w:rsidRPr="00602F15">
        <w:t xml:space="preserve"> </w:t>
      </w:r>
      <w:r w:rsidRPr="00602F15">
        <w:rPr>
          <w:spacing w:val="-2"/>
        </w:rPr>
        <w:t>(Prescriptions uniformes relatives à l</w:t>
      </w:r>
      <w:r w:rsidR="00A52825">
        <w:rPr>
          <w:spacing w:val="-2"/>
        </w:rPr>
        <w:t>’</w:t>
      </w:r>
      <w:r w:rsidRPr="00602F15">
        <w:rPr>
          <w:spacing w:val="-2"/>
        </w:rPr>
        <w:t xml:space="preserve">homologation </w:t>
      </w:r>
      <w:r w:rsidRPr="00602F15">
        <w:rPr>
          <w:spacing w:val="-2"/>
        </w:rPr>
        <w:br/>
      </w:r>
      <w:r w:rsidRPr="00602F15">
        <w:t xml:space="preserve">des pneumatiques pour véhicules agricoles </w:t>
      </w:r>
      <w:r w:rsidRPr="00602F15">
        <w:br/>
        <w:t>et leurs remorques)</w:t>
      </w:r>
    </w:p>
    <w:p w:rsidR="00602F15" w:rsidRPr="00602F15" w:rsidRDefault="00602F15" w:rsidP="00602F15">
      <w:pPr>
        <w:pStyle w:val="H1G"/>
      </w:pPr>
      <w:r w:rsidRPr="00602F15">
        <w:tab/>
      </w:r>
      <w:r w:rsidRPr="00602F15">
        <w:tab/>
        <w:t>Communication des experts de l</w:t>
      </w:r>
      <w:r w:rsidR="00A52825">
        <w:t>’</w:t>
      </w:r>
      <w:r w:rsidRPr="00602F15">
        <w:t xml:space="preserve">Organisation technique </w:t>
      </w:r>
      <w:r w:rsidRPr="00602F15">
        <w:br/>
        <w:t>européenne du pneumatique et de la jante</w:t>
      </w:r>
      <w:r w:rsidRPr="00602F15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602F15" w:rsidRPr="00602F15" w:rsidRDefault="00602F15" w:rsidP="00602F15">
      <w:pPr>
        <w:pStyle w:val="SingleTxtG"/>
        <w:ind w:firstLine="567"/>
      </w:pPr>
      <w:r w:rsidRPr="00602F15">
        <w:t>Le texte reproduit ci-après, établi par les experts de l</w:t>
      </w:r>
      <w:r w:rsidR="00A52825">
        <w:t>’</w:t>
      </w:r>
      <w:r w:rsidRPr="00602F15">
        <w:t>Organisation technique européenne du pneumatique et de la jante (ETRTO), a pour objet de proposer l</w:t>
      </w:r>
      <w:r w:rsidR="00A52825">
        <w:t>’</w:t>
      </w:r>
      <w:r w:rsidRPr="00602F15">
        <w:t>addition de futurs codes de désignations de dimensions dans une nouvelle Résolution sur les dimensions des pneumatiques proposée dans le document ECE/TRANS/WP.29/GRRF/</w:t>
      </w:r>
      <w:r>
        <w:br/>
      </w:r>
      <w:r w:rsidRPr="00602F15">
        <w:t>2017/6. Les modifications au texte actuel du Règlement sont signalées en caractères gras pour les parties nouvelles ou biffés pour les parties supprimées.</w:t>
      </w:r>
    </w:p>
    <w:p w:rsidR="00602F15" w:rsidRPr="00602F15" w:rsidRDefault="00602F15" w:rsidP="00602F15">
      <w:pPr>
        <w:pStyle w:val="HChG"/>
      </w:pPr>
      <w:r w:rsidRPr="00602F15">
        <w:br w:type="page"/>
      </w:r>
      <w:r w:rsidRPr="00602F15">
        <w:lastRenderedPageBreak/>
        <w:tab/>
        <w:t>I.</w:t>
      </w:r>
      <w:r w:rsidRPr="00602F15">
        <w:tab/>
        <w:t>Propos</w:t>
      </w:r>
      <w:r>
        <w:t>ition</w:t>
      </w:r>
    </w:p>
    <w:p w:rsidR="00602F15" w:rsidRPr="00602F15" w:rsidRDefault="00602F15" w:rsidP="00602F15">
      <w:pPr>
        <w:pStyle w:val="SingleTxtG"/>
        <w:ind w:right="850"/>
      </w:pPr>
      <w:r w:rsidRPr="00602F15">
        <w:rPr>
          <w:i/>
        </w:rPr>
        <w:t>Paragraphe 2.15.7</w:t>
      </w:r>
      <w:r w:rsidRPr="00602F15">
        <w:t>, modifier comme suit</w:t>
      </w:r>
      <w:r w:rsidR="00C35008">
        <w:t> </w:t>
      </w:r>
      <w:r w:rsidRPr="00602F15">
        <w:t>:</w:t>
      </w:r>
    </w:p>
    <w:p w:rsidR="00602F15" w:rsidRPr="00602F15" w:rsidRDefault="00C35008" w:rsidP="00602F15">
      <w:pPr>
        <w:pStyle w:val="SingleTxtG"/>
        <w:ind w:left="2268" w:right="850" w:hanging="1134"/>
      </w:pPr>
      <w:r>
        <w:t>« 2.15.7</w:t>
      </w:r>
      <w:r w:rsidR="00602F15" w:rsidRPr="00602F15">
        <w:tab/>
        <w:t>Cependant, pour les pneumatiques énumérés à l</w:t>
      </w:r>
      <w:r w:rsidR="00A52825">
        <w:t>’</w:t>
      </w:r>
      <w:r w:rsidR="00602F15" w:rsidRPr="00602F15">
        <w:t xml:space="preserve">annexe 5 </w:t>
      </w:r>
      <w:r w:rsidR="00602F15" w:rsidRPr="00602F15">
        <w:rPr>
          <w:b/>
        </w:rPr>
        <w:t>et/ou dans le document [ECE/TRANS/WP.29/GRRF/2017/6 (</w:t>
      </w:r>
      <w:r w:rsidR="00602F15" w:rsidRPr="00602F15">
        <w:rPr>
          <w:b/>
          <w:bCs/>
        </w:rPr>
        <w:t>Résolution sur les dimensions des pneumatiques)]</w:t>
      </w:r>
      <w:r w:rsidR="00602F15" w:rsidRPr="00602F15">
        <w:t xml:space="preserve"> la </w:t>
      </w:r>
      <w:r>
        <w:t>“</w:t>
      </w:r>
      <w:r w:rsidR="00602F15" w:rsidRPr="00602F15">
        <w:t>désignation de la dimension du pneumatique</w:t>
      </w:r>
      <w:r>
        <w:t>”</w:t>
      </w:r>
      <w:r w:rsidR="00602F15" w:rsidRPr="00602F15">
        <w:t xml:space="preserve"> est celle figurant dans la première colonne des tableaux</w:t>
      </w:r>
      <w:r w:rsidR="00AE276B">
        <w:t> </w:t>
      </w:r>
      <w:r w:rsidR="00602F15" w:rsidRPr="00602F15">
        <w:t>;</w:t>
      </w:r>
      <w:r>
        <w:t> ».</w:t>
      </w:r>
    </w:p>
    <w:p w:rsidR="00602F15" w:rsidRPr="00602F15" w:rsidRDefault="00602F15" w:rsidP="00602F15">
      <w:pPr>
        <w:pStyle w:val="SingleTxtG"/>
        <w:ind w:right="850"/>
      </w:pPr>
      <w:r w:rsidRPr="00602F15">
        <w:rPr>
          <w:i/>
        </w:rPr>
        <w:t>Paragraphe 2.18</w:t>
      </w:r>
      <w:r w:rsidRPr="00602F15">
        <w:t>, modifier comme suit</w:t>
      </w:r>
      <w:r w:rsidR="00C35008">
        <w:t> </w:t>
      </w:r>
      <w:r w:rsidRPr="00602F15">
        <w:t>:</w:t>
      </w:r>
    </w:p>
    <w:p w:rsidR="00602F15" w:rsidRPr="00602F15" w:rsidRDefault="00C35008" w:rsidP="00602F15">
      <w:pPr>
        <w:pStyle w:val="SingleTxtG"/>
        <w:ind w:left="2268" w:right="850" w:hanging="1134"/>
      </w:pPr>
      <w:r>
        <w:t>« 2.18</w:t>
      </w:r>
      <w:r w:rsidR="00602F15" w:rsidRPr="00602F15">
        <w:tab/>
      </w:r>
      <w:r>
        <w:t>“</w:t>
      </w:r>
      <w:r w:rsidR="00602F15" w:rsidRPr="00602F15">
        <w:t>Jante théorique</w:t>
      </w:r>
      <w:r>
        <w:t>”</w:t>
      </w:r>
      <w:r w:rsidR="00602F15" w:rsidRPr="00602F15">
        <w:t>, la jante fictive dont la largeur serait égale à x fois la grosseur nominale du boudin d</w:t>
      </w:r>
      <w:r w:rsidR="00A52825">
        <w:t>’</w:t>
      </w:r>
      <w:r w:rsidR="00602F15" w:rsidRPr="00602F15">
        <w:t>un pneumatique</w:t>
      </w:r>
      <w:r w:rsidR="00AE276B">
        <w:t> </w:t>
      </w:r>
      <w:r w:rsidR="00602F15" w:rsidRPr="00602F15">
        <w:t>; la valeur de x doit être précisée par le fabricant du pneumatique, faute de quoi la largeur de la jante de référence est celle indiquée à l</w:t>
      </w:r>
      <w:r w:rsidR="00A52825">
        <w:t>’</w:t>
      </w:r>
      <w:r w:rsidR="00602F15" w:rsidRPr="00602F15">
        <w:t xml:space="preserve">annexe 5 </w:t>
      </w:r>
      <w:r w:rsidR="00602F15" w:rsidRPr="00602F15">
        <w:rPr>
          <w:b/>
        </w:rPr>
        <w:t>et/ou dans le document [ECE/TRANS/WP.29/</w:t>
      </w:r>
      <w:r>
        <w:rPr>
          <w:b/>
        </w:rPr>
        <w:br/>
      </w:r>
      <w:r w:rsidR="00602F15" w:rsidRPr="00602F15">
        <w:rPr>
          <w:b/>
        </w:rPr>
        <w:t>GRRF/2017/6 (</w:t>
      </w:r>
      <w:r w:rsidR="00602F15" w:rsidRPr="00602F15">
        <w:rPr>
          <w:b/>
          <w:bCs/>
        </w:rPr>
        <w:t>Résolution sur les dimensions des pneumatiques)]</w:t>
      </w:r>
      <w:r w:rsidR="00602F15" w:rsidRPr="00602F15">
        <w:t xml:space="preserve"> </w:t>
      </w:r>
      <w:r w:rsidR="00602F15" w:rsidRPr="00602F15">
        <w:rPr>
          <w:b/>
        </w:rPr>
        <w:t>pour</w:t>
      </w:r>
      <w:r w:rsidR="00602F15" w:rsidRPr="00602F15">
        <w:t xml:space="preserve"> la désignation de la dimension du pneumatique correspondante</w:t>
      </w:r>
      <w:r>
        <w:t> </w:t>
      </w:r>
      <w:r w:rsidR="00602F15" w:rsidRPr="00602F15">
        <w:t>;</w:t>
      </w:r>
      <w:r>
        <w:t> ».</w:t>
      </w:r>
    </w:p>
    <w:p w:rsidR="00602F15" w:rsidRPr="00602F15" w:rsidRDefault="00602F15" w:rsidP="00602F15">
      <w:pPr>
        <w:pStyle w:val="SingleTxtG"/>
        <w:ind w:right="850"/>
      </w:pPr>
      <w:r w:rsidRPr="00602F15">
        <w:rPr>
          <w:i/>
        </w:rPr>
        <w:t>Paragraphe 3.1.8.</w:t>
      </w:r>
      <w:r w:rsidR="00C35008">
        <w:rPr>
          <w:i/>
        </w:rPr>
        <w:t>2</w:t>
      </w:r>
      <w:r w:rsidRPr="00602F15">
        <w:t>, modifier comme suit</w:t>
      </w:r>
      <w:r w:rsidR="00C35008">
        <w:t> </w:t>
      </w:r>
      <w:r w:rsidRPr="00602F15">
        <w:t>:</w:t>
      </w:r>
    </w:p>
    <w:p w:rsidR="00602F15" w:rsidRPr="00602F15" w:rsidRDefault="00C35008" w:rsidP="00602F15">
      <w:pPr>
        <w:pStyle w:val="SingleTxtG"/>
        <w:ind w:left="2268" w:right="850" w:hanging="1134"/>
      </w:pPr>
      <w:r>
        <w:t>« 3.1.8.2</w:t>
      </w:r>
      <w:r w:rsidR="00602F15" w:rsidRPr="00602F15">
        <w:tab/>
        <w:t>L</w:t>
      </w:r>
      <w:r w:rsidR="00A52825">
        <w:t>’</w:t>
      </w:r>
      <w:r w:rsidR="00602F15" w:rsidRPr="00602F15">
        <w:t xml:space="preserve">inscription </w:t>
      </w:r>
      <w:r>
        <w:t>“</w:t>
      </w:r>
      <w:r w:rsidR="00602F15" w:rsidRPr="00602F15">
        <w:t>I-3</w:t>
      </w:r>
      <w:r>
        <w:t>”</w:t>
      </w:r>
      <w:r w:rsidR="00602F15" w:rsidRPr="00602F15">
        <w:t xml:space="preserve"> pour les pneumatiques pour machines agricoles de type </w:t>
      </w:r>
      <w:r>
        <w:t>“</w:t>
      </w:r>
      <w:r w:rsidR="00602F15" w:rsidRPr="00602F15">
        <w:t>traction</w:t>
      </w:r>
      <w:r>
        <w:t>”</w:t>
      </w:r>
      <w:r w:rsidR="00602F15" w:rsidRPr="00602F15">
        <w:t>, comme indiqué à l</w:t>
      </w:r>
      <w:r w:rsidR="00A52825">
        <w:t>’</w:t>
      </w:r>
      <w:r w:rsidR="00602F15" w:rsidRPr="00602F15">
        <w:t xml:space="preserve">annexe 5, tableaux 5 et 6 </w:t>
      </w:r>
      <w:r w:rsidR="00602F15" w:rsidRPr="00602F15">
        <w:rPr>
          <w:b/>
        </w:rPr>
        <w:t>et/ou dans le document [ECE/TRANS/WP.29/GRRF/2017/6 (</w:t>
      </w:r>
      <w:r w:rsidR="00602F15" w:rsidRPr="00602F15">
        <w:rPr>
          <w:b/>
          <w:bCs/>
        </w:rPr>
        <w:t>Résolution sur les dimensions des pneumatiques)]</w:t>
      </w:r>
      <w:r w:rsidR="00602F15" w:rsidRPr="00602F15">
        <w:t>.</w:t>
      </w:r>
      <w:r>
        <w:t> ».</w:t>
      </w:r>
    </w:p>
    <w:p w:rsidR="00602F15" w:rsidRPr="00602F15" w:rsidRDefault="00602F15" w:rsidP="00602F15">
      <w:pPr>
        <w:pStyle w:val="SingleTxtG"/>
        <w:ind w:right="850"/>
      </w:pPr>
      <w:r w:rsidRPr="00602F15">
        <w:rPr>
          <w:i/>
        </w:rPr>
        <w:t>Paragraphe 4.1.13</w:t>
      </w:r>
      <w:r w:rsidRPr="00602F15">
        <w:t>, modifier comme suit</w:t>
      </w:r>
      <w:r w:rsidR="00C35008">
        <w:t> </w:t>
      </w:r>
      <w:r w:rsidRPr="00602F15">
        <w:t>:</w:t>
      </w:r>
    </w:p>
    <w:p w:rsidR="00602F15" w:rsidRPr="00602F15" w:rsidRDefault="00C35008" w:rsidP="00602F15">
      <w:pPr>
        <w:pStyle w:val="SingleTxtG"/>
        <w:ind w:left="2268" w:right="850" w:hanging="1134"/>
      </w:pPr>
      <w:r>
        <w:t>« 4.1.13</w:t>
      </w:r>
      <w:r w:rsidR="00602F15" w:rsidRPr="00602F15">
        <w:tab/>
        <w:t>Le facteur X mentionné au paragraphe 2.18 ou le tableau pertinent de l</w:t>
      </w:r>
      <w:r w:rsidR="00A52825">
        <w:t>’</w:t>
      </w:r>
      <w:r w:rsidR="00602F15" w:rsidRPr="00602F15">
        <w:t xml:space="preserve">annexe 5 </w:t>
      </w:r>
      <w:r w:rsidR="00602F15" w:rsidRPr="00602F15">
        <w:rPr>
          <w:b/>
        </w:rPr>
        <w:t>et/ou dans le document [ECE/TRANS/WP.29/GRRF/2017/6 (</w:t>
      </w:r>
      <w:r w:rsidR="00602F15" w:rsidRPr="00602F15">
        <w:rPr>
          <w:b/>
          <w:bCs/>
        </w:rPr>
        <w:t>Résolution sur les dimensions des pneumatiques)]</w:t>
      </w:r>
      <w:r w:rsidRPr="00C35008">
        <w:t> ».</w:t>
      </w:r>
    </w:p>
    <w:p w:rsidR="00602F15" w:rsidRPr="00602F15" w:rsidRDefault="00602F15" w:rsidP="00602F15">
      <w:pPr>
        <w:pStyle w:val="SingleTxtG"/>
        <w:ind w:right="850"/>
      </w:pPr>
      <w:r w:rsidRPr="00602F15">
        <w:rPr>
          <w:i/>
        </w:rPr>
        <w:t>Paragraphe 6.1.2</w:t>
      </w:r>
      <w:r w:rsidRPr="00602F15">
        <w:t>, modifier comme suit</w:t>
      </w:r>
      <w:r w:rsidR="00C35008">
        <w:t> </w:t>
      </w:r>
      <w:r w:rsidRPr="00602F15">
        <w:t>:</w:t>
      </w:r>
    </w:p>
    <w:p w:rsidR="00602F15" w:rsidRPr="00602F15" w:rsidRDefault="00C35008" w:rsidP="00602F15">
      <w:pPr>
        <w:pStyle w:val="SingleTxtG"/>
        <w:ind w:left="2268" w:right="850" w:hanging="1134"/>
      </w:pPr>
      <w:r>
        <w:t>« 6.1.2</w:t>
      </w:r>
      <w:r w:rsidR="00602F15" w:rsidRPr="00602F15">
        <w:tab/>
        <w:t>Toutefois, pour les types de pneumatique dont la désignation des dimensions figure dans la première colonne des tableaux de l</w:t>
      </w:r>
      <w:r w:rsidR="00A52825">
        <w:t>’</w:t>
      </w:r>
      <w:r w:rsidR="00602F15" w:rsidRPr="00602F15">
        <w:t xml:space="preserve">annexe 5 </w:t>
      </w:r>
      <w:r w:rsidR="00602F15" w:rsidRPr="00602F15">
        <w:rPr>
          <w:b/>
        </w:rPr>
        <w:t>et/ou dans le document [</w:t>
      </w:r>
      <w:r w:rsidR="00602F15" w:rsidRPr="00C35008">
        <w:rPr>
          <w:b/>
          <w:spacing w:val="-2"/>
        </w:rPr>
        <w:t>ECE/TRANS/WP.29/GRRF/2017/6 (</w:t>
      </w:r>
      <w:r w:rsidR="00602F15" w:rsidRPr="00C35008">
        <w:rPr>
          <w:b/>
          <w:bCs/>
          <w:spacing w:val="-2"/>
        </w:rPr>
        <w:t xml:space="preserve">Résolution sur </w:t>
      </w:r>
      <w:r w:rsidR="00602F15" w:rsidRPr="00602F15">
        <w:rPr>
          <w:b/>
          <w:bCs/>
        </w:rPr>
        <w:t>les dimensions des pneumatiques)]</w:t>
      </w:r>
      <w:r w:rsidR="00602F15" w:rsidRPr="00602F15">
        <w:t>, la largeur de la jante théorique (A1) et la grosseur nominale du boudin (S1) figurent, dans ces tableaux, en regard de la désignation de la dimension du pneumatique.</w:t>
      </w:r>
      <w:r w:rsidRPr="00C35008">
        <w:t> ».</w:t>
      </w:r>
    </w:p>
    <w:p w:rsidR="00602F15" w:rsidRPr="00602F15" w:rsidRDefault="00602F15" w:rsidP="00602F15">
      <w:pPr>
        <w:pStyle w:val="SingleTxtG"/>
        <w:ind w:right="850"/>
      </w:pPr>
      <w:r w:rsidRPr="00602F15">
        <w:rPr>
          <w:i/>
        </w:rPr>
        <w:t>Paragraphe</w:t>
      </w:r>
      <w:r w:rsidR="00C35008">
        <w:rPr>
          <w:i/>
        </w:rPr>
        <w:t xml:space="preserve"> 6.2.2</w:t>
      </w:r>
      <w:r w:rsidRPr="00602F15">
        <w:t>, modifier comme suit</w:t>
      </w:r>
      <w:r w:rsidR="00C35008">
        <w:t> </w:t>
      </w:r>
      <w:r w:rsidRPr="00602F15">
        <w:t>:</w:t>
      </w:r>
    </w:p>
    <w:p w:rsidR="00602F15" w:rsidRPr="00602F15" w:rsidRDefault="00C35008" w:rsidP="00602F15">
      <w:pPr>
        <w:pStyle w:val="SingleTxtG"/>
        <w:ind w:left="2268" w:right="850" w:hanging="1134"/>
      </w:pPr>
      <w:r>
        <w:t>« 6.2.2</w:t>
      </w:r>
      <w:r w:rsidR="00602F15" w:rsidRPr="00602F15">
        <w:tab/>
        <w:t>Toutefois, pour les types de pneumatique dont la désignation de dimension figure dans la première colonne des tableaux de l</w:t>
      </w:r>
      <w:r w:rsidR="00A52825">
        <w:t>’</w:t>
      </w:r>
      <w:r w:rsidR="00602F15" w:rsidRPr="00602F15">
        <w:t xml:space="preserve">annexe 5 </w:t>
      </w:r>
      <w:r w:rsidR="00602F15" w:rsidRPr="00602F15">
        <w:rPr>
          <w:b/>
        </w:rPr>
        <w:t xml:space="preserve">et/ou dans le </w:t>
      </w:r>
      <w:r w:rsidR="00602F15" w:rsidRPr="00C35008">
        <w:rPr>
          <w:b/>
          <w:spacing w:val="-2"/>
        </w:rPr>
        <w:t>document [ECE/TRANS/WP.29/GRRF/2017/6 (</w:t>
      </w:r>
      <w:r w:rsidR="00602F15" w:rsidRPr="00C35008">
        <w:rPr>
          <w:b/>
          <w:bCs/>
          <w:spacing w:val="-2"/>
        </w:rPr>
        <w:t>Résolution</w:t>
      </w:r>
      <w:r w:rsidR="00602F15" w:rsidRPr="00602F15">
        <w:rPr>
          <w:b/>
          <w:bCs/>
        </w:rPr>
        <w:t xml:space="preserve"> sur les dimensions des pneumatiques)]</w:t>
      </w:r>
      <w:r w:rsidR="00602F15" w:rsidRPr="00602F15">
        <w:t>, le diamètre extérieur (D) et le diamètre nominal de la jante</w:t>
      </w:r>
      <w:r>
        <w:t> </w:t>
      </w:r>
      <w:r w:rsidR="00602F15" w:rsidRPr="00602F15">
        <w:t>(d) exprimés en mm figurent, dans les tableaux, en regard de la désignation de la dimension du pneumatique</w:t>
      </w:r>
      <w:r w:rsidR="00602F15" w:rsidRPr="00C35008">
        <w:t>.</w:t>
      </w:r>
      <w:r w:rsidRPr="00C35008">
        <w:t> ».</w:t>
      </w:r>
    </w:p>
    <w:p w:rsidR="00602F15" w:rsidRPr="00602F15" w:rsidRDefault="00602F15" w:rsidP="00602F15">
      <w:pPr>
        <w:pStyle w:val="SingleTxtG"/>
        <w:ind w:right="850"/>
      </w:pPr>
      <w:r w:rsidRPr="00602F15">
        <w:rPr>
          <w:i/>
        </w:rPr>
        <w:t>Paragraphe 6.3.1</w:t>
      </w:r>
      <w:r w:rsidRPr="00602F15">
        <w:t>, modifier comme suit</w:t>
      </w:r>
      <w:r w:rsidR="00C35008">
        <w:t> </w:t>
      </w:r>
      <w:r w:rsidRPr="00602F15">
        <w:t>:</w:t>
      </w:r>
    </w:p>
    <w:p w:rsidR="00602F15" w:rsidRPr="00602F15" w:rsidRDefault="00C35008" w:rsidP="00602F15">
      <w:pPr>
        <w:pStyle w:val="SingleTxtG"/>
        <w:ind w:left="2268" w:right="850" w:hanging="1134"/>
      </w:pPr>
      <w:r>
        <w:t>« 6.3.1</w:t>
      </w:r>
      <w:r w:rsidR="00602F15" w:rsidRPr="00602F15">
        <w:tab/>
        <w:t>La grosseur hors tout d</w:t>
      </w:r>
      <w:r w:rsidR="00A52825">
        <w:t>’</w:t>
      </w:r>
      <w:r w:rsidR="00602F15" w:rsidRPr="00602F15">
        <w:t>un pneumatique peut être inférieure à la grosseur du boudin déterminée en application du paragraphe 6.1, ou telle qu</w:t>
      </w:r>
      <w:r w:rsidR="00A52825">
        <w:t>’</w:t>
      </w:r>
      <w:r w:rsidR="00602F15" w:rsidRPr="00602F15">
        <w:t xml:space="preserve">elle figure à </w:t>
      </w:r>
      <w:r w:rsidR="00602F15" w:rsidRPr="00C35008">
        <w:t>l</w:t>
      </w:r>
      <w:r w:rsidR="00A52825">
        <w:t>’</w:t>
      </w:r>
      <w:r w:rsidR="00602F15" w:rsidRPr="00C35008">
        <w:t xml:space="preserve">annexe 5 </w:t>
      </w:r>
      <w:r w:rsidR="00602F15" w:rsidRPr="00C35008">
        <w:rPr>
          <w:b/>
        </w:rPr>
        <w:t>et/ou dans le document [ECE/TRANS/WP.29/GRRF/2017/6</w:t>
      </w:r>
      <w:r w:rsidR="00602F15" w:rsidRPr="00602F15">
        <w:rPr>
          <w:b/>
        </w:rPr>
        <w:t xml:space="preserve"> (</w:t>
      </w:r>
      <w:r w:rsidR="00602F15" w:rsidRPr="00602F15">
        <w:rPr>
          <w:b/>
          <w:bCs/>
        </w:rPr>
        <w:t>Résolution sur les dimensions des pneumatiques)]</w:t>
      </w:r>
      <w:r w:rsidR="00AE276B">
        <w:rPr>
          <w:b/>
          <w:bCs/>
        </w:rPr>
        <w:t> </w:t>
      </w:r>
      <w:r w:rsidR="00602F15" w:rsidRPr="00602F15">
        <w:t>;</w:t>
      </w:r>
      <w:r w:rsidRPr="00C35008">
        <w:t> »</w:t>
      </w:r>
      <w:r>
        <w:t>.</w:t>
      </w:r>
    </w:p>
    <w:p w:rsidR="00602F15" w:rsidRPr="00602F15" w:rsidRDefault="00602F15" w:rsidP="00231E51">
      <w:pPr>
        <w:pStyle w:val="SingleTxtG"/>
        <w:keepNext/>
        <w:ind w:right="850"/>
      </w:pPr>
      <w:r w:rsidRPr="00602F15">
        <w:rPr>
          <w:i/>
        </w:rPr>
        <w:lastRenderedPageBreak/>
        <w:t>Paragraphe 6.3.3</w:t>
      </w:r>
      <w:r w:rsidRPr="00602F15">
        <w:t>, modifier comme suit</w:t>
      </w:r>
      <w:r w:rsidR="00C35008">
        <w:t> </w:t>
      </w:r>
      <w:r w:rsidRPr="00602F15">
        <w:t>:</w:t>
      </w:r>
    </w:p>
    <w:p w:rsidR="00602F15" w:rsidRPr="00602F15" w:rsidRDefault="00C35008" w:rsidP="00602F15">
      <w:pPr>
        <w:pStyle w:val="SingleTxtG"/>
        <w:ind w:left="2268" w:right="850" w:hanging="1134"/>
      </w:pPr>
      <w:r>
        <w:t>« </w:t>
      </w:r>
      <w:r w:rsidR="00AE276B">
        <w:t>6.3.3</w:t>
      </w:r>
      <w:r w:rsidR="00602F15" w:rsidRPr="00602F15">
        <w:tab/>
        <w:t>Toutefois, pour les types de pneumatique dont la désignation de dimension figure dans la première colonne des tableaux de l</w:t>
      </w:r>
      <w:r w:rsidR="00A52825">
        <w:t>’</w:t>
      </w:r>
      <w:r w:rsidR="00602F15" w:rsidRPr="00602F15">
        <w:t xml:space="preserve">annexe 5 </w:t>
      </w:r>
      <w:r w:rsidR="00602F15" w:rsidRPr="00602F15">
        <w:rPr>
          <w:b/>
        </w:rPr>
        <w:t xml:space="preserve">et/ou dans le </w:t>
      </w:r>
      <w:r w:rsidR="00602F15" w:rsidRPr="00C35008">
        <w:rPr>
          <w:b/>
          <w:spacing w:val="-2"/>
        </w:rPr>
        <w:t>document [ECE/TRANS/WP.29/GRRF/2017/6 (</w:t>
      </w:r>
      <w:r w:rsidR="00602F15" w:rsidRPr="00C35008">
        <w:rPr>
          <w:b/>
          <w:bCs/>
          <w:spacing w:val="-2"/>
        </w:rPr>
        <w:t>Résolution sur</w:t>
      </w:r>
      <w:r w:rsidR="00602F15" w:rsidRPr="00602F15">
        <w:rPr>
          <w:b/>
          <w:bCs/>
        </w:rPr>
        <w:t xml:space="preserve"> les dimensions des pneumatiques)]</w:t>
      </w:r>
      <w:r w:rsidR="00602F15" w:rsidRPr="00602F15">
        <w:t>, les pourcentages autorisés sont ceux figurant dans les tableaux pertinents, le cas échéant.</w:t>
      </w:r>
      <w:r w:rsidRPr="00C35008">
        <w:t> ».</w:t>
      </w:r>
    </w:p>
    <w:p w:rsidR="00602F15" w:rsidRPr="00602F15" w:rsidRDefault="00602F15" w:rsidP="00602F15">
      <w:pPr>
        <w:pStyle w:val="SingleTxtG"/>
        <w:ind w:right="850"/>
      </w:pPr>
      <w:r w:rsidRPr="00602F15">
        <w:rPr>
          <w:i/>
        </w:rPr>
        <w:t>Paragraphe 6.4.1.1</w:t>
      </w:r>
      <w:r w:rsidRPr="00602F15">
        <w:t>, modifier comme suit</w:t>
      </w:r>
      <w:r w:rsidR="00C35008">
        <w:t> </w:t>
      </w:r>
      <w:r w:rsidRPr="00602F15">
        <w:t>:</w:t>
      </w:r>
    </w:p>
    <w:p w:rsidR="00602F15" w:rsidRPr="00231E51" w:rsidRDefault="00C35008" w:rsidP="00231E51">
      <w:pPr>
        <w:pStyle w:val="SingleTxtG"/>
        <w:ind w:left="2268" w:right="850" w:hanging="1134"/>
      </w:pPr>
      <w:r>
        <w:t>« </w:t>
      </w:r>
      <w:r w:rsidR="00AE276B">
        <w:t>6.4.1.1</w:t>
      </w:r>
      <w:r w:rsidR="00602F15" w:rsidRPr="00602F15">
        <w:tab/>
      </w:r>
      <w:r w:rsidR="00602F15" w:rsidRPr="00231E51">
        <w:t>Pour les dimensions indiquées dans l</w:t>
      </w:r>
      <w:r w:rsidR="00A52825">
        <w:t>’</w:t>
      </w:r>
      <w:r w:rsidR="00602F15" w:rsidRPr="00231E51">
        <w:t xml:space="preserve">annexe 5 </w:t>
      </w:r>
      <w:r w:rsidR="00602F15" w:rsidRPr="00231E51">
        <w:rPr>
          <w:b/>
        </w:rPr>
        <w:t>et/ou dans le document [ECE/TRANS/WP.29/GRRF/2017/6 (Résolution sur les dimensions des pneumatiques)]</w:t>
      </w:r>
      <w:r w:rsidR="00AE276B" w:rsidRPr="00231E51">
        <w:t> </w:t>
      </w:r>
      <w:r w:rsidR="00602F15" w:rsidRPr="00231E51">
        <w:t xml:space="preserve">: H = 0,5 (D </w:t>
      </w:r>
      <w:r w:rsidR="00AE276B" w:rsidRPr="00231E51">
        <w:t>-</w:t>
      </w:r>
      <w:r w:rsidR="00602F15" w:rsidRPr="00231E51">
        <w:t xml:space="preserve"> d)</w:t>
      </w:r>
    </w:p>
    <w:p w:rsidR="00602F15" w:rsidRPr="00602F15" w:rsidRDefault="00602F15" w:rsidP="00602F15">
      <w:pPr>
        <w:pStyle w:val="SingleTxtG"/>
        <w:ind w:left="2268" w:right="850"/>
      </w:pPr>
      <w:r w:rsidRPr="00602F15">
        <w:t>(pour les références, voir le paragraphe 6.2 ci-dessus).</w:t>
      </w:r>
      <w:r w:rsidR="00C35008" w:rsidRPr="00C35008">
        <w:t> ».</w:t>
      </w:r>
    </w:p>
    <w:p w:rsidR="00602F15" w:rsidRPr="00602F15" w:rsidRDefault="00602F15" w:rsidP="00602F15">
      <w:pPr>
        <w:pStyle w:val="SingleTxtG"/>
        <w:keepNext/>
        <w:ind w:right="851"/>
      </w:pPr>
      <w:r w:rsidRPr="00602F15">
        <w:rPr>
          <w:i/>
        </w:rPr>
        <w:t>Paragraphe 6.4.3</w:t>
      </w:r>
      <w:r w:rsidR="00C35008" w:rsidRPr="00C35008">
        <w:t>,</w:t>
      </w:r>
      <w:r w:rsidRPr="00602F15">
        <w:t xml:space="preserve"> modifier comme suit</w:t>
      </w:r>
      <w:r w:rsidR="00C35008">
        <w:t> </w:t>
      </w:r>
      <w:r w:rsidRPr="00602F15">
        <w:t>:</w:t>
      </w:r>
    </w:p>
    <w:p w:rsidR="00602F15" w:rsidRPr="00602F15" w:rsidRDefault="00C35008" w:rsidP="00602F15">
      <w:pPr>
        <w:pStyle w:val="SingleTxtG"/>
        <w:ind w:left="2268" w:right="850" w:hanging="1134"/>
      </w:pPr>
      <w:r>
        <w:t>« </w:t>
      </w:r>
      <w:r w:rsidR="00AE276B">
        <w:t>6.4.3</w:t>
      </w:r>
      <w:r w:rsidR="00602F15" w:rsidRPr="00602F15">
        <w:tab/>
      </w:r>
      <w:r w:rsidR="00602F15" w:rsidRPr="00602F15">
        <w:rPr>
          <w:iCs/>
        </w:rPr>
        <w:t>Toutefois, pour les types de pneumatique dont la désignation de dimension figure dans la première colonne des tableaux de l</w:t>
      </w:r>
      <w:r w:rsidR="00A52825">
        <w:rPr>
          <w:iCs/>
        </w:rPr>
        <w:t>’</w:t>
      </w:r>
      <w:r w:rsidR="00602F15" w:rsidRPr="00602F15">
        <w:rPr>
          <w:iCs/>
        </w:rPr>
        <w:t xml:space="preserve">annexe 5 </w:t>
      </w:r>
      <w:r w:rsidR="00602F15" w:rsidRPr="00602F15">
        <w:rPr>
          <w:b/>
        </w:rPr>
        <w:t xml:space="preserve">et/ou dans le </w:t>
      </w:r>
      <w:r w:rsidR="00602F15" w:rsidRPr="00C35008">
        <w:rPr>
          <w:b/>
          <w:spacing w:val="-2"/>
        </w:rPr>
        <w:t>document [ECE/TRANS/WP.29/GRRF/2017/6 (</w:t>
      </w:r>
      <w:r w:rsidR="00602F15" w:rsidRPr="00C35008">
        <w:rPr>
          <w:b/>
          <w:bCs/>
          <w:spacing w:val="-2"/>
        </w:rPr>
        <w:t>Résolution sur</w:t>
      </w:r>
      <w:r w:rsidR="00602F15" w:rsidRPr="00602F15">
        <w:rPr>
          <w:b/>
          <w:bCs/>
        </w:rPr>
        <w:t xml:space="preserve"> les dimensions des pneumatiques)]</w:t>
      </w:r>
      <w:r w:rsidR="00602F15" w:rsidRPr="00602F15">
        <w:rPr>
          <w:b/>
          <w:iCs/>
        </w:rPr>
        <w:t>,</w:t>
      </w:r>
      <w:r w:rsidR="00602F15" w:rsidRPr="00602F15">
        <w:rPr>
          <w:iCs/>
        </w:rPr>
        <w:t xml:space="preserve"> </w:t>
      </w:r>
      <w:r w:rsidR="00602F15" w:rsidRPr="00602F15">
        <w:t>les pourcentages autorisés sont ceux figurant dans les tableaux pertinents, le cas échéant.</w:t>
      </w:r>
      <w:r w:rsidRPr="00C35008">
        <w:t> ».</w:t>
      </w:r>
    </w:p>
    <w:p w:rsidR="00602F15" w:rsidRPr="00602F15" w:rsidRDefault="00602F15" w:rsidP="00602F15">
      <w:pPr>
        <w:pStyle w:val="SingleTxtG"/>
        <w:keepNext/>
        <w:ind w:right="851"/>
      </w:pPr>
      <w:r w:rsidRPr="00602F15">
        <w:rPr>
          <w:i/>
        </w:rPr>
        <w:t>Annexe 5</w:t>
      </w:r>
      <w:r w:rsidRPr="00602F15">
        <w:t>, ajouter la phrase suivant avant le tableau 1</w:t>
      </w:r>
      <w:r w:rsidR="00AE276B">
        <w:t> </w:t>
      </w:r>
      <w:r w:rsidRPr="00602F15">
        <w:t>:</w:t>
      </w:r>
    </w:p>
    <w:p w:rsidR="00602F15" w:rsidRPr="00602F15" w:rsidRDefault="00AE276B" w:rsidP="00231E51">
      <w:pPr>
        <w:pStyle w:val="SingleTxtG"/>
      </w:pPr>
      <w:r w:rsidRPr="00AE276B">
        <w:t>« </w:t>
      </w:r>
      <w:r w:rsidR="00602F15" w:rsidRPr="00231E51">
        <w:rPr>
          <w:b/>
        </w:rPr>
        <w:t>Dans le cas de désignations de dimension</w:t>
      </w:r>
      <w:r w:rsidR="00602F15" w:rsidRPr="00231E51">
        <w:rPr>
          <w:b/>
          <w:iCs/>
        </w:rPr>
        <w:t xml:space="preserve"> </w:t>
      </w:r>
      <w:r w:rsidR="00602F15" w:rsidRPr="00231E51">
        <w:rPr>
          <w:b/>
        </w:rPr>
        <w:t>des pneus non comprises dans la présente annexe, se référer au document [ECE/TRANS/WP.29/GRRF/2017/6 (</w:t>
      </w:r>
      <w:r w:rsidR="00602F15" w:rsidRPr="00231E51">
        <w:rPr>
          <w:b/>
          <w:bCs/>
        </w:rPr>
        <w:t>Résolution sur les dimensions des pneumatiques)]</w:t>
      </w:r>
      <w:r w:rsidR="00602F15" w:rsidRPr="00231E51">
        <w:rPr>
          <w:b/>
        </w:rPr>
        <w:t>.</w:t>
      </w:r>
      <w:r w:rsidRPr="00AE276B">
        <w:t> ».</w:t>
      </w:r>
    </w:p>
    <w:p w:rsidR="00602F15" w:rsidRPr="00602F15" w:rsidRDefault="00602F15" w:rsidP="00602F15">
      <w:pPr>
        <w:pStyle w:val="HChG"/>
        <w:ind w:right="850"/>
      </w:pPr>
      <w:r w:rsidRPr="00602F15">
        <w:tab/>
        <w:t>II.</w:t>
      </w:r>
      <w:r w:rsidRPr="00602F15">
        <w:tab/>
        <w:t>Justification</w:t>
      </w:r>
    </w:p>
    <w:p w:rsidR="00F9573C" w:rsidRDefault="00602F15" w:rsidP="00602F15">
      <w:pPr>
        <w:pStyle w:val="SingleTxtG"/>
        <w:ind w:firstLine="567"/>
      </w:pPr>
      <w:r w:rsidRPr="00602F15">
        <w:t xml:space="preserve">Le Règlement </w:t>
      </w:r>
      <w:r w:rsidRPr="00602F15">
        <w:rPr>
          <w:rFonts w:eastAsia="MS Mincho"/>
          <w:szCs w:val="22"/>
        </w:rPr>
        <w:t>n</w:t>
      </w:r>
      <w:r w:rsidRPr="00602F15">
        <w:rPr>
          <w:rFonts w:eastAsia="MS Mincho"/>
          <w:szCs w:val="22"/>
          <w:vertAlign w:val="superscript"/>
        </w:rPr>
        <w:t>o</w:t>
      </w:r>
      <w:r w:rsidRPr="00602F15">
        <w:t> 106 contient des tableaux des caractéristiques des dimensions normalisées de pneumatiques, lesquelles, très souvent, doivent être mises à jour en fonction du progrès technique. Afin d</w:t>
      </w:r>
      <w:r w:rsidR="00A52825">
        <w:t>’</w:t>
      </w:r>
      <w:r w:rsidRPr="00602F15">
        <w:t>accélérer le processus de mise à jour du Règlement et de limiter le nombre d</w:t>
      </w:r>
      <w:r w:rsidR="00A52825">
        <w:t>’</w:t>
      </w:r>
      <w:r w:rsidRPr="00602F15">
        <w:t>amendements, il est proposé d</w:t>
      </w:r>
      <w:r w:rsidR="00A52825">
        <w:t>’</w:t>
      </w:r>
      <w:r w:rsidRPr="00602F15">
        <w:t>inclure dans une nouvelle Résolution les dimensions normalisées, de manière à pouvoir faire référence à la présente Résolution si nécessaire dans l</w:t>
      </w:r>
      <w:r w:rsidR="00A52825">
        <w:t>’</w:t>
      </w:r>
      <w:r w:rsidRPr="00602F15">
        <w:t>annexe 5. À titre de solution temporaire en vue d</w:t>
      </w:r>
      <w:r w:rsidR="00A52825">
        <w:t>’</w:t>
      </w:r>
      <w:r w:rsidRPr="00602F15">
        <w:t>évaluer l</w:t>
      </w:r>
      <w:r w:rsidR="00A52825">
        <w:t>’</w:t>
      </w:r>
      <w:r w:rsidRPr="00602F15">
        <w:t>efficacité de cette proposition, l</w:t>
      </w:r>
      <w:r w:rsidR="00A52825">
        <w:t>’</w:t>
      </w:r>
      <w:r w:rsidRPr="00602F15">
        <w:t xml:space="preserve">annexe 5 du Règlement </w:t>
      </w:r>
      <w:r w:rsidRPr="00602F15">
        <w:rPr>
          <w:rFonts w:eastAsia="MS Mincho"/>
          <w:szCs w:val="22"/>
        </w:rPr>
        <w:t>n</w:t>
      </w:r>
      <w:r w:rsidRPr="00602F15">
        <w:rPr>
          <w:rFonts w:eastAsia="MS Mincho"/>
          <w:szCs w:val="22"/>
          <w:vertAlign w:val="superscript"/>
        </w:rPr>
        <w:t>o</w:t>
      </w:r>
      <w:r w:rsidRPr="00602F15">
        <w:t> 106 sera maintenue telle quelle sans nouvelle mise à jour. Après une période d</w:t>
      </w:r>
      <w:r w:rsidR="00A52825">
        <w:t>’</w:t>
      </w:r>
      <w:r w:rsidRPr="00602F15">
        <w:t>essai d</w:t>
      </w:r>
      <w:r w:rsidR="00A52825">
        <w:t>’</w:t>
      </w:r>
      <w:r w:rsidRPr="00602F15">
        <w:t>environ deux ans et après confirmation des résultats, l</w:t>
      </w:r>
      <w:r w:rsidR="00A52825">
        <w:t>’</w:t>
      </w:r>
      <w:r w:rsidRPr="00602F15">
        <w:t xml:space="preserve">annexe 5 complète du Règlement </w:t>
      </w:r>
      <w:r w:rsidRPr="00602F15">
        <w:rPr>
          <w:rFonts w:eastAsia="MS Mincho"/>
          <w:szCs w:val="22"/>
        </w:rPr>
        <w:t>n</w:t>
      </w:r>
      <w:r w:rsidRPr="00602F15">
        <w:rPr>
          <w:rFonts w:eastAsia="MS Mincho"/>
          <w:szCs w:val="22"/>
          <w:vertAlign w:val="superscript"/>
        </w:rPr>
        <w:t>o</w:t>
      </w:r>
      <w:r w:rsidRPr="00602F15">
        <w:t> 106 pourra être transférée dans la présente résolution sur les dimensions des pneumatiques.</w:t>
      </w:r>
    </w:p>
    <w:p w:rsidR="00AE276B" w:rsidRPr="00AE276B" w:rsidRDefault="00AE276B" w:rsidP="00AE276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E276B" w:rsidRPr="00AE276B" w:rsidSect="00602F1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B4E" w:rsidRDefault="00D51B4E" w:rsidP="00F95C08">
      <w:pPr>
        <w:spacing w:line="240" w:lineRule="auto"/>
      </w:pPr>
    </w:p>
  </w:endnote>
  <w:endnote w:type="continuationSeparator" w:id="0">
    <w:p w:rsidR="00D51B4E" w:rsidRPr="00AC3823" w:rsidRDefault="00D51B4E" w:rsidP="00AC3823">
      <w:pPr>
        <w:pStyle w:val="Pieddepage"/>
      </w:pPr>
    </w:p>
  </w:endnote>
  <w:endnote w:type="continuationNotice" w:id="1">
    <w:p w:rsidR="00D51B4E" w:rsidRDefault="00D51B4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F15" w:rsidRPr="00602F15" w:rsidRDefault="00602F15" w:rsidP="00602F15">
    <w:pPr>
      <w:pStyle w:val="Pieddepage"/>
      <w:tabs>
        <w:tab w:val="right" w:pos="9638"/>
      </w:tabs>
    </w:pPr>
    <w:r w:rsidRPr="00602F15">
      <w:rPr>
        <w:b/>
        <w:sz w:val="18"/>
      </w:rPr>
      <w:fldChar w:fldCharType="begin"/>
    </w:r>
    <w:r w:rsidRPr="00602F15">
      <w:rPr>
        <w:b/>
        <w:sz w:val="18"/>
      </w:rPr>
      <w:instrText xml:space="preserve"> PAGE  \* MERGEFORMAT </w:instrText>
    </w:r>
    <w:r w:rsidRPr="00602F15">
      <w:rPr>
        <w:b/>
        <w:sz w:val="18"/>
      </w:rPr>
      <w:fldChar w:fldCharType="separate"/>
    </w:r>
    <w:r w:rsidR="0095030A">
      <w:rPr>
        <w:b/>
        <w:noProof/>
        <w:sz w:val="18"/>
      </w:rPr>
      <w:t>2</w:t>
    </w:r>
    <w:r w:rsidRPr="00602F15">
      <w:rPr>
        <w:b/>
        <w:sz w:val="18"/>
      </w:rPr>
      <w:fldChar w:fldCharType="end"/>
    </w:r>
    <w:r>
      <w:rPr>
        <w:b/>
        <w:sz w:val="18"/>
      </w:rPr>
      <w:tab/>
    </w:r>
    <w:r>
      <w:t>GE.16-20064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F15" w:rsidRPr="00602F15" w:rsidRDefault="00602F15" w:rsidP="00602F15">
    <w:pPr>
      <w:pStyle w:val="Pieddepage"/>
      <w:tabs>
        <w:tab w:val="right" w:pos="9638"/>
      </w:tabs>
      <w:rPr>
        <w:b/>
        <w:sz w:val="18"/>
      </w:rPr>
    </w:pPr>
    <w:r>
      <w:t>GE.16-20064</w:t>
    </w:r>
    <w:r>
      <w:tab/>
    </w:r>
    <w:r w:rsidRPr="00602F15">
      <w:rPr>
        <w:b/>
        <w:sz w:val="18"/>
      </w:rPr>
      <w:fldChar w:fldCharType="begin"/>
    </w:r>
    <w:r w:rsidRPr="00602F15">
      <w:rPr>
        <w:b/>
        <w:sz w:val="18"/>
      </w:rPr>
      <w:instrText xml:space="preserve"> PAGE  \* MERGEFORMAT </w:instrText>
    </w:r>
    <w:r w:rsidRPr="00602F15">
      <w:rPr>
        <w:b/>
        <w:sz w:val="18"/>
      </w:rPr>
      <w:fldChar w:fldCharType="separate"/>
    </w:r>
    <w:r w:rsidR="000F57DB">
      <w:rPr>
        <w:b/>
        <w:noProof/>
        <w:sz w:val="18"/>
      </w:rPr>
      <w:t>3</w:t>
    </w:r>
    <w:r w:rsidRPr="00602F1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602F15" w:rsidRDefault="00602F15" w:rsidP="00602F15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0" wp14:anchorId="533583CF" wp14:editId="470E8506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16-20064  (F)    161116    1</w:t>
    </w:r>
    <w:r w:rsidR="00A67AED">
      <w:rPr>
        <w:sz w:val="20"/>
      </w:rPr>
      <w:t>7</w:t>
    </w:r>
    <w:r>
      <w:rPr>
        <w:sz w:val="20"/>
      </w:rPr>
      <w:t>1116</w:t>
    </w:r>
    <w:r>
      <w:rPr>
        <w:sz w:val="20"/>
      </w:rPr>
      <w:br/>
    </w:r>
    <w:r w:rsidRPr="00602F15">
      <w:rPr>
        <w:rFonts w:ascii="C39T30Lfz" w:hAnsi="C39T30Lfz"/>
        <w:sz w:val="56"/>
      </w:rPr>
      <w:t></w:t>
    </w:r>
    <w:r w:rsidRPr="00602F15">
      <w:rPr>
        <w:rFonts w:ascii="C39T30Lfz" w:hAnsi="C39T30Lfz"/>
        <w:sz w:val="56"/>
      </w:rPr>
      <w:t></w:t>
    </w:r>
    <w:r w:rsidRPr="00602F15">
      <w:rPr>
        <w:rFonts w:ascii="C39T30Lfz" w:hAnsi="C39T30Lfz"/>
        <w:sz w:val="56"/>
      </w:rPr>
      <w:t></w:t>
    </w:r>
    <w:r w:rsidRPr="00602F15">
      <w:rPr>
        <w:rFonts w:ascii="C39T30Lfz" w:hAnsi="C39T30Lfz"/>
        <w:sz w:val="56"/>
      </w:rPr>
      <w:t></w:t>
    </w:r>
    <w:r w:rsidRPr="00602F15">
      <w:rPr>
        <w:rFonts w:ascii="C39T30Lfz" w:hAnsi="C39T30Lfz"/>
        <w:sz w:val="56"/>
      </w:rPr>
      <w:t></w:t>
    </w:r>
    <w:r w:rsidRPr="00602F15">
      <w:rPr>
        <w:rFonts w:ascii="C39T30Lfz" w:hAnsi="C39T30Lfz"/>
        <w:sz w:val="56"/>
      </w:rPr>
      <w:t></w:t>
    </w:r>
    <w:r w:rsidRPr="00602F15">
      <w:rPr>
        <w:rFonts w:ascii="C39T30Lfz" w:hAnsi="C39T30Lfz"/>
        <w:sz w:val="56"/>
      </w:rPr>
      <w:t></w:t>
    </w:r>
    <w:r w:rsidRPr="00602F15">
      <w:rPr>
        <w:rFonts w:ascii="C39T30Lfz" w:hAnsi="C39T30Lfz"/>
        <w:sz w:val="56"/>
      </w:rPr>
      <w:t></w:t>
    </w:r>
    <w:r w:rsidRPr="00602F15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RF/2017/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RF/2017/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B4E" w:rsidRPr="00AC3823" w:rsidRDefault="00D51B4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51B4E" w:rsidRPr="00AC3823" w:rsidRDefault="00D51B4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51B4E" w:rsidRPr="00AC3823" w:rsidRDefault="00D51B4E">
      <w:pPr>
        <w:spacing w:line="240" w:lineRule="auto"/>
        <w:rPr>
          <w:sz w:val="2"/>
          <w:szCs w:val="2"/>
        </w:rPr>
      </w:pPr>
    </w:p>
  </w:footnote>
  <w:footnote w:id="2">
    <w:p w:rsidR="00602F15" w:rsidRPr="00602F15" w:rsidRDefault="00602F15">
      <w:pPr>
        <w:pStyle w:val="Notedebasdepage"/>
      </w:pPr>
      <w:r>
        <w:rPr>
          <w:rStyle w:val="Appelnotedebasdep"/>
        </w:rPr>
        <w:tab/>
      </w:r>
      <w:r w:rsidRPr="00602F15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602F15">
        <w:t>Conformément au programme de travail du Comité des transports intérieurs pour la période 2016</w:t>
      </w:r>
      <w:r>
        <w:noBreakHyphen/>
      </w:r>
      <w:r w:rsidRPr="00602F15">
        <w:t>2017 (ECE/TRANS/254, par.</w:t>
      </w:r>
      <w:r>
        <w:t> </w:t>
      </w:r>
      <w:r w:rsidRPr="00602F15">
        <w:t>159, et ECE/TRANS/2016/28/Add.1, activité 03.1),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F15" w:rsidRPr="00602F15" w:rsidRDefault="00602F15">
    <w:pPr>
      <w:pStyle w:val="En-tte"/>
    </w:pPr>
    <w:r>
      <w:t>ECE/TRANS/WP.29/GRRF/2017/5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F15" w:rsidRPr="00602F15" w:rsidRDefault="00602F15" w:rsidP="00602F15">
    <w:pPr>
      <w:pStyle w:val="En-tte"/>
      <w:jc w:val="right"/>
    </w:pPr>
    <w:r>
      <w:t>ECE/TRANS/WP.29/GRRF/2017/5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11"/>
  </w:num>
  <w:num w:numId="17">
    <w:abstractNumId w:val="10"/>
  </w:num>
  <w:num w:numId="18">
    <w:abstractNumId w:val="13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66"/>
    <w:rsid w:val="00017F94"/>
    <w:rsid w:val="00023842"/>
    <w:rsid w:val="000334F9"/>
    <w:rsid w:val="00067F9C"/>
    <w:rsid w:val="0007796D"/>
    <w:rsid w:val="000B7790"/>
    <w:rsid w:val="000F57DB"/>
    <w:rsid w:val="00111F2F"/>
    <w:rsid w:val="0014365E"/>
    <w:rsid w:val="00143C66"/>
    <w:rsid w:val="00176178"/>
    <w:rsid w:val="001F525A"/>
    <w:rsid w:val="00223272"/>
    <w:rsid w:val="00231E51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602F15"/>
    <w:rsid w:val="00710C66"/>
    <w:rsid w:val="0071601D"/>
    <w:rsid w:val="007A62E6"/>
    <w:rsid w:val="007F20FA"/>
    <w:rsid w:val="0080684C"/>
    <w:rsid w:val="00871C75"/>
    <w:rsid w:val="008776DC"/>
    <w:rsid w:val="0095030A"/>
    <w:rsid w:val="009705C8"/>
    <w:rsid w:val="009C1CF4"/>
    <w:rsid w:val="009F6B74"/>
    <w:rsid w:val="00A30353"/>
    <w:rsid w:val="00A52825"/>
    <w:rsid w:val="00A67AED"/>
    <w:rsid w:val="00AC3823"/>
    <w:rsid w:val="00AE276B"/>
    <w:rsid w:val="00AE323C"/>
    <w:rsid w:val="00AF0CB5"/>
    <w:rsid w:val="00B00181"/>
    <w:rsid w:val="00B00B0D"/>
    <w:rsid w:val="00B765F7"/>
    <w:rsid w:val="00BA0CA9"/>
    <w:rsid w:val="00C02897"/>
    <w:rsid w:val="00C35008"/>
    <w:rsid w:val="00D3439C"/>
    <w:rsid w:val="00D51B4E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CA5A90-E88D-4B5C-A76B-D2F9715B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E51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231E51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231E51"/>
    <w:pPr>
      <w:outlineLvl w:val="1"/>
    </w:pPr>
  </w:style>
  <w:style w:type="paragraph" w:styleId="Titre3">
    <w:name w:val="heading 3"/>
    <w:basedOn w:val="Normal"/>
    <w:next w:val="Normal"/>
    <w:link w:val="Titre3Car"/>
    <w:qFormat/>
    <w:rsid w:val="00231E51"/>
    <w:pPr>
      <w:outlineLvl w:val="2"/>
    </w:pPr>
  </w:style>
  <w:style w:type="paragraph" w:styleId="Titre4">
    <w:name w:val="heading 4"/>
    <w:basedOn w:val="Normal"/>
    <w:next w:val="Normal"/>
    <w:link w:val="Titre4Car"/>
    <w:qFormat/>
    <w:rsid w:val="00231E51"/>
    <w:pPr>
      <w:outlineLvl w:val="3"/>
    </w:pPr>
  </w:style>
  <w:style w:type="paragraph" w:styleId="Titre5">
    <w:name w:val="heading 5"/>
    <w:basedOn w:val="Normal"/>
    <w:next w:val="Normal"/>
    <w:link w:val="Titre5Car"/>
    <w:qFormat/>
    <w:rsid w:val="00231E51"/>
    <w:pPr>
      <w:outlineLvl w:val="4"/>
    </w:pPr>
  </w:style>
  <w:style w:type="paragraph" w:styleId="Titre6">
    <w:name w:val="heading 6"/>
    <w:basedOn w:val="Normal"/>
    <w:next w:val="Normal"/>
    <w:link w:val="Titre6Car"/>
    <w:qFormat/>
    <w:rsid w:val="00231E51"/>
    <w:pPr>
      <w:outlineLvl w:val="5"/>
    </w:pPr>
  </w:style>
  <w:style w:type="paragraph" w:styleId="Titre7">
    <w:name w:val="heading 7"/>
    <w:basedOn w:val="Normal"/>
    <w:next w:val="Normal"/>
    <w:link w:val="Titre7Car"/>
    <w:qFormat/>
    <w:rsid w:val="00231E51"/>
    <w:pPr>
      <w:outlineLvl w:val="6"/>
    </w:pPr>
  </w:style>
  <w:style w:type="paragraph" w:styleId="Titre8">
    <w:name w:val="heading 8"/>
    <w:basedOn w:val="Normal"/>
    <w:next w:val="Normal"/>
    <w:link w:val="Titre8Car"/>
    <w:qFormat/>
    <w:rsid w:val="00231E51"/>
    <w:pPr>
      <w:outlineLvl w:val="7"/>
    </w:pPr>
  </w:style>
  <w:style w:type="paragraph" w:styleId="Titre9">
    <w:name w:val="heading 9"/>
    <w:basedOn w:val="Normal"/>
    <w:next w:val="Normal"/>
    <w:link w:val="Titre9Car"/>
    <w:qFormat/>
    <w:rsid w:val="00231E51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231E5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231E51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231E51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231E51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231E5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231E5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231E5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231E5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231E5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231E5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231E51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231E5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231E5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231E5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231E5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231E51"/>
    <w:pPr>
      <w:numPr>
        <w:numId w:val="18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231E51"/>
    <w:pPr>
      <w:numPr>
        <w:numId w:val="19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231E51"/>
    <w:pPr>
      <w:numPr>
        <w:numId w:val="20"/>
      </w:numPr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231E51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231E51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231E51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231E51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231E51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231E5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231E51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231E51"/>
  </w:style>
  <w:style w:type="character" w:customStyle="1" w:styleId="NotedefinCar">
    <w:name w:val="Note de fin Car"/>
    <w:aliases w:val="2_G Car"/>
    <w:basedOn w:val="Policepardfaut"/>
    <w:link w:val="Notedefin"/>
    <w:rsid w:val="00231E51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231E51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231E5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rsid w:val="00231E5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rsid w:val="00231E5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rsid w:val="00231E5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rsid w:val="00231E5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rsid w:val="00231E5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rsid w:val="00231E5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rsid w:val="00231E5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rsid w:val="00231E51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02F1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602F15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602F15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rFonts w:eastAsia="Times New Roman"/>
      <w:lang w:val="en-GB"/>
    </w:rPr>
  </w:style>
  <w:style w:type="character" w:customStyle="1" w:styleId="paraChar">
    <w:name w:val="para Char"/>
    <w:link w:val="para"/>
    <w:rsid w:val="00602F15"/>
    <w:rPr>
      <w:rFonts w:ascii="Times New Roman" w:hAnsi="Times New Roman" w:cs="Times New Roman"/>
      <w:sz w:val="20"/>
      <w:szCs w:val="20"/>
      <w:lang w:val="en-GB" w:eastAsia="en-US"/>
    </w:rPr>
  </w:style>
  <w:style w:type="numbering" w:styleId="ArticleSection">
    <w:name w:val="Outline List 3"/>
    <w:basedOn w:val="Aucuneliste"/>
    <w:rsid w:val="00602F15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915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ECE/TRANS/WP.29/GRRF/2017/5</vt:lpstr>
    </vt:vector>
  </TitlesOfParts>
  <Company>DCM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ECE/TRANS/WP.29/GRRF/2017/5</dc:title>
  <dc:subject>Final</dc:subject>
  <dc:creator>Fabienne Crelier</dc:creator>
  <cp:lastModifiedBy>Bénédicte Boudol</cp:lastModifiedBy>
  <cp:revision>2</cp:revision>
  <cp:lastPrinted>2016-11-16T16:50:00Z</cp:lastPrinted>
  <dcterms:created xsi:type="dcterms:W3CDTF">2016-11-21T14:47:00Z</dcterms:created>
  <dcterms:modified xsi:type="dcterms:W3CDTF">2016-11-21T14:47:00Z</dcterms:modified>
</cp:coreProperties>
</file>