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AA795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AA7959" w:rsidP="00AA7959">
            <w:pPr>
              <w:jc w:val="right"/>
            </w:pPr>
            <w:r w:rsidRPr="00AA7959">
              <w:rPr>
                <w:sz w:val="40"/>
              </w:rPr>
              <w:t>ECE</w:t>
            </w:r>
            <w:r>
              <w:t>/TRANS/WP.29/GRB/2017/3</w:t>
            </w:r>
          </w:p>
        </w:tc>
      </w:tr>
      <w:tr w:rsidR="002D5AAC" w:rsidRPr="00AA7959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E16639B" wp14:editId="3BF8257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A37C8" w:rsidP="00387CD4">
            <w:pPr>
              <w:suppressAutoHyphens/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w w:val="100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w w:val="100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AA7959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AA7959" w:rsidRDefault="00AA7959" w:rsidP="00AA795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15 June 2017</w:t>
            </w:r>
          </w:p>
          <w:p w:rsidR="00AA7959" w:rsidRDefault="00AA7959" w:rsidP="00AA795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AA7959" w:rsidRPr="008D53B6" w:rsidRDefault="00AA7959" w:rsidP="00AA795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:rsidR="00AA7959" w:rsidRPr="00AA7959" w:rsidRDefault="00AA7959" w:rsidP="00AA7959">
      <w:pPr>
        <w:spacing w:before="120" w:after="120"/>
        <w:rPr>
          <w:sz w:val="28"/>
          <w:szCs w:val="28"/>
        </w:rPr>
      </w:pPr>
      <w:r w:rsidRPr="00AA7959">
        <w:rPr>
          <w:sz w:val="28"/>
          <w:szCs w:val="28"/>
        </w:rPr>
        <w:t>Комитет по внутреннему транспорту</w:t>
      </w:r>
    </w:p>
    <w:p w:rsidR="00AA7959" w:rsidRPr="00AA7959" w:rsidRDefault="00AA7959" w:rsidP="00AA7959">
      <w:pPr>
        <w:spacing w:after="120"/>
        <w:rPr>
          <w:b/>
          <w:bCs/>
          <w:sz w:val="24"/>
          <w:szCs w:val="24"/>
        </w:rPr>
      </w:pPr>
      <w:r w:rsidRPr="00AA7959">
        <w:rPr>
          <w:b/>
          <w:bCs/>
          <w:sz w:val="24"/>
          <w:szCs w:val="24"/>
        </w:rPr>
        <w:t xml:space="preserve">Всемирный форум для согласования правил </w:t>
      </w:r>
      <w:r w:rsidRPr="00AA7959">
        <w:rPr>
          <w:b/>
          <w:bCs/>
          <w:sz w:val="24"/>
          <w:szCs w:val="24"/>
        </w:rPr>
        <w:br/>
        <w:t>в области транспортных средств</w:t>
      </w:r>
    </w:p>
    <w:p w:rsidR="00AA7959" w:rsidRPr="00AA7959" w:rsidRDefault="00AA7959" w:rsidP="00AA7959">
      <w:pPr>
        <w:spacing w:after="120"/>
        <w:rPr>
          <w:b/>
          <w:bCs/>
        </w:rPr>
      </w:pPr>
      <w:r w:rsidRPr="00AA7959">
        <w:rPr>
          <w:b/>
          <w:bCs/>
        </w:rPr>
        <w:t>Рабочая группа по вопросам шума</w:t>
      </w:r>
    </w:p>
    <w:p w:rsidR="00AA7959" w:rsidRPr="00AA7959" w:rsidRDefault="00AA7959" w:rsidP="00AA7959">
      <w:pPr>
        <w:rPr>
          <w:b/>
        </w:rPr>
      </w:pPr>
      <w:r w:rsidRPr="00AA7959">
        <w:rPr>
          <w:b/>
          <w:bCs/>
        </w:rPr>
        <w:t>Шестьдесят шестая сессия</w:t>
      </w:r>
    </w:p>
    <w:p w:rsidR="00AA7959" w:rsidRPr="00AA7959" w:rsidRDefault="00AA7959" w:rsidP="00AA7959">
      <w:r w:rsidRPr="00AA7959">
        <w:t>Женева, 4–6 сентября 2017 года</w:t>
      </w:r>
    </w:p>
    <w:p w:rsidR="00AA7959" w:rsidRPr="00AA7959" w:rsidRDefault="00AA7959" w:rsidP="00AA7959">
      <w:r w:rsidRPr="00AA7959">
        <w:t>Пункт 1 предварительной повестки дня</w:t>
      </w:r>
    </w:p>
    <w:p w:rsidR="00E12C5F" w:rsidRPr="00AA7959" w:rsidRDefault="00AA7959" w:rsidP="00AA7959">
      <w:r w:rsidRPr="00AA7959">
        <w:rPr>
          <w:b/>
          <w:bCs/>
        </w:rPr>
        <w:t>Утверждение повестки дня</w:t>
      </w:r>
    </w:p>
    <w:p w:rsidR="00AA7959" w:rsidRPr="00AA7959" w:rsidRDefault="00AA7959" w:rsidP="00AA7959">
      <w:pPr>
        <w:pStyle w:val="HChGR"/>
      </w:pPr>
      <w:r>
        <w:rPr>
          <w:lang w:val="en-US"/>
        </w:rPr>
        <w:tab/>
      </w:r>
      <w:r>
        <w:rPr>
          <w:lang w:val="en-US"/>
        </w:rPr>
        <w:tab/>
      </w:r>
      <w:r w:rsidRPr="00AA7959">
        <w:t>Аннотированная предварительная повестка дня шестьдесят шестой сессии</w:t>
      </w:r>
      <w:r w:rsidRPr="00AA7959">
        <w:rPr>
          <w:rStyle w:val="FootnoteReference"/>
          <w:sz w:val="20"/>
          <w:vertAlign w:val="baseline"/>
        </w:rPr>
        <w:footnoteReference w:customMarkFollows="1" w:id="1"/>
        <w:t>*</w:t>
      </w:r>
      <w:r w:rsidRPr="00AA7959">
        <w:rPr>
          <w:sz w:val="20"/>
        </w:rPr>
        <w:t xml:space="preserve"> </w:t>
      </w:r>
      <w:r w:rsidRPr="00AA7959">
        <w:rPr>
          <w:rStyle w:val="FootnoteReference"/>
          <w:sz w:val="20"/>
          <w:vertAlign w:val="baseline"/>
        </w:rPr>
        <w:footnoteReference w:customMarkFollows="1" w:id="2"/>
        <w:t>**</w:t>
      </w:r>
      <w:r w:rsidRPr="00AA7959">
        <w:t>,</w:t>
      </w:r>
    </w:p>
    <w:p w:rsidR="00AA7959" w:rsidRDefault="00AA7959" w:rsidP="00AA7959">
      <w:pPr>
        <w:pStyle w:val="SingleTxtGR"/>
      </w:pPr>
      <w:proofErr w:type="gramStart"/>
      <w:r w:rsidRPr="00AA7959">
        <w:t>которая</w:t>
      </w:r>
      <w:proofErr w:type="gramEnd"/>
      <w:r w:rsidRPr="00AA7959">
        <w:t xml:space="preserve"> состоится во Дворце Наций в Женеве, начнется в 14 ч. 30 м. в понедельник, 4 сентября 2017 года, и завершится в 17 ч. 30 м. в среду, 6 се</w:t>
      </w:r>
      <w:r w:rsidRPr="00AA7959">
        <w:t>н</w:t>
      </w:r>
      <w:r w:rsidRPr="00AA7959">
        <w:t>тября 2017 года</w:t>
      </w:r>
    </w:p>
    <w:p w:rsidR="00AA7959" w:rsidRPr="00AA7959" w:rsidRDefault="00AA7959" w:rsidP="00AA7959">
      <w:pPr>
        <w:pStyle w:val="HChGR"/>
      </w:pPr>
      <w:r>
        <w:br w:type="page"/>
      </w:r>
      <w:r>
        <w:lastRenderedPageBreak/>
        <w:tab/>
      </w:r>
      <w:r w:rsidRPr="00AA7959">
        <w:t>I.</w:t>
      </w:r>
      <w:r w:rsidRPr="00AA7959">
        <w:tab/>
        <w:t>Предварительная повестка дня</w:t>
      </w:r>
    </w:p>
    <w:p w:rsidR="00AA7959" w:rsidRPr="00AA7959" w:rsidRDefault="00AA7959" w:rsidP="00AA7959">
      <w:pPr>
        <w:pStyle w:val="SingleTxtGR"/>
      </w:pPr>
      <w:r w:rsidRPr="00AA7959">
        <w:t>1.</w:t>
      </w:r>
      <w:r w:rsidRPr="00AA7959">
        <w:tab/>
        <w:t>Утверждение повестки дня.</w:t>
      </w:r>
    </w:p>
    <w:p w:rsidR="00AA7959" w:rsidRPr="00AA7959" w:rsidRDefault="00AA7959" w:rsidP="00AA7959">
      <w:pPr>
        <w:pStyle w:val="SingleTxtGR"/>
      </w:pPr>
      <w:r w:rsidRPr="00AA7959">
        <w:t>2.</w:t>
      </w:r>
      <w:r w:rsidRPr="00AA7959">
        <w:tab/>
        <w:t>Правила № 28 (звуковые сигнальные приборы).</w:t>
      </w:r>
    </w:p>
    <w:p w:rsidR="00AA7959" w:rsidRPr="00AA7959" w:rsidRDefault="00AA7959" w:rsidP="00AA7959">
      <w:pPr>
        <w:pStyle w:val="SingleTxtGR"/>
      </w:pPr>
      <w:r w:rsidRPr="00AA7959">
        <w:t>3.</w:t>
      </w:r>
      <w:r w:rsidRPr="00AA7959">
        <w:tab/>
        <w:t>Правила № 41 (шум, производимый мотоциклами): разработка.</w:t>
      </w:r>
    </w:p>
    <w:p w:rsidR="00AA7959" w:rsidRPr="00AA7959" w:rsidRDefault="00AA7959" w:rsidP="00894681">
      <w:pPr>
        <w:pStyle w:val="SingleTxtGR"/>
        <w:ind w:left="1701" w:hanging="567"/>
      </w:pPr>
      <w:r w:rsidRPr="00AA7959">
        <w:t>4.</w:t>
      </w:r>
      <w:r w:rsidRPr="00AA7959">
        <w:tab/>
        <w:t>Правила № 51 (шум, производимый транспортными средствами катег</w:t>
      </w:r>
      <w:r w:rsidRPr="00AA7959">
        <w:t>о</w:t>
      </w:r>
      <w:r w:rsidRPr="00AA7959">
        <w:t>рий M и N):</w:t>
      </w:r>
    </w:p>
    <w:p w:rsidR="00AA7959" w:rsidRPr="00AA7959" w:rsidRDefault="00AA7959" w:rsidP="00AA7959">
      <w:pPr>
        <w:pStyle w:val="SingleTxtGR"/>
      </w:pPr>
      <w:r w:rsidRPr="00AA7959">
        <w:tab/>
        <w:t>а)</w:t>
      </w:r>
      <w:r w:rsidRPr="00AA7959">
        <w:tab/>
        <w:t>разработка;</w:t>
      </w:r>
    </w:p>
    <w:p w:rsidR="00AA7959" w:rsidRPr="00AA7959" w:rsidRDefault="00AA7959" w:rsidP="00AA7959">
      <w:pPr>
        <w:pStyle w:val="SingleTxtGR"/>
      </w:pPr>
      <w:r w:rsidRPr="00AA7959">
        <w:tab/>
        <w:t>b)</w:t>
      </w:r>
      <w:r w:rsidRPr="00AA7959">
        <w:tab/>
        <w:t>дополнительные положения об уровне звука.</w:t>
      </w:r>
    </w:p>
    <w:p w:rsidR="00AA7959" w:rsidRPr="00AA7959" w:rsidRDefault="00AA7959" w:rsidP="00AA7959">
      <w:pPr>
        <w:pStyle w:val="SingleTxtGR"/>
      </w:pPr>
      <w:r w:rsidRPr="00AA7959">
        <w:t>5.</w:t>
      </w:r>
      <w:r w:rsidRPr="00AA7959">
        <w:tab/>
        <w:t>Правила № 63 (шум, производимый мопедами).</w:t>
      </w:r>
    </w:p>
    <w:p w:rsidR="00AA7959" w:rsidRPr="00AA7959" w:rsidRDefault="00AA7959" w:rsidP="00894681">
      <w:pPr>
        <w:pStyle w:val="SingleTxtGR"/>
        <w:ind w:left="1701" w:hanging="567"/>
      </w:pPr>
      <w:r w:rsidRPr="00AA7959">
        <w:t>6.</w:t>
      </w:r>
      <w:r w:rsidRPr="00AA7959">
        <w:tab/>
        <w:t>Правила № 117 (сопротивление шин качению, шум, издаваемый шинами при качении, и их сцепление на мокрой поверхности).</w:t>
      </w:r>
    </w:p>
    <w:p w:rsidR="00AA7959" w:rsidRPr="00AA7959" w:rsidRDefault="00AA7959" w:rsidP="00AA7959">
      <w:pPr>
        <w:pStyle w:val="SingleTxtGR"/>
      </w:pPr>
      <w:r w:rsidRPr="00AA7959">
        <w:t>7.</w:t>
      </w:r>
      <w:r w:rsidRPr="00AA7959">
        <w:tab/>
        <w:t>Правила № 138 (бесшумные автотранспортные средства).</w:t>
      </w:r>
    </w:p>
    <w:p w:rsidR="00AA7959" w:rsidRPr="00AA7959" w:rsidRDefault="00AA7959" w:rsidP="00AA7959">
      <w:pPr>
        <w:pStyle w:val="SingleTxtGR"/>
      </w:pPr>
      <w:r w:rsidRPr="00AA7959">
        <w:t>8.</w:t>
      </w:r>
      <w:r w:rsidRPr="00AA7959">
        <w:tab/>
        <w:t xml:space="preserve">Проект правил, касающихся сигналов движения задним ходом. </w:t>
      </w:r>
    </w:p>
    <w:p w:rsidR="00AA7959" w:rsidRPr="00AA7959" w:rsidRDefault="00AA7959" w:rsidP="00AA7959">
      <w:pPr>
        <w:pStyle w:val="SingleTxtGR"/>
      </w:pPr>
      <w:r w:rsidRPr="00AA7959">
        <w:t>9.</w:t>
      </w:r>
      <w:r w:rsidRPr="00AA7959">
        <w:tab/>
        <w:t>Общие поправки.</w:t>
      </w:r>
    </w:p>
    <w:p w:rsidR="00AA7959" w:rsidRPr="00AA7959" w:rsidRDefault="00AA7959" w:rsidP="00894681">
      <w:pPr>
        <w:pStyle w:val="SingleTxtGR"/>
        <w:ind w:left="1701" w:hanging="567"/>
      </w:pPr>
      <w:r w:rsidRPr="00AA7959">
        <w:t>10.</w:t>
      </w:r>
      <w:r w:rsidRPr="00AA7959">
        <w:tab/>
        <w:t>Обмен информацией о национальных и международных требованиях, к</w:t>
      </w:r>
      <w:r w:rsidRPr="00AA7959">
        <w:t>а</w:t>
      </w:r>
      <w:r w:rsidRPr="00AA7959">
        <w:t>сающихся уровней шума.</w:t>
      </w:r>
    </w:p>
    <w:p w:rsidR="00AA7959" w:rsidRPr="00AA7959" w:rsidRDefault="00AA7959" w:rsidP="00894681">
      <w:pPr>
        <w:pStyle w:val="SingleTxtGR"/>
        <w:ind w:left="1701" w:hanging="567"/>
      </w:pPr>
      <w:r w:rsidRPr="00AA7959">
        <w:t>11.</w:t>
      </w:r>
      <w:r w:rsidRPr="00AA7959">
        <w:tab/>
        <w:t>Влияние поверхности дороги на уровень звука, производимого шинами при качении.</w:t>
      </w:r>
    </w:p>
    <w:p w:rsidR="00AA7959" w:rsidRPr="00AA7959" w:rsidRDefault="00AA7959" w:rsidP="00894681">
      <w:pPr>
        <w:pStyle w:val="SingleTxtGR"/>
        <w:ind w:left="1701" w:hanging="567"/>
      </w:pPr>
      <w:r w:rsidRPr="00AA7959">
        <w:t>12.</w:t>
      </w:r>
      <w:r w:rsidRPr="00AA7959">
        <w:tab/>
        <w:t>Акронимы и сокращения в правилах, относящихся к ведению Рабочей группы по вопросам шума.</w:t>
      </w:r>
    </w:p>
    <w:p w:rsidR="00AA7959" w:rsidRPr="00AA7959" w:rsidRDefault="00AA7959" w:rsidP="00894681">
      <w:pPr>
        <w:pStyle w:val="SingleTxtGR"/>
        <w:ind w:left="1701" w:hanging="567"/>
      </w:pPr>
      <w:r w:rsidRPr="00AA7959">
        <w:t>13.</w:t>
      </w:r>
      <w:r w:rsidRPr="00AA7959">
        <w:tab/>
        <w:t>Предложения по поправкам к Сводной резолюции о конструкции тран</w:t>
      </w:r>
      <w:r w:rsidRPr="00AA7959">
        <w:t>с</w:t>
      </w:r>
      <w:r w:rsidRPr="00AA7959">
        <w:t>портных средств.</w:t>
      </w:r>
    </w:p>
    <w:p w:rsidR="00AA7959" w:rsidRPr="00AA7959" w:rsidRDefault="00AA7959" w:rsidP="00894681">
      <w:pPr>
        <w:pStyle w:val="SingleTxtGR"/>
        <w:ind w:left="1701" w:hanging="567"/>
      </w:pPr>
      <w:r w:rsidRPr="00AA7959">
        <w:t>14.</w:t>
      </w:r>
      <w:r w:rsidRPr="00AA7959">
        <w:tab/>
        <w:t>Разработка международной системы официального утверждения типа комплектного транспортного средства и участие в ней рабочих групп.</w:t>
      </w:r>
    </w:p>
    <w:p w:rsidR="00AA7959" w:rsidRPr="00AA7959" w:rsidRDefault="00AA7959" w:rsidP="00894681">
      <w:pPr>
        <w:pStyle w:val="SingleTxtGR"/>
        <w:ind w:left="1701" w:hanging="567"/>
      </w:pPr>
      <w:r w:rsidRPr="00AA7959">
        <w:t>15.</w:t>
      </w:r>
      <w:r w:rsidRPr="00AA7959">
        <w:tab/>
        <w:t>Основные вопросы, рассмотренные на сессиях WP.29 в марте и июне 2017 года.</w:t>
      </w:r>
    </w:p>
    <w:p w:rsidR="00AA7959" w:rsidRPr="00AA7959" w:rsidRDefault="00AA7959" w:rsidP="00AA7959">
      <w:pPr>
        <w:pStyle w:val="SingleTxtGR"/>
      </w:pPr>
      <w:r w:rsidRPr="00AA7959">
        <w:t>16.</w:t>
      </w:r>
      <w:r w:rsidRPr="00AA7959">
        <w:tab/>
        <w:t>Обмен мнениями о будущей работе GRB.</w:t>
      </w:r>
    </w:p>
    <w:p w:rsidR="00AA7959" w:rsidRPr="00AA7959" w:rsidRDefault="00AA7959" w:rsidP="00AA7959">
      <w:pPr>
        <w:pStyle w:val="SingleTxtGR"/>
      </w:pPr>
      <w:r w:rsidRPr="00AA7959">
        <w:t>17.</w:t>
      </w:r>
      <w:r w:rsidRPr="00AA7959">
        <w:tab/>
        <w:t>Прочие вопросы.</w:t>
      </w:r>
    </w:p>
    <w:p w:rsidR="00AA7959" w:rsidRPr="00AA7959" w:rsidRDefault="00AA7959" w:rsidP="00AA7959">
      <w:pPr>
        <w:pStyle w:val="SingleTxtGR"/>
      </w:pPr>
      <w:r w:rsidRPr="00AA7959">
        <w:t>18.</w:t>
      </w:r>
      <w:r w:rsidRPr="00AA7959">
        <w:tab/>
        <w:t>Предварительная повестка дня шестьдесят седьмой сессии.</w:t>
      </w:r>
    </w:p>
    <w:p w:rsidR="00AA7959" w:rsidRPr="00AA7959" w:rsidRDefault="00AA7959" w:rsidP="00AA7959">
      <w:pPr>
        <w:pStyle w:val="SingleTxtGR"/>
      </w:pPr>
      <w:r w:rsidRPr="00AA7959">
        <w:t>19.</w:t>
      </w:r>
      <w:r w:rsidRPr="00AA7959">
        <w:tab/>
        <w:t>Выборы должностных лиц.</w:t>
      </w:r>
    </w:p>
    <w:p w:rsidR="00AA7959" w:rsidRPr="00AA7959" w:rsidRDefault="00AA7959" w:rsidP="00894681">
      <w:pPr>
        <w:pStyle w:val="HChGR"/>
      </w:pPr>
      <w:r w:rsidRPr="00AA7959">
        <w:tab/>
        <w:t>II.</w:t>
      </w:r>
      <w:r w:rsidRPr="00AA7959">
        <w:tab/>
      </w:r>
      <w:proofErr w:type="spellStart"/>
      <w:proofErr w:type="gramStart"/>
      <w:r w:rsidRPr="00AA7959">
        <w:t>A</w:t>
      </w:r>
      <w:proofErr w:type="gramEnd"/>
      <w:r w:rsidRPr="00AA7959">
        <w:t>ннотации</w:t>
      </w:r>
      <w:proofErr w:type="spellEnd"/>
    </w:p>
    <w:p w:rsidR="00AA7959" w:rsidRPr="00AA7959" w:rsidRDefault="00AA7959" w:rsidP="00894681">
      <w:pPr>
        <w:pStyle w:val="H1GR"/>
      </w:pPr>
      <w:r w:rsidRPr="00AA7959">
        <w:tab/>
        <w:t>1.</w:t>
      </w:r>
      <w:r w:rsidRPr="00AA7959">
        <w:tab/>
        <w:t>Утверждение повестки дня</w:t>
      </w:r>
    </w:p>
    <w:p w:rsidR="00AA7959" w:rsidRPr="00AA7959" w:rsidRDefault="00894681" w:rsidP="00AA7959">
      <w:pPr>
        <w:pStyle w:val="SingleTxtGR"/>
      </w:pPr>
      <w:r>
        <w:tab/>
      </w:r>
      <w:r w:rsidR="00AA7959" w:rsidRPr="00AA7959">
        <w:t xml:space="preserve">В соответствии с правилом 7 главы III правил процедуры (TRANS/ WP.29/690, </w:t>
      </w:r>
      <w:proofErr w:type="spellStart"/>
      <w:r w:rsidR="00AA7959" w:rsidRPr="00AA7959">
        <w:t>Amend</w:t>
      </w:r>
      <w:proofErr w:type="spellEnd"/>
      <w:r w:rsidR="00AA7959" w:rsidRPr="00AA7959">
        <w:t xml:space="preserve">. 1 и </w:t>
      </w:r>
      <w:proofErr w:type="spellStart"/>
      <w:r w:rsidR="00AA7959" w:rsidRPr="00AA7959">
        <w:t>Amend</w:t>
      </w:r>
      <w:proofErr w:type="spellEnd"/>
      <w:r w:rsidR="00AA7959" w:rsidRPr="00AA7959">
        <w:t>. 2) Всемирного форума для согласования правил в области транспортных средств (WP.29) первым пунктом предварительной п</w:t>
      </w:r>
      <w:r w:rsidR="00AA7959" w:rsidRPr="00AA7959">
        <w:t>о</w:t>
      </w:r>
      <w:r w:rsidR="00AA7959" w:rsidRPr="00AA7959">
        <w:t>вестки дня является утверждение повестки дня.</w:t>
      </w:r>
    </w:p>
    <w:p w:rsidR="00AA7959" w:rsidRPr="00AA7959" w:rsidRDefault="00AA7959" w:rsidP="00AA7959">
      <w:pPr>
        <w:pStyle w:val="SingleTxtGR"/>
        <w:rPr>
          <w:b/>
          <w:bCs/>
        </w:rPr>
      </w:pPr>
      <w:r w:rsidRPr="00AA7959">
        <w:rPr>
          <w:b/>
          <w:bCs/>
        </w:rPr>
        <w:t>Документация</w:t>
      </w:r>
    </w:p>
    <w:p w:rsidR="00AA7959" w:rsidRPr="00AA7959" w:rsidRDefault="00AA7959" w:rsidP="00AA7959">
      <w:pPr>
        <w:pStyle w:val="SingleTxtGR"/>
      </w:pPr>
      <w:r w:rsidRPr="00AA7959">
        <w:t>ECE/TRANS/WP.29/GRB/2017/3</w:t>
      </w:r>
    </w:p>
    <w:p w:rsidR="00AA7959" w:rsidRPr="00AA7959" w:rsidRDefault="00AA7959" w:rsidP="00894681">
      <w:pPr>
        <w:pStyle w:val="H1GR"/>
      </w:pPr>
      <w:r w:rsidRPr="00AA7959">
        <w:lastRenderedPageBreak/>
        <w:tab/>
        <w:t>2.</w:t>
      </w:r>
      <w:r w:rsidRPr="00AA7959">
        <w:tab/>
        <w:t>Правила № 28 (звуковые сигнальные приборы)</w:t>
      </w:r>
    </w:p>
    <w:p w:rsidR="00AA7959" w:rsidRPr="00AA7959" w:rsidRDefault="00894681" w:rsidP="00AA7959">
      <w:pPr>
        <w:pStyle w:val="SingleTxtGR"/>
      </w:pPr>
      <w:r>
        <w:tab/>
      </w:r>
      <w:r w:rsidR="00AA7959" w:rsidRPr="00AA7959">
        <w:t xml:space="preserve">GRB рассмотрит новые предложения, если таковые будут представлены. </w:t>
      </w:r>
    </w:p>
    <w:p w:rsidR="00AA7959" w:rsidRPr="00AA7959" w:rsidRDefault="00AA7959" w:rsidP="00894681">
      <w:pPr>
        <w:pStyle w:val="H1GR"/>
      </w:pPr>
      <w:r w:rsidRPr="00AA7959">
        <w:tab/>
        <w:t>3.</w:t>
      </w:r>
      <w:r w:rsidRPr="00AA7959">
        <w:tab/>
        <w:t>Правила № 41 (шум, производимый мотоциклами): разработка</w:t>
      </w:r>
    </w:p>
    <w:p w:rsidR="00AA7959" w:rsidRPr="00AA7959" w:rsidRDefault="00894681" w:rsidP="00AA7959">
      <w:pPr>
        <w:pStyle w:val="SingleTxtGR"/>
      </w:pPr>
      <w:r>
        <w:tab/>
      </w:r>
      <w:r w:rsidR="00AA7959" w:rsidRPr="00AA7959">
        <w:t xml:space="preserve">GRB, возможно, пожелает вернуться к рассмотрению этого предложения, представленного экспертом от Международной ассоциации заводов-изготовителей мотоциклов (МАЗМ), с </w:t>
      </w:r>
      <w:proofErr w:type="gramStart"/>
      <w:r w:rsidR="00AA7959" w:rsidRPr="00AA7959">
        <w:t>тем</w:t>
      </w:r>
      <w:proofErr w:type="gramEnd"/>
      <w:r w:rsidR="00AA7959" w:rsidRPr="00AA7959">
        <w:t xml:space="preserve"> чтобы исключить описание тран</w:t>
      </w:r>
      <w:r w:rsidR="00AA7959" w:rsidRPr="00AA7959">
        <w:t>с</w:t>
      </w:r>
      <w:r w:rsidR="00AA7959" w:rsidRPr="00AA7959">
        <w:t>портных средств категории L</w:t>
      </w:r>
      <w:r w:rsidR="00AA7959" w:rsidRPr="00AA7959">
        <w:rPr>
          <w:vertAlign w:val="subscript"/>
        </w:rPr>
        <w:t>4</w:t>
      </w:r>
      <w:r w:rsidR="00AA7959" w:rsidRPr="00AA7959">
        <w:t xml:space="preserve"> из приложения 3 к Правилам № 41. </w:t>
      </w:r>
    </w:p>
    <w:p w:rsidR="00AA7959" w:rsidRPr="00AA7959" w:rsidRDefault="00AA7959" w:rsidP="00AA7959">
      <w:pPr>
        <w:pStyle w:val="SingleTxtGR"/>
        <w:rPr>
          <w:b/>
          <w:bCs/>
        </w:rPr>
      </w:pPr>
      <w:r w:rsidRPr="00AA7959">
        <w:rPr>
          <w:b/>
          <w:bCs/>
        </w:rPr>
        <w:t>Документация</w:t>
      </w:r>
    </w:p>
    <w:p w:rsidR="00AA7959" w:rsidRPr="00AA7959" w:rsidRDefault="00AA7959" w:rsidP="00AA7959">
      <w:pPr>
        <w:pStyle w:val="SingleTxtGR"/>
      </w:pPr>
      <w:r w:rsidRPr="00AA7959">
        <w:t>ECE/TRANS/WP.29/GRB/2017/4</w:t>
      </w:r>
    </w:p>
    <w:p w:rsidR="00AA7959" w:rsidRPr="00AA7959" w:rsidRDefault="00AA7959" w:rsidP="00894681">
      <w:pPr>
        <w:pStyle w:val="H1GR"/>
      </w:pPr>
      <w:r w:rsidRPr="00AA7959">
        <w:tab/>
        <w:t>4.</w:t>
      </w:r>
      <w:r w:rsidRPr="00AA7959">
        <w:tab/>
        <w:t>Правила № 51 (шум, производимый транспортными средствами категорий M и N)</w:t>
      </w:r>
    </w:p>
    <w:p w:rsidR="00AA7959" w:rsidRPr="00AA7959" w:rsidRDefault="00AA7959" w:rsidP="00894681">
      <w:pPr>
        <w:pStyle w:val="H23GR"/>
      </w:pPr>
      <w:r w:rsidRPr="00AA7959">
        <w:tab/>
        <w:t>а)</w:t>
      </w:r>
      <w:r w:rsidRPr="00AA7959">
        <w:tab/>
        <w:t>Разработка</w:t>
      </w:r>
    </w:p>
    <w:p w:rsidR="00AA7959" w:rsidRPr="00AA7959" w:rsidRDefault="00894681" w:rsidP="00AA7959">
      <w:pPr>
        <w:pStyle w:val="SingleTxtGR"/>
      </w:pPr>
      <w:r>
        <w:tab/>
      </w:r>
      <w:r w:rsidR="00AA7959" w:rsidRPr="00AA7959">
        <w:t>GRB рассмотрит предложения, подготовленные группой экспертов, кот</w:t>
      </w:r>
      <w:r w:rsidR="00AA7959" w:rsidRPr="00AA7959">
        <w:t>о</w:t>
      </w:r>
      <w:r w:rsidR="00AA7959" w:rsidRPr="00AA7959">
        <w:t>рые дополняют и изменяют поправки серии 03 к Правилам № 51.</w:t>
      </w:r>
    </w:p>
    <w:p w:rsidR="00AA7959" w:rsidRPr="00AA7959" w:rsidRDefault="00AA7959" w:rsidP="00AA7959">
      <w:pPr>
        <w:pStyle w:val="SingleTxtGR"/>
        <w:rPr>
          <w:b/>
          <w:bCs/>
        </w:rPr>
      </w:pPr>
      <w:r w:rsidRPr="00AA7959">
        <w:rPr>
          <w:b/>
          <w:bCs/>
        </w:rPr>
        <w:t>Документация</w:t>
      </w:r>
    </w:p>
    <w:p w:rsidR="00AA7959" w:rsidRPr="00AA7959" w:rsidRDefault="00AA7959" w:rsidP="00AA7959">
      <w:pPr>
        <w:pStyle w:val="SingleTxtGR"/>
      </w:pPr>
      <w:r w:rsidRPr="00AA7959">
        <w:t>ECE/TRANS/WP.29/GRB/2017/6</w:t>
      </w:r>
    </w:p>
    <w:p w:rsidR="00AA7959" w:rsidRPr="00AA7959" w:rsidRDefault="00AA7959" w:rsidP="00894681">
      <w:pPr>
        <w:pStyle w:val="H23GR"/>
      </w:pPr>
      <w:r w:rsidRPr="00AA7959">
        <w:tab/>
        <w:t>b)</w:t>
      </w:r>
      <w:r w:rsidRPr="00AA7959">
        <w:tab/>
        <w:t>Дополнительные положения об уровне звука</w:t>
      </w:r>
    </w:p>
    <w:p w:rsidR="00AA7959" w:rsidRPr="00AA7959" w:rsidRDefault="00894681" w:rsidP="00AA7959">
      <w:pPr>
        <w:pStyle w:val="SingleTxtGR"/>
      </w:pPr>
      <w:r>
        <w:tab/>
      </w:r>
      <w:r w:rsidR="00AA7959" w:rsidRPr="00AA7959">
        <w:t>GRB рассмотрит предложения, представленные Неофициальной рабочей группой по дополнительным положениям об уровне звука (НРГ по АСЕП).</w:t>
      </w:r>
    </w:p>
    <w:p w:rsidR="00AA7959" w:rsidRPr="00AA7959" w:rsidRDefault="00AA7959" w:rsidP="00AA7959">
      <w:pPr>
        <w:pStyle w:val="SingleTxtGR"/>
        <w:rPr>
          <w:b/>
          <w:bCs/>
        </w:rPr>
      </w:pPr>
      <w:r w:rsidRPr="00AA7959">
        <w:rPr>
          <w:b/>
          <w:bCs/>
        </w:rPr>
        <w:t>Документация</w:t>
      </w:r>
    </w:p>
    <w:p w:rsidR="00AA7959" w:rsidRPr="00AA7959" w:rsidRDefault="00AA7959" w:rsidP="00AA7959">
      <w:pPr>
        <w:pStyle w:val="SingleTxtGR"/>
      </w:pPr>
      <w:r w:rsidRPr="00AA7959">
        <w:t>ECE/TRANS/WP.29/GRB/2017/5</w:t>
      </w:r>
    </w:p>
    <w:p w:rsidR="00AA7959" w:rsidRPr="00AA7959" w:rsidRDefault="00AA7959" w:rsidP="00894681">
      <w:pPr>
        <w:pStyle w:val="H1GR"/>
      </w:pPr>
      <w:r w:rsidRPr="00AA7959">
        <w:tab/>
        <w:t>5.</w:t>
      </w:r>
      <w:r w:rsidRPr="00AA7959">
        <w:tab/>
        <w:t>Правила № 63 (шум, производимый мопедами)</w:t>
      </w:r>
    </w:p>
    <w:p w:rsidR="00AA7959" w:rsidRPr="00AA7959" w:rsidRDefault="00894681" w:rsidP="00AA7959">
      <w:pPr>
        <w:pStyle w:val="SingleTxtGR"/>
      </w:pPr>
      <w:r>
        <w:tab/>
      </w:r>
      <w:r w:rsidR="00AA7959" w:rsidRPr="00AA7959">
        <w:t xml:space="preserve">GRB вернется к проекту поправок, касающихся </w:t>
      </w:r>
      <w:proofErr w:type="spellStart"/>
      <w:r w:rsidR="00AA7959" w:rsidRPr="00AA7959">
        <w:t>электровелосипедов</w:t>
      </w:r>
      <w:proofErr w:type="spellEnd"/>
      <w:r w:rsidR="00AA7959" w:rsidRPr="00AA7959">
        <w:t>, к</w:t>
      </w:r>
      <w:r w:rsidR="00AA7959" w:rsidRPr="00AA7959">
        <w:t>о</w:t>
      </w:r>
      <w:r w:rsidR="00AA7959" w:rsidRPr="00AA7959">
        <w:t>торый был предложен экспертом от Европейской комиссии.</w:t>
      </w:r>
    </w:p>
    <w:p w:rsidR="00AA7959" w:rsidRPr="00AA7959" w:rsidRDefault="00AA7959" w:rsidP="00AA7959">
      <w:pPr>
        <w:pStyle w:val="SingleTxtGR"/>
        <w:rPr>
          <w:b/>
          <w:bCs/>
        </w:rPr>
      </w:pPr>
      <w:r w:rsidRPr="00AA7959">
        <w:rPr>
          <w:b/>
          <w:bCs/>
        </w:rPr>
        <w:t>Документация</w:t>
      </w:r>
    </w:p>
    <w:p w:rsidR="00AA7959" w:rsidRPr="00AA7959" w:rsidRDefault="00AA7959" w:rsidP="00AA7959">
      <w:pPr>
        <w:pStyle w:val="SingleTxtGR"/>
      </w:pPr>
      <w:r w:rsidRPr="00AA7959">
        <w:t>неофициальный документ GRB-65-09</w:t>
      </w:r>
    </w:p>
    <w:p w:rsidR="00AA7959" w:rsidRPr="00AA7959" w:rsidRDefault="00AA7959" w:rsidP="00894681">
      <w:pPr>
        <w:pStyle w:val="H1GR"/>
      </w:pPr>
      <w:r w:rsidRPr="00AA7959">
        <w:tab/>
        <w:t>6.</w:t>
      </w:r>
      <w:r w:rsidRPr="00AA7959">
        <w:tab/>
        <w:t>Правила № 117 (сопротивление шин качению, шум, издаваемый шинами при качении, и их сцепление на мокрой поверхности)</w:t>
      </w:r>
    </w:p>
    <w:p w:rsidR="00AA7959" w:rsidRPr="00AA7959" w:rsidRDefault="00894681" w:rsidP="00AA7959">
      <w:pPr>
        <w:pStyle w:val="SingleTxtGR"/>
      </w:pPr>
      <w:r>
        <w:tab/>
      </w:r>
      <w:r w:rsidR="00AA7959" w:rsidRPr="00AA7959">
        <w:t>GRB рассмотрит новые предложения, если таковые будут представлены.</w:t>
      </w:r>
    </w:p>
    <w:p w:rsidR="00AA7959" w:rsidRPr="00AA7959" w:rsidRDefault="00894681" w:rsidP="00894681">
      <w:pPr>
        <w:pStyle w:val="H1GR"/>
      </w:pPr>
      <w:r>
        <w:tab/>
      </w:r>
      <w:r w:rsidR="00AA7959" w:rsidRPr="00AA7959">
        <w:t>7.</w:t>
      </w:r>
      <w:r w:rsidR="00AA7959" w:rsidRPr="00AA7959">
        <w:tab/>
        <w:t>Правила № 138 (бесшумные автотранспортные средства)</w:t>
      </w:r>
    </w:p>
    <w:p w:rsidR="00AA7959" w:rsidRPr="00AA7959" w:rsidRDefault="00894681" w:rsidP="00AA7959">
      <w:pPr>
        <w:pStyle w:val="SingleTxtGR"/>
      </w:pPr>
      <w:r>
        <w:tab/>
      </w:r>
      <w:r w:rsidR="00AA7959" w:rsidRPr="00AA7959">
        <w:t>Неофициальные рабочие группы (НРГ) по правилам БАТС и по глобал</w:t>
      </w:r>
      <w:r w:rsidR="00AA7959" w:rsidRPr="00AA7959">
        <w:t>ь</w:t>
      </w:r>
      <w:r w:rsidR="00AA7959" w:rsidRPr="00AA7959">
        <w:t xml:space="preserve">ным техническим правилам (ГТП), касающимся БАТС, представят информацию о своей деятельности. </w:t>
      </w:r>
    </w:p>
    <w:p w:rsidR="00AA7959" w:rsidRPr="00AA7959" w:rsidRDefault="00894681" w:rsidP="00AA7959">
      <w:pPr>
        <w:pStyle w:val="SingleTxtGR"/>
      </w:pPr>
      <w:r>
        <w:tab/>
      </w:r>
      <w:r w:rsidR="00AA7959" w:rsidRPr="00AA7959">
        <w:t>GRB, возможно, пожелает также рассмотреть предложение эксперта от Международной организации предприятий автомобильной промышленности (МОПАП), предусматривающее согласование формулировки переходных пол</w:t>
      </w:r>
      <w:r w:rsidR="00AA7959" w:rsidRPr="00AA7959">
        <w:t>о</w:t>
      </w:r>
      <w:r w:rsidR="00AA7959" w:rsidRPr="00AA7959">
        <w:t>жений в поправках серии 01 к Правилам № 138.</w:t>
      </w:r>
    </w:p>
    <w:p w:rsidR="00AA7959" w:rsidRPr="00AA7959" w:rsidRDefault="00AA7959" w:rsidP="00AA7959">
      <w:pPr>
        <w:pStyle w:val="SingleTxtGR"/>
        <w:rPr>
          <w:b/>
          <w:bCs/>
        </w:rPr>
      </w:pPr>
      <w:r w:rsidRPr="00AA7959">
        <w:rPr>
          <w:b/>
          <w:bCs/>
        </w:rPr>
        <w:t>Документация</w:t>
      </w:r>
    </w:p>
    <w:p w:rsidR="00AA7959" w:rsidRPr="00AA7959" w:rsidRDefault="00AA7959" w:rsidP="00AA7959">
      <w:pPr>
        <w:pStyle w:val="SingleTxtGR"/>
      </w:pPr>
      <w:r w:rsidRPr="00AA7959">
        <w:t>ECE/TRANS/WP.29/GRB/2017/7</w:t>
      </w:r>
    </w:p>
    <w:p w:rsidR="00AA7959" w:rsidRPr="00AA7959" w:rsidRDefault="00894681" w:rsidP="00894681">
      <w:pPr>
        <w:pStyle w:val="H1GR"/>
      </w:pPr>
      <w:r>
        <w:tab/>
      </w:r>
      <w:r w:rsidR="00AA7959" w:rsidRPr="00AA7959">
        <w:t>8.</w:t>
      </w:r>
      <w:r w:rsidR="00AA7959" w:rsidRPr="00AA7959">
        <w:tab/>
        <w:t>Проект правил, касающихся сигналов движения задним ходом</w:t>
      </w:r>
    </w:p>
    <w:p w:rsidR="00AA7959" w:rsidRPr="00AA7959" w:rsidRDefault="00894681" w:rsidP="00AA7959">
      <w:pPr>
        <w:pStyle w:val="SingleTxtGR"/>
      </w:pPr>
      <w:r>
        <w:tab/>
      </w:r>
      <w:r w:rsidR="00AA7959" w:rsidRPr="00AA7959">
        <w:t>На предыдущей сессии GRB сочла, что следует подготовить новые пр</w:t>
      </w:r>
      <w:r w:rsidR="00AA7959" w:rsidRPr="00AA7959">
        <w:t>а</w:t>
      </w:r>
      <w:r w:rsidR="00AA7959" w:rsidRPr="00AA7959">
        <w:t>вила, касающиеся сигналов движения задним ходом, и что в качестве основных будут рассмотрены вопросы об области их применения (категории транспор</w:t>
      </w:r>
      <w:r w:rsidR="00AA7959" w:rsidRPr="00AA7959">
        <w:t>т</w:t>
      </w:r>
      <w:r w:rsidR="00AA7959" w:rsidRPr="00AA7959">
        <w:t>ных средств) и возможном наличии переключателя временной остановки и с</w:t>
      </w:r>
      <w:r w:rsidR="00AA7959" w:rsidRPr="00AA7959">
        <w:t>о</w:t>
      </w:r>
      <w:r w:rsidR="00AA7959" w:rsidRPr="00AA7959">
        <w:t>став звука сигнала (уровни и частоты звука). GRB решила, что необходимости в создании новой неофициальной рабочей группы нет и что на первом этапе с</w:t>
      </w:r>
      <w:r w:rsidR="00AA7959" w:rsidRPr="00AA7959">
        <w:t>о</w:t>
      </w:r>
      <w:r w:rsidR="00AA7959" w:rsidRPr="00AA7959">
        <w:t>ставлением правил будет заниматься небольшая группа заинтересованных ст</w:t>
      </w:r>
      <w:r w:rsidR="00AA7959" w:rsidRPr="00AA7959">
        <w:t>о</w:t>
      </w:r>
      <w:r w:rsidR="00AA7959" w:rsidRPr="00AA7959">
        <w:t>рон.</w:t>
      </w:r>
    </w:p>
    <w:p w:rsidR="00AA7959" w:rsidRPr="00AA7959" w:rsidRDefault="00894681" w:rsidP="00AA7959">
      <w:pPr>
        <w:pStyle w:val="SingleTxtGR"/>
      </w:pPr>
      <w:r>
        <w:tab/>
      </w:r>
      <w:r w:rsidR="00AA7959" w:rsidRPr="00AA7959">
        <w:t>В этом контексте GRB будет проинформирована о ходе подготовки пр</w:t>
      </w:r>
      <w:r w:rsidR="00AA7959" w:rsidRPr="00AA7959">
        <w:t>о</w:t>
      </w:r>
      <w:r w:rsidR="00AA7959" w:rsidRPr="00AA7959">
        <w:t xml:space="preserve">екта новых правил. </w:t>
      </w:r>
    </w:p>
    <w:p w:rsidR="00AA7959" w:rsidRPr="00AA7959" w:rsidRDefault="00AA7959" w:rsidP="00AA7959">
      <w:pPr>
        <w:pStyle w:val="SingleTxtGR"/>
        <w:rPr>
          <w:b/>
          <w:bCs/>
        </w:rPr>
      </w:pPr>
      <w:r w:rsidRPr="00AA7959">
        <w:rPr>
          <w:b/>
          <w:bCs/>
        </w:rPr>
        <w:t>Документация</w:t>
      </w:r>
    </w:p>
    <w:p w:rsidR="00AA7959" w:rsidRPr="00AA7959" w:rsidRDefault="00AA7959" w:rsidP="00AA7959">
      <w:pPr>
        <w:pStyle w:val="SingleTxtGR"/>
      </w:pPr>
      <w:r w:rsidRPr="00AA7959">
        <w:t>ECE/TRANS/WP.29/GRB/63, пункты 3 и 4</w:t>
      </w:r>
    </w:p>
    <w:p w:rsidR="00AA7959" w:rsidRPr="00AA7959" w:rsidRDefault="00894681" w:rsidP="00894681">
      <w:pPr>
        <w:pStyle w:val="H1GR"/>
      </w:pPr>
      <w:r>
        <w:tab/>
      </w:r>
      <w:r w:rsidR="00AA7959" w:rsidRPr="00AA7959">
        <w:t>9.</w:t>
      </w:r>
      <w:r w:rsidR="00AA7959" w:rsidRPr="00AA7959">
        <w:tab/>
        <w:t>Общие поправки</w:t>
      </w:r>
    </w:p>
    <w:p w:rsidR="00AA7959" w:rsidRPr="00AA7959" w:rsidRDefault="00894681" w:rsidP="00AA7959">
      <w:pPr>
        <w:pStyle w:val="SingleTxtGR"/>
      </w:pPr>
      <w:r>
        <w:tab/>
      </w:r>
      <w:r w:rsidR="00AA7959" w:rsidRPr="00AA7959">
        <w:t xml:space="preserve">GRB рассмотрит новые предложения, если таковые будут представлены. </w:t>
      </w:r>
    </w:p>
    <w:p w:rsidR="00AA7959" w:rsidRPr="00AA7959" w:rsidRDefault="00AA7959" w:rsidP="00894681">
      <w:pPr>
        <w:pStyle w:val="H1GR"/>
      </w:pPr>
      <w:r w:rsidRPr="00AA7959">
        <w:tab/>
        <w:t>10.</w:t>
      </w:r>
      <w:r w:rsidRPr="00AA7959">
        <w:tab/>
        <w:t>Обмен информацией о национальных и международных требованиях, касающихся уровней шума</w:t>
      </w:r>
    </w:p>
    <w:p w:rsidR="00AA7959" w:rsidRPr="00AA7959" w:rsidRDefault="00894681" w:rsidP="00AA7959">
      <w:pPr>
        <w:pStyle w:val="SingleTxtGR"/>
      </w:pPr>
      <w:r>
        <w:tab/>
      </w:r>
      <w:r w:rsidR="00AA7959" w:rsidRPr="00AA7959">
        <w:t>GR</w:t>
      </w:r>
      <w:proofErr w:type="gramStart"/>
      <w:r w:rsidR="00AA7959" w:rsidRPr="00AA7959">
        <w:t>В</w:t>
      </w:r>
      <w:proofErr w:type="gramEnd"/>
      <w:r w:rsidR="00AA7959" w:rsidRPr="00AA7959">
        <w:t xml:space="preserve"> продолжит обмен мнениями по вопросам разработки национального или регионального законодательства и международных требований, касающи</w:t>
      </w:r>
      <w:r w:rsidR="00AA7959" w:rsidRPr="00AA7959">
        <w:t>х</w:t>
      </w:r>
      <w:r w:rsidR="00AA7959" w:rsidRPr="00AA7959">
        <w:t>ся уровней шума.</w:t>
      </w:r>
    </w:p>
    <w:p w:rsidR="00AA7959" w:rsidRPr="00AA7959" w:rsidRDefault="00AA7959" w:rsidP="00894681">
      <w:pPr>
        <w:pStyle w:val="H1GR"/>
      </w:pPr>
      <w:r w:rsidRPr="00AA7959">
        <w:tab/>
        <w:t>11.</w:t>
      </w:r>
      <w:r w:rsidRPr="00AA7959">
        <w:tab/>
        <w:t>Влияние поверхности дороги на уровень звука, производимого шинами при качении</w:t>
      </w:r>
    </w:p>
    <w:p w:rsidR="00AA7959" w:rsidRPr="00AA7959" w:rsidRDefault="00894681" w:rsidP="00AA7959">
      <w:pPr>
        <w:pStyle w:val="SingleTxtGR"/>
      </w:pPr>
      <w:r>
        <w:tab/>
      </w:r>
      <w:r w:rsidR="00AA7959" w:rsidRPr="00AA7959">
        <w:t xml:space="preserve">GRB примет к сведению проект по маркировке дорожных поверхностей, представленный экспертом от Нидерландов на предыдущей сессии. </w:t>
      </w:r>
    </w:p>
    <w:p w:rsidR="00AA7959" w:rsidRPr="00AA7959" w:rsidRDefault="00AA7959" w:rsidP="00AA7959">
      <w:pPr>
        <w:pStyle w:val="SingleTxtGR"/>
        <w:rPr>
          <w:b/>
          <w:bCs/>
        </w:rPr>
      </w:pPr>
      <w:r w:rsidRPr="00AA7959">
        <w:rPr>
          <w:b/>
          <w:bCs/>
        </w:rPr>
        <w:t>Документация</w:t>
      </w:r>
    </w:p>
    <w:p w:rsidR="00AA7959" w:rsidRPr="00AA7959" w:rsidRDefault="00AA7959" w:rsidP="00AA7959">
      <w:pPr>
        <w:pStyle w:val="SingleTxtGR"/>
      </w:pPr>
      <w:r w:rsidRPr="00AA7959">
        <w:t>ECE/TRANS/WP.29/GRB/63, пункт 24</w:t>
      </w:r>
    </w:p>
    <w:p w:rsidR="00AA7959" w:rsidRPr="00AA7959" w:rsidRDefault="00AA7959" w:rsidP="00894681">
      <w:pPr>
        <w:pStyle w:val="H1GR"/>
      </w:pPr>
      <w:r w:rsidRPr="00AA7959">
        <w:tab/>
        <w:t>12.</w:t>
      </w:r>
      <w:r w:rsidRPr="00AA7959">
        <w:tab/>
        <w:t>Акронимы и сокращения в правилах, относящихся к ведению Рабочей группы по вопросам шума</w:t>
      </w:r>
    </w:p>
    <w:p w:rsidR="00AA7959" w:rsidRPr="00AA7959" w:rsidRDefault="00894681" w:rsidP="00AA7959">
      <w:pPr>
        <w:pStyle w:val="SingleTxtGR"/>
      </w:pPr>
      <w:r>
        <w:tab/>
      </w:r>
      <w:r w:rsidR="00AA7959" w:rsidRPr="00AA7959">
        <w:t>GRB, возможно, пожелает определить любые новые акронимы и сокр</w:t>
      </w:r>
      <w:r w:rsidR="00AA7959" w:rsidRPr="00AA7959">
        <w:t>а</w:t>
      </w:r>
      <w:r w:rsidR="00AA7959" w:rsidRPr="00AA7959">
        <w:t>щения в правилах, относящихся к ее компетенции.</w:t>
      </w:r>
    </w:p>
    <w:p w:rsidR="00AA7959" w:rsidRPr="00AA7959" w:rsidRDefault="00AA7959" w:rsidP="00894681">
      <w:pPr>
        <w:pStyle w:val="H1GR"/>
      </w:pPr>
      <w:r w:rsidRPr="00AA7959">
        <w:tab/>
        <w:t>13.</w:t>
      </w:r>
      <w:r w:rsidRPr="00AA7959">
        <w:tab/>
        <w:t xml:space="preserve">Предложения по </w:t>
      </w:r>
      <w:r w:rsidR="00894681">
        <w:t>поправкам к Сводной резолюции о </w:t>
      </w:r>
      <w:r w:rsidRPr="00AA7959">
        <w:t>конструкции транспортных средств</w:t>
      </w:r>
    </w:p>
    <w:p w:rsidR="00AA7959" w:rsidRPr="00AA7959" w:rsidRDefault="00894681" w:rsidP="00AA7959">
      <w:pPr>
        <w:pStyle w:val="SingleTxtGR"/>
        <w:rPr>
          <w:bCs/>
        </w:rPr>
      </w:pPr>
      <w:r>
        <w:tab/>
      </w:r>
      <w:r w:rsidR="00AA7959" w:rsidRPr="00AA7959">
        <w:t>GRB примет к сведению предложение эксперта от Российской Федерации относительно изменения единиц измерения масс транспортных сре</w:t>
      </w:r>
      <w:proofErr w:type="gramStart"/>
      <w:r w:rsidR="00AA7959" w:rsidRPr="00AA7959">
        <w:t>дств с т</w:t>
      </w:r>
      <w:proofErr w:type="gramEnd"/>
      <w:r w:rsidR="00AA7959" w:rsidRPr="00AA7959">
        <w:t xml:space="preserve">онн на килограммы. </w:t>
      </w:r>
    </w:p>
    <w:p w:rsidR="00AA7959" w:rsidRPr="00AA7959" w:rsidRDefault="00AA7959" w:rsidP="00AA7959">
      <w:pPr>
        <w:pStyle w:val="SingleTxtGR"/>
        <w:rPr>
          <w:b/>
          <w:bCs/>
        </w:rPr>
      </w:pPr>
      <w:r w:rsidRPr="00AA7959">
        <w:rPr>
          <w:b/>
          <w:bCs/>
        </w:rPr>
        <w:t>Документация</w:t>
      </w:r>
    </w:p>
    <w:p w:rsidR="00AA7959" w:rsidRPr="00AA7959" w:rsidRDefault="00AA7959" w:rsidP="00AA7959">
      <w:pPr>
        <w:pStyle w:val="SingleTxtGR"/>
        <w:rPr>
          <w:bCs/>
        </w:rPr>
      </w:pPr>
      <w:r w:rsidRPr="00AA7959">
        <w:t xml:space="preserve">ECE/TRANS/WP.29/78/Rev.4, неофициальный документ GRB-65-03-Rev.1 </w:t>
      </w:r>
    </w:p>
    <w:p w:rsidR="00AA7959" w:rsidRPr="00AA7959" w:rsidRDefault="00AA7959" w:rsidP="00894681">
      <w:pPr>
        <w:pStyle w:val="H1GR"/>
      </w:pPr>
      <w:r w:rsidRPr="00AA7959">
        <w:tab/>
        <w:t>14.</w:t>
      </w:r>
      <w:r w:rsidRPr="00AA7959">
        <w:tab/>
        <w:t>Разработка международной системы официального утверждения типа компле</w:t>
      </w:r>
      <w:r w:rsidR="00894681">
        <w:t>ктного транспортного средства и </w:t>
      </w:r>
      <w:r w:rsidRPr="00AA7959">
        <w:t>участие в ней рабочих групп</w:t>
      </w:r>
    </w:p>
    <w:p w:rsidR="00AA7959" w:rsidRPr="00AA7959" w:rsidRDefault="00894681" w:rsidP="00AA7959">
      <w:pPr>
        <w:pStyle w:val="SingleTxtGR"/>
      </w:pPr>
      <w:r>
        <w:tab/>
      </w:r>
      <w:r w:rsidR="00AA7959" w:rsidRPr="00AA7959">
        <w:t>GRB, возможно, пожелает рассмотреть этот вопрос в свете обсуждений, состоявшихся на сессиях WP.29 в марте и июне 2017 года.</w:t>
      </w:r>
    </w:p>
    <w:p w:rsidR="00AA7959" w:rsidRPr="00AA7959" w:rsidRDefault="00AA7959" w:rsidP="00894681">
      <w:pPr>
        <w:pStyle w:val="H1GR"/>
      </w:pPr>
      <w:r w:rsidRPr="00AA7959">
        <w:tab/>
        <w:t>15.</w:t>
      </w:r>
      <w:r w:rsidRPr="00AA7959">
        <w:tab/>
        <w:t>Основные вопросы, рассмотре</w:t>
      </w:r>
      <w:r w:rsidR="00894681">
        <w:t>нные на сессиях WP.29 в марте и </w:t>
      </w:r>
      <w:r w:rsidRPr="00AA7959">
        <w:t>июне 2017 года</w:t>
      </w:r>
    </w:p>
    <w:p w:rsidR="00AA7959" w:rsidRPr="00AA7959" w:rsidRDefault="00AA7959" w:rsidP="00AA7959">
      <w:pPr>
        <w:pStyle w:val="SingleTxtGR"/>
        <w:rPr>
          <w:bCs/>
        </w:rPr>
      </w:pPr>
      <w:r w:rsidRPr="00AA7959">
        <w:rPr>
          <w:bCs/>
        </w:rPr>
        <w:tab/>
        <w:t>GRB будет кратко проинформирована секретариатом об основных вопр</w:t>
      </w:r>
      <w:r w:rsidRPr="00AA7959">
        <w:rPr>
          <w:bCs/>
        </w:rPr>
        <w:t>о</w:t>
      </w:r>
      <w:r w:rsidRPr="00AA7959">
        <w:rPr>
          <w:bCs/>
        </w:rPr>
        <w:t>сах, рассмотренных на сессии WP.29 в ноябре 2016 года, которые касаются GRB и общих тем.</w:t>
      </w:r>
    </w:p>
    <w:p w:rsidR="00AA7959" w:rsidRPr="00AA7959" w:rsidRDefault="00AA7959" w:rsidP="00894681">
      <w:pPr>
        <w:pStyle w:val="H1GR"/>
      </w:pPr>
      <w:r w:rsidRPr="00AA7959">
        <w:tab/>
        <w:t>16.</w:t>
      </w:r>
      <w:r w:rsidRPr="00AA7959">
        <w:tab/>
        <w:t>Обмен мнениями о будущей работе GRB</w:t>
      </w:r>
      <w:r w:rsidRPr="00AA7959">
        <w:tab/>
      </w:r>
    </w:p>
    <w:p w:rsidR="00AA7959" w:rsidRPr="00AA7959" w:rsidRDefault="00894681" w:rsidP="00AA7959">
      <w:pPr>
        <w:pStyle w:val="SingleTxtGR"/>
      </w:pPr>
      <w:r>
        <w:tab/>
      </w:r>
      <w:r w:rsidR="00AA7959" w:rsidRPr="00AA7959">
        <w:t>GRB, возможно, пожелает вернуться к обсуждению вопросов, которые следует включить в программу будущей работы.</w:t>
      </w:r>
    </w:p>
    <w:p w:rsidR="00AA7959" w:rsidRPr="00AA7959" w:rsidRDefault="00AA7959" w:rsidP="00AA7959">
      <w:pPr>
        <w:pStyle w:val="SingleTxtGR"/>
        <w:rPr>
          <w:b/>
          <w:bCs/>
        </w:rPr>
      </w:pPr>
      <w:r w:rsidRPr="00AA7959">
        <w:rPr>
          <w:b/>
          <w:bCs/>
        </w:rPr>
        <w:t>Документация</w:t>
      </w:r>
    </w:p>
    <w:p w:rsidR="00AA7959" w:rsidRPr="00AA7959" w:rsidRDefault="00AA7959" w:rsidP="00AA7959">
      <w:pPr>
        <w:pStyle w:val="SingleTxtGR"/>
      </w:pPr>
      <w:r w:rsidRPr="00AA7959">
        <w:t>неофициальный документ GRB-65-15</w:t>
      </w:r>
    </w:p>
    <w:p w:rsidR="00AA7959" w:rsidRPr="00AA7959" w:rsidRDefault="00AA7959" w:rsidP="00894681">
      <w:pPr>
        <w:pStyle w:val="H1GR"/>
      </w:pPr>
      <w:r w:rsidRPr="00AA7959">
        <w:tab/>
        <w:t>17.</w:t>
      </w:r>
      <w:r w:rsidRPr="00AA7959">
        <w:tab/>
        <w:t>Прочие вопросы</w:t>
      </w:r>
    </w:p>
    <w:p w:rsidR="00AA7959" w:rsidRPr="00AA7959" w:rsidRDefault="00894681" w:rsidP="00AA7959">
      <w:pPr>
        <w:pStyle w:val="SingleTxtGR"/>
      </w:pPr>
      <w:r>
        <w:tab/>
      </w:r>
      <w:r w:rsidR="00AA7959" w:rsidRPr="00AA7959">
        <w:t>GRB, возможно, рассмотрит любые другие вопросы, если возникнет т</w:t>
      </w:r>
      <w:r w:rsidR="00AA7959" w:rsidRPr="00AA7959">
        <w:t>а</w:t>
      </w:r>
      <w:r w:rsidR="00AA7959" w:rsidRPr="00AA7959">
        <w:t>кая необходимость.</w:t>
      </w:r>
    </w:p>
    <w:p w:rsidR="00AA7959" w:rsidRPr="00AA7959" w:rsidRDefault="00AA7959" w:rsidP="00894681">
      <w:pPr>
        <w:pStyle w:val="H1GR"/>
      </w:pPr>
      <w:r w:rsidRPr="00AA7959">
        <w:tab/>
        <w:t>18.</w:t>
      </w:r>
      <w:r w:rsidRPr="00AA7959">
        <w:tab/>
        <w:t>Предварительная повестка дня шестьдесят седьмой сессии</w:t>
      </w:r>
    </w:p>
    <w:p w:rsidR="00AA7959" w:rsidRPr="00AA7959" w:rsidRDefault="00AA7959" w:rsidP="00AA7959">
      <w:pPr>
        <w:pStyle w:val="SingleTxtGR"/>
      </w:pPr>
      <w:r w:rsidRPr="00AA7959">
        <w:tab/>
        <w:t>GRB предлагается дать указания по предварительной повестке дня сл</w:t>
      </w:r>
      <w:r w:rsidRPr="00AA7959">
        <w:t>е</w:t>
      </w:r>
      <w:r w:rsidRPr="00AA7959">
        <w:t>дующей сессии, которую планируется провести в Женеве 24 (с 14 ч. 30 м.) – 26 (до 17 ч. 30 м.) января 2018 года.</w:t>
      </w:r>
    </w:p>
    <w:p w:rsidR="00AA7959" w:rsidRPr="00AA7959" w:rsidRDefault="00AA7959" w:rsidP="00894681">
      <w:pPr>
        <w:pStyle w:val="H1GR"/>
      </w:pPr>
      <w:r w:rsidRPr="00AA7959">
        <w:tab/>
        <w:t>19.</w:t>
      </w:r>
      <w:r w:rsidRPr="00AA7959">
        <w:tab/>
        <w:t>Выборы должностных лиц</w:t>
      </w:r>
    </w:p>
    <w:p w:rsidR="00AA7959" w:rsidRDefault="00AA7959" w:rsidP="00AA7959">
      <w:pPr>
        <w:pStyle w:val="SingleTxtGR"/>
      </w:pPr>
      <w:r w:rsidRPr="00AA7959">
        <w:tab/>
        <w:t>В соответствии с правилом 37 правил процедуры (TRANS/WP.29/690 и Amend.1) GRB изберет Председателя и заместителя Председателя для сессий, запланированных на 2017 год.</w:t>
      </w:r>
    </w:p>
    <w:p w:rsidR="00AA7959" w:rsidRPr="00894681" w:rsidRDefault="00894681" w:rsidP="00894681">
      <w:pPr>
        <w:pStyle w:val="SingleTxtGR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A7959" w:rsidRPr="00894681" w:rsidSect="00AA795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37" w:rsidRPr="00A312BC" w:rsidRDefault="00236337" w:rsidP="00A312BC"/>
  </w:endnote>
  <w:endnote w:type="continuationSeparator" w:id="0">
    <w:p w:rsidR="00236337" w:rsidRPr="00A312BC" w:rsidRDefault="00236337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59" w:rsidRPr="00AA7959" w:rsidRDefault="00AA7959">
    <w:pPr>
      <w:pStyle w:val="Footer"/>
    </w:pPr>
    <w:r w:rsidRPr="00AA7959">
      <w:rPr>
        <w:b/>
        <w:sz w:val="18"/>
      </w:rPr>
      <w:fldChar w:fldCharType="begin"/>
    </w:r>
    <w:r w:rsidRPr="00AA7959">
      <w:rPr>
        <w:b/>
        <w:sz w:val="18"/>
      </w:rPr>
      <w:instrText xml:space="preserve"> PAGE  \* MERGEFORMAT </w:instrText>
    </w:r>
    <w:r w:rsidRPr="00AA7959">
      <w:rPr>
        <w:b/>
        <w:sz w:val="18"/>
      </w:rPr>
      <w:fldChar w:fldCharType="separate"/>
    </w:r>
    <w:r w:rsidR="00395E7C">
      <w:rPr>
        <w:b/>
        <w:noProof/>
        <w:sz w:val="18"/>
      </w:rPr>
      <w:t>4</w:t>
    </w:r>
    <w:r w:rsidRPr="00AA7959">
      <w:rPr>
        <w:b/>
        <w:sz w:val="18"/>
      </w:rPr>
      <w:fldChar w:fldCharType="end"/>
    </w:r>
    <w:r>
      <w:rPr>
        <w:b/>
        <w:sz w:val="18"/>
      </w:rPr>
      <w:tab/>
    </w:r>
    <w:r>
      <w:t>GE.17-09840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59" w:rsidRPr="00AA7959" w:rsidRDefault="00AA7959" w:rsidP="00AA7959">
    <w:pPr>
      <w:pStyle w:val="Footer"/>
      <w:tabs>
        <w:tab w:val="clear" w:pos="9639"/>
        <w:tab w:val="right" w:pos="9638"/>
      </w:tabs>
      <w:rPr>
        <w:b/>
        <w:sz w:val="18"/>
      </w:rPr>
    </w:pPr>
    <w:r>
      <w:t>GE.17-09840</w:t>
    </w:r>
    <w:r>
      <w:tab/>
    </w:r>
    <w:r w:rsidRPr="00AA7959">
      <w:rPr>
        <w:b/>
        <w:sz w:val="18"/>
      </w:rPr>
      <w:fldChar w:fldCharType="begin"/>
    </w:r>
    <w:r w:rsidRPr="00AA7959">
      <w:rPr>
        <w:b/>
        <w:sz w:val="18"/>
      </w:rPr>
      <w:instrText xml:space="preserve"> PAGE  \* MERGEFORMAT </w:instrText>
    </w:r>
    <w:r w:rsidRPr="00AA7959">
      <w:rPr>
        <w:b/>
        <w:sz w:val="18"/>
      </w:rPr>
      <w:fldChar w:fldCharType="separate"/>
    </w:r>
    <w:r w:rsidR="00395E7C">
      <w:rPr>
        <w:b/>
        <w:noProof/>
        <w:sz w:val="18"/>
      </w:rPr>
      <w:t>5</w:t>
    </w:r>
    <w:r w:rsidRPr="00AA795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72" w:rsidRPr="00AA7959" w:rsidRDefault="00AA7959" w:rsidP="00AA7959">
    <w:pPr>
      <w:spacing w:before="120" w:line="240" w:lineRule="auto"/>
    </w:pPr>
    <w:r>
      <w:t>GE.</w:t>
    </w:r>
    <w:r w:rsidR="00DF71B9">
      <w:rPr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93BF49B" wp14:editId="0C23D393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17-09840  (R)  160617  160617</w:t>
    </w:r>
    <w:r>
      <w:br/>
    </w:r>
    <w:r w:rsidRPr="00AA7959">
      <w:rPr>
        <w:rFonts w:ascii="C39T30Lfz" w:hAnsi="C39T30Lfz"/>
        <w:spacing w:val="0"/>
        <w:w w:val="100"/>
        <w:sz w:val="56"/>
      </w:rPr>
      <w:t></w:t>
    </w:r>
    <w:r w:rsidRPr="00AA7959">
      <w:rPr>
        <w:rFonts w:ascii="C39T30Lfz" w:hAnsi="C39T30Lfz"/>
        <w:spacing w:val="0"/>
        <w:w w:val="100"/>
        <w:sz w:val="56"/>
      </w:rPr>
      <w:t></w:t>
    </w:r>
    <w:r w:rsidRPr="00AA7959">
      <w:rPr>
        <w:rFonts w:ascii="C39T30Lfz" w:hAnsi="C39T30Lfz"/>
        <w:spacing w:val="0"/>
        <w:w w:val="100"/>
        <w:sz w:val="56"/>
      </w:rPr>
      <w:t></w:t>
    </w:r>
    <w:r w:rsidRPr="00AA7959">
      <w:rPr>
        <w:rFonts w:ascii="C39T30Lfz" w:hAnsi="C39T30Lfz"/>
        <w:spacing w:val="0"/>
        <w:w w:val="100"/>
        <w:sz w:val="56"/>
      </w:rPr>
      <w:t></w:t>
    </w:r>
    <w:r w:rsidRPr="00AA7959">
      <w:rPr>
        <w:rFonts w:ascii="C39T30Lfz" w:hAnsi="C39T30Lfz"/>
        <w:spacing w:val="0"/>
        <w:w w:val="100"/>
        <w:sz w:val="56"/>
      </w:rPr>
      <w:t></w:t>
    </w:r>
    <w:r w:rsidRPr="00AA7959">
      <w:rPr>
        <w:rFonts w:ascii="C39T30Lfz" w:hAnsi="C39T30Lfz"/>
        <w:spacing w:val="0"/>
        <w:w w:val="100"/>
        <w:sz w:val="56"/>
      </w:rPr>
      <w:t></w:t>
    </w:r>
    <w:r w:rsidRPr="00AA7959">
      <w:rPr>
        <w:rFonts w:ascii="C39T30Lfz" w:hAnsi="C39T30Lfz"/>
        <w:spacing w:val="0"/>
        <w:w w:val="100"/>
        <w:sz w:val="56"/>
      </w:rPr>
      <w:t></w:t>
    </w:r>
    <w:r w:rsidRPr="00AA7959">
      <w:rPr>
        <w:rFonts w:ascii="C39T30Lfz" w:hAnsi="C39T30Lfz"/>
        <w:spacing w:val="0"/>
        <w:w w:val="100"/>
        <w:sz w:val="56"/>
      </w:rPr>
      <w:t></w:t>
    </w:r>
    <w:r w:rsidRPr="00AA7959">
      <w:rPr>
        <w:rFonts w:ascii="C39T30Lfz" w:hAnsi="C39T30Lfz"/>
        <w:spacing w:val="0"/>
        <w:w w:val="100"/>
        <w:sz w:val="56"/>
      </w:rPr>
      <w:t></w:t>
    </w:r>
    <w:r>
      <w:rPr>
        <w:noProof/>
        <w:w w:val="100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40080" cy="640080"/>
          <wp:effectExtent l="0" t="0" r="7620" b="7620"/>
          <wp:wrapNone/>
          <wp:docPr id="1" name="Рисунок 1" descr="https://undocs.org/m2/QRCode.ashx?DS=ECE/TRANS/WP.29/GRB/2017/3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B/2017/3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37" w:rsidRPr="001075E9" w:rsidRDefault="00236337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236337" w:rsidRDefault="00236337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AA7959" w:rsidRPr="00AA7959" w:rsidRDefault="00AA7959">
      <w:pPr>
        <w:pStyle w:val="FootnoteText"/>
        <w:rPr>
          <w:sz w:val="20"/>
          <w:lang w:val="ru-RU"/>
        </w:rPr>
      </w:pPr>
      <w:r>
        <w:tab/>
      </w:r>
      <w:r w:rsidRPr="00AA7959">
        <w:rPr>
          <w:rStyle w:val="FootnoteReference"/>
          <w:sz w:val="20"/>
          <w:vertAlign w:val="baseline"/>
          <w:lang w:val="ru-RU"/>
        </w:rPr>
        <w:t>*</w:t>
      </w:r>
      <w:r w:rsidRPr="00AA7959">
        <w:rPr>
          <w:rStyle w:val="FootnoteReference"/>
          <w:vertAlign w:val="baseline"/>
          <w:lang w:val="ru-RU"/>
        </w:rPr>
        <w:tab/>
      </w:r>
      <w:r w:rsidRPr="00AA7959">
        <w:rPr>
          <w:lang w:val="ru-RU"/>
        </w:rPr>
        <w:t>Из соображений экономии делегатов просят приносить на заседания все соответствующие документы. В зале заседаний никакая документация распространяться не будет. До сессии документы можно загрузить с веб-сайта Отдела устойчивого транспорт</w:t>
      </w:r>
      <w:r w:rsidR="00C419BB">
        <w:rPr>
          <w:lang w:val="ru-RU"/>
        </w:rPr>
        <w:t>а ЕЭК ООН (</w:t>
      </w:r>
      <w:hyperlink r:id="rId1" w:history="1">
        <w:r w:rsidR="00446755" w:rsidRPr="00446755">
          <w:rPr>
            <w:rStyle w:val="Hyperlink"/>
            <w:color w:val="auto"/>
            <w:lang w:val="ru-RU"/>
          </w:rPr>
          <w:t>http://www.unece.org/trans/main/wp29/wp29wgs/</w:t>
        </w:r>
        <w:r w:rsidR="00446755">
          <w:rPr>
            <w:rStyle w:val="Hyperlink"/>
            <w:color w:val="auto"/>
            <w:lang w:val="ru-RU"/>
          </w:rPr>
          <w:br/>
        </w:r>
        <w:r w:rsidR="00446755" w:rsidRPr="00446755">
          <w:rPr>
            <w:rStyle w:val="Hyperlink"/>
            <w:color w:val="auto"/>
            <w:lang w:val="ru-RU"/>
          </w:rPr>
          <w:t>wp29grb/grbage.html</w:t>
        </w:r>
      </w:hyperlink>
      <w:r w:rsidRPr="00AA7959">
        <w:rPr>
          <w:lang w:val="ru-RU"/>
        </w:rPr>
        <w:t>). В порядке исключения документы можно также получить по электронной почте (</w:t>
      </w:r>
      <w:r w:rsidR="00446755" w:rsidRPr="00446755">
        <w:rPr>
          <w:lang w:val="ru-RU"/>
        </w:rPr>
        <w:t>grb@unece.org</w:t>
      </w:r>
      <w:r w:rsidRPr="00AA7959">
        <w:rPr>
          <w:lang w:val="ru-RU"/>
        </w:rPr>
        <w:t xml:space="preserve">). В ходе сессии официальные документы можно получить в Секции распространения документов ЮНОГ (комната C.337, третий этаж, Дворец Наций). С переводом официальных документов делегаты могут ознакомиться через новую общедоступную систему официальной документации (СОД) на веб-сайте по следующему адресу: </w:t>
      </w:r>
      <w:r w:rsidR="00446755" w:rsidRPr="00446755">
        <w:rPr>
          <w:lang w:val="ru-RU"/>
        </w:rPr>
        <w:t>http://documents.un.org/</w:t>
      </w:r>
      <w:r w:rsidRPr="00AA7959">
        <w:rPr>
          <w:lang w:val="ru-RU"/>
        </w:rPr>
        <w:t>.</w:t>
      </w:r>
    </w:p>
  </w:footnote>
  <w:footnote w:id="2">
    <w:p w:rsidR="00AA7959" w:rsidRPr="00AA7959" w:rsidRDefault="00AA7959">
      <w:pPr>
        <w:pStyle w:val="FootnoteText"/>
        <w:rPr>
          <w:sz w:val="20"/>
          <w:lang w:val="ru-RU"/>
        </w:rPr>
      </w:pPr>
      <w:r w:rsidRPr="00446755">
        <w:rPr>
          <w:lang w:val="ru-RU"/>
        </w:rPr>
        <w:tab/>
      </w:r>
      <w:r w:rsidRPr="00AA7959">
        <w:rPr>
          <w:rStyle w:val="FootnoteReference"/>
          <w:sz w:val="20"/>
          <w:vertAlign w:val="baseline"/>
          <w:lang w:val="ru-RU"/>
        </w:rPr>
        <w:t>**</w:t>
      </w:r>
      <w:r w:rsidRPr="00AA7959">
        <w:rPr>
          <w:rStyle w:val="FootnoteReference"/>
          <w:vertAlign w:val="baseline"/>
          <w:lang w:val="ru-RU"/>
        </w:rPr>
        <w:tab/>
      </w:r>
      <w:r w:rsidRPr="00AA7959">
        <w:rPr>
          <w:lang w:val="ru-RU"/>
        </w:rPr>
        <w:t>Делегатов просят зарегистрироваться онлайн с помощью системы регистрации на веб-сайте ЕЭК ООН (</w:t>
      </w:r>
      <w:r w:rsidR="00446755" w:rsidRPr="00446755">
        <w:rPr>
          <w:lang w:val="ru-RU"/>
        </w:rPr>
        <w:t>https://www2.unece.org/uncdb/app/ext/meeting-registration?id=Ko3ILY</w:t>
      </w:r>
      <w:r w:rsidRPr="00AA7959">
        <w:rPr>
          <w:lang w:val="ru-RU"/>
        </w:rPr>
        <w:t xml:space="preserve">). По прибытии во Дворец Наций делегатам следует получить пропуск в Секции охраны и безопасности ЮНОГ, которая находится у въезда со стороны </w:t>
      </w:r>
      <w:proofErr w:type="spellStart"/>
      <w:r w:rsidRPr="00AA7959">
        <w:rPr>
          <w:lang w:val="ru-RU"/>
        </w:rPr>
        <w:t>Прени</w:t>
      </w:r>
      <w:proofErr w:type="spellEnd"/>
      <w:r w:rsidRPr="00AA7959">
        <w:rPr>
          <w:lang w:val="ru-RU"/>
        </w:rPr>
        <w:t xml:space="preserve"> (</w:t>
      </w:r>
      <w:proofErr w:type="spellStart"/>
      <w:r w:rsidRPr="00AA7959">
        <w:rPr>
          <w:lang w:val="ru-RU"/>
        </w:rPr>
        <w:t>Pregny</w:t>
      </w:r>
      <w:proofErr w:type="spellEnd"/>
      <w:r w:rsidRPr="00AA7959">
        <w:rPr>
          <w:lang w:val="ru-RU"/>
        </w:rPr>
        <w:t xml:space="preserve"> </w:t>
      </w:r>
      <w:proofErr w:type="spellStart"/>
      <w:r w:rsidRPr="00AA7959">
        <w:rPr>
          <w:lang w:val="ru-RU"/>
        </w:rPr>
        <w:t>Gate</w:t>
      </w:r>
      <w:proofErr w:type="spellEnd"/>
      <w:r w:rsidRPr="00AA7959">
        <w:rPr>
          <w:lang w:val="ru-RU"/>
        </w:rPr>
        <w:t xml:space="preserve">) (14, </w:t>
      </w:r>
      <w:proofErr w:type="spellStart"/>
      <w:r w:rsidRPr="00AA7959">
        <w:rPr>
          <w:lang w:val="ru-RU"/>
        </w:rPr>
        <w:t>Avenue</w:t>
      </w:r>
      <w:proofErr w:type="spellEnd"/>
      <w:r w:rsidRPr="00AA7959">
        <w:rPr>
          <w:lang w:val="ru-RU"/>
        </w:rPr>
        <w:t xml:space="preserve"> </w:t>
      </w:r>
      <w:proofErr w:type="spellStart"/>
      <w:r w:rsidRPr="00AA7959">
        <w:rPr>
          <w:lang w:val="ru-RU"/>
        </w:rPr>
        <w:t>de</w:t>
      </w:r>
      <w:proofErr w:type="spellEnd"/>
      <w:r w:rsidRPr="00AA7959">
        <w:rPr>
          <w:lang w:val="ru-RU"/>
        </w:rPr>
        <w:t xml:space="preserve"> </w:t>
      </w:r>
      <w:proofErr w:type="spellStart"/>
      <w:r w:rsidRPr="00AA7959">
        <w:rPr>
          <w:lang w:val="ru-RU"/>
        </w:rPr>
        <w:t>la</w:t>
      </w:r>
      <w:proofErr w:type="spellEnd"/>
      <w:r w:rsidRPr="00AA7959">
        <w:rPr>
          <w:lang w:val="ru-RU"/>
        </w:rPr>
        <w:t xml:space="preserve"> </w:t>
      </w:r>
      <w:proofErr w:type="spellStart"/>
      <w:r w:rsidRPr="00AA7959">
        <w:rPr>
          <w:lang w:val="ru-RU"/>
        </w:rPr>
        <w:t>Paix</w:t>
      </w:r>
      <w:proofErr w:type="spellEnd"/>
      <w:r w:rsidRPr="00AA7959">
        <w:rPr>
          <w:lang w:val="ru-RU"/>
        </w:rPr>
        <w:t>). В случае затруднений просьба связаться с секретариатом ЕЭК ООН по телефону (внутренний номер 74323). Схему Дворца Наций и другую полезную информацию см. на веб-сай</w:t>
      </w:r>
      <w:r>
        <w:rPr>
          <w:lang w:val="ru-RU"/>
        </w:rPr>
        <w:t>те www.unece.org/</w:t>
      </w:r>
      <w:proofErr w:type="spellStart"/>
      <w:r>
        <w:rPr>
          <w:lang w:val="ru-RU"/>
        </w:rPr>
        <w:t>meetings</w:t>
      </w:r>
      <w:proofErr w:type="spellEnd"/>
      <w:r>
        <w:rPr>
          <w:lang w:val="ru-RU"/>
        </w:rPr>
        <w:t>/</w:t>
      </w:r>
      <w:r w:rsidRPr="00AA7959">
        <w:rPr>
          <w:lang w:val="ru-RU"/>
        </w:rPr>
        <w:t>practical.htm.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59" w:rsidRPr="00AA7959" w:rsidRDefault="00395E7C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F74ABC">
      <w:t>ECE/TRANS/WP.29/GRB/2017/3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59" w:rsidRPr="00AA7959" w:rsidRDefault="00395E7C" w:rsidP="00AA7959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F74ABC">
      <w:t>ECE/TRANS/WP.29/GRB/2017/3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37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36337"/>
    <w:rsid w:val="00255343"/>
    <w:rsid w:val="0027151D"/>
    <w:rsid w:val="002A181F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95E7C"/>
    <w:rsid w:val="003A0D43"/>
    <w:rsid w:val="003A48CE"/>
    <w:rsid w:val="003B00E5"/>
    <w:rsid w:val="003B41C2"/>
    <w:rsid w:val="00407B78"/>
    <w:rsid w:val="00424203"/>
    <w:rsid w:val="00446755"/>
    <w:rsid w:val="00452493"/>
    <w:rsid w:val="00453318"/>
    <w:rsid w:val="00454AF2"/>
    <w:rsid w:val="00454E07"/>
    <w:rsid w:val="00472C5C"/>
    <w:rsid w:val="004E05B7"/>
    <w:rsid w:val="0050108D"/>
    <w:rsid w:val="00513081"/>
    <w:rsid w:val="00517901"/>
    <w:rsid w:val="00526683"/>
    <w:rsid w:val="005639C1"/>
    <w:rsid w:val="005709E0"/>
    <w:rsid w:val="00572E19"/>
    <w:rsid w:val="005961C8"/>
    <w:rsid w:val="005966F1"/>
    <w:rsid w:val="005A621C"/>
    <w:rsid w:val="005D7914"/>
    <w:rsid w:val="005E2B41"/>
    <w:rsid w:val="005F0B42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81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6FE6"/>
    <w:rsid w:val="00A14DA8"/>
    <w:rsid w:val="00A312BC"/>
    <w:rsid w:val="00A84021"/>
    <w:rsid w:val="00A84D35"/>
    <w:rsid w:val="00A917B3"/>
    <w:rsid w:val="00AA7959"/>
    <w:rsid w:val="00AB4B51"/>
    <w:rsid w:val="00B01309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419BB"/>
    <w:rsid w:val="00C60F0C"/>
    <w:rsid w:val="00C805C9"/>
    <w:rsid w:val="00C92939"/>
    <w:rsid w:val="00CA1679"/>
    <w:rsid w:val="00CB151C"/>
    <w:rsid w:val="00CE5A1A"/>
    <w:rsid w:val="00CF55F6"/>
    <w:rsid w:val="00D33D63"/>
    <w:rsid w:val="00D5253A"/>
    <w:rsid w:val="00D90028"/>
    <w:rsid w:val="00D90138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74ABC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  <w:style w:type="paragraph" w:styleId="BlockText">
    <w:name w:val="Block Text"/>
    <w:basedOn w:val="Normal"/>
    <w:semiHidden/>
    <w:unhideWhenUsed/>
    <w:rsid w:val="00AA795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hAnsiTheme="minorHAnsi"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  <w:style w:type="paragraph" w:styleId="BlockText">
    <w:name w:val="Block Text"/>
    <w:basedOn w:val="Normal"/>
    <w:semiHidden/>
    <w:unhideWhenUsed/>
    <w:rsid w:val="00AA795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hAnsiTheme="minorHAns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ece.org/trans/main/wp29/wp29wgs/wp29grb/grbage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1085</Words>
  <Characters>6187</Characters>
  <Application>Microsoft Office Word</Application>
  <DocSecurity>4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ECE/TRANS/WP.29/GRB/2017/3</vt:lpstr>
      <vt:lpstr>ECE/TRANS/WP.29/GRB/2017/3</vt:lpstr>
      <vt:lpstr>A/</vt:lpstr>
    </vt:vector>
  </TitlesOfParts>
  <Company>DCM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ECE/TRANS/WP.29/GRB/2017/3</dc:title>
  <dc:creator>Marina Korotkova</dc:creator>
  <cp:lastModifiedBy>Benedicte Boudol</cp:lastModifiedBy>
  <cp:revision>2</cp:revision>
  <cp:lastPrinted>2017-06-16T09:16:00Z</cp:lastPrinted>
  <dcterms:created xsi:type="dcterms:W3CDTF">2017-07-18T07:32:00Z</dcterms:created>
  <dcterms:modified xsi:type="dcterms:W3CDTF">2017-07-18T07:32:00Z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