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1F" w:rsidRPr="008613DE" w:rsidRDefault="005B560D" w:rsidP="006B1922">
      <w:pPr>
        <w:jc w:val="center"/>
        <w:rPr>
          <w:rFonts w:asciiTheme="majorHAnsi" w:hAnsiTheme="majorHAnsi" w:cstheme="majorHAnsi"/>
          <w:b/>
          <w:color w:val="000000" w:themeColor="text1"/>
          <w:sz w:val="22"/>
        </w:rPr>
      </w:pPr>
      <w:r w:rsidRPr="008613DE">
        <w:rPr>
          <w:rFonts w:asciiTheme="majorHAnsi" w:hAnsiTheme="majorHAnsi" w:cstheme="majorHAnsi"/>
          <w:b/>
          <w:color w:val="000000" w:themeColor="text1"/>
          <w:sz w:val="22"/>
        </w:rPr>
        <w:t>Proposed amendments to "</w:t>
      </w:r>
      <w:r w:rsidR="00A96086" w:rsidRPr="008613DE">
        <w:rPr>
          <w:rFonts w:asciiTheme="majorHAnsi" w:hAnsiTheme="majorHAnsi" w:cstheme="majorHAnsi"/>
          <w:b/>
          <w:color w:val="000000" w:themeColor="text1"/>
          <w:sz w:val="22"/>
        </w:rPr>
        <w:t>Guideline</w:t>
      </w:r>
      <w:r w:rsidR="006B1922">
        <w:rPr>
          <w:rFonts w:asciiTheme="majorHAnsi" w:hAnsiTheme="majorHAnsi" w:cstheme="majorHAnsi"/>
          <w:b/>
          <w:color w:val="000000" w:themeColor="text1"/>
          <w:sz w:val="22"/>
        </w:rPr>
        <w:t xml:space="preserve"> to Regulatory Procedures</w:t>
      </w:r>
      <w:r w:rsidRPr="008613DE">
        <w:rPr>
          <w:rFonts w:asciiTheme="majorHAnsi" w:hAnsiTheme="majorHAnsi" w:cstheme="majorHAnsi"/>
          <w:b/>
          <w:color w:val="000000" w:themeColor="text1"/>
          <w:sz w:val="22"/>
        </w:rPr>
        <w:t>"</w:t>
      </w:r>
      <w:r w:rsidR="006B1922">
        <w:rPr>
          <w:rFonts w:asciiTheme="majorHAnsi" w:hAnsiTheme="majorHAnsi" w:cstheme="majorHAnsi"/>
          <w:b/>
          <w:color w:val="000000" w:themeColor="text1"/>
          <w:sz w:val="22"/>
        </w:rPr>
        <w:br/>
        <w:t>(</w:t>
      </w:r>
      <w:r w:rsidR="00A96086" w:rsidRPr="008613DE">
        <w:rPr>
          <w:rFonts w:asciiTheme="majorHAnsi" w:hAnsiTheme="majorHAnsi" w:cstheme="majorHAnsi"/>
          <w:b/>
          <w:color w:val="000000" w:themeColor="text1"/>
          <w:sz w:val="22"/>
        </w:rPr>
        <w:t xml:space="preserve">document </w:t>
      </w:r>
      <w:r w:rsidR="002C2D22">
        <w:rPr>
          <w:rFonts w:asciiTheme="majorHAnsi" w:hAnsiTheme="majorHAnsi" w:cstheme="majorHAnsi"/>
          <w:b/>
          <w:color w:val="000000" w:themeColor="text1"/>
          <w:sz w:val="22"/>
        </w:rPr>
        <w:t>ECE/TRANS/</w:t>
      </w:r>
      <w:r w:rsidR="00EE571F" w:rsidRPr="008613DE">
        <w:rPr>
          <w:rFonts w:asciiTheme="majorHAnsi" w:hAnsiTheme="majorHAnsi" w:cstheme="majorHAnsi"/>
          <w:b/>
          <w:color w:val="000000" w:themeColor="text1"/>
          <w:sz w:val="22"/>
        </w:rPr>
        <w:t>WP.29/</w:t>
      </w:r>
      <w:r w:rsidR="001856E0" w:rsidRPr="008613DE">
        <w:rPr>
          <w:rFonts w:asciiTheme="majorHAnsi" w:hAnsiTheme="majorHAnsi" w:cstheme="majorHAnsi"/>
          <w:b/>
          <w:color w:val="000000" w:themeColor="text1"/>
          <w:sz w:val="22"/>
        </w:rPr>
        <w:t>2017/</w:t>
      </w:r>
      <w:r w:rsidRPr="008613DE">
        <w:rPr>
          <w:rFonts w:asciiTheme="majorHAnsi" w:hAnsiTheme="majorHAnsi" w:cstheme="majorHAnsi"/>
          <w:b/>
          <w:color w:val="000000" w:themeColor="text1"/>
          <w:sz w:val="22"/>
        </w:rPr>
        <w:t>107</w:t>
      </w:r>
      <w:r w:rsidR="006B1922">
        <w:rPr>
          <w:rFonts w:asciiTheme="majorHAnsi" w:hAnsiTheme="majorHAnsi" w:cstheme="majorHAnsi"/>
          <w:b/>
          <w:color w:val="000000" w:themeColor="text1"/>
          <w:sz w:val="22"/>
        </w:rPr>
        <w:t>)</w:t>
      </w:r>
    </w:p>
    <w:p w:rsidR="00EE571F" w:rsidRPr="008613DE" w:rsidRDefault="00EE571F" w:rsidP="006B1922">
      <w:pPr>
        <w:rPr>
          <w:rFonts w:asciiTheme="majorHAnsi" w:hAnsiTheme="majorHAnsi" w:cstheme="majorHAnsi"/>
          <w:color w:val="000000" w:themeColor="text1"/>
          <w:sz w:val="22"/>
        </w:rPr>
      </w:pPr>
    </w:p>
    <w:p w:rsidR="001856E0" w:rsidRPr="008613DE" w:rsidRDefault="00573A83" w:rsidP="006B1922">
      <w:pPr>
        <w:rPr>
          <w:rFonts w:asciiTheme="majorHAnsi" w:hAnsiTheme="majorHAnsi" w:cstheme="majorHAnsi"/>
          <w:color w:val="000000" w:themeColor="text1"/>
          <w:sz w:val="22"/>
        </w:rPr>
      </w:pPr>
      <w:r w:rsidRPr="008613DE">
        <w:rPr>
          <w:rFonts w:asciiTheme="majorHAnsi" w:hAnsiTheme="majorHAnsi" w:cstheme="majorHAnsi"/>
          <w:color w:val="000000" w:themeColor="text1"/>
          <w:sz w:val="22"/>
          <w:u w:val="single"/>
        </w:rPr>
        <w:t>Proposal</w:t>
      </w:r>
      <w:r w:rsidR="00C14C23" w:rsidRPr="008613DE">
        <w:rPr>
          <w:rFonts w:asciiTheme="majorHAnsi" w:hAnsiTheme="majorHAnsi" w:cstheme="majorHAnsi"/>
          <w:color w:val="000000" w:themeColor="text1"/>
          <w:sz w:val="22"/>
        </w:rPr>
        <w:t>:</w:t>
      </w:r>
    </w:p>
    <w:p w:rsidR="00573A83" w:rsidRPr="008613DE" w:rsidRDefault="00573A83" w:rsidP="006B1922">
      <w:pPr>
        <w:rPr>
          <w:rFonts w:asciiTheme="majorHAnsi" w:hAnsiTheme="majorHAnsi" w:cstheme="majorHAnsi"/>
          <w:color w:val="000000" w:themeColor="text1"/>
          <w:sz w:val="22"/>
        </w:rPr>
      </w:pPr>
    </w:p>
    <w:p w:rsidR="00FB5012" w:rsidRPr="008613DE" w:rsidRDefault="00FB5012" w:rsidP="006B1922">
      <w:pPr>
        <w:rPr>
          <w:rFonts w:asciiTheme="majorHAnsi" w:hAnsiTheme="majorHAnsi" w:cstheme="majorHAnsi"/>
          <w:color w:val="000000" w:themeColor="text1"/>
          <w:sz w:val="22"/>
        </w:rPr>
      </w:pPr>
      <w:r w:rsidRPr="008613DE">
        <w:rPr>
          <w:rFonts w:asciiTheme="majorHAnsi" w:hAnsiTheme="majorHAnsi" w:cstheme="majorHAnsi"/>
          <w:color w:val="000000" w:themeColor="text1"/>
          <w:sz w:val="22"/>
          <w:u w:val="single"/>
        </w:rPr>
        <w:t xml:space="preserve">Document </w:t>
      </w:r>
      <w:r w:rsidR="002C2D22">
        <w:rPr>
          <w:rFonts w:asciiTheme="majorHAnsi" w:hAnsiTheme="majorHAnsi" w:cstheme="majorHAnsi"/>
          <w:color w:val="000000" w:themeColor="text1"/>
          <w:sz w:val="22"/>
          <w:u w:val="single"/>
        </w:rPr>
        <w:t>ECE/TRANS/</w:t>
      </w:r>
      <w:r w:rsidRPr="008613DE">
        <w:rPr>
          <w:rFonts w:asciiTheme="majorHAnsi" w:hAnsiTheme="majorHAnsi" w:cstheme="majorHAnsi"/>
          <w:color w:val="000000" w:themeColor="text1"/>
          <w:sz w:val="22"/>
          <w:u w:val="single"/>
        </w:rPr>
        <w:t>WP.29/2017/</w:t>
      </w:r>
      <w:r w:rsidR="005B560D" w:rsidRPr="008613DE">
        <w:rPr>
          <w:rFonts w:asciiTheme="majorHAnsi" w:hAnsiTheme="majorHAnsi" w:cstheme="majorHAnsi"/>
          <w:color w:val="000000" w:themeColor="text1"/>
          <w:sz w:val="22"/>
          <w:u w:val="single"/>
        </w:rPr>
        <w:t>107</w:t>
      </w:r>
      <w:r w:rsidRPr="008613DE">
        <w:rPr>
          <w:rFonts w:asciiTheme="majorHAnsi" w:hAnsiTheme="majorHAnsi" w:cstheme="majorHAnsi"/>
          <w:color w:val="000000" w:themeColor="text1"/>
          <w:sz w:val="22"/>
          <w:u w:val="single"/>
        </w:rPr>
        <w:t xml:space="preserve">, paragraph </w:t>
      </w:r>
      <w:proofErr w:type="gramStart"/>
      <w:r w:rsidR="005B560D" w:rsidRPr="008613DE">
        <w:rPr>
          <w:rFonts w:asciiTheme="majorHAnsi" w:hAnsiTheme="majorHAnsi" w:cstheme="majorHAnsi"/>
          <w:color w:val="000000" w:themeColor="text1"/>
          <w:sz w:val="22"/>
          <w:u w:val="single"/>
        </w:rPr>
        <w:t>31</w:t>
      </w:r>
      <w:r w:rsidR="002C2D22">
        <w:rPr>
          <w:rFonts w:asciiTheme="majorHAnsi" w:hAnsiTheme="majorHAnsi" w:cstheme="majorHAnsi"/>
          <w:color w:val="000000" w:themeColor="text1"/>
          <w:sz w:val="22"/>
          <w:u w:val="single"/>
        </w:rPr>
        <w:t>.</w:t>
      </w:r>
      <w:r w:rsidRPr="008613DE">
        <w:rPr>
          <w:rFonts w:asciiTheme="majorHAnsi" w:hAnsiTheme="majorHAnsi" w:cstheme="majorHAnsi"/>
          <w:color w:val="000000" w:themeColor="text1"/>
          <w:sz w:val="22"/>
        </w:rPr>
        <w:t>,</w:t>
      </w:r>
      <w:proofErr w:type="gramEnd"/>
      <w:r w:rsidRPr="008613DE">
        <w:rPr>
          <w:rFonts w:asciiTheme="majorHAnsi" w:hAnsiTheme="majorHAnsi" w:cstheme="majorHAnsi"/>
          <w:color w:val="000000" w:themeColor="text1"/>
          <w:sz w:val="22"/>
        </w:rPr>
        <w:t xml:space="preserve"> amend to read:</w:t>
      </w:r>
    </w:p>
    <w:p w:rsidR="00FB5012" w:rsidRPr="008613DE" w:rsidRDefault="00FB5012" w:rsidP="006B1922">
      <w:pPr>
        <w:rPr>
          <w:rFonts w:asciiTheme="majorHAnsi" w:hAnsiTheme="majorHAnsi" w:cstheme="majorHAnsi"/>
          <w:color w:val="000000" w:themeColor="text1"/>
          <w:sz w:val="22"/>
        </w:rPr>
      </w:pPr>
    </w:p>
    <w:p w:rsidR="005B560D" w:rsidRPr="008613DE" w:rsidRDefault="005A689D" w:rsidP="006B1922">
      <w:pPr>
        <w:ind w:left="851" w:hanging="567"/>
        <w:rPr>
          <w:rFonts w:asciiTheme="majorHAnsi" w:eastAsia="MS Mincho" w:hAnsiTheme="majorHAnsi" w:cstheme="majorHAnsi"/>
          <w:snapToGrid w:val="0"/>
          <w:color w:val="000000" w:themeColor="text1"/>
          <w:sz w:val="22"/>
          <w:lang w:val="en-GB"/>
        </w:rPr>
      </w:pPr>
      <w:r w:rsidRPr="008613DE">
        <w:rPr>
          <w:rFonts w:asciiTheme="majorHAnsi" w:eastAsia="MS Mincho" w:hAnsiTheme="majorHAnsi" w:cstheme="majorHAnsi"/>
          <w:snapToGrid w:val="0"/>
          <w:color w:val="000000" w:themeColor="text1"/>
          <w:sz w:val="22"/>
          <w:lang w:val="en-GB"/>
        </w:rPr>
        <w:t>"</w:t>
      </w:r>
      <w:r w:rsidR="005B560D" w:rsidRPr="008613DE">
        <w:rPr>
          <w:rFonts w:asciiTheme="majorHAnsi" w:eastAsia="MS Mincho" w:hAnsiTheme="majorHAnsi" w:cstheme="majorHAnsi"/>
          <w:snapToGrid w:val="0"/>
          <w:color w:val="000000" w:themeColor="text1"/>
          <w:sz w:val="22"/>
          <w:lang w:val="en-GB"/>
        </w:rPr>
        <w:t>31.</w:t>
      </w:r>
      <w:r w:rsidR="005B560D" w:rsidRPr="008613DE">
        <w:rPr>
          <w:rFonts w:asciiTheme="majorHAnsi" w:eastAsia="MS Mincho" w:hAnsiTheme="majorHAnsi" w:cstheme="majorHAnsi"/>
          <w:snapToGrid w:val="0"/>
          <w:color w:val="000000" w:themeColor="text1"/>
          <w:sz w:val="22"/>
          <w:lang w:val="en-GB"/>
        </w:rPr>
        <w:tab/>
        <w:t xml:space="preserve">In the case of Supplements that have </w:t>
      </w:r>
      <w:r w:rsidR="008613DE" w:rsidRPr="008613DE">
        <w:rPr>
          <w:rFonts w:asciiTheme="majorHAnsi" w:eastAsia="MS Mincho" w:hAnsiTheme="majorHAnsi" w:cstheme="majorHAnsi"/>
          <w:strike/>
          <w:snapToGrid w:val="0"/>
          <w:color w:val="000000" w:themeColor="text1"/>
          <w:sz w:val="22"/>
          <w:lang w:val="en-GB"/>
        </w:rPr>
        <w:t>entered into force</w:t>
      </w:r>
      <w:r w:rsidR="008613DE" w:rsidRPr="008613DE">
        <w:rPr>
          <w:rFonts w:asciiTheme="majorHAnsi" w:eastAsia="MS Mincho" w:hAnsiTheme="majorHAnsi" w:cstheme="majorHAnsi"/>
          <w:snapToGrid w:val="0"/>
          <w:color w:val="000000" w:themeColor="text1"/>
          <w:sz w:val="22"/>
          <w:lang w:val="en-GB"/>
        </w:rPr>
        <w:t xml:space="preserve"> </w:t>
      </w:r>
      <w:r w:rsidRPr="008613DE">
        <w:rPr>
          <w:rFonts w:asciiTheme="majorHAnsi" w:eastAsia="MS Mincho" w:hAnsiTheme="majorHAnsi" w:cstheme="majorHAnsi"/>
          <w:b/>
          <w:snapToGrid w:val="0"/>
          <w:color w:val="000000" w:themeColor="text1"/>
          <w:sz w:val="22"/>
          <w:lang w:val="en-GB"/>
        </w:rPr>
        <w:t>been adopted by AC.1</w:t>
      </w:r>
      <w:r w:rsidR="005B560D" w:rsidRPr="008613DE">
        <w:rPr>
          <w:rFonts w:asciiTheme="majorHAnsi" w:eastAsia="MS Mincho" w:hAnsiTheme="majorHAnsi" w:cstheme="majorHAnsi"/>
          <w:snapToGrid w:val="0"/>
          <w:color w:val="000000" w:themeColor="text1"/>
          <w:sz w:val="22"/>
          <w:lang w:val="en-GB"/>
        </w:rPr>
        <w:t>:</w:t>
      </w:r>
    </w:p>
    <w:p w:rsidR="005B560D" w:rsidRPr="008613DE" w:rsidRDefault="005B560D" w:rsidP="006B1922">
      <w:pPr>
        <w:ind w:left="1560" w:hanging="567"/>
        <w:rPr>
          <w:rFonts w:asciiTheme="majorHAnsi" w:eastAsia="MS Mincho" w:hAnsiTheme="majorHAnsi" w:cstheme="majorHAnsi"/>
          <w:snapToGrid w:val="0"/>
          <w:color w:val="000000" w:themeColor="text1"/>
          <w:sz w:val="22"/>
          <w:lang w:val="en-GB"/>
        </w:rPr>
      </w:pPr>
      <w:r w:rsidRPr="008613DE">
        <w:rPr>
          <w:rFonts w:asciiTheme="majorHAnsi" w:eastAsia="MS Mincho" w:hAnsiTheme="majorHAnsi" w:cstheme="majorHAnsi"/>
          <w:snapToGrid w:val="0"/>
          <w:color w:val="000000" w:themeColor="text1"/>
          <w:sz w:val="22"/>
          <w:lang w:val="en-GB"/>
        </w:rPr>
        <w:t>(a)</w:t>
      </w:r>
      <w:r w:rsidRPr="008613DE">
        <w:rPr>
          <w:rFonts w:asciiTheme="majorHAnsi" w:eastAsia="MS Mincho" w:hAnsiTheme="majorHAnsi" w:cstheme="majorHAnsi"/>
          <w:snapToGrid w:val="0"/>
          <w:color w:val="000000" w:themeColor="text1"/>
          <w:sz w:val="22"/>
          <w:lang w:val="en-GB"/>
        </w:rPr>
        <w:tab/>
        <w:t>Under Revision 2 of the 1958 Agreement, and unless specifically otherwise foreseen, extensions of existing approvals may continue to be granted on the basis of the provisions that were valid at the time of the original approval;</w:t>
      </w:r>
    </w:p>
    <w:p w:rsidR="005B560D" w:rsidRPr="008613DE" w:rsidRDefault="005B560D" w:rsidP="006B1922">
      <w:pPr>
        <w:ind w:left="1560" w:hanging="567"/>
        <w:rPr>
          <w:rFonts w:asciiTheme="majorHAnsi" w:eastAsia="MS Mincho" w:hAnsiTheme="majorHAnsi" w:cstheme="majorHAnsi"/>
          <w:snapToGrid w:val="0"/>
          <w:color w:val="000000" w:themeColor="text1"/>
          <w:sz w:val="22"/>
          <w:lang w:val="en-GB"/>
        </w:rPr>
      </w:pPr>
      <w:r w:rsidRPr="008613DE">
        <w:rPr>
          <w:rFonts w:asciiTheme="majorHAnsi" w:eastAsia="MS Mincho" w:hAnsiTheme="majorHAnsi" w:cstheme="majorHAnsi"/>
          <w:snapToGrid w:val="0"/>
          <w:color w:val="000000" w:themeColor="text1"/>
          <w:sz w:val="22"/>
          <w:lang w:val="en-GB"/>
        </w:rPr>
        <w:t>(b)</w:t>
      </w:r>
      <w:r w:rsidRPr="008613DE">
        <w:rPr>
          <w:rFonts w:asciiTheme="majorHAnsi" w:eastAsia="MS Mincho" w:hAnsiTheme="majorHAnsi" w:cstheme="majorHAnsi"/>
          <w:snapToGrid w:val="0"/>
          <w:color w:val="000000" w:themeColor="text1"/>
          <w:sz w:val="22"/>
          <w:lang w:val="en-GB"/>
        </w:rPr>
        <w:tab/>
        <w:t>Under Revision 3 of the 1958 Agreement, a Supplement shall apply to new extensions of existing approvals. However, the Supplement may foresee that it will not affect existing approvals.</w:t>
      </w:r>
      <w:r w:rsidR="005A689D" w:rsidRPr="008613DE">
        <w:rPr>
          <w:rFonts w:asciiTheme="majorHAnsi" w:eastAsia="MS Mincho" w:hAnsiTheme="majorHAnsi" w:cstheme="majorHAnsi"/>
          <w:snapToGrid w:val="0"/>
          <w:color w:val="000000" w:themeColor="text1"/>
          <w:sz w:val="22"/>
          <w:lang w:val="en-GB"/>
        </w:rPr>
        <w:t>"</w:t>
      </w:r>
    </w:p>
    <w:p w:rsidR="005B560D" w:rsidRPr="008613DE" w:rsidRDefault="005B560D" w:rsidP="006B1922">
      <w:pPr>
        <w:rPr>
          <w:rFonts w:asciiTheme="majorHAnsi" w:hAnsiTheme="majorHAnsi" w:cstheme="majorHAnsi"/>
          <w:color w:val="000000" w:themeColor="text1"/>
          <w:sz w:val="22"/>
          <w:lang w:val="en-GB"/>
        </w:rPr>
      </w:pPr>
    </w:p>
    <w:p w:rsidR="001856E0" w:rsidRPr="008613DE" w:rsidRDefault="001856E0" w:rsidP="006B1922">
      <w:pPr>
        <w:rPr>
          <w:rFonts w:asciiTheme="majorHAnsi" w:hAnsiTheme="majorHAnsi" w:cstheme="majorHAnsi"/>
          <w:color w:val="000000" w:themeColor="text1"/>
          <w:sz w:val="22"/>
        </w:rPr>
      </w:pPr>
      <w:r w:rsidRPr="008613DE">
        <w:rPr>
          <w:rFonts w:asciiTheme="majorHAnsi" w:hAnsiTheme="majorHAnsi" w:cstheme="majorHAnsi"/>
          <w:color w:val="000000" w:themeColor="text1"/>
          <w:sz w:val="22"/>
          <w:u w:val="single"/>
        </w:rPr>
        <w:t>Justification</w:t>
      </w:r>
      <w:r w:rsidRPr="008613DE">
        <w:rPr>
          <w:rFonts w:asciiTheme="majorHAnsi" w:hAnsiTheme="majorHAnsi" w:cstheme="majorHAnsi"/>
          <w:color w:val="000000" w:themeColor="text1"/>
          <w:sz w:val="22"/>
        </w:rPr>
        <w:t>:</w:t>
      </w:r>
    </w:p>
    <w:p w:rsidR="005A689D" w:rsidRPr="008613DE" w:rsidRDefault="005A689D" w:rsidP="006B1922">
      <w:pPr>
        <w:rPr>
          <w:rFonts w:asciiTheme="majorHAnsi" w:hAnsiTheme="majorHAnsi" w:cstheme="majorHAnsi"/>
          <w:color w:val="000000" w:themeColor="text1"/>
          <w:sz w:val="22"/>
        </w:rPr>
      </w:pPr>
      <w:r w:rsidRPr="008613DE">
        <w:rPr>
          <w:rFonts w:asciiTheme="majorHAnsi" w:hAnsiTheme="majorHAnsi" w:cstheme="majorHAnsi"/>
          <w:color w:val="000000" w:themeColor="text1"/>
          <w:sz w:val="22"/>
        </w:rPr>
        <w:t>The WP.29 sessions of March and June 2017 adopted a number of Supplements to various UN Regulations.  While these Supplement</w:t>
      </w:r>
      <w:r w:rsidR="008613DE">
        <w:rPr>
          <w:rFonts w:asciiTheme="majorHAnsi" w:hAnsiTheme="majorHAnsi" w:cstheme="majorHAnsi"/>
          <w:color w:val="000000" w:themeColor="text1"/>
          <w:sz w:val="22"/>
        </w:rPr>
        <w:t>s</w:t>
      </w:r>
      <w:r w:rsidRPr="008613DE">
        <w:rPr>
          <w:rFonts w:asciiTheme="majorHAnsi" w:hAnsiTheme="majorHAnsi" w:cstheme="majorHAnsi"/>
          <w:color w:val="000000" w:themeColor="text1"/>
          <w:sz w:val="22"/>
        </w:rPr>
        <w:t xml:space="preserve"> had been developed and adopted under the framework of the 58 Agreement in its </w:t>
      </w:r>
      <w:r w:rsidRPr="006B1922">
        <w:rPr>
          <w:rFonts w:asciiTheme="majorHAnsi" w:hAnsiTheme="majorHAnsi" w:cstheme="majorHAnsi"/>
          <w:color w:val="000000" w:themeColor="text1"/>
          <w:sz w:val="22"/>
          <w:u w:val="single"/>
        </w:rPr>
        <w:t>Rev.2</w:t>
      </w:r>
      <w:r w:rsidRPr="008613DE">
        <w:rPr>
          <w:rFonts w:asciiTheme="majorHAnsi" w:hAnsiTheme="majorHAnsi" w:cstheme="majorHAnsi"/>
          <w:color w:val="000000" w:themeColor="text1"/>
          <w:sz w:val="22"/>
        </w:rPr>
        <w:t xml:space="preserve"> version, they will in fact enter into force under the 58 Agreement in its </w:t>
      </w:r>
      <w:r w:rsidRPr="006B1922">
        <w:rPr>
          <w:rFonts w:asciiTheme="majorHAnsi" w:hAnsiTheme="majorHAnsi" w:cstheme="majorHAnsi"/>
          <w:color w:val="000000" w:themeColor="text1"/>
          <w:sz w:val="22"/>
          <w:u w:val="single"/>
        </w:rPr>
        <w:t>Rev.3</w:t>
      </w:r>
      <w:r w:rsidRPr="008613DE">
        <w:rPr>
          <w:rFonts w:asciiTheme="majorHAnsi" w:hAnsiTheme="majorHAnsi" w:cstheme="majorHAnsi"/>
          <w:color w:val="000000" w:themeColor="text1"/>
          <w:sz w:val="22"/>
        </w:rPr>
        <w:t xml:space="preserve"> version.</w:t>
      </w:r>
    </w:p>
    <w:p w:rsidR="00A135EC" w:rsidRPr="008613DE" w:rsidRDefault="00A135EC" w:rsidP="006B1922">
      <w:pPr>
        <w:rPr>
          <w:rFonts w:asciiTheme="majorHAnsi" w:hAnsiTheme="majorHAnsi" w:cstheme="majorHAnsi"/>
          <w:color w:val="000000" w:themeColor="text1"/>
          <w:sz w:val="22"/>
        </w:rPr>
      </w:pPr>
    </w:p>
    <w:p w:rsidR="00A135EC" w:rsidRPr="008613DE" w:rsidRDefault="006B1922" w:rsidP="006B1922">
      <w:pPr>
        <w:rPr>
          <w:rFonts w:asciiTheme="majorHAnsi" w:hAnsiTheme="majorHAnsi" w:cstheme="majorHAnsi"/>
          <w:color w:val="000000" w:themeColor="text1"/>
          <w:sz w:val="22"/>
        </w:rPr>
      </w:pPr>
      <w:r>
        <w:rPr>
          <w:rFonts w:asciiTheme="majorHAnsi" w:hAnsiTheme="majorHAnsi" w:cstheme="majorHAnsi"/>
          <w:color w:val="000000" w:themeColor="text1"/>
          <w:sz w:val="22"/>
        </w:rPr>
        <w:t>T</w:t>
      </w:r>
      <w:r w:rsidR="00A135EC" w:rsidRPr="008613DE">
        <w:rPr>
          <w:rFonts w:asciiTheme="majorHAnsi" w:hAnsiTheme="majorHAnsi" w:cstheme="majorHAnsi"/>
          <w:color w:val="000000" w:themeColor="text1"/>
          <w:sz w:val="22"/>
        </w:rPr>
        <w:t>hese Supplements were developed and adopted under the guidelines for regulatory procedures valid at that time (WP29/1044/Rev 1)</w:t>
      </w:r>
      <w:r>
        <w:rPr>
          <w:rFonts w:asciiTheme="majorHAnsi" w:hAnsiTheme="majorHAnsi" w:cstheme="majorHAnsi"/>
          <w:color w:val="000000" w:themeColor="text1"/>
          <w:sz w:val="22"/>
        </w:rPr>
        <w:t>,</w:t>
      </w:r>
      <w:r w:rsidR="00A135EC" w:rsidRPr="008613DE">
        <w:rPr>
          <w:rFonts w:asciiTheme="majorHAnsi" w:hAnsiTheme="majorHAnsi" w:cstheme="majorHAnsi"/>
          <w:color w:val="000000" w:themeColor="text1"/>
          <w:sz w:val="22"/>
        </w:rPr>
        <w:t xml:space="preserve"> which state in paragraph 30 that "Unless specifically foreseen otherwise, </w:t>
      </w:r>
      <w:r w:rsidR="00A135EC" w:rsidRPr="008613DE">
        <w:rPr>
          <w:rFonts w:asciiTheme="majorHAnsi" w:hAnsiTheme="majorHAnsi" w:cstheme="majorHAnsi"/>
          <w:color w:val="000000" w:themeColor="text1"/>
          <w:sz w:val="22"/>
          <w:u w:val="single"/>
        </w:rPr>
        <w:t>extensions of existing approvals may continue to be granted on the basis of the provisions valid at the time of the original approval</w:t>
      </w:r>
      <w:r w:rsidR="00A135EC" w:rsidRPr="008613DE">
        <w:rPr>
          <w:rFonts w:asciiTheme="majorHAnsi" w:hAnsiTheme="majorHAnsi" w:cstheme="majorHAnsi"/>
          <w:color w:val="000000" w:themeColor="text1"/>
          <w:sz w:val="22"/>
        </w:rPr>
        <w:t>.</w:t>
      </w:r>
      <w:r>
        <w:rPr>
          <w:rFonts w:asciiTheme="majorHAnsi" w:hAnsiTheme="majorHAnsi" w:cstheme="majorHAnsi"/>
          <w:color w:val="000000" w:themeColor="text1"/>
          <w:sz w:val="22"/>
        </w:rPr>
        <w:t>"</w:t>
      </w:r>
    </w:p>
    <w:p w:rsidR="00A135EC" w:rsidRPr="008613DE" w:rsidRDefault="00A135EC" w:rsidP="006B1922">
      <w:pPr>
        <w:rPr>
          <w:rFonts w:asciiTheme="majorHAnsi" w:hAnsiTheme="majorHAnsi" w:cstheme="majorHAnsi"/>
          <w:color w:val="000000" w:themeColor="text1"/>
          <w:sz w:val="22"/>
        </w:rPr>
      </w:pPr>
    </w:p>
    <w:p w:rsidR="00A135EC" w:rsidRPr="008613DE" w:rsidRDefault="00A135EC" w:rsidP="006B1922">
      <w:pPr>
        <w:rPr>
          <w:rFonts w:asciiTheme="majorHAnsi" w:hAnsiTheme="majorHAnsi" w:cstheme="majorHAnsi"/>
          <w:color w:val="000000" w:themeColor="text1"/>
          <w:sz w:val="22"/>
        </w:rPr>
      </w:pPr>
      <w:r w:rsidRPr="008613DE">
        <w:rPr>
          <w:rFonts w:asciiTheme="majorHAnsi" w:hAnsiTheme="majorHAnsi" w:cstheme="majorHAnsi"/>
          <w:color w:val="000000" w:themeColor="text1"/>
          <w:sz w:val="22"/>
        </w:rPr>
        <w:t xml:space="preserve">However, their entry into force will occur under the new guidelines for regulatory procedures (see WP29/2017/107), which state in their </w:t>
      </w:r>
      <w:r w:rsidR="008613DE" w:rsidRPr="008613DE">
        <w:rPr>
          <w:rFonts w:asciiTheme="majorHAnsi" w:hAnsiTheme="majorHAnsi" w:cstheme="majorHAnsi"/>
          <w:color w:val="000000" w:themeColor="text1"/>
          <w:sz w:val="22"/>
        </w:rPr>
        <w:t>new §</w:t>
      </w:r>
      <w:r w:rsidRPr="008613DE">
        <w:rPr>
          <w:rFonts w:asciiTheme="majorHAnsi" w:hAnsiTheme="majorHAnsi" w:cstheme="majorHAnsi"/>
          <w:color w:val="000000" w:themeColor="text1"/>
          <w:sz w:val="22"/>
        </w:rPr>
        <w:t>31 that "</w:t>
      </w:r>
      <w:r w:rsidRPr="006B1922">
        <w:rPr>
          <w:rFonts w:asciiTheme="majorHAnsi" w:eastAsia="MS Mincho" w:hAnsiTheme="majorHAnsi" w:cstheme="majorHAnsi"/>
          <w:snapToGrid w:val="0"/>
          <w:color w:val="000000" w:themeColor="text1"/>
          <w:sz w:val="22"/>
          <w:u w:val="single"/>
          <w:lang w:val="en-GB"/>
        </w:rPr>
        <w:t>a Supplement shall apply to new extensions of existing approvals</w:t>
      </w:r>
      <w:r w:rsidRPr="008613DE">
        <w:rPr>
          <w:rFonts w:asciiTheme="majorHAnsi" w:eastAsia="MS Mincho" w:hAnsiTheme="majorHAnsi" w:cstheme="majorHAnsi"/>
          <w:snapToGrid w:val="0"/>
          <w:color w:val="000000" w:themeColor="text1"/>
          <w:sz w:val="22"/>
          <w:lang w:val="en-GB"/>
        </w:rPr>
        <w:t>. However, the Supplement may foresee that it will not affect existing approvals."</w:t>
      </w:r>
    </w:p>
    <w:p w:rsidR="00A135EC" w:rsidRPr="008613DE" w:rsidRDefault="00A135EC" w:rsidP="006B1922">
      <w:pPr>
        <w:rPr>
          <w:rFonts w:asciiTheme="majorHAnsi" w:hAnsiTheme="majorHAnsi" w:cstheme="majorHAnsi"/>
          <w:color w:val="000000" w:themeColor="text1"/>
          <w:sz w:val="22"/>
        </w:rPr>
      </w:pPr>
    </w:p>
    <w:p w:rsidR="00A135EC" w:rsidRPr="008613DE" w:rsidRDefault="00A135EC" w:rsidP="006B1922">
      <w:pPr>
        <w:rPr>
          <w:rFonts w:asciiTheme="majorHAnsi" w:hAnsiTheme="majorHAnsi" w:cstheme="majorHAnsi"/>
          <w:color w:val="000000" w:themeColor="text1"/>
          <w:sz w:val="22"/>
        </w:rPr>
      </w:pPr>
      <w:r w:rsidRPr="008613DE">
        <w:rPr>
          <w:rFonts w:asciiTheme="majorHAnsi" w:hAnsiTheme="majorHAnsi" w:cstheme="majorHAnsi"/>
          <w:color w:val="000000" w:themeColor="text1"/>
          <w:sz w:val="22"/>
        </w:rPr>
        <w:t xml:space="preserve">In addition, the current guidelines (WP29/1044/Rev 1) as well as all previous drafts for their revision (up to document WP29/2017/67) </w:t>
      </w:r>
      <w:r w:rsidR="006B1922" w:rsidRPr="006B1922">
        <w:rPr>
          <w:rFonts w:asciiTheme="majorHAnsi" w:hAnsiTheme="majorHAnsi" w:cstheme="majorHAnsi"/>
          <w:color w:val="000000" w:themeColor="text1"/>
          <w:sz w:val="22"/>
          <w:u w:val="single"/>
        </w:rPr>
        <w:t>clearly</w:t>
      </w:r>
      <w:r w:rsidR="006B1922">
        <w:rPr>
          <w:rFonts w:asciiTheme="majorHAnsi" w:hAnsiTheme="majorHAnsi" w:cstheme="majorHAnsi"/>
          <w:color w:val="000000" w:themeColor="text1"/>
          <w:sz w:val="22"/>
        </w:rPr>
        <w:t xml:space="preserve"> </w:t>
      </w:r>
      <w:r w:rsidRPr="008613DE">
        <w:rPr>
          <w:rFonts w:asciiTheme="majorHAnsi" w:hAnsiTheme="majorHAnsi" w:cstheme="majorHAnsi"/>
          <w:color w:val="000000" w:themeColor="text1"/>
          <w:sz w:val="22"/>
        </w:rPr>
        <w:t>stated that "…</w:t>
      </w:r>
      <w:r w:rsidRPr="008613DE">
        <w:rPr>
          <w:rFonts w:asciiTheme="majorHAnsi" w:eastAsia="MS Mincho" w:hAnsiTheme="majorHAnsi" w:cstheme="majorHAnsi"/>
          <w:snapToGrid w:val="0"/>
          <w:color w:val="000000" w:themeColor="text1"/>
          <w:kern w:val="0"/>
          <w:sz w:val="22"/>
          <w:lang w:val="en-GB"/>
        </w:rPr>
        <w:t xml:space="preserve">Supplements become applicable for all procedures for </w:t>
      </w:r>
      <w:r w:rsidRPr="006B1922">
        <w:rPr>
          <w:rFonts w:asciiTheme="majorHAnsi" w:eastAsia="MS Mincho" w:hAnsiTheme="majorHAnsi" w:cstheme="majorHAnsi"/>
          <w:snapToGrid w:val="0"/>
          <w:color w:val="000000" w:themeColor="text1"/>
          <w:kern w:val="0"/>
          <w:sz w:val="22"/>
          <w:u w:val="single"/>
          <w:lang w:val="en-GB"/>
        </w:rPr>
        <w:t>new approvals</w:t>
      </w:r>
      <w:r w:rsidRPr="008613DE">
        <w:rPr>
          <w:rFonts w:asciiTheme="majorHAnsi" w:eastAsia="MS Mincho" w:hAnsiTheme="majorHAnsi" w:cstheme="majorHAnsi"/>
          <w:snapToGrid w:val="0"/>
          <w:color w:val="000000" w:themeColor="text1"/>
          <w:kern w:val="0"/>
          <w:sz w:val="22"/>
          <w:lang w:val="en-GB"/>
        </w:rPr>
        <w:t xml:space="preserve"> issued after the date of its entry into </w:t>
      </w:r>
      <w:r w:rsidR="006B1922" w:rsidRPr="008613DE">
        <w:rPr>
          <w:rFonts w:asciiTheme="majorHAnsi" w:eastAsia="MS Mincho" w:hAnsiTheme="majorHAnsi" w:cstheme="majorHAnsi"/>
          <w:snapToGrid w:val="0"/>
          <w:color w:val="000000" w:themeColor="text1"/>
          <w:kern w:val="0"/>
          <w:sz w:val="22"/>
          <w:lang w:val="en-GB"/>
        </w:rPr>
        <w:t>force …"</w:t>
      </w:r>
      <w:r w:rsidR="006B1922">
        <w:rPr>
          <w:rFonts w:asciiTheme="majorHAnsi" w:eastAsia="MS Mincho" w:hAnsiTheme="majorHAnsi" w:cstheme="majorHAnsi"/>
          <w:snapToGrid w:val="0"/>
          <w:color w:val="000000" w:themeColor="text1"/>
          <w:kern w:val="0"/>
          <w:sz w:val="22"/>
          <w:lang w:val="en-GB"/>
        </w:rPr>
        <w:t xml:space="preserve"> </w:t>
      </w:r>
      <w:r w:rsidR="008613DE" w:rsidRPr="008613DE">
        <w:rPr>
          <w:rFonts w:asciiTheme="majorHAnsi" w:eastAsia="MS Mincho" w:hAnsiTheme="majorHAnsi" w:cstheme="majorHAnsi"/>
          <w:snapToGrid w:val="0"/>
          <w:color w:val="000000" w:themeColor="text1"/>
          <w:kern w:val="0"/>
          <w:sz w:val="22"/>
          <w:lang w:val="en-GB"/>
        </w:rPr>
        <w:t xml:space="preserve"> This means that until now, </w:t>
      </w:r>
      <w:r w:rsidR="008613DE" w:rsidRPr="008613DE">
        <w:rPr>
          <w:rFonts w:asciiTheme="majorHAnsi" w:hAnsiTheme="majorHAnsi" w:cstheme="majorHAnsi"/>
          <w:color w:val="000000" w:themeColor="text1"/>
          <w:sz w:val="22"/>
        </w:rPr>
        <w:t xml:space="preserve">supplements only applied to new approvals (and therefore </w:t>
      </w:r>
      <w:r w:rsidR="008613DE" w:rsidRPr="006B1922">
        <w:rPr>
          <w:rFonts w:asciiTheme="majorHAnsi" w:hAnsiTheme="majorHAnsi" w:cstheme="majorHAnsi"/>
          <w:color w:val="000000" w:themeColor="text1"/>
          <w:sz w:val="22"/>
          <w:u w:val="single"/>
        </w:rPr>
        <w:t>not to extensions</w:t>
      </w:r>
      <w:r w:rsidR="008613DE" w:rsidRPr="008613DE">
        <w:rPr>
          <w:rFonts w:asciiTheme="majorHAnsi" w:hAnsiTheme="majorHAnsi" w:cstheme="majorHAnsi"/>
          <w:color w:val="000000" w:themeColor="text1"/>
          <w:sz w:val="22"/>
        </w:rPr>
        <w:t xml:space="preserve">).  </w:t>
      </w:r>
    </w:p>
    <w:p w:rsidR="00A135EC" w:rsidRPr="008613DE" w:rsidRDefault="00A135EC" w:rsidP="006B1922">
      <w:pPr>
        <w:rPr>
          <w:rFonts w:asciiTheme="majorHAnsi" w:hAnsiTheme="majorHAnsi" w:cstheme="majorHAnsi"/>
          <w:color w:val="000000" w:themeColor="text1"/>
          <w:sz w:val="22"/>
        </w:rPr>
      </w:pPr>
    </w:p>
    <w:p w:rsidR="008613DE" w:rsidRPr="008613DE" w:rsidRDefault="008613DE" w:rsidP="006B1922">
      <w:pPr>
        <w:rPr>
          <w:rFonts w:asciiTheme="majorHAnsi" w:hAnsiTheme="majorHAnsi" w:cstheme="majorHAnsi"/>
          <w:color w:val="000000" w:themeColor="text1"/>
          <w:sz w:val="22"/>
        </w:rPr>
      </w:pPr>
      <w:r w:rsidRPr="008613DE">
        <w:rPr>
          <w:rFonts w:asciiTheme="majorHAnsi" w:hAnsiTheme="majorHAnsi" w:cstheme="majorHAnsi"/>
          <w:color w:val="000000" w:themeColor="text1"/>
          <w:sz w:val="22"/>
        </w:rPr>
        <w:t>Finally, it should be recalled that the version of §31 contained in doc. WP29/2017/107 had not been supported by IWVTA-24 of June 2017.</w:t>
      </w:r>
    </w:p>
    <w:p w:rsidR="008613DE" w:rsidRPr="008613DE" w:rsidRDefault="008613DE" w:rsidP="006B1922">
      <w:pPr>
        <w:rPr>
          <w:rFonts w:asciiTheme="majorHAnsi" w:hAnsiTheme="majorHAnsi" w:cstheme="majorHAnsi"/>
          <w:color w:val="000000" w:themeColor="text1"/>
          <w:sz w:val="22"/>
        </w:rPr>
      </w:pPr>
    </w:p>
    <w:p w:rsidR="006B1922" w:rsidRDefault="006B1922">
      <w:pPr>
        <w:widowControl/>
        <w:jc w:val="left"/>
        <w:rPr>
          <w:rFonts w:asciiTheme="majorHAnsi" w:hAnsiTheme="majorHAnsi" w:cstheme="majorHAnsi"/>
          <w:color w:val="000000" w:themeColor="text1"/>
          <w:sz w:val="22"/>
        </w:rPr>
      </w:pPr>
      <w:r>
        <w:rPr>
          <w:rFonts w:asciiTheme="majorHAnsi" w:hAnsiTheme="majorHAnsi" w:cstheme="majorHAnsi"/>
          <w:color w:val="000000" w:themeColor="text1"/>
          <w:sz w:val="22"/>
        </w:rPr>
        <w:br w:type="page"/>
      </w:r>
    </w:p>
    <w:p w:rsidR="008613DE" w:rsidRPr="008613DE" w:rsidRDefault="008613DE" w:rsidP="006B1922">
      <w:pPr>
        <w:rPr>
          <w:rFonts w:asciiTheme="majorHAnsi" w:hAnsiTheme="majorHAnsi" w:cstheme="majorHAnsi"/>
          <w:color w:val="000000" w:themeColor="text1"/>
          <w:sz w:val="22"/>
        </w:rPr>
      </w:pPr>
      <w:r w:rsidRPr="008613DE">
        <w:rPr>
          <w:rFonts w:asciiTheme="majorHAnsi" w:hAnsiTheme="majorHAnsi" w:cstheme="majorHAnsi"/>
          <w:color w:val="000000" w:themeColor="text1"/>
          <w:sz w:val="22"/>
        </w:rPr>
        <w:lastRenderedPageBreak/>
        <w:t xml:space="preserve">In order to overcome </w:t>
      </w:r>
      <w:r w:rsidR="006B1922">
        <w:rPr>
          <w:rFonts w:asciiTheme="majorHAnsi" w:hAnsiTheme="majorHAnsi" w:cstheme="majorHAnsi"/>
          <w:color w:val="000000" w:themeColor="text1"/>
          <w:sz w:val="22"/>
        </w:rPr>
        <w:t xml:space="preserve">potential difficulties, </w:t>
      </w:r>
      <w:r w:rsidRPr="008613DE">
        <w:rPr>
          <w:rFonts w:asciiTheme="majorHAnsi" w:hAnsiTheme="majorHAnsi" w:cstheme="majorHAnsi"/>
          <w:color w:val="000000" w:themeColor="text1"/>
          <w:sz w:val="22"/>
        </w:rPr>
        <w:t xml:space="preserve">OICA proposes a slight amendment to the title of §31, clarifying that the Supplements in question are those that have been </w:t>
      </w:r>
      <w:r w:rsidRPr="006B1922">
        <w:rPr>
          <w:rFonts w:asciiTheme="majorHAnsi" w:hAnsiTheme="majorHAnsi" w:cstheme="majorHAnsi"/>
          <w:color w:val="000000" w:themeColor="text1"/>
          <w:sz w:val="22"/>
          <w:u w:val="single"/>
        </w:rPr>
        <w:t>adopted by AC.1</w:t>
      </w:r>
      <w:r w:rsidRPr="008613DE">
        <w:rPr>
          <w:rFonts w:asciiTheme="majorHAnsi" w:hAnsiTheme="majorHAnsi" w:cstheme="majorHAnsi"/>
          <w:color w:val="000000" w:themeColor="text1"/>
          <w:sz w:val="22"/>
        </w:rPr>
        <w:t xml:space="preserve"> under Rev. 2 of the 58 Agreements; all others would not be affected by this slight clarification.</w:t>
      </w:r>
    </w:p>
    <w:p w:rsidR="008613DE" w:rsidRPr="008613DE" w:rsidRDefault="008613DE" w:rsidP="006B1922">
      <w:pPr>
        <w:rPr>
          <w:rFonts w:asciiTheme="majorHAnsi" w:hAnsiTheme="majorHAnsi" w:cstheme="majorHAnsi"/>
          <w:color w:val="000000" w:themeColor="text1"/>
          <w:sz w:val="22"/>
        </w:rPr>
      </w:pPr>
    </w:p>
    <w:p w:rsidR="008613DE" w:rsidRPr="008613DE" w:rsidRDefault="008613DE" w:rsidP="006B1922">
      <w:pPr>
        <w:rPr>
          <w:rFonts w:asciiTheme="majorHAnsi" w:hAnsiTheme="majorHAnsi" w:cstheme="majorHAnsi"/>
          <w:color w:val="000000" w:themeColor="text1"/>
          <w:sz w:val="22"/>
        </w:rPr>
      </w:pPr>
      <w:r w:rsidRPr="008613DE">
        <w:rPr>
          <w:rFonts w:asciiTheme="majorHAnsi" w:hAnsiTheme="majorHAnsi" w:cstheme="majorHAnsi"/>
          <w:color w:val="000000" w:themeColor="text1"/>
          <w:sz w:val="22"/>
        </w:rPr>
        <w:t>OICA believes that the above proposal is a far more simple solution than having to check each of the supplements adopted at the March and June 2017 WP29 sessions in order to, where needed, amend them again to specify that they do not apply to extensions of previously granted approvals.</w:t>
      </w:r>
    </w:p>
    <w:p w:rsidR="008613DE" w:rsidRPr="008613DE" w:rsidRDefault="008613DE" w:rsidP="006B1922">
      <w:pPr>
        <w:rPr>
          <w:rFonts w:asciiTheme="majorHAnsi" w:hAnsiTheme="majorHAnsi" w:cstheme="majorHAnsi"/>
          <w:color w:val="000000" w:themeColor="text1"/>
          <w:sz w:val="22"/>
        </w:rPr>
      </w:pPr>
    </w:p>
    <w:p w:rsidR="00EE571F" w:rsidRPr="008613DE" w:rsidRDefault="00C61F5E" w:rsidP="006B1922">
      <w:pPr>
        <w:jc w:val="center"/>
        <w:rPr>
          <w:rFonts w:asciiTheme="majorHAnsi" w:hAnsiTheme="majorHAnsi" w:cstheme="majorHAnsi"/>
          <w:color w:val="000000" w:themeColor="text1"/>
          <w:sz w:val="22"/>
        </w:rPr>
      </w:pPr>
      <w:r w:rsidRPr="008613DE">
        <w:rPr>
          <w:rFonts w:asciiTheme="majorHAnsi" w:hAnsiTheme="majorHAnsi" w:cstheme="majorHAnsi"/>
          <w:color w:val="000000" w:themeColor="text1"/>
          <w:sz w:val="22"/>
        </w:rPr>
        <w:t>------------------------</w:t>
      </w:r>
    </w:p>
    <w:sectPr w:rsidR="00EE571F" w:rsidRPr="008613DE" w:rsidSect="002C2D22">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851" w:footer="992" w:gutter="0"/>
      <w:cols w:space="425"/>
      <w:titlePg/>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7C" w:rsidRDefault="00CA2C7C" w:rsidP="00530287">
      <w:r>
        <w:separator/>
      </w:r>
    </w:p>
  </w:endnote>
  <w:endnote w:type="continuationSeparator" w:id="0">
    <w:p w:rsidR="00CA2C7C" w:rsidRDefault="00CA2C7C" w:rsidP="0053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5D" w:rsidRDefault="00432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840734"/>
      <w:docPartObj>
        <w:docPartGallery w:val="Page Numbers (Bottom of Page)"/>
        <w:docPartUnique/>
      </w:docPartObj>
    </w:sdtPr>
    <w:sdtEndPr>
      <w:rPr>
        <w:noProof/>
      </w:rPr>
    </w:sdtEndPr>
    <w:sdtContent>
      <w:p w:rsidR="002C2D22" w:rsidRDefault="002C2D22">
        <w:pPr>
          <w:pStyle w:val="Footer"/>
          <w:jc w:val="center"/>
        </w:pPr>
        <w:r>
          <w:fldChar w:fldCharType="begin"/>
        </w:r>
        <w:r>
          <w:instrText xml:space="preserve"> PAGE   \* MERGEFORMAT </w:instrText>
        </w:r>
        <w:r>
          <w:fldChar w:fldCharType="separate"/>
        </w:r>
        <w:r w:rsidR="0043245D">
          <w:rPr>
            <w:noProof/>
          </w:rPr>
          <w:t>2</w:t>
        </w:r>
        <w:r>
          <w:rPr>
            <w:noProof/>
          </w:rPr>
          <w:fldChar w:fldCharType="end"/>
        </w:r>
      </w:p>
    </w:sdtContent>
  </w:sdt>
  <w:p w:rsidR="002C2D22" w:rsidRDefault="002C2D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5D" w:rsidRDefault="00432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7C" w:rsidRDefault="00CA2C7C" w:rsidP="00530287">
      <w:r>
        <w:separator/>
      </w:r>
    </w:p>
  </w:footnote>
  <w:footnote w:type="continuationSeparator" w:id="0">
    <w:p w:rsidR="00CA2C7C" w:rsidRDefault="00CA2C7C" w:rsidP="00530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5D" w:rsidRDefault="00432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5D" w:rsidRDefault="00432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22" w:rsidRDefault="002C2D22" w:rsidP="002C2D22">
    <w:pPr>
      <w:pStyle w:val="Header"/>
      <w:tabs>
        <w:tab w:val="clear" w:pos="4252"/>
        <w:tab w:val="clear" w:pos="8504"/>
        <w:tab w:val="left" w:pos="5670"/>
      </w:tabs>
    </w:pPr>
    <w:r>
      <w:t>Sub</w:t>
    </w:r>
    <w:r>
      <w:rPr>
        <w:rFonts w:hint="eastAsia"/>
      </w:rPr>
      <w:t xml:space="preserve">mitted by the </w:t>
    </w:r>
    <w:r>
      <w:t>representative</w:t>
    </w:r>
    <w:r>
      <w:rPr>
        <w:rFonts w:hint="eastAsia"/>
      </w:rPr>
      <w:t xml:space="preserve"> of OICA</w:t>
    </w:r>
    <w:r>
      <w:tab/>
    </w:r>
    <w:r w:rsidRPr="002C2D22">
      <w:t>Informal document</w:t>
    </w:r>
    <w:r w:rsidRPr="002C2D22">
      <w:rPr>
        <w:b/>
      </w:rPr>
      <w:t xml:space="preserve"> </w:t>
    </w:r>
    <w:r w:rsidRPr="002C2D22">
      <w:t>WP.29-173</w:t>
    </w:r>
    <w:r w:rsidRPr="002C2D22">
      <w:rPr>
        <w:rFonts w:hint="eastAsia"/>
      </w:rPr>
      <w:t>-</w:t>
    </w:r>
    <w:r w:rsidRPr="002C2D22">
      <w:t>14</w:t>
    </w:r>
  </w:p>
  <w:p w:rsidR="002C2D22" w:rsidRDefault="002C2D22" w:rsidP="002C2D22">
    <w:pPr>
      <w:pStyle w:val="Header"/>
      <w:tabs>
        <w:tab w:val="clear" w:pos="4252"/>
        <w:tab w:val="clear" w:pos="8504"/>
        <w:tab w:val="left" w:pos="5670"/>
      </w:tabs>
      <w:ind w:left="5670" w:right="-284" w:hanging="5103"/>
      <w:jc w:val="left"/>
    </w:pPr>
    <w:r>
      <w:tab/>
      <w:t xml:space="preserve">(173 WP.29, </w:t>
    </w:r>
    <w:r w:rsidR="0043245D">
      <w:t>14-17</w:t>
    </w:r>
    <w:bookmarkStart w:id="0" w:name="_GoBack"/>
    <w:bookmarkEnd w:id="0"/>
    <w:r>
      <w:t xml:space="preserve"> November 2017 Agenda item 4.2.2.)</w:t>
    </w:r>
  </w:p>
  <w:p w:rsidR="002C2D22" w:rsidRDefault="002C2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D1A53"/>
    <w:multiLevelType w:val="hybridMultilevel"/>
    <w:tmpl w:val="34BA3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1F"/>
    <w:rsid w:val="00002EE2"/>
    <w:rsid w:val="00004E6D"/>
    <w:rsid w:val="00024767"/>
    <w:rsid w:val="0003300C"/>
    <w:rsid w:val="00044D09"/>
    <w:rsid w:val="0006245A"/>
    <w:rsid w:val="00065779"/>
    <w:rsid w:val="00076138"/>
    <w:rsid w:val="0007718C"/>
    <w:rsid w:val="00077FAA"/>
    <w:rsid w:val="00085FC6"/>
    <w:rsid w:val="000A0486"/>
    <w:rsid w:val="000A07C7"/>
    <w:rsid w:val="000A1DB6"/>
    <w:rsid w:val="000A2B2E"/>
    <w:rsid w:val="000A4781"/>
    <w:rsid w:val="000B01FB"/>
    <w:rsid w:val="000B30A9"/>
    <w:rsid w:val="000C357A"/>
    <w:rsid w:val="000D709A"/>
    <w:rsid w:val="000F0FC4"/>
    <w:rsid w:val="000F2FDD"/>
    <w:rsid w:val="000F3AD0"/>
    <w:rsid w:val="000F4B51"/>
    <w:rsid w:val="00115111"/>
    <w:rsid w:val="00122F08"/>
    <w:rsid w:val="00134378"/>
    <w:rsid w:val="00137D4B"/>
    <w:rsid w:val="00143DAA"/>
    <w:rsid w:val="00173ED8"/>
    <w:rsid w:val="00180887"/>
    <w:rsid w:val="001842A9"/>
    <w:rsid w:val="001856E0"/>
    <w:rsid w:val="00191CBD"/>
    <w:rsid w:val="00195ECE"/>
    <w:rsid w:val="001A0464"/>
    <w:rsid w:val="001A206F"/>
    <w:rsid w:val="001A293E"/>
    <w:rsid w:val="001B4E92"/>
    <w:rsid w:val="001C2373"/>
    <w:rsid w:val="001E2B18"/>
    <w:rsid w:val="001F0ED9"/>
    <w:rsid w:val="00200188"/>
    <w:rsid w:val="002066A5"/>
    <w:rsid w:val="002116AB"/>
    <w:rsid w:val="0023618C"/>
    <w:rsid w:val="0025086E"/>
    <w:rsid w:val="00253EE1"/>
    <w:rsid w:val="002552D2"/>
    <w:rsid w:val="002703D0"/>
    <w:rsid w:val="002913AE"/>
    <w:rsid w:val="002A0A34"/>
    <w:rsid w:val="002A65C6"/>
    <w:rsid w:val="002C275B"/>
    <w:rsid w:val="002C2D22"/>
    <w:rsid w:val="002C4A25"/>
    <w:rsid w:val="002D6F27"/>
    <w:rsid w:val="002E12BD"/>
    <w:rsid w:val="002E4FAD"/>
    <w:rsid w:val="002F4023"/>
    <w:rsid w:val="002F5033"/>
    <w:rsid w:val="002F557D"/>
    <w:rsid w:val="002F5860"/>
    <w:rsid w:val="002F6058"/>
    <w:rsid w:val="00306E0B"/>
    <w:rsid w:val="00340D25"/>
    <w:rsid w:val="00353D76"/>
    <w:rsid w:val="0035676B"/>
    <w:rsid w:val="00365C88"/>
    <w:rsid w:val="00373A6F"/>
    <w:rsid w:val="00393B17"/>
    <w:rsid w:val="003979D4"/>
    <w:rsid w:val="003A3A8A"/>
    <w:rsid w:val="003A4676"/>
    <w:rsid w:val="003B59D0"/>
    <w:rsid w:val="003C0916"/>
    <w:rsid w:val="003C61DA"/>
    <w:rsid w:val="003D1EA5"/>
    <w:rsid w:val="003D44D7"/>
    <w:rsid w:val="003E3F63"/>
    <w:rsid w:val="003E4DA3"/>
    <w:rsid w:val="003F3051"/>
    <w:rsid w:val="003F44F6"/>
    <w:rsid w:val="00411CDC"/>
    <w:rsid w:val="00416816"/>
    <w:rsid w:val="00417D48"/>
    <w:rsid w:val="0043245D"/>
    <w:rsid w:val="0043753B"/>
    <w:rsid w:val="00441492"/>
    <w:rsid w:val="00444125"/>
    <w:rsid w:val="00447256"/>
    <w:rsid w:val="00455964"/>
    <w:rsid w:val="004615B2"/>
    <w:rsid w:val="00473EAD"/>
    <w:rsid w:val="00473FBB"/>
    <w:rsid w:val="004768BC"/>
    <w:rsid w:val="004A4D6B"/>
    <w:rsid w:val="004B16E8"/>
    <w:rsid w:val="004B5317"/>
    <w:rsid w:val="004B649E"/>
    <w:rsid w:val="004B6861"/>
    <w:rsid w:val="004B7172"/>
    <w:rsid w:val="004C71BD"/>
    <w:rsid w:val="004E22FE"/>
    <w:rsid w:val="004E3A50"/>
    <w:rsid w:val="005006F1"/>
    <w:rsid w:val="00510383"/>
    <w:rsid w:val="00510B12"/>
    <w:rsid w:val="0051792E"/>
    <w:rsid w:val="00522927"/>
    <w:rsid w:val="00522F28"/>
    <w:rsid w:val="005238A4"/>
    <w:rsid w:val="00526E05"/>
    <w:rsid w:val="00530287"/>
    <w:rsid w:val="00530F53"/>
    <w:rsid w:val="00532DC4"/>
    <w:rsid w:val="00534522"/>
    <w:rsid w:val="005360E6"/>
    <w:rsid w:val="005365EF"/>
    <w:rsid w:val="0053678B"/>
    <w:rsid w:val="0054101C"/>
    <w:rsid w:val="005469E7"/>
    <w:rsid w:val="00547F16"/>
    <w:rsid w:val="0055024B"/>
    <w:rsid w:val="00552C65"/>
    <w:rsid w:val="00553B7C"/>
    <w:rsid w:val="005542D7"/>
    <w:rsid w:val="00557607"/>
    <w:rsid w:val="00570AF8"/>
    <w:rsid w:val="00573A83"/>
    <w:rsid w:val="00580A9F"/>
    <w:rsid w:val="00581154"/>
    <w:rsid w:val="00587916"/>
    <w:rsid w:val="005910CE"/>
    <w:rsid w:val="005A0FE4"/>
    <w:rsid w:val="005A689D"/>
    <w:rsid w:val="005B1952"/>
    <w:rsid w:val="005B48A6"/>
    <w:rsid w:val="005B560D"/>
    <w:rsid w:val="005C3BA2"/>
    <w:rsid w:val="005C3F4E"/>
    <w:rsid w:val="005E154C"/>
    <w:rsid w:val="005F27FF"/>
    <w:rsid w:val="00602AD2"/>
    <w:rsid w:val="00612A89"/>
    <w:rsid w:val="0062015F"/>
    <w:rsid w:val="00621269"/>
    <w:rsid w:val="00630208"/>
    <w:rsid w:val="00631D8A"/>
    <w:rsid w:val="006346E5"/>
    <w:rsid w:val="00636279"/>
    <w:rsid w:val="0064768D"/>
    <w:rsid w:val="006478C3"/>
    <w:rsid w:val="00650ECA"/>
    <w:rsid w:val="0065124C"/>
    <w:rsid w:val="00652FAB"/>
    <w:rsid w:val="00665564"/>
    <w:rsid w:val="00671EC2"/>
    <w:rsid w:val="006722EB"/>
    <w:rsid w:val="0067603F"/>
    <w:rsid w:val="00677F32"/>
    <w:rsid w:val="00683BEE"/>
    <w:rsid w:val="006A5EF9"/>
    <w:rsid w:val="006B1922"/>
    <w:rsid w:val="006B5BAA"/>
    <w:rsid w:val="006C0F7D"/>
    <w:rsid w:val="006C7469"/>
    <w:rsid w:val="006D6026"/>
    <w:rsid w:val="006E0484"/>
    <w:rsid w:val="006E28E6"/>
    <w:rsid w:val="006E4E3E"/>
    <w:rsid w:val="006F79B1"/>
    <w:rsid w:val="00702356"/>
    <w:rsid w:val="00703FC1"/>
    <w:rsid w:val="00711D6F"/>
    <w:rsid w:val="00717397"/>
    <w:rsid w:val="0072689B"/>
    <w:rsid w:val="0073373B"/>
    <w:rsid w:val="00745582"/>
    <w:rsid w:val="007651FD"/>
    <w:rsid w:val="00772752"/>
    <w:rsid w:val="00783569"/>
    <w:rsid w:val="007977C4"/>
    <w:rsid w:val="007A07E5"/>
    <w:rsid w:val="007B1E78"/>
    <w:rsid w:val="007C12BF"/>
    <w:rsid w:val="007C19C8"/>
    <w:rsid w:val="007C2C26"/>
    <w:rsid w:val="007D3DB9"/>
    <w:rsid w:val="007E33EB"/>
    <w:rsid w:val="007F6E65"/>
    <w:rsid w:val="0081078B"/>
    <w:rsid w:val="008108B3"/>
    <w:rsid w:val="008122B9"/>
    <w:rsid w:val="0082531D"/>
    <w:rsid w:val="00825A63"/>
    <w:rsid w:val="00831AEB"/>
    <w:rsid w:val="0083380C"/>
    <w:rsid w:val="00836BF7"/>
    <w:rsid w:val="00840C48"/>
    <w:rsid w:val="00855118"/>
    <w:rsid w:val="008613DE"/>
    <w:rsid w:val="00862C6A"/>
    <w:rsid w:val="00865C9E"/>
    <w:rsid w:val="008754AB"/>
    <w:rsid w:val="00882D3E"/>
    <w:rsid w:val="00883519"/>
    <w:rsid w:val="00892EED"/>
    <w:rsid w:val="00893A8A"/>
    <w:rsid w:val="0089630E"/>
    <w:rsid w:val="008C722F"/>
    <w:rsid w:val="008E1281"/>
    <w:rsid w:val="008F3588"/>
    <w:rsid w:val="008F4D5C"/>
    <w:rsid w:val="008F71C8"/>
    <w:rsid w:val="008F7F6D"/>
    <w:rsid w:val="00902776"/>
    <w:rsid w:val="00906677"/>
    <w:rsid w:val="009170CC"/>
    <w:rsid w:val="00922C66"/>
    <w:rsid w:val="0092419D"/>
    <w:rsid w:val="009248C1"/>
    <w:rsid w:val="009311A6"/>
    <w:rsid w:val="0093157C"/>
    <w:rsid w:val="0093467C"/>
    <w:rsid w:val="0095306C"/>
    <w:rsid w:val="009609B6"/>
    <w:rsid w:val="0096336D"/>
    <w:rsid w:val="00972E76"/>
    <w:rsid w:val="0097566B"/>
    <w:rsid w:val="009775BC"/>
    <w:rsid w:val="00985F52"/>
    <w:rsid w:val="00994899"/>
    <w:rsid w:val="009A0DA7"/>
    <w:rsid w:val="009A102D"/>
    <w:rsid w:val="009A32A8"/>
    <w:rsid w:val="009A49F0"/>
    <w:rsid w:val="009C2827"/>
    <w:rsid w:val="009D71EA"/>
    <w:rsid w:val="009E0D5B"/>
    <w:rsid w:val="009E3E72"/>
    <w:rsid w:val="009E4FDB"/>
    <w:rsid w:val="009E5832"/>
    <w:rsid w:val="009F47E1"/>
    <w:rsid w:val="009F7385"/>
    <w:rsid w:val="00A009C7"/>
    <w:rsid w:val="00A11225"/>
    <w:rsid w:val="00A12F62"/>
    <w:rsid w:val="00A12FE2"/>
    <w:rsid w:val="00A135EC"/>
    <w:rsid w:val="00A153D9"/>
    <w:rsid w:val="00A24A8D"/>
    <w:rsid w:val="00A24FAE"/>
    <w:rsid w:val="00A31623"/>
    <w:rsid w:val="00A346AA"/>
    <w:rsid w:val="00A3501E"/>
    <w:rsid w:val="00A36AD7"/>
    <w:rsid w:val="00A458DC"/>
    <w:rsid w:val="00A53760"/>
    <w:rsid w:val="00A65CC0"/>
    <w:rsid w:val="00A8520A"/>
    <w:rsid w:val="00A87782"/>
    <w:rsid w:val="00A90ADE"/>
    <w:rsid w:val="00A93771"/>
    <w:rsid w:val="00A95382"/>
    <w:rsid w:val="00A96086"/>
    <w:rsid w:val="00A96FE0"/>
    <w:rsid w:val="00AA47A3"/>
    <w:rsid w:val="00AA4CBD"/>
    <w:rsid w:val="00AC2188"/>
    <w:rsid w:val="00AC3ACC"/>
    <w:rsid w:val="00AD458D"/>
    <w:rsid w:val="00AE0E35"/>
    <w:rsid w:val="00AE4B09"/>
    <w:rsid w:val="00AE72CD"/>
    <w:rsid w:val="00AF394C"/>
    <w:rsid w:val="00B001BD"/>
    <w:rsid w:val="00B06EC5"/>
    <w:rsid w:val="00B073F1"/>
    <w:rsid w:val="00B464B2"/>
    <w:rsid w:val="00B518EB"/>
    <w:rsid w:val="00B60C60"/>
    <w:rsid w:val="00B64653"/>
    <w:rsid w:val="00B84C8D"/>
    <w:rsid w:val="00B868FD"/>
    <w:rsid w:val="00B961B6"/>
    <w:rsid w:val="00BB20C8"/>
    <w:rsid w:val="00BB3A68"/>
    <w:rsid w:val="00BB7913"/>
    <w:rsid w:val="00BB7F0C"/>
    <w:rsid w:val="00BC207B"/>
    <w:rsid w:val="00BC2453"/>
    <w:rsid w:val="00BC2928"/>
    <w:rsid w:val="00BE264C"/>
    <w:rsid w:val="00BF0437"/>
    <w:rsid w:val="00BF55A9"/>
    <w:rsid w:val="00C0074E"/>
    <w:rsid w:val="00C04FAC"/>
    <w:rsid w:val="00C05F0E"/>
    <w:rsid w:val="00C0644D"/>
    <w:rsid w:val="00C12C8D"/>
    <w:rsid w:val="00C14C23"/>
    <w:rsid w:val="00C14F49"/>
    <w:rsid w:val="00C211D2"/>
    <w:rsid w:val="00C24626"/>
    <w:rsid w:val="00C31CB8"/>
    <w:rsid w:val="00C3247B"/>
    <w:rsid w:val="00C35EAC"/>
    <w:rsid w:val="00C36EAF"/>
    <w:rsid w:val="00C41C5D"/>
    <w:rsid w:val="00C44F06"/>
    <w:rsid w:val="00C45C70"/>
    <w:rsid w:val="00C50A4D"/>
    <w:rsid w:val="00C51135"/>
    <w:rsid w:val="00C519D7"/>
    <w:rsid w:val="00C55C08"/>
    <w:rsid w:val="00C574E3"/>
    <w:rsid w:val="00C57FF6"/>
    <w:rsid w:val="00C61F5E"/>
    <w:rsid w:val="00C6403A"/>
    <w:rsid w:val="00C64A24"/>
    <w:rsid w:val="00C657B6"/>
    <w:rsid w:val="00C66AB9"/>
    <w:rsid w:val="00C711F9"/>
    <w:rsid w:val="00C73A52"/>
    <w:rsid w:val="00C829B3"/>
    <w:rsid w:val="00C85B82"/>
    <w:rsid w:val="00C85C7A"/>
    <w:rsid w:val="00C90070"/>
    <w:rsid w:val="00C912EA"/>
    <w:rsid w:val="00CA2381"/>
    <w:rsid w:val="00CA2C7C"/>
    <w:rsid w:val="00CA6CF4"/>
    <w:rsid w:val="00CB5507"/>
    <w:rsid w:val="00CC2EA5"/>
    <w:rsid w:val="00CC391F"/>
    <w:rsid w:val="00CC3C65"/>
    <w:rsid w:val="00CD0950"/>
    <w:rsid w:val="00CD3730"/>
    <w:rsid w:val="00CE31F7"/>
    <w:rsid w:val="00CF0256"/>
    <w:rsid w:val="00CF6FB6"/>
    <w:rsid w:val="00CF7527"/>
    <w:rsid w:val="00CF7B28"/>
    <w:rsid w:val="00D0137A"/>
    <w:rsid w:val="00D153C0"/>
    <w:rsid w:val="00D33F49"/>
    <w:rsid w:val="00D37AE9"/>
    <w:rsid w:val="00D37C0F"/>
    <w:rsid w:val="00D41ED9"/>
    <w:rsid w:val="00D44C02"/>
    <w:rsid w:val="00D504B6"/>
    <w:rsid w:val="00D569AE"/>
    <w:rsid w:val="00D65DFF"/>
    <w:rsid w:val="00D730CC"/>
    <w:rsid w:val="00D735E6"/>
    <w:rsid w:val="00D87E19"/>
    <w:rsid w:val="00D93478"/>
    <w:rsid w:val="00D96CE4"/>
    <w:rsid w:val="00DA3846"/>
    <w:rsid w:val="00DA5DB2"/>
    <w:rsid w:val="00DA74B8"/>
    <w:rsid w:val="00DB27FD"/>
    <w:rsid w:val="00DB75E7"/>
    <w:rsid w:val="00DC21B3"/>
    <w:rsid w:val="00DC3E36"/>
    <w:rsid w:val="00DC7D54"/>
    <w:rsid w:val="00DD0C3C"/>
    <w:rsid w:val="00DE04BA"/>
    <w:rsid w:val="00DF0569"/>
    <w:rsid w:val="00DF19CF"/>
    <w:rsid w:val="00DF46E1"/>
    <w:rsid w:val="00E05507"/>
    <w:rsid w:val="00E10A42"/>
    <w:rsid w:val="00E2558B"/>
    <w:rsid w:val="00E37C39"/>
    <w:rsid w:val="00E566A7"/>
    <w:rsid w:val="00E56E25"/>
    <w:rsid w:val="00E57F5A"/>
    <w:rsid w:val="00E71556"/>
    <w:rsid w:val="00E7439C"/>
    <w:rsid w:val="00E7543C"/>
    <w:rsid w:val="00E86E87"/>
    <w:rsid w:val="00EA134D"/>
    <w:rsid w:val="00EA50D7"/>
    <w:rsid w:val="00EB0F93"/>
    <w:rsid w:val="00EB2C04"/>
    <w:rsid w:val="00EB4501"/>
    <w:rsid w:val="00EB4515"/>
    <w:rsid w:val="00EB4A35"/>
    <w:rsid w:val="00EB5376"/>
    <w:rsid w:val="00EC37E6"/>
    <w:rsid w:val="00EC58C9"/>
    <w:rsid w:val="00ED275A"/>
    <w:rsid w:val="00ED3A98"/>
    <w:rsid w:val="00ED638D"/>
    <w:rsid w:val="00ED6554"/>
    <w:rsid w:val="00EE0BC0"/>
    <w:rsid w:val="00EE571F"/>
    <w:rsid w:val="00F07149"/>
    <w:rsid w:val="00F1180E"/>
    <w:rsid w:val="00F14CE0"/>
    <w:rsid w:val="00F23E2F"/>
    <w:rsid w:val="00F35E14"/>
    <w:rsid w:val="00F4063A"/>
    <w:rsid w:val="00F40F17"/>
    <w:rsid w:val="00F42270"/>
    <w:rsid w:val="00F75EC1"/>
    <w:rsid w:val="00FA1065"/>
    <w:rsid w:val="00FA5B49"/>
    <w:rsid w:val="00FB2817"/>
    <w:rsid w:val="00FB5012"/>
    <w:rsid w:val="00FC0523"/>
    <w:rsid w:val="00FC2195"/>
    <w:rsid w:val="00FC2903"/>
    <w:rsid w:val="00FD2FEF"/>
    <w:rsid w:val="00FD4DEB"/>
    <w:rsid w:val="00FF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D4B"/>
    <w:pPr>
      <w:ind w:left="720"/>
      <w:contextualSpacing/>
    </w:pPr>
  </w:style>
  <w:style w:type="paragraph" w:styleId="Header">
    <w:name w:val="header"/>
    <w:basedOn w:val="Normal"/>
    <w:link w:val="HeaderChar"/>
    <w:uiPriority w:val="99"/>
    <w:unhideWhenUsed/>
    <w:rsid w:val="00530287"/>
    <w:pPr>
      <w:tabs>
        <w:tab w:val="center" w:pos="4252"/>
        <w:tab w:val="right" w:pos="8504"/>
      </w:tabs>
      <w:snapToGrid w:val="0"/>
    </w:pPr>
  </w:style>
  <w:style w:type="character" w:customStyle="1" w:styleId="HeaderChar">
    <w:name w:val="Header Char"/>
    <w:basedOn w:val="DefaultParagraphFont"/>
    <w:link w:val="Header"/>
    <w:uiPriority w:val="99"/>
    <w:rsid w:val="00530287"/>
  </w:style>
  <w:style w:type="paragraph" w:styleId="Footer">
    <w:name w:val="footer"/>
    <w:basedOn w:val="Normal"/>
    <w:link w:val="FooterChar"/>
    <w:uiPriority w:val="99"/>
    <w:unhideWhenUsed/>
    <w:rsid w:val="00530287"/>
    <w:pPr>
      <w:tabs>
        <w:tab w:val="center" w:pos="4252"/>
        <w:tab w:val="right" w:pos="8504"/>
      </w:tabs>
      <w:snapToGrid w:val="0"/>
    </w:pPr>
  </w:style>
  <w:style w:type="character" w:customStyle="1" w:styleId="FooterChar">
    <w:name w:val="Footer Char"/>
    <w:basedOn w:val="DefaultParagraphFont"/>
    <w:link w:val="Footer"/>
    <w:uiPriority w:val="99"/>
    <w:rsid w:val="00530287"/>
  </w:style>
  <w:style w:type="paragraph" w:customStyle="1" w:styleId="para">
    <w:name w:val="para"/>
    <w:basedOn w:val="Normal"/>
    <w:qFormat/>
    <w:rsid w:val="00A135EC"/>
    <w:pPr>
      <w:widowControl/>
      <w:spacing w:after="120" w:line="240" w:lineRule="exact"/>
      <w:ind w:left="2268" w:right="1134" w:hanging="1134"/>
    </w:pPr>
    <w:rPr>
      <w:rFonts w:ascii="Times New Roman" w:eastAsia="MS Mincho" w:hAnsi="Times New Roman" w:cs="Times New Roman"/>
      <w:snapToGrid w:val="0"/>
      <w:kern w:val="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D4B"/>
    <w:pPr>
      <w:ind w:left="720"/>
      <w:contextualSpacing/>
    </w:pPr>
  </w:style>
  <w:style w:type="paragraph" w:styleId="Header">
    <w:name w:val="header"/>
    <w:basedOn w:val="Normal"/>
    <w:link w:val="HeaderChar"/>
    <w:uiPriority w:val="99"/>
    <w:unhideWhenUsed/>
    <w:rsid w:val="00530287"/>
    <w:pPr>
      <w:tabs>
        <w:tab w:val="center" w:pos="4252"/>
        <w:tab w:val="right" w:pos="8504"/>
      </w:tabs>
      <w:snapToGrid w:val="0"/>
    </w:pPr>
  </w:style>
  <w:style w:type="character" w:customStyle="1" w:styleId="HeaderChar">
    <w:name w:val="Header Char"/>
    <w:basedOn w:val="DefaultParagraphFont"/>
    <w:link w:val="Header"/>
    <w:uiPriority w:val="99"/>
    <w:rsid w:val="00530287"/>
  </w:style>
  <w:style w:type="paragraph" w:styleId="Footer">
    <w:name w:val="footer"/>
    <w:basedOn w:val="Normal"/>
    <w:link w:val="FooterChar"/>
    <w:uiPriority w:val="99"/>
    <w:unhideWhenUsed/>
    <w:rsid w:val="00530287"/>
    <w:pPr>
      <w:tabs>
        <w:tab w:val="center" w:pos="4252"/>
        <w:tab w:val="right" w:pos="8504"/>
      </w:tabs>
      <w:snapToGrid w:val="0"/>
    </w:pPr>
  </w:style>
  <w:style w:type="character" w:customStyle="1" w:styleId="FooterChar">
    <w:name w:val="Footer Char"/>
    <w:basedOn w:val="DefaultParagraphFont"/>
    <w:link w:val="Footer"/>
    <w:uiPriority w:val="99"/>
    <w:rsid w:val="00530287"/>
  </w:style>
  <w:style w:type="paragraph" w:customStyle="1" w:styleId="para">
    <w:name w:val="para"/>
    <w:basedOn w:val="Normal"/>
    <w:qFormat/>
    <w:rsid w:val="00A135EC"/>
    <w:pPr>
      <w:widowControl/>
      <w:spacing w:after="120" w:line="240" w:lineRule="exact"/>
      <w:ind w:left="2268" w:right="1134" w:hanging="1134"/>
    </w:pPr>
    <w:rPr>
      <w:rFonts w:ascii="Times New Roman" w:eastAsia="MS Mincho" w:hAnsi="Times New Roman" w:cs="Times New Roman"/>
      <w:snapToGrid w:val="0"/>
      <w:kern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0536">
      <w:bodyDiv w:val="1"/>
      <w:marLeft w:val="0"/>
      <w:marRight w:val="0"/>
      <w:marTop w:val="0"/>
      <w:marBottom w:val="0"/>
      <w:divBdr>
        <w:top w:val="none" w:sz="0" w:space="0" w:color="auto"/>
        <w:left w:val="none" w:sz="0" w:space="0" w:color="auto"/>
        <w:bottom w:val="none" w:sz="0" w:space="0" w:color="auto"/>
        <w:right w:val="none" w:sz="0" w:space="0" w:color="auto"/>
      </w:divBdr>
    </w:div>
    <w:div w:id="15222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2341</Characters>
  <Application>Microsoft Office Word</Application>
  <DocSecurity>0</DocSecurity>
  <Lines>19</Lines>
  <Paragraphs>5</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
      <vt:lpstr/>
      <vt:lpstr/>
    </vt:vector>
  </TitlesOfParts>
  <Company>トヨタ自動車</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トヨタ自動車</dc:creator>
  <cp:lastModifiedBy>Hubert Romain</cp:lastModifiedBy>
  <cp:revision>4</cp:revision>
  <cp:lastPrinted>2017-11-10T16:34:00Z</cp:lastPrinted>
  <dcterms:created xsi:type="dcterms:W3CDTF">2017-11-10T16:34:00Z</dcterms:created>
  <dcterms:modified xsi:type="dcterms:W3CDTF">2017-11-10T16:35:00Z</dcterms:modified>
</cp:coreProperties>
</file>