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0047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00473" w:rsidP="00800473">
            <w:pPr>
              <w:jc w:val="right"/>
            </w:pPr>
            <w:r w:rsidRPr="00800473">
              <w:rPr>
                <w:sz w:val="40"/>
              </w:rPr>
              <w:t>ECE</w:t>
            </w:r>
            <w:r>
              <w:t>/TRANS/WP.29/2017/56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00473" w:rsidP="00892A2F">
            <w:pPr>
              <w:spacing w:before="240"/>
            </w:pPr>
            <w:r>
              <w:t>Distr. générale</w:t>
            </w:r>
          </w:p>
          <w:p w:rsidR="00800473" w:rsidRDefault="00800473" w:rsidP="00800473">
            <w:pPr>
              <w:spacing w:line="240" w:lineRule="exact"/>
            </w:pPr>
            <w:r>
              <w:t>22 décembre 2016</w:t>
            </w:r>
          </w:p>
          <w:p w:rsidR="00800473" w:rsidRDefault="00800473" w:rsidP="00800473">
            <w:pPr>
              <w:spacing w:line="240" w:lineRule="exact"/>
            </w:pPr>
            <w:r>
              <w:t>Français</w:t>
            </w:r>
          </w:p>
          <w:p w:rsidR="00800473" w:rsidRPr="00DB58B5" w:rsidRDefault="00800473" w:rsidP="00800473">
            <w:pPr>
              <w:spacing w:line="240" w:lineRule="exact"/>
            </w:pPr>
            <w:r>
              <w:t>Original</w:t>
            </w:r>
            <w:r w:rsidR="00A51EA6">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00473" w:rsidRDefault="00800473" w:rsidP="00800473">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00473" w:rsidRDefault="00800473" w:rsidP="00800473">
      <w:pPr>
        <w:spacing w:before="120" w:line="240" w:lineRule="exact"/>
        <w:rPr>
          <w:b/>
        </w:rPr>
      </w:pPr>
      <w:r>
        <w:rPr>
          <w:b/>
        </w:rPr>
        <w:t>171</w:t>
      </w:r>
      <w:r w:rsidRPr="004811BF">
        <w:rPr>
          <w:b/>
          <w:vertAlign w:val="superscript"/>
        </w:rPr>
        <w:t>e</w:t>
      </w:r>
      <w:r>
        <w:rPr>
          <w:b/>
        </w:rPr>
        <w:t xml:space="preserve"> session</w:t>
      </w:r>
    </w:p>
    <w:p w:rsidR="00800473" w:rsidRDefault="00800473" w:rsidP="00800473">
      <w:pPr>
        <w:spacing w:line="240" w:lineRule="exact"/>
      </w:pPr>
      <w:r>
        <w:t>Genève, 14-17 mars 2017</w:t>
      </w:r>
    </w:p>
    <w:p w:rsidR="00800473" w:rsidRDefault="00800473" w:rsidP="00800473">
      <w:pPr>
        <w:spacing w:line="240" w:lineRule="exact"/>
      </w:pPr>
      <w:r>
        <w:t xml:space="preserve">Point </w:t>
      </w:r>
      <w:r w:rsidR="00704DCB">
        <w:t xml:space="preserve">19.4 </w:t>
      </w:r>
      <w:r>
        <w:t xml:space="preserve"> de l’ordre du jour provisoire</w:t>
      </w:r>
    </w:p>
    <w:p w:rsidR="00800473" w:rsidRDefault="00704DCB" w:rsidP="00800473">
      <w:pPr>
        <w:rPr>
          <w:b/>
        </w:rPr>
      </w:pPr>
      <w:r>
        <w:rPr>
          <w:b/>
        </w:rPr>
        <w:t xml:space="preserve">Questions sur lesquelles un échange de vues </w:t>
      </w:r>
      <w:r>
        <w:rPr>
          <w:b/>
        </w:rPr>
        <w:br/>
        <w:t>et de données devrait s’engager ou se poursuivre</w:t>
      </w:r>
      <w:r w:rsidR="00A51EA6">
        <w:rPr>
          <w:b/>
        </w:rPr>
        <w:t> :</w:t>
      </w:r>
      <w:r>
        <w:rPr>
          <w:b/>
        </w:rPr>
        <w:t xml:space="preserve"> </w:t>
      </w:r>
    </w:p>
    <w:p w:rsidR="00704DCB" w:rsidRPr="004811BF" w:rsidRDefault="00704DCB" w:rsidP="00800473">
      <w:pPr>
        <w:rPr>
          <w:b/>
        </w:rPr>
      </w:pPr>
      <w:r>
        <w:rPr>
          <w:b/>
        </w:rPr>
        <w:t xml:space="preserve">Véhicules à hydrogène à pile à combustible </w:t>
      </w:r>
      <w:r>
        <w:rPr>
          <w:b/>
        </w:rPr>
        <w:br/>
        <w:t xml:space="preserve">(Règlement technique mondial </w:t>
      </w:r>
      <w:r w:rsidRPr="00704DCB">
        <w:rPr>
          <w:rFonts w:eastAsia="MS Mincho"/>
          <w:b/>
        </w:rPr>
        <w:t>n</w:t>
      </w:r>
      <w:r w:rsidRPr="00704DCB">
        <w:rPr>
          <w:rFonts w:eastAsia="MS Mincho"/>
          <w:b/>
          <w:vertAlign w:val="superscript"/>
        </w:rPr>
        <w:t>o</w:t>
      </w:r>
      <w:r>
        <w:rPr>
          <w:b/>
        </w:rPr>
        <w:t> 13</w:t>
      </w:r>
      <w:r w:rsidR="00FE6A81">
        <w:rPr>
          <w:b/>
        </w:rPr>
        <w:t>) − phase 2</w:t>
      </w:r>
    </w:p>
    <w:p w:rsidR="00C93A67" w:rsidRPr="00554DD9" w:rsidRDefault="00C93A67" w:rsidP="00C93A67">
      <w:pPr>
        <w:pStyle w:val="HChG"/>
        <w:rPr>
          <w:lang w:val="fr-FR"/>
        </w:rPr>
      </w:pPr>
      <w:r w:rsidRPr="00554DD9">
        <w:rPr>
          <w:rFonts w:eastAsia="SimSun"/>
          <w:spacing w:val="4"/>
          <w:w w:val="103"/>
          <w:kern w:val="14"/>
          <w:lang w:val="fr-FR" w:eastAsia="ru-RU"/>
        </w:rPr>
        <w:tab/>
      </w:r>
      <w:r w:rsidRPr="00554DD9">
        <w:rPr>
          <w:rFonts w:eastAsia="SimSun"/>
          <w:spacing w:val="4"/>
          <w:w w:val="103"/>
          <w:kern w:val="14"/>
          <w:lang w:val="fr-FR" w:eastAsia="ru-RU"/>
        </w:rPr>
        <w:tab/>
      </w:r>
      <w:r w:rsidRPr="00DE3274">
        <w:rPr>
          <w:lang w:val="fr-FR"/>
        </w:rPr>
        <w:t>Proposition d</w:t>
      </w:r>
      <w:r>
        <w:rPr>
          <w:lang w:val="fr-FR"/>
        </w:rPr>
        <w:t>’</w:t>
      </w:r>
      <w:r w:rsidRPr="00DE3274">
        <w:rPr>
          <w:lang w:val="fr-FR"/>
        </w:rPr>
        <w:t>autorisation d</w:t>
      </w:r>
      <w:r>
        <w:rPr>
          <w:lang w:val="fr-FR"/>
        </w:rPr>
        <w:t>’</w:t>
      </w:r>
      <w:r w:rsidRPr="00DE3274">
        <w:rPr>
          <w:lang w:val="fr-FR"/>
        </w:rPr>
        <w:t xml:space="preserve">élaboration de la phase 2 </w:t>
      </w:r>
      <w:r>
        <w:rPr>
          <w:lang w:val="fr-FR"/>
        </w:rPr>
        <w:br/>
      </w:r>
      <w:r w:rsidRPr="00DE3274">
        <w:rPr>
          <w:lang w:val="fr-FR"/>
        </w:rPr>
        <w:t>du Règlement technique mondial</w:t>
      </w:r>
    </w:p>
    <w:p w:rsidR="00C93A67" w:rsidRPr="00554DD9" w:rsidRDefault="00C93A67" w:rsidP="00C93A67">
      <w:pPr>
        <w:pStyle w:val="H1G"/>
        <w:rPr>
          <w:sz w:val="20"/>
          <w:lang w:val="fr-FR"/>
        </w:rPr>
      </w:pPr>
      <w:r w:rsidRPr="00554DD9">
        <w:rPr>
          <w:sz w:val="20"/>
          <w:lang w:val="fr-FR"/>
        </w:rPr>
        <w:tab/>
      </w:r>
      <w:r w:rsidRPr="00554DD9">
        <w:rPr>
          <w:sz w:val="20"/>
          <w:lang w:val="fr-FR"/>
        </w:rPr>
        <w:tab/>
      </w:r>
      <w:r w:rsidRPr="00554DD9">
        <w:rPr>
          <w:lang w:val="fr-FR"/>
        </w:rPr>
        <w:t>Communication des représentants du Japon, de la République de Corée et de l</w:t>
      </w:r>
      <w:r>
        <w:rPr>
          <w:lang w:val="fr-FR"/>
        </w:rPr>
        <w:t>’</w:t>
      </w:r>
      <w:r w:rsidRPr="00554DD9">
        <w:rPr>
          <w:lang w:val="fr-FR"/>
        </w:rPr>
        <w:t>Union européenne</w:t>
      </w:r>
      <w:r w:rsidRPr="00C93A67">
        <w:rPr>
          <w:b w:val="0"/>
          <w:sz w:val="20"/>
          <w:lang w:val="fr-FR"/>
        </w:rPr>
        <w:footnoteReference w:customMarkFollows="1" w:id="2"/>
        <w:t>*</w:t>
      </w:r>
    </w:p>
    <w:p w:rsidR="00C93A67" w:rsidRPr="00554DD9" w:rsidRDefault="00C93A67" w:rsidP="00C93A67">
      <w:pPr>
        <w:pStyle w:val="SingleTxtG"/>
        <w:ind w:firstLine="567"/>
        <w:rPr>
          <w:lang w:val="fr-FR"/>
        </w:rPr>
      </w:pPr>
      <w:r w:rsidRPr="00554DD9">
        <w:rPr>
          <w:lang w:val="fr-FR"/>
        </w:rPr>
        <w:t>Le texte ci-après a été établi par les représentants du Japon, de la République de Corée et de l</w:t>
      </w:r>
      <w:r>
        <w:rPr>
          <w:lang w:val="fr-FR"/>
        </w:rPr>
        <w:t>’</w:t>
      </w:r>
      <w:r w:rsidRPr="00554DD9">
        <w:rPr>
          <w:lang w:val="fr-FR"/>
        </w:rPr>
        <w:t>Union européenne en vue de l</w:t>
      </w:r>
      <w:r>
        <w:rPr>
          <w:lang w:val="fr-FR"/>
        </w:rPr>
        <w:t>’</w:t>
      </w:r>
      <w:r w:rsidRPr="00554DD9">
        <w:rPr>
          <w:lang w:val="fr-FR"/>
        </w:rPr>
        <w:t>élaboration de la phase 2 du Règlement technique mondial de l</w:t>
      </w:r>
      <w:r>
        <w:rPr>
          <w:lang w:val="fr-FR"/>
        </w:rPr>
        <w:t>’</w:t>
      </w:r>
      <w:r w:rsidRPr="00554DD9">
        <w:rPr>
          <w:lang w:val="fr-FR"/>
        </w:rPr>
        <w:t xml:space="preserve">ONU (RTM) no 13 par le groupe de travail informel des véhicules à hydrogène à pile à combustible </w:t>
      </w:r>
      <w:r w:rsidR="00FE6A81">
        <w:rPr>
          <w:lang w:val="fr-FR"/>
        </w:rPr>
        <w:t>−</w:t>
      </w:r>
      <w:r w:rsidRPr="00554DD9">
        <w:rPr>
          <w:lang w:val="fr-FR"/>
        </w:rPr>
        <w:t xml:space="preserve"> sous-groupe des questions de sécurité (HFCV-SGS). Il est fondé sur le document informel GRSP-60-24, distribué lors de la soixantième session du Groupe de travail de la sécurité passive (GRSP)</w:t>
      </w:r>
      <w:r>
        <w:rPr>
          <w:lang w:val="fr-FR"/>
        </w:rPr>
        <w:t>.</w:t>
      </w:r>
      <w:r w:rsidRPr="00554DD9">
        <w:rPr>
          <w:lang w:val="fr-FR"/>
        </w:rPr>
        <w:t xml:space="preserve"> </w:t>
      </w:r>
      <w:r>
        <w:rPr>
          <w:lang w:val="fr-FR"/>
        </w:rPr>
        <w:t>L</w:t>
      </w:r>
      <w:r w:rsidRPr="00554DD9">
        <w:rPr>
          <w:lang w:val="fr-FR"/>
        </w:rPr>
        <w:t>e GRSP</w:t>
      </w:r>
      <w:r w:rsidRPr="00554DD9">
        <w:rPr>
          <w:rStyle w:val="CommentReference"/>
          <w:lang w:val="fr-FR"/>
        </w:rPr>
        <w:t xml:space="preserve"> </w:t>
      </w:r>
      <w:r w:rsidRPr="00554DD9">
        <w:rPr>
          <w:lang w:val="fr-FR"/>
        </w:rPr>
        <w:t>recommande qu</w:t>
      </w:r>
      <w:r>
        <w:rPr>
          <w:lang w:val="fr-FR"/>
        </w:rPr>
        <w:t>’</w:t>
      </w:r>
      <w:r w:rsidRPr="00554DD9">
        <w:rPr>
          <w:lang w:val="fr-FR"/>
        </w:rPr>
        <w:t>il soit soumis pour examen au Forum mondial de l</w:t>
      </w:r>
      <w:r>
        <w:rPr>
          <w:lang w:val="fr-FR"/>
        </w:rPr>
        <w:t>’</w:t>
      </w:r>
      <w:r w:rsidRPr="00554DD9">
        <w:rPr>
          <w:lang w:val="fr-FR"/>
        </w:rPr>
        <w:t>harmonisation des Règlements concernant les véhicules (WP.29) et au Comité exécutif de l</w:t>
      </w:r>
      <w:r>
        <w:rPr>
          <w:lang w:val="fr-FR"/>
        </w:rPr>
        <w:t>’</w:t>
      </w:r>
      <w:r w:rsidRPr="00554DD9">
        <w:rPr>
          <w:lang w:val="fr-FR"/>
        </w:rPr>
        <w:t>Accord de 1998 (AC.3) à leurs sessions de mars 2017.</w:t>
      </w:r>
    </w:p>
    <w:p w:rsidR="00C93A67" w:rsidRPr="00554DD9" w:rsidRDefault="00C93A67" w:rsidP="00A51EA6">
      <w:pPr>
        <w:pStyle w:val="HChG"/>
        <w:rPr>
          <w:lang w:val="fr-FR"/>
        </w:rPr>
      </w:pPr>
      <w:r w:rsidRPr="00554DD9">
        <w:rPr>
          <w:lang w:val="fr-FR"/>
        </w:rPr>
        <w:lastRenderedPageBreak/>
        <w:tab/>
        <w:t>I.</w:t>
      </w:r>
      <w:r w:rsidRPr="00554DD9">
        <w:rPr>
          <w:lang w:val="fr-FR"/>
        </w:rPr>
        <w:tab/>
        <w:t>Contexte</w:t>
      </w:r>
    </w:p>
    <w:p w:rsidR="00C93A67" w:rsidRPr="00554DD9" w:rsidRDefault="00C93A67" w:rsidP="00A51EA6">
      <w:pPr>
        <w:pStyle w:val="ParNoG"/>
        <w:rPr>
          <w:lang w:val="fr-FR"/>
        </w:rPr>
      </w:pPr>
      <w:r w:rsidRPr="00554DD9">
        <w:rPr>
          <w:lang w:val="fr-FR"/>
        </w:rPr>
        <w:t xml:space="preserve">Le groupe de travail informel des véhicules à hydrogène à pile à combustible </w:t>
      </w:r>
      <w:r w:rsidR="00A51EA6">
        <w:rPr>
          <w:lang w:val="fr-FR"/>
        </w:rPr>
        <w:t>− sous</w:t>
      </w:r>
      <w:r w:rsidR="00A51EA6">
        <w:rPr>
          <w:lang w:val="fr-FR"/>
        </w:rPr>
        <w:noBreakHyphen/>
      </w:r>
      <w:r w:rsidRPr="00554DD9">
        <w:rPr>
          <w:lang w:val="fr-FR"/>
        </w:rPr>
        <w:t>groupe des questions de sécurité (HFCV-SGS) a été créé en 2007. Le calendrier et le champ d</w:t>
      </w:r>
      <w:r>
        <w:rPr>
          <w:lang w:val="fr-FR"/>
        </w:rPr>
        <w:t>’</w:t>
      </w:r>
      <w:r w:rsidRPr="00554DD9">
        <w:rPr>
          <w:lang w:val="fr-FR"/>
        </w:rPr>
        <w:t xml:space="preserve">application initiaux de ses travaux ont été décrits dans le document publié sous la cote ECE/TRANS/WP.29/AC.3/17. </w:t>
      </w:r>
      <w:r>
        <w:rPr>
          <w:lang w:val="fr-FR"/>
        </w:rPr>
        <w:t>C</w:t>
      </w:r>
      <w:r w:rsidRPr="00554DD9">
        <w:rPr>
          <w:lang w:val="fr-FR"/>
        </w:rPr>
        <w:t>e document décrit brièvement les activités du HFCV-SGS ainsi que le calendrier de leur mise en œuvre, qui se divise en deux phases. Le groupe de travail a soumis pour examen le RTM sur les véhicules à hydrogène à pile à combustible</w:t>
      </w:r>
      <w:r>
        <w:rPr>
          <w:lang w:val="fr-FR"/>
        </w:rPr>
        <w:t>,</w:t>
      </w:r>
      <w:r w:rsidRPr="00554DD9">
        <w:rPr>
          <w:lang w:val="fr-FR"/>
        </w:rPr>
        <w:t xml:space="preserve">  </w:t>
      </w:r>
      <w:r>
        <w:rPr>
          <w:lang w:val="fr-FR"/>
        </w:rPr>
        <w:t xml:space="preserve">lequel </w:t>
      </w:r>
      <w:r w:rsidRPr="00554DD9">
        <w:rPr>
          <w:lang w:val="fr-FR"/>
        </w:rPr>
        <w:t>a été adopté par le GRSP puis, en juin 2013, par le WP.29 et l</w:t>
      </w:r>
      <w:r>
        <w:rPr>
          <w:lang w:val="fr-FR"/>
        </w:rPr>
        <w:t>’</w:t>
      </w:r>
      <w:r w:rsidRPr="00554DD9">
        <w:rPr>
          <w:lang w:val="fr-FR"/>
        </w:rPr>
        <w:t>AC.3.</w:t>
      </w:r>
    </w:p>
    <w:p w:rsidR="00C93A67" w:rsidRPr="00554DD9" w:rsidRDefault="00C93A67" w:rsidP="00A51EA6">
      <w:pPr>
        <w:pStyle w:val="ParNoG"/>
        <w:tabs>
          <w:tab w:val="clear" w:pos="1701"/>
        </w:tabs>
        <w:rPr>
          <w:lang w:val="fr-FR"/>
        </w:rPr>
      </w:pPr>
      <w:r w:rsidRPr="00554DD9">
        <w:rPr>
          <w:lang w:val="fr-FR"/>
        </w:rPr>
        <w:t xml:space="preserve">Après </w:t>
      </w:r>
      <w:r>
        <w:rPr>
          <w:lang w:val="fr-FR"/>
        </w:rPr>
        <w:t>l’</w:t>
      </w:r>
      <w:r w:rsidRPr="00554DD9">
        <w:rPr>
          <w:lang w:val="fr-FR"/>
        </w:rPr>
        <w:t xml:space="preserve">ajout </w:t>
      </w:r>
      <w:r>
        <w:rPr>
          <w:lang w:val="fr-FR"/>
        </w:rPr>
        <w:t xml:space="preserve">du RTM, </w:t>
      </w:r>
      <w:r w:rsidRPr="00554DD9">
        <w:rPr>
          <w:lang w:val="fr-FR"/>
        </w:rPr>
        <w:t>en juin 2013</w:t>
      </w:r>
      <w:r>
        <w:rPr>
          <w:lang w:val="fr-FR"/>
        </w:rPr>
        <w:t>,</w:t>
      </w:r>
      <w:r w:rsidRPr="00554DD9">
        <w:rPr>
          <w:lang w:val="fr-FR"/>
        </w:rPr>
        <w:t xml:space="preserve"> au Registre mondial en tant que RTM </w:t>
      </w:r>
      <w:r w:rsidR="00A51EA6" w:rsidRPr="00A51EA6">
        <w:rPr>
          <w:rFonts w:eastAsia="MS Mincho"/>
          <w:lang w:val="fr-FR"/>
        </w:rPr>
        <w:t>n</w:t>
      </w:r>
      <w:r w:rsidR="00A51EA6" w:rsidRPr="00A51EA6">
        <w:rPr>
          <w:rFonts w:eastAsia="MS Mincho"/>
          <w:vertAlign w:val="superscript"/>
          <w:lang w:val="fr-FR"/>
        </w:rPr>
        <w:t>o</w:t>
      </w:r>
      <w:r w:rsidR="00A51EA6">
        <w:rPr>
          <w:lang w:val="fr-FR"/>
        </w:rPr>
        <w:t> </w:t>
      </w:r>
      <w:r w:rsidRPr="00554DD9">
        <w:rPr>
          <w:lang w:val="fr-FR"/>
        </w:rPr>
        <w:t xml:space="preserve">13, les dispositions de ce </w:t>
      </w:r>
      <w:r>
        <w:rPr>
          <w:lang w:val="fr-FR"/>
        </w:rPr>
        <w:t xml:space="preserve"> texte</w:t>
      </w:r>
      <w:r w:rsidRPr="00554DD9">
        <w:rPr>
          <w:lang w:val="fr-FR"/>
        </w:rPr>
        <w:t xml:space="preserve"> ont été transposées dans</w:t>
      </w:r>
      <w:r w:rsidR="00A51EA6">
        <w:rPr>
          <w:lang w:val="fr-FR"/>
        </w:rPr>
        <w:t xml:space="preserve"> </w:t>
      </w:r>
      <w:r w:rsidRPr="00554DD9">
        <w:rPr>
          <w:lang w:val="fr-FR"/>
        </w:rPr>
        <w:t>le Règlement ONU</w:t>
      </w:r>
      <w:r w:rsidR="00A51EA6">
        <w:rPr>
          <w:lang w:val="fr-FR"/>
        </w:rPr>
        <w:t xml:space="preserve"> </w:t>
      </w:r>
      <w:r w:rsidR="00A51EA6" w:rsidRPr="00A51EA6">
        <w:rPr>
          <w:rFonts w:eastAsia="MS Mincho"/>
          <w:lang w:val="fr-FR"/>
        </w:rPr>
        <w:t>n</w:t>
      </w:r>
      <w:r w:rsidR="00A51EA6" w:rsidRPr="00A51EA6">
        <w:rPr>
          <w:rFonts w:eastAsia="MS Mincho"/>
          <w:vertAlign w:val="superscript"/>
          <w:lang w:val="fr-FR"/>
        </w:rPr>
        <w:t>o</w:t>
      </w:r>
      <w:r w:rsidR="00A51EA6">
        <w:rPr>
          <w:lang w:val="fr-FR"/>
        </w:rPr>
        <w:t> </w:t>
      </w:r>
      <w:r w:rsidRPr="00554DD9">
        <w:rPr>
          <w:lang w:val="fr-FR"/>
        </w:rPr>
        <w:t>134 annexé à l</w:t>
      </w:r>
      <w:r>
        <w:rPr>
          <w:lang w:val="fr-FR"/>
        </w:rPr>
        <w:t>’</w:t>
      </w:r>
      <w:r w:rsidRPr="00554DD9">
        <w:rPr>
          <w:lang w:val="fr-FR"/>
        </w:rPr>
        <w:t>Accord de 1958.</w:t>
      </w:r>
    </w:p>
    <w:p w:rsidR="00C93A67" w:rsidRPr="00A51EA6" w:rsidRDefault="00C93A67" w:rsidP="003767E0">
      <w:pPr>
        <w:pStyle w:val="HChG"/>
      </w:pPr>
      <w:r w:rsidRPr="00A51EA6">
        <w:tab/>
        <w:t>II.</w:t>
      </w:r>
      <w:r w:rsidRPr="00A51EA6">
        <w:tab/>
        <w:t>Proposition</w:t>
      </w:r>
    </w:p>
    <w:p w:rsidR="00C93A67" w:rsidRPr="00554DD9" w:rsidRDefault="00C93A67" w:rsidP="00A51EA6">
      <w:pPr>
        <w:pStyle w:val="ParNoG"/>
        <w:tabs>
          <w:tab w:val="clear" w:pos="1701"/>
        </w:tabs>
        <w:rPr>
          <w:lang w:val="fr-FR"/>
        </w:rPr>
      </w:pPr>
      <w:r w:rsidRPr="00554DD9">
        <w:rPr>
          <w:lang w:val="fr-FR"/>
        </w:rPr>
        <w:t>Une prolongation du mandat du HFCV-SGS, parrainée par le Japon, la République de Corée et l</w:t>
      </w:r>
      <w:r>
        <w:rPr>
          <w:lang w:val="fr-FR"/>
        </w:rPr>
        <w:t>’</w:t>
      </w:r>
      <w:r w:rsidRPr="00554DD9">
        <w:rPr>
          <w:lang w:val="fr-FR"/>
        </w:rPr>
        <w:t>Union européenne, permettra d</w:t>
      </w:r>
      <w:r>
        <w:rPr>
          <w:lang w:val="fr-FR"/>
        </w:rPr>
        <w:t xml:space="preserve">’effectuer les travaux relatifs aux </w:t>
      </w:r>
      <w:r w:rsidRPr="00554DD9">
        <w:rPr>
          <w:lang w:val="fr-FR"/>
        </w:rPr>
        <w:t>questions restantes. Les activités de la phase 2 devraient débuter immédiatement après l</w:t>
      </w:r>
      <w:r>
        <w:rPr>
          <w:lang w:val="fr-FR"/>
        </w:rPr>
        <w:t>’</w:t>
      </w:r>
      <w:r w:rsidRPr="00554DD9">
        <w:rPr>
          <w:lang w:val="fr-FR"/>
        </w:rPr>
        <w:t>approbation de la présente proposition d</w:t>
      </w:r>
      <w:r>
        <w:rPr>
          <w:lang w:val="fr-FR"/>
        </w:rPr>
        <w:t>’</w:t>
      </w:r>
      <w:r w:rsidRPr="00554DD9">
        <w:rPr>
          <w:lang w:val="fr-FR"/>
        </w:rPr>
        <w:t>autorisation</w:t>
      </w:r>
      <w:r w:rsidRPr="00554DD9">
        <w:rPr>
          <w:b/>
          <w:lang w:val="fr-FR"/>
        </w:rPr>
        <w:t xml:space="preserve"> </w:t>
      </w:r>
      <w:r w:rsidRPr="00554DD9">
        <w:rPr>
          <w:lang w:val="fr-FR"/>
        </w:rPr>
        <w:t>par</w:t>
      </w:r>
      <w:r w:rsidRPr="00554DD9">
        <w:rPr>
          <w:b/>
          <w:lang w:val="fr-FR"/>
        </w:rPr>
        <w:t xml:space="preserve"> </w:t>
      </w:r>
      <w:r w:rsidRPr="00554DD9">
        <w:rPr>
          <w:lang w:val="fr-FR"/>
        </w:rPr>
        <w:t>le WP.29 et l</w:t>
      </w:r>
      <w:r>
        <w:rPr>
          <w:lang w:val="fr-FR"/>
        </w:rPr>
        <w:t>’</w:t>
      </w:r>
      <w:r w:rsidRPr="00554DD9">
        <w:rPr>
          <w:lang w:val="fr-FR"/>
        </w:rPr>
        <w:t>AC.3 à leurs sessions de mars 2017.</w:t>
      </w:r>
    </w:p>
    <w:p w:rsidR="00C93A67" w:rsidRPr="00554DD9" w:rsidRDefault="00C93A67" w:rsidP="00A51EA6">
      <w:pPr>
        <w:pStyle w:val="ParNoG"/>
        <w:tabs>
          <w:tab w:val="clear" w:pos="1701"/>
        </w:tabs>
        <w:rPr>
          <w:lang w:val="fr-FR"/>
        </w:rPr>
      </w:pPr>
      <w:r w:rsidRPr="00554DD9">
        <w:rPr>
          <w:lang w:val="fr-FR"/>
        </w:rPr>
        <w:t>Étant donné que les véhicules fonctionnant à l</w:t>
      </w:r>
      <w:r>
        <w:rPr>
          <w:lang w:val="fr-FR"/>
        </w:rPr>
        <w:t>’</w:t>
      </w:r>
      <w:r w:rsidRPr="00554DD9">
        <w:rPr>
          <w:lang w:val="fr-FR"/>
        </w:rPr>
        <w:t xml:space="preserve">hydrogène et la technologie des piles à combustible en sont à un stade précoce de mise au point et de commercialisation, il est à prévoir que des révisions devront être apportées </w:t>
      </w:r>
      <w:r>
        <w:rPr>
          <w:lang w:val="fr-FR"/>
        </w:rPr>
        <w:t xml:space="preserve"> aux</w:t>
      </w:r>
      <w:r w:rsidRPr="00554DD9">
        <w:rPr>
          <w:lang w:val="fr-FR"/>
        </w:rPr>
        <w:t xml:space="preserve"> prescriptions après une période prolongée d</w:t>
      </w:r>
      <w:r>
        <w:rPr>
          <w:lang w:val="fr-FR"/>
        </w:rPr>
        <w:t>’</w:t>
      </w:r>
      <w:r w:rsidRPr="00554DD9">
        <w:rPr>
          <w:lang w:val="fr-FR"/>
        </w:rPr>
        <w:t>utilisation routière réelle et sur la base d</w:t>
      </w:r>
      <w:r>
        <w:rPr>
          <w:lang w:val="fr-FR"/>
        </w:rPr>
        <w:t>’</w:t>
      </w:r>
      <w:r w:rsidRPr="00554DD9">
        <w:rPr>
          <w:lang w:val="fr-FR"/>
        </w:rPr>
        <w:t>évaluations techniques. Il est à prévoir également que lorsque l</w:t>
      </w:r>
      <w:r>
        <w:rPr>
          <w:lang w:val="fr-FR"/>
        </w:rPr>
        <w:t>’</w:t>
      </w:r>
      <w:r w:rsidRPr="00554DD9">
        <w:rPr>
          <w:lang w:val="fr-FR"/>
        </w:rPr>
        <w:t>expérience acquise ou le temps écoulé auront permis un examen technique plus poussé, les prescriptions présentées en tant que prescriptions optionnelles dans le RTM (véhicules à hydrogène liquéfié, sect. G du préambule) pourraient être adoptées comme prescriptions du RTM avec les modifications appropriées.</w:t>
      </w:r>
    </w:p>
    <w:p w:rsidR="00C93A67" w:rsidRPr="00554DD9" w:rsidRDefault="00C93A67" w:rsidP="00A51EA6">
      <w:pPr>
        <w:pStyle w:val="ParNoG"/>
        <w:keepNext/>
        <w:tabs>
          <w:tab w:val="clear" w:pos="1701"/>
        </w:tabs>
        <w:rPr>
          <w:lang w:val="fr-FR"/>
        </w:rPr>
      </w:pPr>
      <w:r w:rsidRPr="00554DD9">
        <w:rPr>
          <w:lang w:val="fr-FR"/>
        </w:rPr>
        <w:t xml:space="preserve">Les travaux de la phase 2 devraient </w:t>
      </w:r>
      <w:r>
        <w:rPr>
          <w:lang w:val="fr-FR"/>
        </w:rPr>
        <w:t>porter sur</w:t>
      </w:r>
      <w:r w:rsidRPr="00554DD9">
        <w:rPr>
          <w:lang w:val="fr-FR"/>
        </w:rPr>
        <w:t xml:space="preserve"> les éléments suivants</w:t>
      </w:r>
      <w:r w:rsidR="00A51EA6">
        <w:rPr>
          <w:lang w:val="fr-FR"/>
        </w:rPr>
        <w:t> :</w:t>
      </w:r>
    </w:p>
    <w:p w:rsidR="00C93A67" w:rsidRPr="00554DD9" w:rsidRDefault="00C93A67" w:rsidP="007061A2">
      <w:pPr>
        <w:pStyle w:val="SingleTxtG"/>
        <w:ind w:firstLine="567"/>
        <w:rPr>
          <w:lang w:val="fr-FR"/>
        </w:rPr>
      </w:pPr>
      <w:r w:rsidRPr="00646D47">
        <w:rPr>
          <w:lang w:val="fr-FR"/>
        </w:rPr>
        <w:t>a)</w:t>
      </w:r>
      <w:r w:rsidRPr="00646D47">
        <w:rPr>
          <w:lang w:val="fr-FR"/>
        </w:rPr>
        <w:tab/>
      </w:r>
      <w:r w:rsidRPr="00554DD9">
        <w:rPr>
          <w:lang w:val="fr-FR"/>
        </w:rPr>
        <w:t xml:space="preserve">Les éléments décrits </w:t>
      </w:r>
      <w:r>
        <w:rPr>
          <w:lang w:val="fr-FR"/>
        </w:rPr>
        <w:t xml:space="preserve">à l’origine </w:t>
      </w:r>
      <w:r w:rsidRPr="00554DD9">
        <w:rPr>
          <w:lang w:val="fr-FR"/>
        </w:rPr>
        <w:t>dans le document ECE/TRANS/</w:t>
      </w:r>
      <w:r w:rsidR="00FE6A81">
        <w:rPr>
          <w:lang w:val="fr-FR"/>
        </w:rPr>
        <w:t xml:space="preserve"> </w:t>
      </w:r>
      <w:r w:rsidRPr="00554DD9">
        <w:rPr>
          <w:lang w:val="fr-FR"/>
        </w:rPr>
        <w:t>WP.29/AC.3/17 sont conservés</w:t>
      </w:r>
      <w:r w:rsidR="00A51EA6">
        <w:rPr>
          <w:lang w:val="fr-FR"/>
        </w:rPr>
        <w:t> ;</w:t>
      </w:r>
    </w:p>
    <w:p w:rsidR="00C93A67" w:rsidRPr="00A73F2C" w:rsidRDefault="00C93A67" w:rsidP="007061A2">
      <w:pPr>
        <w:pStyle w:val="SingleTxtG"/>
        <w:ind w:firstLine="567"/>
        <w:rPr>
          <w:lang w:val="fr-FR"/>
        </w:rPr>
      </w:pPr>
      <w:r w:rsidRPr="00A73F2C">
        <w:rPr>
          <w:lang w:val="fr-FR"/>
        </w:rPr>
        <w:t>b)</w:t>
      </w:r>
      <w:r w:rsidRPr="00A73F2C">
        <w:rPr>
          <w:lang w:val="fr-FR"/>
        </w:rPr>
        <w:tab/>
        <w:t>Révision possible du champ d’application pour prendre en compte d’autres classes de véhicules</w:t>
      </w:r>
      <w:r w:rsidR="00A51EA6">
        <w:rPr>
          <w:lang w:val="fr-FR"/>
        </w:rPr>
        <w:t> ;</w:t>
      </w:r>
    </w:p>
    <w:p w:rsidR="00C93A67" w:rsidRPr="00A73F2C" w:rsidRDefault="00C93A67" w:rsidP="007061A2">
      <w:pPr>
        <w:pStyle w:val="SingleTxtG"/>
        <w:ind w:firstLine="567"/>
        <w:rPr>
          <w:lang w:val="fr-FR"/>
        </w:rPr>
      </w:pPr>
      <w:r w:rsidRPr="00A73F2C">
        <w:rPr>
          <w:lang w:val="fr-FR"/>
        </w:rPr>
        <w:t>c)</w:t>
      </w:r>
      <w:r w:rsidRPr="00A73F2C">
        <w:rPr>
          <w:lang w:val="fr-FR"/>
        </w:rPr>
        <w:tab/>
        <w:t>Prescriptions concernant la compatibilité des matériaux et les effets de fragilisation par l’hydrogène</w:t>
      </w:r>
      <w:r w:rsidR="00A51EA6">
        <w:rPr>
          <w:lang w:val="fr-FR"/>
        </w:rPr>
        <w:t> ;</w:t>
      </w:r>
    </w:p>
    <w:p w:rsidR="00C93A67" w:rsidRPr="00646D47" w:rsidRDefault="00C93A67" w:rsidP="007061A2">
      <w:pPr>
        <w:pStyle w:val="SingleTxtG"/>
        <w:ind w:firstLine="567"/>
        <w:rPr>
          <w:b/>
          <w:lang w:val="fr-FR"/>
        </w:rPr>
      </w:pPr>
      <w:r w:rsidRPr="00A73F2C">
        <w:rPr>
          <w:lang w:val="fr-FR"/>
        </w:rPr>
        <w:t>d)</w:t>
      </w:r>
      <w:r w:rsidRPr="00A73F2C">
        <w:rPr>
          <w:lang w:val="fr-FR"/>
        </w:rPr>
        <w:tab/>
        <w:t>Prescriptions concernant l’embout de remplissage</w:t>
      </w:r>
      <w:r w:rsidR="00A51EA6">
        <w:rPr>
          <w:lang w:val="fr-FR"/>
        </w:rPr>
        <w:t> ;</w:t>
      </w:r>
    </w:p>
    <w:p w:rsidR="00C93A67" w:rsidRPr="00554DD9" w:rsidRDefault="00C93A67" w:rsidP="007061A2">
      <w:pPr>
        <w:pStyle w:val="SingleTxtG"/>
        <w:ind w:firstLine="567"/>
        <w:rPr>
          <w:lang w:val="fr-FR"/>
        </w:rPr>
      </w:pPr>
      <w:r w:rsidRPr="00A73F2C">
        <w:rPr>
          <w:lang w:val="fr-FR"/>
        </w:rPr>
        <w:t>e)</w:t>
      </w:r>
      <w:r w:rsidRPr="00A73F2C">
        <w:rPr>
          <w:lang w:val="fr-FR"/>
        </w:rPr>
        <w:tab/>
        <w:t>Évaluation de l’essai de rupture par contrainte de longue durée pr</w:t>
      </w:r>
      <w:r w:rsidR="007061A2">
        <w:rPr>
          <w:lang w:val="fr-FR"/>
        </w:rPr>
        <w:t>oposé dans le cadre de la phase </w:t>
      </w:r>
      <w:r w:rsidRPr="00A73F2C">
        <w:rPr>
          <w:lang w:val="fr-FR"/>
        </w:rPr>
        <w:t>1</w:t>
      </w:r>
      <w:r w:rsidR="00A51EA6">
        <w:rPr>
          <w:lang w:val="fr-FR"/>
        </w:rPr>
        <w:t> ;</w:t>
      </w:r>
    </w:p>
    <w:p w:rsidR="00C93A67" w:rsidRPr="00A73F2C" w:rsidRDefault="00C93A67" w:rsidP="007061A2">
      <w:pPr>
        <w:pStyle w:val="SingleTxtG"/>
        <w:ind w:firstLine="567"/>
        <w:rPr>
          <w:lang w:val="fr-FR"/>
        </w:rPr>
      </w:pPr>
      <w:r w:rsidRPr="00A73F2C">
        <w:rPr>
          <w:lang w:val="fr-FR"/>
        </w:rPr>
        <w:t>f)</w:t>
      </w:r>
      <w:r w:rsidRPr="00A73F2C">
        <w:rPr>
          <w:lang w:val="fr-FR"/>
        </w:rPr>
        <w:tab/>
        <w:t>Examen des résultats de recherche communiqués après l’achèvement de la phase</w:t>
      </w:r>
      <w:r w:rsidR="007061A2">
        <w:rPr>
          <w:lang w:val="fr-FR"/>
        </w:rPr>
        <w:t> </w:t>
      </w:r>
      <w:r w:rsidRPr="00A73F2C">
        <w:rPr>
          <w:lang w:val="fr-FR"/>
        </w:rPr>
        <w:t xml:space="preserve">1, en particulier les </w:t>
      </w:r>
      <w:r w:rsidR="00FE6A81">
        <w:rPr>
          <w:lang w:val="fr-FR"/>
        </w:rPr>
        <w:t>résultats des recherches</w:t>
      </w:r>
      <w:r w:rsidRPr="00A73F2C">
        <w:rPr>
          <w:lang w:val="fr-FR"/>
        </w:rPr>
        <w:t xml:space="preserve"> portant sur la sécurité électrique, les systèmes de stockage de l’hydrogène et la sécurité après un choc</w:t>
      </w:r>
      <w:r w:rsidR="00A51EA6">
        <w:rPr>
          <w:lang w:val="fr-FR"/>
        </w:rPr>
        <w:t> ;</w:t>
      </w:r>
    </w:p>
    <w:p w:rsidR="00C93A67" w:rsidRPr="00A73F2C" w:rsidRDefault="00C93A67" w:rsidP="007061A2">
      <w:pPr>
        <w:pStyle w:val="SingleTxtG"/>
        <w:ind w:firstLine="567"/>
        <w:rPr>
          <w:lang w:val="fr-FR"/>
        </w:rPr>
      </w:pPr>
      <w:r w:rsidRPr="00A73F2C">
        <w:rPr>
          <w:lang w:val="fr-FR"/>
        </w:rPr>
        <w:t>g)</w:t>
      </w:r>
      <w:r w:rsidRPr="00A73F2C">
        <w:rPr>
          <w:lang w:val="fr-FR"/>
        </w:rPr>
        <w:tab/>
        <w:t>Examen d’une valeur inf</w:t>
      </w:r>
      <w:r w:rsidR="007061A2">
        <w:rPr>
          <w:lang w:val="fr-FR"/>
        </w:rPr>
        <w:t xml:space="preserve">érieure ou égale à 200 % de la </w:t>
      </w:r>
      <w:r w:rsidRPr="00A73F2C">
        <w:rPr>
          <w:lang w:val="fr-FR"/>
        </w:rPr>
        <w:t>pression de service nominale du véhicule (</w:t>
      </w:r>
      <w:bookmarkStart w:id="1" w:name="hit1"/>
      <w:bookmarkEnd w:id="1"/>
      <w:r w:rsidRPr="00A73F2C">
        <w:rPr>
          <w:lang w:val="fr-FR"/>
        </w:rPr>
        <w:t>PSN) comme pression minimale d’éclatement</w:t>
      </w:r>
      <w:r w:rsidR="00A51EA6">
        <w:rPr>
          <w:lang w:val="fr-FR"/>
        </w:rPr>
        <w:t> ;</w:t>
      </w:r>
    </w:p>
    <w:p w:rsidR="00C93A67" w:rsidRPr="00554DD9" w:rsidRDefault="00C93A67" w:rsidP="007061A2">
      <w:pPr>
        <w:pStyle w:val="SingleTxtG"/>
        <w:ind w:firstLine="567"/>
        <w:rPr>
          <w:lang w:val="fr-FR"/>
        </w:rPr>
      </w:pPr>
      <w:r w:rsidRPr="00A73F2C">
        <w:rPr>
          <w:lang w:val="fr-FR"/>
        </w:rPr>
        <w:t>h)</w:t>
      </w:r>
      <w:r w:rsidRPr="00A73F2C">
        <w:rPr>
          <w:lang w:val="fr-FR"/>
        </w:rPr>
        <w:tab/>
        <w:t>Examen d’un système d’écran de protection en cas de défaillance de la résistance d’isolement.</w:t>
      </w:r>
    </w:p>
    <w:p w:rsidR="00C93A67" w:rsidRPr="00554DD9" w:rsidRDefault="00C93A67" w:rsidP="007061A2">
      <w:pPr>
        <w:pStyle w:val="ParNoG"/>
        <w:keepNext/>
        <w:tabs>
          <w:tab w:val="clear" w:pos="1701"/>
        </w:tabs>
        <w:rPr>
          <w:lang w:val="fr-FR"/>
        </w:rPr>
      </w:pPr>
      <w:r w:rsidRPr="00554DD9">
        <w:rPr>
          <w:lang w:val="fr-FR"/>
        </w:rPr>
        <w:lastRenderedPageBreak/>
        <w:t>En outre</w:t>
      </w:r>
      <w:r w:rsidRPr="00646D47">
        <w:rPr>
          <w:lang w:val="fr-FR"/>
        </w:rPr>
        <w:t xml:space="preserve">, </w:t>
      </w:r>
      <w:r w:rsidRPr="00A73F2C">
        <w:rPr>
          <w:lang w:val="fr-FR"/>
        </w:rPr>
        <w:t>la procédure d’essai suivante sera prise en considération pour l’essai de rupture par contrainte de longue durée</w:t>
      </w:r>
      <w:r w:rsidR="00A51EA6">
        <w:rPr>
          <w:lang w:val="fr-FR"/>
        </w:rPr>
        <w:t> :</w:t>
      </w:r>
    </w:p>
    <w:p w:rsidR="00C93A67" w:rsidRPr="00A73F2C" w:rsidRDefault="00C93A67" w:rsidP="007061A2">
      <w:pPr>
        <w:pStyle w:val="SingleTxtG"/>
        <w:ind w:firstLine="567"/>
        <w:rPr>
          <w:lang w:val="fr-FR"/>
        </w:rPr>
      </w:pPr>
      <w:r w:rsidRPr="00A73F2C">
        <w:rPr>
          <w:lang w:val="fr-FR"/>
        </w:rPr>
        <w:t>a)</w:t>
      </w:r>
      <w:r w:rsidRPr="00A73F2C">
        <w:rPr>
          <w:lang w:val="fr-FR"/>
        </w:rPr>
        <w:tab/>
        <w:t>Trois réservoirs faits du nouveau matériau à essayer (par exemple un réservoir composite en polymère renforcé par de la fibre) doivent être soumis à un essai d’éclatement</w:t>
      </w:r>
      <w:r w:rsidR="00A51EA6">
        <w:rPr>
          <w:lang w:val="fr-FR"/>
        </w:rPr>
        <w:t> ;</w:t>
      </w:r>
      <w:r w:rsidRPr="00A73F2C">
        <w:rPr>
          <w:lang w:val="fr-FR"/>
        </w:rPr>
        <w:t xml:space="preserve"> les pressions d’éclatement doivent se situer à </w:t>
      </w:r>
      <w:r w:rsidR="007061A2">
        <w:rPr>
          <w:b/>
          <w:lang w:val="fr-FR"/>
        </w:rPr>
        <w:sym w:font="Symbol" w:char="F0B1"/>
      </w:r>
      <w:r w:rsidRPr="00A73F2C">
        <w:rPr>
          <w:lang w:val="fr-FR"/>
        </w:rPr>
        <w:t>10 % de la valeur médiane BPo pour l’application convenue. Ensuite,</w:t>
      </w:r>
    </w:p>
    <w:p w:rsidR="00C93A67" w:rsidRPr="00A73F2C" w:rsidRDefault="00C93A67" w:rsidP="007061A2">
      <w:pPr>
        <w:pStyle w:val="SingleTxtG"/>
        <w:ind w:left="1701"/>
        <w:rPr>
          <w:lang w:val="fr-FR"/>
        </w:rPr>
      </w:pPr>
      <w:r w:rsidRPr="00A73F2C">
        <w:rPr>
          <w:lang w:val="fr-FR"/>
        </w:rPr>
        <w:t>i)</w:t>
      </w:r>
      <w:r w:rsidRPr="00A73F2C">
        <w:rPr>
          <w:lang w:val="fr-FR"/>
        </w:rPr>
        <w:tab/>
        <w:t xml:space="preserve">Trois réservoirs doivent </w:t>
      </w:r>
      <w:r w:rsidR="007061A2">
        <w:rPr>
          <w:lang w:val="fr-FR"/>
        </w:rPr>
        <w:t>être maintenus à une pression &gt;80 </w:t>
      </w:r>
      <w:r w:rsidRPr="00A73F2C">
        <w:rPr>
          <w:lang w:val="fr-FR"/>
        </w:rPr>
        <w:t>% de BPo et à 65</w:t>
      </w:r>
      <w:r w:rsidR="007061A2">
        <w:rPr>
          <w:lang w:val="fr-FR"/>
        </w:rPr>
        <w:t> </w:t>
      </w:r>
      <w:r w:rsidRPr="00A73F2C">
        <w:rPr>
          <w:lang w:val="fr-FR"/>
        </w:rPr>
        <w:t>(</w:t>
      </w:r>
      <w:r w:rsidR="007061A2">
        <w:rPr>
          <w:b/>
          <w:lang w:val="fr-FR"/>
        </w:rPr>
        <w:sym w:font="Symbol" w:char="F0B1"/>
      </w:r>
      <w:r w:rsidRPr="00A73F2C">
        <w:rPr>
          <w:b/>
          <w:lang w:val="fr-FR"/>
        </w:rPr>
        <w:t xml:space="preserve"> </w:t>
      </w:r>
      <w:r w:rsidRPr="00A73F2C">
        <w:rPr>
          <w:lang w:val="fr-FR"/>
        </w:rPr>
        <w:t>5) °C</w:t>
      </w:r>
      <w:r w:rsidR="00A51EA6">
        <w:rPr>
          <w:lang w:val="fr-FR"/>
        </w:rPr>
        <w:t> ;</w:t>
      </w:r>
      <w:r w:rsidRPr="00A73F2C">
        <w:rPr>
          <w:lang w:val="fr-FR"/>
        </w:rPr>
        <w:t xml:space="preserve"> il ne doit pas y avoir éclatement avant 1</w:t>
      </w:r>
      <w:r w:rsidR="007061A2">
        <w:rPr>
          <w:lang w:val="fr-FR"/>
        </w:rPr>
        <w:t>00 </w:t>
      </w:r>
      <w:r w:rsidRPr="00A73F2C">
        <w:rPr>
          <w:lang w:val="fr-FR"/>
        </w:rPr>
        <w:t>h</w:t>
      </w:r>
      <w:r w:rsidR="00A51EA6">
        <w:rPr>
          <w:lang w:val="fr-FR"/>
        </w:rPr>
        <w:t> ;</w:t>
      </w:r>
      <w:r w:rsidRPr="00A73F2C">
        <w:rPr>
          <w:lang w:val="fr-FR"/>
        </w:rPr>
        <w:t xml:space="preserve"> la durée jusqu’à rupture doit être enregistrée</w:t>
      </w:r>
      <w:r w:rsidR="00A51EA6">
        <w:rPr>
          <w:lang w:val="fr-FR"/>
        </w:rPr>
        <w:t> ;</w:t>
      </w:r>
    </w:p>
    <w:p w:rsidR="00C93A67" w:rsidRPr="00A73F2C" w:rsidRDefault="00C93A67" w:rsidP="007061A2">
      <w:pPr>
        <w:pStyle w:val="SingleTxtG"/>
        <w:ind w:left="1701"/>
        <w:rPr>
          <w:lang w:val="fr-FR"/>
        </w:rPr>
      </w:pPr>
      <w:r w:rsidRPr="00A73F2C">
        <w:rPr>
          <w:lang w:val="fr-FR"/>
        </w:rPr>
        <w:t>ii)</w:t>
      </w:r>
      <w:r w:rsidRPr="00A73F2C">
        <w:rPr>
          <w:lang w:val="fr-FR"/>
        </w:rPr>
        <w:tab/>
        <w:t xml:space="preserve">Trois réservoirs doivent </w:t>
      </w:r>
      <w:r w:rsidR="007061A2">
        <w:rPr>
          <w:lang w:val="fr-FR"/>
        </w:rPr>
        <w:t>être maintenus à une pression &gt;75 </w:t>
      </w:r>
      <w:r w:rsidRPr="00A73F2C">
        <w:rPr>
          <w:lang w:val="fr-FR"/>
        </w:rPr>
        <w:t>% de BPo et à 65</w:t>
      </w:r>
      <w:r w:rsidR="007061A2">
        <w:rPr>
          <w:lang w:val="fr-FR"/>
        </w:rPr>
        <w:t> </w:t>
      </w:r>
      <w:r w:rsidRPr="00A73F2C">
        <w:rPr>
          <w:lang w:val="fr-FR"/>
        </w:rPr>
        <w:t>(</w:t>
      </w:r>
      <w:r w:rsidR="007061A2">
        <w:rPr>
          <w:b/>
          <w:lang w:val="fr-FR"/>
        </w:rPr>
        <w:sym w:font="Symbol" w:char="F0B1"/>
      </w:r>
      <w:r w:rsidRPr="00A73F2C">
        <w:rPr>
          <w:lang w:val="fr-FR"/>
        </w:rPr>
        <w:t xml:space="preserve"> 5) °C</w:t>
      </w:r>
      <w:r w:rsidR="00A51EA6">
        <w:rPr>
          <w:lang w:val="fr-FR"/>
        </w:rPr>
        <w:t> ;</w:t>
      </w:r>
      <w:r w:rsidRPr="00A73F2C">
        <w:rPr>
          <w:lang w:val="fr-FR"/>
        </w:rPr>
        <w:t xml:space="preserve"> il ne doit</w:t>
      </w:r>
      <w:r w:rsidR="007061A2">
        <w:rPr>
          <w:lang w:val="fr-FR"/>
        </w:rPr>
        <w:t xml:space="preserve"> pas y avoir éclatement avant 1 000 </w:t>
      </w:r>
      <w:r w:rsidRPr="00A73F2C">
        <w:rPr>
          <w:lang w:val="fr-FR"/>
        </w:rPr>
        <w:t>h</w:t>
      </w:r>
      <w:r w:rsidR="00A51EA6">
        <w:rPr>
          <w:lang w:val="fr-FR"/>
        </w:rPr>
        <w:t> ;</w:t>
      </w:r>
      <w:r w:rsidRPr="00A73F2C">
        <w:rPr>
          <w:lang w:val="fr-FR"/>
        </w:rPr>
        <w:t xml:space="preserve"> la durée jusqu’à rupture doit être enregistrée</w:t>
      </w:r>
      <w:r w:rsidR="00A51EA6">
        <w:rPr>
          <w:lang w:val="fr-FR"/>
        </w:rPr>
        <w:t> ;</w:t>
      </w:r>
    </w:p>
    <w:p w:rsidR="00C93A67" w:rsidRPr="00A73F2C" w:rsidRDefault="00C93A67" w:rsidP="007061A2">
      <w:pPr>
        <w:pStyle w:val="SingleTxtG"/>
        <w:ind w:left="1701"/>
        <w:rPr>
          <w:lang w:val="fr-FR"/>
        </w:rPr>
      </w:pPr>
      <w:r w:rsidRPr="00A73F2C">
        <w:rPr>
          <w:lang w:val="fr-FR"/>
        </w:rPr>
        <w:t>iii)</w:t>
      </w:r>
      <w:r w:rsidRPr="00A73F2C">
        <w:rPr>
          <w:lang w:val="fr-FR"/>
        </w:rPr>
        <w:tab/>
        <w:t xml:space="preserve">Trois réservoirs doivent </w:t>
      </w:r>
      <w:r w:rsidR="007061A2">
        <w:rPr>
          <w:lang w:val="fr-FR"/>
        </w:rPr>
        <w:t>être maintenus à une pression &gt;70 </w:t>
      </w:r>
      <w:r w:rsidRPr="00A73F2C">
        <w:rPr>
          <w:lang w:val="fr-FR"/>
        </w:rPr>
        <w:t>% de BPo et à 65</w:t>
      </w:r>
      <w:r w:rsidR="007061A2">
        <w:rPr>
          <w:lang w:val="fr-FR"/>
        </w:rPr>
        <w:t> </w:t>
      </w:r>
      <w:r w:rsidRPr="00A73F2C">
        <w:rPr>
          <w:lang w:val="fr-FR"/>
        </w:rPr>
        <w:t>(</w:t>
      </w:r>
      <w:r w:rsidR="007061A2">
        <w:rPr>
          <w:b/>
          <w:lang w:val="fr-FR"/>
        </w:rPr>
        <w:sym w:font="Symbol" w:char="F0B1"/>
      </w:r>
      <w:r w:rsidRPr="00A73F2C">
        <w:rPr>
          <w:lang w:val="fr-FR"/>
        </w:rPr>
        <w:t xml:space="preserve"> 5) °C</w:t>
      </w:r>
      <w:r w:rsidR="00A51EA6">
        <w:rPr>
          <w:lang w:val="fr-FR"/>
        </w:rPr>
        <w:t> ;</w:t>
      </w:r>
      <w:r w:rsidRPr="00A73F2C">
        <w:rPr>
          <w:lang w:val="fr-FR"/>
        </w:rPr>
        <w:t xml:space="preserve"> il ne doit pas y avoir éclatement avant un an</w:t>
      </w:r>
      <w:r w:rsidR="00A51EA6">
        <w:rPr>
          <w:lang w:val="fr-FR"/>
        </w:rPr>
        <w:t> ;</w:t>
      </w:r>
    </w:p>
    <w:p w:rsidR="00C93A67" w:rsidRPr="00554DD9" w:rsidRDefault="00C93A67" w:rsidP="007061A2">
      <w:pPr>
        <w:pStyle w:val="SingleTxtG"/>
        <w:ind w:left="1701"/>
        <w:rPr>
          <w:lang w:val="fr-FR"/>
        </w:rPr>
      </w:pPr>
      <w:r w:rsidRPr="00A73F2C">
        <w:rPr>
          <w:lang w:val="fr-FR"/>
        </w:rPr>
        <w:t>iv)</w:t>
      </w:r>
      <w:r w:rsidRPr="00A73F2C">
        <w:rPr>
          <w:lang w:val="fr-FR"/>
        </w:rPr>
        <w:tab/>
        <w:t>L’essai doit être arrêté après un an. Chaque réservoir ayant subi avec succès l’essai d’un an sans éclatement doit être soumis à un essai d’éclatement</w:t>
      </w:r>
      <w:r w:rsidR="00A51EA6">
        <w:rPr>
          <w:lang w:val="fr-FR"/>
        </w:rPr>
        <w:t> ;</w:t>
      </w:r>
      <w:r w:rsidRPr="00A73F2C">
        <w:rPr>
          <w:lang w:val="fr-FR"/>
        </w:rPr>
        <w:t xml:space="preserve"> la pression d’éclatement doit être enregistrée</w:t>
      </w:r>
      <w:r w:rsidR="00A51EA6">
        <w:rPr>
          <w:lang w:val="fr-FR"/>
        </w:rPr>
        <w:t> ;</w:t>
      </w:r>
    </w:p>
    <w:p w:rsidR="00C93A67" w:rsidRPr="00A73F2C" w:rsidRDefault="00C93A67" w:rsidP="007061A2">
      <w:pPr>
        <w:pStyle w:val="SingleTxtG"/>
        <w:ind w:firstLine="567"/>
        <w:rPr>
          <w:rFonts w:eastAsia="MS PGothic"/>
          <w:lang w:val="fr-FR" w:eastAsia="ja-JP"/>
        </w:rPr>
      </w:pPr>
      <w:r w:rsidRPr="00A73F2C">
        <w:rPr>
          <w:rFonts w:eastAsia="MS PGothic"/>
          <w:lang w:val="fr-FR" w:eastAsia="ja-JP"/>
        </w:rPr>
        <w:t>b)</w:t>
      </w:r>
      <w:r w:rsidRPr="00A73F2C">
        <w:rPr>
          <w:rFonts w:eastAsia="MS PGothic"/>
          <w:lang w:val="fr-FR" w:eastAsia="ja-JP"/>
        </w:rPr>
        <w:tab/>
        <w:t xml:space="preserve">Le diamètre du réservoir doit être </w:t>
      </w:r>
      <w:r w:rsidRPr="00A73F2C">
        <w:rPr>
          <w:rFonts w:eastAsia="MS PGothic"/>
          <w:lang w:val="fr-FR" w:eastAsia="ja-JP"/>
        </w:rPr>
        <w:sym w:font="Symbol" w:char="F03E"/>
      </w:r>
      <w:r w:rsidRPr="00A73F2C">
        <w:rPr>
          <w:rFonts w:eastAsia="MS PGothic"/>
          <w:lang w:val="fr-FR" w:eastAsia="ja-JP"/>
        </w:rPr>
        <w:t>50 % du diamètre de l’application prévue et d’une construction comparable. Le réservoir peut être muni d’un remplissage intérieur (pour réduire le volume intérieur) à condition que plus de 99 % de la surface intérieure demeure exposée</w:t>
      </w:r>
      <w:r w:rsidR="00A51EA6">
        <w:rPr>
          <w:rFonts w:eastAsia="MS PGothic"/>
          <w:lang w:val="fr-FR" w:eastAsia="ja-JP"/>
        </w:rPr>
        <w:t> ;</w:t>
      </w:r>
    </w:p>
    <w:p w:rsidR="00C93A67" w:rsidRPr="00554DD9" w:rsidRDefault="00C93A67" w:rsidP="007061A2">
      <w:pPr>
        <w:pStyle w:val="SingleTxtG"/>
        <w:ind w:firstLine="567"/>
        <w:rPr>
          <w:rFonts w:eastAsia="MS PGothic"/>
          <w:lang w:val="fr-FR" w:eastAsia="ja-JP"/>
        </w:rPr>
      </w:pPr>
      <w:r w:rsidRPr="00A73F2C">
        <w:rPr>
          <w:rFonts w:eastAsia="MS PGothic"/>
          <w:lang w:val="fr-FR" w:eastAsia="ja-JP"/>
        </w:rPr>
        <w:t>c)</w:t>
      </w:r>
      <w:r w:rsidRPr="00A73F2C">
        <w:rPr>
          <w:rFonts w:eastAsia="MS PGothic"/>
          <w:lang w:val="fr-FR" w:eastAsia="ja-JP"/>
        </w:rPr>
        <w:tab/>
        <w:t>Les réservoirs construits en composite de fibre de carbone et/ou alliages métalliques sont exemptés de cet essai</w:t>
      </w:r>
      <w:r w:rsidR="00A51EA6">
        <w:rPr>
          <w:rFonts w:eastAsia="MS PGothic"/>
          <w:lang w:val="fr-FR" w:eastAsia="ja-JP"/>
        </w:rPr>
        <w:t> ;</w:t>
      </w:r>
    </w:p>
    <w:p w:rsidR="00C93A67" w:rsidRPr="00554DD9" w:rsidRDefault="00C93A67" w:rsidP="007061A2">
      <w:pPr>
        <w:pStyle w:val="SingleTxtG"/>
        <w:ind w:firstLine="567"/>
        <w:rPr>
          <w:rFonts w:eastAsia="MS PGothic"/>
          <w:lang w:val="fr-FR" w:eastAsia="ja-JP"/>
        </w:rPr>
      </w:pPr>
      <w:r w:rsidRPr="00A73F2C">
        <w:rPr>
          <w:rFonts w:eastAsia="MS PGothic"/>
          <w:lang w:val="fr-FR" w:eastAsia="ja-JP"/>
        </w:rPr>
        <w:t>d)</w:t>
      </w:r>
      <w:r w:rsidRPr="00A73F2C">
        <w:rPr>
          <w:rFonts w:eastAsia="MS PGothic"/>
          <w:lang w:val="fr-FR" w:eastAsia="ja-JP"/>
        </w:rPr>
        <w:tab/>
        <w:t>Les réservoirs construits en composite de fibre de verre qui ont une p</w:t>
      </w:r>
      <w:r w:rsidR="00FE6A81">
        <w:rPr>
          <w:rFonts w:eastAsia="MS PGothic"/>
          <w:lang w:val="fr-FR" w:eastAsia="ja-JP"/>
        </w:rPr>
        <w:t>ression d’éclatement initiale &gt;</w:t>
      </w:r>
      <w:r w:rsidRPr="00A73F2C">
        <w:rPr>
          <w:rFonts w:eastAsia="MS PGothic"/>
          <w:lang w:val="fr-FR" w:eastAsia="ja-JP"/>
        </w:rPr>
        <w:t xml:space="preserve">350 % de la PSN sont exemptés de cet essai, </w:t>
      </w:r>
      <w:r w:rsidR="003767E0">
        <w:rPr>
          <w:rFonts w:eastAsia="MS PGothic"/>
          <w:lang w:val="fr-FR" w:eastAsia="ja-JP"/>
        </w:rPr>
        <w:t>auquel cas une pression BPmin = 350 </w:t>
      </w:r>
      <w:r w:rsidRPr="00A73F2C">
        <w:rPr>
          <w:rFonts w:eastAsia="MS PGothic"/>
          <w:lang w:val="fr-FR" w:eastAsia="ja-JP"/>
        </w:rPr>
        <w:t>% de la PSN doit être appliquée lors de l’</w:t>
      </w:r>
      <w:r w:rsidR="003767E0">
        <w:rPr>
          <w:rFonts w:eastAsia="MS PGothic"/>
          <w:lang w:val="fr-FR" w:eastAsia="ja-JP"/>
        </w:rPr>
        <w:t>essai prévu au paragraphe </w:t>
      </w:r>
      <w:r w:rsidRPr="00A73F2C">
        <w:rPr>
          <w:rFonts w:eastAsia="MS PGothic"/>
          <w:lang w:val="fr-FR" w:eastAsia="ja-JP"/>
        </w:rPr>
        <w:t>5.1.1.1 (pression d’éclatement initiale de référence)</w:t>
      </w:r>
      <w:r w:rsidR="00A51EA6">
        <w:rPr>
          <w:rFonts w:eastAsia="MS PGothic"/>
          <w:lang w:val="fr-FR" w:eastAsia="ja-JP"/>
        </w:rPr>
        <w:t> ;</w:t>
      </w:r>
    </w:p>
    <w:p w:rsidR="00C93A67" w:rsidRPr="00646D47" w:rsidRDefault="00C93A67" w:rsidP="007061A2">
      <w:pPr>
        <w:pStyle w:val="SingleTxtG"/>
        <w:ind w:firstLine="567"/>
        <w:rPr>
          <w:lang w:val="fr-FR"/>
        </w:rPr>
      </w:pPr>
      <w:r w:rsidRPr="00A73F2C">
        <w:rPr>
          <w:lang w:val="fr-FR"/>
        </w:rPr>
        <w:t>e)</w:t>
      </w:r>
      <w:r w:rsidRPr="00A73F2C">
        <w:rPr>
          <w:lang w:val="fr-FR"/>
        </w:rPr>
        <w:tab/>
        <w:t>Il existe des réservoirs en fibre de carbone qui utilisent la fibre de verre comme couche protectrice, et sur certains de ces réservoirs la pression d’éclatement est accrue d’</w:t>
      </w:r>
      <w:r w:rsidR="003767E0">
        <w:rPr>
          <w:lang w:val="fr-FR"/>
        </w:rPr>
        <w:t>environ 2 </w:t>
      </w:r>
      <w:r w:rsidRPr="00A73F2C">
        <w:rPr>
          <w:lang w:val="fr-FR"/>
        </w:rPr>
        <w:t>%. Dans ce cas, il doit être démontré par calcul ou par une autre méthode qu’une pression égale au double de la pression de remplissage maximale ou supérieure peut être soutenue par l’enveloppe en fibre de carbone  sans  fibre de verre. S’il peut être démontré que l’accroissement de pression d’éclatement dû à la couche protectrice en fibre de verre n’est pas supérieur à 2 % et si la pression d’éclatement est de 225</w:t>
      </w:r>
      <w:r w:rsidR="003767E0">
        <w:rPr>
          <w:lang w:val="fr-FR"/>
        </w:rPr>
        <w:t> % de la PSN x 1,02 = 230 </w:t>
      </w:r>
      <w:r w:rsidRPr="00A73F2C">
        <w:rPr>
          <w:lang w:val="fr-FR"/>
        </w:rPr>
        <w:t>% de la PSN ou plus, le calcul ci-dessus peut être omis.</w:t>
      </w:r>
    </w:p>
    <w:p w:rsidR="00C93A67" w:rsidRPr="00646D47" w:rsidRDefault="003767E0" w:rsidP="003767E0">
      <w:pPr>
        <w:pStyle w:val="HChG"/>
        <w:rPr>
          <w:lang w:val="fr-FR"/>
        </w:rPr>
      </w:pPr>
      <w:r>
        <w:rPr>
          <w:lang w:val="fr-FR"/>
        </w:rPr>
        <w:tab/>
      </w:r>
      <w:r w:rsidR="00C93A67" w:rsidRPr="00646D47">
        <w:rPr>
          <w:lang w:val="fr-FR"/>
        </w:rPr>
        <w:t>III.</w:t>
      </w:r>
      <w:r w:rsidR="00C93A67" w:rsidRPr="00646D47">
        <w:rPr>
          <w:lang w:val="fr-FR"/>
        </w:rPr>
        <w:tab/>
      </w:r>
      <w:r w:rsidR="00C93A67" w:rsidRPr="00554DD9">
        <w:rPr>
          <w:lang w:val="fr-FR"/>
        </w:rPr>
        <w:t>Calendrier</w:t>
      </w:r>
    </w:p>
    <w:p w:rsidR="00C93A67" w:rsidRPr="00554DD9" w:rsidRDefault="00C93A67" w:rsidP="00A51EA6">
      <w:pPr>
        <w:pStyle w:val="ParNoG"/>
        <w:tabs>
          <w:tab w:val="clear" w:pos="1701"/>
        </w:tabs>
        <w:rPr>
          <w:lang w:val="fr-FR"/>
        </w:rPr>
      </w:pPr>
      <w:r w:rsidRPr="00554DD9">
        <w:rPr>
          <w:lang w:val="fr-FR"/>
        </w:rPr>
        <w:t>Les travaux du HFCV-SGS dans le cadre de la phase</w:t>
      </w:r>
      <w:r w:rsidR="003767E0">
        <w:rPr>
          <w:lang w:val="fr-FR"/>
        </w:rPr>
        <w:t> </w:t>
      </w:r>
      <w:r w:rsidRPr="00554DD9">
        <w:rPr>
          <w:lang w:val="fr-FR"/>
        </w:rPr>
        <w:t>2 devraient être achevés d</w:t>
      </w:r>
      <w:r>
        <w:rPr>
          <w:lang w:val="fr-FR"/>
        </w:rPr>
        <w:t>’</w:t>
      </w:r>
      <w:r w:rsidRPr="00554DD9">
        <w:rPr>
          <w:lang w:val="fr-FR"/>
        </w:rPr>
        <w:t>ici à</w:t>
      </w:r>
      <w:r w:rsidR="003767E0">
        <w:rPr>
          <w:lang w:val="fr-FR"/>
        </w:rPr>
        <w:t> </w:t>
      </w:r>
      <w:r w:rsidRPr="00554DD9">
        <w:rPr>
          <w:lang w:val="fr-FR"/>
        </w:rPr>
        <w:t>2020. Ces travaux pourront se poursuivre jusqu</w:t>
      </w:r>
      <w:r>
        <w:rPr>
          <w:lang w:val="fr-FR"/>
        </w:rPr>
        <w:t>’</w:t>
      </w:r>
      <w:r w:rsidRPr="00554DD9">
        <w:rPr>
          <w:lang w:val="fr-FR"/>
        </w:rPr>
        <w:t>à la fin de 2020 sans modification formelle d</w:t>
      </w:r>
      <w:r>
        <w:rPr>
          <w:lang w:val="fr-FR"/>
        </w:rPr>
        <w:t xml:space="preserve">u </w:t>
      </w:r>
      <w:r w:rsidRPr="00554DD9">
        <w:rPr>
          <w:lang w:val="fr-FR"/>
        </w:rPr>
        <w:t>mandat, à moins qu</w:t>
      </w:r>
      <w:r>
        <w:rPr>
          <w:lang w:val="fr-FR"/>
        </w:rPr>
        <w:t>’</w:t>
      </w:r>
      <w:r w:rsidRPr="00554DD9">
        <w:rPr>
          <w:lang w:val="fr-FR"/>
        </w:rPr>
        <w:t>il ne soit nécessaire de procéder autrement en raison des circonstances.</w:t>
      </w:r>
    </w:p>
    <w:p w:rsidR="00C93A67" w:rsidRPr="00646D47" w:rsidRDefault="00C93A67" w:rsidP="00A51EA6">
      <w:pPr>
        <w:pStyle w:val="ParNoG"/>
        <w:rPr>
          <w:lang w:val="fr-FR"/>
        </w:rPr>
      </w:pPr>
      <w:r w:rsidRPr="00554DD9">
        <w:rPr>
          <w:lang w:val="fr-FR"/>
        </w:rPr>
        <w:t xml:space="preserve">Le GRSP pourra envisager </w:t>
      </w:r>
      <w:r>
        <w:rPr>
          <w:lang w:val="fr-FR"/>
        </w:rPr>
        <w:t xml:space="preserve">de </w:t>
      </w:r>
      <w:r w:rsidRPr="00554DD9">
        <w:rPr>
          <w:lang w:val="fr-FR"/>
        </w:rPr>
        <w:t>prolong</w:t>
      </w:r>
      <w:r>
        <w:rPr>
          <w:lang w:val="fr-FR"/>
        </w:rPr>
        <w:t>er ou d’</w:t>
      </w:r>
      <w:r w:rsidRPr="00554DD9">
        <w:rPr>
          <w:lang w:val="fr-FR"/>
        </w:rPr>
        <w:t>élargi</w:t>
      </w:r>
      <w:r>
        <w:rPr>
          <w:lang w:val="fr-FR"/>
        </w:rPr>
        <w:t xml:space="preserve">r le </w:t>
      </w:r>
      <w:r w:rsidRPr="00554DD9">
        <w:rPr>
          <w:lang w:val="fr-FR"/>
        </w:rPr>
        <w:t>mandat du HFCV-SGS en temps voulu.</w:t>
      </w:r>
    </w:p>
    <w:p w:rsidR="00F9573C" w:rsidRPr="00C93A67" w:rsidRDefault="00C93A67" w:rsidP="00C93A67">
      <w:pPr>
        <w:pStyle w:val="SingleTxtG"/>
        <w:spacing w:before="240" w:after="0"/>
        <w:jc w:val="center"/>
        <w:rPr>
          <w:u w:val="single"/>
        </w:rPr>
      </w:pPr>
      <w:r>
        <w:rPr>
          <w:u w:val="single"/>
        </w:rPr>
        <w:tab/>
      </w:r>
      <w:r>
        <w:rPr>
          <w:u w:val="single"/>
        </w:rPr>
        <w:tab/>
      </w:r>
      <w:r>
        <w:rPr>
          <w:u w:val="single"/>
        </w:rPr>
        <w:tab/>
      </w:r>
    </w:p>
    <w:sectPr w:rsidR="00F9573C" w:rsidRPr="00C93A67" w:rsidSect="0080047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A2" w:rsidRDefault="00E16AA2" w:rsidP="00F95C08">
      <w:pPr>
        <w:spacing w:line="240" w:lineRule="auto"/>
      </w:pPr>
    </w:p>
  </w:endnote>
  <w:endnote w:type="continuationSeparator" w:id="0">
    <w:p w:rsidR="00E16AA2" w:rsidRPr="00AC3823" w:rsidRDefault="00E16AA2" w:rsidP="00AC3823">
      <w:pPr>
        <w:pStyle w:val="Footer"/>
      </w:pPr>
    </w:p>
  </w:endnote>
  <w:endnote w:type="continuationNotice" w:id="1">
    <w:p w:rsidR="00E16AA2" w:rsidRDefault="00E16A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73" w:rsidRPr="00800473" w:rsidRDefault="00800473" w:rsidP="00800473">
    <w:pPr>
      <w:pStyle w:val="Footer"/>
      <w:tabs>
        <w:tab w:val="right" w:pos="9638"/>
      </w:tabs>
    </w:pPr>
    <w:r w:rsidRPr="00800473">
      <w:rPr>
        <w:b/>
        <w:sz w:val="18"/>
      </w:rPr>
      <w:fldChar w:fldCharType="begin"/>
    </w:r>
    <w:r w:rsidRPr="00800473">
      <w:rPr>
        <w:b/>
        <w:sz w:val="18"/>
      </w:rPr>
      <w:instrText xml:space="preserve"> PAGE  \* MERGEFORMAT </w:instrText>
    </w:r>
    <w:r w:rsidRPr="00800473">
      <w:rPr>
        <w:b/>
        <w:sz w:val="18"/>
      </w:rPr>
      <w:fldChar w:fldCharType="separate"/>
    </w:r>
    <w:r w:rsidR="009926F7">
      <w:rPr>
        <w:b/>
        <w:noProof/>
        <w:sz w:val="18"/>
      </w:rPr>
      <w:t>2</w:t>
    </w:r>
    <w:r w:rsidRPr="00800473">
      <w:rPr>
        <w:b/>
        <w:sz w:val="18"/>
      </w:rPr>
      <w:fldChar w:fldCharType="end"/>
    </w:r>
    <w:r>
      <w:rPr>
        <w:b/>
        <w:sz w:val="18"/>
      </w:rPr>
      <w:tab/>
    </w:r>
    <w:r>
      <w:t>GE.16-22739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73" w:rsidRPr="00800473" w:rsidRDefault="00800473" w:rsidP="00800473">
    <w:pPr>
      <w:pStyle w:val="Footer"/>
      <w:tabs>
        <w:tab w:val="right" w:pos="9638"/>
      </w:tabs>
      <w:rPr>
        <w:b/>
        <w:sz w:val="18"/>
      </w:rPr>
    </w:pPr>
    <w:r>
      <w:t>GE.16-22739</w:t>
    </w:r>
    <w:r>
      <w:tab/>
    </w:r>
    <w:r w:rsidRPr="00800473">
      <w:rPr>
        <w:b/>
        <w:sz w:val="18"/>
      </w:rPr>
      <w:fldChar w:fldCharType="begin"/>
    </w:r>
    <w:r w:rsidRPr="00800473">
      <w:rPr>
        <w:b/>
        <w:sz w:val="18"/>
      </w:rPr>
      <w:instrText xml:space="preserve"> PAGE  \* MERGEFORMAT </w:instrText>
    </w:r>
    <w:r w:rsidRPr="00800473">
      <w:rPr>
        <w:b/>
        <w:sz w:val="18"/>
      </w:rPr>
      <w:fldChar w:fldCharType="separate"/>
    </w:r>
    <w:r w:rsidR="009926F7">
      <w:rPr>
        <w:b/>
        <w:noProof/>
        <w:sz w:val="18"/>
      </w:rPr>
      <w:t>3</w:t>
    </w:r>
    <w:r w:rsidRPr="008004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00473" w:rsidRDefault="00800473" w:rsidP="0080047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B260E0B" wp14:editId="7DF5B28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16-22739  (F)</w:t>
    </w:r>
    <w:r w:rsidR="00C93A67">
      <w:rPr>
        <w:sz w:val="20"/>
      </w:rPr>
      <w:t xml:space="preserve">    130117    190117</w:t>
    </w:r>
    <w:r>
      <w:rPr>
        <w:sz w:val="20"/>
      </w:rPr>
      <w:br/>
    </w:r>
    <w:r w:rsidRPr="00800473">
      <w:rPr>
        <w:rFonts w:ascii="C39T30Lfz" w:hAnsi="C39T30Lfz"/>
        <w:sz w:val="56"/>
      </w:rPr>
      <w:t></w:t>
    </w:r>
    <w:r w:rsidRPr="00800473">
      <w:rPr>
        <w:rFonts w:ascii="C39T30Lfz" w:hAnsi="C39T30Lfz"/>
        <w:sz w:val="56"/>
      </w:rPr>
      <w:t></w:t>
    </w:r>
    <w:r w:rsidRPr="00800473">
      <w:rPr>
        <w:rFonts w:ascii="C39T30Lfz" w:hAnsi="C39T30Lfz"/>
        <w:sz w:val="56"/>
      </w:rPr>
      <w:t></w:t>
    </w:r>
    <w:r w:rsidRPr="00800473">
      <w:rPr>
        <w:rFonts w:ascii="C39T30Lfz" w:hAnsi="C39T30Lfz"/>
        <w:sz w:val="56"/>
      </w:rPr>
      <w:t></w:t>
    </w:r>
    <w:r w:rsidRPr="00800473">
      <w:rPr>
        <w:rFonts w:ascii="C39T30Lfz" w:hAnsi="C39T30Lfz"/>
        <w:sz w:val="56"/>
      </w:rPr>
      <w:t></w:t>
    </w:r>
    <w:r w:rsidRPr="00800473">
      <w:rPr>
        <w:rFonts w:ascii="C39T30Lfz" w:hAnsi="C39T30Lfz"/>
        <w:sz w:val="56"/>
      </w:rPr>
      <w:t></w:t>
    </w:r>
    <w:r w:rsidRPr="00800473">
      <w:rPr>
        <w:rFonts w:ascii="C39T30Lfz" w:hAnsi="C39T30Lfz"/>
        <w:sz w:val="56"/>
      </w:rPr>
      <w:t></w:t>
    </w:r>
    <w:r w:rsidRPr="00800473">
      <w:rPr>
        <w:rFonts w:ascii="C39T30Lfz" w:hAnsi="C39T30Lfz"/>
        <w:sz w:val="56"/>
      </w:rPr>
      <w:t></w:t>
    </w:r>
    <w:r w:rsidRPr="0080047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7/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A2" w:rsidRPr="00AC3823" w:rsidRDefault="00E16AA2" w:rsidP="00AC3823">
      <w:pPr>
        <w:pStyle w:val="Footer"/>
        <w:tabs>
          <w:tab w:val="right" w:pos="2155"/>
        </w:tabs>
        <w:spacing w:after="80" w:line="240" w:lineRule="atLeast"/>
        <w:ind w:left="680"/>
        <w:rPr>
          <w:u w:val="single"/>
        </w:rPr>
      </w:pPr>
      <w:r>
        <w:rPr>
          <w:u w:val="single"/>
        </w:rPr>
        <w:tab/>
      </w:r>
    </w:p>
  </w:footnote>
  <w:footnote w:type="continuationSeparator" w:id="0">
    <w:p w:rsidR="00E16AA2" w:rsidRPr="00AC3823" w:rsidRDefault="00E16AA2" w:rsidP="00AC3823">
      <w:pPr>
        <w:pStyle w:val="Footer"/>
        <w:tabs>
          <w:tab w:val="right" w:pos="2155"/>
        </w:tabs>
        <w:spacing w:after="80" w:line="240" w:lineRule="atLeast"/>
        <w:ind w:left="680"/>
        <w:rPr>
          <w:u w:val="single"/>
        </w:rPr>
      </w:pPr>
      <w:r>
        <w:rPr>
          <w:u w:val="single"/>
        </w:rPr>
        <w:tab/>
      </w:r>
    </w:p>
  </w:footnote>
  <w:footnote w:type="continuationNotice" w:id="1">
    <w:p w:rsidR="00E16AA2" w:rsidRPr="00AC3823" w:rsidRDefault="00E16AA2">
      <w:pPr>
        <w:spacing w:line="240" w:lineRule="auto"/>
        <w:rPr>
          <w:sz w:val="2"/>
          <w:szCs w:val="2"/>
        </w:rPr>
      </w:pPr>
    </w:p>
  </w:footnote>
  <w:footnote w:id="2">
    <w:p w:rsidR="00C93A67" w:rsidRPr="00ED017D" w:rsidRDefault="00C93A67" w:rsidP="00C93A67">
      <w:pPr>
        <w:pStyle w:val="FootnoteText"/>
        <w:rPr>
          <w:lang w:val="fr-FR"/>
        </w:rPr>
      </w:pPr>
      <w:r w:rsidRPr="00ED017D">
        <w:rPr>
          <w:lang w:val="fr-FR"/>
        </w:rPr>
        <w:tab/>
      </w:r>
      <w:r w:rsidRPr="00055FDE">
        <w:rPr>
          <w:sz w:val="20"/>
          <w:lang w:val="fr-FR"/>
        </w:rPr>
        <w:t>*</w:t>
      </w:r>
      <w:r w:rsidRPr="00ED017D">
        <w:rPr>
          <w:sz w:val="20"/>
          <w:lang w:val="fr-FR"/>
        </w:rPr>
        <w:tab/>
      </w:r>
      <w:r w:rsidRPr="00CD515E">
        <w:rPr>
          <w:lang w:val="fr-FR"/>
        </w:rPr>
        <w:t xml:space="preserve">Conformément au programme de travail du Comité des transports intérieurs pour la période </w:t>
      </w:r>
      <w:r w:rsidRPr="00CD515E">
        <w:rPr>
          <w:szCs w:val="18"/>
          <w:lang w:val="fr-FR"/>
        </w:rPr>
        <w:t>2016</w:t>
      </w:r>
      <w:r w:rsidRPr="00CD515E">
        <w:rPr>
          <w:szCs w:val="18"/>
          <w:lang w:val="fr-FR"/>
        </w:rPr>
        <w:noBreakHyphen/>
        <w:t xml:space="preserve">2017 (ECE/TRANS/254, par. 159, et ECE/TRANS/2016/28/Add.1, module 3.1), </w:t>
      </w:r>
      <w:r w:rsidRPr="00CD515E">
        <w:rPr>
          <w:lang w:val="fr-FR"/>
        </w:rPr>
        <w:t>le Forum mondial a pour mission d’élaborer, d’harmoniser et de mettre à jour les Règlements en vue d’améliorer les caractéristiques fonctionnelles des véhicules</w:t>
      </w:r>
      <w:r w:rsidRPr="00CD515E">
        <w:rPr>
          <w:szCs w:val="18"/>
          <w:lang w:val="fr-FR"/>
        </w:rPr>
        <w:t xml:space="preserve">. </w:t>
      </w:r>
      <w:r w:rsidRPr="00CD515E">
        <w:rPr>
          <w:lang w:val="fr-FR"/>
        </w:rPr>
        <w:t xml:space="preserve">Le présent document est soumis </w:t>
      </w:r>
      <w:r w:rsidRPr="00CD515E">
        <w:rPr>
          <w:lang w:val="fr-FR"/>
        </w:rPr>
        <w:br/>
        <w:t>dans le cadre de ce mandat</w:t>
      </w:r>
      <w:r w:rsidRPr="00CD515E">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73" w:rsidRPr="00800473" w:rsidRDefault="00800473">
    <w:pPr>
      <w:pStyle w:val="Header"/>
    </w:pPr>
    <w:r>
      <w:t>ECE/TRANS/WP.29/2017/56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73" w:rsidRPr="00800473" w:rsidRDefault="00800473" w:rsidP="00800473">
    <w:pPr>
      <w:pStyle w:val="Header"/>
      <w:jc w:val="right"/>
    </w:pPr>
    <w:r>
      <w:t>ECE/TRANS/WP.29/2017/56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A2"/>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767E0"/>
    <w:rsid w:val="003916DE"/>
    <w:rsid w:val="00441C3B"/>
    <w:rsid w:val="00446FE5"/>
    <w:rsid w:val="00452396"/>
    <w:rsid w:val="004837D8"/>
    <w:rsid w:val="004E468C"/>
    <w:rsid w:val="005505B7"/>
    <w:rsid w:val="00565C52"/>
    <w:rsid w:val="00573BE5"/>
    <w:rsid w:val="00586ED3"/>
    <w:rsid w:val="00596AA9"/>
    <w:rsid w:val="00704DCB"/>
    <w:rsid w:val="007061A2"/>
    <w:rsid w:val="0071601D"/>
    <w:rsid w:val="007A62E6"/>
    <w:rsid w:val="007F20FA"/>
    <w:rsid w:val="00800473"/>
    <w:rsid w:val="0080684C"/>
    <w:rsid w:val="00871C75"/>
    <w:rsid w:val="008776DC"/>
    <w:rsid w:val="009705C8"/>
    <w:rsid w:val="009926F7"/>
    <w:rsid w:val="009C1CF4"/>
    <w:rsid w:val="009F6B74"/>
    <w:rsid w:val="00A30353"/>
    <w:rsid w:val="00A51EA6"/>
    <w:rsid w:val="00AC3823"/>
    <w:rsid w:val="00AE323C"/>
    <w:rsid w:val="00AF0CB5"/>
    <w:rsid w:val="00B00181"/>
    <w:rsid w:val="00B00B0D"/>
    <w:rsid w:val="00B765F7"/>
    <w:rsid w:val="00BA0CA9"/>
    <w:rsid w:val="00C02897"/>
    <w:rsid w:val="00C93A67"/>
    <w:rsid w:val="00D3439C"/>
    <w:rsid w:val="00DB1831"/>
    <w:rsid w:val="00DD3BFD"/>
    <w:rsid w:val="00DF6678"/>
    <w:rsid w:val="00E16AA2"/>
    <w:rsid w:val="00E85C74"/>
    <w:rsid w:val="00EA6547"/>
    <w:rsid w:val="00EF2E22"/>
    <w:rsid w:val="00F35BAF"/>
    <w:rsid w:val="00F660DF"/>
    <w:rsid w:val="00F94664"/>
    <w:rsid w:val="00F9573C"/>
    <w:rsid w:val="00F95C08"/>
    <w:rsid w:val="00FE6A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6B8EC1-5E02-40A1-B858-ECD477B3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C93A67"/>
    <w:rPr>
      <w:sz w:val="16"/>
      <w:szCs w:val="16"/>
    </w:rPr>
  </w:style>
  <w:style w:type="character" w:customStyle="1" w:styleId="HChGChar">
    <w:name w:val="_ H _Ch_G Char"/>
    <w:link w:val="HChG"/>
    <w:rsid w:val="00C93A67"/>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ECE/TRANS/WP.29/2017/56</vt:lpstr>
      <vt:lpstr>ECE/TRANS/WP.29/2017/56</vt:lpstr>
    </vt:vector>
  </TitlesOfParts>
  <Company>DCM</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ECE/TRANS/WP.29/2017/56</dc:title>
  <dc:subject/>
  <dc:creator>Nath V.</dc:creator>
  <cp:keywords/>
  <dc:description/>
  <cp:lastModifiedBy>Lucille</cp:lastModifiedBy>
  <cp:revision>2</cp:revision>
  <cp:lastPrinted>2017-01-19T10:55:00Z</cp:lastPrinted>
  <dcterms:created xsi:type="dcterms:W3CDTF">2017-01-19T15:27:00Z</dcterms:created>
  <dcterms:modified xsi:type="dcterms:W3CDTF">2017-01-19T15:27:00Z</dcterms:modified>
</cp:coreProperties>
</file>