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04BB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04BB6" w:rsidP="00604BB6">
            <w:pPr>
              <w:jc w:val="right"/>
            </w:pPr>
            <w:r w:rsidRPr="00604BB6">
              <w:rPr>
                <w:sz w:val="40"/>
              </w:rPr>
              <w:t>ECE</w:t>
            </w:r>
            <w:r>
              <w:t>/TRANS/WP.11/2017/22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04BB6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604BB6" w:rsidRDefault="00604BB6" w:rsidP="00604BB6">
            <w:pPr>
              <w:spacing w:line="240" w:lineRule="exact"/>
            </w:pPr>
            <w:r>
              <w:t>28 juillet 2017</w:t>
            </w:r>
          </w:p>
          <w:p w:rsidR="00604BB6" w:rsidRDefault="00604BB6" w:rsidP="00604BB6">
            <w:pPr>
              <w:spacing w:line="240" w:lineRule="exact"/>
            </w:pPr>
            <w:r>
              <w:t>Français</w:t>
            </w:r>
          </w:p>
          <w:p w:rsidR="00604BB6" w:rsidRPr="00DB58B5" w:rsidRDefault="00604BB6" w:rsidP="00604BB6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604BB6" w:rsidRPr="00685843" w:rsidRDefault="00604BB6" w:rsidP="0030580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 des denrées périssables</w:t>
      </w:r>
    </w:p>
    <w:p w:rsidR="00604BB6" w:rsidRPr="00F30D47" w:rsidRDefault="00604BB6" w:rsidP="00305801">
      <w:pPr>
        <w:spacing w:before="120"/>
        <w:rPr>
          <w:b/>
        </w:rPr>
      </w:pPr>
      <w:r w:rsidRPr="00604BB6">
        <w:rPr>
          <w:b/>
          <w:lang w:val="fr-FR"/>
        </w:rPr>
        <w:t>Soixante-treizième</w:t>
      </w:r>
      <w:r w:rsidRPr="00604BB6">
        <w:rPr>
          <w:b/>
        </w:rPr>
        <w:t xml:space="preserve"> </w:t>
      </w:r>
      <w:r w:rsidRPr="00F30D47">
        <w:rPr>
          <w:b/>
        </w:rPr>
        <w:t>session</w:t>
      </w:r>
    </w:p>
    <w:p w:rsidR="00604BB6" w:rsidRDefault="00604BB6" w:rsidP="00305801">
      <w:r>
        <w:t xml:space="preserve">Genève, </w:t>
      </w:r>
      <w:r w:rsidRPr="00604BB6">
        <w:rPr>
          <w:lang w:val="fr-FR"/>
        </w:rPr>
        <w:t>10-13 octobre 2017</w:t>
      </w:r>
    </w:p>
    <w:p w:rsidR="00604BB6" w:rsidRDefault="00604BB6" w:rsidP="00305801">
      <w:r>
        <w:t>Point </w:t>
      </w:r>
      <w:r w:rsidRPr="001A78EE">
        <w:rPr>
          <w:lang w:val="fr-FR"/>
        </w:rPr>
        <w:t>5</w:t>
      </w:r>
      <w:r>
        <w:rPr>
          <w:lang w:val="fr-FR"/>
        </w:rPr>
        <w:t> </w:t>
      </w:r>
      <w:r w:rsidRPr="001A78EE">
        <w:rPr>
          <w:lang w:val="fr-FR"/>
        </w:rPr>
        <w:t xml:space="preserve">b) </w:t>
      </w:r>
      <w:r>
        <w:t>de l’ordre du jour provisoire</w:t>
      </w:r>
    </w:p>
    <w:p w:rsidR="00F9573C" w:rsidRDefault="00604BB6" w:rsidP="00604BB6">
      <w:pPr>
        <w:rPr>
          <w:b/>
          <w:lang w:val="fr-FR"/>
        </w:rPr>
      </w:pPr>
      <w:r w:rsidRPr="00604BB6">
        <w:rPr>
          <w:b/>
          <w:lang w:val="fr-FR"/>
        </w:rPr>
        <w:t>Propositions d’amendements à l’ATP</w:t>
      </w:r>
      <w:r>
        <w:rPr>
          <w:b/>
          <w:lang w:val="fr-FR"/>
        </w:rPr>
        <w:t xml:space="preserve"> : </w:t>
      </w:r>
      <w:r>
        <w:rPr>
          <w:b/>
          <w:lang w:val="fr-FR"/>
        </w:rPr>
        <w:br/>
      </w:r>
      <w:r w:rsidRPr="00604BB6">
        <w:rPr>
          <w:b/>
          <w:lang w:val="fr-FR"/>
        </w:rPr>
        <w:t>Nouvelles propositions</w:t>
      </w:r>
    </w:p>
    <w:p w:rsidR="00604BB6" w:rsidRPr="001A78EE" w:rsidRDefault="00604BB6" w:rsidP="00604BB6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1A78EE">
        <w:rPr>
          <w:lang w:val="fr-FR"/>
        </w:rPr>
        <w:t>Proposition d</w:t>
      </w:r>
      <w:r>
        <w:rPr>
          <w:lang w:val="fr-FR"/>
        </w:rPr>
        <w:t>’</w:t>
      </w:r>
      <w:r w:rsidRPr="001A78EE">
        <w:rPr>
          <w:lang w:val="fr-FR"/>
        </w:rPr>
        <w:t>amendement à l</w:t>
      </w:r>
      <w:r>
        <w:rPr>
          <w:lang w:val="fr-FR"/>
        </w:rPr>
        <w:t>’</w:t>
      </w:r>
      <w:r w:rsidRPr="001A78EE">
        <w:rPr>
          <w:lang w:val="fr-FR"/>
        </w:rPr>
        <w:t xml:space="preserve">ATP visant à attribuer, </w:t>
      </w:r>
      <w:r>
        <w:rPr>
          <w:lang w:val="fr-FR"/>
        </w:rPr>
        <w:br/>
      </w:r>
      <w:r w:rsidRPr="001A78EE">
        <w:rPr>
          <w:lang w:val="fr-FR"/>
        </w:rPr>
        <w:t>au stade de l</w:t>
      </w:r>
      <w:r>
        <w:rPr>
          <w:lang w:val="fr-FR"/>
        </w:rPr>
        <w:t>’</w:t>
      </w:r>
      <w:r w:rsidRPr="001A78EE">
        <w:rPr>
          <w:lang w:val="fr-FR"/>
        </w:rPr>
        <w:t xml:space="preserve">agrément de nouveaux engins de transport, </w:t>
      </w:r>
      <w:r>
        <w:rPr>
          <w:lang w:val="fr-FR"/>
        </w:rPr>
        <w:br/>
      </w:r>
      <w:r w:rsidRPr="001A78EE">
        <w:rPr>
          <w:lang w:val="fr-FR"/>
        </w:rPr>
        <w:t xml:space="preserve">une classe aux engins réfrigérants, frigorifiques, </w:t>
      </w:r>
      <w:r>
        <w:rPr>
          <w:lang w:val="fr-FR"/>
        </w:rPr>
        <w:br/>
      </w:r>
      <w:r w:rsidRPr="001A78EE">
        <w:rPr>
          <w:lang w:val="fr-FR"/>
        </w:rPr>
        <w:t>calorifiques et frigorifiques et calorifiques</w:t>
      </w:r>
    </w:p>
    <w:p w:rsidR="00604BB6" w:rsidRDefault="00604BB6" w:rsidP="00604BB6">
      <w:pPr>
        <w:pStyle w:val="H1G"/>
        <w:rPr>
          <w:lang w:val="fr-FR"/>
        </w:rPr>
      </w:pPr>
      <w:r w:rsidRPr="001A78EE">
        <w:rPr>
          <w:lang w:val="fr-FR"/>
        </w:rPr>
        <w:tab/>
      </w:r>
      <w:r w:rsidRPr="001A78EE">
        <w:rPr>
          <w:lang w:val="fr-FR"/>
        </w:rPr>
        <w:tab/>
        <w:t>Communication de la Fédération de Russie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604BB6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604BB6" w:rsidRPr="000001E7" w:rsidRDefault="00604BB6" w:rsidP="00216E0F">
            <w:pPr>
              <w:spacing w:before="240" w:after="120"/>
              <w:ind w:left="255"/>
              <w:rPr>
                <w:i/>
                <w:sz w:val="24"/>
              </w:rPr>
            </w:pPr>
            <w:r w:rsidRPr="000001E7">
              <w:rPr>
                <w:i/>
                <w:sz w:val="24"/>
              </w:rPr>
              <w:t>Résumé</w:t>
            </w:r>
          </w:p>
        </w:tc>
      </w:tr>
      <w:tr w:rsidR="00604BB6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604BB6" w:rsidRPr="00604BB6" w:rsidRDefault="00604BB6" w:rsidP="00604BB6">
            <w:pPr>
              <w:pStyle w:val="SingleTxtG"/>
              <w:ind w:left="3119" w:hanging="2268"/>
              <w:rPr>
                <w:lang w:val="fr-FR"/>
              </w:rPr>
            </w:pPr>
            <w:r>
              <w:rPr>
                <w:b/>
                <w:lang w:val="fr-FR"/>
              </w:rPr>
              <w:t>Résumé analytique </w:t>
            </w:r>
            <w:r w:rsidRPr="00604BB6">
              <w:rPr>
                <w:lang w:val="fr-FR"/>
              </w:rPr>
              <w:t>:</w:t>
            </w:r>
            <w:r>
              <w:rPr>
                <w:b/>
                <w:lang w:val="fr-FR"/>
              </w:rPr>
              <w:tab/>
            </w:r>
            <w:r w:rsidRPr="00604BB6">
              <w:rPr>
                <w:lang w:val="fr-FR"/>
              </w:rPr>
              <w:t xml:space="preserve">L’ATP ne contient pas de dispositions visant à attribuer, </w:t>
            </w:r>
            <w:r w:rsidRPr="00604BB6">
              <w:rPr>
                <w:bCs/>
                <w:lang w:val="fr-FR"/>
              </w:rPr>
              <w:t>au stade de l’agrément de nouveaux engins de transport, une classe aux engins réfrigérants, frigorifiques, calorifiques ou frigorifiques et calorifiques (ci-après les engins de transport spéciaux équipés de dispositifs thermiques).</w:t>
            </w:r>
          </w:p>
          <w:p w:rsidR="00604BB6" w:rsidRDefault="00604BB6" w:rsidP="00604BB6">
            <w:pPr>
              <w:pStyle w:val="SingleTxtG"/>
              <w:ind w:left="3119" w:hanging="2268"/>
            </w:pPr>
            <w:r w:rsidRPr="00604BB6">
              <w:rPr>
                <w:lang w:val="fr-FR"/>
              </w:rPr>
              <w:tab/>
              <w:t>Or, il est clairement nécessaire de connaître la classe d’un engin de transport spécial équipé d’un dispositif thermique pour choisir l’engin et les plages de températures appropriés en fonction des denrées périssables à transporter.</w:t>
            </w:r>
          </w:p>
        </w:tc>
      </w:tr>
      <w:tr w:rsidR="00604BB6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604BB6" w:rsidRPr="001A78EE" w:rsidRDefault="00604BB6" w:rsidP="00604BB6">
            <w:pPr>
              <w:pStyle w:val="SingleTxtG"/>
              <w:ind w:left="3119" w:hanging="2268"/>
              <w:rPr>
                <w:b/>
                <w:lang w:val="fr-FR"/>
              </w:rPr>
            </w:pPr>
            <w:r w:rsidRPr="00604BB6">
              <w:rPr>
                <w:b/>
                <w:lang w:val="fr-FR"/>
              </w:rPr>
              <w:t>Mesure à prendre</w:t>
            </w:r>
            <w:r>
              <w:rPr>
                <w:b/>
                <w:lang w:val="fr-FR"/>
              </w:rPr>
              <w:t> </w:t>
            </w:r>
            <w:r w:rsidRPr="00604BB6">
              <w:rPr>
                <w:lang w:val="fr-FR"/>
              </w:rPr>
              <w:t>:</w:t>
            </w:r>
            <w:r>
              <w:rPr>
                <w:b/>
                <w:lang w:val="fr-FR"/>
              </w:rPr>
              <w:tab/>
            </w:r>
            <w:r w:rsidRPr="00604BB6">
              <w:rPr>
                <w:lang w:val="fr-FR"/>
              </w:rPr>
              <w:t>Ajouter à la fin de l’</w:t>
            </w:r>
            <w:r w:rsidR="00BD0A72">
              <w:rPr>
                <w:lang w:val="fr-FR"/>
              </w:rPr>
              <w:t>annexe </w:t>
            </w:r>
            <w:r w:rsidRPr="00604BB6">
              <w:rPr>
                <w:lang w:val="fr-FR"/>
              </w:rPr>
              <w:t xml:space="preserve">1 de l’ATP un paragraphe relatif à l’avis concernant la classe du nouvel  </w:t>
            </w:r>
            <w:r w:rsidRPr="00604BB6">
              <w:rPr>
                <w:bCs/>
                <w:lang w:val="fr-FR"/>
              </w:rPr>
              <w:t>engin de transport spécial équipé d’un dispositif thermique.</w:t>
            </w:r>
          </w:p>
        </w:tc>
      </w:tr>
      <w:tr w:rsidR="00604BB6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604BB6" w:rsidRPr="001A78EE" w:rsidRDefault="00604BB6" w:rsidP="00604BB6">
            <w:pPr>
              <w:pStyle w:val="SingleTxtG"/>
              <w:ind w:left="3119" w:hanging="2268"/>
              <w:rPr>
                <w:b/>
                <w:lang w:val="fr-FR"/>
              </w:rPr>
            </w:pPr>
            <w:r w:rsidRPr="00604BB6">
              <w:rPr>
                <w:b/>
                <w:lang w:val="fr-FR"/>
              </w:rPr>
              <w:t>Documents connexes</w:t>
            </w:r>
            <w:r>
              <w:rPr>
                <w:b/>
                <w:lang w:val="fr-FR"/>
              </w:rPr>
              <w:t> </w:t>
            </w:r>
            <w:r w:rsidRPr="00604BB6">
              <w:rPr>
                <w:lang w:val="fr-FR"/>
              </w:rPr>
              <w:t>:</w:t>
            </w:r>
            <w:r>
              <w:rPr>
                <w:b/>
                <w:lang w:val="fr-FR"/>
              </w:rPr>
              <w:tab/>
            </w:r>
            <w:r w:rsidRPr="001A78EE">
              <w:rPr>
                <w:lang w:val="fr-FR"/>
              </w:rPr>
              <w:t>Aucun.</w:t>
            </w:r>
          </w:p>
        </w:tc>
      </w:tr>
      <w:tr w:rsidR="00604BB6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604BB6" w:rsidRDefault="00604BB6" w:rsidP="00216E0F"/>
        </w:tc>
      </w:tr>
    </w:tbl>
    <w:p w:rsidR="00604BB6" w:rsidRDefault="00604BB6" w:rsidP="00604BB6">
      <w:pPr>
        <w:pStyle w:val="SingleTxtG"/>
      </w:pPr>
    </w:p>
    <w:p w:rsidR="00604BB6" w:rsidRPr="00604BB6" w:rsidRDefault="00604BB6" w:rsidP="00604BB6">
      <w:pPr>
        <w:pStyle w:val="HChG"/>
        <w:rPr>
          <w:lang w:val="fr-FR"/>
        </w:rPr>
      </w:pPr>
      <w:r>
        <w:br w:type="page"/>
      </w:r>
      <w:r>
        <w:lastRenderedPageBreak/>
        <w:tab/>
      </w:r>
      <w:r>
        <w:tab/>
      </w:r>
      <w:r w:rsidRPr="00604BB6">
        <w:rPr>
          <w:lang w:val="fr-FR"/>
        </w:rPr>
        <w:t>Introduction</w:t>
      </w:r>
    </w:p>
    <w:p w:rsidR="00604BB6" w:rsidRPr="00604BB6" w:rsidRDefault="00604BB6" w:rsidP="00604BB6">
      <w:pPr>
        <w:pStyle w:val="SingleTxtG"/>
        <w:rPr>
          <w:lang w:val="fr-FR"/>
        </w:rPr>
      </w:pPr>
      <w:r w:rsidRPr="00604BB6">
        <w:rPr>
          <w:lang w:val="fr-FR"/>
        </w:rPr>
        <w:t>1.</w:t>
      </w:r>
      <w:r w:rsidRPr="00604BB6">
        <w:rPr>
          <w:lang w:val="fr-FR"/>
        </w:rPr>
        <w:tab/>
        <w:t>L’</w:t>
      </w:r>
      <w:r w:rsidR="00BD0A72">
        <w:rPr>
          <w:lang w:val="fr-FR"/>
        </w:rPr>
        <w:t>annexe </w:t>
      </w:r>
      <w:r w:rsidRPr="00604BB6">
        <w:rPr>
          <w:lang w:val="fr-FR"/>
        </w:rPr>
        <w:t xml:space="preserve">1 de l’ATP contient des définitions et des normes pour les engins de transport spéciaux utilisés aux fins du transport des denrées périssables. Des classes d’engins spéciaux sont également mentionnées. </w:t>
      </w:r>
    </w:p>
    <w:p w:rsidR="00604BB6" w:rsidRPr="00604BB6" w:rsidRDefault="00604BB6" w:rsidP="00604BB6">
      <w:pPr>
        <w:pStyle w:val="SingleTxtG"/>
        <w:rPr>
          <w:lang w:val="fr-FR"/>
        </w:rPr>
      </w:pPr>
      <w:r w:rsidRPr="00604BB6">
        <w:rPr>
          <w:lang w:val="fr-FR"/>
        </w:rPr>
        <w:t>2.</w:t>
      </w:r>
      <w:r w:rsidRPr="00604BB6">
        <w:rPr>
          <w:lang w:val="fr-FR"/>
        </w:rPr>
        <w:tab/>
        <w:t>Au</w:t>
      </w:r>
      <w:r w:rsidR="00BD0A72">
        <w:rPr>
          <w:lang w:val="fr-FR"/>
        </w:rPr>
        <w:t xml:space="preserve"> paragraphe </w:t>
      </w:r>
      <w:r w:rsidRPr="00604BB6">
        <w:rPr>
          <w:lang w:val="fr-FR"/>
        </w:rPr>
        <w:t>6 de l’</w:t>
      </w:r>
      <w:r w:rsidR="00BD0A72">
        <w:rPr>
          <w:lang w:val="fr-FR"/>
        </w:rPr>
        <w:t>appendice </w:t>
      </w:r>
      <w:r w:rsidRPr="00604BB6">
        <w:rPr>
          <w:lang w:val="fr-FR"/>
        </w:rPr>
        <w:t>1 de l’</w:t>
      </w:r>
      <w:r w:rsidR="00BD0A72">
        <w:rPr>
          <w:lang w:val="fr-FR"/>
        </w:rPr>
        <w:t>annexe </w:t>
      </w:r>
      <w:r w:rsidRPr="00604BB6">
        <w:rPr>
          <w:lang w:val="fr-FR"/>
        </w:rPr>
        <w:t>1, il est dit que la délivrance de l’attestation de conformité des engins neufs construits en série d’après un type déterminé s’effectue à l’issue de l’essai d’un engin de ce type.</w:t>
      </w:r>
    </w:p>
    <w:p w:rsidR="00604BB6" w:rsidRPr="00604BB6" w:rsidRDefault="00604BB6" w:rsidP="00604BB6">
      <w:pPr>
        <w:pStyle w:val="SingleTxtG"/>
        <w:rPr>
          <w:lang w:val="fr-FR"/>
        </w:rPr>
      </w:pPr>
      <w:r w:rsidRPr="00604BB6">
        <w:rPr>
          <w:lang w:val="fr-FR"/>
        </w:rPr>
        <w:t>3.</w:t>
      </w:r>
      <w:r w:rsidRPr="00604BB6">
        <w:rPr>
          <w:lang w:val="fr-FR"/>
        </w:rPr>
        <w:tab/>
        <w:t>Selon les résultats de l’essai sur la base des critères énoncés à l’</w:t>
      </w:r>
      <w:r w:rsidR="00BD0A72">
        <w:rPr>
          <w:lang w:val="fr-FR"/>
        </w:rPr>
        <w:t>alinéa c) i) du paragraphe </w:t>
      </w:r>
      <w:r w:rsidRPr="00604BB6">
        <w:rPr>
          <w:lang w:val="fr-FR"/>
        </w:rPr>
        <w:t>6, l’engin entre dans la catégorie IR (engins isothermes renforcés) ou IN (engins isothermes normaux).</w:t>
      </w:r>
    </w:p>
    <w:p w:rsidR="00604BB6" w:rsidRPr="00604BB6" w:rsidRDefault="00604BB6" w:rsidP="00604BB6">
      <w:pPr>
        <w:pStyle w:val="SingleTxtG"/>
        <w:rPr>
          <w:lang w:val="fr-FR"/>
        </w:rPr>
      </w:pPr>
      <w:r w:rsidRPr="00604BB6">
        <w:rPr>
          <w:lang w:val="fr-FR"/>
        </w:rPr>
        <w:t>4.</w:t>
      </w:r>
      <w:r w:rsidRPr="00604BB6">
        <w:rPr>
          <w:lang w:val="fr-FR"/>
        </w:rPr>
        <w:tab/>
        <w:t>Certaines Parties contractantes ont pour pratique de délivrer un document (compte rendu ou décision) pour les engins de transport complets. Cependant, l’ATP ne contient pas de dispositions relatives à l’attribution d’une classe aux engins frigorifiques.</w:t>
      </w:r>
    </w:p>
    <w:p w:rsidR="00604BB6" w:rsidRPr="00604BB6" w:rsidRDefault="00604BB6" w:rsidP="00604BB6">
      <w:pPr>
        <w:pStyle w:val="SingleTxtG"/>
        <w:rPr>
          <w:lang w:val="fr-FR"/>
        </w:rPr>
      </w:pPr>
      <w:r w:rsidRPr="00604BB6">
        <w:rPr>
          <w:lang w:val="fr-FR"/>
        </w:rPr>
        <w:t>5.</w:t>
      </w:r>
      <w:r w:rsidRPr="00604BB6">
        <w:rPr>
          <w:lang w:val="fr-FR"/>
        </w:rPr>
        <w:tab/>
        <w:t>La Fédération de Russie a ainsi établi un document officiel sur la question, qu’elle soumet au WP.11 pour examen à sa soixante-treizième session.</w:t>
      </w:r>
    </w:p>
    <w:p w:rsidR="00604BB6" w:rsidRPr="00604BB6" w:rsidRDefault="00604BB6" w:rsidP="00604BB6">
      <w:pPr>
        <w:pStyle w:val="HChG"/>
        <w:rPr>
          <w:lang w:val="fr-FR"/>
        </w:rPr>
      </w:pPr>
      <w:r>
        <w:rPr>
          <w:lang w:val="fr-FR"/>
        </w:rPr>
        <w:tab/>
      </w:r>
      <w:r w:rsidRPr="00604BB6">
        <w:rPr>
          <w:lang w:val="fr-FR"/>
        </w:rPr>
        <w:t>I.</w:t>
      </w:r>
      <w:r w:rsidRPr="00604BB6">
        <w:rPr>
          <w:lang w:val="fr-FR"/>
        </w:rPr>
        <w:tab/>
        <w:t>Proposition soumise au vote</w:t>
      </w:r>
    </w:p>
    <w:p w:rsidR="00604BB6" w:rsidRPr="00604BB6" w:rsidRDefault="00604BB6" w:rsidP="00BD0A72">
      <w:pPr>
        <w:pStyle w:val="SingleTxtG"/>
        <w:keepNext/>
        <w:keepLines/>
        <w:rPr>
          <w:lang w:val="fr-FR"/>
        </w:rPr>
      </w:pPr>
      <w:r w:rsidRPr="00604BB6">
        <w:rPr>
          <w:lang w:val="fr-FR"/>
        </w:rPr>
        <w:t>6.</w:t>
      </w:r>
      <w:r w:rsidRPr="00604BB6">
        <w:rPr>
          <w:lang w:val="fr-FR"/>
        </w:rPr>
        <w:tab/>
        <w:t>Ajouter à la fin de l’</w:t>
      </w:r>
      <w:r w:rsidR="00BD0A72">
        <w:rPr>
          <w:lang w:val="fr-FR"/>
        </w:rPr>
        <w:t>annexe </w:t>
      </w:r>
      <w:r w:rsidRPr="00604BB6">
        <w:rPr>
          <w:lang w:val="fr-FR"/>
        </w:rPr>
        <w:t>1 de l’ATP un paragraphe libellé comme suit</w:t>
      </w:r>
      <w:r w:rsidR="00BD0A72">
        <w:rPr>
          <w:lang w:val="fr-FR"/>
        </w:rPr>
        <w:t> :</w:t>
      </w:r>
    </w:p>
    <w:p w:rsidR="00604BB6" w:rsidRPr="00604BB6" w:rsidRDefault="00604BB6" w:rsidP="00604BB6">
      <w:pPr>
        <w:pStyle w:val="Bullet1G"/>
        <w:rPr>
          <w:u w:val="single"/>
          <w:lang w:val="fr-FR"/>
        </w:rPr>
      </w:pPr>
      <w:r w:rsidRPr="00604BB6">
        <w:rPr>
          <w:lang w:val="fr-FR"/>
        </w:rPr>
        <w:t>L’avis relatif à la classe de l’engin de transport réfrigérant, frigorifique, calorifique ou frigorifique et calorifique est rendu par la station d’essai ou l’expert désigné par les autorités compétentes de la Partie contractante.</w:t>
      </w:r>
    </w:p>
    <w:p w:rsidR="00604BB6" w:rsidRPr="00604BB6" w:rsidRDefault="00604BB6" w:rsidP="00604BB6">
      <w:pPr>
        <w:pStyle w:val="HChG"/>
        <w:rPr>
          <w:lang w:val="fr-FR"/>
        </w:rPr>
      </w:pPr>
      <w:r>
        <w:rPr>
          <w:lang w:val="fr-FR"/>
        </w:rPr>
        <w:tab/>
      </w:r>
      <w:r w:rsidRPr="00604BB6">
        <w:rPr>
          <w:lang w:val="fr-FR"/>
        </w:rPr>
        <w:t>II.</w:t>
      </w:r>
      <w:r w:rsidRPr="00604BB6">
        <w:rPr>
          <w:lang w:val="fr-FR"/>
        </w:rPr>
        <w:tab/>
        <w:t>Coûts</w:t>
      </w:r>
    </w:p>
    <w:p w:rsidR="00604BB6" w:rsidRPr="00604BB6" w:rsidRDefault="00604BB6" w:rsidP="00604BB6">
      <w:pPr>
        <w:pStyle w:val="SingleTxtG"/>
        <w:rPr>
          <w:lang w:val="fr-FR"/>
        </w:rPr>
      </w:pPr>
      <w:r w:rsidRPr="00604BB6">
        <w:rPr>
          <w:lang w:val="fr-FR"/>
        </w:rPr>
        <w:t>7.</w:t>
      </w:r>
      <w:r w:rsidRPr="00604BB6">
        <w:rPr>
          <w:lang w:val="fr-FR"/>
        </w:rPr>
        <w:tab/>
        <w:t>Il n’y a pas de coûts supplémentaires à prévoir.</w:t>
      </w:r>
    </w:p>
    <w:p w:rsidR="00604BB6" w:rsidRPr="00604BB6" w:rsidRDefault="00604BB6" w:rsidP="00604BB6">
      <w:pPr>
        <w:pStyle w:val="HChG"/>
        <w:rPr>
          <w:lang w:val="fr-FR"/>
        </w:rPr>
      </w:pPr>
      <w:r>
        <w:rPr>
          <w:lang w:val="fr-FR"/>
        </w:rPr>
        <w:tab/>
      </w:r>
      <w:r w:rsidRPr="00604BB6">
        <w:rPr>
          <w:lang w:val="fr-FR"/>
        </w:rPr>
        <w:t>III.</w:t>
      </w:r>
      <w:r w:rsidRPr="00604BB6">
        <w:rPr>
          <w:lang w:val="fr-FR"/>
        </w:rPr>
        <w:tab/>
        <w:t>Faisabilité</w:t>
      </w:r>
    </w:p>
    <w:p w:rsidR="00604BB6" w:rsidRPr="00604BB6" w:rsidRDefault="00604BB6" w:rsidP="00604BB6">
      <w:pPr>
        <w:pStyle w:val="SingleTxtG"/>
        <w:rPr>
          <w:u w:val="single"/>
          <w:lang w:val="fr-FR"/>
        </w:rPr>
      </w:pPr>
      <w:r w:rsidRPr="00604BB6">
        <w:rPr>
          <w:lang w:val="fr-FR"/>
        </w:rPr>
        <w:t>8.</w:t>
      </w:r>
      <w:r w:rsidRPr="00604BB6">
        <w:rPr>
          <w:lang w:val="fr-FR"/>
        </w:rPr>
        <w:tab/>
        <w:t>L’application de la proposition ci-dessus ne devrait poser aucun problème.</w:t>
      </w:r>
    </w:p>
    <w:p w:rsidR="00604BB6" w:rsidRPr="00604BB6" w:rsidRDefault="00604BB6" w:rsidP="00604BB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604BB6" w:rsidRPr="00604BB6" w:rsidSect="00604BB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CCC" w:rsidRDefault="00F41CCC" w:rsidP="00F95C08">
      <w:pPr>
        <w:spacing w:line="240" w:lineRule="auto"/>
      </w:pPr>
    </w:p>
  </w:endnote>
  <w:endnote w:type="continuationSeparator" w:id="0">
    <w:p w:rsidR="00F41CCC" w:rsidRPr="00AC3823" w:rsidRDefault="00F41CCC" w:rsidP="00AC3823">
      <w:pPr>
        <w:pStyle w:val="Footer"/>
      </w:pPr>
    </w:p>
  </w:endnote>
  <w:endnote w:type="continuationNotice" w:id="1">
    <w:p w:rsidR="00F41CCC" w:rsidRDefault="00F41CC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BB6" w:rsidRPr="00604BB6" w:rsidRDefault="00604BB6" w:rsidP="00604BB6">
    <w:pPr>
      <w:pStyle w:val="Footer"/>
      <w:tabs>
        <w:tab w:val="right" w:pos="9638"/>
      </w:tabs>
    </w:pPr>
    <w:r w:rsidRPr="00604BB6">
      <w:rPr>
        <w:b/>
        <w:sz w:val="18"/>
      </w:rPr>
      <w:fldChar w:fldCharType="begin"/>
    </w:r>
    <w:r w:rsidRPr="00604BB6">
      <w:rPr>
        <w:b/>
        <w:sz w:val="18"/>
      </w:rPr>
      <w:instrText xml:space="preserve"> PAGE  \* MERGEFORMAT </w:instrText>
    </w:r>
    <w:r w:rsidRPr="00604BB6">
      <w:rPr>
        <w:b/>
        <w:sz w:val="18"/>
      </w:rPr>
      <w:fldChar w:fldCharType="separate"/>
    </w:r>
    <w:r w:rsidR="00526BC3">
      <w:rPr>
        <w:b/>
        <w:noProof/>
        <w:sz w:val="18"/>
      </w:rPr>
      <w:t>2</w:t>
    </w:r>
    <w:r w:rsidRPr="00604BB6">
      <w:rPr>
        <w:b/>
        <w:sz w:val="18"/>
      </w:rPr>
      <w:fldChar w:fldCharType="end"/>
    </w:r>
    <w:r>
      <w:rPr>
        <w:b/>
        <w:sz w:val="18"/>
      </w:rPr>
      <w:tab/>
    </w:r>
    <w:r>
      <w:t>GE.17-12909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BB6" w:rsidRPr="00604BB6" w:rsidRDefault="00604BB6" w:rsidP="00604BB6">
    <w:pPr>
      <w:pStyle w:val="Footer"/>
      <w:tabs>
        <w:tab w:val="right" w:pos="9638"/>
      </w:tabs>
      <w:rPr>
        <w:b/>
        <w:sz w:val="18"/>
      </w:rPr>
    </w:pPr>
    <w:r>
      <w:t>GE.17-12909</w:t>
    </w:r>
    <w:r>
      <w:tab/>
    </w:r>
    <w:r w:rsidRPr="00604BB6">
      <w:rPr>
        <w:b/>
        <w:sz w:val="18"/>
      </w:rPr>
      <w:fldChar w:fldCharType="begin"/>
    </w:r>
    <w:r w:rsidRPr="00604BB6">
      <w:rPr>
        <w:b/>
        <w:sz w:val="18"/>
      </w:rPr>
      <w:instrText xml:space="preserve"> PAGE  \* MERGEFORMAT </w:instrText>
    </w:r>
    <w:r w:rsidRPr="00604BB6">
      <w:rPr>
        <w:b/>
        <w:sz w:val="18"/>
      </w:rPr>
      <w:fldChar w:fldCharType="separate"/>
    </w:r>
    <w:r w:rsidR="00BE62DE">
      <w:rPr>
        <w:b/>
        <w:noProof/>
        <w:sz w:val="18"/>
      </w:rPr>
      <w:t>2</w:t>
    </w:r>
    <w:r w:rsidRPr="0060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604BB6" w:rsidRDefault="00604BB6" w:rsidP="00604BB6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17-12909  (F)    280917    280917</w:t>
    </w:r>
    <w:r>
      <w:rPr>
        <w:sz w:val="20"/>
      </w:rPr>
      <w:br/>
    </w:r>
    <w:r w:rsidRPr="00604BB6">
      <w:rPr>
        <w:rFonts w:ascii="C39T30Lfz" w:hAnsi="C39T30Lfz"/>
        <w:sz w:val="56"/>
      </w:rPr>
      <w:t></w:t>
    </w:r>
    <w:r w:rsidRPr="00604BB6">
      <w:rPr>
        <w:rFonts w:ascii="C39T30Lfz" w:hAnsi="C39T30Lfz"/>
        <w:sz w:val="56"/>
      </w:rPr>
      <w:t></w:t>
    </w:r>
    <w:r w:rsidRPr="00604BB6">
      <w:rPr>
        <w:rFonts w:ascii="C39T30Lfz" w:hAnsi="C39T30Lfz"/>
        <w:sz w:val="56"/>
      </w:rPr>
      <w:t></w:t>
    </w:r>
    <w:r w:rsidRPr="00604BB6">
      <w:rPr>
        <w:rFonts w:ascii="C39T30Lfz" w:hAnsi="C39T30Lfz"/>
        <w:sz w:val="56"/>
      </w:rPr>
      <w:t></w:t>
    </w:r>
    <w:r w:rsidRPr="00604BB6">
      <w:rPr>
        <w:rFonts w:ascii="C39T30Lfz" w:hAnsi="C39T30Lfz"/>
        <w:sz w:val="56"/>
      </w:rPr>
      <w:t></w:t>
    </w:r>
    <w:r w:rsidRPr="00604BB6">
      <w:rPr>
        <w:rFonts w:ascii="C39T30Lfz" w:hAnsi="C39T30Lfz"/>
        <w:sz w:val="56"/>
      </w:rPr>
      <w:t></w:t>
    </w:r>
    <w:r w:rsidRPr="00604BB6">
      <w:rPr>
        <w:rFonts w:ascii="C39T30Lfz" w:hAnsi="C39T30Lfz"/>
        <w:sz w:val="56"/>
      </w:rPr>
      <w:t></w:t>
    </w:r>
    <w:r w:rsidRPr="00604BB6">
      <w:rPr>
        <w:rFonts w:ascii="C39T30Lfz" w:hAnsi="C39T30Lfz"/>
        <w:sz w:val="56"/>
      </w:rPr>
      <w:t></w:t>
    </w:r>
    <w:r w:rsidRPr="00604BB6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1/2017/2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7/2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CCC" w:rsidRPr="00AC3823" w:rsidRDefault="00F41CC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41CCC" w:rsidRPr="00AC3823" w:rsidRDefault="00F41CC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41CCC" w:rsidRPr="00AC3823" w:rsidRDefault="00F41CCC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BB6" w:rsidRPr="00604BB6" w:rsidRDefault="00526BC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ECE/TRANS/WP.11/2017/22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BB6" w:rsidRPr="00604BB6" w:rsidRDefault="00526BC3" w:rsidP="00604BB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ECE/TRANS/WP.11/2017/22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CC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E1728"/>
    <w:rsid w:val="001F525A"/>
    <w:rsid w:val="00203414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9444E"/>
    <w:rsid w:val="004E468C"/>
    <w:rsid w:val="00526BC3"/>
    <w:rsid w:val="005505B7"/>
    <w:rsid w:val="00573BE5"/>
    <w:rsid w:val="00586ED3"/>
    <w:rsid w:val="00596AA9"/>
    <w:rsid w:val="00604BB6"/>
    <w:rsid w:val="00693565"/>
    <w:rsid w:val="0071601D"/>
    <w:rsid w:val="007A62E6"/>
    <w:rsid w:val="007B49C6"/>
    <w:rsid w:val="007F20FA"/>
    <w:rsid w:val="0080684C"/>
    <w:rsid w:val="00871C75"/>
    <w:rsid w:val="008776DC"/>
    <w:rsid w:val="009446C0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BD0A72"/>
    <w:rsid w:val="00BE62DE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41CCC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7D83970-2589-4880-B6FC-36388035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604BB6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HChGR">
    <w:name w:val="_ H _Ch_GR"/>
    <w:basedOn w:val="Normal"/>
    <w:next w:val="Normal"/>
    <w:rsid w:val="00604BB6"/>
    <w:pPr>
      <w:keepNext/>
      <w:keepLines/>
      <w:tabs>
        <w:tab w:val="right" w:pos="851"/>
      </w:tabs>
      <w:kinsoku/>
      <w:overflowPunct/>
      <w:autoSpaceDE/>
      <w:autoSpaceDN/>
      <w:adjustRightInd/>
      <w:snapToGrid/>
      <w:spacing w:before="360" w:after="240" w:line="300" w:lineRule="exact"/>
      <w:ind w:left="1134" w:right="1134" w:hanging="1134"/>
    </w:pPr>
    <w:rPr>
      <w:rFonts w:eastAsia="Times New Roman"/>
      <w:b/>
      <w:spacing w:val="4"/>
      <w:w w:val="103"/>
      <w:kern w:val="14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ECE/TRANS/WP.11/2017/22</vt:lpstr>
      <vt:lpstr/>
    </vt:vector>
  </TitlesOfParts>
  <Company>DCM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ECE/TRANS/WP.11/2017/22</dc:title>
  <dc:subject/>
  <dc:creator>Edith BOURION</dc:creator>
  <cp:keywords/>
  <cp:lastModifiedBy>Marie-Claude Collet</cp:lastModifiedBy>
  <cp:revision>3</cp:revision>
  <cp:lastPrinted>2017-09-28T10:20:00Z</cp:lastPrinted>
  <dcterms:created xsi:type="dcterms:W3CDTF">2017-09-28T10:19:00Z</dcterms:created>
  <dcterms:modified xsi:type="dcterms:W3CDTF">2017-09-28T10:20:00Z</dcterms:modified>
</cp:coreProperties>
</file>