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rsidTr="00C97039">
        <w:trPr>
          <w:trHeight w:hRule="exact" w:val="851"/>
        </w:trPr>
        <w:tc>
          <w:tcPr>
            <w:tcW w:w="1276" w:type="dxa"/>
            <w:tcBorders>
              <w:bottom w:val="single" w:sz="4" w:space="0" w:color="auto"/>
            </w:tcBorders>
          </w:tcPr>
          <w:p w:rsidR="00F35BAF" w:rsidRPr="00DB58B5" w:rsidRDefault="00F35BAF" w:rsidP="00791486">
            <w:bookmarkStart w:id="0" w:name="_GoBack"/>
            <w:bookmarkEnd w:id="0"/>
          </w:p>
        </w:tc>
        <w:tc>
          <w:tcPr>
            <w:tcW w:w="2268" w:type="dxa"/>
            <w:tcBorders>
              <w:bottom w:val="single" w:sz="4" w:space="0" w:color="auto"/>
            </w:tcBorders>
            <w:vAlign w:val="bottom"/>
          </w:tcPr>
          <w:p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F35BAF" w:rsidRPr="00DB58B5" w:rsidRDefault="00791486" w:rsidP="00791486">
            <w:pPr>
              <w:jc w:val="right"/>
            </w:pPr>
            <w:r w:rsidRPr="00791486">
              <w:rPr>
                <w:sz w:val="40"/>
              </w:rPr>
              <w:t>ECE</w:t>
            </w:r>
            <w:r>
              <w:t>/TRANS/WP.11/2017/17</w:t>
            </w:r>
          </w:p>
        </w:tc>
      </w:tr>
      <w:tr w:rsidR="00F35BAF" w:rsidRPr="00DB58B5" w:rsidTr="00C97039">
        <w:trPr>
          <w:trHeight w:hRule="exact" w:val="2835"/>
        </w:trPr>
        <w:tc>
          <w:tcPr>
            <w:tcW w:w="1276" w:type="dxa"/>
            <w:tcBorders>
              <w:top w:val="single" w:sz="4" w:space="0" w:color="auto"/>
              <w:bottom w:val="single" w:sz="12" w:space="0" w:color="auto"/>
            </w:tcBorders>
          </w:tcPr>
          <w:p w:rsidR="00F35BAF" w:rsidRPr="00DB58B5" w:rsidRDefault="00F35BAF" w:rsidP="00C97039">
            <w:pPr>
              <w:spacing w:before="120"/>
              <w:jc w:val="center"/>
            </w:pPr>
            <w:r>
              <w:rPr>
                <w:noProof/>
                <w:lang w:val="en-GB" w:eastAsia="en-GB"/>
              </w:rPr>
              <w:drawing>
                <wp:inline distT="0" distB="0" distL="0" distR="0" wp14:anchorId="5DD7C114" wp14:editId="39170D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rsidR="00F35BAF" w:rsidRDefault="00791486" w:rsidP="00C97039">
            <w:pPr>
              <w:spacing w:before="240"/>
            </w:pPr>
            <w:r>
              <w:t>Distr. générale</w:t>
            </w:r>
          </w:p>
          <w:p w:rsidR="00791486" w:rsidRDefault="00791486" w:rsidP="00791486">
            <w:pPr>
              <w:spacing w:line="240" w:lineRule="exact"/>
            </w:pPr>
            <w:r>
              <w:t>28 juillet 2017</w:t>
            </w:r>
          </w:p>
          <w:p w:rsidR="00791486" w:rsidRDefault="00791486" w:rsidP="00791486">
            <w:pPr>
              <w:spacing w:line="240" w:lineRule="exact"/>
            </w:pPr>
            <w:r>
              <w:t>Français</w:t>
            </w:r>
          </w:p>
          <w:p w:rsidR="00791486" w:rsidRPr="00DB58B5" w:rsidRDefault="00791486" w:rsidP="00791486">
            <w:pPr>
              <w:spacing w:line="240" w:lineRule="exact"/>
            </w:pPr>
            <w:r>
              <w:t>Original : russe</w:t>
            </w:r>
          </w:p>
        </w:tc>
      </w:tr>
    </w:tbl>
    <w:p w:rsidR="007F20FA" w:rsidRPr="000312C0" w:rsidRDefault="007F20FA" w:rsidP="007F20FA">
      <w:pPr>
        <w:spacing w:before="120"/>
        <w:rPr>
          <w:b/>
          <w:sz w:val="28"/>
          <w:szCs w:val="28"/>
        </w:rPr>
      </w:pPr>
      <w:r w:rsidRPr="000312C0">
        <w:rPr>
          <w:b/>
          <w:sz w:val="28"/>
          <w:szCs w:val="28"/>
        </w:rPr>
        <w:t>Commission économique pour l</w:t>
      </w:r>
      <w:r w:rsidR="00F13177">
        <w:rPr>
          <w:b/>
          <w:sz w:val="28"/>
          <w:szCs w:val="28"/>
        </w:rPr>
        <w:t>’</w:t>
      </w:r>
      <w:r w:rsidRPr="000312C0">
        <w:rPr>
          <w:b/>
          <w:sz w:val="28"/>
          <w:szCs w:val="28"/>
        </w:rPr>
        <w:t>Europe</w:t>
      </w:r>
    </w:p>
    <w:p w:rsidR="007F20FA" w:rsidRDefault="007F20FA" w:rsidP="007F20FA">
      <w:pPr>
        <w:spacing w:before="120"/>
        <w:rPr>
          <w:sz w:val="28"/>
          <w:szCs w:val="28"/>
        </w:rPr>
      </w:pPr>
      <w:r w:rsidRPr="00685843">
        <w:rPr>
          <w:sz w:val="28"/>
          <w:szCs w:val="28"/>
        </w:rPr>
        <w:t>Comité des transports intérieurs</w:t>
      </w:r>
    </w:p>
    <w:p w:rsidR="003D0286" w:rsidRPr="00685843" w:rsidRDefault="003D0286" w:rsidP="003D0286">
      <w:pPr>
        <w:spacing w:before="120"/>
        <w:rPr>
          <w:b/>
          <w:sz w:val="24"/>
          <w:szCs w:val="24"/>
        </w:rPr>
      </w:pPr>
      <w:r>
        <w:rPr>
          <w:b/>
          <w:sz w:val="24"/>
          <w:szCs w:val="24"/>
        </w:rPr>
        <w:t>Groupe de travail du transport des denrées périssables</w:t>
      </w:r>
    </w:p>
    <w:p w:rsidR="003D0286" w:rsidRPr="00F30D47" w:rsidRDefault="003D0286" w:rsidP="003D0286">
      <w:pPr>
        <w:spacing w:before="120"/>
        <w:rPr>
          <w:b/>
        </w:rPr>
      </w:pPr>
      <w:r>
        <w:rPr>
          <w:b/>
        </w:rPr>
        <w:t>S</w:t>
      </w:r>
      <w:r w:rsidR="00E43C30">
        <w:rPr>
          <w:b/>
        </w:rPr>
        <w:t>oixan</w:t>
      </w:r>
      <w:r>
        <w:rPr>
          <w:b/>
        </w:rPr>
        <w:t xml:space="preserve">te-treizième </w:t>
      </w:r>
      <w:r w:rsidRPr="00F30D47">
        <w:rPr>
          <w:b/>
        </w:rPr>
        <w:t>session</w:t>
      </w:r>
    </w:p>
    <w:p w:rsidR="003D0286" w:rsidRDefault="003D0286" w:rsidP="003D0286">
      <w:r>
        <w:t>Genève, 10-13 octobre 2017</w:t>
      </w:r>
    </w:p>
    <w:p w:rsidR="003D0286" w:rsidRDefault="003D0286" w:rsidP="003D0286">
      <w:r>
        <w:t>Point 5 a) de l</w:t>
      </w:r>
      <w:r w:rsidR="00F13177">
        <w:t>’</w:t>
      </w:r>
      <w:r>
        <w:t>ordre du jour provisoire</w:t>
      </w:r>
    </w:p>
    <w:p w:rsidR="003D0286" w:rsidRPr="003D0286" w:rsidRDefault="003D0286" w:rsidP="003D0286">
      <w:pPr>
        <w:rPr>
          <w:rFonts w:eastAsiaTheme="minorEastAsia"/>
          <w:b/>
          <w:szCs w:val="22"/>
        </w:rPr>
      </w:pPr>
      <w:r w:rsidRPr="003D0286">
        <w:rPr>
          <w:b/>
          <w:lang w:val="fr-FR"/>
        </w:rPr>
        <w:t>Propositions d</w:t>
      </w:r>
      <w:r w:rsidR="00F13177">
        <w:rPr>
          <w:b/>
          <w:lang w:val="fr-FR"/>
        </w:rPr>
        <w:t>’</w:t>
      </w:r>
      <w:r w:rsidRPr="003D0286">
        <w:rPr>
          <w:b/>
          <w:lang w:val="fr-FR"/>
        </w:rPr>
        <w:t>amendements à l</w:t>
      </w:r>
      <w:r w:rsidR="00F13177">
        <w:rPr>
          <w:b/>
          <w:lang w:val="fr-FR"/>
        </w:rPr>
        <w:t>’</w:t>
      </w:r>
      <w:r w:rsidRPr="003D0286">
        <w:rPr>
          <w:b/>
          <w:lang w:val="fr-FR"/>
        </w:rPr>
        <w:t>ATP</w:t>
      </w:r>
      <w:r w:rsidR="002D100E">
        <w:rPr>
          <w:b/>
          <w:lang w:val="fr-FR"/>
        </w:rPr>
        <w:t> :</w:t>
      </w:r>
    </w:p>
    <w:p w:rsidR="003D0286" w:rsidRPr="003D0286" w:rsidRDefault="003D0286" w:rsidP="003D0286">
      <w:pPr>
        <w:rPr>
          <w:b/>
        </w:rPr>
      </w:pPr>
      <w:r w:rsidRPr="003D0286">
        <w:rPr>
          <w:b/>
          <w:lang w:val="fr-FR"/>
        </w:rPr>
        <w:t>Propositions en suspens</w:t>
      </w:r>
    </w:p>
    <w:p w:rsidR="003D0286" w:rsidRPr="002E2EAF" w:rsidRDefault="003D0286" w:rsidP="003D0286">
      <w:pPr>
        <w:pStyle w:val="HChG"/>
      </w:pPr>
      <w:bookmarkStart w:id="1" w:name="_Toc432670187"/>
      <w:r>
        <w:rPr>
          <w:lang w:val="fr-FR"/>
        </w:rPr>
        <w:tab/>
      </w:r>
      <w:r>
        <w:rPr>
          <w:lang w:val="fr-FR"/>
        </w:rPr>
        <w:tab/>
        <w:t>Modifications et ajouts aux définitions proposées</w:t>
      </w:r>
      <w:r>
        <w:rPr>
          <w:lang w:val="fr-FR"/>
        </w:rPr>
        <w:br/>
        <w:t>dans le document ECE/TRANS/WP.11/2015/17,</w:t>
      </w:r>
      <w:r>
        <w:rPr>
          <w:lang w:val="fr-FR"/>
        </w:rPr>
        <w:br/>
        <w:t>pour introduction dans l</w:t>
      </w:r>
      <w:r w:rsidR="00F13177">
        <w:rPr>
          <w:lang w:val="fr-FR"/>
        </w:rPr>
        <w:t>’</w:t>
      </w:r>
      <w:r>
        <w:rPr>
          <w:lang w:val="fr-FR"/>
        </w:rPr>
        <w:t>annexe 1 de l</w:t>
      </w:r>
      <w:r w:rsidR="00F13177">
        <w:rPr>
          <w:lang w:val="fr-FR"/>
        </w:rPr>
        <w:t>’</w:t>
      </w:r>
      <w:r>
        <w:rPr>
          <w:lang w:val="fr-FR"/>
        </w:rPr>
        <w:t>ATP</w:t>
      </w:r>
    </w:p>
    <w:bookmarkEnd w:id="1"/>
    <w:p w:rsidR="003D0286" w:rsidRDefault="003D0286" w:rsidP="003D0286">
      <w:pPr>
        <w:pStyle w:val="H1G"/>
        <w:rPr>
          <w:lang w:val="fr-FR"/>
        </w:rPr>
      </w:pPr>
      <w:r>
        <w:rPr>
          <w:lang w:val="fr-FR"/>
        </w:rPr>
        <w:tab/>
      </w:r>
      <w:r>
        <w:rPr>
          <w:lang w:val="fr-FR"/>
        </w:rPr>
        <w:tab/>
        <w:t>Communication de la Fédération de Russie</w:t>
      </w:r>
    </w:p>
    <w:tbl>
      <w:tblPr>
        <w:tblStyle w:val="TableGrid"/>
        <w:tblW w:w="0" w:type="auto"/>
        <w:jc w:val="center"/>
        <w:tblBorders>
          <w:insideH w:val="none" w:sz="0" w:space="0" w:color="auto"/>
        </w:tblBorders>
        <w:tblLook w:val="05E0" w:firstRow="1" w:lastRow="1" w:firstColumn="1" w:lastColumn="1" w:noHBand="0" w:noVBand="1"/>
      </w:tblPr>
      <w:tblGrid>
        <w:gridCol w:w="9628"/>
      </w:tblGrid>
      <w:tr w:rsidR="001F366E" w:rsidTr="00FC2BB8">
        <w:trPr>
          <w:jc w:val="center"/>
        </w:trPr>
        <w:tc>
          <w:tcPr>
            <w:tcW w:w="9637" w:type="dxa"/>
            <w:shd w:val="clear" w:color="auto" w:fill="auto"/>
          </w:tcPr>
          <w:p w:rsidR="001F366E" w:rsidRPr="000001E7" w:rsidRDefault="001F366E" w:rsidP="00FC2BB8">
            <w:pPr>
              <w:spacing w:before="240" w:after="120"/>
              <w:ind w:left="255"/>
              <w:rPr>
                <w:i/>
                <w:sz w:val="24"/>
              </w:rPr>
            </w:pPr>
            <w:r w:rsidRPr="000001E7">
              <w:rPr>
                <w:i/>
                <w:sz w:val="24"/>
              </w:rPr>
              <w:t>Résumé</w:t>
            </w:r>
          </w:p>
        </w:tc>
      </w:tr>
      <w:tr w:rsidR="001F366E" w:rsidTr="00FC2BB8">
        <w:trPr>
          <w:jc w:val="center"/>
        </w:trPr>
        <w:tc>
          <w:tcPr>
            <w:tcW w:w="9637" w:type="dxa"/>
            <w:shd w:val="clear" w:color="auto" w:fill="auto"/>
          </w:tcPr>
          <w:p w:rsidR="001F366E" w:rsidRDefault="001F366E" w:rsidP="005400B1">
            <w:pPr>
              <w:spacing w:after="120"/>
              <w:ind w:left="2552" w:hanging="2268"/>
            </w:pPr>
            <w:r>
              <w:rPr>
                <w:b/>
              </w:rPr>
              <w:t>Résumé analytique </w:t>
            </w:r>
            <w:r w:rsidRPr="001F366E">
              <w:t>:</w:t>
            </w:r>
            <w:r>
              <w:rPr>
                <w:b/>
              </w:rPr>
              <w:tab/>
            </w:r>
            <w:r>
              <w:rPr>
                <w:lang w:val="fr-FR"/>
              </w:rPr>
              <w:t>Les seuls termes inclus dans l</w:t>
            </w:r>
            <w:r w:rsidR="00F13177">
              <w:rPr>
                <w:lang w:val="fr-FR"/>
              </w:rPr>
              <w:t>’</w:t>
            </w:r>
            <w:r>
              <w:rPr>
                <w:lang w:val="fr-FR"/>
              </w:rPr>
              <w:t>annexe 1 de l</w:t>
            </w:r>
            <w:r w:rsidR="00F13177">
              <w:rPr>
                <w:lang w:val="fr-FR"/>
              </w:rPr>
              <w:t>’</w:t>
            </w:r>
            <w:r>
              <w:rPr>
                <w:lang w:val="fr-FR"/>
              </w:rPr>
              <w:t>ATP sont les su</w:t>
            </w:r>
            <w:r w:rsidR="005400B1">
              <w:rPr>
                <w:lang w:val="fr-FR"/>
              </w:rPr>
              <w:t>ivants : « engin isotherme </w:t>
            </w:r>
            <w:r w:rsidR="008F5D35">
              <w:rPr>
                <w:lang w:val="fr-FR"/>
              </w:rPr>
              <w:t>», « </w:t>
            </w:r>
            <w:r>
              <w:rPr>
                <w:lang w:val="fr-FR"/>
              </w:rPr>
              <w:t>engin réfrigérant », « engin frigorifiqu</w:t>
            </w:r>
            <w:r w:rsidR="00AC361E">
              <w:rPr>
                <w:lang w:val="fr-FR"/>
              </w:rPr>
              <w:t>e », « engin calorifique » et « </w:t>
            </w:r>
            <w:r>
              <w:rPr>
                <w:lang w:val="fr-FR"/>
              </w:rPr>
              <w:t>engin frigorifique et calorifique ».</w:t>
            </w:r>
          </w:p>
        </w:tc>
      </w:tr>
      <w:tr w:rsidR="00F42259" w:rsidTr="00FC2BB8">
        <w:trPr>
          <w:jc w:val="center"/>
        </w:trPr>
        <w:tc>
          <w:tcPr>
            <w:tcW w:w="9637" w:type="dxa"/>
            <w:shd w:val="clear" w:color="auto" w:fill="auto"/>
          </w:tcPr>
          <w:p w:rsidR="00F42259" w:rsidRPr="00F42259" w:rsidRDefault="00F42259" w:rsidP="005400B1">
            <w:pPr>
              <w:spacing w:after="120"/>
              <w:ind w:left="2552" w:hanging="2268"/>
              <w:rPr>
                <w:lang w:val="fr-FR"/>
              </w:rPr>
            </w:pPr>
            <w:r>
              <w:rPr>
                <w:lang w:val="fr-FR"/>
              </w:rPr>
              <w:tab/>
              <w:t>On trouve également dans l</w:t>
            </w:r>
            <w:r w:rsidR="00F13177">
              <w:rPr>
                <w:lang w:val="fr-FR"/>
              </w:rPr>
              <w:t>’</w:t>
            </w:r>
            <w:r>
              <w:rPr>
                <w:lang w:val="fr-FR"/>
              </w:rPr>
              <w:t>annexe 1 de l</w:t>
            </w:r>
            <w:r w:rsidR="00F13177">
              <w:rPr>
                <w:lang w:val="fr-FR"/>
              </w:rPr>
              <w:t>’</w:t>
            </w:r>
            <w:r>
              <w:rPr>
                <w:lang w:val="fr-FR"/>
              </w:rPr>
              <w:t>Accord d</w:t>
            </w:r>
            <w:r w:rsidR="00F13177">
              <w:rPr>
                <w:lang w:val="fr-FR"/>
              </w:rPr>
              <w:t>’</w:t>
            </w:r>
            <w:r>
              <w:rPr>
                <w:lang w:val="fr-FR"/>
              </w:rPr>
              <w:t>autres termes qu</w:t>
            </w:r>
            <w:r w:rsidR="00F13177">
              <w:rPr>
                <w:lang w:val="fr-FR"/>
              </w:rPr>
              <w:t>’</w:t>
            </w:r>
            <w:r>
              <w:rPr>
                <w:lang w:val="fr-FR"/>
              </w:rPr>
              <w:t>il est nécessaire de définir afin d</w:t>
            </w:r>
            <w:r w:rsidR="00F13177">
              <w:rPr>
                <w:lang w:val="fr-FR"/>
              </w:rPr>
              <w:t>’</w:t>
            </w:r>
            <w:r>
              <w:rPr>
                <w:lang w:val="fr-FR"/>
              </w:rPr>
              <w:t>éviter diverses interprétations desdits termes et d</w:t>
            </w:r>
            <w:r w:rsidR="00F13177">
              <w:rPr>
                <w:lang w:val="fr-FR"/>
              </w:rPr>
              <w:t>’</w:t>
            </w:r>
            <w:r>
              <w:rPr>
                <w:lang w:val="fr-FR"/>
              </w:rPr>
              <w:t>améliorer la compréhension par les Parties contractantes du texte de l</w:t>
            </w:r>
            <w:r w:rsidR="00F13177">
              <w:rPr>
                <w:lang w:val="fr-FR"/>
              </w:rPr>
              <w:t>’</w:t>
            </w:r>
            <w:r>
              <w:rPr>
                <w:lang w:val="fr-FR"/>
              </w:rPr>
              <w:t xml:space="preserve">Accord. </w:t>
            </w:r>
          </w:p>
        </w:tc>
      </w:tr>
      <w:tr w:rsidR="00F42259" w:rsidTr="00FC2BB8">
        <w:trPr>
          <w:jc w:val="center"/>
        </w:trPr>
        <w:tc>
          <w:tcPr>
            <w:tcW w:w="9637" w:type="dxa"/>
            <w:shd w:val="clear" w:color="auto" w:fill="auto"/>
          </w:tcPr>
          <w:p w:rsidR="00F42259" w:rsidRDefault="00F42259" w:rsidP="005400B1">
            <w:pPr>
              <w:spacing w:after="120"/>
              <w:ind w:left="2552" w:hanging="2268"/>
              <w:rPr>
                <w:lang w:val="fr-FR"/>
              </w:rPr>
            </w:pPr>
            <w:r>
              <w:rPr>
                <w:lang w:val="fr-FR"/>
              </w:rPr>
              <w:tab/>
              <w:t>Dans la partie B du document ECE/TRANS/WP.11/2015/17, les Pays-Bas ont proposé l</w:t>
            </w:r>
            <w:r w:rsidR="00F13177">
              <w:rPr>
                <w:lang w:val="fr-FR"/>
              </w:rPr>
              <w:t>’</w:t>
            </w:r>
            <w:r>
              <w:rPr>
                <w:lang w:val="fr-FR"/>
              </w:rPr>
              <w:t>introduction dans l</w:t>
            </w:r>
            <w:r w:rsidR="00F13177">
              <w:rPr>
                <w:lang w:val="fr-FR"/>
              </w:rPr>
              <w:t>’</w:t>
            </w:r>
            <w:r>
              <w:rPr>
                <w:lang w:val="fr-FR"/>
              </w:rPr>
              <w:t>annexe 1 de l</w:t>
            </w:r>
            <w:r w:rsidR="00F13177">
              <w:rPr>
                <w:lang w:val="fr-FR"/>
              </w:rPr>
              <w:t>’</w:t>
            </w:r>
            <w:r>
              <w:rPr>
                <w:lang w:val="fr-FR"/>
              </w:rPr>
              <w:t>ATP de définitions pour les termes suivants : « engin spécial », « engin », « conteneur », « petit conteneur », « dispositif thermique », « dispositif thermique amovible », « dispositif thermique non indépendant », « engin à températures et compartiments multiples », « partition » et « compartiment » (cette proposition est justifiée dans le document informel INF.13).</w:t>
            </w:r>
          </w:p>
        </w:tc>
      </w:tr>
      <w:tr w:rsidR="001F366E" w:rsidTr="00FC2BB8">
        <w:trPr>
          <w:jc w:val="center"/>
        </w:trPr>
        <w:tc>
          <w:tcPr>
            <w:tcW w:w="9637" w:type="dxa"/>
            <w:shd w:val="clear" w:color="auto" w:fill="auto"/>
          </w:tcPr>
          <w:p w:rsidR="001F366E" w:rsidRDefault="001F366E" w:rsidP="005400B1">
            <w:pPr>
              <w:spacing w:after="120"/>
              <w:ind w:left="2552" w:hanging="2268"/>
            </w:pPr>
            <w:r>
              <w:rPr>
                <w:b/>
              </w:rPr>
              <w:t>Mesure à prendre </w:t>
            </w:r>
            <w:r w:rsidRPr="001F366E">
              <w:t>:</w:t>
            </w:r>
            <w:r>
              <w:rPr>
                <w:b/>
              </w:rPr>
              <w:tab/>
            </w:r>
            <w:r w:rsidR="00F42259">
              <w:rPr>
                <w:lang w:val="fr-FR"/>
              </w:rPr>
              <w:t>La Fédération de Russie présente ci-après des modifications et des ajouts par rapport aux définitions proposées par les Pays-Bas dans le document ECE/TRANS/WP.11/2015/17.</w:t>
            </w:r>
          </w:p>
        </w:tc>
      </w:tr>
      <w:tr w:rsidR="001F366E" w:rsidTr="00FC2BB8">
        <w:trPr>
          <w:jc w:val="center"/>
        </w:trPr>
        <w:tc>
          <w:tcPr>
            <w:tcW w:w="9637" w:type="dxa"/>
            <w:shd w:val="clear" w:color="auto" w:fill="auto"/>
          </w:tcPr>
          <w:p w:rsidR="001F366E" w:rsidRPr="00640B28" w:rsidRDefault="001F366E" w:rsidP="005400B1">
            <w:pPr>
              <w:spacing w:after="120"/>
              <w:ind w:left="2552" w:hanging="2268"/>
            </w:pPr>
            <w:r w:rsidRPr="002A566C">
              <w:rPr>
                <w:b/>
              </w:rPr>
              <w:t>Documents de référence</w:t>
            </w:r>
            <w:r>
              <w:rPr>
                <w:b/>
              </w:rPr>
              <w:t> </w:t>
            </w:r>
            <w:r w:rsidRPr="001F366E">
              <w:t>:</w:t>
            </w:r>
            <w:r>
              <w:rPr>
                <w:b/>
              </w:rPr>
              <w:tab/>
            </w:r>
            <w:r w:rsidR="00F42259" w:rsidRPr="00F42259">
              <w:t>ECE/TRANS/WP.11/2015/17</w:t>
            </w:r>
            <w:r w:rsidR="00F13177">
              <w:t xml:space="preserve"> ;</w:t>
            </w:r>
          </w:p>
        </w:tc>
      </w:tr>
      <w:tr w:rsidR="00640B28" w:rsidTr="004D57FE">
        <w:trPr>
          <w:jc w:val="center"/>
        </w:trPr>
        <w:tc>
          <w:tcPr>
            <w:tcW w:w="9637" w:type="dxa"/>
            <w:tcBorders>
              <w:bottom w:val="nil"/>
            </w:tcBorders>
            <w:shd w:val="clear" w:color="auto" w:fill="auto"/>
          </w:tcPr>
          <w:p w:rsidR="00640B28" w:rsidRDefault="00640B28" w:rsidP="005400B1">
            <w:pPr>
              <w:spacing w:after="120"/>
              <w:ind w:left="2552" w:hanging="2268"/>
              <w:rPr>
                <w:lang w:val="fr-FR"/>
              </w:rPr>
            </w:pPr>
            <w:r w:rsidRPr="00640B28">
              <w:tab/>
            </w:r>
            <w:r w:rsidRPr="00853547">
              <w:rPr>
                <w:lang w:val="en-US"/>
              </w:rPr>
              <w:t>ECE/TRANS/WP.11/2007/18</w:t>
            </w:r>
            <w:r w:rsidR="00F13177">
              <w:rPr>
                <w:lang w:val="en-US"/>
              </w:rPr>
              <w:t xml:space="preserve"> ;</w:t>
            </w:r>
          </w:p>
        </w:tc>
      </w:tr>
      <w:tr w:rsidR="00F42259" w:rsidTr="004D57FE">
        <w:trPr>
          <w:jc w:val="center"/>
        </w:trPr>
        <w:tc>
          <w:tcPr>
            <w:tcW w:w="9637" w:type="dxa"/>
            <w:tcBorders>
              <w:top w:val="nil"/>
              <w:left w:val="single" w:sz="4" w:space="0" w:color="auto"/>
              <w:bottom w:val="nil"/>
              <w:right w:val="single" w:sz="4" w:space="0" w:color="auto"/>
            </w:tcBorders>
            <w:shd w:val="clear" w:color="auto" w:fill="auto"/>
          </w:tcPr>
          <w:p w:rsidR="00F42259" w:rsidRPr="00F42259" w:rsidRDefault="00F42259" w:rsidP="005400B1">
            <w:pPr>
              <w:spacing w:after="120"/>
              <w:ind w:left="2552" w:hanging="2268"/>
            </w:pPr>
            <w:r>
              <w:rPr>
                <w:lang w:val="fr-FR"/>
              </w:rPr>
              <w:tab/>
              <w:t>ISO 830-99 « Conteneurs pour le transport de marchandise</w:t>
            </w:r>
            <w:r w:rsidR="00D12348">
              <w:rPr>
                <w:lang w:val="fr-FR"/>
              </w:rPr>
              <w:t>s. Теrmes et définitions » (ISO </w:t>
            </w:r>
            <w:r>
              <w:rPr>
                <w:lang w:val="fr-FR"/>
              </w:rPr>
              <w:t>830-99 « Freight containers. Vocabulary</w:t>
            </w:r>
            <w:r w:rsidR="00AC7E3F">
              <w:rPr>
                <w:lang w:val="fr-FR"/>
              </w:rPr>
              <w:t> »</w:t>
            </w:r>
            <w:r>
              <w:rPr>
                <w:lang w:val="fr-FR"/>
              </w:rPr>
              <w:t>)</w:t>
            </w:r>
            <w:r w:rsidR="00F13177">
              <w:rPr>
                <w:lang w:val="fr-FR"/>
              </w:rPr>
              <w:t xml:space="preserve"> ;</w:t>
            </w:r>
          </w:p>
        </w:tc>
      </w:tr>
      <w:tr w:rsidR="00F42259" w:rsidTr="005400B1">
        <w:trPr>
          <w:jc w:val="center"/>
        </w:trPr>
        <w:tc>
          <w:tcPr>
            <w:tcW w:w="9637" w:type="dxa"/>
            <w:tcBorders>
              <w:top w:val="nil"/>
              <w:bottom w:val="nil"/>
            </w:tcBorders>
            <w:shd w:val="clear" w:color="auto" w:fill="auto"/>
          </w:tcPr>
          <w:p w:rsidR="00F42259" w:rsidRPr="00F42259" w:rsidRDefault="00F42259" w:rsidP="005400B1">
            <w:pPr>
              <w:keepNext/>
              <w:spacing w:after="120"/>
              <w:ind w:left="2552" w:hanging="2268"/>
            </w:pPr>
            <w:r>
              <w:rPr>
                <w:lang w:val="fr-FR"/>
              </w:rPr>
              <w:lastRenderedPageBreak/>
              <w:tab/>
            </w:r>
            <w:r w:rsidR="00CB2910">
              <w:rPr>
                <w:lang w:val="fr-FR"/>
              </w:rPr>
              <w:t>ISO 668:1995 « </w:t>
            </w:r>
            <w:r>
              <w:rPr>
                <w:lang w:val="fr-FR"/>
              </w:rPr>
              <w:t>Conteneurs de la série 1. Classification, dimensions et masses b</w:t>
            </w:r>
            <w:r w:rsidR="008F5D35">
              <w:rPr>
                <w:lang w:val="fr-FR"/>
              </w:rPr>
              <w:t xml:space="preserve">rutes maximales» (ISO 668:1995 </w:t>
            </w:r>
            <w:r w:rsidR="00330262">
              <w:rPr>
                <w:lang w:val="fr-FR"/>
              </w:rPr>
              <w:t>Series 1 freight containers −</w:t>
            </w:r>
            <w:r>
              <w:rPr>
                <w:lang w:val="fr-FR"/>
              </w:rPr>
              <w:t xml:space="preserve"> Classification, dimensions and ratings</w:t>
            </w:r>
            <w:r w:rsidR="008F5D35">
              <w:rPr>
                <w:lang w:val="fr-FR"/>
              </w:rPr>
              <w:t> »</w:t>
            </w:r>
            <w:r>
              <w:rPr>
                <w:lang w:val="fr-FR"/>
              </w:rPr>
              <w:t>)</w:t>
            </w:r>
            <w:r w:rsidR="00F13177">
              <w:rPr>
                <w:lang w:val="fr-FR"/>
              </w:rPr>
              <w:t xml:space="preserve"> ;</w:t>
            </w:r>
          </w:p>
        </w:tc>
      </w:tr>
      <w:tr w:rsidR="00F42259" w:rsidTr="005400B1">
        <w:trPr>
          <w:jc w:val="center"/>
        </w:trPr>
        <w:tc>
          <w:tcPr>
            <w:tcW w:w="9637" w:type="dxa"/>
            <w:tcBorders>
              <w:top w:val="nil"/>
              <w:left w:val="single" w:sz="4" w:space="0" w:color="auto"/>
              <w:bottom w:val="nil"/>
              <w:right w:val="single" w:sz="4" w:space="0" w:color="auto"/>
            </w:tcBorders>
            <w:shd w:val="clear" w:color="auto" w:fill="auto"/>
          </w:tcPr>
          <w:p w:rsidR="00F42259" w:rsidRPr="00F42259" w:rsidRDefault="00F42259" w:rsidP="005400B1">
            <w:pPr>
              <w:spacing w:after="120"/>
              <w:ind w:left="2552" w:hanging="2268"/>
            </w:pPr>
            <w:r>
              <w:rPr>
                <w:lang w:val="fr-FR"/>
              </w:rPr>
              <w:tab/>
            </w:r>
            <w:r w:rsidR="00330262">
              <w:rPr>
                <w:lang w:val="fr-FR"/>
              </w:rPr>
              <w:t>ISO 1496-2-</w:t>
            </w:r>
            <w:r w:rsidR="008F5D35">
              <w:rPr>
                <w:lang w:val="fr-FR"/>
              </w:rPr>
              <w:t>2008 « </w:t>
            </w:r>
            <w:r>
              <w:rPr>
                <w:lang w:val="fr-FR"/>
              </w:rPr>
              <w:t>Conteneurs de la série 1. Spécifications et essais. Partie 2. Conteneurs à caractéristiques thermiques</w:t>
            </w:r>
            <w:r w:rsidR="008F5D35">
              <w:rPr>
                <w:lang w:val="fr-FR"/>
              </w:rPr>
              <w:t> »</w:t>
            </w:r>
            <w:r w:rsidR="00AC7E3F">
              <w:rPr>
                <w:lang w:val="fr-FR"/>
              </w:rPr>
              <w:t xml:space="preserve"> (ISO 1496-2-</w:t>
            </w:r>
            <w:r w:rsidR="008F5D35">
              <w:rPr>
                <w:lang w:val="fr-FR"/>
              </w:rPr>
              <w:t xml:space="preserve">2008 </w:t>
            </w:r>
            <w:r w:rsidR="002555F3">
              <w:rPr>
                <w:lang w:val="fr-FR"/>
              </w:rPr>
              <w:t>« </w:t>
            </w:r>
            <w:r>
              <w:rPr>
                <w:lang w:val="fr-FR"/>
              </w:rPr>
              <w:t>Series 1 freight containers. Specification and testing. Part 2. Thermal containers ») ;</w:t>
            </w:r>
          </w:p>
        </w:tc>
      </w:tr>
      <w:tr w:rsidR="00F42259" w:rsidTr="00C712F2">
        <w:trPr>
          <w:jc w:val="center"/>
        </w:trPr>
        <w:tc>
          <w:tcPr>
            <w:tcW w:w="9637" w:type="dxa"/>
            <w:tcBorders>
              <w:top w:val="nil"/>
            </w:tcBorders>
            <w:shd w:val="clear" w:color="auto" w:fill="auto"/>
          </w:tcPr>
          <w:p w:rsidR="00F42259" w:rsidRPr="00F42259" w:rsidRDefault="00F42259" w:rsidP="005400B1">
            <w:pPr>
              <w:spacing w:after="120"/>
              <w:ind w:left="2552" w:hanging="2268"/>
            </w:pPr>
            <w:r>
              <w:rPr>
                <w:lang w:val="fr-FR"/>
              </w:rPr>
              <w:tab/>
              <w:t>GOSТ ЕN 1070-2003 « Sécurité des machines. Теrmes et définitions » (« Safety of m</w:t>
            </w:r>
            <w:r w:rsidR="00CB2910">
              <w:rPr>
                <w:lang w:val="fr-FR"/>
              </w:rPr>
              <w:t>achinery. Terms and definitions »</w:t>
            </w:r>
            <w:r>
              <w:rPr>
                <w:lang w:val="fr-FR"/>
              </w:rPr>
              <w:t>) (document ide</w:t>
            </w:r>
            <w:r w:rsidR="00FC1245">
              <w:rPr>
                <w:lang w:val="fr-FR"/>
              </w:rPr>
              <w:t>ntique à la norme européenne ЕN </w:t>
            </w:r>
            <w:r>
              <w:rPr>
                <w:lang w:val="fr-FR"/>
              </w:rPr>
              <w:t>1070</w:t>
            </w:r>
            <w:r>
              <w:rPr>
                <w:lang w:val="fr-FR"/>
              </w:rPr>
              <w:noBreakHyphen/>
              <w:t>98 « Sécurité des machines − Теrminologie » (« Safety of machinery. Terms and definitions »)</w:t>
            </w:r>
            <w:r w:rsidR="00F13177">
              <w:rPr>
                <w:lang w:val="fr-FR"/>
              </w:rPr>
              <w:t xml:space="preserve"> ;</w:t>
            </w:r>
          </w:p>
        </w:tc>
      </w:tr>
      <w:tr w:rsidR="00F42259" w:rsidTr="00FC2BB8">
        <w:trPr>
          <w:jc w:val="center"/>
        </w:trPr>
        <w:tc>
          <w:tcPr>
            <w:tcW w:w="9637" w:type="dxa"/>
            <w:shd w:val="clear" w:color="auto" w:fill="auto"/>
          </w:tcPr>
          <w:p w:rsidR="00F42259" w:rsidRPr="00F42259" w:rsidRDefault="00F42259" w:rsidP="005400B1">
            <w:pPr>
              <w:spacing w:after="120"/>
              <w:ind w:left="2552" w:hanging="2268"/>
            </w:pPr>
            <w:r>
              <w:rPr>
                <w:lang w:val="fr-FR"/>
              </w:rPr>
              <w:tab/>
              <w:t>Convention internationale pour la s</w:t>
            </w:r>
            <w:r w:rsidR="009074F0">
              <w:rPr>
                <w:lang w:val="fr-FR"/>
              </w:rPr>
              <w:t>écurité des conteneurs (OMI, 197</w:t>
            </w:r>
            <w:r>
              <w:rPr>
                <w:lang w:val="fr-FR"/>
              </w:rPr>
              <w:t xml:space="preserve">2) (International Convention </w:t>
            </w:r>
            <w:r w:rsidR="009074F0">
              <w:rPr>
                <w:lang w:val="fr-FR"/>
              </w:rPr>
              <w:t>for Safe Containers (UN/IMO, 197</w:t>
            </w:r>
            <w:r>
              <w:rPr>
                <w:lang w:val="fr-FR"/>
              </w:rPr>
              <w:t>2) ;</w:t>
            </w:r>
          </w:p>
        </w:tc>
      </w:tr>
      <w:tr w:rsidR="00F42259" w:rsidTr="00FC2BB8">
        <w:trPr>
          <w:jc w:val="center"/>
        </w:trPr>
        <w:tc>
          <w:tcPr>
            <w:tcW w:w="9637" w:type="dxa"/>
            <w:shd w:val="clear" w:color="auto" w:fill="auto"/>
          </w:tcPr>
          <w:p w:rsidR="00F42259" w:rsidRPr="00F42259" w:rsidRDefault="00F42259" w:rsidP="005400B1">
            <w:pPr>
              <w:spacing w:after="120"/>
              <w:ind w:left="2552" w:hanging="2268"/>
            </w:pPr>
            <w:r>
              <w:rPr>
                <w:lang w:val="fr-FR"/>
              </w:rPr>
              <w:tab/>
              <w:t>Convention douanière relative aux conteneurs (1972), telle que modifiée en 2008 ;</w:t>
            </w:r>
          </w:p>
        </w:tc>
      </w:tr>
      <w:tr w:rsidR="00F42259" w:rsidTr="00FC2BB8">
        <w:trPr>
          <w:jc w:val="center"/>
        </w:trPr>
        <w:tc>
          <w:tcPr>
            <w:tcW w:w="9637" w:type="dxa"/>
            <w:shd w:val="clear" w:color="auto" w:fill="auto"/>
          </w:tcPr>
          <w:p w:rsidR="00F42259" w:rsidRPr="00F42259" w:rsidRDefault="00F42259" w:rsidP="005400B1">
            <w:pPr>
              <w:spacing w:after="120"/>
              <w:ind w:left="2552" w:hanging="2268"/>
              <w:rPr>
                <w:bCs/>
                <w:lang w:val="fr-FR"/>
              </w:rPr>
            </w:pPr>
            <w:r>
              <w:rPr>
                <w:lang w:val="fr-FR"/>
              </w:rPr>
              <w:tab/>
              <w:t>Accord européen relatif au transport international des marchandises dangereuses par route (ADR), Comité des transports intérieurs de la Commission économique pour l</w:t>
            </w:r>
            <w:r w:rsidR="00F13177">
              <w:rPr>
                <w:lang w:val="fr-FR"/>
              </w:rPr>
              <w:t>’</w:t>
            </w:r>
            <w:r>
              <w:rPr>
                <w:lang w:val="fr-FR"/>
              </w:rPr>
              <w:t>Europe de l</w:t>
            </w:r>
            <w:r w:rsidR="00F13177">
              <w:rPr>
                <w:lang w:val="fr-FR"/>
              </w:rPr>
              <w:t>’</w:t>
            </w:r>
            <w:r>
              <w:rPr>
                <w:lang w:val="fr-FR"/>
              </w:rPr>
              <w:t>ONU, annexe А, partie 1 (texte en vigueur à compter du 1</w:t>
            </w:r>
            <w:r w:rsidRPr="00F42259">
              <w:rPr>
                <w:vertAlign w:val="superscript"/>
                <w:lang w:val="fr-FR"/>
              </w:rPr>
              <w:t>er</w:t>
            </w:r>
            <w:r>
              <w:rPr>
                <w:lang w:val="fr-FR"/>
              </w:rPr>
              <w:t xml:space="preserve"> janvier 2011)</w:t>
            </w:r>
            <w:r w:rsidR="005400B1">
              <w:rPr>
                <w:lang w:val="fr-FR"/>
              </w:rPr>
              <w:t> </w:t>
            </w:r>
            <w:r w:rsidR="00F13177">
              <w:rPr>
                <w:lang w:val="fr-FR"/>
              </w:rPr>
              <w:t>;</w:t>
            </w:r>
          </w:p>
        </w:tc>
      </w:tr>
      <w:tr w:rsidR="00F42259" w:rsidTr="00FC2BB8">
        <w:trPr>
          <w:jc w:val="center"/>
        </w:trPr>
        <w:tc>
          <w:tcPr>
            <w:tcW w:w="9637" w:type="dxa"/>
            <w:shd w:val="clear" w:color="auto" w:fill="auto"/>
          </w:tcPr>
          <w:p w:rsidR="00F42259" w:rsidRPr="00F42259" w:rsidRDefault="00F42259" w:rsidP="005400B1">
            <w:pPr>
              <w:spacing w:after="120"/>
              <w:ind w:left="2552" w:hanging="2268"/>
              <w:rPr>
                <w:bCs/>
              </w:rPr>
            </w:pPr>
            <w:r>
              <w:rPr>
                <w:lang w:val="fr-FR"/>
              </w:rPr>
              <w:tab/>
              <w:t>Accord concernant le transport international des marchandises par chemins de fer (SMGS) (tel que modifié au 1</w:t>
            </w:r>
            <w:r w:rsidRPr="009075F1">
              <w:rPr>
                <w:vertAlign w:val="superscript"/>
                <w:lang w:val="fr-FR"/>
              </w:rPr>
              <w:t>er</w:t>
            </w:r>
            <w:r>
              <w:rPr>
                <w:lang w:val="fr-FR"/>
              </w:rPr>
              <w:t xml:space="preserve"> juillet 2015)</w:t>
            </w:r>
            <w:r w:rsidR="00F13177">
              <w:rPr>
                <w:lang w:val="fr-FR"/>
              </w:rPr>
              <w:t xml:space="preserve"> ;</w:t>
            </w:r>
          </w:p>
        </w:tc>
      </w:tr>
      <w:tr w:rsidR="00F42259" w:rsidTr="00FC2BB8">
        <w:trPr>
          <w:jc w:val="center"/>
        </w:trPr>
        <w:tc>
          <w:tcPr>
            <w:tcW w:w="9637" w:type="dxa"/>
            <w:shd w:val="clear" w:color="auto" w:fill="auto"/>
          </w:tcPr>
          <w:p w:rsidR="00F42259" w:rsidRPr="00F42259" w:rsidRDefault="00F42259" w:rsidP="005400B1">
            <w:pPr>
              <w:spacing w:after="120"/>
              <w:ind w:left="2552" w:hanging="2268"/>
              <w:rPr>
                <w:bCs/>
                <w:lang w:val="fr-FR"/>
              </w:rPr>
            </w:pPr>
            <w:r>
              <w:rPr>
                <w:lang w:val="fr-FR"/>
              </w:rPr>
              <w:tab/>
              <w:t>Règlement technique de l</w:t>
            </w:r>
            <w:r w:rsidR="00F13177">
              <w:rPr>
                <w:lang w:val="fr-FR"/>
              </w:rPr>
              <w:t>’</w:t>
            </w:r>
            <w:r>
              <w:rPr>
                <w:lang w:val="fr-FR"/>
              </w:rPr>
              <w:t>Union douanière TR/TS 018/2011 relatif à la sécurité des véhicules de transport à roues, adopté par décision de la Commission de l</w:t>
            </w:r>
            <w:r w:rsidR="00F13177">
              <w:rPr>
                <w:lang w:val="fr-FR"/>
              </w:rPr>
              <w:t>’</w:t>
            </w:r>
            <w:r>
              <w:rPr>
                <w:lang w:val="fr-FR"/>
              </w:rPr>
              <w:t xml:space="preserve">Union douanière en date du 9 décembre 2011 </w:t>
            </w:r>
            <w:r w:rsidR="009C627D">
              <w:rPr>
                <w:lang w:val="fr-FR"/>
              </w:rPr>
              <w:t>(</w:t>
            </w:r>
            <w:r w:rsidR="009C627D" w:rsidRPr="009C627D">
              <w:rPr>
                <w:rFonts w:eastAsia="MS Mincho"/>
                <w:lang w:val="fr-FR"/>
              </w:rPr>
              <w:t>n</w:t>
            </w:r>
            <w:r w:rsidR="009C627D" w:rsidRPr="009C627D">
              <w:rPr>
                <w:rFonts w:eastAsia="MS Mincho"/>
                <w:vertAlign w:val="superscript"/>
                <w:lang w:val="fr-FR"/>
              </w:rPr>
              <w:t>o</w:t>
            </w:r>
            <w:r w:rsidR="009C627D">
              <w:rPr>
                <w:lang w:val="fr-FR"/>
              </w:rPr>
              <w:t xml:space="preserve"> 877) </w:t>
            </w:r>
            <w:r>
              <w:rPr>
                <w:lang w:val="fr-FR"/>
              </w:rPr>
              <w:t>;</w:t>
            </w:r>
          </w:p>
        </w:tc>
      </w:tr>
      <w:tr w:rsidR="00F42259" w:rsidTr="00FC2BB8">
        <w:trPr>
          <w:jc w:val="center"/>
        </w:trPr>
        <w:tc>
          <w:tcPr>
            <w:tcW w:w="9637" w:type="dxa"/>
            <w:shd w:val="clear" w:color="auto" w:fill="auto"/>
          </w:tcPr>
          <w:p w:rsidR="00F42259" w:rsidRPr="002A566C" w:rsidRDefault="00F42259" w:rsidP="005400B1">
            <w:pPr>
              <w:spacing w:after="120"/>
              <w:ind w:left="2552" w:hanging="2268"/>
              <w:rPr>
                <w:b/>
              </w:rPr>
            </w:pPr>
            <w:r>
              <w:rPr>
                <w:lang w:val="fr-FR"/>
              </w:rPr>
              <w:tab/>
              <w:t>« Règlement général de suivi technique des conteneurs. Règles de construction des conteneurs. Règles d</w:t>
            </w:r>
            <w:r w:rsidR="00F13177">
              <w:rPr>
                <w:lang w:val="fr-FR"/>
              </w:rPr>
              <w:t>’</w:t>
            </w:r>
            <w:r>
              <w:rPr>
                <w:lang w:val="fr-FR"/>
              </w:rPr>
              <w:t>agrément des conteneurs pour le transport de marchandises sous scellés douaniers. Règles de supervision technique de la construction des conteneurs. Règles de suivi technique des conteneurs en service », adoptés le 28 juillet 2015 sous le numéro 2-090201-009 (ci-après les Règles du Registre maritime russe).</w:t>
            </w:r>
          </w:p>
        </w:tc>
      </w:tr>
      <w:tr w:rsidR="001F366E" w:rsidTr="00FC2BB8">
        <w:trPr>
          <w:jc w:val="center"/>
        </w:trPr>
        <w:tc>
          <w:tcPr>
            <w:tcW w:w="9637" w:type="dxa"/>
            <w:shd w:val="clear" w:color="auto" w:fill="auto"/>
          </w:tcPr>
          <w:p w:rsidR="001F366E" w:rsidRDefault="001F366E" w:rsidP="00FC2BB8"/>
        </w:tc>
      </w:tr>
    </w:tbl>
    <w:p w:rsidR="003D0286" w:rsidRPr="002E2EAF" w:rsidRDefault="003D0286" w:rsidP="004E0621">
      <w:pPr>
        <w:pStyle w:val="HChG"/>
      </w:pPr>
      <w:bookmarkStart w:id="2" w:name="OLE_LINK1"/>
      <w:bookmarkStart w:id="3" w:name="OLE_LINK2"/>
      <w:r>
        <w:rPr>
          <w:lang w:val="fr-FR"/>
        </w:rPr>
        <w:tab/>
      </w:r>
      <w:r>
        <w:rPr>
          <w:lang w:val="fr-FR"/>
        </w:rPr>
        <w:tab/>
        <w:t>Introduction</w:t>
      </w:r>
    </w:p>
    <w:bookmarkEnd w:id="2"/>
    <w:bookmarkEnd w:id="3"/>
    <w:p w:rsidR="004E0621" w:rsidRDefault="003D0286" w:rsidP="004E0621">
      <w:pPr>
        <w:pStyle w:val="SingleTxtG"/>
        <w:rPr>
          <w:lang w:val="fr-FR"/>
        </w:rPr>
      </w:pPr>
      <w:r>
        <w:rPr>
          <w:lang w:val="fr-FR"/>
        </w:rPr>
        <w:t>1.</w:t>
      </w:r>
      <w:r>
        <w:rPr>
          <w:lang w:val="fr-FR"/>
        </w:rPr>
        <w:tab/>
        <w:t>Dans le présent document, la Fédération de Russie présente les modifications et les ajouts qu</w:t>
      </w:r>
      <w:r w:rsidR="00F13177">
        <w:rPr>
          <w:lang w:val="fr-FR"/>
        </w:rPr>
        <w:t>’</w:t>
      </w:r>
      <w:r>
        <w:rPr>
          <w:lang w:val="fr-FR"/>
        </w:rPr>
        <w:t xml:space="preserve">elle suggère par rapport aux définitions proposées par les Pays-Bas dans le document ECE/TRANS/WP.11/2015/17. </w:t>
      </w:r>
    </w:p>
    <w:p w:rsidR="004E0621" w:rsidRDefault="003D0286" w:rsidP="004E0621">
      <w:pPr>
        <w:pStyle w:val="SingleTxtG"/>
        <w:rPr>
          <w:lang w:val="fr-FR"/>
        </w:rPr>
      </w:pPr>
      <w:r>
        <w:rPr>
          <w:lang w:val="fr-FR"/>
        </w:rPr>
        <w:t>2.</w:t>
      </w:r>
      <w:r>
        <w:rPr>
          <w:lang w:val="fr-FR"/>
        </w:rPr>
        <w:tab/>
        <w:t xml:space="preserve">Les ajouts suggérés par la Fédération de Russie pour les définitions proposées par les Pays-Bas dans le document ECE/TRANS/WP.11/2015/17 sont signalés </w:t>
      </w:r>
      <w:r w:rsidRPr="009075F1">
        <w:rPr>
          <w:lang w:val="fr-FR"/>
        </w:rPr>
        <w:t xml:space="preserve">en </w:t>
      </w:r>
      <w:r w:rsidRPr="004055D6">
        <w:rPr>
          <w:b/>
          <w:lang w:val="fr-FR"/>
        </w:rPr>
        <w:t>caractères gras</w:t>
      </w:r>
      <w:r>
        <w:rPr>
          <w:lang w:val="fr-FR"/>
        </w:rPr>
        <w:t xml:space="preserve">, les suppressions, </w:t>
      </w:r>
      <w:r w:rsidRPr="009075F1">
        <w:rPr>
          <w:strike/>
          <w:lang w:val="fr-FR"/>
        </w:rPr>
        <w:t>en caractères biffés</w:t>
      </w:r>
      <w:r>
        <w:rPr>
          <w:lang w:val="fr-FR"/>
        </w:rPr>
        <w:t xml:space="preserve">, et le texte original, </w:t>
      </w:r>
      <w:r w:rsidRPr="009075F1">
        <w:rPr>
          <w:i/>
          <w:lang w:val="fr-FR"/>
        </w:rPr>
        <w:t>en italique</w:t>
      </w:r>
      <w:r>
        <w:rPr>
          <w:lang w:val="fr-FR"/>
        </w:rPr>
        <w:t>.</w:t>
      </w:r>
    </w:p>
    <w:p w:rsidR="004E0621" w:rsidRDefault="003D0286" w:rsidP="004E0621">
      <w:pPr>
        <w:pStyle w:val="SingleTxtG"/>
        <w:rPr>
          <w:lang w:val="fr-FR"/>
        </w:rPr>
      </w:pPr>
      <w:r>
        <w:rPr>
          <w:lang w:val="fr-FR"/>
        </w:rPr>
        <w:t>3.</w:t>
      </w:r>
      <w:r>
        <w:rPr>
          <w:lang w:val="fr-FR"/>
        </w:rPr>
        <w:tab/>
        <w:t>Afin que le Groupe de travail puisse se prononcer sur chacune des propositions de définitions, le numéro de ladite proposition est le même que celui indiqué dans le document ECE/TRANS/WP.11/2015/17 des Pays-Bas.</w:t>
      </w:r>
    </w:p>
    <w:p w:rsidR="00B57314" w:rsidRDefault="003D0286" w:rsidP="004E0621">
      <w:pPr>
        <w:pStyle w:val="SingleTxtG"/>
        <w:rPr>
          <w:lang w:val="fr-FR"/>
        </w:rPr>
      </w:pPr>
      <w:r>
        <w:rPr>
          <w:lang w:val="fr-FR"/>
        </w:rPr>
        <w:t>4.</w:t>
      </w:r>
      <w:r>
        <w:rPr>
          <w:lang w:val="fr-FR"/>
        </w:rPr>
        <w:tab/>
        <w:t xml:space="preserve">On trouvera ci-après, tout comme dans le document ECE/TRANS/WP.11/2015/17, des propositions de définitions de termes </w:t>
      </w:r>
      <w:r w:rsidRPr="007531FA">
        <w:rPr>
          <w:b/>
          <w:lang w:val="fr-FR"/>
        </w:rPr>
        <w:t>qui répondent aux buts de l</w:t>
      </w:r>
      <w:r w:rsidR="00F13177" w:rsidRPr="007531FA">
        <w:rPr>
          <w:b/>
          <w:lang w:val="fr-FR"/>
        </w:rPr>
        <w:t>’</w:t>
      </w:r>
      <w:r w:rsidRPr="007531FA">
        <w:rPr>
          <w:b/>
          <w:lang w:val="fr-FR"/>
        </w:rPr>
        <w:t>ATP</w:t>
      </w:r>
      <w:r>
        <w:rPr>
          <w:lang w:val="fr-FR"/>
        </w:rPr>
        <w:t>. Il existe toutefois d</w:t>
      </w:r>
      <w:r w:rsidR="00F13177">
        <w:rPr>
          <w:lang w:val="fr-FR"/>
        </w:rPr>
        <w:t>’</w:t>
      </w:r>
      <w:r>
        <w:rPr>
          <w:lang w:val="fr-FR"/>
        </w:rPr>
        <w:t>autres définitions pour ces mêmes termes dans un certain nombre d</w:t>
      </w:r>
      <w:r w:rsidR="00F13177">
        <w:rPr>
          <w:lang w:val="fr-FR"/>
        </w:rPr>
        <w:t>’</w:t>
      </w:r>
      <w:r>
        <w:rPr>
          <w:lang w:val="fr-FR"/>
        </w:rPr>
        <w:t>autres normes et documents internationaux.</w:t>
      </w:r>
    </w:p>
    <w:p w:rsidR="003D0286" w:rsidRPr="0039589F" w:rsidRDefault="00B57314" w:rsidP="00B57314">
      <w:pPr>
        <w:pStyle w:val="HChG"/>
      </w:pPr>
      <w:r>
        <w:rPr>
          <w:lang w:val="fr-FR"/>
        </w:rPr>
        <w:br w:type="page"/>
      </w:r>
      <w:r w:rsidR="004E0621">
        <w:rPr>
          <w:lang w:val="fr-FR"/>
        </w:rPr>
        <w:lastRenderedPageBreak/>
        <w:tab/>
      </w:r>
      <w:r w:rsidR="003D0286">
        <w:rPr>
          <w:lang w:val="fr-FR"/>
        </w:rPr>
        <w:t>I.</w:t>
      </w:r>
      <w:r w:rsidR="003D0286">
        <w:rPr>
          <w:lang w:val="fr-FR"/>
        </w:rPr>
        <w:tab/>
        <w:t>Proposition 1</w:t>
      </w:r>
    </w:p>
    <w:p w:rsidR="003D0286" w:rsidRPr="0039589F" w:rsidRDefault="003D0286" w:rsidP="004E0621">
      <w:pPr>
        <w:pStyle w:val="H23G"/>
      </w:pPr>
      <w:r>
        <w:rPr>
          <w:lang w:val="fr-FR"/>
        </w:rPr>
        <w:tab/>
      </w:r>
      <w:r>
        <w:rPr>
          <w:lang w:val="fr-FR"/>
        </w:rPr>
        <w:tab/>
        <w:t>« Engin spécial »</w:t>
      </w:r>
    </w:p>
    <w:p w:rsidR="003D0286" w:rsidRPr="0039589F" w:rsidRDefault="003D0286" w:rsidP="004E0621">
      <w:pPr>
        <w:pStyle w:val="SingleTxtG"/>
      </w:pPr>
      <w:r>
        <w:rPr>
          <w:lang w:val="fr-FR"/>
        </w:rPr>
        <w:t>5.</w:t>
      </w:r>
      <w:r>
        <w:rPr>
          <w:lang w:val="fr-FR"/>
        </w:rPr>
        <w:tab/>
        <w:t>Proposition de la Fédération de Russie visant à modifier et à compléter la définition proposée par les Pays-Bas dans le document ECE/TRANS/WP.11/2015/17 (proposition 1) :</w:t>
      </w:r>
    </w:p>
    <w:p w:rsidR="003D0286" w:rsidRPr="0039589F" w:rsidRDefault="003D0286" w:rsidP="00BE2A85">
      <w:pPr>
        <w:pStyle w:val="SingleTxtG"/>
      </w:pPr>
      <w:r>
        <w:rPr>
          <w:lang w:val="fr-FR"/>
        </w:rPr>
        <w:t xml:space="preserve">« </w:t>
      </w:r>
      <w:r w:rsidRPr="006A30E0">
        <w:rPr>
          <w:i/>
          <w:lang w:val="fr-FR"/>
        </w:rPr>
        <w:t xml:space="preserve">Engin spécial </w:t>
      </w:r>
      <w:r w:rsidRPr="00383B8D">
        <w:rPr>
          <w:b/>
          <w:lang w:val="fr-FR"/>
        </w:rPr>
        <w:t>aux fins de l</w:t>
      </w:r>
      <w:r w:rsidR="00F13177">
        <w:rPr>
          <w:b/>
          <w:lang w:val="fr-FR"/>
        </w:rPr>
        <w:t>’</w:t>
      </w:r>
      <w:r w:rsidRPr="00383B8D">
        <w:rPr>
          <w:b/>
          <w:lang w:val="fr-FR"/>
        </w:rPr>
        <w:t>ATP</w:t>
      </w:r>
      <w:r w:rsidRPr="006A30E0">
        <w:rPr>
          <w:lang w:val="fr-FR"/>
        </w:rPr>
        <w:t xml:space="preserve"> </w:t>
      </w:r>
      <w:r w:rsidRPr="006A30E0">
        <w:rPr>
          <w:i/>
          <w:lang w:val="fr-FR"/>
        </w:rPr>
        <w:t xml:space="preserve">désigne un véhicule </w:t>
      </w:r>
      <w:r w:rsidRPr="006A30E0">
        <w:rPr>
          <w:strike/>
          <w:lang w:val="fr-FR"/>
        </w:rPr>
        <w:t>routier</w:t>
      </w:r>
      <w:r w:rsidRPr="006A30E0">
        <w:rPr>
          <w:i/>
          <w:lang w:val="fr-FR"/>
        </w:rPr>
        <w:t xml:space="preserve"> </w:t>
      </w:r>
      <w:r w:rsidRPr="00862C8B">
        <w:rPr>
          <w:strike/>
          <w:lang w:val="fr-FR"/>
        </w:rPr>
        <w:t>(camion, remorque, semi-remorque), un wagon de chemin de fer ou un conteneur équipé d</w:t>
      </w:r>
      <w:r w:rsidR="00F13177">
        <w:rPr>
          <w:strike/>
          <w:lang w:val="fr-FR"/>
        </w:rPr>
        <w:t>’</w:t>
      </w:r>
      <w:r w:rsidRPr="00862C8B">
        <w:rPr>
          <w:strike/>
          <w:lang w:val="fr-FR"/>
        </w:rPr>
        <w:t>une caisse isotherme ou d</w:t>
      </w:r>
      <w:r w:rsidR="00F13177">
        <w:rPr>
          <w:strike/>
          <w:lang w:val="fr-FR"/>
        </w:rPr>
        <w:t>’</w:t>
      </w:r>
      <w:r w:rsidRPr="00862C8B">
        <w:rPr>
          <w:strike/>
          <w:lang w:val="fr-FR"/>
        </w:rPr>
        <w:t>une caisse isotherme munie d</w:t>
      </w:r>
      <w:r w:rsidR="00F13177">
        <w:rPr>
          <w:strike/>
          <w:lang w:val="fr-FR"/>
        </w:rPr>
        <w:t>’</w:t>
      </w:r>
      <w:r w:rsidRPr="00862C8B">
        <w:rPr>
          <w:strike/>
          <w:lang w:val="fr-FR"/>
        </w:rPr>
        <w:t>un dispositif thermique</w:t>
      </w:r>
      <w:r w:rsidRPr="006A30E0">
        <w:rPr>
          <w:lang w:val="fr-FR"/>
        </w:rPr>
        <w:t xml:space="preserve"> </w:t>
      </w:r>
      <w:r w:rsidRPr="00383B8D">
        <w:rPr>
          <w:b/>
          <w:lang w:val="fr-FR"/>
        </w:rPr>
        <w:t>de transport de marchandises : véhicule de transport routier (véhicule automobile, remorque</w:t>
      </w:r>
      <w:r w:rsidR="00A7123D">
        <w:rPr>
          <w:b/>
          <w:lang w:val="fr-FR"/>
        </w:rPr>
        <w:t>,</w:t>
      </w:r>
      <w:r w:rsidRPr="00383B8D">
        <w:rPr>
          <w:b/>
          <w:lang w:val="fr-FR"/>
        </w:rPr>
        <w:t xml:space="preserve"> semi-remorque), wagon de chemin de fer ou équipement de transport (conteneur) dotés d</w:t>
      </w:r>
      <w:r w:rsidR="00F13177">
        <w:rPr>
          <w:b/>
          <w:lang w:val="fr-FR"/>
        </w:rPr>
        <w:t>’</w:t>
      </w:r>
      <w:r w:rsidRPr="00383B8D">
        <w:rPr>
          <w:b/>
          <w:lang w:val="fr-FR"/>
        </w:rPr>
        <w:t>une caisse isotherme av</w:t>
      </w:r>
      <w:r w:rsidR="004E0621" w:rsidRPr="00383B8D">
        <w:rPr>
          <w:b/>
          <w:lang w:val="fr-FR"/>
        </w:rPr>
        <w:t>ec ou sans dispositif thermique</w:t>
      </w:r>
      <w:r w:rsidRPr="00383B8D">
        <w:rPr>
          <w:b/>
          <w:i/>
          <w:lang w:val="fr-FR"/>
        </w:rPr>
        <w:t>.</w:t>
      </w:r>
      <w:r w:rsidRPr="006A30E0">
        <w:rPr>
          <w:i/>
          <w:lang w:val="fr-FR"/>
        </w:rPr>
        <w:t xml:space="preserve"> </w:t>
      </w:r>
      <w:r w:rsidRPr="0094454A">
        <w:rPr>
          <w:strike/>
          <w:lang w:val="fr-FR"/>
        </w:rPr>
        <w:t>L</w:t>
      </w:r>
      <w:r w:rsidR="00F13177">
        <w:rPr>
          <w:strike/>
          <w:lang w:val="fr-FR"/>
        </w:rPr>
        <w:t>’</w:t>
      </w:r>
      <w:r w:rsidRPr="0094454A">
        <w:rPr>
          <w:strike/>
          <w:lang w:val="fr-FR"/>
        </w:rPr>
        <w:t>engin spécial</w:t>
      </w:r>
      <w:r w:rsidRPr="006A30E0">
        <w:rPr>
          <w:i/>
          <w:lang w:val="fr-FR"/>
        </w:rPr>
        <w:t xml:space="preserve"> </w:t>
      </w:r>
      <w:r w:rsidRPr="00383B8D">
        <w:rPr>
          <w:b/>
          <w:lang w:val="fr-FR"/>
        </w:rPr>
        <w:t>Le véhicule de transport de marchandises</w:t>
      </w:r>
      <w:r>
        <w:rPr>
          <w:lang w:val="fr-FR"/>
        </w:rPr>
        <w:t xml:space="preserve"> </w:t>
      </w:r>
      <w:r w:rsidRPr="006A30E0">
        <w:rPr>
          <w:i/>
          <w:lang w:val="fr-FR"/>
        </w:rPr>
        <w:t xml:space="preserve">peut être constitué de plusieurs caisses </w:t>
      </w:r>
      <w:r w:rsidRPr="00383B8D">
        <w:rPr>
          <w:b/>
          <w:lang w:val="fr-FR"/>
        </w:rPr>
        <w:t>isothermes</w:t>
      </w:r>
      <w:r w:rsidRPr="006A30E0">
        <w:rPr>
          <w:i/>
          <w:lang w:val="fr-FR"/>
        </w:rPr>
        <w:t xml:space="preserve"> dont chacune peut être munie d</w:t>
      </w:r>
      <w:r w:rsidR="00F13177">
        <w:rPr>
          <w:i/>
          <w:lang w:val="fr-FR"/>
        </w:rPr>
        <w:t>’</w:t>
      </w:r>
      <w:r w:rsidRPr="006A30E0">
        <w:rPr>
          <w:i/>
          <w:lang w:val="fr-FR"/>
        </w:rPr>
        <w:t>un dispositif thermique ou qui peuvent se partager un même dispositif thermique. La caisse isotherme d</w:t>
      </w:r>
      <w:r w:rsidR="00F13177">
        <w:rPr>
          <w:i/>
          <w:lang w:val="fr-FR"/>
        </w:rPr>
        <w:t>’</w:t>
      </w:r>
      <w:r w:rsidRPr="006A30E0">
        <w:rPr>
          <w:i/>
          <w:lang w:val="fr-FR"/>
        </w:rPr>
        <w:t>un véhicule routier peut être démontable et être utilisée sur un ou plusieurs véhicules routiers.</w:t>
      </w:r>
      <w:r w:rsidR="004E0621">
        <w:rPr>
          <w:lang w:val="fr-FR"/>
        </w:rPr>
        <w:t> »</w:t>
      </w:r>
      <w:r>
        <w:rPr>
          <w:lang w:val="fr-FR"/>
        </w:rPr>
        <w:t>.</w:t>
      </w:r>
    </w:p>
    <w:p w:rsidR="003D0286" w:rsidRPr="00F861B8" w:rsidRDefault="00BE2A85" w:rsidP="00BE2A85">
      <w:pPr>
        <w:pStyle w:val="H23G"/>
      </w:pPr>
      <w:r>
        <w:rPr>
          <w:lang w:val="fr-FR"/>
        </w:rPr>
        <w:tab/>
      </w:r>
      <w:r>
        <w:rPr>
          <w:lang w:val="fr-FR"/>
        </w:rPr>
        <w:tab/>
      </w:r>
      <w:r w:rsidR="003D0286" w:rsidRPr="00F861B8">
        <w:rPr>
          <w:lang w:val="fr-FR"/>
        </w:rPr>
        <w:t>Justification</w:t>
      </w:r>
    </w:p>
    <w:p w:rsidR="003D0286" w:rsidRPr="0039589F" w:rsidRDefault="003D0286" w:rsidP="00BE2A85">
      <w:pPr>
        <w:pStyle w:val="SingleTxtG"/>
      </w:pPr>
      <w:r>
        <w:rPr>
          <w:lang w:val="fr-FR"/>
        </w:rPr>
        <w:t>6.</w:t>
      </w:r>
      <w:r>
        <w:rPr>
          <w:lang w:val="fr-FR"/>
        </w:rPr>
        <w:tab/>
        <w:t xml:space="preserve">Le remplacement dans la deuxième phrase ci-dessus de </w:t>
      </w:r>
      <w:r w:rsidR="00CB2910">
        <w:rPr>
          <w:lang w:val="fr-FR"/>
        </w:rPr>
        <w:t>« </w:t>
      </w:r>
      <w:r>
        <w:rPr>
          <w:lang w:val="fr-FR"/>
        </w:rPr>
        <w:t>L</w:t>
      </w:r>
      <w:r w:rsidR="00F13177">
        <w:rPr>
          <w:lang w:val="fr-FR"/>
        </w:rPr>
        <w:t>’</w:t>
      </w:r>
      <w:r>
        <w:rPr>
          <w:lang w:val="fr-FR"/>
        </w:rPr>
        <w:t>engin spécial</w:t>
      </w:r>
      <w:r w:rsidR="00CB2910">
        <w:rPr>
          <w:lang w:val="fr-FR"/>
        </w:rPr>
        <w:t> »</w:t>
      </w:r>
      <w:r>
        <w:rPr>
          <w:lang w:val="fr-FR"/>
        </w:rPr>
        <w:t xml:space="preserve"> par </w:t>
      </w:r>
      <w:r w:rsidR="00CB2910">
        <w:rPr>
          <w:lang w:val="fr-FR"/>
        </w:rPr>
        <w:t>« </w:t>
      </w:r>
      <w:r w:rsidR="00D12348">
        <w:rPr>
          <w:lang w:val="fr-FR"/>
        </w:rPr>
        <w:t>Le </w:t>
      </w:r>
      <w:r w:rsidRPr="007418D6">
        <w:rPr>
          <w:lang w:val="fr-FR"/>
        </w:rPr>
        <w:t>véhicule de transport de marchandises</w:t>
      </w:r>
      <w:r w:rsidR="00CB2910">
        <w:rPr>
          <w:lang w:val="fr-FR"/>
        </w:rPr>
        <w:t> »</w:t>
      </w:r>
      <w:r>
        <w:rPr>
          <w:lang w:val="fr-FR"/>
        </w:rPr>
        <w:t xml:space="preserve"> se justifie par l</w:t>
      </w:r>
      <w:r w:rsidR="00F13177">
        <w:rPr>
          <w:lang w:val="fr-FR"/>
        </w:rPr>
        <w:t>’</w:t>
      </w:r>
      <w:r>
        <w:rPr>
          <w:lang w:val="fr-FR"/>
        </w:rPr>
        <w:t>absence d</w:t>
      </w:r>
      <w:r w:rsidR="00F13177">
        <w:rPr>
          <w:lang w:val="fr-FR"/>
        </w:rPr>
        <w:t>’</w:t>
      </w:r>
      <w:r>
        <w:rPr>
          <w:lang w:val="fr-FR"/>
        </w:rPr>
        <w:t>engins de ce type (constitués de plusieurs caisses isothermes) parmi les conteneurs.</w:t>
      </w:r>
    </w:p>
    <w:p w:rsidR="003D0286" w:rsidRPr="0039589F" w:rsidRDefault="00BE2A85" w:rsidP="00BE2A85">
      <w:pPr>
        <w:pStyle w:val="HChG"/>
      </w:pPr>
      <w:r>
        <w:rPr>
          <w:lang w:val="fr-FR"/>
        </w:rPr>
        <w:tab/>
      </w:r>
      <w:r w:rsidR="003D0286">
        <w:rPr>
          <w:lang w:val="fr-FR"/>
        </w:rPr>
        <w:t>II.</w:t>
      </w:r>
      <w:r w:rsidR="003D0286">
        <w:rPr>
          <w:lang w:val="fr-FR"/>
        </w:rPr>
        <w:tab/>
        <w:t xml:space="preserve">Proposition 2 </w:t>
      </w:r>
    </w:p>
    <w:p w:rsidR="003D0286" w:rsidRPr="0039589F" w:rsidRDefault="003D0286" w:rsidP="00BE2A85">
      <w:pPr>
        <w:pStyle w:val="H23G"/>
      </w:pPr>
      <w:r>
        <w:rPr>
          <w:lang w:val="fr-FR"/>
        </w:rPr>
        <w:tab/>
      </w:r>
      <w:r>
        <w:rPr>
          <w:lang w:val="fr-FR"/>
        </w:rPr>
        <w:tab/>
        <w:t xml:space="preserve">« Engin » </w:t>
      </w:r>
    </w:p>
    <w:p w:rsidR="003D0286" w:rsidRPr="0039589F" w:rsidRDefault="003D0286" w:rsidP="00BE2A85">
      <w:pPr>
        <w:pStyle w:val="SingleTxtG"/>
      </w:pPr>
      <w:r>
        <w:rPr>
          <w:lang w:val="fr-FR"/>
        </w:rPr>
        <w:t>7.</w:t>
      </w:r>
      <w:r>
        <w:rPr>
          <w:lang w:val="fr-FR"/>
        </w:rPr>
        <w:tab/>
        <w:t>Proposition de la Fédération de Russie visant à modifier et à compléter la définition proposée par les Pays-Bas dans le document ECE/TRANS/WP.11/2015/17 (proposition 2) :</w:t>
      </w:r>
    </w:p>
    <w:p w:rsidR="00BE2A85" w:rsidRDefault="003D0286" w:rsidP="00BE2A85">
      <w:pPr>
        <w:pStyle w:val="SingleTxtG"/>
        <w:rPr>
          <w:b/>
          <w:bCs/>
          <w:lang w:val="fr-FR"/>
        </w:rPr>
      </w:pPr>
      <w:r>
        <w:rPr>
          <w:lang w:val="fr-FR"/>
        </w:rPr>
        <w:t xml:space="preserve">« </w:t>
      </w:r>
      <w:r w:rsidRPr="006A30E0">
        <w:rPr>
          <w:i/>
          <w:lang w:val="fr-FR"/>
        </w:rPr>
        <w:t xml:space="preserve">Engin </w:t>
      </w:r>
      <w:r w:rsidRPr="00BE2A85">
        <w:rPr>
          <w:b/>
          <w:lang w:val="fr-FR"/>
        </w:rPr>
        <w:t>aux fins de l</w:t>
      </w:r>
      <w:r w:rsidR="00F13177">
        <w:rPr>
          <w:b/>
          <w:lang w:val="fr-FR"/>
        </w:rPr>
        <w:t>’</w:t>
      </w:r>
      <w:r w:rsidRPr="00BE2A85">
        <w:rPr>
          <w:b/>
          <w:lang w:val="fr-FR"/>
        </w:rPr>
        <w:t>ATP</w:t>
      </w:r>
      <w:r w:rsidRPr="006A30E0">
        <w:rPr>
          <w:lang w:val="fr-FR"/>
        </w:rPr>
        <w:t xml:space="preserve"> </w:t>
      </w:r>
      <w:r w:rsidRPr="007418D6">
        <w:rPr>
          <w:strike/>
          <w:lang w:val="fr-FR"/>
        </w:rPr>
        <w:t>désigne</w:t>
      </w:r>
      <w:r w:rsidRPr="006A30E0">
        <w:rPr>
          <w:lang w:val="fr-FR"/>
        </w:rPr>
        <w:t xml:space="preserve"> </w:t>
      </w:r>
      <w:r w:rsidRPr="006A30E0">
        <w:rPr>
          <w:strike/>
          <w:lang w:val="fr-FR"/>
        </w:rPr>
        <w:t>une caisse isotherme ou un ensemble constitué d</w:t>
      </w:r>
      <w:r w:rsidR="00F13177">
        <w:rPr>
          <w:strike/>
          <w:lang w:val="fr-FR"/>
        </w:rPr>
        <w:t>’</w:t>
      </w:r>
      <w:r w:rsidRPr="006A30E0">
        <w:rPr>
          <w:strike/>
          <w:lang w:val="fr-FR"/>
        </w:rPr>
        <w:t>une caisse isotherme et d</w:t>
      </w:r>
      <w:r w:rsidR="00F13177">
        <w:rPr>
          <w:strike/>
          <w:lang w:val="fr-FR"/>
        </w:rPr>
        <w:t>’</w:t>
      </w:r>
      <w:r w:rsidRPr="006A30E0">
        <w:rPr>
          <w:strike/>
          <w:lang w:val="fr-FR"/>
        </w:rPr>
        <w:t>un ou plusieurs dispositifs thermiques.</w:t>
      </w:r>
      <w:r w:rsidRPr="007418D6">
        <w:rPr>
          <w:bCs/>
          <w:lang w:val="fr-FR"/>
        </w:rPr>
        <w:t xml:space="preserve"> </w:t>
      </w:r>
      <w:r w:rsidRPr="00BE2A85">
        <w:rPr>
          <w:b/>
          <w:bCs/>
          <w:lang w:val="fr-FR"/>
        </w:rPr>
        <w:t>désigne un véhicule destiné à transporter des marchandises ou un équipement monté sur ce dernier.</w:t>
      </w:r>
    </w:p>
    <w:p w:rsidR="003D0286" w:rsidRPr="0090004B" w:rsidRDefault="003D0286" w:rsidP="00BE2A85">
      <w:pPr>
        <w:pStyle w:val="SingleTxtG"/>
      </w:pPr>
      <w:r w:rsidRPr="00BE2A85">
        <w:rPr>
          <w:b/>
          <w:lang w:val="fr-FR"/>
        </w:rPr>
        <w:t>L</w:t>
      </w:r>
      <w:r w:rsidR="00F13177">
        <w:rPr>
          <w:b/>
          <w:lang w:val="fr-FR"/>
        </w:rPr>
        <w:t>’</w:t>
      </w:r>
      <w:r w:rsidRPr="00BE2A85">
        <w:rPr>
          <w:b/>
          <w:lang w:val="fr-FR"/>
        </w:rPr>
        <w:t>ATP s</w:t>
      </w:r>
      <w:r w:rsidR="00F13177">
        <w:rPr>
          <w:b/>
          <w:lang w:val="fr-FR"/>
        </w:rPr>
        <w:t>’</w:t>
      </w:r>
      <w:r w:rsidRPr="00BE2A85">
        <w:rPr>
          <w:b/>
          <w:lang w:val="fr-FR"/>
        </w:rPr>
        <w:t>applique aux véhicules de transport de marchandises routiers et ferroviaires (wagons), mais aussi aux équipements de transport (conteneurs).</w:t>
      </w:r>
      <w:r w:rsidRPr="0090004B">
        <w:rPr>
          <w:lang w:val="fr-FR"/>
        </w:rPr>
        <w:t xml:space="preserve"> </w:t>
      </w:r>
      <w:r w:rsidRPr="008170F8">
        <w:rPr>
          <w:lang w:val="fr-FR"/>
        </w:rPr>
        <w:t>».</w:t>
      </w:r>
    </w:p>
    <w:p w:rsidR="003D0286" w:rsidRPr="00F861B8" w:rsidRDefault="00BE2A85" w:rsidP="00BE2A85">
      <w:pPr>
        <w:pStyle w:val="H23G"/>
      </w:pPr>
      <w:r>
        <w:rPr>
          <w:lang w:val="fr-FR"/>
        </w:rPr>
        <w:tab/>
      </w:r>
      <w:r>
        <w:rPr>
          <w:lang w:val="fr-FR"/>
        </w:rPr>
        <w:tab/>
      </w:r>
      <w:r w:rsidR="003D0286" w:rsidRPr="00F861B8">
        <w:rPr>
          <w:lang w:val="fr-FR"/>
        </w:rPr>
        <w:t>Justification</w:t>
      </w:r>
    </w:p>
    <w:p w:rsidR="003D0286" w:rsidRPr="009F0E64" w:rsidRDefault="003D0286" w:rsidP="00BE2A85">
      <w:pPr>
        <w:pStyle w:val="SingleTxtG"/>
      </w:pPr>
      <w:r>
        <w:rPr>
          <w:lang w:val="fr-FR"/>
        </w:rPr>
        <w:t>8.</w:t>
      </w:r>
      <w:r>
        <w:rPr>
          <w:lang w:val="fr-FR"/>
        </w:rPr>
        <w:tab/>
        <w:t>Une caisse n</w:t>
      </w:r>
      <w:r w:rsidR="00F13177">
        <w:rPr>
          <w:lang w:val="fr-FR"/>
        </w:rPr>
        <w:t>’</w:t>
      </w:r>
      <w:r>
        <w:rPr>
          <w:lang w:val="fr-FR"/>
        </w:rPr>
        <w:t>est pas un engin.</w:t>
      </w:r>
    </w:p>
    <w:p w:rsidR="003D0286" w:rsidRPr="0039589F" w:rsidRDefault="00BE2A85" w:rsidP="00BE2A85">
      <w:pPr>
        <w:pStyle w:val="HChG"/>
      </w:pPr>
      <w:r>
        <w:rPr>
          <w:lang w:val="fr-FR"/>
        </w:rPr>
        <w:tab/>
      </w:r>
      <w:r w:rsidR="003D0286">
        <w:rPr>
          <w:lang w:val="fr-FR"/>
        </w:rPr>
        <w:t>III.</w:t>
      </w:r>
      <w:r w:rsidR="003D0286">
        <w:rPr>
          <w:lang w:val="fr-FR"/>
        </w:rPr>
        <w:tab/>
        <w:t xml:space="preserve">Proposition 3 </w:t>
      </w:r>
    </w:p>
    <w:p w:rsidR="003D0286" w:rsidRPr="00EB4419" w:rsidRDefault="003D0286" w:rsidP="00BE2A85">
      <w:pPr>
        <w:pStyle w:val="H23G"/>
      </w:pPr>
      <w:r>
        <w:rPr>
          <w:lang w:val="fr-FR"/>
        </w:rPr>
        <w:tab/>
      </w:r>
      <w:r>
        <w:rPr>
          <w:lang w:val="fr-FR"/>
        </w:rPr>
        <w:tab/>
        <w:t>« Conteneur »</w:t>
      </w:r>
    </w:p>
    <w:p w:rsidR="003D0286" w:rsidRPr="0039589F" w:rsidRDefault="003D0286" w:rsidP="00BE2A85">
      <w:pPr>
        <w:pStyle w:val="SingleTxtG"/>
      </w:pPr>
      <w:r>
        <w:rPr>
          <w:lang w:val="fr-FR"/>
        </w:rPr>
        <w:t>9.</w:t>
      </w:r>
      <w:r>
        <w:rPr>
          <w:lang w:val="fr-FR"/>
        </w:rPr>
        <w:tab/>
        <w:t>Proposition de la Fédération de Russie visant à modifier et à compléter la définition proposée par les Pays-Bas dans le document ECE/TRANS/WP.11/2015/17 (proposition 3) :</w:t>
      </w:r>
    </w:p>
    <w:p w:rsidR="003D0286" w:rsidRPr="0039589F" w:rsidRDefault="003D0286" w:rsidP="00BE2A85">
      <w:pPr>
        <w:pStyle w:val="SingleTxtG"/>
        <w:rPr>
          <w:i/>
        </w:rPr>
      </w:pPr>
      <w:r>
        <w:rPr>
          <w:lang w:val="fr-FR"/>
        </w:rPr>
        <w:t xml:space="preserve">« </w:t>
      </w:r>
      <w:r w:rsidRPr="00BE2A85">
        <w:rPr>
          <w:b/>
          <w:lang w:val="fr-FR"/>
        </w:rPr>
        <w:t>Un</w:t>
      </w:r>
      <w:r>
        <w:rPr>
          <w:lang w:val="fr-FR"/>
        </w:rPr>
        <w:t xml:space="preserve"> </w:t>
      </w:r>
      <w:r w:rsidRPr="008170F8">
        <w:rPr>
          <w:strike/>
          <w:lang w:val="fr-FR"/>
        </w:rPr>
        <w:t>C</w:t>
      </w:r>
      <w:r w:rsidRPr="00BE2A85">
        <w:rPr>
          <w:b/>
          <w:lang w:val="fr-FR"/>
        </w:rPr>
        <w:t>c</w:t>
      </w:r>
      <w:r w:rsidRPr="008170F8">
        <w:rPr>
          <w:i/>
          <w:lang w:val="fr-FR"/>
        </w:rPr>
        <w:t>onteneur</w:t>
      </w:r>
      <w:r>
        <w:rPr>
          <w:lang w:val="fr-FR"/>
        </w:rPr>
        <w:t xml:space="preserve"> </w:t>
      </w:r>
      <w:r w:rsidRPr="00BE2A85">
        <w:rPr>
          <w:b/>
          <w:lang w:val="fr-FR"/>
        </w:rPr>
        <w:t>de marchandises</w:t>
      </w:r>
      <w:r>
        <w:rPr>
          <w:lang w:val="fr-FR"/>
        </w:rPr>
        <w:t xml:space="preserve"> </w:t>
      </w:r>
      <w:r w:rsidRPr="008170F8">
        <w:rPr>
          <w:strike/>
          <w:lang w:val="fr-FR"/>
        </w:rPr>
        <w:t>désigne un engin spécial</w:t>
      </w:r>
      <w:r>
        <w:rPr>
          <w:lang w:val="fr-FR"/>
        </w:rPr>
        <w:t xml:space="preserve"> </w:t>
      </w:r>
      <w:r w:rsidRPr="00BE2A85">
        <w:rPr>
          <w:b/>
          <w:lang w:val="fr-FR"/>
        </w:rPr>
        <w:t>est un équipement de transport</w:t>
      </w:r>
      <w:r w:rsidR="00BE2A85">
        <w:rPr>
          <w:lang w:val="fr-FR"/>
        </w:rPr>
        <w:t> </w:t>
      </w:r>
      <w:r w:rsidRPr="00BE2A85">
        <w:rPr>
          <w:b/>
          <w:lang w:val="fr-FR"/>
        </w:rPr>
        <w:t>:</w:t>
      </w:r>
    </w:p>
    <w:p w:rsidR="00BE2A85" w:rsidRDefault="003D0286" w:rsidP="00BE2A85">
      <w:pPr>
        <w:pStyle w:val="SingleTxtG"/>
        <w:rPr>
          <w:i/>
          <w:lang w:val="fr-FR"/>
        </w:rPr>
      </w:pPr>
      <w:r w:rsidRPr="008170F8">
        <w:rPr>
          <w:i/>
          <w:lang w:val="fr-FR"/>
        </w:rPr>
        <w:t>Spécialement conçu pour faciliter le transport de marchandises, par un ou plusieurs moyens de transport, sans rupture de charge ;</w:t>
      </w:r>
    </w:p>
    <w:p w:rsidR="00BE2A85" w:rsidRDefault="003D0286" w:rsidP="00BE2A85">
      <w:pPr>
        <w:pStyle w:val="SingleTxtG"/>
        <w:rPr>
          <w:lang w:val="fr-FR"/>
        </w:rPr>
      </w:pPr>
      <w:r w:rsidRPr="008170F8">
        <w:rPr>
          <w:strike/>
          <w:lang w:val="fr-FR"/>
        </w:rPr>
        <w:t>Assez solide pour une utilisation répétée</w:t>
      </w:r>
      <w:r>
        <w:rPr>
          <w:lang w:val="fr-FR"/>
        </w:rPr>
        <w:t xml:space="preserve"> </w:t>
      </w:r>
      <w:r w:rsidRPr="00BE2A85">
        <w:rPr>
          <w:b/>
          <w:lang w:val="fr-FR"/>
        </w:rPr>
        <w:t>Dont les caractéristiques permanentes garantissent la solidité aux fins d</w:t>
      </w:r>
      <w:r w:rsidR="00F13177">
        <w:rPr>
          <w:b/>
          <w:lang w:val="fr-FR"/>
        </w:rPr>
        <w:t>’</w:t>
      </w:r>
      <w:r w:rsidRPr="00BE2A85">
        <w:rPr>
          <w:b/>
          <w:lang w:val="fr-FR"/>
        </w:rPr>
        <w:t>une utilisation répétée (au cours de la durée de vie utile prévue) ;</w:t>
      </w:r>
      <w:r>
        <w:rPr>
          <w:lang w:val="fr-FR"/>
        </w:rPr>
        <w:t xml:space="preserve"> </w:t>
      </w:r>
    </w:p>
    <w:p w:rsidR="00BE2A85" w:rsidRDefault="003D0286" w:rsidP="00BE2A85">
      <w:pPr>
        <w:pStyle w:val="SingleTxtG"/>
        <w:rPr>
          <w:lang w:val="fr-FR"/>
        </w:rPr>
      </w:pPr>
      <w:r w:rsidRPr="008170F8">
        <w:rPr>
          <w:i/>
          <w:lang w:val="fr-FR"/>
        </w:rPr>
        <w:t>Muni de dispositifs</w:t>
      </w:r>
      <w:r>
        <w:rPr>
          <w:lang w:val="fr-FR"/>
        </w:rPr>
        <w:t xml:space="preserve"> qui en </w:t>
      </w:r>
      <w:r w:rsidRPr="008170F8">
        <w:rPr>
          <w:strike/>
          <w:lang w:val="fr-FR"/>
        </w:rPr>
        <w:t>facilitent</w:t>
      </w:r>
      <w:r>
        <w:rPr>
          <w:lang w:val="fr-FR"/>
        </w:rPr>
        <w:t xml:space="preserve"> </w:t>
      </w:r>
      <w:r w:rsidRPr="00BE2A85">
        <w:rPr>
          <w:b/>
          <w:lang w:val="fr-FR"/>
        </w:rPr>
        <w:t>permettent</w:t>
      </w:r>
      <w:r>
        <w:rPr>
          <w:lang w:val="fr-FR"/>
        </w:rPr>
        <w:t xml:space="preserve"> l</w:t>
      </w:r>
      <w:r w:rsidR="00F13177">
        <w:rPr>
          <w:lang w:val="fr-FR"/>
        </w:rPr>
        <w:t>’</w:t>
      </w:r>
      <w:r>
        <w:rPr>
          <w:lang w:val="fr-FR"/>
        </w:rPr>
        <w:t>arrimage</w:t>
      </w:r>
      <w:r w:rsidRPr="00BE2A85">
        <w:rPr>
          <w:b/>
          <w:lang w:val="fr-FR"/>
        </w:rPr>
        <w:t>, au moyen de pièces de coin,</w:t>
      </w:r>
      <w:r w:rsidRPr="008170F8">
        <w:rPr>
          <w:lang w:val="fr-FR"/>
        </w:rPr>
        <w:t xml:space="preserve"> </w:t>
      </w:r>
      <w:r>
        <w:rPr>
          <w:lang w:val="fr-FR"/>
        </w:rPr>
        <w:t xml:space="preserve">et la manutention </w:t>
      </w:r>
      <w:r w:rsidRPr="00BE2A85">
        <w:rPr>
          <w:b/>
          <w:lang w:val="fr-FR"/>
        </w:rPr>
        <w:t>mécanisée</w:t>
      </w:r>
      <w:r>
        <w:rPr>
          <w:lang w:val="fr-FR"/>
        </w:rPr>
        <w:t>, notamment lors de son transbordement d</w:t>
      </w:r>
      <w:r w:rsidR="00F13177">
        <w:rPr>
          <w:lang w:val="fr-FR"/>
        </w:rPr>
        <w:t>’</w:t>
      </w:r>
      <w:r>
        <w:rPr>
          <w:lang w:val="fr-FR"/>
        </w:rPr>
        <w:t>un moyen de transport à un autre ;</w:t>
      </w:r>
    </w:p>
    <w:p w:rsidR="00BE2A85" w:rsidRDefault="003D0286" w:rsidP="00BE2A85">
      <w:pPr>
        <w:pStyle w:val="SingleTxtG"/>
        <w:rPr>
          <w:strike/>
          <w:lang w:val="fr-FR"/>
        </w:rPr>
      </w:pPr>
      <w:r w:rsidRPr="008170F8">
        <w:rPr>
          <w:strike/>
          <w:lang w:val="fr-FR"/>
        </w:rPr>
        <w:lastRenderedPageBreak/>
        <w:t>Conçu de manière à être facile à remplir et à vider ;</w:t>
      </w:r>
    </w:p>
    <w:p w:rsidR="00BE2A85" w:rsidRDefault="003D0286" w:rsidP="00BE2A85">
      <w:pPr>
        <w:pStyle w:val="SingleTxtG"/>
        <w:rPr>
          <w:strike/>
          <w:lang w:val="fr-FR"/>
        </w:rPr>
      </w:pPr>
      <w:r w:rsidRPr="008170F8">
        <w:rPr>
          <w:strike/>
          <w:lang w:val="fr-FR"/>
        </w:rPr>
        <w:t>D</w:t>
      </w:r>
      <w:r w:rsidR="00F13177">
        <w:rPr>
          <w:strike/>
          <w:lang w:val="fr-FR"/>
        </w:rPr>
        <w:t>’</w:t>
      </w:r>
      <w:r w:rsidRPr="008170F8">
        <w:rPr>
          <w:strike/>
          <w:lang w:val="fr-FR"/>
        </w:rPr>
        <w:t>un volume intérieur d</w:t>
      </w:r>
      <w:r w:rsidR="00F13177">
        <w:rPr>
          <w:strike/>
          <w:lang w:val="fr-FR"/>
        </w:rPr>
        <w:t>’</w:t>
      </w:r>
      <w:r w:rsidRPr="008170F8">
        <w:rPr>
          <w:strike/>
          <w:lang w:val="fr-FR"/>
        </w:rPr>
        <w:t>au moins 200 litres.»</w:t>
      </w:r>
    </w:p>
    <w:p w:rsidR="003D0286" w:rsidRPr="00D00E89" w:rsidRDefault="003D0286" w:rsidP="00BE2A85">
      <w:pPr>
        <w:pStyle w:val="SingleTxtG"/>
        <w:rPr>
          <w:rFonts w:eastAsia="Calibri"/>
        </w:rPr>
      </w:pPr>
      <w:r w:rsidRPr="00BE2A85">
        <w:rPr>
          <w:b/>
          <w:lang w:val="fr-FR"/>
        </w:rPr>
        <w:t>Dont le volume intérieur est d</w:t>
      </w:r>
      <w:r w:rsidR="00F13177">
        <w:rPr>
          <w:b/>
          <w:lang w:val="fr-FR"/>
        </w:rPr>
        <w:t>’</w:t>
      </w:r>
      <w:r w:rsidRPr="00BE2A85">
        <w:rPr>
          <w:b/>
          <w:lang w:val="fr-FR"/>
        </w:rPr>
        <w:t>au moins 1 m</w:t>
      </w:r>
      <w:r w:rsidRPr="00BE2A85">
        <w:rPr>
          <w:b/>
          <w:vertAlign w:val="superscript"/>
          <w:lang w:val="fr-FR"/>
        </w:rPr>
        <w:t>3</w:t>
      </w:r>
      <w:r w:rsidRPr="00BE2A85">
        <w:rPr>
          <w:b/>
          <w:lang w:val="fr-FR"/>
        </w:rPr>
        <w:t xml:space="preserve"> et dont la surface comprise entre les quatre coins inférieurs extérieurs est d</w:t>
      </w:r>
      <w:r w:rsidR="00F13177">
        <w:rPr>
          <w:b/>
          <w:lang w:val="fr-FR"/>
        </w:rPr>
        <w:t>’</w:t>
      </w:r>
      <w:r w:rsidRPr="00BE2A85">
        <w:rPr>
          <w:b/>
          <w:lang w:val="fr-FR"/>
        </w:rPr>
        <w:t>au moins 14 m</w:t>
      </w:r>
      <w:r w:rsidRPr="00BE2A85">
        <w:rPr>
          <w:b/>
          <w:vertAlign w:val="superscript"/>
          <w:lang w:val="fr-FR"/>
        </w:rPr>
        <w:t>2</w:t>
      </w:r>
      <w:r w:rsidRPr="00BE2A85">
        <w:rPr>
          <w:b/>
          <w:lang w:val="fr-FR"/>
        </w:rPr>
        <w:t xml:space="preserve"> (150 pieds carrés), ou d</w:t>
      </w:r>
      <w:r w:rsidR="00F13177">
        <w:rPr>
          <w:b/>
          <w:lang w:val="fr-FR"/>
        </w:rPr>
        <w:t>’</w:t>
      </w:r>
      <w:r w:rsidRPr="00BE2A85">
        <w:rPr>
          <w:b/>
          <w:lang w:val="fr-FR"/>
        </w:rPr>
        <w:t>au moins 7 m</w:t>
      </w:r>
      <w:r w:rsidRPr="00BE2A85">
        <w:rPr>
          <w:b/>
          <w:vertAlign w:val="superscript"/>
          <w:lang w:val="fr-FR"/>
        </w:rPr>
        <w:t>2</w:t>
      </w:r>
      <w:r w:rsidRPr="00BE2A85">
        <w:rPr>
          <w:b/>
          <w:lang w:val="fr-FR"/>
        </w:rPr>
        <w:t xml:space="preserve"> (75 pieds carrés) dans le cas où le conteneur est doté de pièces de coin supérieures.</w:t>
      </w:r>
      <w:r w:rsidRPr="008170F8">
        <w:rPr>
          <w:lang w:val="fr-FR"/>
        </w:rPr>
        <w:t xml:space="preserve"> </w:t>
      </w:r>
      <w:r>
        <w:rPr>
          <w:lang w:val="fr-FR"/>
        </w:rPr>
        <w:t xml:space="preserve">». </w:t>
      </w:r>
    </w:p>
    <w:p w:rsidR="003D0286" w:rsidRPr="00F861B8" w:rsidRDefault="00BE2A85" w:rsidP="00BE2A85">
      <w:pPr>
        <w:pStyle w:val="H23G"/>
      </w:pPr>
      <w:r>
        <w:rPr>
          <w:lang w:val="fr-FR"/>
        </w:rPr>
        <w:tab/>
      </w:r>
      <w:r>
        <w:rPr>
          <w:lang w:val="fr-FR"/>
        </w:rPr>
        <w:tab/>
      </w:r>
      <w:r w:rsidR="003D0286" w:rsidRPr="00F861B8">
        <w:rPr>
          <w:lang w:val="fr-FR"/>
        </w:rPr>
        <w:t>Justification</w:t>
      </w:r>
    </w:p>
    <w:p w:rsidR="003D0286" w:rsidRPr="0039589F" w:rsidRDefault="003D0286" w:rsidP="00BE2A85">
      <w:pPr>
        <w:pStyle w:val="SingleTxtG"/>
      </w:pPr>
      <w:r>
        <w:rPr>
          <w:lang w:val="fr-FR"/>
        </w:rPr>
        <w:t>10.</w:t>
      </w:r>
      <w:r>
        <w:rPr>
          <w:lang w:val="fr-FR"/>
        </w:rPr>
        <w:tab/>
        <w:t>La Fédération de Russie a harmonisé la définition du terme « conteneur de marchandises » avec les textes suivants : norme ISO 830 99, Convention internationale pour la sécurité des conteneurs (CSC), Convention douanière relative aux conteneurs et Règles du Registre maritime russe.</w:t>
      </w:r>
    </w:p>
    <w:p w:rsidR="003D0286" w:rsidRPr="0039589F" w:rsidRDefault="00BE2A85" w:rsidP="00BE2A85">
      <w:pPr>
        <w:pStyle w:val="HChG"/>
      </w:pPr>
      <w:r>
        <w:rPr>
          <w:lang w:val="fr-FR"/>
        </w:rPr>
        <w:tab/>
      </w:r>
      <w:r w:rsidR="003D0286">
        <w:rPr>
          <w:lang w:val="fr-FR"/>
        </w:rPr>
        <w:t>IV.</w:t>
      </w:r>
      <w:r w:rsidR="003D0286">
        <w:rPr>
          <w:lang w:val="fr-FR"/>
        </w:rPr>
        <w:tab/>
        <w:t xml:space="preserve">Proposition 4 </w:t>
      </w:r>
    </w:p>
    <w:p w:rsidR="003D0286" w:rsidRPr="00EB4419" w:rsidRDefault="003D0286" w:rsidP="00BE2A85">
      <w:pPr>
        <w:pStyle w:val="H23G"/>
      </w:pPr>
      <w:r>
        <w:rPr>
          <w:lang w:val="fr-FR"/>
        </w:rPr>
        <w:tab/>
      </w:r>
      <w:r>
        <w:rPr>
          <w:lang w:val="fr-FR"/>
        </w:rPr>
        <w:tab/>
        <w:t>« Petit conteneur »</w:t>
      </w:r>
    </w:p>
    <w:p w:rsidR="003D0286" w:rsidRPr="0039589F" w:rsidRDefault="003D0286" w:rsidP="00BE2A85">
      <w:pPr>
        <w:pStyle w:val="SingleTxtG"/>
      </w:pPr>
      <w:r>
        <w:rPr>
          <w:lang w:val="fr-FR"/>
        </w:rPr>
        <w:t>11.</w:t>
      </w:r>
      <w:r>
        <w:rPr>
          <w:lang w:val="fr-FR"/>
        </w:rPr>
        <w:tab/>
        <w:t>Proposition de la Fédération de Russie visant à modifier et à compléter la définition proposée par les Pays-Bas dans le document ECE/TRANS/WP.11/2015/17 (proposition 4) :</w:t>
      </w:r>
    </w:p>
    <w:p w:rsidR="003D0286" w:rsidRPr="0039589F" w:rsidRDefault="003D0286" w:rsidP="00F4733E">
      <w:pPr>
        <w:pStyle w:val="SingleTxtG"/>
      </w:pPr>
      <w:r>
        <w:rPr>
          <w:lang w:val="fr-FR"/>
        </w:rPr>
        <w:t xml:space="preserve">« </w:t>
      </w:r>
      <w:r w:rsidRPr="00C7133B">
        <w:rPr>
          <w:i/>
          <w:lang w:val="fr-FR"/>
        </w:rPr>
        <w:t>Petit conteneur désigne un conteneur</w:t>
      </w:r>
      <w:r>
        <w:rPr>
          <w:lang w:val="fr-FR"/>
        </w:rPr>
        <w:t xml:space="preserve"> </w:t>
      </w:r>
      <w:r w:rsidRPr="00C7133B">
        <w:rPr>
          <w:lang w:val="fr-FR"/>
        </w:rPr>
        <w:t>dont les dimensions extérieures hors tout (longueur, largeur et hauteur) sont inférieures à 1,50 m ou</w:t>
      </w:r>
      <w:r>
        <w:rPr>
          <w:lang w:val="fr-FR"/>
        </w:rPr>
        <w:t xml:space="preserve"> </w:t>
      </w:r>
      <w:r w:rsidRPr="00C7133B">
        <w:rPr>
          <w:i/>
          <w:lang w:val="fr-FR"/>
        </w:rPr>
        <w:t>dont le volume intérieur ne dépasse pas</w:t>
      </w:r>
      <w:r>
        <w:rPr>
          <w:lang w:val="fr-FR"/>
        </w:rPr>
        <w:t xml:space="preserve"> </w:t>
      </w:r>
      <w:r w:rsidRPr="00C7133B">
        <w:rPr>
          <w:strike/>
          <w:lang w:val="fr-FR"/>
        </w:rPr>
        <w:t>2</w:t>
      </w:r>
      <w:r w:rsidR="00D12348">
        <w:rPr>
          <w:lang w:val="fr-FR"/>
        </w:rPr>
        <w:t> </w:t>
      </w:r>
      <w:r w:rsidRPr="00C7133B">
        <w:rPr>
          <w:lang w:val="fr-FR"/>
        </w:rPr>
        <w:t>3</w:t>
      </w:r>
      <w:r w:rsidR="00D12348">
        <w:rPr>
          <w:lang w:val="fr-FR"/>
        </w:rPr>
        <w:t> </w:t>
      </w:r>
      <w:r w:rsidRPr="00C7133B">
        <w:rPr>
          <w:i/>
          <w:lang w:val="fr-FR"/>
        </w:rPr>
        <w:t>m</w:t>
      </w:r>
      <w:r w:rsidRPr="00C7133B">
        <w:rPr>
          <w:i/>
          <w:vertAlign w:val="superscript"/>
          <w:lang w:val="fr-FR"/>
        </w:rPr>
        <w:t>3</w:t>
      </w:r>
      <w:r>
        <w:rPr>
          <w:lang w:val="fr-FR"/>
        </w:rPr>
        <w:t>. ».</w:t>
      </w:r>
    </w:p>
    <w:p w:rsidR="003D0286" w:rsidRPr="00F861B8" w:rsidRDefault="00F4733E" w:rsidP="00F4733E">
      <w:pPr>
        <w:pStyle w:val="H23G"/>
      </w:pPr>
      <w:r>
        <w:rPr>
          <w:lang w:val="fr-FR"/>
        </w:rPr>
        <w:tab/>
      </w:r>
      <w:r>
        <w:rPr>
          <w:lang w:val="fr-FR"/>
        </w:rPr>
        <w:tab/>
      </w:r>
      <w:r w:rsidR="003D0286" w:rsidRPr="00F861B8">
        <w:rPr>
          <w:lang w:val="fr-FR"/>
        </w:rPr>
        <w:t>Justification</w:t>
      </w:r>
    </w:p>
    <w:p w:rsidR="003D0286" w:rsidRPr="0039589F" w:rsidRDefault="003D0286" w:rsidP="00F4733E">
      <w:pPr>
        <w:pStyle w:val="SingleTxtG"/>
      </w:pPr>
      <w:r>
        <w:rPr>
          <w:lang w:val="fr-FR"/>
        </w:rPr>
        <w:t>12.</w:t>
      </w:r>
      <w:r>
        <w:rPr>
          <w:lang w:val="fr-FR"/>
        </w:rPr>
        <w:tab/>
        <w:t>Cette définition du terme « petit conteneur » correspond à celle qu</w:t>
      </w:r>
      <w:r w:rsidR="00F13177">
        <w:rPr>
          <w:lang w:val="fr-FR"/>
        </w:rPr>
        <w:t>’</w:t>
      </w:r>
      <w:r>
        <w:rPr>
          <w:lang w:val="fr-FR"/>
        </w:rPr>
        <w:t>on trouve dans l</w:t>
      </w:r>
      <w:r w:rsidR="00F13177">
        <w:rPr>
          <w:lang w:val="fr-FR"/>
        </w:rPr>
        <w:t>’</w:t>
      </w:r>
      <w:r>
        <w:rPr>
          <w:lang w:val="fr-FR"/>
        </w:rPr>
        <w:t>Accord européen relatif au transport international des marchandises dangereuses par route (ADR, Comité des transports intérieurs de la Commission économique pour l</w:t>
      </w:r>
      <w:r w:rsidR="00F13177">
        <w:rPr>
          <w:lang w:val="fr-FR"/>
        </w:rPr>
        <w:t>’</w:t>
      </w:r>
      <w:r>
        <w:rPr>
          <w:lang w:val="fr-FR"/>
        </w:rPr>
        <w:t>Europe de l</w:t>
      </w:r>
      <w:r w:rsidR="00F13177">
        <w:rPr>
          <w:lang w:val="fr-FR"/>
        </w:rPr>
        <w:t>’</w:t>
      </w:r>
      <w:r>
        <w:rPr>
          <w:lang w:val="fr-FR"/>
        </w:rPr>
        <w:t>ONU), annexe А, partie 1 (te</w:t>
      </w:r>
      <w:r w:rsidR="00D12348">
        <w:rPr>
          <w:lang w:val="fr-FR"/>
        </w:rPr>
        <w:t>xte en vigueur à compter du 1</w:t>
      </w:r>
      <w:r w:rsidR="00D12348" w:rsidRPr="00D12348">
        <w:rPr>
          <w:vertAlign w:val="superscript"/>
          <w:lang w:val="fr-FR"/>
        </w:rPr>
        <w:t>er</w:t>
      </w:r>
      <w:r w:rsidR="00D12348">
        <w:rPr>
          <w:lang w:val="fr-FR"/>
        </w:rPr>
        <w:t xml:space="preserve"> </w:t>
      </w:r>
      <w:r>
        <w:rPr>
          <w:lang w:val="fr-FR"/>
        </w:rPr>
        <w:t>janvier 2011).</w:t>
      </w:r>
    </w:p>
    <w:p w:rsidR="003D0286" w:rsidRPr="0039589F" w:rsidRDefault="00F4733E" w:rsidP="00F4733E">
      <w:pPr>
        <w:pStyle w:val="HChG"/>
      </w:pPr>
      <w:r>
        <w:rPr>
          <w:lang w:val="fr-FR"/>
        </w:rPr>
        <w:tab/>
      </w:r>
      <w:r w:rsidR="003D0286">
        <w:rPr>
          <w:lang w:val="fr-FR"/>
        </w:rPr>
        <w:t>V.</w:t>
      </w:r>
      <w:r w:rsidR="003D0286">
        <w:rPr>
          <w:lang w:val="fr-FR"/>
        </w:rPr>
        <w:tab/>
        <w:t xml:space="preserve">Proposition 5 </w:t>
      </w:r>
    </w:p>
    <w:p w:rsidR="003D0286" w:rsidRPr="00EB4419" w:rsidRDefault="003D0286" w:rsidP="00F4733E">
      <w:pPr>
        <w:pStyle w:val="H23G"/>
      </w:pPr>
      <w:r>
        <w:rPr>
          <w:lang w:val="fr-FR"/>
        </w:rPr>
        <w:tab/>
      </w:r>
      <w:r>
        <w:rPr>
          <w:lang w:val="fr-FR"/>
        </w:rPr>
        <w:tab/>
        <w:t>« Dispositif thermique »</w:t>
      </w:r>
    </w:p>
    <w:p w:rsidR="003D0286" w:rsidRPr="0039589F" w:rsidRDefault="003D0286" w:rsidP="00F4733E">
      <w:pPr>
        <w:pStyle w:val="SingleTxtG"/>
      </w:pPr>
      <w:r>
        <w:rPr>
          <w:lang w:val="fr-FR"/>
        </w:rPr>
        <w:t>13.</w:t>
      </w:r>
      <w:r>
        <w:rPr>
          <w:lang w:val="fr-FR"/>
        </w:rPr>
        <w:tab/>
        <w:t>Proposition de la Fédération de Russie visant à modifier et à compléter la définition proposée par les Pays-Bas dans le document ECE/TRANS/WP.11/2015/17 (proposition 5) :</w:t>
      </w:r>
    </w:p>
    <w:p w:rsidR="00776778" w:rsidRDefault="00483CC1" w:rsidP="00776778">
      <w:pPr>
        <w:pStyle w:val="SingleTxtG"/>
        <w:rPr>
          <w:lang w:val="fr-FR"/>
        </w:rPr>
      </w:pPr>
      <w:r>
        <w:rPr>
          <w:lang w:val="fr-FR"/>
        </w:rPr>
        <w:t>« </w:t>
      </w:r>
      <w:r w:rsidR="003D0286" w:rsidRPr="00C20E52">
        <w:rPr>
          <w:i/>
          <w:lang w:val="fr-FR"/>
        </w:rPr>
        <w:t>Dispositif thermique désigne un appareil conçu pour produire de l</w:t>
      </w:r>
      <w:r w:rsidR="00F13177">
        <w:rPr>
          <w:i/>
          <w:lang w:val="fr-FR"/>
        </w:rPr>
        <w:t>’</w:t>
      </w:r>
      <w:r w:rsidR="003D0286" w:rsidRPr="00C20E52">
        <w:rPr>
          <w:i/>
          <w:lang w:val="fr-FR"/>
        </w:rPr>
        <w:t>énergie afin d</w:t>
      </w:r>
      <w:r w:rsidR="00F13177">
        <w:rPr>
          <w:i/>
          <w:lang w:val="fr-FR"/>
        </w:rPr>
        <w:t>’</w:t>
      </w:r>
      <w:r w:rsidR="003D0286" w:rsidRPr="00C20E52">
        <w:rPr>
          <w:i/>
          <w:lang w:val="fr-FR"/>
        </w:rPr>
        <w:t>augmenter ou de diminuer la température</w:t>
      </w:r>
      <w:r w:rsidR="003D0286">
        <w:rPr>
          <w:lang w:val="fr-FR"/>
        </w:rPr>
        <w:t xml:space="preserve"> </w:t>
      </w:r>
      <w:r w:rsidR="003D0286" w:rsidRPr="00F4733E">
        <w:rPr>
          <w:b/>
          <w:lang w:val="fr-FR"/>
        </w:rPr>
        <w:t>de l</w:t>
      </w:r>
      <w:r w:rsidR="00F13177">
        <w:rPr>
          <w:b/>
          <w:lang w:val="fr-FR"/>
        </w:rPr>
        <w:t>’</w:t>
      </w:r>
      <w:r w:rsidR="003D0286" w:rsidRPr="00F4733E">
        <w:rPr>
          <w:b/>
          <w:lang w:val="fr-FR"/>
        </w:rPr>
        <w:t>air</w:t>
      </w:r>
      <w:r w:rsidR="003D0286">
        <w:rPr>
          <w:lang w:val="fr-FR"/>
        </w:rPr>
        <w:t xml:space="preserve"> </w:t>
      </w:r>
      <w:r w:rsidR="003D0286" w:rsidRPr="00C20E52">
        <w:rPr>
          <w:i/>
          <w:lang w:val="fr-FR"/>
        </w:rPr>
        <w:t>à l</w:t>
      </w:r>
      <w:r w:rsidR="00F13177">
        <w:rPr>
          <w:i/>
          <w:lang w:val="fr-FR"/>
        </w:rPr>
        <w:t>’</w:t>
      </w:r>
      <w:r w:rsidR="003D0286" w:rsidRPr="00C20E52">
        <w:rPr>
          <w:i/>
          <w:lang w:val="fr-FR"/>
        </w:rPr>
        <w:t>intérieur d</w:t>
      </w:r>
      <w:r w:rsidR="00F13177">
        <w:rPr>
          <w:i/>
          <w:lang w:val="fr-FR"/>
        </w:rPr>
        <w:t>’</w:t>
      </w:r>
      <w:r w:rsidR="003D0286" w:rsidRPr="00C20E52">
        <w:rPr>
          <w:i/>
          <w:lang w:val="fr-FR"/>
        </w:rPr>
        <w:t>une caisse isotherme.</w:t>
      </w:r>
      <w:r w:rsidR="003D0286">
        <w:rPr>
          <w:lang w:val="fr-FR"/>
        </w:rPr>
        <w:t xml:space="preserve"> </w:t>
      </w:r>
      <w:r w:rsidR="003D0286" w:rsidRPr="00776778">
        <w:rPr>
          <w:b/>
          <w:lang w:val="fr-FR"/>
        </w:rPr>
        <w:t>On trouve</w:t>
      </w:r>
      <w:r w:rsidR="003D0286">
        <w:rPr>
          <w:lang w:val="fr-FR"/>
        </w:rPr>
        <w:t xml:space="preserve"> </w:t>
      </w:r>
      <w:r w:rsidR="003D0286" w:rsidRPr="00C20E52">
        <w:rPr>
          <w:strike/>
          <w:lang w:val="fr-FR"/>
        </w:rPr>
        <w:t>U</w:t>
      </w:r>
      <w:r w:rsidR="003D0286" w:rsidRPr="00776778">
        <w:rPr>
          <w:b/>
          <w:lang w:val="fr-FR"/>
        </w:rPr>
        <w:t>u</w:t>
      </w:r>
      <w:r w:rsidR="003D0286" w:rsidRPr="00C20E52">
        <w:rPr>
          <w:lang w:val="fr-FR"/>
        </w:rPr>
        <w:t xml:space="preserve">n </w:t>
      </w:r>
      <w:r w:rsidR="003D0286" w:rsidRPr="00C20E52">
        <w:rPr>
          <w:i/>
          <w:lang w:val="fr-FR"/>
        </w:rPr>
        <w:t>dispositif thermique</w:t>
      </w:r>
      <w:r w:rsidR="003D0286" w:rsidRPr="00C20E52">
        <w:rPr>
          <w:strike/>
          <w:lang w:val="fr-FR"/>
        </w:rPr>
        <w:t xml:space="preserve"> peut être réfrigérant, frigorifique, calorifique ou [frigorifique et calorifique].»</w:t>
      </w:r>
      <w:r w:rsidR="003D0286">
        <w:rPr>
          <w:lang w:val="fr-FR"/>
        </w:rPr>
        <w:t xml:space="preserve"> </w:t>
      </w:r>
      <w:r w:rsidR="003D0286" w:rsidRPr="00776778">
        <w:rPr>
          <w:b/>
          <w:lang w:val="fr-FR"/>
        </w:rPr>
        <w:t>dans :</w:t>
      </w:r>
      <w:r w:rsidR="003D0286">
        <w:rPr>
          <w:lang w:val="fr-FR"/>
        </w:rPr>
        <w:t xml:space="preserve"> </w:t>
      </w:r>
    </w:p>
    <w:p w:rsidR="00776778" w:rsidRPr="00776778" w:rsidRDefault="003D0286" w:rsidP="00776778">
      <w:pPr>
        <w:pStyle w:val="SingleTxtG"/>
        <w:rPr>
          <w:b/>
          <w:lang w:val="fr-FR"/>
        </w:rPr>
      </w:pPr>
      <w:r w:rsidRPr="00776778">
        <w:rPr>
          <w:b/>
          <w:lang w:val="fr-FR"/>
        </w:rPr>
        <w:t>Un engin réfrigérant, dans lequel le froid est produit en utilisant de la glace naturelle avec ou sans addition de sel, des plaques eutectiques, de la glace carbonique avec ou sans réglage de sublimation, du gaz liquéfié avec ou sans réglage d</w:t>
      </w:r>
      <w:r w:rsidR="00F13177">
        <w:rPr>
          <w:b/>
          <w:lang w:val="fr-FR"/>
        </w:rPr>
        <w:t>’</w:t>
      </w:r>
      <w:r w:rsidRPr="00776778">
        <w:rPr>
          <w:b/>
          <w:lang w:val="fr-FR"/>
        </w:rPr>
        <w:t>évaporation, etc.</w:t>
      </w:r>
      <w:r w:rsidR="00F13177">
        <w:rPr>
          <w:b/>
          <w:lang w:val="fr-FR"/>
        </w:rPr>
        <w:t xml:space="preserve"> ;</w:t>
      </w:r>
      <w:r w:rsidRPr="00776778">
        <w:rPr>
          <w:b/>
          <w:lang w:val="fr-FR"/>
        </w:rPr>
        <w:t xml:space="preserve"> </w:t>
      </w:r>
    </w:p>
    <w:p w:rsidR="00776778" w:rsidRPr="00776778" w:rsidRDefault="003D0286" w:rsidP="00776778">
      <w:pPr>
        <w:pStyle w:val="SingleTxtG"/>
        <w:rPr>
          <w:b/>
          <w:lang w:val="fr-FR"/>
        </w:rPr>
      </w:pPr>
      <w:r w:rsidRPr="00776778">
        <w:rPr>
          <w:b/>
          <w:lang w:val="fr-FR"/>
        </w:rPr>
        <w:t>Un engin frigorifique, muni d</w:t>
      </w:r>
      <w:r w:rsidR="00F13177">
        <w:rPr>
          <w:b/>
          <w:lang w:val="fr-FR"/>
        </w:rPr>
        <w:t>’</w:t>
      </w:r>
      <w:r w:rsidRPr="00776778">
        <w:rPr>
          <w:b/>
          <w:lang w:val="fr-FR"/>
        </w:rPr>
        <w:t xml:space="preserve">un dispositif de production de froid individuel ou collectif pour plusieurs engins de transport (groupe mécanique à compression, machine à </w:t>
      </w:r>
      <w:r w:rsidR="00CB2910">
        <w:rPr>
          <w:b/>
          <w:lang w:val="fr-FR"/>
        </w:rPr>
        <w:t>“</w:t>
      </w:r>
      <w:r w:rsidRPr="00776778">
        <w:rPr>
          <w:b/>
          <w:lang w:val="fr-FR"/>
        </w:rPr>
        <w:t>absorption</w:t>
      </w:r>
      <w:r w:rsidR="00CB2910">
        <w:rPr>
          <w:b/>
          <w:lang w:val="fr-FR"/>
        </w:rPr>
        <w:t>”</w:t>
      </w:r>
      <w:r w:rsidRPr="00776778">
        <w:rPr>
          <w:b/>
          <w:lang w:val="fr-FR"/>
        </w:rPr>
        <w:t>, etc.) ;</w:t>
      </w:r>
    </w:p>
    <w:p w:rsidR="00776778" w:rsidRPr="00776778" w:rsidRDefault="003D0286" w:rsidP="00776778">
      <w:pPr>
        <w:pStyle w:val="SingleTxtG"/>
        <w:rPr>
          <w:b/>
          <w:lang w:val="fr-FR"/>
        </w:rPr>
      </w:pPr>
      <w:r w:rsidRPr="00776778">
        <w:rPr>
          <w:b/>
          <w:lang w:val="fr-FR"/>
        </w:rPr>
        <w:t>Un engin calorifique, muni d</w:t>
      </w:r>
      <w:r w:rsidR="00F13177">
        <w:rPr>
          <w:b/>
          <w:lang w:val="fr-FR"/>
        </w:rPr>
        <w:t>’</w:t>
      </w:r>
      <w:r w:rsidRPr="00776778">
        <w:rPr>
          <w:b/>
          <w:lang w:val="fr-FR"/>
        </w:rPr>
        <w:t>un dispositif de production de chaleur ;</w:t>
      </w:r>
    </w:p>
    <w:p w:rsidR="003D0286" w:rsidRPr="00D00E89" w:rsidRDefault="003D0286" w:rsidP="00776778">
      <w:pPr>
        <w:pStyle w:val="SingleTxtG"/>
      </w:pPr>
      <w:r w:rsidRPr="00776778">
        <w:rPr>
          <w:b/>
          <w:lang w:val="fr-FR"/>
        </w:rPr>
        <w:t>Un engin frigorifique et calorifique, muni d</w:t>
      </w:r>
      <w:r w:rsidR="00F13177">
        <w:rPr>
          <w:b/>
          <w:lang w:val="fr-FR"/>
        </w:rPr>
        <w:t>’</w:t>
      </w:r>
      <w:r w:rsidRPr="00776778">
        <w:rPr>
          <w:b/>
          <w:lang w:val="fr-FR"/>
        </w:rPr>
        <w:t xml:space="preserve">un dispositif de production de froid individuel ou collectif pour plusieurs engins de transport (groupe mécanique à compression, machine à </w:t>
      </w:r>
      <w:r w:rsidR="00CB2910">
        <w:rPr>
          <w:b/>
          <w:lang w:val="fr-FR"/>
        </w:rPr>
        <w:t>“</w:t>
      </w:r>
      <w:r w:rsidRPr="00776778">
        <w:rPr>
          <w:b/>
          <w:lang w:val="fr-FR"/>
        </w:rPr>
        <w:t>absorption</w:t>
      </w:r>
      <w:r w:rsidR="00CB2910">
        <w:rPr>
          <w:b/>
          <w:lang w:val="fr-FR"/>
        </w:rPr>
        <w:t>”</w:t>
      </w:r>
      <w:r w:rsidRPr="00776778">
        <w:rPr>
          <w:b/>
          <w:lang w:val="fr-FR"/>
        </w:rPr>
        <w:t>, etc.) et d</w:t>
      </w:r>
      <w:r w:rsidR="00F13177">
        <w:rPr>
          <w:b/>
          <w:lang w:val="fr-FR"/>
        </w:rPr>
        <w:t>’</w:t>
      </w:r>
      <w:r w:rsidRPr="00776778">
        <w:rPr>
          <w:b/>
          <w:lang w:val="fr-FR"/>
        </w:rPr>
        <w:t>un dispositif de production de chaleur (appareil électrique ou autre), ou d</w:t>
      </w:r>
      <w:r w:rsidR="00F13177">
        <w:rPr>
          <w:b/>
          <w:lang w:val="fr-FR"/>
        </w:rPr>
        <w:t>’</w:t>
      </w:r>
      <w:r w:rsidRPr="00776778">
        <w:rPr>
          <w:b/>
          <w:lang w:val="fr-FR"/>
        </w:rPr>
        <w:t>un dispositif de production de froid et de chaleur.</w:t>
      </w:r>
      <w:r w:rsidR="00483CC1">
        <w:rPr>
          <w:lang w:val="fr-FR"/>
        </w:rPr>
        <w:t> »</w:t>
      </w:r>
      <w:r>
        <w:rPr>
          <w:lang w:val="fr-FR"/>
        </w:rPr>
        <w:t>.</w:t>
      </w:r>
    </w:p>
    <w:p w:rsidR="003D0286" w:rsidRPr="00F861B8" w:rsidRDefault="00776778" w:rsidP="00776778">
      <w:pPr>
        <w:pStyle w:val="H23G"/>
      </w:pPr>
      <w:r>
        <w:rPr>
          <w:lang w:val="fr-FR"/>
        </w:rPr>
        <w:lastRenderedPageBreak/>
        <w:tab/>
      </w:r>
      <w:r>
        <w:rPr>
          <w:lang w:val="fr-FR"/>
        </w:rPr>
        <w:tab/>
      </w:r>
      <w:r w:rsidR="003D0286" w:rsidRPr="00F861B8">
        <w:rPr>
          <w:lang w:val="fr-FR"/>
        </w:rPr>
        <w:t>Justification</w:t>
      </w:r>
    </w:p>
    <w:p w:rsidR="003D0286" w:rsidRPr="0039589F" w:rsidRDefault="003D0286" w:rsidP="00776778">
      <w:pPr>
        <w:pStyle w:val="SingleTxtG"/>
      </w:pPr>
      <w:r>
        <w:rPr>
          <w:lang w:val="fr-FR"/>
        </w:rPr>
        <w:t>14.</w:t>
      </w:r>
      <w:r>
        <w:rPr>
          <w:lang w:val="fr-FR"/>
        </w:rPr>
        <w:tab/>
        <w:t>Conformément à la norme GOST EN 1070-2003, « un dispositif est un ensemble de pièces ou mécanismes liés entre eux, dont l</w:t>
      </w:r>
      <w:r w:rsidR="00F13177">
        <w:rPr>
          <w:lang w:val="fr-FR"/>
        </w:rPr>
        <w:t>’</w:t>
      </w:r>
      <w:r>
        <w:rPr>
          <w:lang w:val="fr-FR"/>
        </w:rPr>
        <w:t>un au moins est en mouvement, auquel s</w:t>
      </w:r>
      <w:r w:rsidR="00F13177">
        <w:rPr>
          <w:lang w:val="fr-FR"/>
        </w:rPr>
        <w:t>’</w:t>
      </w:r>
      <w:r>
        <w:rPr>
          <w:lang w:val="fr-FR"/>
        </w:rPr>
        <w:t>ajoutent des éléments de transmission et de commande et un réseau électrique, et qui sont conçus aux fins d</w:t>
      </w:r>
      <w:r w:rsidR="00F13177">
        <w:rPr>
          <w:lang w:val="fr-FR"/>
        </w:rPr>
        <w:t>’</w:t>
      </w:r>
      <w:r>
        <w:rPr>
          <w:lang w:val="fr-FR"/>
        </w:rPr>
        <w:t>une application particulière, notamment pour le traitement, la production, le déplacement ou l</w:t>
      </w:r>
      <w:r w:rsidR="00F13177">
        <w:rPr>
          <w:lang w:val="fr-FR"/>
        </w:rPr>
        <w:t>’</w:t>
      </w:r>
      <w:r>
        <w:rPr>
          <w:lang w:val="fr-FR"/>
        </w:rPr>
        <w:t>emballage d</w:t>
      </w:r>
      <w:r w:rsidR="00F13177">
        <w:rPr>
          <w:lang w:val="fr-FR"/>
        </w:rPr>
        <w:t>’</w:t>
      </w:r>
      <w:r>
        <w:rPr>
          <w:lang w:val="fr-FR"/>
        </w:rPr>
        <w:t xml:space="preserve">un objet. Ce terme désigne également un ensemble de machines conçues et commandées de façon à fonctionner comme un tout </w:t>
      </w:r>
      <w:r w:rsidR="00776778">
        <w:rPr>
          <w:lang w:val="fr-FR"/>
        </w:rPr>
        <w:t>pour obtenir un résultat donné ».</w:t>
      </w:r>
    </w:p>
    <w:p w:rsidR="003D0286" w:rsidRPr="0039589F" w:rsidRDefault="003D0286" w:rsidP="00776778">
      <w:pPr>
        <w:pStyle w:val="SingleTxtG"/>
      </w:pPr>
      <w:r>
        <w:rPr>
          <w:lang w:val="fr-FR"/>
        </w:rPr>
        <w:t>15.</w:t>
      </w:r>
      <w:r>
        <w:rPr>
          <w:lang w:val="fr-FR"/>
        </w:rPr>
        <w:tab/>
      </w:r>
      <w:r w:rsidRPr="00A8105D">
        <w:rPr>
          <w:lang w:val="fr-FR"/>
        </w:rPr>
        <w:t>Aux fins de l</w:t>
      </w:r>
      <w:r w:rsidR="00F13177">
        <w:rPr>
          <w:lang w:val="fr-FR"/>
        </w:rPr>
        <w:t>’</w:t>
      </w:r>
      <w:r w:rsidRPr="00A8105D">
        <w:rPr>
          <w:lang w:val="fr-FR"/>
        </w:rPr>
        <w:t>ATP</w:t>
      </w:r>
      <w:r>
        <w:rPr>
          <w:lang w:val="fr-FR"/>
        </w:rPr>
        <w:t xml:space="preserve"> cependant, la Fédération de Russie juge qu</w:t>
      </w:r>
      <w:r w:rsidR="00F13177">
        <w:rPr>
          <w:lang w:val="fr-FR"/>
        </w:rPr>
        <w:t>’</w:t>
      </w:r>
      <w:r>
        <w:rPr>
          <w:lang w:val="fr-FR"/>
        </w:rPr>
        <w:t>il est approprié d</w:t>
      </w:r>
      <w:r w:rsidR="00F13177">
        <w:rPr>
          <w:lang w:val="fr-FR"/>
        </w:rPr>
        <w:t>’</w:t>
      </w:r>
      <w:r>
        <w:rPr>
          <w:lang w:val="fr-FR"/>
        </w:rPr>
        <w:t xml:space="preserve">adopter la définition du terme « dispositif thermique » proposée par les Pays-Bas dans les documents ECE/TRANS/WP.11/2015/17 et INF.13. </w:t>
      </w:r>
    </w:p>
    <w:p w:rsidR="003D0286" w:rsidRDefault="003D0286" w:rsidP="00776778">
      <w:pPr>
        <w:pStyle w:val="SingleTxtG"/>
      </w:pPr>
      <w:r>
        <w:rPr>
          <w:lang w:val="fr-FR"/>
        </w:rPr>
        <w:t>16.</w:t>
      </w:r>
      <w:r>
        <w:rPr>
          <w:lang w:val="fr-FR"/>
        </w:rPr>
        <w:tab/>
        <w:t xml:space="preserve">La proposition ci-dessus vise à apporter, </w:t>
      </w:r>
      <w:r w:rsidRPr="00A8105D">
        <w:rPr>
          <w:lang w:val="fr-FR"/>
        </w:rPr>
        <w:t>dans le contexte de l</w:t>
      </w:r>
      <w:r w:rsidR="00F13177">
        <w:rPr>
          <w:lang w:val="fr-FR"/>
        </w:rPr>
        <w:t>’</w:t>
      </w:r>
      <w:r w:rsidRPr="00A8105D">
        <w:rPr>
          <w:lang w:val="fr-FR"/>
        </w:rPr>
        <w:t>ATP</w:t>
      </w:r>
      <w:r>
        <w:rPr>
          <w:lang w:val="fr-FR"/>
        </w:rPr>
        <w:t>, des précisions à la définition du terme « dispositif thermique » proposée par les Pays-Bas.</w:t>
      </w:r>
    </w:p>
    <w:p w:rsidR="003D0286" w:rsidRPr="000A2ADA" w:rsidRDefault="00776778" w:rsidP="00776778">
      <w:pPr>
        <w:pStyle w:val="HChG"/>
      </w:pPr>
      <w:r>
        <w:rPr>
          <w:lang w:val="fr-FR"/>
        </w:rPr>
        <w:tab/>
      </w:r>
      <w:r w:rsidR="003D0286">
        <w:rPr>
          <w:lang w:val="fr-FR"/>
        </w:rPr>
        <w:t>VI.</w:t>
      </w:r>
      <w:r w:rsidR="003D0286">
        <w:rPr>
          <w:lang w:val="fr-FR"/>
        </w:rPr>
        <w:tab/>
        <w:t>Proposition 6</w:t>
      </w:r>
    </w:p>
    <w:p w:rsidR="003D0286" w:rsidRPr="00EB4419" w:rsidRDefault="003D0286" w:rsidP="00776778">
      <w:pPr>
        <w:pStyle w:val="H23G"/>
      </w:pPr>
      <w:r>
        <w:rPr>
          <w:lang w:val="fr-FR"/>
        </w:rPr>
        <w:tab/>
      </w:r>
      <w:r>
        <w:rPr>
          <w:lang w:val="fr-FR"/>
        </w:rPr>
        <w:tab/>
        <w:t>« Dispositif thermique amovible »</w:t>
      </w:r>
    </w:p>
    <w:p w:rsidR="003D0286" w:rsidRPr="002E2EAF" w:rsidRDefault="003D0286" w:rsidP="00776778">
      <w:pPr>
        <w:pStyle w:val="SingleTxtG"/>
      </w:pPr>
      <w:r>
        <w:rPr>
          <w:lang w:val="fr-FR"/>
        </w:rPr>
        <w:t>17.</w:t>
      </w:r>
      <w:r>
        <w:rPr>
          <w:lang w:val="fr-FR"/>
        </w:rPr>
        <w:tab/>
        <w:t>La Fédération de Russie approuve la définition proposée par les Pays-Bas, dans le document ECE/TRANS/WP.11/2015/17 (</w:t>
      </w:r>
      <w:r w:rsidR="00483CC1">
        <w:rPr>
          <w:lang w:val="fr-FR"/>
        </w:rPr>
        <w:t>proposition 6), pour le terme « </w:t>
      </w:r>
      <w:r>
        <w:rPr>
          <w:lang w:val="fr-FR"/>
        </w:rPr>
        <w:t xml:space="preserve">dispositif thermique amovible » </w:t>
      </w:r>
      <w:r w:rsidRPr="00A8105D">
        <w:rPr>
          <w:lang w:val="fr-FR"/>
        </w:rPr>
        <w:t>dans le contexte de l</w:t>
      </w:r>
      <w:r w:rsidR="00F13177">
        <w:rPr>
          <w:lang w:val="fr-FR"/>
        </w:rPr>
        <w:t>’</w:t>
      </w:r>
      <w:r w:rsidRPr="00A8105D">
        <w:rPr>
          <w:lang w:val="fr-FR"/>
        </w:rPr>
        <w:t>ATP</w:t>
      </w:r>
      <w:r>
        <w:rPr>
          <w:lang w:val="fr-FR"/>
        </w:rPr>
        <w:t>, car elle ne s</w:t>
      </w:r>
      <w:r w:rsidR="00F13177">
        <w:rPr>
          <w:lang w:val="fr-FR"/>
        </w:rPr>
        <w:t>’</w:t>
      </w:r>
      <w:r>
        <w:rPr>
          <w:lang w:val="fr-FR"/>
        </w:rPr>
        <w:t>oppose pas sur le fond aux définitions données pour ce même terme dans les documents ci-après</w:t>
      </w:r>
      <w:r w:rsidR="00F13177">
        <w:rPr>
          <w:lang w:val="fr-FR"/>
        </w:rPr>
        <w:t xml:space="preserve"> :</w:t>
      </w:r>
    </w:p>
    <w:p w:rsidR="003D0286" w:rsidRPr="002E2EAF" w:rsidRDefault="003D0286" w:rsidP="00776778">
      <w:pPr>
        <w:pStyle w:val="SingleTxtG"/>
      </w:pPr>
      <w:r>
        <w:rPr>
          <w:lang w:val="fr-FR"/>
        </w:rPr>
        <w:t>18.</w:t>
      </w:r>
      <w:r>
        <w:rPr>
          <w:lang w:val="fr-FR"/>
        </w:rPr>
        <w:tab/>
        <w:t xml:space="preserve">ISO 830-99, « Conteneurs pour le transport de marchandises. Теrmes </w:t>
      </w:r>
      <w:r w:rsidR="00276504">
        <w:rPr>
          <w:lang w:val="fr-FR"/>
        </w:rPr>
        <w:t>et définitions » et ISO 1496-2-200</w:t>
      </w:r>
      <w:r w:rsidR="00E54906">
        <w:rPr>
          <w:lang w:val="fr-FR"/>
        </w:rPr>
        <w:t>8, « </w:t>
      </w:r>
      <w:r>
        <w:rPr>
          <w:lang w:val="fr-FR"/>
        </w:rPr>
        <w:t xml:space="preserve">Conteneurs pour le transport de marchandises de la série 1 </w:t>
      </w:r>
      <w:r w:rsidR="00483CC1">
        <w:rPr>
          <w:lang w:val="fr-FR"/>
        </w:rPr>
        <w:t>− Spécifications et essais −</w:t>
      </w:r>
      <w:r>
        <w:rPr>
          <w:lang w:val="fr-FR"/>
        </w:rPr>
        <w:t xml:space="preserve"> Partie 2 : Conteneurs isothermes » : Amovible se dit d</w:t>
      </w:r>
      <w:r w:rsidR="00F13177">
        <w:rPr>
          <w:lang w:val="fr-FR"/>
        </w:rPr>
        <w:t>’</w:t>
      </w:r>
      <w:r w:rsidR="00483CC1">
        <w:rPr>
          <w:lang w:val="fr-FR"/>
        </w:rPr>
        <w:t>un « </w:t>
      </w:r>
      <w:r>
        <w:rPr>
          <w:lang w:val="fr-FR"/>
        </w:rPr>
        <w:t>dispositif frigorifique et/ou calorifique, ainsi que d</w:t>
      </w:r>
      <w:r w:rsidR="00F13177">
        <w:rPr>
          <w:lang w:val="fr-FR"/>
        </w:rPr>
        <w:t>’</w:t>
      </w:r>
      <w:r>
        <w:rPr>
          <w:lang w:val="fr-FR"/>
        </w:rPr>
        <w:t>un générateur fonctionnant au gazole, qui est conçu initialement pour être monté sur un conteneur isotherme ou pour être démonté de ce dernier en vue de l</w:t>
      </w:r>
      <w:r w:rsidR="00F13177">
        <w:rPr>
          <w:lang w:val="fr-FR"/>
        </w:rPr>
        <w:t>’</w:t>
      </w:r>
      <w:r>
        <w:rPr>
          <w:lang w:val="fr-FR"/>
        </w:rPr>
        <w:t>utilisation d</w:t>
      </w:r>
      <w:r w:rsidR="00F13177">
        <w:rPr>
          <w:lang w:val="fr-FR"/>
        </w:rPr>
        <w:t>’</w:t>
      </w:r>
      <w:r>
        <w:rPr>
          <w:lang w:val="fr-FR"/>
        </w:rPr>
        <w:t xml:space="preserve">un autre mode de transport. » ; </w:t>
      </w:r>
    </w:p>
    <w:p w:rsidR="003D0286" w:rsidRPr="002E2EAF" w:rsidRDefault="003D0286" w:rsidP="00776778">
      <w:pPr>
        <w:pStyle w:val="SingleTxtG"/>
      </w:pPr>
      <w:r>
        <w:rPr>
          <w:lang w:val="fr-FR"/>
        </w:rPr>
        <w:t>19.</w:t>
      </w:r>
      <w:r>
        <w:rPr>
          <w:lang w:val="fr-FR"/>
        </w:rPr>
        <w:tab/>
        <w:t>Règles</w:t>
      </w:r>
      <w:r w:rsidR="00015028">
        <w:rPr>
          <w:lang w:val="fr-FR"/>
        </w:rPr>
        <w:t xml:space="preserve"> du Registre maritime russe : « </w:t>
      </w:r>
      <w:r>
        <w:rPr>
          <w:lang w:val="fr-FR"/>
        </w:rPr>
        <w:t>Dispositif amovible − appareil frigorifique et/ou calorifique, générateur fonctionnant au gazole ou autre appareil prévu pour être monté sur un conteneur</w:t>
      </w:r>
      <w:r w:rsidR="00015028">
        <w:rPr>
          <w:lang w:val="fr-FR"/>
        </w:rPr>
        <w:t xml:space="preserve"> ou démonté de celui-ci. »</w:t>
      </w:r>
      <w:r>
        <w:rPr>
          <w:lang w:val="fr-FR"/>
        </w:rPr>
        <w:t>.</w:t>
      </w:r>
    </w:p>
    <w:p w:rsidR="003D0286" w:rsidRPr="006C69C2" w:rsidRDefault="00776778" w:rsidP="00776778">
      <w:pPr>
        <w:pStyle w:val="HChG"/>
      </w:pPr>
      <w:r>
        <w:rPr>
          <w:lang w:val="fr-FR"/>
        </w:rPr>
        <w:tab/>
      </w:r>
      <w:r w:rsidR="003D0286">
        <w:rPr>
          <w:lang w:val="fr-FR"/>
        </w:rPr>
        <w:t>VII.</w:t>
      </w:r>
      <w:r w:rsidR="003D0286">
        <w:rPr>
          <w:lang w:val="fr-FR"/>
        </w:rPr>
        <w:tab/>
        <w:t>Proposition 7</w:t>
      </w:r>
    </w:p>
    <w:p w:rsidR="003D0286" w:rsidRPr="00EB4419" w:rsidRDefault="003D0286" w:rsidP="00776778">
      <w:pPr>
        <w:pStyle w:val="H23G"/>
      </w:pPr>
      <w:r>
        <w:rPr>
          <w:lang w:val="fr-FR"/>
        </w:rPr>
        <w:t xml:space="preserve"> </w:t>
      </w:r>
      <w:r>
        <w:rPr>
          <w:lang w:val="fr-FR"/>
        </w:rPr>
        <w:tab/>
      </w:r>
      <w:r>
        <w:rPr>
          <w:lang w:val="fr-FR"/>
        </w:rPr>
        <w:tab/>
        <w:t>« Dispositif thermique non indépendant »</w:t>
      </w:r>
    </w:p>
    <w:p w:rsidR="003D0286" w:rsidRPr="002E2EAF" w:rsidRDefault="003D0286" w:rsidP="00776778">
      <w:pPr>
        <w:pStyle w:val="SingleTxtG"/>
      </w:pPr>
      <w:r>
        <w:rPr>
          <w:lang w:val="fr-FR"/>
        </w:rPr>
        <w:t>20.</w:t>
      </w:r>
      <w:r>
        <w:rPr>
          <w:lang w:val="fr-FR"/>
        </w:rPr>
        <w:tab/>
        <w:t>La Fédération de Russie approuve la définition proposée par les Pays-Bas, dans le document ECE/TRANS/WP.11/2015/17 (</w:t>
      </w:r>
      <w:r w:rsidR="00483CC1">
        <w:rPr>
          <w:lang w:val="fr-FR"/>
        </w:rPr>
        <w:t>proposition 7), pour le terme « </w:t>
      </w:r>
      <w:r>
        <w:rPr>
          <w:lang w:val="fr-FR"/>
        </w:rPr>
        <w:t xml:space="preserve">dispositif thermique non indépendant » </w:t>
      </w:r>
      <w:r w:rsidRPr="004F220C">
        <w:rPr>
          <w:lang w:val="fr-FR"/>
        </w:rPr>
        <w:t>dans le contexte de l</w:t>
      </w:r>
      <w:r w:rsidR="00F13177">
        <w:rPr>
          <w:lang w:val="fr-FR"/>
        </w:rPr>
        <w:t>’</w:t>
      </w:r>
      <w:r w:rsidRPr="004F220C">
        <w:rPr>
          <w:lang w:val="fr-FR"/>
        </w:rPr>
        <w:t>ATP</w:t>
      </w:r>
      <w:r>
        <w:rPr>
          <w:lang w:val="fr-FR"/>
        </w:rPr>
        <w:t>.</w:t>
      </w:r>
    </w:p>
    <w:p w:rsidR="003D0286" w:rsidRPr="002E2EAF" w:rsidRDefault="00776778" w:rsidP="00776778">
      <w:pPr>
        <w:pStyle w:val="HChG"/>
      </w:pPr>
      <w:r>
        <w:rPr>
          <w:lang w:val="fr-FR"/>
        </w:rPr>
        <w:tab/>
      </w:r>
      <w:r w:rsidR="003D0286">
        <w:rPr>
          <w:lang w:val="fr-FR"/>
        </w:rPr>
        <w:t>VIII.</w:t>
      </w:r>
      <w:r w:rsidR="003D0286">
        <w:rPr>
          <w:lang w:val="fr-FR"/>
        </w:rPr>
        <w:tab/>
        <w:t xml:space="preserve">Proposition 8 </w:t>
      </w:r>
    </w:p>
    <w:p w:rsidR="003D0286" w:rsidRPr="00EB4419" w:rsidRDefault="003D0286" w:rsidP="00776778">
      <w:pPr>
        <w:pStyle w:val="H23G"/>
      </w:pPr>
      <w:r>
        <w:rPr>
          <w:lang w:val="fr-FR"/>
        </w:rPr>
        <w:tab/>
      </w:r>
      <w:r>
        <w:rPr>
          <w:lang w:val="fr-FR"/>
        </w:rPr>
        <w:tab/>
        <w:t>« Engin à températures et compartiments multiples »</w:t>
      </w:r>
    </w:p>
    <w:p w:rsidR="003D0286" w:rsidRPr="002E2EAF" w:rsidRDefault="003D0286" w:rsidP="00776778">
      <w:pPr>
        <w:pStyle w:val="SingleTxtG"/>
      </w:pPr>
      <w:r>
        <w:rPr>
          <w:lang w:val="fr-FR"/>
        </w:rPr>
        <w:t>21.</w:t>
      </w:r>
      <w:r>
        <w:rPr>
          <w:lang w:val="fr-FR"/>
        </w:rPr>
        <w:tab/>
        <w:t>Proposition de la Fédération de Russie visant à modifier et à compléter la définition proposée par les Pays-Bas dans le document ECE/TRANS/WP.11/2015/17 (proposition 8) :</w:t>
      </w:r>
    </w:p>
    <w:p w:rsidR="003D0286" w:rsidRPr="002E2EAF" w:rsidRDefault="003D0286" w:rsidP="00776778">
      <w:pPr>
        <w:pStyle w:val="SingleTxtG"/>
      </w:pPr>
      <w:r>
        <w:rPr>
          <w:lang w:val="fr-FR"/>
        </w:rPr>
        <w:t>22.</w:t>
      </w:r>
      <w:r>
        <w:rPr>
          <w:lang w:val="fr-FR"/>
        </w:rPr>
        <w:tab/>
        <w:t>Sur la base de la proposition faite par les Pays-Bas, apporter les modifications et ajouts suivants aux alinéas a), b) et e) du paragraphe 7.1 de l</w:t>
      </w:r>
      <w:r w:rsidR="00F13177">
        <w:rPr>
          <w:lang w:val="fr-FR"/>
        </w:rPr>
        <w:t>’</w:t>
      </w:r>
      <w:r>
        <w:rPr>
          <w:lang w:val="fr-FR"/>
        </w:rPr>
        <w:t>appendice 2 à l</w:t>
      </w:r>
      <w:r w:rsidR="00F13177">
        <w:rPr>
          <w:lang w:val="fr-FR"/>
        </w:rPr>
        <w:t>’</w:t>
      </w:r>
      <w:r>
        <w:rPr>
          <w:lang w:val="fr-FR"/>
        </w:rPr>
        <w:t>annexe 1 de l</w:t>
      </w:r>
      <w:r w:rsidR="00F13177">
        <w:rPr>
          <w:lang w:val="fr-FR"/>
        </w:rPr>
        <w:t>’</w:t>
      </w:r>
      <w:r>
        <w:rPr>
          <w:lang w:val="fr-FR"/>
        </w:rPr>
        <w:t>ATP :</w:t>
      </w:r>
    </w:p>
    <w:p w:rsidR="003D0286" w:rsidRPr="00D00E89" w:rsidRDefault="00AC5172" w:rsidP="005D4BD1">
      <w:pPr>
        <w:pStyle w:val="SingleTxtGR"/>
        <w:keepNext/>
        <w:keepLines/>
        <w:rPr>
          <w:i/>
        </w:rPr>
      </w:pPr>
      <w:r>
        <w:rPr>
          <w:lang w:val="fr-FR"/>
        </w:rPr>
        <w:lastRenderedPageBreak/>
        <w:t>« </w:t>
      </w:r>
      <w:r w:rsidR="003D0286" w:rsidRPr="004F220C">
        <w:rPr>
          <w:i/>
          <w:lang w:val="fr-FR"/>
        </w:rPr>
        <w:t>7.1</w:t>
      </w:r>
      <w:r w:rsidR="003D0286" w:rsidRPr="004F220C">
        <w:rPr>
          <w:i/>
          <w:lang w:val="fr-FR"/>
        </w:rPr>
        <w:tab/>
        <w:t>Définitions</w:t>
      </w:r>
    </w:p>
    <w:p w:rsidR="003D0286" w:rsidRPr="002E2EAF" w:rsidRDefault="003D0286" w:rsidP="00AC5172">
      <w:pPr>
        <w:pStyle w:val="SingleTxtGR"/>
        <w:keepLines/>
        <w:rPr>
          <w:i/>
        </w:rPr>
      </w:pPr>
      <w:r w:rsidRPr="00B13839">
        <w:rPr>
          <w:i/>
          <w:lang w:val="fr-FR"/>
        </w:rPr>
        <w:t>a)</w:t>
      </w:r>
      <w:r>
        <w:rPr>
          <w:lang w:val="fr-FR"/>
        </w:rPr>
        <w:tab/>
      </w:r>
      <w:r w:rsidR="00483CC1">
        <w:rPr>
          <w:i/>
          <w:lang w:val="fr-FR"/>
        </w:rPr>
        <w:t>Engin à compartiments multiples </w:t>
      </w:r>
      <w:r w:rsidRPr="004F220C">
        <w:rPr>
          <w:i/>
          <w:lang w:val="fr-FR"/>
        </w:rPr>
        <w:t>: engin</w:t>
      </w:r>
      <w:r>
        <w:rPr>
          <w:lang w:val="fr-FR"/>
        </w:rPr>
        <w:t xml:space="preserve"> </w:t>
      </w:r>
      <w:r w:rsidRPr="00AC5172">
        <w:rPr>
          <w:b/>
          <w:lang w:val="fr-FR"/>
        </w:rPr>
        <w:t>spécial</w:t>
      </w:r>
      <w:r>
        <w:rPr>
          <w:lang w:val="fr-FR"/>
        </w:rPr>
        <w:t xml:space="preserve"> </w:t>
      </w:r>
      <w:r w:rsidRPr="004F220C">
        <w:rPr>
          <w:strike/>
          <w:lang w:val="fr-FR"/>
        </w:rPr>
        <w:t>comportant deux compartiments isothermes ou plus dont les températures sont différentes</w:t>
      </w:r>
      <w:r>
        <w:rPr>
          <w:lang w:val="fr-FR"/>
        </w:rPr>
        <w:t xml:space="preserve"> </w:t>
      </w:r>
      <w:r w:rsidRPr="00AC5172">
        <w:rPr>
          <w:b/>
          <w:lang w:val="fr-FR"/>
        </w:rPr>
        <w:t>qui est divisé en deux ou plusieurs compartiments, formés par des cloisons internes (fixes ou mobiles, transversales ou longitudinales, coulissantes ou que l</w:t>
      </w:r>
      <w:r w:rsidR="00F13177">
        <w:rPr>
          <w:b/>
          <w:lang w:val="fr-FR"/>
        </w:rPr>
        <w:t>’</w:t>
      </w:r>
      <w:r w:rsidRPr="00AC5172">
        <w:rPr>
          <w:b/>
          <w:lang w:val="fr-FR"/>
        </w:rPr>
        <w:t>on peut ôter en les soulevant), ce qui permet d</w:t>
      </w:r>
      <w:r w:rsidR="00F13177">
        <w:rPr>
          <w:b/>
          <w:lang w:val="fr-FR"/>
        </w:rPr>
        <w:t>’</w:t>
      </w:r>
      <w:r w:rsidRPr="00AC5172">
        <w:rPr>
          <w:b/>
          <w:lang w:val="fr-FR"/>
        </w:rPr>
        <w:t>y maintenir différentes températures.</w:t>
      </w:r>
      <w:r>
        <w:rPr>
          <w:lang w:val="fr-FR"/>
        </w:rPr>
        <w:t xml:space="preserve"> </w:t>
      </w:r>
      <w:r w:rsidR="00483CC1">
        <w:rPr>
          <w:i/>
          <w:lang w:val="fr-FR"/>
        </w:rPr>
        <w:t>Le </w:t>
      </w:r>
      <w:r w:rsidRPr="004F220C">
        <w:rPr>
          <w:i/>
          <w:lang w:val="fr-FR"/>
        </w:rPr>
        <w:t>coefficient K de la caisse isotherme</w:t>
      </w:r>
      <w:r>
        <w:rPr>
          <w:lang w:val="fr-FR"/>
        </w:rPr>
        <w:t xml:space="preserve"> </w:t>
      </w:r>
      <w:r w:rsidRPr="00AC5172">
        <w:rPr>
          <w:b/>
          <w:lang w:val="fr-FR"/>
        </w:rPr>
        <w:t>d</w:t>
      </w:r>
      <w:r w:rsidR="00F13177">
        <w:rPr>
          <w:b/>
          <w:lang w:val="fr-FR"/>
        </w:rPr>
        <w:t>’</w:t>
      </w:r>
      <w:r w:rsidRPr="00AC5172">
        <w:rPr>
          <w:b/>
          <w:lang w:val="fr-FR"/>
        </w:rPr>
        <w:t>un engin à compartiments multiples</w:t>
      </w:r>
      <w:r>
        <w:rPr>
          <w:lang w:val="fr-FR"/>
        </w:rPr>
        <w:t xml:space="preserve"> </w:t>
      </w:r>
      <w:r w:rsidRPr="004F220C">
        <w:rPr>
          <w:i/>
          <w:lang w:val="fr-FR"/>
        </w:rPr>
        <w:t>dans son ensemble ne doit pas dépasser 0,4</w:t>
      </w:r>
      <w:r w:rsidRPr="00AC5172">
        <w:rPr>
          <w:b/>
          <w:lang w:val="fr-FR"/>
        </w:rPr>
        <w:t>0</w:t>
      </w:r>
      <w:r>
        <w:rPr>
          <w:lang w:val="fr-FR"/>
        </w:rPr>
        <w:t xml:space="preserve"> </w:t>
      </w:r>
      <w:r w:rsidRPr="004F220C">
        <w:rPr>
          <w:i/>
          <w:lang w:val="fr-FR"/>
        </w:rPr>
        <w:t>W/m</w:t>
      </w:r>
      <w:r w:rsidRPr="007516E3">
        <w:rPr>
          <w:i/>
          <w:vertAlign w:val="superscript"/>
          <w:lang w:val="fr-FR"/>
        </w:rPr>
        <w:t>2</w:t>
      </w:r>
      <w:r w:rsidRPr="004F220C">
        <w:rPr>
          <w:i/>
          <w:lang w:val="fr-FR"/>
        </w:rPr>
        <w:t>K</w:t>
      </w:r>
      <w:r>
        <w:rPr>
          <w:lang w:val="fr-FR"/>
        </w:rPr>
        <w:t xml:space="preserve"> ;</w:t>
      </w:r>
    </w:p>
    <w:p w:rsidR="003D0286" w:rsidRPr="007516E3" w:rsidRDefault="003D0286" w:rsidP="00AC5172">
      <w:pPr>
        <w:pStyle w:val="SingleTxtGR"/>
        <w:keepLines/>
        <w:rPr>
          <w:i/>
          <w:u w:val="single"/>
        </w:rPr>
      </w:pPr>
      <w:r w:rsidRPr="007516E3">
        <w:rPr>
          <w:i/>
          <w:lang w:val="fr-FR"/>
        </w:rPr>
        <w:t>Note : Les engins isothermes constitués de deux sections homologuées séparément et munies de parois fixes (par exemple les plates-formes supérieure et inférieure d</w:t>
      </w:r>
      <w:r w:rsidR="00F13177">
        <w:rPr>
          <w:i/>
          <w:lang w:val="fr-FR"/>
        </w:rPr>
        <w:t>’</w:t>
      </w:r>
      <w:r w:rsidRPr="007516E3">
        <w:rPr>
          <w:i/>
          <w:lang w:val="fr-FR"/>
        </w:rPr>
        <w:t>une remorque) ne sont pas considérés comme des engins à températures et compartiments multiples.</w:t>
      </w:r>
    </w:p>
    <w:p w:rsidR="003D0286" w:rsidRPr="002E2EAF" w:rsidRDefault="003D0286" w:rsidP="00AC5172">
      <w:pPr>
        <w:pStyle w:val="SingleTxtGR"/>
        <w:keepLines/>
        <w:rPr>
          <w:u w:val="single"/>
        </w:rPr>
      </w:pPr>
      <w:r w:rsidRPr="00F87BBE">
        <w:rPr>
          <w:i/>
          <w:lang w:val="fr-FR"/>
        </w:rPr>
        <w:t>b)</w:t>
      </w:r>
      <w:r>
        <w:rPr>
          <w:lang w:val="fr-FR"/>
        </w:rPr>
        <w:tab/>
      </w:r>
      <w:r w:rsidRPr="007516E3">
        <w:rPr>
          <w:i/>
          <w:lang w:val="fr-FR"/>
        </w:rPr>
        <w:t xml:space="preserve">Groupe frigorifique multi-températures : unité de réfrigération mécanique comportant un compresseur </w:t>
      </w:r>
      <w:r w:rsidRPr="007516E3">
        <w:rPr>
          <w:strike/>
          <w:lang w:val="fr-FR"/>
        </w:rPr>
        <w:t>et un dispositif d</w:t>
      </w:r>
      <w:r w:rsidR="00F13177">
        <w:rPr>
          <w:strike/>
          <w:lang w:val="fr-FR"/>
        </w:rPr>
        <w:t>’</w:t>
      </w:r>
      <w:r w:rsidRPr="007516E3">
        <w:rPr>
          <w:strike/>
          <w:lang w:val="fr-FR"/>
        </w:rPr>
        <w:t>aspiration commun</w:t>
      </w:r>
      <w:r>
        <w:rPr>
          <w:lang w:val="fr-FR"/>
        </w:rPr>
        <w:t xml:space="preserve">, </w:t>
      </w:r>
      <w:r w:rsidRPr="007516E3">
        <w:rPr>
          <w:i/>
          <w:lang w:val="fr-FR"/>
        </w:rPr>
        <w:t>un condensateur et deux évaporateurs ou plus pour</w:t>
      </w:r>
      <w:r>
        <w:rPr>
          <w:lang w:val="fr-FR"/>
        </w:rPr>
        <w:t xml:space="preserve"> </w:t>
      </w:r>
      <w:r w:rsidRPr="007516E3">
        <w:rPr>
          <w:strike/>
          <w:lang w:val="fr-FR"/>
        </w:rPr>
        <w:t>la régulation</w:t>
      </w:r>
      <w:r>
        <w:rPr>
          <w:lang w:val="fr-FR"/>
        </w:rPr>
        <w:t xml:space="preserve"> </w:t>
      </w:r>
      <w:r w:rsidRPr="00AC5172">
        <w:rPr>
          <w:b/>
          <w:lang w:val="fr-FR"/>
        </w:rPr>
        <w:t>le maintien</w:t>
      </w:r>
      <w:r>
        <w:rPr>
          <w:lang w:val="fr-FR"/>
        </w:rPr>
        <w:t xml:space="preserve"> de </w:t>
      </w:r>
      <w:r w:rsidRPr="007516E3">
        <w:rPr>
          <w:strike/>
          <w:lang w:val="fr-FR"/>
        </w:rPr>
        <w:t>la température</w:t>
      </w:r>
      <w:r>
        <w:rPr>
          <w:lang w:val="fr-FR"/>
        </w:rPr>
        <w:t xml:space="preserve"> </w:t>
      </w:r>
      <w:r w:rsidRPr="00AC5172">
        <w:rPr>
          <w:b/>
          <w:lang w:val="fr-FR"/>
        </w:rPr>
        <w:t>températures différentes</w:t>
      </w:r>
      <w:r>
        <w:rPr>
          <w:lang w:val="fr-FR"/>
        </w:rPr>
        <w:t xml:space="preserve"> </w:t>
      </w:r>
      <w:r w:rsidRPr="007516E3">
        <w:rPr>
          <w:i/>
          <w:lang w:val="fr-FR"/>
        </w:rPr>
        <w:t>dans les différents compartiments d</w:t>
      </w:r>
      <w:r w:rsidR="00F13177">
        <w:rPr>
          <w:i/>
          <w:lang w:val="fr-FR"/>
        </w:rPr>
        <w:t>’</w:t>
      </w:r>
      <w:r w:rsidRPr="007516E3">
        <w:rPr>
          <w:i/>
          <w:lang w:val="fr-FR"/>
        </w:rPr>
        <w:t>un engin à compartiments multiples</w:t>
      </w:r>
      <w:r>
        <w:rPr>
          <w:lang w:val="fr-FR"/>
        </w:rPr>
        <w:t xml:space="preserve"> ;</w:t>
      </w:r>
    </w:p>
    <w:p w:rsidR="003D0286" w:rsidRPr="002E2EAF" w:rsidRDefault="003D0286" w:rsidP="00AC5172">
      <w:pPr>
        <w:pStyle w:val="SingleTxtGR"/>
        <w:keepNext/>
        <w:keepLines/>
      </w:pPr>
      <w:r w:rsidRPr="00F87BBE">
        <w:rPr>
          <w:i/>
          <w:lang w:val="fr-FR"/>
        </w:rPr>
        <w:t>e)</w:t>
      </w:r>
      <w:r>
        <w:rPr>
          <w:lang w:val="fr-FR"/>
        </w:rPr>
        <w:tab/>
      </w:r>
      <w:r w:rsidRPr="007516E3">
        <w:rPr>
          <w:i/>
          <w:lang w:val="fr-FR"/>
        </w:rPr>
        <w:t>Fonctionnement en mode multi-températures</w:t>
      </w:r>
      <w:r w:rsidR="00483CC1">
        <w:rPr>
          <w:i/>
          <w:lang w:val="fr-FR"/>
        </w:rPr>
        <w:t> </w:t>
      </w:r>
      <w:r w:rsidRPr="007516E3">
        <w:rPr>
          <w:i/>
          <w:lang w:val="fr-FR"/>
        </w:rPr>
        <w:t>:</w:t>
      </w:r>
      <w:r>
        <w:rPr>
          <w:lang w:val="fr-FR"/>
        </w:rPr>
        <w:t xml:space="preserve"> </w:t>
      </w:r>
      <w:r w:rsidRPr="007516E3">
        <w:rPr>
          <w:i/>
          <w:lang w:val="fr-FR"/>
        </w:rPr>
        <w:t>fonctionnement d</w:t>
      </w:r>
      <w:r w:rsidR="00F13177">
        <w:rPr>
          <w:i/>
          <w:lang w:val="fr-FR"/>
        </w:rPr>
        <w:t>’</w:t>
      </w:r>
      <w:r w:rsidR="005F4065">
        <w:rPr>
          <w:i/>
          <w:lang w:val="fr-FR"/>
        </w:rPr>
        <w:t>un groupe frigorifique multitempérature</w:t>
      </w:r>
      <w:r w:rsidRPr="007516E3">
        <w:rPr>
          <w:i/>
          <w:lang w:val="fr-FR"/>
        </w:rPr>
        <w:t xml:space="preserve"> comportant deux évaporateurs ou plus</w:t>
      </w:r>
      <w:r>
        <w:rPr>
          <w:lang w:val="fr-FR"/>
        </w:rPr>
        <w:t xml:space="preserve"> </w:t>
      </w:r>
      <w:r w:rsidRPr="007516E3">
        <w:rPr>
          <w:strike/>
          <w:lang w:val="fr-FR"/>
        </w:rPr>
        <w:t xml:space="preserve">fonctionnant à des températures différentes </w:t>
      </w:r>
      <w:r w:rsidRPr="00AC5172">
        <w:rPr>
          <w:b/>
          <w:lang w:val="fr-FR"/>
        </w:rPr>
        <w:t>qui fonctionnent simultanément, ce qui permet de maintenir des températures</w:t>
      </w:r>
      <w:r w:rsidRPr="007516E3">
        <w:rPr>
          <w:lang w:val="fr-FR"/>
        </w:rPr>
        <w:t xml:space="preserve"> </w:t>
      </w:r>
      <w:r w:rsidRPr="00AC5172">
        <w:rPr>
          <w:b/>
          <w:lang w:val="fr-FR"/>
        </w:rPr>
        <w:t>différentes</w:t>
      </w:r>
      <w:r w:rsidRPr="007516E3">
        <w:rPr>
          <w:lang w:val="fr-FR"/>
        </w:rPr>
        <w:t xml:space="preserve"> </w:t>
      </w:r>
      <w:r w:rsidRPr="007516E3">
        <w:rPr>
          <w:i/>
          <w:lang w:val="fr-FR"/>
        </w:rPr>
        <w:t>dans un</w:t>
      </w:r>
      <w:r>
        <w:rPr>
          <w:lang w:val="fr-FR"/>
        </w:rPr>
        <w:t xml:space="preserve"> </w:t>
      </w:r>
      <w:r w:rsidRPr="00AC5172">
        <w:rPr>
          <w:b/>
          <w:lang w:val="fr-FR"/>
        </w:rPr>
        <w:t>même</w:t>
      </w:r>
      <w:r>
        <w:rPr>
          <w:lang w:val="fr-FR"/>
        </w:rPr>
        <w:t xml:space="preserve"> </w:t>
      </w:r>
      <w:r w:rsidRPr="007516E3">
        <w:rPr>
          <w:i/>
          <w:lang w:val="fr-FR"/>
        </w:rPr>
        <w:t>engin à compartiments multiples</w:t>
      </w:r>
      <w:r>
        <w:rPr>
          <w:i/>
          <w:lang w:val="fr-FR"/>
        </w:rPr>
        <w:t> </w:t>
      </w:r>
      <w:r>
        <w:rPr>
          <w:lang w:val="fr-FR"/>
        </w:rPr>
        <w:t>;</w:t>
      </w:r>
      <w:r w:rsidR="00AC5172">
        <w:rPr>
          <w:lang w:val="fr-FR"/>
        </w:rPr>
        <w:t> »</w:t>
      </w:r>
      <w:r>
        <w:rPr>
          <w:lang w:val="fr-FR"/>
        </w:rPr>
        <w:t xml:space="preserve">. </w:t>
      </w:r>
    </w:p>
    <w:p w:rsidR="003D0286" w:rsidRPr="007516E3" w:rsidRDefault="003D0286" w:rsidP="00AC5172">
      <w:pPr>
        <w:pStyle w:val="SingleTxtGR"/>
        <w:keepNext/>
        <w:keepLines/>
        <w:rPr>
          <w:i/>
        </w:rPr>
      </w:pPr>
      <w:r w:rsidRPr="007516E3">
        <w:rPr>
          <w:i/>
          <w:lang w:val="fr-FR"/>
        </w:rPr>
        <w:t>Note</w:t>
      </w:r>
      <w:r w:rsidR="00483CC1">
        <w:rPr>
          <w:i/>
          <w:lang w:val="fr-FR"/>
        </w:rPr>
        <w:t> </w:t>
      </w:r>
      <w:r w:rsidRPr="007516E3">
        <w:rPr>
          <w:i/>
          <w:lang w:val="fr-FR"/>
        </w:rPr>
        <w:t>: Si des températures différentes sont maintenues dans chacune des deux sections, il convient de vérifier que ces températures peuvent être maintenues indépendamment de l</w:t>
      </w:r>
      <w:r w:rsidR="00F13177">
        <w:rPr>
          <w:i/>
          <w:lang w:val="fr-FR"/>
        </w:rPr>
        <w:t>’</w:t>
      </w:r>
      <w:r w:rsidRPr="007516E3">
        <w:rPr>
          <w:i/>
          <w:lang w:val="fr-FR"/>
        </w:rPr>
        <w:t>interaction entre les deux compartiments.</w:t>
      </w:r>
    </w:p>
    <w:p w:rsidR="003D0286" w:rsidRPr="00F861B8" w:rsidRDefault="00AC5172" w:rsidP="00AC5172">
      <w:pPr>
        <w:pStyle w:val="H23G"/>
      </w:pPr>
      <w:r>
        <w:rPr>
          <w:lang w:val="fr-FR"/>
        </w:rPr>
        <w:tab/>
      </w:r>
      <w:r>
        <w:rPr>
          <w:lang w:val="fr-FR"/>
        </w:rPr>
        <w:tab/>
      </w:r>
      <w:r w:rsidR="003D0286" w:rsidRPr="00F861B8">
        <w:rPr>
          <w:lang w:val="fr-FR"/>
        </w:rPr>
        <w:t>Justification</w:t>
      </w:r>
    </w:p>
    <w:p w:rsidR="003D0286" w:rsidRPr="002E2EAF" w:rsidRDefault="00483CC1" w:rsidP="00AC5172">
      <w:pPr>
        <w:pStyle w:val="SingleTxtG"/>
      </w:pPr>
      <w:r>
        <w:rPr>
          <w:lang w:val="fr-FR"/>
        </w:rPr>
        <w:t>23.</w:t>
      </w:r>
      <w:r>
        <w:rPr>
          <w:lang w:val="fr-FR"/>
        </w:rPr>
        <w:tab/>
        <w:t>Les termes « </w:t>
      </w:r>
      <w:r w:rsidR="003D0286">
        <w:rPr>
          <w:lang w:val="fr-FR"/>
        </w:rPr>
        <w:t>engin</w:t>
      </w:r>
      <w:r>
        <w:rPr>
          <w:lang w:val="fr-FR"/>
        </w:rPr>
        <w:t xml:space="preserve"> à compartiments multiples », « </w:t>
      </w:r>
      <w:r w:rsidR="003D0286">
        <w:rPr>
          <w:lang w:val="fr-FR"/>
        </w:rPr>
        <w:t>groupe frigori</w:t>
      </w:r>
      <w:r w:rsidR="005F4065">
        <w:rPr>
          <w:lang w:val="fr-FR"/>
        </w:rPr>
        <w:t>fique multi</w:t>
      </w:r>
      <w:r w:rsidR="005F4065">
        <w:rPr>
          <w:lang w:val="fr-FR"/>
        </w:rPr>
        <w:noBreakHyphen/>
      </w:r>
      <w:r>
        <w:rPr>
          <w:lang w:val="fr-FR"/>
        </w:rPr>
        <w:t>températures » et « </w:t>
      </w:r>
      <w:r w:rsidR="004E3E81">
        <w:rPr>
          <w:lang w:val="fr-FR"/>
        </w:rPr>
        <w:t>fonctionnement en mode multitempérature</w:t>
      </w:r>
      <w:r w:rsidR="003D0286">
        <w:rPr>
          <w:lang w:val="fr-FR"/>
        </w:rPr>
        <w:t xml:space="preserve"> d</w:t>
      </w:r>
      <w:r w:rsidR="00F13177">
        <w:rPr>
          <w:lang w:val="fr-FR"/>
        </w:rPr>
        <w:t>’</w:t>
      </w:r>
      <w:r w:rsidR="003D0286">
        <w:rPr>
          <w:lang w:val="fr-FR"/>
        </w:rPr>
        <w:t xml:space="preserve">un groupe </w:t>
      </w:r>
      <w:r w:rsidR="004E3E81">
        <w:rPr>
          <w:lang w:val="fr-FR"/>
        </w:rPr>
        <w:t>frigorifique multitempérature</w:t>
      </w:r>
      <w:r>
        <w:rPr>
          <w:lang w:val="fr-FR"/>
        </w:rPr>
        <w:t> </w:t>
      </w:r>
      <w:r w:rsidR="003D0286">
        <w:rPr>
          <w:lang w:val="fr-FR"/>
        </w:rPr>
        <w:t>» et leurs définitions sont à juste titre présenté</w:t>
      </w:r>
      <w:r w:rsidR="006046C0">
        <w:rPr>
          <w:lang w:val="fr-FR"/>
        </w:rPr>
        <w:t>e</w:t>
      </w:r>
      <w:r w:rsidR="003D0286">
        <w:rPr>
          <w:lang w:val="fr-FR"/>
        </w:rPr>
        <w:t>s séparément dans la section 7.1 de l</w:t>
      </w:r>
      <w:r w:rsidR="00F13177">
        <w:rPr>
          <w:lang w:val="fr-FR"/>
        </w:rPr>
        <w:t>’</w:t>
      </w:r>
      <w:r w:rsidR="003D0286">
        <w:rPr>
          <w:lang w:val="fr-FR"/>
        </w:rPr>
        <w:t>appendice 2 de l</w:t>
      </w:r>
      <w:r w:rsidR="00F13177">
        <w:rPr>
          <w:lang w:val="fr-FR"/>
        </w:rPr>
        <w:t>’</w:t>
      </w:r>
      <w:r w:rsidR="003D0286">
        <w:rPr>
          <w:lang w:val="fr-FR"/>
        </w:rPr>
        <w:t>annexe 1 de l</w:t>
      </w:r>
      <w:r w:rsidR="00F13177">
        <w:rPr>
          <w:lang w:val="fr-FR"/>
        </w:rPr>
        <w:t>’</w:t>
      </w:r>
      <w:r w:rsidR="003D0286">
        <w:rPr>
          <w:lang w:val="fr-FR"/>
        </w:rPr>
        <w:t>ATP.</w:t>
      </w:r>
    </w:p>
    <w:p w:rsidR="003D0286" w:rsidRPr="002E2EAF" w:rsidRDefault="00AC5172" w:rsidP="00AC5172">
      <w:pPr>
        <w:pStyle w:val="HChG"/>
      </w:pPr>
      <w:r>
        <w:rPr>
          <w:lang w:val="fr-FR"/>
        </w:rPr>
        <w:tab/>
      </w:r>
      <w:r w:rsidR="003D0286">
        <w:rPr>
          <w:lang w:val="fr-FR"/>
        </w:rPr>
        <w:t>IX.</w:t>
      </w:r>
      <w:r w:rsidR="003D0286">
        <w:rPr>
          <w:lang w:val="fr-FR"/>
        </w:rPr>
        <w:tab/>
        <w:t>Proposition 9</w:t>
      </w:r>
    </w:p>
    <w:p w:rsidR="003D0286" w:rsidRPr="00EB4419" w:rsidRDefault="003D0286" w:rsidP="00AC5172">
      <w:pPr>
        <w:pStyle w:val="H23G"/>
      </w:pPr>
      <w:r>
        <w:rPr>
          <w:lang w:val="fr-FR"/>
        </w:rPr>
        <w:tab/>
      </w:r>
      <w:r>
        <w:rPr>
          <w:lang w:val="fr-FR"/>
        </w:rPr>
        <w:tab/>
        <w:t>« Partition »</w:t>
      </w:r>
    </w:p>
    <w:p w:rsidR="003D0286" w:rsidRPr="002E2EAF" w:rsidRDefault="003D0286" w:rsidP="00AC5172">
      <w:pPr>
        <w:pStyle w:val="SingleTxtG"/>
      </w:pPr>
      <w:r>
        <w:rPr>
          <w:lang w:val="fr-FR"/>
        </w:rPr>
        <w:t>24.</w:t>
      </w:r>
      <w:r>
        <w:rPr>
          <w:lang w:val="fr-FR"/>
        </w:rPr>
        <w:tab/>
        <w:t>Proposition de la Fédération de Russie visant à modifier et à compléter la définition proposée par les Pays-Bas dans le document ECE/TRANS/WP.11/2015/17 (proposition 9) :</w:t>
      </w:r>
    </w:p>
    <w:p w:rsidR="003D0286" w:rsidRPr="00EB4419" w:rsidRDefault="003D0286" w:rsidP="00AC5172">
      <w:pPr>
        <w:pStyle w:val="SingleTxtGR"/>
        <w:keepNext/>
        <w:keepLines/>
        <w:rPr>
          <w:i/>
          <w:iCs/>
        </w:rPr>
      </w:pPr>
      <w:r>
        <w:rPr>
          <w:lang w:val="fr-FR"/>
        </w:rPr>
        <w:t xml:space="preserve">« Partition </w:t>
      </w:r>
      <w:r w:rsidRPr="00AC5172">
        <w:rPr>
          <w:b/>
          <w:lang w:val="fr-FR"/>
        </w:rPr>
        <w:t>interne</w:t>
      </w:r>
      <w:r>
        <w:rPr>
          <w:lang w:val="fr-FR"/>
        </w:rPr>
        <w:t xml:space="preserve"> »</w:t>
      </w:r>
    </w:p>
    <w:p w:rsidR="003D0286" w:rsidRPr="002E2EAF" w:rsidRDefault="00483CC1" w:rsidP="00AC5172">
      <w:pPr>
        <w:pStyle w:val="SingleTxtGR"/>
        <w:keepNext/>
        <w:keepLines/>
      </w:pPr>
      <w:r>
        <w:rPr>
          <w:lang w:val="fr-FR"/>
        </w:rPr>
        <w:t>« </w:t>
      </w:r>
      <w:r w:rsidR="003D0286" w:rsidRPr="00EE18DE">
        <w:rPr>
          <w:i/>
          <w:lang w:val="fr-FR"/>
        </w:rPr>
        <w:t>Partition</w:t>
      </w:r>
      <w:r w:rsidR="003D0286">
        <w:rPr>
          <w:lang w:val="fr-FR"/>
        </w:rPr>
        <w:t xml:space="preserve"> </w:t>
      </w:r>
      <w:r w:rsidR="003D0286" w:rsidRPr="00AC5172">
        <w:rPr>
          <w:b/>
          <w:lang w:val="fr-FR"/>
        </w:rPr>
        <w:t>interne</w:t>
      </w:r>
      <w:r w:rsidR="003D0286">
        <w:rPr>
          <w:lang w:val="fr-FR"/>
        </w:rPr>
        <w:t xml:space="preserve"> </w:t>
      </w:r>
      <w:r w:rsidR="003D0286" w:rsidRPr="00EE18DE">
        <w:rPr>
          <w:i/>
          <w:lang w:val="fr-FR"/>
        </w:rPr>
        <w:t>désigne une cloison</w:t>
      </w:r>
      <w:r w:rsidR="003D0286">
        <w:rPr>
          <w:lang w:val="fr-FR"/>
        </w:rPr>
        <w:t xml:space="preserve"> </w:t>
      </w:r>
      <w:r w:rsidR="003D0286" w:rsidRPr="00EE18DE">
        <w:rPr>
          <w:strike/>
          <w:lang w:val="fr-FR"/>
        </w:rPr>
        <w:t>interne</w:t>
      </w:r>
      <w:r w:rsidR="003D0286">
        <w:rPr>
          <w:lang w:val="fr-FR"/>
        </w:rPr>
        <w:t xml:space="preserve"> </w:t>
      </w:r>
      <w:r w:rsidR="003D0286" w:rsidRPr="00AC5172">
        <w:rPr>
          <w:b/>
          <w:lang w:val="fr-FR"/>
        </w:rPr>
        <w:t>servant à diviser le volume intérieur</w:t>
      </w:r>
      <w:r w:rsidR="003D0286">
        <w:rPr>
          <w:lang w:val="fr-FR"/>
        </w:rPr>
        <w:t xml:space="preserve"> </w:t>
      </w:r>
      <w:r w:rsidR="003D0286" w:rsidRPr="00EE18DE">
        <w:rPr>
          <w:i/>
          <w:lang w:val="fr-FR"/>
        </w:rPr>
        <w:t>d</w:t>
      </w:r>
      <w:r w:rsidR="00F13177">
        <w:rPr>
          <w:i/>
          <w:lang w:val="fr-FR"/>
        </w:rPr>
        <w:t>’</w:t>
      </w:r>
      <w:r w:rsidR="003D0286" w:rsidRPr="00EE18DE">
        <w:rPr>
          <w:i/>
          <w:lang w:val="fr-FR"/>
        </w:rPr>
        <w:t>une caisse isotherme</w:t>
      </w:r>
      <w:r w:rsidR="003D0286">
        <w:rPr>
          <w:lang w:val="fr-FR"/>
        </w:rPr>
        <w:t xml:space="preserve"> </w:t>
      </w:r>
      <w:r w:rsidR="003D0286" w:rsidRPr="00EE18DE">
        <w:rPr>
          <w:strike/>
          <w:lang w:val="fr-FR"/>
        </w:rPr>
        <w:t>divisant celle-ci en plus d</w:t>
      </w:r>
      <w:r w:rsidR="00F13177">
        <w:rPr>
          <w:strike/>
          <w:lang w:val="fr-FR"/>
        </w:rPr>
        <w:t>’</w:t>
      </w:r>
      <w:r w:rsidR="003D0286" w:rsidRPr="00EE18DE">
        <w:rPr>
          <w:strike/>
          <w:lang w:val="fr-FR"/>
        </w:rPr>
        <w:t>un compartiment</w:t>
      </w:r>
      <w:r w:rsidR="003D0286" w:rsidRPr="00EE18DE">
        <w:rPr>
          <w:lang w:val="fr-FR"/>
        </w:rPr>
        <w:t xml:space="preserve"> </w:t>
      </w:r>
      <w:r w:rsidR="003D0286" w:rsidRPr="00AC5172">
        <w:rPr>
          <w:b/>
          <w:lang w:val="fr-FR"/>
        </w:rPr>
        <w:t>en deux compartiments ou plus</w:t>
      </w:r>
      <w:r w:rsidR="003D0286">
        <w:rPr>
          <w:lang w:val="fr-FR"/>
        </w:rPr>
        <w:t xml:space="preserve">. </w:t>
      </w:r>
      <w:r w:rsidR="003D0286" w:rsidRPr="00EE18DE">
        <w:rPr>
          <w:i/>
          <w:lang w:val="fr-FR"/>
        </w:rPr>
        <w:t>Les partitions</w:t>
      </w:r>
      <w:r w:rsidR="003D0286">
        <w:rPr>
          <w:lang w:val="fr-FR"/>
        </w:rPr>
        <w:t xml:space="preserve"> </w:t>
      </w:r>
      <w:r w:rsidR="003D0286" w:rsidRPr="00AC5172">
        <w:rPr>
          <w:b/>
          <w:lang w:val="fr-FR"/>
        </w:rPr>
        <w:t>internes</w:t>
      </w:r>
      <w:r w:rsidR="003D0286">
        <w:rPr>
          <w:lang w:val="fr-FR"/>
        </w:rPr>
        <w:t xml:space="preserve"> </w:t>
      </w:r>
      <w:r w:rsidR="003D0286" w:rsidRPr="00EE18DE">
        <w:rPr>
          <w:i/>
          <w:lang w:val="fr-FR"/>
        </w:rPr>
        <w:t>peuvent être fixes ou mobiles, transversales ou longitudinales, coulissantes ou démontables par soulèvement</w:t>
      </w:r>
      <w:r w:rsidR="003D0286">
        <w:rPr>
          <w:lang w:val="fr-FR"/>
        </w:rPr>
        <w:t>.</w:t>
      </w:r>
      <w:r>
        <w:rPr>
          <w:lang w:val="fr-FR"/>
        </w:rPr>
        <w:t> ».</w:t>
      </w:r>
    </w:p>
    <w:p w:rsidR="003D0286" w:rsidRPr="002E2EAF" w:rsidRDefault="003D0286" w:rsidP="00AC5172">
      <w:pPr>
        <w:pStyle w:val="SingleTxtG"/>
      </w:pPr>
      <w:r>
        <w:rPr>
          <w:lang w:val="fr-FR"/>
        </w:rPr>
        <w:t>25.</w:t>
      </w:r>
      <w:r>
        <w:rPr>
          <w:lang w:val="fr-FR"/>
        </w:rPr>
        <w:tab/>
        <w:t>Amendements de conséquence :</w:t>
      </w:r>
    </w:p>
    <w:p w:rsidR="003D0286" w:rsidRPr="002E2EAF" w:rsidRDefault="003D0286" w:rsidP="00AC5172">
      <w:pPr>
        <w:pStyle w:val="SingleTxtGR"/>
        <w:tabs>
          <w:tab w:val="left" w:pos="1843"/>
        </w:tabs>
      </w:pPr>
      <w:r>
        <w:rPr>
          <w:lang w:val="fr-FR"/>
        </w:rPr>
        <w:t>Dans la version anglaise de l</w:t>
      </w:r>
      <w:r w:rsidR="00F13177">
        <w:rPr>
          <w:lang w:val="fr-FR"/>
        </w:rPr>
        <w:t>’</w:t>
      </w:r>
      <w:r>
        <w:rPr>
          <w:lang w:val="fr-FR"/>
        </w:rPr>
        <w:t>ATP :</w:t>
      </w:r>
    </w:p>
    <w:p w:rsidR="003D0286" w:rsidRPr="005E4F59" w:rsidRDefault="003D0286" w:rsidP="00AC5172">
      <w:pPr>
        <w:pStyle w:val="SingleTxtGR"/>
        <w:tabs>
          <w:tab w:val="left" w:pos="1843"/>
        </w:tabs>
        <w:rPr>
          <w:i/>
        </w:rPr>
      </w:pPr>
      <w:r w:rsidRPr="00832210">
        <w:rPr>
          <w:lang w:val="fr-FR"/>
        </w:rPr>
        <w:t>Remplacer</w:t>
      </w:r>
      <w:r w:rsidRPr="006A30E0">
        <w:rPr>
          <w:i/>
          <w:lang w:val="fr-FR"/>
        </w:rPr>
        <w:t xml:space="preserve"> </w:t>
      </w:r>
      <w:r w:rsidRPr="00EC6A69">
        <w:rPr>
          <w:lang w:val="fr-FR"/>
        </w:rPr>
        <w:t>«</w:t>
      </w:r>
      <w:r>
        <w:rPr>
          <w:i/>
          <w:lang w:val="fr-FR"/>
        </w:rPr>
        <w:t> </w:t>
      </w:r>
      <w:r w:rsidRPr="006A30E0">
        <w:rPr>
          <w:i/>
          <w:lang w:val="fr-FR"/>
        </w:rPr>
        <w:t>bulkheads</w:t>
      </w:r>
      <w:r>
        <w:rPr>
          <w:i/>
          <w:lang w:val="fr-FR"/>
        </w:rPr>
        <w:t> </w:t>
      </w:r>
      <w:r w:rsidRPr="00EC6A69">
        <w:rPr>
          <w:lang w:val="fr-FR"/>
        </w:rPr>
        <w:t>»</w:t>
      </w:r>
      <w:r w:rsidRPr="006A30E0">
        <w:rPr>
          <w:i/>
          <w:lang w:val="fr-FR"/>
        </w:rPr>
        <w:t xml:space="preserve"> </w:t>
      </w:r>
      <w:r w:rsidRPr="00832210">
        <w:rPr>
          <w:lang w:val="fr-FR"/>
        </w:rPr>
        <w:t>(« cloisons »)</w:t>
      </w:r>
      <w:r w:rsidRPr="006A30E0">
        <w:rPr>
          <w:i/>
          <w:lang w:val="fr-FR"/>
        </w:rPr>
        <w:t xml:space="preserve"> </w:t>
      </w:r>
      <w:r w:rsidRPr="00832210">
        <w:rPr>
          <w:lang w:val="fr-FR"/>
        </w:rPr>
        <w:t>par</w:t>
      </w:r>
      <w:r w:rsidRPr="006A30E0">
        <w:rPr>
          <w:i/>
          <w:lang w:val="fr-FR"/>
        </w:rPr>
        <w:t xml:space="preserve"> </w:t>
      </w:r>
      <w:r w:rsidRPr="006A30E0">
        <w:rPr>
          <w:lang w:val="fr-FR"/>
        </w:rPr>
        <w:t>«</w:t>
      </w:r>
      <w:r>
        <w:rPr>
          <w:lang w:val="fr-FR"/>
        </w:rPr>
        <w:t> </w:t>
      </w:r>
      <w:r w:rsidRPr="00720C8B">
        <w:rPr>
          <w:b/>
          <w:lang w:val="fr-FR"/>
        </w:rPr>
        <w:t>internal dividing partitions</w:t>
      </w:r>
      <w:r>
        <w:rPr>
          <w:i/>
          <w:lang w:val="fr-FR"/>
        </w:rPr>
        <w:t> </w:t>
      </w:r>
      <w:r w:rsidRPr="00EC6A69">
        <w:rPr>
          <w:lang w:val="fr-FR"/>
        </w:rPr>
        <w:t>»</w:t>
      </w:r>
      <w:r w:rsidRPr="006A30E0">
        <w:rPr>
          <w:i/>
          <w:lang w:val="fr-FR"/>
        </w:rPr>
        <w:t xml:space="preserve"> </w:t>
      </w:r>
      <w:r w:rsidRPr="00832210">
        <w:rPr>
          <w:lang w:val="fr-FR"/>
        </w:rPr>
        <w:t>(« </w:t>
      </w:r>
      <w:r w:rsidRPr="00720C8B">
        <w:rPr>
          <w:b/>
          <w:lang w:val="fr-FR"/>
        </w:rPr>
        <w:t>partitions internes</w:t>
      </w:r>
      <w:r w:rsidRPr="00832210">
        <w:rPr>
          <w:lang w:val="fr-FR"/>
        </w:rPr>
        <w:t xml:space="preserve"> ») </w:t>
      </w:r>
      <w:r w:rsidRPr="00832210">
        <w:rPr>
          <w:color w:val="000000"/>
          <w:lang w:val="fr-FR"/>
        </w:rPr>
        <w:t xml:space="preserve">dans les phrases suivantes : </w:t>
      </w:r>
      <w:r w:rsidRPr="00832210">
        <w:rPr>
          <w:strike/>
          <w:color w:val="000000"/>
          <w:lang w:val="fr-FR"/>
        </w:rPr>
        <w:t>8</w:t>
      </w:r>
      <w:r w:rsidRPr="00BF4372">
        <w:rPr>
          <w:b/>
          <w:color w:val="000000"/>
          <w:lang w:val="fr-FR"/>
        </w:rPr>
        <w:t>7</w:t>
      </w:r>
      <w:r w:rsidRPr="00832210">
        <w:rPr>
          <w:color w:val="000000"/>
          <w:lang w:val="fr-FR"/>
        </w:rPr>
        <w:t xml:space="preserve">.3.3 − première phrase ; </w:t>
      </w:r>
      <w:r w:rsidRPr="00832210">
        <w:rPr>
          <w:strike/>
          <w:color w:val="000000"/>
          <w:lang w:val="fr-FR"/>
        </w:rPr>
        <w:t>8</w:t>
      </w:r>
      <w:r w:rsidRPr="00BF4372">
        <w:rPr>
          <w:b/>
          <w:color w:val="000000"/>
          <w:lang w:val="fr-FR"/>
        </w:rPr>
        <w:t>7</w:t>
      </w:r>
      <w:r w:rsidRPr="00832210">
        <w:rPr>
          <w:color w:val="000000"/>
          <w:lang w:val="fr-FR"/>
        </w:rPr>
        <w:t xml:space="preserve">.3.3 − Schilled-comp ; </w:t>
      </w:r>
      <w:r w:rsidRPr="00832210">
        <w:rPr>
          <w:strike/>
          <w:color w:val="000000"/>
          <w:lang w:val="fr-FR"/>
        </w:rPr>
        <w:t>8</w:t>
      </w:r>
      <w:r w:rsidRPr="00BF4372">
        <w:rPr>
          <w:b/>
          <w:color w:val="000000"/>
          <w:lang w:val="fr-FR"/>
        </w:rPr>
        <w:t>7</w:t>
      </w:r>
      <w:r w:rsidRPr="00832210">
        <w:rPr>
          <w:color w:val="000000"/>
          <w:lang w:val="fr-FR"/>
        </w:rPr>
        <w:t xml:space="preserve">.3.3 − Sbulk ; </w:t>
      </w:r>
      <w:r w:rsidRPr="00832210">
        <w:rPr>
          <w:strike/>
          <w:color w:val="000000"/>
          <w:lang w:val="fr-FR"/>
        </w:rPr>
        <w:t>8</w:t>
      </w:r>
      <w:r w:rsidRPr="00BF4372">
        <w:rPr>
          <w:b/>
          <w:color w:val="000000"/>
          <w:lang w:val="fr-FR"/>
        </w:rPr>
        <w:t>7</w:t>
      </w:r>
      <w:r w:rsidRPr="00832210">
        <w:rPr>
          <w:color w:val="000000"/>
          <w:lang w:val="fr-FR"/>
        </w:rPr>
        <w:t xml:space="preserve">.3.3 − Kbulk ; </w:t>
      </w:r>
      <w:r w:rsidRPr="00832210">
        <w:rPr>
          <w:strike/>
          <w:color w:val="000000"/>
          <w:lang w:val="fr-FR"/>
        </w:rPr>
        <w:t>8</w:t>
      </w:r>
      <w:r w:rsidRPr="00BF4372">
        <w:rPr>
          <w:b/>
          <w:color w:val="000000"/>
          <w:lang w:val="fr-FR"/>
        </w:rPr>
        <w:t>7</w:t>
      </w:r>
      <w:r w:rsidRPr="00832210">
        <w:rPr>
          <w:color w:val="000000"/>
          <w:lang w:val="fr-FR"/>
        </w:rPr>
        <w:t xml:space="preserve">.3.4 − première phrase ; </w:t>
      </w:r>
      <w:r w:rsidRPr="00720C8B">
        <w:rPr>
          <w:b/>
          <w:strike/>
          <w:color w:val="000000"/>
          <w:lang w:val="fr-FR"/>
        </w:rPr>
        <w:t>8</w:t>
      </w:r>
      <w:r w:rsidRPr="00720C8B">
        <w:rPr>
          <w:b/>
          <w:color w:val="000000"/>
          <w:lang w:val="fr-FR"/>
        </w:rPr>
        <w:t>7.3.4 − Sfrozen-comp</w:t>
      </w:r>
      <w:r w:rsidRPr="00832210">
        <w:rPr>
          <w:color w:val="000000"/>
          <w:lang w:val="fr-FR"/>
        </w:rPr>
        <w:t xml:space="preserve"> ; </w:t>
      </w:r>
      <w:r w:rsidRPr="00832210">
        <w:rPr>
          <w:strike/>
          <w:color w:val="000000"/>
          <w:lang w:val="fr-FR"/>
        </w:rPr>
        <w:t>8</w:t>
      </w:r>
      <w:r w:rsidRPr="00BF4372">
        <w:rPr>
          <w:b/>
          <w:color w:val="000000"/>
          <w:lang w:val="fr-FR"/>
        </w:rPr>
        <w:t>7</w:t>
      </w:r>
      <w:r w:rsidRPr="00832210">
        <w:rPr>
          <w:color w:val="000000"/>
          <w:lang w:val="fr-FR"/>
        </w:rPr>
        <w:t xml:space="preserve">.3.4 − Sbulk ; </w:t>
      </w:r>
      <w:r w:rsidRPr="00832210">
        <w:rPr>
          <w:strike/>
          <w:color w:val="000000"/>
          <w:lang w:val="fr-FR"/>
        </w:rPr>
        <w:t>8</w:t>
      </w:r>
      <w:r w:rsidRPr="00BF4372">
        <w:rPr>
          <w:b/>
          <w:color w:val="000000"/>
          <w:lang w:val="fr-FR"/>
        </w:rPr>
        <w:t>7</w:t>
      </w:r>
      <w:r w:rsidR="00A65369">
        <w:rPr>
          <w:color w:val="000000"/>
          <w:lang w:val="fr-FR"/>
        </w:rPr>
        <w:t>.3.4 −</w:t>
      </w:r>
      <w:r w:rsidRPr="00832210">
        <w:rPr>
          <w:color w:val="000000"/>
          <w:lang w:val="fr-FR"/>
        </w:rPr>
        <w:t xml:space="preserve"> Kbulk ; </w:t>
      </w:r>
      <w:r w:rsidRPr="00832210">
        <w:rPr>
          <w:strike/>
          <w:color w:val="000000"/>
          <w:lang w:val="fr-FR"/>
        </w:rPr>
        <w:t>8</w:t>
      </w:r>
      <w:r w:rsidRPr="00BF4372">
        <w:rPr>
          <w:b/>
          <w:color w:val="000000"/>
          <w:lang w:val="fr-FR"/>
        </w:rPr>
        <w:t>7</w:t>
      </w:r>
      <w:r w:rsidRPr="00832210">
        <w:rPr>
          <w:color w:val="000000"/>
          <w:lang w:val="fr-FR"/>
        </w:rPr>
        <w:t xml:space="preserve">.3.5 − première phrase ; </w:t>
      </w:r>
      <w:r w:rsidRPr="00832210">
        <w:rPr>
          <w:strike/>
          <w:color w:val="000000"/>
          <w:lang w:val="fr-FR"/>
        </w:rPr>
        <w:t>8</w:t>
      </w:r>
      <w:r w:rsidRPr="00BF4372">
        <w:rPr>
          <w:b/>
          <w:color w:val="000000"/>
          <w:lang w:val="fr-FR"/>
        </w:rPr>
        <w:t>7</w:t>
      </w:r>
      <w:r w:rsidR="00A65369">
        <w:rPr>
          <w:color w:val="000000"/>
          <w:lang w:val="fr-FR"/>
        </w:rPr>
        <w:t>.3.6 −</w:t>
      </w:r>
      <w:r w:rsidRPr="00832210">
        <w:rPr>
          <w:color w:val="000000"/>
          <w:lang w:val="fr-FR"/>
        </w:rPr>
        <w:t xml:space="preserve"> première phrase</w:t>
      </w:r>
      <w:r w:rsidRPr="00832210">
        <w:rPr>
          <w:lang w:val="fr-FR"/>
        </w:rPr>
        <w:t xml:space="preserve"> (aucune incidence sur la version russe).</w:t>
      </w:r>
    </w:p>
    <w:p w:rsidR="003D0286" w:rsidRPr="005E4F59" w:rsidRDefault="003D0286" w:rsidP="00AC5172">
      <w:pPr>
        <w:pStyle w:val="SingleTxtGR"/>
        <w:tabs>
          <w:tab w:val="left" w:pos="1843"/>
        </w:tabs>
        <w:rPr>
          <w:i/>
        </w:rPr>
      </w:pPr>
      <w:r w:rsidRPr="00832210">
        <w:rPr>
          <w:lang w:val="fr-FR"/>
        </w:rPr>
        <w:t>Remplacer</w:t>
      </w:r>
      <w:r w:rsidRPr="006A30E0">
        <w:rPr>
          <w:i/>
          <w:lang w:val="fr-FR"/>
        </w:rPr>
        <w:t xml:space="preserve"> </w:t>
      </w:r>
      <w:r w:rsidRPr="00EC6A69">
        <w:rPr>
          <w:lang w:val="fr-FR"/>
        </w:rPr>
        <w:t>«</w:t>
      </w:r>
      <w:r>
        <w:rPr>
          <w:i/>
          <w:lang w:val="fr-FR"/>
        </w:rPr>
        <w:t> </w:t>
      </w:r>
      <w:r w:rsidRPr="006A30E0">
        <w:rPr>
          <w:i/>
          <w:lang w:val="fr-FR"/>
        </w:rPr>
        <w:t>internal dividing walls</w:t>
      </w:r>
      <w:r>
        <w:rPr>
          <w:i/>
          <w:lang w:val="fr-FR"/>
        </w:rPr>
        <w:t> </w:t>
      </w:r>
      <w:r w:rsidRPr="00EC6A69">
        <w:rPr>
          <w:lang w:val="fr-FR"/>
        </w:rPr>
        <w:t>»</w:t>
      </w:r>
      <w:r w:rsidRPr="006A30E0">
        <w:rPr>
          <w:i/>
          <w:lang w:val="fr-FR"/>
        </w:rPr>
        <w:t xml:space="preserve"> </w:t>
      </w:r>
      <w:r w:rsidRPr="00832210">
        <w:rPr>
          <w:lang w:val="fr-FR"/>
        </w:rPr>
        <w:t>par</w:t>
      </w:r>
      <w:r w:rsidRPr="006A30E0">
        <w:rPr>
          <w:i/>
          <w:lang w:val="fr-FR"/>
        </w:rPr>
        <w:t xml:space="preserve"> </w:t>
      </w:r>
      <w:r w:rsidRPr="00EC6A69">
        <w:rPr>
          <w:lang w:val="fr-FR"/>
        </w:rPr>
        <w:t>«</w:t>
      </w:r>
      <w:r>
        <w:rPr>
          <w:i/>
          <w:lang w:val="fr-FR"/>
        </w:rPr>
        <w:t> </w:t>
      </w:r>
      <w:r w:rsidRPr="006A30E0">
        <w:rPr>
          <w:i/>
          <w:lang w:val="fr-FR"/>
        </w:rPr>
        <w:t xml:space="preserve">internal dividing </w:t>
      </w:r>
      <w:r w:rsidRPr="00720C8B">
        <w:rPr>
          <w:b/>
          <w:lang w:val="fr-FR"/>
        </w:rPr>
        <w:t>partitions</w:t>
      </w:r>
      <w:r>
        <w:rPr>
          <w:lang w:val="fr-FR"/>
        </w:rPr>
        <w:t> </w:t>
      </w:r>
      <w:r w:rsidRPr="00EC6A69">
        <w:rPr>
          <w:lang w:val="fr-FR"/>
        </w:rPr>
        <w:t>»</w:t>
      </w:r>
      <w:r w:rsidRPr="006A30E0">
        <w:rPr>
          <w:i/>
          <w:lang w:val="fr-FR"/>
        </w:rPr>
        <w:t xml:space="preserve"> </w:t>
      </w:r>
      <w:r w:rsidRPr="006B2B4A">
        <w:rPr>
          <w:lang w:val="fr-FR"/>
        </w:rPr>
        <w:t xml:space="preserve">dans les phrases suivantes : </w:t>
      </w:r>
      <w:r w:rsidRPr="006B2B4A">
        <w:rPr>
          <w:strike/>
          <w:lang w:val="fr-FR"/>
        </w:rPr>
        <w:t>8</w:t>
      </w:r>
      <w:r w:rsidRPr="00BF4372">
        <w:rPr>
          <w:b/>
          <w:lang w:val="fr-FR"/>
        </w:rPr>
        <w:t>7</w:t>
      </w:r>
      <w:r w:rsidR="00A65369">
        <w:rPr>
          <w:lang w:val="fr-FR"/>
        </w:rPr>
        <w:t>.3.1 −</w:t>
      </w:r>
      <w:r w:rsidRPr="006B2B4A">
        <w:rPr>
          <w:lang w:val="fr-FR"/>
        </w:rPr>
        <w:t xml:space="preserve"> deuxième phrase du troisième paragraphe ; </w:t>
      </w:r>
      <w:r w:rsidRPr="006B2B4A">
        <w:rPr>
          <w:strike/>
          <w:lang w:val="fr-FR"/>
        </w:rPr>
        <w:t>8</w:t>
      </w:r>
      <w:r w:rsidRPr="00BF4372">
        <w:rPr>
          <w:b/>
          <w:lang w:val="fr-FR"/>
        </w:rPr>
        <w:t>7</w:t>
      </w:r>
      <w:r w:rsidR="00A65369">
        <w:rPr>
          <w:lang w:val="fr-FR"/>
        </w:rPr>
        <w:t xml:space="preserve">.3.7 </w:t>
      </w:r>
      <w:r w:rsidR="004D346C">
        <w:rPr>
          <w:lang w:val="fr-FR"/>
        </w:rPr>
        <w:t>− </w:t>
      </w:r>
      <w:r w:rsidRPr="006B2B4A">
        <w:rPr>
          <w:lang w:val="fr-FR"/>
        </w:rPr>
        <w:t>titre ; 87</w:t>
      </w:r>
      <w:r w:rsidR="004D346C">
        <w:rPr>
          <w:lang w:val="fr-FR"/>
        </w:rPr>
        <w:t>.3.7 −</w:t>
      </w:r>
      <w:r w:rsidRPr="006B2B4A">
        <w:rPr>
          <w:lang w:val="fr-FR"/>
        </w:rPr>
        <w:t xml:space="preserve"> première phrase.</w:t>
      </w:r>
    </w:p>
    <w:p w:rsidR="003D0286" w:rsidRPr="005E4F59" w:rsidRDefault="003D0286" w:rsidP="00AC5172">
      <w:pPr>
        <w:pStyle w:val="SingleTxtGR"/>
        <w:tabs>
          <w:tab w:val="left" w:pos="1843"/>
        </w:tabs>
        <w:rPr>
          <w:i/>
        </w:rPr>
      </w:pPr>
      <w:r w:rsidRPr="006B2B4A">
        <w:rPr>
          <w:lang w:val="fr-FR"/>
        </w:rPr>
        <w:t>Remplacer</w:t>
      </w:r>
      <w:r w:rsidRPr="006A30E0">
        <w:rPr>
          <w:i/>
          <w:lang w:val="fr-FR"/>
        </w:rPr>
        <w:t xml:space="preserve"> </w:t>
      </w:r>
      <w:r w:rsidRPr="00EC6A69">
        <w:rPr>
          <w:lang w:val="fr-FR"/>
        </w:rPr>
        <w:t>«</w:t>
      </w:r>
      <w:r>
        <w:rPr>
          <w:i/>
          <w:lang w:val="fr-FR"/>
        </w:rPr>
        <w:t> </w:t>
      </w:r>
      <w:r w:rsidRPr="006A30E0">
        <w:rPr>
          <w:i/>
          <w:lang w:val="fr-FR"/>
        </w:rPr>
        <w:t>internal dividing walls</w:t>
      </w:r>
      <w:r>
        <w:rPr>
          <w:i/>
          <w:lang w:val="fr-FR"/>
        </w:rPr>
        <w:t> </w:t>
      </w:r>
      <w:r w:rsidRPr="00EC6A69">
        <w:rPr>
          <w:lang w:val="fr-FR"/>
        </w:rPr>
        <w:t>»</w:t>
      </w:r>
      <w:r w:rsidRPr="006A30E0">
        <w:rPr>
          <w:i/>
          <w:lang w:val="fr-FR"/>
        </w:rPr>
        <w:t xml:space="preserve"> </w:t>
      </w:r>
      <w:r w:rsidRPr="006B2B4A">
        <w:rPr>
          <w:lang w:val="fr-FR"/>
        </w:rPr>
        <w:t>par</w:t>
      </w:r>
      <w:r w:rsidRPr="006A30E0">
        <w:rPr>
          <w:i/>
          <w:lang w:val="fr-FR"/>
        </w:rPr>
        <w:t xml:space="preserve"> </w:t>
      </w:r>
      <w:r w:rsidRPr="00EC6A69">
        <w:rPr>
          <w:lang w:val="fr-FR"/>
        </w:rPr>
        <w:t>«</w:t>
      </w:r>
      <w:r>
        <w:rPr>
          <w:i/>
          <w:lang w:val="fr-FR"/>
        </w:rPr>
        <w:t> </w:t>
      </w:r>
      <w:r w:rsidRPr="006A30E0">
        <w:rPr>
          <w:i/>
          <w:lang w:val="fr-FR"/>
        </w:rPr>
        <w:t xml:space="preserve">internal dividing </w:t>
      </w:r>
      <w:r w:rsidRPr="00720C8B">
        <w:rPr>
          <w:b/>
          <w:lang w:val="fr-FR"/>
        </w:rPr>
        <w:t>partitions</w:t>
      </w:r>
      <w:r>
        <w:rPr>
          <w:lang w:val="fr-FR"/>
        </w:rPr>
        <w:t> </w:t>
      </w:r>
      <w:r w:rsidRPr="00EC6A69">
        <w:rPr>
          <w:lang w:val="fr-FR"/>
        </w:rPr>
        <w:t>»</w:t>
      </w:r>
      <w:r w:rsidRPr="006A30E0">
        <w:rPr>
          <w:i/>
          <w:lang w:val="fr-FR"/>
        </w:rPr>
        <w:t xml:space="preserve"> </w:t>
      </w:r>
      <w:r w:rsidRPr="006B2B4A">
        <w:rPr>
          <w:lang w:val="fr-FR"/>
        </w:rPr>
        <w:t xml:space="preserve">au premier alinéa du quatrième paragraphe du </w:t>
      </w:r>
      <w:r w:rsidRPr="006B2B4A">
        <w:rPr>
          <w:strike/>
          <w:lang w:val="fr-FR"/>
        </w:rPr>
        <w:t>8</w:t>
      </w:r>
      <w:r w:rsidRPr="006B2B4A">
        <w:rPr>
          <w:lang w:val="fr-FR"/>
        </w:rPr>
        <w:t>7.3.1.</w:t>
      </w:r>
    </w:p>
    <w:p w:rsidR="003D0286" w:rsidRPr="002E2EAF" w:rsidRDefault="003D0286" w:rsidP="00AC5172">
      <w:pPr>
        <w:pStyle w:val="SingleTxtGR"/>
        <w:tabs>
          <w:tab w:val="left" w:pos="1843"/>
        </w:tabs>
      </w:pPr>
      <w:r w:rsidRPr="006B2B4A">
        <w:rPr>
          <w:lang w:val="fr-FR"/>
        </w:rPr>
        <w:t>Remplacer</w:t>
      </w:r>
      <w:r w:rsidRPr="006A30E0">
        <w:rPr>
          <w:i/>
          <w:lang w:val="fr-FR"/>
        </w:rPr>
        <w:t xml:space="preserve"> </w:t>
      </w:r>
      <w:r w:rsidRPr="00EC6A69">
        <w:rPr>
          <w:lang w:val="fr-FR"/>
        </w:rPr>
        <w:t>«</w:t>
      </w:r>
      <w:r>
        <w:rPr>
          <w:i/>
          <w:lang w:val="fr-FR"/>
        </w:rPr>
        <w:t> </w:t>
      </w:r>
      <w:r w:rsidRPr="006A30E0">
        <w:rPr>
          <w:i/>
          <w:lang w:val="fr-FR"/>
        </w:rPr>
        <w:t>dividing walls</w:t>
      </w:r>
      <w:r>
        <w:rPr>
          <w:i/>
          <w:lang w:val="fr-FR"/>
        </w:rPr>
        <w:t> </w:t>
      </w:r>
      <w:r w:rsidRPr="00EC6A69">
        <w:rPr>
          <w:lang w:val="fr-FR"/>
        </w:rPr>
        <w:t>»</w:t>
      </w:r>
      <w:r w:rsidRPr="006A30E0">
        <w:rPr>
          <w:i/>
          <w:lang w:val="fr-FR"/>
        </w:rPr>
        <w:t xml:space="preserve"> </w:t>
      </w:r>
      <w:r w:rsidRPr="006B2B4A">
        <w:rPr>
          <w:lang w:val="fr-FR"/>
        </w:rPr>
        <w:t>par</w:t>
      </w:r>
      <w:r w:rsidRPr="006A30E0">
        <w:rPr>
          <w:i/>
          <w:lang w:val="fr-FR"/>
        </w:rPr>
        <w:t xml:space="preserve"> </w:t>
      </w:r>
      <w:r w:rsidRPr="00EC6A69">
        <w:rPr>
          <w:lang w:val="fr-FR"/>
        </w:rPr>
        <w:t>«</w:t>
      </w:r>
      <w:r>
        <w:rPr>
          <w:i/>
          <w:lang w:val="fr-FR"/>
        </w:rPr>
        <w:t> </w:t>
      </w:r>
      <w:r w:rsidRPr="00720C8B">
        <w:rPr>
          <w:b/>
          <w:lang w:val="fr-FR"/>
        </w:rPr>
        <w:t>internal</w:t>
      </w:r>
      <w:r w:rsidRPr="006A30E0">
        <w:rPr>
          <w:i/>
          <w:lang w:val="fr-FR"/>
        </w:rPr>
        <w:t xml:space="preserve"> dividing </w:t>
      </w:r>
      <w:r w:rsidRPr="00720C8B">
        <w:rPr>
          <w:b/>
          <w:lang w:val="fr-FR"/>
        </w:rPr>
        <w:t>partitions</w:t>
      </w:r>
      <w:r>
        <w:rPr>
          <w:lang w:val="fr-FR"/>
        </w:rPr>
        <w:t> </w:t>
      </w:r>
      <w:r w:rsidRPr="00EC6A69">
        <w:rPr>
          <w:lang w:val="fr-FR"/>
        </w:rPr>
        <w:t>»</w:t>
      </w:r>
      <w:r w:rsidRPr="006A30E0">
        <w:rPr>
          <w:i/>
          <w:lang w:val="fr-FR"/>
        </w:rPr>
        <w:t xml:space="preserve"> </w:t>
      </w:r>
      <w:r w:rsidRPr="006B2B4A">
        <w:rPr>
          <w:lang w:val="fr-FR"/>
        </w:rPr>
        <w:t xml:space="preserve">dans le deuxième paragraphe du </w:t>
      </w:r>
      <w:r w:rsidRPr="006B2B4A">
        <w:rPr>
          <w:strike/>
          <w:lang w:val="fr-FR"/>
        </w:rPr>
        <w:t>8</w:t>
      </w:r>
      <w:r w:rsidRPr="006B2B4A">
        <w:rPr>
          <w:lang w:val="fr-FR"/>
        </w:rPr>
        <w:t xml:space="preserve">7.3.7 </w:t>
      </w:r>
      <w:r>
        <w:rPr>
          <w:lang w:val="fr-FR"/>
        </w:rPr>
        <w:t>(après le tableau).</w:t>
      </w:r>
    </w:p>
    <w:p w:rsidR="003D0286" w:rsidRPr="002E2EAF" w:rsidRDefault="003D0286" w:rsidP="00AC5172">
      <w:pPr>
        <w:pStyle w:val="SingleTxtGR"/>
        <w:tabs>
          <w:tab w:val="left" w:pos="1843"/>
        </w:tabs>
      </w:pPr>
      <w:r>
        <w:rPr>
          <w:lang w:val="fr-FR"/>
        </w:rPr>
        <w:t>26.</w:t>
      </w:r>
      <w:r>
        <w:rPr>
          <w:lang w:val="fr-FR"/>
        </w:rPr>
        <w:tab/>
        <w:t>Dans la version russe de l</w:t>
      </w:r>
      <w:r w:rsidR="00F13177">
        <w:rPr>
          <w:lang w:val="fr-FR"/>
        </w:rPr>
        <w:t>’</w:t>
      </w:r>
      <w:r>
        <w:rPr>
          <w:lang w:val="fr-FR"/>
        </w:rPr>
        <w:t>ATP, effectuer les remplacements suivants à la section 7 de l</w:t>
      </w:r>
      <w:r w:rsidR="00F13177">
        <w:rPr>
          <w:lang w:val="fr-FR"/>
        </w:rPr>
        <w:t>’</w:t>
      </w:r>
      <w:r>
        <w:rPr>
          <w:lang w:val="fr-FR"/>
        </w:rPr>
        <w:t>appendice 2 de l</w:t>
      </w:r>
      <w:r w:rsidR="00F13177">
        <w:rPr>
          <w:lang w:val="fr-FR"/>
        </w:rPr>
        <w:t>’</w:t>
      </w:r>
      <w:r>
        <w:rPr>
          <w:lang w:val="fr-FR"/>
        </w:rPr>
        <w:t>annexe 1 :</w:t>
      </w:r>
    </w:p>
    <w:p w:rsidR="003D0286" w:rsidRPr="002E2EAF" w:rsidRDefault="003D0286" w:rsidP="00AC5172">
      <w:pPr>
        <w:pStyle w:val="SingleTxtGR"/>
        <w:tabs>
          <w:tab w:val="left" w:pos="1843"/>
        </w:tabs>
      </w:pPr>
      <w:r w:rsidRPr="00F13177">
        <w:t>«</w:t>
      </w:r>
      <w:r>
        <w:rPr>
          <w:i/>
          <w:lang w:val="fr-FR"/>
        </w:rPr>
        <w:t> </w:t>
      </w:r>
      <w:r w:rsidRPr="00F13177">
        <w:rPr>
          <w:i/>
        </w:rPr>
        <w:t>внутренних разделительных стенок</w:t>
      </w:r>
      <w:r>
        <w:rPr>
          <w:i/>
          <w:lang w:val="fr-FR"/>
        </w:rPr>
        <w:t> </w:t>
      </w:r>
      <w:r w:rsidRPr="00F13177">
        <w:t xml:space="preserve">» </w:t>
      </w:r>
      <w:r w:rsidRPr="006A30E0">
        <w:rPr>
          <w:lang w:val="fr-FR"/>
        </w:rPr>
        <w:t>par</w:t>
      </w:r>
      <w:r w:rsidRPr="00F13177">
        <w:t xml:space="preserve"> «</w:t>
      </w:r>
      <w:r>
        <w:rPr>
          <w:lang w:val="fr-FR"/>
        </w:rPr>
        <w:t> </w:t>
      </w:r>
      <w:r w:rsidRPr="00F13177">
        <w:rPr>
          <w:i/>
        </w:rPr>
        <w:t>внутренних разделительных</w:t>
      </w:r>
      <w:r w:rsidRPr="00F13177">
        <w:t xml:space="preserve"> </w:t>
      </w:r>
      <w:r w:rsidRPr="00F13177">
        <w:rPr>
          <w:b/>
        </w:rPr>
        <w:t>перегородок</w:t>
      </w:r>
      <w:r>
        <w:rPr>
          <w:lang w:val="fr-FR"/>
        </w:rPr>
        <w:t> </w:t>
      </w:r>
      <w:r w:rsidRPr="00F13177">
        <w:t xml:space="preserve">» </w:t>
      </w:r>
      <w:r w:rsidRPr="006A30E0">
        <w:rPr>
          <w:lang w:val="fr-FR"/>
        </w:rPr>
        <w:t>au</w:t>
      </w:r>
      <w:r w:rsidRPr="00F13177">
        <w:t xml:space="preserve"> </w:t>
      </w:r>
      <w:r w:rsidRPr="006A30E0">
        <w:rPr>
          <w:lang w:val="fr-FR"/>
        </w:rPr>
        <w:t>troisi</w:t>
      </w:r>
      <w:r w:rsidRPr="00F13177">
        <w:t>è</w:t>
      </w:r>
      <w:r w:rsidRPr="006A30E0">
        <w:rPr>
          <w:lang w:val="fr-FR"/>
        </w:rPr>
        <w:t>me</w:t>
      </w:r>
      <w:r w:rsidRPr="00F13177">
        <w:t xml:space="preserve"> </w:t>
      </w:r>
      <w:r w:rsidRPr="006A30E0">
        <w:rPr>
          <w:lang w:val="fr-FR"/>
        </w:rPr>
        <w:t>paragraphe</w:t>
      </w:r>
      <w:r w:rsidRPr="00F13177">
        <w:t xml:space="preserve"> </w:t>
      </w:r>
      <w:r w:rsidRPr="006A30E0">
        <w:rPr>
          <w:lang w:val="fr-FR"/>
        </w:rPr>
        <w:t>du</w:t>
      </w:r>
      <w:r w:rsidRPr="00F13177">
        <w:t xml:space="preserve"> 7.3.1</w:t>
      </w:r>
      <w:r w:rsidR="00F13177" w:rsidRPr="00F13177">
        <w:t xml:space="preserve"> ;</w:t>
      </w:r>
    </w:p>
    <w:p w:rsidR="003D0286" w:rsidRPr="002E2EAF" w:rsidRDefault="003D0286" w:rsidP="00AC5172">
      <w:pPr>
        <w:pStyle w:val="SingleTxtGR"/>
        <w:tabs>
          <w:tab w:val="left" w:pos="1843"/>
        </w:tabs>
      </w:pPr>
      <w:r w:rsidRPr="00251D75">
        <w:rPr>
          <w:lang w:val="fr-FR"/>
        </w:rPr>
        <w:t>«</w:t>
      </w:r>
      <w:r>
        <w:rPr>
          <w:i/>
          <w:lang w:val="fr-FR"/>
        </w:rPr>
        <w:t> </w:t>
      </w:r>
      <w:r w:rsidRPr="006A30E0">
        <w:rPr>
          <w:i/>
          <w:lang w:val="fr-FR"/>
        </w:rPr>
        <w:t>внутренние разделительные стенки</w:t>
      </w:r>
      <w:r>
        <w:rPr>
          <w:i/>
          <w:lang w:val="fr-FR"/>
        </w:rPr>
        <w:t> </w:t>
      </w:r>
      <w:r w:rsidRPr="00251D75">
        <w:rPr>
          <w:lang w:val="fr-FR"/>
        </w:rPr>
        <w:t xml:space="preserve">» </w:t>
      </w:r>
      <w:r w:rsidRPr="006A30E0">
        <w:rPr>
          <w:lang w:val="fr-FR"/>
        </w:rPr>
        <w:t>par</w:t>
      </w:r>
      <w:r w:rsidRPr="00251D75">
        <w:rPr>
          <w:lang w:val="fr-FR"/>
        </w:rPr>
        <w:t xml:space="preserve"> </w:t>
      </w:r>
      <w:r w:rsidRPr="00EC6A69">
        <w:rPr>
          <w:lang w:val="fr-FR"/>
        </w:rPr>
        <w:t>«</w:t>
      </w:r>
      <w:r>
        <w:rPr>
          <w:i/>
          <w:lang w:val="fr-FR"/>
        </w:rPr>
        <w:t> </w:t>
      </w:r>
      <w:r w:rsidRPr="006A30E0">
        <w:rPr>
          <w:i/>
          <w:lang w:val="fr-FR"/>
        </w:rPr>
        <w:t>внутренние разделительные</w:t>
      </w:r>
      <w:r w:rsidRPr="006A30E0">
        <w:rPr>
          <w:lang w:val="fr-FR"/>
        </w:rPr>
        <w:t xml:space="preserve"> </w:t>
      </w:r>
      <w:r w:rsidRPr="00720C8B">
        <w:rPr>
          <w:b/>
          <w:lang w:val="fr-FR"/>
        </w:rPr>
        <w:t>перегородки</w:t>
      </w:r>
      <w:r>
        <w:rPr>
          <w:lang w:val="fr-FR"/>
        </w:rPr>
        <w:t> </w:t>
      </w:r>
      <w:r w:rsidRPr="00251D75">
        <w:rPr>
          <w:lang w:val="fr-FR"/>
        </w:rPr>
        <w:t xml:space="preserve">» </w:t>
      </w:r>
      <w:r w:rsidRPr="006A30E0">
        <w:rPr>
          <w:lang w:val="fr-FR"/>
        </w:rPr>
        <w:t>au quatrième paragraphe du 7.3.1, ainsi que dans le titre</w:t>
      </w:r>
      <w:r>
        <w:rPr>
          <w:lang w:val="fr-FR"/>
        </w:rPr>
        <w:t xml:space="preserve"> et au premier paragraphe du </w:t>
      </w:r>
      <w:r w:rsidRPr="006A30E0">
        <w:rPr>
          <w:lang w:val="fr-FR"/>
        </w:rPr>
        <w:t>7.3.7</w:t>
      </w:r>
      <w:r>
        <w:rPr>
          <w:lang w:val="fr-FR"/>
        </w:rPr>
        <w:t> ;</w:t>
      </w:r>
    </w:p>
    <w:p w:rsidR="003D0286" w:rsidRPr="002E2EAF" w:rsidRDefault="003D0286" w:rsidP="00AC5172">
      <w:pPr>
        <w:pStyle w:val="SingleTxtGR"/>
        <w:tabs>
          <w:tab w:val="left" w:pos="1843"/>
        </w:tabs>
      </w:pPr>
      <w:r w:rsidRPr="00251D75">
        <w:rPr>
          <w:lang w:val="fr-FR"/>
        </w:rPr>
        <w:t>«</w:t>
      </w:r>
      <w:r>
        <w:rPr>
          <w:i/>
          <w:lang w:val="fr-FR"/>
        </w:rPr>
        <w:t> </w:t>
      </w:r>
      <w:r w:rsidRPr="006A30E0">
        <w:rPr>
          <w:i/>
          <w:lang w:val="fr-FR"/>
        </w:rPr>
        <w:t>перегородки</w:t>
      </w:r>
      <w:r>
        <w:rPr>
          <w:i/>
          <w:lang w:val="fr-FR"/>
        </w:rPr>
        <w:t> </w:t>
      </w:r>
      <w:r w:rsidRPr="00251D75">
        <w:rPr>
          <w:lang w:val="fr-FR"/>
        </w:rPr>
        <w:t>»</w:t>
      </w:r>
      <w:r w:rsidRPr="006A30E0">
        <w:rPr>
          <w:i/>
          <w:lang w:val="fr-FR"/>
        </w:rPr>
        <w:t xml:space="preserve"> </w:t>
      </w:r>
      <w:r w:rsidRPr="006A30E0">
        <w:rPr>
          <w:lang w:val="fr-FR"/>
        </w:rPr>
        <w:t>par</w:t>
      </w:r>
      <w:r w:rsidRPr="00925F1A">
        <w:rPr>
          <w:lang w:val="fr-FR"/>
        </w:rPr>
        <w:t xml:space="preserve"> </w:t>
      </w:r>
      <w:r w:rsidRPr="00251D75">
        <w:rPr>
          <w:lang w:val="fr-FR"/>
        </w:rPr>
        <w:t>«</w:t>
      </w:r>
      <w:r>
        <w:rPr>
          <w:lang w:val="fr-FR"/>
        </w:rPr>
        <w:t> </w:t>
      </w:r>
      <w:r w:rsidRPr="00B5509A">
        <w:rPr>
          <w:b/>
          <w:lang w:val="fr-FR"/>
        </w:rPr>
        <w:t>внутренние разделительные</w:t>
      </w:r>
      <w:r w:rsidRPr="006A30E0">
        <w:rPr>
          <w:lang w:val="fr-FR"/>
        </w:rPr>
        <w:t xml:space="preserve"> </w:t>
      </w:r>
      <w:r w:rsidRPr="006A30E0">
        <w:rPr>
          <w:i/>
          <w:lang w:val="fr-FR"/>
        </w:rPr>
        <w:t>перегородки</w:t>
      </w:r>
      <w:r>
        <w:rPr>
          <w:i/>
          <w:lang w:val="fr-FR"/>
        </w:rPr>
        <w:t> </w:t>
      </w:r>
      <w:r w:rsidRPr="00251D75">
        <w:rPr>
          <w:lang w:val="fr-FR"/>
        </w:rPr>
        <w:t xml:space="preserve">» </w:t>
      </w:r>
      <w:r w:rsidRPr="006A30E0">
        <w:rPr>
          <w:lang w:val="fr-FR"/>
        </w:rPr>
        <w:t>au premier paragraphe du 7.3.3</w:t>
      </w:r>
      <w:r>
        <w:rPr>
          <w:lang w:val="fr-FR"/>
        </w:rPr>
        <w:t> ;</w:t>
      </w:r>
    </w:p>
    <w:p w:rsidR="003D0286" w:rsidRPr="002E2EAF" w:rsidRDefault="003D0286" w:rsidP="00720C8B">
      <w:pPr>
        <w:pStyle w:val="SingleTxtGR"/>
        <w:keepNext/>
        <w:keepLines/>
        <w:tabs>
          <w:tab w:val="left" w:pos="1843"/>
        </w:tabs>
      </w:pPr>
      <w:r w:rsidRPr="00251D75">
        <w:rPr>
          <w:lang w:val="fr-FR"/>
        </w:rPr>
        <w:t>«</w:t>
      </w:r>
      <w:r>
        <w:rPr>
          <w:i/>
          <w:lang w:val="fr-FR"/>
        </w:rPr>
        <w:t> </w:t>
      </w:r>
      <w:r w:rsidRPr="006A30E0">
        <w:rPr>
          <w:i/>
          <w:lang w:val="fr-FR"/>
        </w:rPr>
        <w:t>перегородок</w:t>
      </w:r>
      <w:r>
        <w:rPr>
          <w:i/>
          <w:lang w:val="fr-FR"/>
        </w:rPr>
        <w:t> </w:t>
      </w:r>
      <w:r w:rsidRPr="00251D75">
        <w:rPr>
          <w:lang w:val="fr-FR"/>
        </w:rPr>
        <w:t>»</w:t>
      </w:r>
      <w:r w:rsidRPr="006A30E0">
        <w:rPr>
          <w:i/>
          <w:lang w:val="fr-FR"/>
        </w:rPr>
        <w:t xml:space="preserve"> </w:t>
      </w:r>
      <w:r w:rsidRPr="006A30E0">
        <w:rPr>
          <w:lang w:val="fr-FR"/>
        </w:rPr>
        <w:t>par</w:t>
      </w:r>
      <w:r w:rsidRPr="00925F1A">
        <w:rPr>
          <w:lang w:val="fr-FR"/>
        </w:rPr>
        <w:t xml:space="preserve"> </w:t>
      </w:r>
      <w:r w:rsidRPr="00251D75">
        <w:rPr>
          <w:lang w:val="fr-FR"/>
        </w:rPr>
        <w:t>«</w:t>
      </w:r>
      <w:r>
        <w:rPr>
          <w:lang w:val="fr-FR"/>
        </w:rPr>
        <w:t> </w:t>
      </w:r>
      <w:r w:rsidRPr="00720C8B">
        <w:rPr>
          <w:b/>
          <w:lang w:val="fr-FR"/>
        </w:rPr>
        <w:t>внутренних разделительных</w:t>
      </w:r>
      <w:r w:rsidRPr="006A30E0">
        <w:rPr>
          <w:lang w:val="fr-FR"/>
        </w:rPr>
        <w:t xml:space="preserve"> </w:t>
      </w:r>
      <w:r w:rsidRPr="006A30E0">
        <w:rPr>
          <w:i/>
          <w:lang w:val="fr-FR"/>
        </w:rPr>
        <w:t>перегородок</w:t>
      </w:r>
      <w:r>
        <w:rPr>
          <w:i/>
          <w:lang w:val="fr-FR"/>
        </w:rPr>
        <w:t> </w:t>
      </w:r>
      <w:r w:rsidRPr="00251D75">
        <w:rPr>
          <w:lang w:val="fr-FR"/>
        </w:rPr>
        <w:t xml:space="preserve">» </w:t>
      </w:r>
      <w:r w:rsidRPr="006A30E0">
        <w:rPr>
          <w:lang w:val="fr-FR"/>
        </w:rPr>
        <w:t>pour Schilled-comp, Sbulk et Kbulk au 7.3.3, au premier paragraphe du 7.3.4, pour Sfrozen-comp, Sbulk et Kbulk au 7.3.4, au premier paragraphe du 7.3.5 et du 7.3.6, et au dernier paragraphe du</w:t>
      </w:r>
      <w:r>
        <w:rPr>
          <w:lang w:val="fr-FR"/>
        </w:rPr>
        <w:t> </w:t>
      </w:r>
      <w:r w:rsidRPr="006A30E0">
        <w:rPr>
          <w:lang w:val="fr-FR"/>
        </w:rPr>
        <w:t>7.3.6</w:t>
      </w:r>
      <w:r>
        <w:rPr>
          <w:lang w:val="fr-FR"/>
        </w:rPr>
        <w:t xml:space="preserve"> ; </w:t>
      </w:r>
    </w:p>
    <w:p w:rsidR="003D0286" w:rsidRPr="002E2EAF" w:rsidRDefault="003D0286" w:rsidP="00AC5172">
      <w:pPr>
        <w:pStyle w:val="SingleTxtGR"/>
        <w:tabs>
          <w:tab w:val="left" w:pos="1843"/>
        </w:tabs>
      </w:pPr>
      <w:r w:rsidRPr="00251D75">
        <w:rPr>
          <w:lang w:val="fr-FR"/>
        </w:rPr>
        <w:t>«</w:t>
      </w:r>
      <w:r>
        <w:rPr>
          <w:lang w:val="fr-FR"/>
        </w:rPr>
        <w:t> </w:t>
      </w:r>
      <w:r w:rsidRPr="006A30E0">
        <w:rPr>
          <w:i/>
          <w:lang w:val="fr-FR"/>
        </w:rPr>
        <w:t>разделительных стенок</w:t>
      </w:r>
      <w:r>
        <w:rPr>
          <w:i/>
          <w:lang w:val="fr-FR"/>
        </w:rPr>
        <w:t> </w:t>
      </w:r>
      <w:r w:rsidRPr="00251D75">
        <w:rPr>
          <w:lang w:val="fr-FR"/>
        </w:rPr>
        <w:t>»</w:t>
      </w:r>
      <w:r w:rsidRPr="006A30E0">
        <w:rPr>
          <w:lang w:val="fr-FR"/>
        </w:rPr>
        <w:t xml:space="preserve"> par </w:t>
      </w:r>
      <w:r w:rsidRPr="00EC6A69">
        <w:rPr>
          <w:lang w:val="fr-FR"/>
        </w:rPr>
        <w:t>«</w:t>
      </w:r>
      <w:r>
        <w:rPr>
          <w:lang w:val="fr-FR"/>
        </w:rPr>
        <w:t> </w:t>
      </w:r>
      <w:r w:rsidRPr="00720C8B">
        <w:rPr>
          <w:b/>
          <w:lang w:val="fr-FR"/>
        </w:rPr>
        <w:t xml:space="preserve">внутренних </w:t>
      </w:r>
      <w:r w:rsidRPr="004D346C">
        <w:rPr>
          <w:i/>
          <w:lang w:val="fr-FR"/>
        </w:rPr>
        <w:t>разделительных</w:t>
      </w:r>
      <w:r w:rsidRPr="006A30E0">
        <w:rPr>
          <w:lang w:val="fr-FR"/>
        </w:rPr>
        <w:t xml:space="preserve"> </w:t>
      </w:r>
      <w:r w:rsidRPr="001E6E3A">
        <w:rPr>
          <w:b/>
          <w:lang w:val="fr-FR"/>
        </w:rPr>
        <w:t>перегородок</w:t>
      </w:r>
      <w:r>
        <w:rPr>
          <w:lang w:val="fr-FR"/>
        </w:rPr>
        <w:t> </w:t>
      </w:r>
      <w:r w:rsidRPr="00251D75">
        <w:rPr>
          <w:lang w:val="fr-FR"/>
        </w:rPr>
        <w:t xml:space="preserve">» </w:t>
      </w:r>
      <w:r w:rsidRPr="006A30E0">
        <w:rPr>
          <w:lang w:val="fr-FR"/>
        </w:rPr>
        <w:t>au deuxième paragraphe du 7.3.7</w:t>
      </w:r>
      <w:r>
        <w:rPr>
          <w:lang w:val="fr-FR"/>
        </w:rPr>
        <w:t> ;</w:t>
      </w:r>
    </w:p>
    <w:p w:rsidR="003D0286" w:rsidRPr="002E2EAF" w:rsidRDefault="003D0286" w:rsidP="00AC5172">
      <w:pPr>
        <w:pStyle w:val="SingleTxtGR"/>
        <w:tabs>
          <w:tab w:val="left" w:pos="1843"/>
        </w:tabs>
      </w:pPr>
      <w:r w:rsidRPr="00251D75">
        <w:rPr>
          <w:lang w:val="fr-FR"/>
        </w:rPr>
        <w:t>«</w:t>
      </w:r>
      <w:r>
        <w:rPr>
          <w:lang w:val="fr-FR"/>
        </w:rPr>
        <w:t> </w:t>
      </w:r>
      <w:r w:rsidRPr="006A30E0">
        <w:rPr>
          <w:i/>
          <w:lang w:val="fr-FR"/>
        </w:rPr>
        <w:t>перегородки</w:t>
      </w:r>
      <w:r>
        <w:rPr>
          <w:i/>
          <w:lang w:val="fr-FR"/>
        </w:rPr>
        <w:t> </w:t>
      </w:r>
      <w:r w:rsidRPr="00251D75">
        <w:rPr>
          <w:lang w:val="fr-FR"/>
        </w:rPr>
        <w:t xml:space="preserve">» </w:t>
      </w:r>
      <w:r w:rsidRPr="006A30E0">
        <w:rPr>
          <w:lang w:val="fr-FR"/>
        </w:rPr>
        <w:t>par</w:t>
      </w:r>
      <w:r w:rsidRPr="00251D75">
        <w:rPr>
          <w:lang w:val="fr-FR"/>
        </w:rPr>
        <w:t xml:space="preserve"> «</w:t>
      </w:r>
      <w:r>
        <w:rPr>
          <w:lang w:val="fr-FR"/>
        </w:rPr>
        <w:t> </w:t>
      </w:r>
      <w:r w:rsidRPr="001E6E3A">
        <w:rPr>
          <w:b/>
          <w:lang w:val="fr-FR"/>
        </w:rPr>
        <w:t>внутренней разделительной</w:t>
      </w:r>
      <w:r w:rsidRPr="006A30E0">
        <w:rPr>
          <w:lang w:val="fr-FR"/>
        </w:rPr>
        <w:t xml:space="preserve"> </w:t>
      </w:r>
      <w:r w:rsidRPr="004D346C">
        <w:rPr>
          <w:b/>
          <w:lang w:val="fr-FR"/>
        </w:rPr>
        <w:t>перегородки</w:t>
      </w:r>
      <w:r>
        <w:rPr>
          <w:i/>
          <w:lang w:val="fr-FR"/>
        </w:rPr>
        <w:t> </w:t>
      </w:r>
      <w:r w:rsidRPr="00251D75">
        <w:rPr>
          <w:lang w:val="fr-FR"/>
        </w:rPr>
        <w:t xml:space="preserve">» </w:t>
      </w:r>
      <w:r w:rsidRPr="006A30E0">
        <w:rPr>
          <w:lang w:val="fr-FR"/>
        </w:rPr>
        <w:t>au troisième (et dernier) paragraphe du 7.3.7 (après le tableau).</w:t>
      </w:r>
    </w:p>
    <w:p w:rsidR="003D0286" w:rsidRPr="00F861B8" w:rsidRDefault="001E6E3A" w:rsidP="001E6E3A">
      <w:pPr>
        <w:pStyle w:val="H23G"/>
      </w:pPr>
      <w:r>
        <w:rPr>
          <w:lang w:val="fr-FR"/>
        </w:rPr>
        <w:tab/>
      </w:r>
      <w:r>
        <w:rPr>
          <w:lang w:val="fr-FR"/>
        </w:rPr>
        <w:tab/>
      </w:r>
      <w:r w:rsidR="003D0286" w:rsidRPr="00F861B8">
        <w:rPr>
          <w:lang w:val="fr-FR"/>
        </w:rPr>
        <w:t>Justification</w:t>
      </w:r>
    </w:p>
    <w:p w:rsidR="00F46E4F" w:rsidRDefault="003D0286" w:rsidP="00F46E4F">
      <w:pPr>
        <w:pStyle w:val="SingleTxtG"/>
        <w:rPr>
          <w:lang w:val="fr-FR"/>
        </w:rPr>
      </w:pPr>
      <w:r>
        <w:rPr>
          <w:lang w:val="fr-FR"/>
        </w:rPr>
        <w:t>27.</w:t>
      </w:r>
      <w:r>
        <w:rPr>
          <w:lang w:val="fr-FR"/>
        </w:rPr>
        <w:tab/>
        <w:t>Comme cela a déjà été indiqué dans le document ECE/TRANS/WP.11/2015/17, soumis par les Pays-Bas, l</w:t>
      </w:r>
      <w:r w:rsidR="00F13177">
        <w:rPr>
          <w:lang w:val="fr-FR"/>
        </w:rPr>
        <w:t>’</w:t>
      </w:r>
      <w:r>
        <w:rPr>
          <w:lang w:val="fr-FR"/>
        </w:rPr>
        <w:t>introduction de la section 7 dans l</w:t>
      </w:r>
      <w:r w:rsidR="00F13177">
        <w:rPr>
          <w:lang w:val="fr-FR"/>
        </w:rPr>
        <w:t>’</w:t>
      </w:r>
      <w:r>
        <w:rPr>
          <w:lang w:val="fr-FR"/>
        </w:rPr>
        <w:t>appendice 2 de l</w:t>
      </w:r>
      <w:r w:rsidR="00F13177">
        <w:rPr>
          <w:lang w:val="fr-FR"/>
        </w:rPr>
        <w:t>’</w:t>
      </w:r>
      <w:r>
        <w:rPr>
          <w:lang w:val="fr-FR"/>
        </w:rPr>
        <w:t>annexe 1 de l</w:t>
      </w:r>
      <w:r w:rsidR="00F13177">
        <w:rPr>
          <w:lang w:val="fr-FR"/>
        </w:rPr>
        <w:t>’</w:t>
      </w:r>
      <w:r>
        <w:rPr>
          <w:lang w:val="fr-FR"/>
        </w:rPr>
        <w:t>ATP a également donné lieu à l</w:t>
      </w:r>
      <w:r w:rsidR="00F13177">
        <w:rPr>
          <w:lang w:val="fr-FR"/>
        </w:rPr>
        <w:t>’</w:t>
      </w:r>
      <w:r>
        <w:rPr>
          <w:lang w:val="fr-FR"/>
        </w:rPr>
        <w:t>introduction du terme désignant la division intérieure en deux compartiments ou plus d</w:t>
      </w:r>
      <w:r w:rsidR="00F13177">
        <w:rPr>
          <w:lang w:val="fr-FR"/>
        </w:rPr>
        <w:t>’</w:t>
      </w:r>
      <w:r>
        <w:rPr>
          <w:lang w:val="fr-FR"/>
        </w:rPr>
        <w:t>un engin à compartiments multiples, à savoir :</w:t>
      </w:r>
    </w:p>
    <w:p w:rsidR="00F46E4F" w:rsidRDefault="00F46E4F" w:rsidP="00F46E4F">
      <w:pPr>
        <w:pStyle w:val="SingleTxtG"/>
        <w:rPr>
          <w:lang w:val="fr-FR"/>
        </w:rPr>
      </w:pPr>
      <w:r>
        <w:rPr>
          <w:lang w:val="fr-FR"/>
        </w:rPr>
        <w:t>P</w:t>
      </w:r>
      <w:r w:rsidR="003D0286">
        <w:rPr>
          <w:lang w:val="fr-FR"/>
        </w:rPr>
        <w:t>our la version anglaise, « bulkhead », qui équivaut littéralement à « переборка » ;</w:t>
      </w:r>
    </w:p>
    <w:p w:rsidR="00F46E4F" w:rsidRDefault="00F46E4F" w:rsidP="00F46E4F">
      <w:pPr>
        <w:pStyle w:val="SingleTxtG"/>
        <w:rPr>
          <w:lang w:val="fr-FR"/>
        </w:rPr>
      </w:pPr>
      <w:r>
        <w:rPr>
          <w:lang w:val="fr-FR"/>
        </w:rPr>
        <w:t>P</w:t>
      </w:r>
      <w:r w:rsidR="003D0286">
        <w:rPr>
          <w:lang w:val="fr-FR"/>
        </w:rPr>
        <w:t>our la version russe, « перегородка » et « внутренняя разделительная стенка ».</w:t>
      </w:r>
    </w:p>
    <w:p w:rsidR="00F46E4F" w:rsidRDefault="003D0286" w:rsidP="00F46E4F">
      <w:pPr>
        <w:pStyle w:val="SingleTxtG"/>
        <w:rPr>
          <w:lang w:val="fr-FR"/>
        </w:rPr>
      </w:pPr>
      <w:r>
        <w:rPr>
          <w:lang w:val="fr-FR"/>
        </w:rPr>
        <w:t>Les Pays-Bas proposent, pour la version anglaise comme pour la version russe de l</w:t>
      </w:r>
      <w:r w:rsidR="00F13177">
        <w:rPr>
          <w:lang w:val="fr-FR"/>
        </w:rPr>
        <w:t>’</w:t>
      </w:r>
      <w:r>
        <w:rPr>
          <w:lang w:val="fr-FR"/>
        </w:rPr>
        <w:t>ATP, de n</w:t>
      </w:r>
      <w:r w:rsidR="00F13177">
        <w:rPr>
          <w:lang w:val="fr-FR"/>
        </w:rPr>
        <w:t>’</w:t>
      </w:r>
      <w:r>
        <w:rPr>
          <w:lang w:val="fr-FR"/>
        </w:rPr>
        <w:t>utiliser qu</w:t>
      </w:r>
      <w:r w:rsidR="00F13177">
        <w:rPr>
          <w:lang w:val="fr-FR"/>
        </w:rPr>
        <w:t>’</w:t>
      </w:r>
      <w:r>
        <w:rPr>
          <w:lang w:val="fr-FR"/>
        </w:rPr>
        <w:t>un seul terme, qui en russe est « перегородка » et qui est tout à fait juste.</w:t>
      </w:r>
    </w:p>
    <w:p w:rsidR="00F46E4F" w:rsidRDefault="003D0286" w:rsidP="00F46E4F">
      <w:pPr>
        <w:pStyle w:val="SingleTxtG"/>
        <w:rPr>
          <w:lang w:val="fr-FR"/>
        </w:rPr>
      </w:pPr>
      <w:r>
        <w:rPr>
          <w:lang w:val="fr-FR"/>
        </w:rPr>
        <w:t>Néanmoins, dans les n</w:t>
      </w:r>
      <w:r w:rsidR="00166E7D">
        <w:rPr>
          <w:lang w:val="fr-FR"/>
        </w:rPr>
        <w:t>ormes ISO 830-99 et ISO 1496-2-200</w:t>
      </w:r>
      <w:r>
        <w:rPr>
          <w:lang w:val="fr-FR"/>
        </w:rPr>
        <w:t>8, il est dit au sujet de ce terme qu</w:t>
      </w:r>
      <w:r w:rsidR="00F13177">
        <w:rPr>
          <w:lang w:val="fr-FR"/>
        </w:rPr>
        <w:t>’</w:t>
      </w:r>
      <w:r>
        <w:rPr>
          <w:lang w:val="fr-FR"/>
        </w:rPr>
        <w:t>il désigne une « partition formant un compartiment et/ou une cavité pour le passage d</w:t>
      </w:r>
      <w:r w:rsidR="00F13177">
        <w:rPr>
          <w:lang w:val="fr-FR"/>
        </w:rPr>
        <w:t>’</w:t>
      </w:r>
      <w:r>
        <w:rPr>
          <w:lang w:val="fr-FR"/>
        </w:rPr>
        <w:t>air aspiré ou refoulé. La partition peut faire partie intégrante de l</w:t>
      </w:r>
      <w:r w:rsidR="00F13177">
        <w:rPr>
          <w:lang w:val="fr-FR"/>
        </w:rPr>
        <w:t>’</w:t>
      </w:r>
      <w:r>
        <w:rPr>
          <w:lang w:val="fr-FR"/>
        </w:rPr>
        <w:t>équipement, ou bien être un élément indépendant de celui-ci ».</w:t>
      </w:r>
    </w:p>
    <w:p w:rsidR="00F46E4F" w:rsidRDefault="003D0286" w:rsidP="00F46E4F">
      <w:pPr>
        <w:pStyle w:val="SingleTxtG"/>
        <w:rPr>
          <w:lang w:val="fr-FR"/>
        </w:rPr>
      </w:pPr>
      <w:r>
        <w:rPr>
          <w:lang w:val="fr-FR"/>
        </w:rPr>
        <w:t>Afin d</w:t>
      </w:r>
      <w:r w:rsidR="00F13177">
        <w:rPr>
          <w:lang w:val="fr-FR"/>
        </w:rPr>
        <w:t>’</w:t>
      </w:r>
      <w:r>
        <w:rPr>
          <w:lang w:val="fr-FR"/>
        </w:rPr>
        <w:t xml:space="preserve">échapper au double sens du terme « перегородка », il est proposé, </w:t>
      </w:r>
      <w:r w:rsidRPr="007A1337">
        <w:rPr>
          <w:b/>
          <w:lang w:val="fr-FR"/>
        </w:rPr>
        <w:t>dans le contexte de la section 7 de l</w:t>
      </w:r>
      <w:r w:rsidR="00F13177" w:rsidRPr="007A1337">
        <w:rPr>
          <w:b/>
          <w:lang w:val="fr-FR"/>
        </w:rPr>
        <w:t>’</w:t>
      </w:r>
      <w:r w:rsidRPr="007A1337">
        <w:rPr>
          <w:b/>
          <w:lang w:val="fr-FR"/>
        </w:rPr>
        <w:t>appendice 2 de l</w:t>
      </w:r>
      <w:r w:rsidR="00F13177" w:rsidRPr="007A1337">
        <w:rPr>
          <w:b/>
          <w:lang w:val="fr-FR"/>
        </w:rPr>
        <w:t>’</w:t>
      </w:r>
      <w:r w:rsidRPr="007A1337">
        <w:rPr>
          <w:b/>
          <w:lang w:val="fr-FR"/>
        </w:rPr>
        <w:t>annexe 1 de l</w:t>
      </w:r>
      <w:r w:rsidR="00F13177" w:rsidRPr="007A1337">
        <w:rPr>
          <w:b/>
          <w:lang w:val="fr-FR"/>
        </w:rPr>
        <w:t>’</w:t>
      </w:r>
      <w:r w:rsidRPr="007A1337">
        <w:rPr>
          <w:b/>
          <w:lang w:val="fr-FR"/>
        </w:rPr>
        <w:t>ATP</w:t>
      </w:r>
      <w:r>
        <w:rPr>
          <w:lang w:val="fr-FR"/>
        </w:rPr>
        <w:t>, c</w:t>
      </w:r>
      <w:r w:rsidR="00F13177">
        <w:rPr>
          <w:lang w:val="fr-FR"/>
        </w:rPr>
        <w:t>’</w:t>
      </w:r>
      <w:r>
        <w:rPr>
          <w:lang w:val="fr-FR"/>
        </w:rPr>
        <w:t>est-à-dire l</w:t>
      </w:r>
      <w:r w:rsidR="00F13177">
        <w:rPr>
          <w:lang w:val="fr-FR"/>
        </w:rPr>
        <w:t>’</w:t>
      </w:r>
      <w:r>
        <w:rPr>
          <w:lang w:val="fr-FR"/>
        </w:rPr>
        <w:t>exécution d</w:t>
      </w:r>
      <w:r w:rsidR="00F13177">
        <w:rPr>
          <w:lang w:val="fr-FR"/>
        </w:rPr>
        <w:t>’</w:t>
      </w:r>
      <w:r>
        <w:rPr>
          <w:lang w:val="fr-FR"/>
        </w:rPr>
        <w:t>un ensemble de procédures s</w:t>
      </w:r>
      <w:r w:rsidR="00F13177">
        <w:rPr>
          <w:lang w:val="fr-FR"/>
        </w:rPr>
        <w:t>’</w:t>
      </w:r>
      <w:r>
        <w:rPr>
          <w:lang w:val="fr-FR"/>
        </w:rPr>
        <w:t>appliquant aux engins à compartiments multiples, d</w:t>
      </w:r>
      <w:r w:rsidR="00F13177">
        <w:rPr>
          <w:lang w:val="fr-FR"/>
        </w:rPr>
        <w:t>’</w:t>
      </w:r>
      <w:r>
        <w:rPr>
          <w:lang w:val="fr-FR"/>
        </w:rPr>
        <w:t>utiliser le terme « внутренняя разделительная перегородка » (« partition interne »), car le concept est déjà défini dans l</w:t>
      </w:r>
      <w:r w:rsidR="00F13177">
        <w:rPr>
          <w:lang w:val="fr-FR"/>
        </w:rPr>
        <w:t>’</w:t>
      </w:r>
      <w:r>
        <w:rPr>
          <w:lang w:val="fr-FR"/>
        </w:rPr>
        <w:t>ATP et a déjà été employé dans le document ECE/TRANS/WP.11/2007/18, soumis par Transfrigoroute International (TI), et d</w:t>
      </w:r>
      <w:r w:rsidR="00F13177">
        <w:rPr>
          <w:lang w:val="fr-FR"/>
        </w:rPr>
        <w:t>’</w:t>
      </w:r>
      <w:r>
        <w:rPr>
          <w:lang w:val="fr-FR"/>
        </w:rPr>
        <w:t>autant plus que dans la définition qu</w:t>
      </w:r>
      <w:r w:rsidR="00F13177">
        <w:rPr>
          <w:lang w:val="fr-FR"/>
        </w:rPr>
        <w:t>’</w:t>
      </w:r>
      <w:r>
        <w:rPr>
          <w:lang w:val="fr-FR"/>
        </w:rPr>
        <w:t>ils proposent pour ce terme (document ECE/TRANS/WP.11/2015/17), les Pays-Bas disent aussi qu</w:t>
      </w:r>
      <w:r w:rsidR="00F13177">
        <w:rPr>
          <w:lang w:val="fr-FR"/>
        </w:rPr>
        <w:t>’</w:t>
      </w:r>
      <w:r>
        <w:rPr>
          <w:lang w:val="fr-FR"/>
        </w:rPr>
        <w:t>il s</w:t>
      </w:r>
      <w:r w:rsidR="00F13177">
        <w:rPr>
          <w:lang w:val="fr-FR"/>
        </w:rPr>
        <w:t>’</w:t>
      </w:r>
      <w:r>
        <w:rPr>
          <w:lang w:val="fr-FR"/>
        </w:rPr>
        <w:t>agit d</w:t>
      </w:r>
      <w:r w:rsidR="00F13177">
        <w:rPr>
          <w:lang w:val="fr-FR"/>
        </w:rPr>
        <w:t>’</w:t>
      </w:r>
      <w:r>
        <w:rPr>
          <w:lang w:val="fr-FR"/>
        </w:rPr>
        <w:t>une cloison interne d</w:t>
      </w:r>
      <w:r w:rsidR="00F13177">
        <w:rPr>
          <w:lang w:val="fr-FR"/>
        </w:rPr>
        <w:t>’</w:t>
      </w:r>
      <w:r>
        <w:rPr>
          <w:lang w:val="fr-FR"/>
        </w:rPr>
        <w:t>une caisse isotherme divisant « celle-ci en plus d</w:t>
      </w:r>
      <w:r w:rsidR="00F13177">
        <w:rPr>
          <w:lang w:val="fr-FR"/>
        </w:rPr>
        <w:t>’</w:t>
      </w:r>
      <w:r>
        <w:rPr>
          <w:lang w:val="fr-FR"/>
        </w:rPr>
        <w:t xml:space="preserve">un compartiment ». </w:t>
      </w:r>
    </w:p>
    <w:p w:rsidR="00F46E4F" w:rsidRDefault="003D0286" w:rsidP="00F46E4F">
      <w:pPr>
        <w:pStyle w:val="SingleTxtG"/>
        <w:rPr>
          <w:lang w:val="fr-FR"/>
        </w:rPr>
      </w:pPr>
      <w:r>
        <w:rPr>
          <w:lang w:val="fr-FR"/>
        </w:rPr>
        <w:t>Compte tenu de ce qui précède, la Fédération de Russie propose d</w:t>
      </w:r>
      <w:r w:rsidR="00F13177">
        <w:rPr>
          <w:lang w:val="fr-FR"/>
        </w:rPr>
        <w:t>’</w:t>
      </w:r>
      <w:r>
        <w:rPr>
          <w:lang w:val="fr-FR"/>
        </w:rPr>
        <w:t xml:space="preserve">employer </w:t>
      </w:r>
      <w:r w:rsidRPr="007A1337">
        <w:rPr>
          <w:b/>
          <w:lang w:val="fr-FR"/>
        </w:rPr>
        <w:t>dans l</w:t>
      </w:r>
      <w:r w:rsidR="00F13177" w:rsidRPr="007A1337">
        <w:rPr>
          <w:b/>
          <w:lang w:val="fr-FR"/>
        </w:rPr>
        <w:t>’</w:t>
      </w:r>
      <w:r w:rsidRPr="007A1337">
        <w:rPr>
          <w:b/>
          <w:lang w:val="fr-FR"/>
        </w:rPr>
        <w:t>ATP</w:t>
      </w:r>
      <w:r>
        <w:rPr>
          <w:lang w:val="fr-FR"/>
        </w:rPr>
        <w:t xml:space="preserve"> le terme « внутренняя разделительная перегородка » (« partition interne »).</w:t>
      </w:r>
    </w:p>
    <w:p w:rsidR="003D0286" w:rsidRPr="00F46E4F" w:rsidRDefault="00F46E4F" w:rsidP="00F46E4F">
      <w:pPr>
        <w:pStyle w:val="HChG"/>
        <w:rPr>
          <w:rFonts w:eastAsiaTheme="minorEastAsia"/>
        </w:rPr>
      </w:pPr>
      <w:r>
        <w:rPr>
          <w:lang w:val="fr-FR"/>
        </w:rPr>
        <w:tab/>
      </w:r>
      <w:r w:rsidR="003D0286">
        <w:rPr>
          <w:lang w:val="fr-FR"/>
        </w:rPr>
        <w:t>X.</w:t>
      </w:r>
      <w:r w:rsidR="003D0286">
        <w:rPr>
          <w:lang w:val="fr-FR"/>
        </w:rPr>
        <w:tab/>
        <w:t xml:space="preserve">Proposition 10 </w:t>
      </w:r>
    </w:p>
    <w:p w:rsidR="003D0286" w:rsidRPr="001D5995" w:rsidRDefault="003D0286" w:rsidP="001973CA">
      <w:pPr>
        <w:pStyle w:val="H23G"/>
      </w:pPr>
      <w:r>
        <w:rPr>
          <w:lang w:val="fr-FR"/>
        </w:rPr>
        <w:tab/>
      </w:r>
      <w:r>
        <w:rPr>
          <w:lang w:val="fr-FR"/>
        </w:rPr>
        <w:tab/>
      </w:r>
      <w:r w:rsidR="001973CA">
        <w:rPr>
          <w:lang w:val="fr-FR"/>
        </w:rPr>
        <w:t>« Compartiment »</w:t>
      </w:r>
    </w:p>
    <w:p w:rsidR="001973CA" w:rsidRDefault="003D0286" w:rsidP="001973CA">
      <w:pPr>
        <w:pStyle w:val="SingleTxtG"/>
        <w:rPr>
          <w:lang w:val="fr-FR"/>
        </w:rPr>
      </w:pPr>
      <w:r>
        <w:rPr>
          <w:lang w:val="fr-FR"/>
        </w:rPr>
        <w:t>28.</w:t>
      </w:r>
      <w:r>
        <w:rPr>
          <w:lang w:val="fr-FR"/>
        </w:rPr>
        <w:tab/>
        <w:t>Proposition de la Fédération de Russie visant à compléter la définition proposée par les Pays-Bas dans le document ECE/TRANS/WP.11/2015/17 (proposition 10) :</w:t>
      </w:r>
    </w:p>
    <w:p w:rsidR="003D0286" w:rsidRPr="005E4F59" w:rsidRDefault="00EB1066" w:rsidP="001973CA">
      <w:pPr>
        <w:pStyle w:val="SingleTxtG"/>
        <w:rPr>
          <w:i/>
        </w:rPr>
      </w:pPr>
      <w:r>
        <w:rPr>
          <w:lang w:val="fr-FR"/>
        </w:rPr>
        <w:t>« </w:t>
      </w:r>
      <w:r w:rsidR="003D0286" w:rsidRPr="00F82F2C">
        <w:rPr>
          <w:i/>
          <w:lang w:val="fr-FR"/>
        </w:rPr>
        <w:t>Compartiment désigne une section fermée à l</w:t>
      </w:r>
      <w:r w:rsidR="00F13177">
        <w:rPr>
          <w:i/>
          <w:lang w:val="fr-FR"/>
        </w:rPr>
        <w:t>’</w:t>
      </w:r>
      <w:r w:rsidR="003D0286" w:rsidRPr="00F82F2C">
        <w:rPr>
          <w:i/>
          <w:lang w:val="fr-FR"/>
        </w:rPr>
        <w:t>intérieur d</w:t>
      </w:r>
      <w:r w:rsidR="00F13177">
        <w:rPr>
          <w:i/>
          <w:lang w:val="fr-FR"/>
        </w:rPr>
        <w:t>’</w:t>
      </w:r>
      <w:r w:rsidR="003D0286" w:rsidRPr="00F82F2C">
        <w:rPr>
          <w:i/>
          <w:lang w:val="fr-FR"/>
        </w:rPr>
        <w:t>une caisse isotherme.</w:t>
      </w:r>
      <w:r w:rsidR="003D0286">
        <w:rPr>
          <w:lang w:val="fr-FR"/>
        </w:rPr>
        <w:t xml:space="preserve"> </w:t>
      </w:r>
      <w:r>
        <w:rPr>
          <w:i/>
          <w:lang w:val="fr-FR"/>
        </w:rPr>
        <w:t>Les </w:t>
      </w:r>
      <w:r w:rsidR="003D0286" w:rsidRPr="00F53ABC">
        <w:rPr>
          <w:i/>
          <w:lang w:val="fr-FR"/>
        </w:rPr>
        <w:t>compartiments peuvent être fixes, ou de taille modulable au moyen de partitions</w:t>
      </w:r>
      <w:r w:rsidR="003D0286">
        <w:rPr>
          <w:lang w:val="fr-FR"/>
        </w:rPr>
        <w:t xml:space="preserve"> </w:t>
      </w:r>
      <w:r w:rsidR="003D0286" w:rsidRPr="00041833">
        <w:rPr>
          <w:b/>
          <w:lang w:val="fr-FR"/>
        </w:rPr>
        <w:t>internes</w:t>
      </w:r>
      <w:r w:rsidR="003D0286">
        <w:rPr>
          <w:lang w:val="fr-FR"/>
        </w:rPr>
        <w:t xml:space="preserve"> </w:t>
      </w:r>
      <w:r w:rsidR="003D0286" w:rsidRPr="00F53ABC">
        <w:rPr>
          <w:i/>
          <w:lang w:val="fr-FR"/>
        </w:rPr>
        <w:t>mobiles, ou encore deux compartiments peuvent être réunis en un seul au moyen de partitions</w:t>
      </w:r>
      <w:r w:rsidR="003D0286" w:rsidRPr="00041833">
        <w:rPr>
          <w:b/>
          <w:i/>
          <w:lang w:val="fr-FR"/>
        </w:rPr>
        <w:t xml:space="preserve"> </w:t>
      </w:r>
      <w:r w:rsidR="003D0286" w:rsidRPr="00041833">
        <w:rPr>
          <w:b/>
          <w:lang w:val="fr-FR"/>
        </w:rPr>
        <w:t>internes</w:t>
      </w:r>
      <w:r w:rsidR="003D0286" w:rsidRPr="00F53ABC">
        <w:rPr>
          <w:i/>
          <w:lang w:val="fr-FR"/>
        </w:rPr>
        <w:t xml:space="preserve"> amovibles</w:t>
      </w:r>
      <w:r w:rsidR="003D0286">
        <w:rPr>
          <w:lang w:val="fr-FR"/>
        </w:rPr>
        <w:t>.</w:t>
      </w:r>
      <w:r w:rsidR="00107C4A">
        <w:rPr>
          <w:lang w:val="fr-FR"/>
        </w:rPr>
        <w:t> ».</w:t>
      </w:r>
    </w:p>
    <w:p w:rsidR="003D0286" w:rsidRPr="00F861B8" w:rsidRDefault="001973CA" w:rsidP="001973CA">
      <w:pPr>
        <w:pStyle w:val="H23G"/>
      </w:pPr>
      <w:r>
        <w:rPr>
          <w:lang w:val="fr-FR"/>
        </w:rPr>
        <w:tab/>
      </w:r>
      <w:r>
        <w:rPr>
          <w:lang w:val="fr-FR"/>
        </w:rPr>
        <w:tab/>
      </w:r>
      <w:r w:rsidR="003D0286" w:rsidRPr="00F861B8">
        <w:rPr>
          <w:lang w:val="fr-FR"/>
        </w:rPr>
        <w:t>Justification</w:t>
      </w:r>
    </w:p>
    <w:p w:rsidR="003D0286" w:rsidRDefault="003D0286" w:rsidP="001973CA">
      <w:pPr>
        <w:pStyle w:val="SingleTxtG"/>
      </w:pPr>
      <w:r>
        <w:rPr>
          <w:lang w:val="fr-FR"/>
        </w:rPr>
        <w:t>Il est proposé d</w:t>
      </w:r>
      <w:r w:rsidR="00F13177">
        <w:rPr>
          <w:lang w:val="fr-FR"/>
        </w:rPr>
        <w:t>’</w:t>
      </w:r>
      <w:r>
        <w:rPr>
          <w:lang w:val="fr-FR"/>
        </w:rPr>
        <w:t>aligner le texte original sur celui de la proposition 9 de la Fédération de Russie par rapport à la proposition 9 des Pays-Bas.</w:t>
      </w:r>
    </w:p>
    <w:p w:rsidR="003D0286" w:rsidRPr="002E2EAF" w:rsidRDefault="003D0286" w:rsidP="001973CA">
      <w:pPr>
        <w:pStyle w:val="H23G"/>
      </w:pPr>
      <w:r>
        <w:rPr>
          <w:lang w:val="fr-FR"/>
        </w:rPr>
        <w:tab/>
      </w:r>
      <w:r>
        <w:rPr>
          <w:lang w:val="fr-FR"/>
        </w:rPr>
        <w:tab/>
        <w:t>Coûts</w:t>
      </w:r>
    </w:p>
    <w:p w:rsidR="003D0286" w:rsidRPr="002E2EAF" w:rsidRDefault="003D0286" w:rsidP="001973CA">
      <w:pPr>
        <w:pStyle w:val="SingleTxtG"/>
      </w:pPr>
      <w:r>
        <w:rPr>
          <w:lang w:val="fr-FR"/>
        </w:rPr>
        <w:t>29.</w:t>
      </w:r>
      <w:r>
        <w:rPr>
          <w:lang w:val="fr-FR"/>
        </w:rPr>
        <w:tab/>
        <w:t>Il n</w:t>
      </w:r>
      <w:r w:rsidR="00F13177">
        <w:rPr>
          <w:lang w:val="fr-FR"/>
        </w:rPr>
        <w:t>’</w:t>
      </w:r>
      <w:r>
        <w:rPr>
          <w:lang w:val="fr-FR"/>
        </w:rPr>
        <w:t xml:space="preserve">y a pas de coûts supplémentaires à prévoir. </w:t>
      </w:r>
    </w:p>
    <w:p w:rsidR="003D0286" w:rsidRPr="002E2EAF" w:rsidRDefault="003D0286" w:rsidP="001973CA">
      <w:pPr>
        <w:pStyle w:val="H23G"/>
      </w:pPr>
      <w:r>
        <w:rPr>
          <w:lang w:val="fr-FR"/>
        </w:rPr>
        <w:tab/>
      </w:r>
      <w:r>
        <w:rPr>
          <w:lang w:val="fr-FR"/>
        </w:rPr>
        <w:tab/>
        <w:t>Faisabilité</w:t>
      </w:r>
    </w:p>
    <w:p w:rsidR="003D0286" w:rsidRPr="002E2EAF" w:rsidRDefault="001973CA" w:rsidP="001973CA">
      <w:pPr>
        <w:pStyle w:val="SingleTxtG"/>
        <w:rPr>
          <w:u w:val="single"/>
        </w:rPr>
      </w:pPr>
      <w:r>
        <w:rPr>
          <w:lang w:val="fr-FR"/>
        </w:rPr>
        <w:t>30.</w:t>
      </w:r>
      <w:r>
        <w:rPr>
          <w:lang w:val="fr-FR"/>
        </w:rPr>
        <w:tab/>
      </w:r>
      <w:r w:rsidR="003D0286">
        <w:rPr>
          <w:lang w:val="fr-FR"/>
        </w:rPr>
        <w:t>Les termes pour lesquels des définitions sont proposées figurent déjà dans l</w:t>
      </w:r>
      <w:r w:rsidR="00F13177">
        <w:rPr>
          <w:lang w:val="fr-FR"/>
        </w:rPr>
        <w:t>’</w:t>
      </w:r>
      <w:r w:rsidR="00317593">
        <w:rPr>
          <w:lang w:val="fr-FR"/>
        </w:rPr>
        <w:t>annexe </w:t>
      </w:r>
      <w:r w:rsidR="003D0286">
        <w:rPr>
          <w:lang w:val="fr-FR"/>
        </w:rPr>
        <w:t>1 de l</w:t>
      </w:r>
      <w:r w:rsidR="00F13177">
        <w:rPr>
          <w:lang w:val="fr-FR"/>
        </w:rPr>
        <w:t>’</w:t>
      </w:r>
      <w:r w:rsidR="003D0286">
        <w:rPr>
          <w:lang w:val="fr-FR"/>
        </w:rPr>
        <w:t>ATP. Les ajouts proposés pour l</w:t>
      </w:r>
      <w:r w:rsidR="00F13177">
        <w:rPr>
          <w:lang w:val="fr-FR"/>
        </w:rPr>
        <w:t>’</w:t>
      </w:r>
      <w:r w:rsidR="003D0286">
        <w:rPr>
          <w:lang w:val="fr-FR"/>
        </w:rPr>
        <w:t>ATP ne concernent pas les articles de l</w:t>
      </w:r>
      <w:r w:rsidR="00F13177">
        <w:rPr>
          <w:lang w:val="fr-FR"/>
        </w:rPr>
        <w:t>’</w:t>
      </w:r>
      <w:r w:rsidR="003D0286">
        <w:rPr>
          <w:lang w:val="fr-FR"/>
        </w:rPr>
        <w:t>Accord, ni les normes et prescriptions relatives à l</w:t>
      </w:r>
      <w:r w:rsidR="00F13177">
        <w:rPr>
          <w:lang w:val="fr-FR"/>
        </w:rPr>
        <w:t>’</w:t>
      </w:r>
      <w:r w:rsidR="003D0286">
        <w:rPr>
          <w:lang w:val="fr-FR"/>
        </w:rPr>
        <w:t>inspection périodique ou à l</w:t>
      </w:r>
      <w:r w:rsidR="00F13177">
        <w:rPr>
          <w:lang w:val="fr-FR"/>
        </w:rPr>
        <w:t>’</w:t>
      </w:r>
      <w:r w:rsidR="003D0286">
        <w:rPr>
          <w:lang w:val="fr-FR"/>
        </w:rPr>
        <w:t>attestation des engins spéciaux. Cependant, l</w:t>
      </w:r>
      <w:r w:rsidR="00F13177">
        <w:rPr>
          <w:lang w:val="fr-FR"/>
        </w:rPr>
        <w:t>’</w:t>
      </w:r>
      <w:r w:rsidR="003D0286">
        <w:rPr>
          <w:lang w:val="fr-FR"/>
        </w:rPr>
        <w:t>utilisation dans l</w:t>
      </w:r>
      <w:r w:rsidR="00F13177">
        <w:rPr>
          <w:lang w:val="fr-FR"/>
        </w:rPr>
        <w:t>’</w:t>
      </w:r>
      <w:r w:rsidR="003D0286">
        <w:rPr>
          <w:lang w:val="fr-FR"/>
        </w:rPr>
        <w:t>annexe 1 de l</w:t>
      </w:r>
      <w:r w:rsidR="00F13177">
        <w:rPr>
          <w:lang w:val="fr-FR"/>
        </w:rPr>
        <w:t>’</w:t>
      </w:r>
      <w:r w:rsidR="003D0286">
        <w:rPr>
          <w:lang w:val="fr-FR"/>
        </w:rPr>
        <w:t>ATP de définitions étayées des termes employés permettra de mettre fin à toute interprétation incorrecte desdits termes et d</w:t>
      </w:r>
      <w:r w:rsidR="00F13177">
        <w:rPr>
          <w:lang w:val="fr-FR"/>
        </w:rPr>
        <w:t>’</w:t>
      </w:r>
      <w:r w:rsidR="003D0286">
        <w:rPr>
          <w:lang w:val="fr-FR"/>
        </w:rPr>
        <w:t>améliorer ainsi la compréhension par toutes les Parties contractantes du texte de l</w:t>
      </w:r>
      <w:r w:rsidR="00F13177">
        <w:rPr>
          <w:lang w:val="fr-FR"/>
        </w:rPr>
        <w:t>’</w:t>
      </w:r>
      <w:r w:rsidR="003D0286">
        <w:rPr>
          <w:lang w:val="fr-FR"/>
        </w:rPr>
        <w:t xml:space="preserve">Accord. </w:t>
      </w:r>
    </w:p>
    <w:p w:rsidR="003D0286" w:rsidRPr="002E2EAF" w:rsidRDefault="003D0286" w:rsidP="001973CA">
      <w:pPr>
        <w:pStyle w:val="H23G"/>
      </w:pPr>
      <w:r>
        <w:rPr>
          <w:lang w:val="fr-FR"/>
        </w:rPr>
        <w:tab/>
      </w:r>
      <w:r>
        <w:rPr>
          <w:lang w:val="fr-FR"/>
        </w:rPr>
        <w:tab/>
        <w:t>Applicabilité</w:t>
      </w:r>
    </w:p>
    <w:p w:rsidR="00F9573C" w:rsidRDefault="003D0286" w:rsidP="001973CA">
      <w:pPr>
        <w:pStyle w:val="SingleTxtG"/>
        <w:rPr>
          <w:lang w:val="fr-FR"/>
        </w:rPr>
      </w:pPr>
      <w:r>
        <w:rPr>
          <w:lang w:val="fr-FR"/>
        </w:rPr>
        <w:t>31.</w:t>
      </w:r>
      <w:r>
        <w:rPr>
          <w:lang w:val="fr-FR"/>
        </w:rPr>
        <w:tab/>
        <w:t>Aucun problème n</w:t>
      </w:r>
      <w:r w:rsidR="00F13177">
        <w:rPr>
          <w:lang w:val="fr-FR"/>
        </w:rPr>
        <w:t>’</w:t>
      </w:r>
      <w:r>
        <w:rPr>
          <w:lang w:val="fr-FR"/>
        </w:rPr>
        <w:t>est à prévoir en ce qui concerne l</w:t>
      </w:r>
      <w:r w:rsidR="00F13177">
        <w:rPr>
          <w:lang w:val="fr-FR"/>
        </w:rPr>
        <w:t>’</w:t>
      </w:r>
      <w:r>
        <w:rPr>
          <w:lang w:val="fr-FR"/>
        </w:rPr>
        <w:t>applica</w:t>
      </w:r>
      <w:r w:rsidR="001973CA">
        <w:rPr>
          <w:lang w:val="fr-FR"/>
        </w:rPr>
        <w:t>tion des propositions ci</w:t>
      </w:r>
      <w:r w:rsidR="001973CA">
        <w:rPr>
          <w:lang w:val="fr-FR"/>
        </w:rPr>
        <w:noBreakHyphen/>
        <w:t>dessus.</w:t>
      </w:r>
    </w:p>
    <w:p w:rsidR="001973CA" w:rsidRPr="001973CA" w:rsidRDefault="001973CA" w:rsidP="001973CA">
      <w:pPr>
        <w:pStyle w:val="SingleTxtG"/>
        <w:spacing w:before="240" w:after="0"/>
        <w:jc w:val="center"/>
        <w:rPr>
          <w:u w:val="single"/>
        </w:rPr>
      </w:pPr>
      <w:r>
        <w:rPr>
          <w:u w:val="single"/>
        </w:rPr>
        <w:tab/>
      </w:r>
      <w:r>
        <w:rPr>
          <w:u w:val="single"/>
        </w:rPr>
        <w:tab/>
      </w:r>
      <w:r>
        <w:rPr>
          <w:u w:val="single"/>
        </w:rPr>
        <w:tab/>
      </w:r>
    </w:p>
    <w:sectPr w:rsidR="001973CA" w:rsidRPr="001973CA" w:rsidSect="00791486">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BBF" w:rsidRDefault="00103BBF" w:rsidP="00F95C08">
      <w:pPr>
        <w:spacing w:line="240" w:lineRule="auto"/>
      </w:pPr>
    </w:p>
  </w:endnote>
  <w:endnote w:type="continuationSeparator" w:id="0">
    <w:p w:rsidR="00103BBF" w:rsidRPr="00AC3823" w:rsidRDefault="00103BBF" w:rsidP="00AC3823">
      <w:pPr>
        <w:pStyle w:val="Footer"/>
      </w:pPr>
    </w:p>
  </w:endnote>
  <w:endnote w:type="continuationNotice" w:id="1">
    <w:p w:rsidR="00103BBF" w:rsidRDefault="00103B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486" w:rsidRPr="00791486" w:rsidRDefault="00791486" w:rsidP="00791486">
    <w:pPr>
      <w:pStyle w:val="Footer"/>
      <w:tabs>
        <w:tab w:val="right" w:pos="9638"/>
      </w:tabs>
    </w:pPr>
    <w:r w:rsidRPr="00791486">
      <w:rPr>
        <w:b/>
        <w:sz w:val="18"/>
      </w:rPr>
      <w:fldChar w:fldCharType="begin"/>
    </w:r>
    <w:r w:rsidRPr="00791486">
      <w:rPr>
        <w:b/>
        <w:sz w:val="18"/>
      </w:rPr>
      <w:instrText xml:space="preserve"> PAGE  \* MERGEFORMAT </w:instrText>
    </w:r>
    <w:r w:rsidRPr="00791486">
      <w:rPr>
        <w:b/>
        <w:sz w:val="18"/>
      </w:rPr>
      <w:fldChar w:fldCharType="separate"/>
    </w:r>
    <w:r w:rsidR="00F80976">
      <w:rPr>
        <w:b/>
        <w:noProof/>
        <w:sz w:val="18"/>
      </w:rPr>
      <w:t>2</w:t>
    </w:r>
    <w:r w:rsidRPr="00791486">
      <w:rPr>
        <w:b/>
        <w:sz w:val="18"/>
      </w:rPr>
      <w:fldChar w:fldCharType="end"/>
    </w:r>
    <w:r>
      <w:rPr>
        <w:b/>
        <w:sz w:val="18"/>
      </w:rPr>
      <w:tab/>
    </w:r>
    <w:r>
      <w:t>GE.17-12844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486" w:rsidRPr="00791486" w:rsidRDefault="00791486" w:rsidP="00791486">
    <w:pPr>
      <w:pStyle w:val="Footer"/>
      <w:tabs>
        <w:tab w:val="right" w:pos="9638"/>
      </w:tabs>
      <w:rPr>
        <w:b/>
        <w:sz w:val="18"/>
      </w:rPr>
    </w:pPr>
    <w:r>
      <w:t>GE.17-12844</w:t>
    </w:r>
    <w:r>
      <w:tab/>
    </w:r>
    <w:r w:rsidRPr="00791486">
      <w:rPr>
        <w:b/>
        <w:sz w:val="18"/>
      </w:rPr>
      <w:fldChar w:fldCharType="begin"/>
    </w:r>
    <w:r w:rsidRPr="00791486">
      <w:rPr>
        <w:b/>
        <w:sz w:val="18"/>
      </w:rPr>
      <w:instrText xml:space="preserve"> PAGE  \* MERGEFORMAT </w:instrText>
    </w:r>
    <w:r w:rsidRPr="00791486">
      <w:rPr>
        <w:b/>
        <w:sz w:val="18"/>
      </w:rPr>
      <w:fldChar w:fldCharType="separate"/>
    </w:r>
    <w:r w:rsidR="00F80976">
      <w:rPr>
        <w:b/>
        <w:noProof/>
        <w:sz w:val="18"/>
      </w:rPr>
      <w:t>7</w:t>
    </w:r>
    <w:r w:rsidRPr="0079148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FA" w:rsidRPr="00791486" w:rsidRDefault="00791486" w:rsidP="00791486">
    <w:pPr>
      <w:pStyle w:val="Footer"/>
      <w:spacing w:before="120"/>
      <w:rPr>
        <w:sz w:val="20"/>
      </w:rPr>
    </w:pPr>
    <w:r>
      <w:rPr>
        <w:sz w:val="20"/>
      </w:rPr>
      <w:t>GE.</w:t>
    </w:r>
    <w:r w:rsidR="007F20FA">
      <w:rPr>
        <w:noProof/>
        <w:lang w:val="en-GB" w:eastAsia="en-GB"/>
      </w:rPr>
      <w:drawing>
        <wp:anchor distT="0" distB="0" distL="114300" distR="114300" simplePos="0" relativeHeight="251660288" behindDoc="0" locked="0" layoutInCell="1" allowOverlap="0" wp14:anchorId="16F634A7" wp14:editId="7E4EAD8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17-12844  (F)    041017    041017</w:t>
    </w:r>
    <w:r>
      <w:rPr>
        <w:sz w:val="20"/>
      </w:rPr>
      <w:br/>
    </w:r>
    <w:r w:rsidRPr="00791486">
      <w:rPr>
        <w:rFonts w:ascii="C39T30Lfz" w:hAnsi="C39T30Lfz"/>
        <w:sz w:val="56"/>
      </w:rPr>
      <w:t></w:t>
    </w:r>
    <w:r w:rsidRPr="00791486">
      <w:rPr>
        <w:rFonts w:ascii="C39T30Lfz" w:hAnsi="C39T30Lfz"/>
        <w:sz w:val="56"/>
      </w:rPr>
      <w:t></w:t>
    </w:r>
    <w:r w:rsidRPr="00791486">
      <w:rPr>
        <w:rFonts w:ascii="C39T30Lfz" w:hAnsi="C39T30Lfz"/>
        <w:sz w:val="56"/>
      </w:rPr>
      <w:t></w:t>
    </w:r>
    <w:r w:rsidRPr="00791486">
      <w:rPr>
        <w:rFonts w:ascii="C39T30Lfz" w:hAnsi="C39T30Lfz"/>
        <w:sz w:val="56"/>
      </w:rPr>
      <w:t></w:t>
    </w:r>
    <w:r w:rsidRPr="00791486">
      <w:rPr>
        <w:rFonts w:ascii="C39T30Lfz" w:hAnsi="C39T30Lfz"/>
        <w:sz w:val="56"/>
      </w:rPr>
      <w:t></w:t>
    </w:r>
    <w:r w:rsidRPr="00791486">
      <w:rPr>
        <w:rFonts w:ascii="C39T30Lfz" w:hAnsi="C39T30Lfz"/>
        <w:sz w:val="56"/>
      </w:rPr>
      <w:t></w:t>
    </w:r>
    <w:r w:rsidRPr="00791486">
      <w:rPr>
        <w:rFonts w:ascii="C39T30Lfz" w:hAnsi="C39T30Lfz"/>
        <w:sz w:val="56"/>
      </w:rPr>
      <w:t></w:t>
    </w:r>
    <w:r w:rsidRPr="00791486">
      <w:rPr>
        <w:rFonts w:ascii="C39T30Lfz" w:hAnsi="C39T30Lfz"/>
        <w:sz w:val="56"/>
      </w:rPr>
      <w:t></w:t>
    </w:r>
    <w:r w:rsidRPr="00791486">
      <w:rPr>
        <w:rFonts w:ascii="C39T30Lfz" w:hAnsi="C39T30Lfz"/>
        <w:sz w:val="56"/>
      </w:rPr>
      <w:t></w:t>
    </w:r>
    <w:r>
      <w:rPr>
        <w:noProof/>
        <w:sz w:val="20"/>
        <w:lang w:val="en-GB" w:eastAsia="en-GB"/>
      </w:rPr>
      <w:drawing>
        <wp:anchor distT="0" distB="0" distL="114300" distR="114300" simplePos="0" relativeHeight="251658240"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3" name="Image 1" descr="https://undocs.org/m2/QRCode.ashx?DS=ECE/TRANS/WP.11/2017/17&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11/2017/17&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BBF" w:rsidRPr="00AC3823" w:rsidRDefault="00103BBF" w:rsidP="00AC3823">
      <w:pPr>
        <w:pStyle w:val="Footer"/>
        <w:tabs>
          <w:tab w:val="right" w:pos="2155"/>
        </w:tabs>
        <w:spacing w:after="80" w:line="240" w:lineRule="atLeast"/>
        <w:ind w:left="680"/>
        <w:rPr>
          <w:u w:val="single"/>
        </w:rPr>
      </w:pPr>
      <w:r>
        <w:rPr>
          <w:u w:val="single"/>
        </w:rPr>
        <w:tab/>
      </w:r>
    </w:p>
  </w:footnote>
  <w:footnote w:type="continuationSeparator" w:id="0">
    <w:p w:rsidR="00103BBF" w:rsidRPr="00AC3823" w:rsidRDefault="00103BBF" w:rsidP="00AC3823">
      <w:pPr>
        <w:pStyle w:val="Footer"/>
        <w:tabs>
          <w:tab w:val="right" w:pos="2155"/>
        </w:tabs>
        <w:spacing w:after="80" w:line="240" w:lineRule="atLeast"/>
        <w:ind w:left="680"/>
        <w:rPr>
          <w:u w:val="single"/>
        </w:rPr>
      </w:pPr>
      <w:r>
        <w:rPr>
          <w:u w:val="single"/>
        </w:rPr>
        <w:tab/>
      </w:r>
    </w:p>
  </w:footnote>
  <w:footnote w:type="continuationNotice" w:id="1">
    <w:p w:rsidR="00103BBF" w:rsidRPr="00AC3823" w:rsidRDefault="00103BBF">
      <w:pPr>
        <w:spacing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486" w:rsidRPr="00791486" w:rsidRDefault="00F80976">
    <w:pPr>
      <w:pStyle w:val="Header"/>
    </w:pPr>
    <w:r>
      <w:fldChar w:fldCharType="begin"/>
    </w:r>
    <w:r>
      <w:instrText xml:space="preserve"> TITLE  \* MERGEFORMAT </w:instrText>
    </w:r>
    <w:r>
      <w:fldChar w:fldCharType="separate"/>
    </w:r>
    <w:r>
      <w:t>ECE/TRANS/WP.11/2017/17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486" w:rsidRPr="00791486" w:rsidRDefault="00F80976" w:rsidP="00791486">
    <w:pPr>
      <w:pStyle w:val="Header"/>
      <w:jc w:val="right"/>
    </w:pPr>
    <w:r>
      <w:fldChar w:fldCharType="begin"/>
    </w:r>
    <w:r>
      <w:instrText xml:space="preserve"> TITLE  \* MERGEFORMAT </w:instrText>
    </w:r>
    <w:r>
      <w:fldChar w:fldCharType="separate"/>
    </w:r>
    <w:r>
      <w:t>ECE/TRANS/WP.11/2017/17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BBF"/>
    <w:rsid w:val="00015028"/>
    <w:rsid w:val="00017F94"/>
    <w:rsid w:val="00023842"/>
    <w:rsid w:val="000334F9"/>
    <w:rsid w:val="00041833"/>
    <w:rsid w:val="00045FEB"/>
    <w:rsid w:val="0007796D"/>
    <w:rsid w:val="000B7790"/>
    <w:rsid w:val="00103BBF"/>
    <w:rsid w:val="00107C4A"/>
    <w:rsid w:val="00111F2F"/>
    <w:rsid w:val="0014322D"/>
    <w:rsid w:val="0014365E"/>
    <w:rsid w:val="00143C66"/>
    <w:rsid w:val="00166638"/>
    <w:rsid w:val="00166E7D"/>
    <w:rsid w:val="00176178"/>
    <w:rsid w:val="001973CA"/>
    <w:rsid w:val="001C2FF0"/>
    <w:rsid w:val="001E6E3A"/>
    <w:rsid w:val="001F366E"/>
    <w:rsid w:val="001F525A"/>
    <w:rsid w:val="00223272"/>
    <w:rsid w:val="0024779E"/>
    <w:rsid w:val="002555F3"/>
    <w:rsid w:val="00257168"/>
    <w:rsid w:val="002744B8"/>
    <w:rsid w:val="00276504"/>
    <w:rsid w:val="002832AC"/>
    <w:rsid w:val="002D100E"/>
    <w:rsid w:val="002D7C93"/>
    <w:rsid w:val="00305801"/>
    <w:rsid w:val="00317593"/>
    <w:rsid w:val="00330262"/>
    <w:rsid w:val="0034658D"/>
    <w:rsid w:val="00383B8D"/>
    <w:rsid w:val="003916DE"/>
    <w:rsid w:val="003D0286"/>
    <w:rsid w:val="004055D6"/>
    <w:rsid w:val="00441C3B"/>
    <w:rsid w:val="00446FE5"/>
    <w:rsid w:val="00452396"/>
    <w:rsid w:val="004837D8"/>
    <w:rsid w:val="00483CC1"/>
    <w:rsid w:val="004D346C"/>
    <w:rsid w:val="004D57FE"/>
    <w:rsid w:val="004E0621"/>
    <w:rsid w:val="004E3E81"/>
    <w:rsid w:val="004E468C"/>
    <w:rsid w:val="005400B1"/>
    <w:rsid w:val="005505B7"/>
    <w:rsid w:val="00573BE5"/>
    <w:rsid w:val="00586ED3"/>
    <w:rsid w:val="00596AA9"/>
    <w:rsid w:val="005D4BD1"/>
    <w:rsid w:val="005E6962"/>
    <w:rsid w:val="005F4065"/>
    <w:rsid w:val="006046C0"/>
    <w:rsid w:val="00621E19"/>
    <w:rsid w:val="00640B28"/>
    <w:rsid w:val="006D7EA3"/>
    <w:rsid w:val="006E24C2"/>
    <w:rsid w:val="006E6FB4"/>
    <w:rsid w:val="0071601D"/>
    <w:rsid w:val="00720C8B"/>
    <w:rsid w:val="007531FA"/>
    <w:rsid w:val="00776778"/>
    <w:rsid w:val="00791486"/>
    <w:rsid w:val="007A1337"/>
    <w:rsid w:val="007A62E6"/>
    <w:rsid w:val="007C6402"/>
    <w:rsid w:val="007F20FA"/>
    <w:rsid w:val="0080684C"/>
    <w:rsid w:val="00824B92"/>
    <w:rsid w:val="00871C75"/>
    <w:rsid w:val="008776DC"/>
    <w:rsid w:val="008F5D35"/>
    <w:rsid w:val="009074F0"/>
    <w:rsid w:val="009446C0"/>
    <w:rsid w:val="009705C8"/>
    <w:rsid w:val="00991BA0"/>
    <w:rsid w:val="009C14A7"/>
    <w:rsid w:val="009C1CF4"/>
    <w:rsid w:val="009C627D"/>
    <w:rsid w:val="009F6B74"/>
    <w:rsid w:val="00A30353"/>
    <w:rsid w:val="00A5768C"/>
    <w:rsid w:val="00A65369"/>
    <w:rsid w:val="00A7123D"/>
    <w:rsid w:val="00AC361E"/>
    <w:rsid w:val="00AC3823"/>
    <w:rsid w:val="00AC5172"/>
    <w:rsid w:val="00AC7E3F"/>
    <w:rsid w:val="00AE323C"/>
    <w:rsid w:val="00AF0CB5"/>
    <w:rsid w:val="00B00181"/>
    <w:rsid w:val="00B00B0D"/>
    <w:rsid w:val="00B13839"/>
    <w:rsid w:val="00B5509A"/>
    <w:rsid w:val="00B57314"/>
    <w:rsid w:val="00B765F7"/>
    <w:rsid w:val="00BA0CA9"/>
    <w:rsid w:val="00BE2A85"/>
    <w:rsid w:val="00BF4372"/>
    <w:rsid w:val="00C02897"/>
    <w:rsid w:val="00C712F2"/>
    <w:rsid w:val="00C97039"/>
    <w:rsid w:val="00CB2910"/>
    <w:rsid w:val="00D12348"/>
    <w:rsid w:val="00D31934"/>
    <w:rsid w:val="00D3439C"/>
    <w:rsid w:val="00D95DE2"/>
    <w:rsid w:val="00DB1831"/>
    <w:rsid w:val="00DD3BFD"/>
    <w:rsid w:val="00DF6678"/>
    <w:rsid w:val="00E0299A"/>
    <w:rsid w:val="00E43C30"/>
    <w:rsid w:val="00E54906"/>
    <w:rsid w:val="00E85C74"/>
    <w:rsid w:val="00EA6547"/>
    <w:rsid w:val="00EB1066"/>
    <w:rsid w:val="00EF2E22"/>
    <w:rsid w:val="00F13177"/>
    <w:rsid w:val="00F35BAF"/>
    <w:rsid w:val="00F42259"/>
    <w:rsid w:val="00F46E4F"/>
    <w:rsid w:val="00F4733E"/>
    <w:rsid w:val="00F660DF"/>
    <w:rsid w:val="00F80976"/>
    <w:rsid w:val="00F87BBE"/>
    <w:rsid w:val="00F94664"/>
    <w:rsid w:val="00F9573C"/>
    <w:rsid w:val="00F95C08"/>
    <w:rsid w:val="00FC124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122A7A-293A-49B8-A322-CEAFDAA9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FootnoteReference">
    <w:name w:val="footnote reference"/>
    <w:aliases w:val="4_G"/>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character" w:customStyle="1" w:styleId="SingleTxtGChar">
    <w:name w:val="_ Single Txt_G Char"/>
    <w:link w:val="SingleTxtG"/>
    <w:rsid w:val="001F366E"/>
    <w:rPr>
      <w:rFonts w:ascii="Times New Roman" w:eastAsiaTheme="minorHAnsi" w:hAnsi="Times New Roman" w:cs="Times New Roman"/>
      <w:sz w:val="20"/>
      <w:szCs w:val="20"/>
      <w:lang w:eastAsia="en-US"/>
    </w:rPr>
  </w:style>
  <w:style w:type="paragraph" w:customStyle="1" w:styleId="SingleTxtGR">
    <w:name w:val="_ Single Txt_GR"/>
    <w:basedOn w:val="Normal"/>
    <w:rsid w:val="006D7EA3"/>
    <w:pPr>
      <w:suppressAutoHyphens w:val="0"/>
      <w:kinsoku/>
      <w:overflowPunct/>
      <w:autoSpaceDE/>
      <w:autoSpaceDN/>
      <w:adjustRightInd/>
      <w:snapToGrid/>
      <w:spacing w:after="120"/>
      <w:ind w:left="1134" w:right="1134"/>
      <w:jc w:val="both"/>
    </w:pPr>
    <w:rPr>
      <w:rFonts w:eastAsia="Times New Roman"/>
      <w:spacing w:val="4"/>
      <w:w w:val="103"/>
      <w:kern w:val="1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3121</Words>
  <Characters>17794</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ECE/TRANS/WP.11/2017/17</vt:lpstr>
      <vt:lpstr>ECE/TRANS/WP.11/2017/17</vt:lpstr>
    </vt:vector>
  </TitlesOfParts>
  <Company>DCM</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ECE/TRANS/WP.11/2017/17</dc:title>
  <dc:subject/>
  <dc:creator>Sylvie LAMY</dc:creator>
  <cp:keywords/>
  <cp:lastModifiedBy>Marie-Claude Collet</cp:lastModifiedBy>
  <cp:revision>3</cp:revision>
  <cp:lastPrinted>2017-10-04T13:14:00Z</cp:lastPrinted>
  <dcterms:created xsi:type="dcterms:W3CDTF">2017-10-04T13:13:00Z</dcterms:created>
  <dcterms:modified xsi:type="dcterms:W3CDTF">2017-10-04T13:14:00Z</dcterms:modified>
</cp:coreProperties>
</file>