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bookmarkStart w:id="0" w:name="_GoBack"/>
            <w:bookmarkEnd w:id="0"/>
          </w:p>
        </w:tc>
        <w:tc>
          <w:tcPr>
            <w:tcW w:w="2268" w:type="dxa"/>
            <w:tcBorders>
              <w:bottom w:val="single" w:sz="4" w:space="0" w:color="auto"/>
            </w:tcBorders>
            <w:vAlign w:val="bottom"/>
          </w:tcPr>
          <w:p w:rsidR="009E6CB7" w:rsidRPr="00B97172" w:rsidRDefault="009240C3" w:rsidP="009E6CB7">
            <w:pPr>
              <w:spacing w:after="80" w:line="300" w:lineRule="exact"/>
              <w:rPr>
                <w:b/>
                <w:sz w:val="24"/>
                <w:szCs w:val="24"/>
              </w:rPr>
            </w:pPr>
            <w:r>
              <w:rPr>
                <w:sz w:val="28"/>
                <w:szCs w:val="28"/>
              </w:rPr>
              <w:t>Nations Unies</w:t>
            </w:r>
          </w:p>
        </w:tc>
        <w:tc>
          <w:tcPr>
            <w:tcW w:w="6095" w:type="dxa"/>
            <w:gridSpan w:val="2"/>
            <w:tcBorders>
              <w:bottom w:val="single" w:sz="4" w:space="0" w:color="auto"/>
            </w:tcBorders>
            <w:vAlign w:val="bottom"/>
          </w:tcPr>
          <w:p w:rsidR="009E6CB7" w:rsidRPr="00D47EEA" w:rsidRDefault="007D3A50" w:rsidP="007D3A50">
            <w:pPr>
              <w:jc w:val="right"/>
            </w:pPr>
            <w:r w:rsidRPr="007D3A50">
              <w:rPr>
                <w:sz w:val="40"/>
              </w:rPr>
              <w:t>ECE</w:t>
            </w:r>
            <w:r>
              <w:t>/TRANS/WP.11/2017/8</w:t>
            </w:r>
          </w:p>
        </w:tc>
      </w:tr>
      <w:tr w:rsidR="009E6CB7" w:rsidRPr="00DF6CF6"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240C3" w:rsidP="009E6CB7">
            <w:pPr>
              <w:spacing w:before="120" w:line="420" w:lineRule="exact"/>
              <w:rPr>
                <w:sz w:val="40"/>
                <w:szCs w:val="40"/>
              </w:rPr>
            </w:pPr>
            <w:r>
              <w:rPr>
                <w:b/>
                <w:sz w:val="40"/>
                <w:szCs w:val="40"/>
              </w:rPr>
              <w:t>Conseil économique et social</w:t>
            </w:r>
          </w:p>
        </w:tc>
        <w:tc>
          <w:tcPr>
            <w:tcW w:w="2835" w:type="dxa"/>
            <w:tcBorders>
              <w:top w:val="single" w:sz="4" w:space="0" w:color="auto"/>
              <w:bottom w:val="single" w:sz="12" w:space="0" w:color="auto"/>
            </w:tcBorders>
          </w:tcPr>
          <w:p w:rsidR="009E6CB7" w:rsidRPr="003F179A" w:rsidRDefault="007D3A50" w:rsidP="007D3A50">
            <w:pPr>
              <w:spacing w:before="240" w:line="240" w:lineRule="exact"/>
              <w:rPr>
                <w:lang w:val="fr-CH"/>
              </w:rPr>
            </w:pPr>
            <w:r w:rsidRPr="003F179A">
              <w:rPr>
                <w:lang w:val="fr-CH"/>
              </w:rPr>
              <w:t>Distr. Générale</w:t>
            </w:r>
          </w:p>
          <w:p w:rsidR="007D3A50" w:rsidRPr="003F179A" w:rsidRDefault="005057FD" w:rsidP="007D3A50">
            <w:pPr>
              <w:spacing w:line="240" w:lineRule="exact"/>
              <w:rPr>
                <w:lang w:val="fr-CH"/>
              </w:rPr>
            </w:pPr>
            <w:r>
              <w:rPr>
                <w:lang w:val="fr-CH"/>
              </w:rPr>
              <w:t>24 j</w:t>
            </w:r>
            <w:r w:rsidRPr="003F179A">
              <w:rPr>
                <w:lang w:val="fr-CH"/>
              </w:rPr>
              <w:t xml:space="preserve">uillet </w:t>
            </w:r>
            <w:r w:rsidR="007D3A50" w:rsidRPr="003F179A">
              <w:rPr>
                <w:lang w:val="fr-CH"/>
              </w:rPr>
              <w:t>2017</w:t>
            </w:r>
          </w:p>
          <w:p w:rsidR="007D3A50" w:rsidRPr="003F179A" w:rsidRDefault="007D3A50" w:rsidP="007D3A50">
            <w:pPr>
              <w:spacing w:line="240" w:lineRule="exact"/>
              <w:rPr>
                <w:lang w:val="fr-CH"/>
              </w:rPr>
            </w:pPr>
          </w:p>
          <w:p w:rsidR="007D3A50" w:rsidRPr="003F179A" w:rsidRDefault="00AA2C1D" w:rsidP="00AA2C1D">
            <w:pPr>
              <w:spacing w:line="240" w:lineRule="exact"/>
              <w:rPr>
                <w:lang w:val="fr-CH"/>
              </w:rPr>
            </w:pPr>
            <w:r>
              <w:rPr>
                <w:lang w:val="fr-CH"/>
              </w:rPr>
              <w:t>Original: Fr</w:t>
            </w:r>
            <w:r w:rsidR="007D3A50" w:rsidRPr="003F179A">
              <w:rPr>
                <w:lang w:val="fr-CH"/>
              </w:rPr>
              <w:t xml:space="preserve">ançais </w:t>
            </w:r>
          </w:p>
        </w:tc>
      </w:tr>
    </w:tbl>
    <w:p w:rsidR="00F2470C" w:rsidRPr="003F179A" w:rsidRDefault="00F2470C" w:rsidP="00F2470C">
      <w:pPr>
        <w:spacing w:before="120"/>
        <w:rPr>
          <w:sz w:val="28"/>
          <w:szCs w:val="28"/>
          <w:lang w:val="fr-CH"/>
        </w:rPr>
      </w:pPr>
      <w:r w:rsidRPr="003F179A">
        <w:rPr>
          <w:b/>
          <w:sz w:val="28"/>
          <w:szCs w:val="28"/>
          <w:lang w:val="fr-CH"/>
        </w:rPr>
        <w:t>Commission économique pour l’Europe</w:t>
      </w:r>
    </w:p>
    <w:p w:rsidR="00F2470C" w:rsidRPr="003F179A" w:rsidRDefault="00F2470C" w:rsidP="00F2470C">
      <w:pPr>
        <w:spacing w:before="120"/>
        <w:rPr>
          <w:b/>
          <w:sz w:val="24"/>
          <w:szCs w:val="24"/>
          <w:lang w:val="fr-CH"/>
        </w:rPr>
      </w:pPr>
      <w:r w:rsidRPr="003F179A">
        <w:rPr>
          <w:sz w:val="28"/>
          <w:szCs w:val="28"/>
          <w:lang w:val="fr-CH"/>
        </w:rPr>
        <w:t>Comité des transports intérieurs</w:t>
      </w:r>
    </w:p>
    <w:p w:rsidR="00F2470C" w:rsidRPr="003F179A" w:rsidRDefault="00F2470C" w:rsidP="00F2470C">
      <w:pPr>
        <w:spacing w:before="120"/>
        <w:rPr>
          <w:b/>
          <w:lang w:val="fr-CH"/>
        </w:rPr>
      </w:pPr>
      <w:r w:rsidRPr="003F179A">
        <w:rPr>
          <w:b/>
          <w:sz w:val="24"/>
          <w:szCs w:val="24"/>
          <w:lang w:val="fr-CH"/>
        </w:rPr>
        <w:t>Groupe de travail du transport des denrées périssables</w:t>
      </w:r>
    </w:p>
    <w:p w:rsidR="002D18AC" w:rsidRPr="005057FD" w:rsidRDefault="002D18AC" w:rsidP="002D18AC">
      <w:pPr>
        <w:spacing w:before="120"/>
        <w:rPr>
          <w:b/>
          <w:lang w:val="fr-CH"/>
        </w:rPr>
      </w:pPr>
      <w:r w:rsidRPr="00265E07">
        <w:rPr>
          <w:b/>
          <w:color w:val="212121"/>
          <w:lang w:val="fr-FR" w:eastAsia="en-GB"/>
        </w:rPr>
        <w:t>Soixante-treizième</w:t>
      </w:r>
      <w:r w:rsidRPr="00265E07">
        <w:rPr>
          <w:color w:val="212121"/>
          <w:lang w:val="fr-FR" w:eastAsia="en-GB"/>
        </w:rPr>
        <w:t xml:space="preserve"> </w:t>
      </w:r>
      <w:r w:rsidRPr="005057FD">
        <w:rPr>
          <w:b/>
          <w:lang w:val="fr-CH"/>
        </w:rPr>
        <w:t>session</w:t>
      </w:r>
    </w:p>
    <w:p w:rsidR="002D18AC" w:rsidRPr="00265E07" w:rsidRDefault="002D18AC" w:rsidP="002D18AC">
      <w:pPr>
        <w:rPr>
          <w:bCs/>
          <w:lang w:val="fr-FR"/>
        </w:rPr>
      </w:pPr>
      <w:r w:rsidRPr="005057FD">
        <w:rPr>
          <w:lang w:val="fr-CH"/>
        </w:rPr>
        <w:t>Genève, 10-13 octobre</w:t>
      </w:r>
      <w:r w:rsidRPr="00265E07">
        <w:rPr>
          <w:bCs/>
          <w:lang w:val="fr-FR"/>
        </w:rPr>
        <w:t xml:space="preserve"> 2017</w:t>
      </w:r>
    </w:p>
    <w:p w:rsidR="002D18AC" w:rsidRPr="00B04B41" w:rsidRDefault="002D18AC" w:rsidP="002D18AC">
      <w:pPr>
        <w:rPr>
          <w:b/>
          <w:bCs/>
          <w:lang w:val="fr-CH"/>
        </w:rPr>
      </w:pPr>
      <w:r w:rsidRPr="00B04B41">
        <w:rPr>
          <w:lang w:val="fr-CH"/>
        </w:rPr>
        <w:t>Point 5</w:t>
      </w:r>
      <w:r>
        <w:rPr>
          <w:lang w:val="fr-CH"/>
        </w:rPr>
        <w:t xml:space="preserve"> b)</w:t>
      </w:r>
      <w:r w:rsidRPr="00B04B41">
        <w:rPr>
          <w:lang w:val="fr-CH"/>
        </w:rPr>
        <w:t xml:space="preserve"> de l’ordre du jour, </w:t>
      </w:r>
    </w:p>
    <w:p w:rsidR="00F2470C" w:rsidRPr="003F179A" w:rsidRDefault="002D18AC" w:rsidP="002D18AC">
      <w:pPr>
        <w:rPr>
          <w:lang w:val="fr-CH"/>
        </w:rPr>
      </w:pPr>
      <w:r w:rsidRPr="005057FD">
        <w:rPr>
          <w:b/>
          <w:kern w:val="3"/>
          <w:lang w:val="fr-CH" w:eastAsia="zh-CN"/>
        </w:rPr>
        <w:t>Propositions d’amendements à l'ATP:</w:t>
      </w:r>
      <w:r w:rsidRPr="005057FD">
        <w:rPr>
          <w:b/>
          <w:kern w:val="3"/>
          <w:lang w:val="fr-CH" w:eastAsia="zh-CN"/>
        </w:rPr>
        <w:br/>
        <w:t>nouvelles propositions</w:t>
      </w:r>
    </w:p>
    <w:p w:rsidR="00F2470C" w:rsidRPr="003F179A" w:rsidRDefault="00F2470C" w:rsidP="00F2470C">
      <w:pPr>
        <w:pStyle w:val="HChG"/>
        <w:rPr>
          <w:lang w:val="fr-CH"/>
        </w:rPr>
      </w:pPr>
      <w:r w:rsidRPr="003F179A">
        <w:rPr>
          <w:lang w:val="fr-CH"/>
        </w:rPr>
        <w:tab/>
      </w:r>
      <w:r w:rsidRPr="003F179A">
        <w:rPr>
          <w:lang w:val="fr-CH"/>
        </w:rPr>
        <w:tab/>
        <w:t xml:space="preserve">Proposition d’ajout au </w:t>
      </w:r>
      <w:r w:rsidRPr="003F179A">
        <w:rPr>
          <w:rFonts w:eastAsia="SimSun"/>
          <w:lang w:val="fr-CH"/>
        </w:rPr>
        <w:t>paragraphe</w:t>
      </w:r>
      <w:r w:rsidRPr="003F179A">
        <w:rPr>
          <w:rFonts w:eastAsia="SimSun"/>
          <w:szCs w:val="24"/>
          <w:lang w:val="fr-CH"/>
        </w:rPr>
        <w:t xml:space="preserve"> 6.2 de l’appendice 2 de l’annexe 1 </w:t>
      </w:r>
      <w:r w:rsidRPr="003F179A">
        <w:rPr>
          <w:lang w:val="fr-CH"/>
        </w:rPr>
        <w:t>d’une procédure relative au test d’efficacité des engins frigorifiques autonomes multi températures en service</w:t>
      </w:r>
    </w:p>
    <w:p w:rsidR="001C6663" w:rsidRDefault="00F2470C" w:rsidP="00F2470C">
      <w:pPr>
        <w:pStyle w:val="H1G"/>
      </w:pPr>
      <w:r w:rsidRPr="003F179A">
        <w:rPr>
          <w:lang w:val="fr-CH"/>
        </w:rPr>
        <w:tab/>
      </w:r>
      <w:r w:rsidRPr="003F179A">
        <w:rPr>
          <w:lang w:val="fr-CH"/>
        </w:rPr>
        <w:tab/>
      </w:r>
      <w:r>
        <w:t>Communication du Gouvernement français</w:t>
      </w:r>
    </w:p>
    <w:tbl>
      <w:tblPr>
        <w:tblW w:w="0" w:type="auto"/>
        <w:tblInd w:w="55" w:type="dxa"/>
        <w:tblBorders>
          <w:top w:val="single" w:sz="4" w:space="0" w:color="000000"/>
          <w:left w:val="single" w:sz="4" w:space="0" w:color="000000"/>
          <w:bottom w:val="single" w:sz="4" w:space="0" w:color="000000"/>
          <w:right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3000"/>
        <w:gridCol w:w="6498"/>
      </w:tblGrid>
      <w:tr w:rsidR="00F2470C" w:rsidTr="006467CE">
        <w:trPr>
          <w:trHeight w:val="397"/>
        </w:trPr>
        <w:tc>
          <w:tcPr>
            <w:tcW w:w="3000" w:type="dxa"/>
            <w:tcBorders>
              <w:top w:val="single" w:sz="4" w:space="0" w:color="000000"/>
              <w:bottom w:val="single" w:sz="4" w:space="0" w:color="000000"/>
              <w:right w:val="single" w:sz="4" w:space="0" w:color="000000"/>
            </w:tcBorders>
            <w:shd w:val="clear" w:color="auto" w:fill="auto"/>
          </w:tcPr>
          <w:p w:rsidR="00F2470C" w:rsidRPr="002955C8" w:rsidRDefault="00F2470C" w:rsidP="00050B59">
            <w:pPr>
              <w:spacing w:line="240" w:lineRule="auto"/>
              <w:rPr>
                <w:i/>
              </w:rPr>
            </w:pPr>
            <w:r w:rsidRPr="002955C8">
              <w:rPr>
                <w:i/>
              </w:rPr>
              <w:t>Résumé</w:t>
            </w:r>
          </w:p>
        </w:tc>
        <w:tc>
          <w:tcPr>
            <w:tcW w:w="6498" w:type="dxa"/>
            <w:tcBorders>
              <w:top w:val="single" w:sz="4" w:space="0" w:color="000000"/>
              <w:left w:val="single" w:sz="4" w:space="0" w:color="000000"/>
              <w:bottom w:val="single" w:sz="4" w:space="0" w:color="000000"/>
            </w:tcBorders>
            <w:shd w:val="clear" w:color="auto" w:fill="auto"/>
          </w:tcPr>
          <w:p w:rsidR="00F2470C" w:rsidRDefault="00F2470C" w:rsidP="00050B59">
            <w:pPr>
              <w:spacing w:line="240" w:lineRule="auto"/>
              <w:rPr>
                <w:i/>
                <w:sz w:val="24"/>
              </w:rPr>
            </w:pPr>
          </w:p>
        </w:tc>
      </w:tr>
      <w:tr w:rsidR="00F2470C" w:rsidRPr="00DF6CF6" w:rsidTr="006467CE">
        <w:trPr>
          <w:trHeight w:val="779"/>
        </w:trPr>
        <w:tc>
          <w:tcPr>
            <w:tcW w:w="3000" w:type="dxa"/>
            <w:tcBorders>
              <w:top w:val="single" w:sz="4" w:space="0" w:color="000000"/>
              <w:right w:val="single" w:sz="4" w:space="0" w:color="000000"/>
            </w:tcBorders>
            <w:shd w:val="clear" w:color="auto" w:fill="auto"/>
          </w:tcPr>
          <w:p w:rsidR="00F2470C" w:rsidRDefault="00F2470C" w:rsidP="00050B59">
            <w:pPr>
              <w:pStyle w:val="SingleTxtG"/>
              <w:tabs>
                <w:tab w:val="left" w:pos="3119"/>
              </w:tabs>
              <w:spacing w:after="0" w:line="240" w:lineRule="auto"/>
              <w:ind w:left="0" w:right="0"/>
            </w:pPr>
            <w:r>
              <w:rPr>
                <w:b/>
                <w:iCs/>
              </w:rPr>
              <w:t>Résumé analytique</w:t>
            </w:r>
            <w:r>
              <w:rPr>
                <w:iCs/>
              </w:rPr>
              <w:t>:</w:t>
            </w:r>
          </w:p>
        </w:tc>
        <w:tc>
          <w:tcPr>
            <w:tcW w:w="6498" w:type="dxa"/>
            <w:tcBorders>
              <w:top w:val="single" w:sz="4" w:space="0" w:color="000000"/>
              <w:left w:val="single" w:sz="4" w:space="0" w:color="000000"/>
            </w:tcBorders>
            <w:shd w:val="clear" w:color="auto" w:fill="auto"/>
          </w:tcPr>
          <w:p w:rsidR="00F2470C" w:rsidRPr="003F179A" w:rsidRDefault="00F2470C" w:rsidP="008E224D">
            <w:pPr>
              <w:pStyle w:val="SingleTxtG"/>
              <w:tabs>
                <w:tab w:val="left" w:pos="3119"/>
              </w:tabs>
              <w:spacing w:line="240" w:lineRule="auto"/>
              <w:ind w:left="0" w:right="0"/>
              <w:rPr>
                <w:lang w:val="fr-CH"/>
              </w:rPr>
            </w:pPr>
            <w:r w:rsidRPr="003F179A">
              <w:rPr>
                <w:lang w:val="fr-CH"/>
              </w:rPr>
              <w:t>L’accord ATP a été modifié en 2013 afin d’intégrer les engins multi-compartiments et multi-températures. En 2016, un débat avait fait apparaître une large majorité en faveur d'une méthode de test adaptée aux engins multi-températures réversibles.</w:t>
            </w:r>
          </w:p>
          <w:p w:rsidR="00F2470C" w:rsidRPr="003F179A" w:rsidRDefault="00F2470C" w:rsidP="00050B59">
            <w:pPr>
              <w:pStyle w:val="SingleTxtG"/>
              <w:tabs>
                <w:tab w:val="left" w:pos="3119"/>
              </w:tabs>
              <w:spacing w:after="0" w:line="240" w:lineRule="auto"/>
              <w:ind w:left="0" w:right="0"/>
              <w:rPr>
                <w:lang w:val="fr-CH"/>
              </w:rPr>
            </w:pPr>
            <w:r w:rsidRPr="003F179A">
              <w:rPr>
                <w:lang w:val="fr-CH"/>
              </w:rPr>
              <w:t xml:space="preserve">La présente proposition reprend les éléments de la proposition formulée par les Pays-Bas en 2016, légèrement adaptée sur la forme pour en faciliter la lecture. </w:t>
            </w:r>
          </w:p>
        </w:tc>
      </w:tr>
      <w:tr w:rsidR="00F2470C" w:rsidTr="006467CE">
        <w:trPr>
          <w:trHeight w:val="348"/>
        </w:trPr>
        <w:tc>
          <w:tcPr>
            <w:tcW w:w="3000" w:type="dxa"/>
            <w:tcBorders>
              <w:right w:val="single" w:sz="4" w:space="0" w:color="000000"/>
            </w:tcBorders>
            <w:shd w:val="clear" w:color="auto" w:fill="auto"/>
          </w:tcPr>
          <w:p w:rsidR="00F2470C" w:rsidRDefault="00F2470C" w:rsidP="00050B59">
            <w:pPr>
              <w:pStyle w:val="SingleTxtG"/>
              <w:tabs>
                <w:tab w:val="left" w:pos="3119"/>
              </w:tabs>
              <w:spacing w:after="0" w:line="240" w:lineRule="auto"/>
              <w:ind w:left="0" w:right="0"/>
            </w:pPr>
            <w:r>
              <w:rPr>
                <w:b/>
                <w:iCs/>
              </w:rPr>
              <w:t>Décision à prendre</w:t>
            </w:r>
            <w:r>
              <w:t>:</w:t>
            </w:r>
          </w:p>
        </w:tc>
        <w:tc>
          <w:tcPr>
            <w:tcW w:w="6498" w:type="dxa"/>
            <w:tcBorders>
              <w:left w:val="single" w:sz="4" w:space="0" w:color="000000"/>
            </w:tcBorders>
            <w:shd w:val="clear" w:color="auto" w:fill="auto"/>
          </w:tcPr>
          <w:p w:rsidR="00F2470C" w:rsidRDefault="00F2470C" w:rsidP="00050B59">
            <w:pPr>
              <w:pStyle w:val="SingleTxtG"/>
              <w:tabs>
                <w:tab w:val="left" w:pos="3119"/>
              </w:tabs>
              <w:spacing w:after="0" w:line="240" w:lineRule="auto"/>
              <w:ind w:left="0" w:right="0"/>
            </w:pPr>
            <w:r>
              <w:t>Modifier l’appendice 2 de l’annexe 1.</w:t>
            </w:r>
          </w:p>
        </w:tc>
      </w:tr>
      <w:tr w:rsidR="00F2470C" w:rsidTr="006467CE">
        <w:trPr>
          <w:trHeight w:val="363"/>
        </w:trPr>
        <w:tc>
          <w:tcPr>
            <w:tcW w:w="3000" w:type="dxa"/>
            <w:tcBorders>
              <w:bottom w:val="single" w:sz="4" w:space="0" w:color="000000"/>
              <w:right w:val="single" w:sz="4" w:space="0" w:color="000000"/>
            </w:tcBorders>
            <w:shd w:val="clear" w:color="auto" w:fill="auto"/>
          </w:tcPr>
          <w:p w:rsidR="00F2470C" w:rsidRDefault="00F2470C" w:rsidP="00050B59">
            <w:pPr>
              <w:pStyle w:val="SingleTxtG"/>
              <w:tabs>
                <w:tab w:val="left" w:pos="3119"/>
              </w:tabs>
              <w:spacing w:after="0" w:line="240" w:lineRule="auto"/>
              <w:ind w:left="0" w:right="0"/>
            </w:pPr>
            <w:r>
              <w:rPr>
                <w:b/>
                <w:iCs/>
              </w:rPr>
              <w:t>Documents connexes</w:t>
            </w:r>
            <w:r>
              <w:rPr>
                <w:bCs/>
              </w:rPr>
              <w:t>:</w:t>
            </w:r>
          </w:p>
        </w:tc>
        <w:tc>
          <w:tcPr>
            <w:tcW w:w="6498" w:type="dxa"/>
            <w:tcBorders>
              <w:left w:val="single" w:sz="4" w:space="0" w:color="000000"/>
              <w:bottom w:val="single" w:sz="4" w:space="0" w:color="000000"/>
            </w:tcBorders>
            <w:shd w:val="clear" w:color="auto" w:fill="auto"/>
          </w:tcPr>
          <w:p w:rsidR="00F2470C" w:rsidRDefault="00F2470C" w:rsidP="00050B59">
            <w:pPr>
              <w:pStyle w:val="SingleTxtG"/>
              <w:tabs>
                <w:tab w:val="left" w:pos="3119"/>
              </w:tabs>
              <w:spacing w:after="0" w:line="240" w:lineRule="auto"/>
              <w:ind w:left="0" w:right="0"/>
            </w:pPr>
            <w:r>
              <w:t>ECE/TRANS/WP.11/2016/21</w:t>
            </w:r>
          </w:p>
        </w:tc>
      </w:tr>
    </w:tbl>
    <w:p w:rsidR="00F2470C" w:rsidRPr="00F2470C" w:rsidRDefault="00F2470C" w:rsidP="00F2470C"/>
    <w:p w:rsidR="007D3A50" w:rsidRDefault="007D3A50">
      <w:pPr>
        <w:suppressAutoHyphens w:val="0"/>
        <w:spacing w:line="240" w:lineRule="auto"/>
      </w:pPr>
      <w:r>
        <w:br w:type="page"/>
      </w:r>
    </w:p>
    <w:p w:rsidR="00F2470C" w:rsidRDefault="00F2470C" w:rsidP="00F2470C">
      <w:pPr>
        <w:pStyle w:val="HChG"/>
      </w:pPr>
      <w:r>
        <w:lastRenderedPageBreak/>
        <w:tab/>
      </w:r>
      <w:r>
        <w:tab/>
        <w:t>Introduction</w:t>
      </w:r>
    </w:p>
    <w:p w:rsidR="00F2470C" w:rsidRPr="003F179A" w:rsidRDefault="00F2470C" w:rsidP="00F2470C">
      <w:pPr>
        <w:pStyle w:val="SingleTxtG"/>
        <w:rPr>
          <w:lang w:val="fr-CH"/>
        </w:rPr>
      </w:pPr>
      <w:r w:rsidRPr="003F179A">
        <w:rPr>
          <w:lang w:val="fr-CH"/>
        </w:rPr>
        <w:t>1.</w:t>
      </w:r>
      <w:r w:rsidRPr="003F179A">
        <w:rPr>
          <w:lang w:val="fr-CH"/>
        </w:rPr>
        <w:tab/>
        <w:t>L’ATP a été modifié en 2013 afin d’intégrer les engi</w:t>
      </w:r>
      <w:r w:rsidR="008E224D">
        <w:rPr>
          <w:lang w:val="fr-CH"/>
        </w:rPr>
        <w:t>ns multi-compartiments et multi</w:t>
      </w:r>
      <w:r w:rsidRPr="003F179A">
        <w:rPr>
          <w:lang w:val="fr-CH"/>
        </w:rPr>
        <w:t xml:space="preserve">températures. </w:t>
      </w:r>
    </w:p>
    <w:p w:rsidR="00F2470C" w:rsidRPr="003F179A" w:rsidRDefault="00F2470C" w:rsidP="00F2470C">
      <w:pPr>
        <w:pStyle w:val="SingleTxtG"/>
        <w:rPr>
          <w:lang w:val="fr-CH"/>
        </w:rPr>
      </w:pPr>
      <w:r w:rsidRPr="003F179A">
        <w:rPr>
          <w:lang w:val="fr-CH"/>
        </w:rPr>
        <w:t>2.</w:t>
      </w:r>
      <w:r w:rsidRPr="003F179A">
        <w:rPr>
          <w:lang w:val="fr-CH"/>
        </w:rPr>
        <w:tab/>
        <w:t>La France a présenté depuis une méthode de test adaptée aux engins multi températures réversibles fondée sur la méthode d’essai des engins autonomes à température unique réfrigérés mécaniquement, qu’elle visait à compléter d’un test simple de réversibilité des compartiments, ce qui permet de réduire la durée de l’essai tout en maintenant sa pertinence.</w:t>
      </w:r>
    </w:p>
    <w:p w:rsidR="00F2470C" w:rsidRPr="003F179A" w:rsidRDefault="00F2470C" w:rsidP="00F2470C">
      <w:pPr>
        <w:pStyle w:val="SingleTxtG"/>
        <w:rPr>
          <w:lang w:val="fr-CH"/>
        </w:rPr>
      </w:pPr>
      <w:r w:rsidRPr="003F179A">
        <w:rPr>
          <w:lang w:val="fr-CH"/>
        </w:rPr>
        <w:t>3.</w:t>
      </w:r>
      <w:r w:rsidRPr="003F179A">
        <w:rPr>
          <w:lang w:val="fr-CH"/>
        </w:rPr>
        <w:tab/>
        <w:t>En 2016, une proposition Française reprenant les commentaires technique</w:t>
      </w:r>
      <w:r w:rsidR="008E224D">
        <w:rPr>
          <w:lang w:val="fr-CH"/>
        </w:rPr>
        <w:t>s</w:t>
      </w:r>
      <w:r w:rsidRPr="003F179A">
        <w:rPr>
          <w:lang w:val="fr-CH"/>
        </w:rPr>
        <w:t xml:space="preserve"> formulés antérieurement a été présentée au groupe de travail. Simultanément, les Pays-Bas ont présenté un projet d’amendement techniquement équivalent. Le représentant de la France a accepté de voter sur la proposition figurant dans l’annexe 3 du document ECE/TRANS/WP.11/2016/21, qui émanait d’un groupe de travail informel dirigé par le représentant les Pays-Bas, plutôt que sur la proposition française. Neuf pays ont voté en faveur de la proposition (Danemark, Finlande, France, Italie, Maroc, Pologne, Portugal, Royaume-Uni et Tchéquie) et un pays a voté contre (Allemagne). Le représentant de l’Allemagne a expliqué qu’il n’avait pas pu voter pour la proposition étant donné que le Groupe de travail n’était pas arrivé à un accord sur la question du marquage.</w:t>
      </w:r>
    </w:p>
    <w:p w:rsidR="00F2470C" w:rsidRPr="0086708D" w:rsidRDefault="00F2470C" w:rsidP="00F2470C">
      <w:pPr>
        <w:pStyle w:val="SingleTxtG"/>
        <w:rPr>
          <w:lang w:val="fr-CH"/>
        </w:rPr>
      </w:pPr>
      <w:r w:rsidRPr="003F179A">
        <w:rPr>
          <w:lang w:val="fr-CH"/>
        </w:rPr>
        <w:t>4.</w:t>
      </w:r>
      <w:r w:rsidRPr="003F179A">
        <w:rPr>
          <w:lang w:val="fr-CH"/>
        </w:rPr>
        <w:tab/>
        <w:t xml:space="preserve">Compte-tenu de l’unanimité exprimée en faveur de l’adoption des clauses techniques de la proposition figurant dans l’annexe 3 du document ECE/TRANS/WP.11/2016/21 établi par les Pays-Bas et sa similitude avec la proposition Française d’origine, la France souhaite proposer le présent amendement qui reprend les éléments de la proposition des Pays-Bas légèrement adaptée sur la forme pour en faciliter la lecture. </w:t>
      </w:r>
    </w:p>
    <w:p w:rsidR="00F2470C" w:rsidRPr="003F179A" w:rsidRDefault="00F2470C" w:rsidP="00F2470C">
      <w:pPr>
        <w:pStyle w:val="H1G"/>
        <w:rPr>
          <w:lang w:val="fr-CH"/>
        </w:rPr>
      </w:pPr>
      <w:r w:rsidRPr="003F179A">
        <w:rPr>
          <w:lang w:val="fr-CH"/>
        </w:rPr>
        <w:tab/>
      </w:r>
      <w:r w:rsidR="00F4174D">
        <w:rPr>
          <w:lang w:val="fr-CH"/>
        </w:rPr>
        <w:t>I.</w:t>
      </w:r>
      <w:r w:rsidRPr="003F179A">
        <w:rPr>
          <w:lang w:val="fr-CH"/>
        </w:rPr>
        <w:tab/>
        <w:t>Proposition</w:t>
      </w:r>
    </w:p>
    <w:p w:rsidR="00F2470C" w:rsidRPr="003F179A" w:rsidRDefault="00F2470C" w:rsidP="00F2470C">
      <w:pPr>
        <w:pStyle w:val="SingleTxtG"/>
        <w:rPr>
          <w:lang w:val="fr-CH"/>
        </w:rPr>
      </w:pPr>
      <w:r w:rsidRPr="003F179A">
        <w:rPr>
          <w:lang w:val="fr-CH"/>
        </w:rPr>
        <w:t>5.</w:t>
      </w:r>
      <w:r w:rsidRPr="003F179A">
        <w:rPr>
          <w:lang w:val="fr-CH"/>
        </w:rPr>
        <w:tab/>
        <w:t>La procédure proposée est la même que celle appliquée pour un engin mono température à laquelle il est proposé d’ajouter des tests complémentaires de réversibilité lorsque la température des différents compartiments peut être modifié.</w:t>
      </w:r>
    </w:p>
    <w:p w:rsidR="00F2470C" w:rsidRPr="003F179A" w:rsidRDefault="00F2470C" w:rsidP="00F2470C">
      <w:pPr>
        <w:pStyle w:val="SingleTxtG"/>
        <w:rPr>
          <w:lang w:val="fr-CH"/>
        </w:rPr>
      </w:pPr>
      <w:r w:rsidRPr="003F179A">
        <w:rPr>
          <w:lang w:val="fr-CH"/>
        </w:rPr>
        <w:t>6.</w:t>
      </w:r>
      <w:r w:rsidRPr="003F179A">
        <w:rPr>
          <w:lang w:val="fr-CH"/>
        </w:rPr>
        <w:tab/>
        <w:t>Elle est basée sur l’annexe 3 du document ECE/TRANS/WP.11/2016/21 établi par les Pays-Bas qu’avait soutenu la France en 2016 et des améliorations d’ordre rédactionnelles.</w:t>
      </w:r>
    </w:p>
    <w:p w:rsidR="00F2470C" w:rsidRPr="003F179A" w:rsidRDefault="00F2470C" w:rsidP="00F2470C">
      <w:pPr>
        <w:pStyle w:val="H1G"/>
        <w:rPr>
          <w:sz w:val="20"/>
          <w:lang w:val="fr-CH"/>
        </w:rPr>
      </w:pPr>
      <w:r w:rsidRPr="003F179A">
        <w:rPr>
          <w:lang w:val="fr-CH"/>
        </w:rPr>
        <w:tab/>
      </w:r>
      <w:r w:rsidR="00F4174D">
        <w:rPr>
          <w:lang w:val="fr-CH"/>
        </w:rPr>
        <w:t>II.</w:t>
      </w:r>
      <w:r w:rsidRPr="003F179A">
        <w:rPr>
          <w:lang w:val="fr-CH"/>
        </w:rPr>
        <w:tab/>
        <w:t>Modification des textes</w:t>
      </w:r>
    </w:p>
    <w:p w:rsidR="00F2470C" w:rsidRPr="003F179A" w:rsidRDefault="00F2470C" w:rsidP="00F2470C">
      <w:pPr>
        <w:pStyle w:val="SingleTxtG"/>
        <w:rPr>
          <w:lang w:val="fr-CH"/>
        </w:rPr>
      </w:pPr>
      <w:r w:rsidRPr="003F179A">
        <w:rPr>
          <w:lang w:val="fr-CH"/>
        </w:rPr>
        <w:t>7.</w:t>
      </w:r>
      <w:r w:rsidRPr="003F179A">
        <w:rPr>
          <w:lang w:val="fr-CH"/>
        </w:rPr>
        <w:tab/>
        <w:t>Introduire</w:t>
      </w:r>
      <w:r w:rsidRPr="003F179A">
        <w:rPr>
          <w:rFonts w:eastAsia="SimSun"/>
          <w:lang w:val="fr-CH"/>
        </w:rPr>
        <w:t xml:space="preserve"> au paragraphe 6.2 de l’appendice 2 de l’annexe 1 un nouvel alinéa iii) ainsi conçu: (seulement pour les engins frigorifiques)</w:t>
      </w:r>
    </w:p>
    <w:p w:rsidR="00F2470C" w:rsidRPr="003F179A" w:rsidRDefault="00CE1F2E" w:rsidP="00F2470C">
      <w:pPr>
        <w:pStyle w:val="SingleTxtG"/>
        <w:rPr>
          <w:lang w:val="fr-CH"/>
        </w:rPr>
      </w:pPr>
      <w:r>
        <w:rPr>
          <w:lang w:val="fr-CH"/>
        </w:rPr>
        <w:tab/>
      </w:r>
      <w:r w:rsidR="00F2470C" w:rsidRPr="003F179A">
        <w:rPr>
          <w:lang w:val="fr-CH"/>
        </w:rPr>
        <w:t>«iii</w:t>
      </w:r>
      <w:r>
        <w:rPr>
          <w:lang w:val="fr-CH"/>
        </w:rPr>
        <w:t>)</w:t>
      </w:r>
      <w:r w:rsidR="00F2470C" w:rsidRPr="003F179A">
        <w:rPr>
          <w:lang w:val="fr-CH"/>
        </w:rPr>
        <w:tab/>
        <w:t xml:space="preserve">Engins multi-compartiments </w:t>
      </w:r>
    </w:p>
    <w:p w:rsidR="00F2470C" w:rsidRPr="003F179A" w:rsidRDefault="00CE1F2E" w:rsidP="00CE1F2E">
      <w:pPr>
        <w:pStyle w:val="SingleTxtG"/>
        <w:tabs>
          <w:tab w:val="left" w:pos="1701"/>
        </w:tabs>
        <w:rPr>
          <w:lang w:val="fr-CH"/>
        </w:rPr>
      </w:pPr>
      <w:r>
        <w:rPr>
          <w:lang w:val="fr-CH"/>
        </w:rPr>
        <w:tab/>
      </w:r>
      <w:r w:rsidR="00F2470C" w:rsidRPr="003F179A">
        <w:rPr>
          <w:lang w:val="fr-CH"/>
        </w:rPr>
        <w:t xml:space="preserve">Le test prévu au point 6.2 i) est réalisé simultanément pour chacun des </w:t>
      </w:r>
      <w:r>
        <w:rPr>
          <w:lang w:val="fr-CH"/>
        </w:rPr>
        <w:tab/>
      </w:r>
      <w:r w:rsidR="00F2470C" w:rsidRPr="003F179A">
        <w:rPr>
          <w:lang w:val="fr-CH"/>
        </w:rPr>
        <w:t xml:space="preserve">compartiments. Durant ces tests, les cloisons, si elles sont mobiles, sont positionnées </w:t>
      </w:r>
      <w:r>
        <w:rPr>
          <w:lang w:val="fr-CH"/>
        </w:rPr>
        <w:tab/>
      </w:r>
      <w:r w:rsidR="00F2470C" w:rsidRPr="003F179A">
        <w:rPr>
          <w:lang w:val="fr-CH"/>
        </w:rPr>
        <w:t xml:space="preserve">de telle sorte que les volumes des compartiments correspondent à la demande de </w:t>
      </w:r>
      <w:r>
        <w:rPr>
          <w:lang w:val="fr-CH"/>
        </w:rPr>
        <w:tab/>
      </w:r>
      <w:r w:rsidR="00F2470C" w:rsidRPr="003F179A">
        <w:rPr>
          <w:lang w:val="fr-CH"/>
        </w:rPr>
        <w:t>réfrigération maximale.</w:t>
      </w:r>
    </w:p>
    <w:p w:rsidR="00F2470C" w:rsidRPr="003F179A" w:rsidRDefault="00CE1F2E" w:rsidP="00F2470C">
      <w:pPr>
        <w:pStyle w:val="SingleTxtG"/>
        <w:rPr>
          <w:lang w:val="fr-CH"/>
        </w:rPr>
      </w:pPr>
      <w:r>
        <w:rPr>
          <w:lang w:val="fr-CH"/>
        </w:rPr>
        <w:tab/>
      </w:r>
      <w:r w:rsidR="00F2470C" w:rsidRPr="003F179A">
        <w:rPr>
          <w:lang w:val="fr-CH"/>
        </w:rPr>
        <w:t xml:space="preserve">Les mesures sont réalisées jusqu’à ce que la température la plus chaude mesurée par </w:t>
      </w:r>
      <w:r>
        <w:rPr>
          <w:lang w:val="fr-CH"/>
        </w:rPr>
        <w:tab/>
      </w:r>
      <w:r w:rsidR="00F2470C" w:rsidRPr="003F179A">
        <w:rPr>
          <w:lang w:val="fr-CH"/>
        </w:rPr>
        <w:t xml:space="preserve">l’un des deux capteurs situés à l’intérieur de chacun des compartiments corresponde </w:t>
      </w:r>
      <w:r>
        <w:rPr>
          <w:lang w:val="fr-CH"/>
        </w:rPr>
        <w:tab/>
      </w:r>
      <w:r w:rsidR="00F2470C" w:rsidRPr="003F179A">
        <w:rPr>
          <w:lang w:val="fr-CH"/>
        </w:rPr>
        <w:t>à la température de la classe.</w:t>
      </w:r>
    </w:p>
    <w:p w:rsidR="00F2470C" w:rsidRPr="003F179A" w:rsidRDefault="00CE1F2E" w:rsidP="00F2470C">
      <w:pPr>
        <w:pStyle w:val="SingleTxtG"/>
        <w:rPr>
          <w:rFonts w:eastAsia="SimSun"/>
          <w:iCs/>
          <w:lang w:val="fr-CH"/>
        </w:rPr>
      </w:pPr>
      <w:r>
        <w:rPr>
          <w:lang w:val="fr-CH"/>
        </w:rPr>
        <w:lastRenderedPageBreak/>
        <w:tab/>
      </w:r>
      <w:r w:rsidR="00F2470C" w:rsidRPr="003F179A">
        <w:rPr>
          <w:lang w:val="fr-CH"/>
        </w:rPr>
        <w:t xml:space="preserve">Pour les engins multi-compartiments dont les températures des compartiments </w:t>
      </w:r>
      <w:r>
        <w:rPr>
          <w:lang w:val="fr-CH"/>
        </w:rPr>
        <w:tab/>
      </w:r>
      <w:r w:rsidR="00F2470C" w:rsidRPr="003F179A">
        <w:rPr>
          <w:lang w:val="fr-CH"/>
        </w:rPr>
        <w:t xml:space="preserve">peuvent être modifiées, un test complémentaire de réversibilité est ensuite réalisé: </w:t>
      </w:r>
    </w:p>
    <w:p w:rsidR="00F2470C" w:rsidRPr="003F179A" w:rsidRDefault="00CE1F2E" w:rsidP="00F2470C">
      <w:pPr>
        <w:pStyle w:val="SingleTxtG"/>
        <w:rPr>
          <w:lang w:val="fr-CH"/>
        </w:rPr>
      </w:pPr>
      <w:r>
        <w:rPr>
          <w:rFonts w:eastAsia="SimSun"/>
          <w:iCs/>
          <w:lang w:val="fr-CH"/>
        </w:rPr>
        <w:tab/>
      </w:r>
      <w:r w:rsidR="00F2470C" w:rsidRPr="003F179A">
        <w:rPr>
          <w:rFonts w:eastAsia="SimSun"/>
          <w:iCs/>
          <w:lang w:val="fr-CH"/>
        </w:rPr>
        <w:t xml:space="preserve">Les températures des compartiments doivent être choisies de telle sorte que les </w:t>
      </w:r>
      <w:r>
        <w:rPr>
          <w:rFonts w:eastAsia="SimSun"/>
          <w:iCs/>
          <w:lang w:val="fr-CH"/>
        </w:rPr>
        <w:tab/>
      </w:r>
      <w:r w:rsidR="00F2470C" w:rsidRPr="003F179A">
        <w:rPr>
          <w:rFonts w:eastAsia="SimSun"/>
          <w:iCs/>
          <w:lang w:val="fr-CH"/>
        </w:rPr>
        <w:t xml:space="preserve">compartiments adjacents soient autant que possible à des températures différentes au </w:t>
      </w:r>
      <w:r>
        <w:rPr>
          <w:rFonts w:eastAsia="SimSun"/>
          <w:iCs/>
          <w:lang w:val="fr-CH"/>
        </w:rPr>
        <w:tab/>
      </w:r>
      <w:r w:rsidR="00F2470C" w:rsidRPr="003F179A">
        <w:rPr>
          <w:rFonts w:eastAsia="SimSun"/>
          <w:iCs/>
          <w:lang w:val="fr-CH"/>
        </w:rPr>
        <w:t>cours de l’essai. Certains compartiments sont portés à la température de la classe (-</w:t>
      </w:r>
      <w:r>
        <w:rPr>
          <w:rFonts w:eastAsia="SimSun"/>
          <w:iCs/>
          <w:lang w:val="fr-CH"/>
        </w:rPr>
        <w:tab/>
      </w:r>
      <w:r w:rsidR="00F2470C" w:rsidRPr="003F179A">
        <w:rPr>
          <w:rFonts w:eastAsia="SimSun"/>
          <w:iCs/>
          <w:lang w:val="fr-CH"/>
        </w:rPr>
        <w:t xml:space="preserve">20 °C) tandis que les autres sont à 0 °C. Une fois atteinte ces températures, il s’agit </w:t>
      </w:r>
      <w:r>
        <w:rPr>
          <w:rFonts w:eastAsia="SimSun"/>
          <w:iCs/>
          <w:lang w:val="fr-CH"/>
        </w:rPr>
        <w:tab/>
      </w:r>
      <w:r w:rsidR="00F2470C" w:rsidRPr="003F179A">
        <w:rPr>
          <w:rFonts w:eastAsia="SimSun"/>
          <w:iCs/>
          <w:lang w:val="fr-CH"/>
        </w:rPr>
        <w:t xml:space="preserve">d’inverser les réglages de la température pour chacun des compartiments portant </w:t>
      </w:r>
      <w:r>
        <w:rPr>
          <w:rFonts w:eastAsia="SimSun"/>
          <w:iCs/>
          <w:lang w:val="fr-CH"/>
        </w:rPr>
        <w:tab/>
      </w:r>
      <w:r w:rsidR="00F2470C" w:rsidRPr="003F179A">
        <w:rPr>
          <w:rFonts w:eastAsia="SimSun"/>
          <w:iCs/>
          <w:lang w:val="fr-CH"/>
        </w:rPr>
        <w:t>ainsi à -20°C les compartiments qui étaient à 0°C et à 0°C ceux qui étaient à -20°C.</w:t>
      </w:r>
    </w:p>
    <w:p w:rsidR="00F2470C" w:rsidRPr="003F179A" w:rsidRDefault="00CE1F2E" w:rsidP="00F2470C">
      <w:pPr>
        <w:pStyle w:val="SingleTxtG"/>
        <w:rPr>
          <w:rFonts w:eastAsia="SimSun"/>
          <w:iCs/>
          <w:lang w:val="fr-CH"/>
        </w:rPr>
      </w:pPr>
      <w:r>
        <w:rPr>
          <w:lang w:val="fr-CH"/>
        </w:rPr>
        <w:tab/>
      </w:r>
      <w:r w:rsidR="00F2470C" w:rsidRPr="003F179A">
        <w:rPr>
          <w:lang w:val="fr-CH"/>
        </w:rPr>
        <w:t xml:space="preserve">Il est vérifié que les compartiments à 0°C dispose d’une régulation correcte des </w:t>
      </w:r>
      <w:r>
        <w:rPr>
          <w:lang w:val="fr-CH"/>
        </w:rPr>
        <w:tab/>
      </w:r>
      <w:r w:rsidR="00F2470C" w:rsidRPr="003F179A">
        <w:rPr>
          <w:lang w:val="fr-CH"/>
        </w:rPr>
        <w:t xml:space="preserve">températures à 0,0 °C ± 3 °C pendant 10 minutes au moins lorsque les autres </w:t>
      </w:r>
      <w:r>
        <w:rPr>
          <w:lang w:val="fr-CH"/>
        </w:rPr>
        <w:tab/>
      </w:r>
      <w:r w:rsidR="00F2470C" w:rsidRPr="003F179A">
        <w:rPr>
          <w:lang w:val="fr-CH"/>
        </w:rPr>
        <w:t xml:space="preserve">compartiments sont à -20 °C. On inverse ensuite les consignes de chacun des </w:t>
      </w:r>
      <w:r>
        <w:rPr>
          <w:lang w:val="fr-CH"/>
        </w:rPr>
        <w:tab/>
      </w:r>
      <w:r w:rsidR="00F2470C" w:rsidRPr="003F179A">
        <w:rPr>
          <w:lang w:val="fr-CH"/>
        </w:rPr>
        <w:t>compartiments et l’on procède aux mêmes vérifications.</w:t>
      </w:r>
    </w:p>
    <w:p w:rsidR="00F2470C" w:rsidRPr="003F179A" w:rsidRDefault="00CE1F2E" w:rsidP="00F2470C">
      <w:pPr>
        <w:pStyle w:val="SingleTxtG"/>
        <w:rPr>
          <w:rFonts w:eastAsia="SimSun"/>
          <w:iCs/>
          <w:lang w:val="fr-CH"/>
        </w:rPr>
      </w:pPr>
      <w:r>
        <w:rPr>
          <w:rFonts w:eastAsia="SimSun"/>
          <w:iCs/>
          <w:lang w:val="fr-CH"/>
        </w:rPr>
        <w:tab/>
      </w:r>
      <w:r w:rsidR="00F2470C" w:rsidRPr="003F179A">
        <w:rPr>
          <w:rFonts w:eastAsia="SimSun"/>
          <w:iCs/>
          <w:lang w:val="fr-CH"/>
        </w:rPr>
        <w:t xml:space="preserve">Dans le cas d’engins munis d’une fonction de chauffage, les essais commencent </w:t>
      </w:r>
      <w:r>
        <w:rPr>
          <w:rFonts w:eastAsia="SimSun"/>
          <w:iCs/>
          <w:lang w:val="fr-CH"/>
        </w:rPr>
        <w:tab/>
      </w:r>
      <w:r w:rsidR="00F2470C" w:rsidRPr="003F179A">
        <w:rPr>
          <w:rFonts w:eastAsia="SimSun"/>
          <w:iCs/>
          <w:lang w:val="fr-CH"/>
        </w:rPr>
        <w:t xml:space="preserve">après l’essai d’efficacité lorsque la température est de -20 °C. Sans ouvrir les portes, </w:t>
      </w:r>
      <w:r>
        <w:rPr>
          <w:rFonts w:eastAsia="SimSun"/>
          <w:iCs/>
          <w:lang w:val="fr-CH"/>
        </w:rPr>
        <w:tab/>
      </w:r>
      <w:r w:rsidR="00F2470C" w:rsidRPr="003F179A">
        <w:rPr>
          <w:rFonts w:eastAsia="SimSun"/>
          <w:iCs/>
          <w:lang w:val="fr-CH"/>
        </w:rPr>
        <w:t xml:space="preserve">les compartiments dont les consignes ont été réglées à 0°C sont réchauffés tandis </w:t>
      </w:r>
      <w:r>
        <w:rPr>
          <w:rFonts w:eastAsia="SimSun"/>
          <w:iCs/>
          <w:lang w:val="fr-CH"/>
        </w:rPr>
        <w:tab/>
      </w:r>
      <w:r w:rsidR="00F2470C" w:rsidRPr="003F179A">
        <w:rPr>
          <w:rFonts w:eastAsia="SimSun"/>
          <w:iCs/>
          <w:lang w:val="fr-CH"/>
        </w:rPr>
        <w:t xml:space="preserve">que les autres compartiments restent à la température de -20 °C. Lorsque le critère </w:t>
      </w:r>
      <w:r>
        <w:rPr>
          <w:rFonts w:eastAsia="SimSun"/>
          <w:iCs/>
          <w:lang w:val="fr-CH"/>
        </w:rPr>
        <w:tab/>
      </w:r>
      <w:r w:rsidR="00F2470C" w:rsidRPr="003F179A">
        <w:rPr>
          <w:rFonts w:eastAsia="SimSun"/>
          <w:iCs/>
          <w:lang w:val="fr-CH"/>
        </w:rPr>
        <w:t xml:space="preserve">de régulation est respecté, les consignes des compartiments sont inversées. Il n’y a </w:t>
      </w:r>
      <w:r>
        <w:rPr>
          <w:rFonts w:eastAsia="SimSun"/>
          <w:iCs/>
          <w:lang w:val="fr-CH"/>
        </w:rPr>
        <w:tab/>
      </w:r>
      <w:r w:rsidR="00F2470C" w:rsidRPr="003F179A">
        <w:rPr>
          <w:rFonts w:eastAsia="SimSun"/>
          <w:iCs/>
          <w:lang w:val="fr-CH"/>
        </w:rPr>
        <w:t xml:space="preserve">pas de limite de temps pour effectuer ces essais. </w:t>
      </w:r>
    </w:p>
    <w:p w:rsidR="00F2470C" w:rsidRPr="003F179A" w:rsidRDefault="00CE1F2E" w:rsidP="00F2470C">
      <w:pPr>
        <w:pStyle w:val="SingleTxtG"/>
        <w:rPr>
          <w:lang w:val="fr-CH"/>
        </w:rPr>
      </w:pPr>
      <w:r>
        <w:rPr>
          <w:rFonts w:eastAsia="SimSun"/>
          <w:iCs/>
          <w:lang w:val="fr-CH"/>
        </w:rPr>
        <w:tab/>
      </w:r>
      <w:r w:rsidR="00F2470C" w:rsidRPr="003F179A">
        <w:rPr>
          <w:rFonts w:eastAsia="SimSun"/>
          <w:iCs/>
          <w:lang w:val="fr-CH"/>
        </w:rPr>
        <w:t xml:space="preserve">Dans le cas d’engins dépourvus de fonction de chauffage, il est autorisé d’ouvrir les </w:t>
      </w:r>
      <w:r>
        <w:rPr>
          <w:rFonts w:eastAsia="SimSun"/>
          <w:iCs/>
          <w:lang w:val="fr-CH"/>
        </w:rPr>
        <w:tab/>
      </w:r>
      <w:r w:rsidR="00F2470C" w:rsidRPr="003F179A">
        <w:rPr>
          <w:rFonts w:eastAsia="SimSun"/>
          <w:iCs/>
          <w:lang w:val="fr-CH"/>
        </w:rPr>
        <w:t xml:space="preserve">portes des compartiments pour accélérer la remontée en température des </w:t>
      </w:r>
      <w:r>
        <w:rPr>
          <w:rFonts w:eastAsia="SimSun"/>
          <w:iCs/>
          <w:lang w:val="fr-CH"/>
        </w:rPr>
        <w:tab/>
      </w:r>
      <w:r w:rsidR="00F2470C" w:rsidRPr="003F179A">
        <w:rPr>
          <w:rFonts w:eastAsia="SimSun"/>
          <w:iCs/>
          <w:lang w:val="fr-CH"/>
        </w:rPr>
        <w:t xml:space="preserve">compartiments concernés. </w:t>
      </w:r>
    </w:p>
    <w:p w:rsidR="00F2470C" w:rsidRPr="003F179A" w:rsidRDefault="00CE1F2E" w:rsidP="00F2470C">
      <w:pPr>
        <w:pStyle w:val="SingleTxtG"/>
        <w:rPr>
          <w:lang w:val="fr-CH"/>
        </w:rPr>
      </w:pPr>
      <w:r>
        <w:rPr>
          <w:lang w:val="fr-CH"/>
        </w:rPr>
        <w:tab/>
      </w:r>
      <w:r w:rsidR="00F2470C" w:rsidRPr="003F179A">
        <w:rPr>
          <w:lang w:val="fr-CH"/>
        </w:rPr>
        <w:t xml:space="preserve">L’engin est considéré conforme si: </w:t>
      </w:r>
    </w:p>
    <w:p w:rsidR="00F2470C" w:rsidRPr="005057FD" w:rsidRDefault="00F2470C" w:rsidP="002D18AC">
      <w:pPr>
        <w:pStyle w:val="SingleTxtG"/>
        <w:numPr>
          <w:ilvl w:val="0"/>
          <w:numId w:val="17"/>
        </w:numPr>
        <w:tabs>
          <w:tab w:val="clear" w:pos="1701"/>
        </w:tabs>
        <w:ind w:left="2268" w:hanging="567"/>
        <w:rPr>
          <w:lang w:val="fr-CH"/>
        </w:rPr>
      </w:pPr>
      <w:r w:rsidRPr="003F179A">
        <w:rPr>
          <w:lang w:val="fr-CH"/>
        </w:rPr>
        <w:t>Pour chaque compartiment, la température de la classe est atteinte dans le respect du temps indiqué sur le tableau du i). Pour définir ce temps, on choisira la température extérieure moyenne la plus basse entre les deux séries de mesures réalisées avec les deux capteurs extern</w:t>
      </w:r>
      <w:r w:rsidR="008E224D">
        <w:rPr>
          <w:lang w:val="fr-CH"/>
        </w:rPr>
        <w:t>e</w:t>
      </w:r>
      <w:r w:rsidRPr="003F179A">
        <w:rPr>
          <w:lang w:val="fr-CH"/>
        </w:rPr>
        <w:t>s;</w:t>
      </w:r>
    </w:p>
    <w:p w:rsidR="00F2470C" w:rsidRPr="005057FD" w:rsidRDefault="00F2470C" w:rsidP="002D18AC">
      <w:pPr>
        <w:pStyle w:val="SingleTxtG"/>
        <w:numPr>
          <w:ilvl w:val="0"/>
          <w:numId w:val="17"/>
        </w:numPr>
        <w:tabs>
          <w:tab w:val="clear" w:pos="1701"/>
        </w:tabs>
        <w:ind w:left="2268" w:hanging="567"/>
        <w:rPr>
          <w:lang w:val="fr-CH"/>
        </w:rPr>
      </w:pPr>
      <w:r w:rsidRPr="003F179A">
        <w:rPr>
          <w:lang w:val="fr-CH"/>
        </w:rPr>
        <w:t>Les tests complémentaires mentionnés au iii) sont satisfaisants lorsqu’ils sont requis.»</w:t>
      </w:r>
      <w:r w:rsidR="008E224D">
        <w:rPr>
          <w:lang w:val="fr-CH"/>
        </w:rPr>
        <w:t>.</w:t>
      </w:r>
    </w:p>
    <w:p w:rsidR="00F2470C" w:rsidRDefault="00F2470C" w:rsidP="00F2470C">
      <w:pPr>
        <w:pStyle w:val="H1G"/>
      </w:pPr>
      <w:r w:rsidRPr="003F179A">
        <w:rPr>
          <w:lang w:val="fr-CH"/>
        </w:rPr>
        <w:tab/>
      </w:r>
      <w:r w:rsidR="00F4174D">
        <w:rPr>
          <w:lang w:val="fr-CH"/>
        </w:rPr>
        <w:t>III.</w:t>
      </w:r>
      <w:r w:rsidRPr="003F179A">
        <w:rPr>
          <w:lang w:val="fr-CH"/>
        </w:rPr>
        <w:tab/>
      </w:r>
      <w:r>
        <w:t>Justification</w:t>
      </w:r>
    </w:p>
    <w:tbl>
      <w:tblPr>
        <w:tblW w:w="0" w:type="auto"/>
        <w:tblInd w:w="1134" w:type="dxa"/>
        <w:tblLayout w:type="fixed"/>
        <w:tblCellMar>
          <w:top w:w="55" w:type="dxa"/>
          <w:left w:w="55" w:type="dxa"/>
          <w:bottom w:w="55" w:type="dxa"/>
          <w:right w:w="55" w:type="dxa"/>
        </w:tblCellMar>
        <w:tblLook w:val="0000" w:firstRow="0" w:lastRow="0" w:firstColumn="0" w:lastColumn="0" w:noHBand="0" w:noVBand="0"/>
      </w:tblPr>
      <w:tblGrid>
        <w:gridCol w:w="1580"/>
        <w:gridCol w:w="5988"/>
      </w:tblGrid>
      <w:tr w:rsidR="00F2470C" w:rsidRPr="00DF6CF6" w:rsidTr="008E224D">
        <w:tc>
          <w:tcPr>
            <w:tcW w:w="1580" w:type="dxa"/>
            <w:tcBorders>
              <w:top w:val="none" w:sz="1" w:space="0" w:color="000000"/>
              <w:left w:val="none" w:sz="1" w:space="0" w:color="000000"/>
              <w:bottom w:val="none" w:sz="1" w:space="0" w:color="000000"/>
            </w:tcBorders>
            <w:shd w:val="clear" w:color="auto" w:fill="auto"/>
          </w:tcPr>
          <w:p w:rsidR="00F2470C" w:rsidRDefault="00F2470C" w:rsidP="00050B59">
            <w:pPr>
              <w:pStyle w:val="SingleTxtG"/>
              <w:spacing w:after="0" w:line="240" w:lineRule="auto"/>
              <w:ind w:left="0" w:right="0"/>
            </w:pPr>
            <w:r>
              <w:t>Coût</w:t>
            </w:r>
          </w:p>
        </w:tc>
        <w:tc>
          <w:tcPr>
            <w:tcW w:w="5988" w:type="dxa"/>
            <w:tcBorders>
              <w:top w:val="none" w:sz="1" w:space="0" w:color="000000"/>
              <w:left w:val="none" w:sz="1" w:space="0" w:color="000000"/>
              <w:bottom w:val="none" w:sz="1" w:space="0" w:color="000000"/>
              <w:right w:val="none" w:sz="1" w:space="0" w:color="000000"/>
            </w:tcBorders>
            <w:shd w:val="clear" w:color="auto" w:fill="auto"/>
          </w:tcPr>
          <w:p w:rsidR="00F2470C" w:rsidRPr="003F179A" w:rsidRDefault="00F2470C" w:rsidP="00050B59">
            <w:pPr>
              <w:pStyle w:val="SingleTxtG"/>
              <w:spacing w:after="0" w:line="240" w:lineRule="auto"/>
              <w:ind w:left="0" w:right="0"/>
              <w:rPr>
                <w:lang w:val="fr-CH"/>
              </w:rPr>
            </w:pPr>
            <w:r w:rsidRPr="003F179A">
              <w:rPr>
                <w:lang w:val="fr-CH"/>
              </w:rPr>
              <w:t>Le coût de ce test est très proche du coût du test d’un engin mono-température même s'il est légèrement supérieur car il nécessite plus de capteurs et de temps d’instrumentation et de dépouillement.</w:t>
            </w:r>
          </w:p>
        </w:tc>
      </w:tr>
      <w:tr w:rsidR="00F2470C" w:rsidRPr="00DF6CF6" w:rsidTr="008E224D">
        <w:tc>
          <w:tcPr>
            <w:tcW w:w="1580" w:type="dxa"/>
            <w:tcBorders>
              <w:left w:val="none" w:sz="1" w:space="0" w:color="000000"/>
              <w:bottom w:val="none" w:sz="1" w:space="0" w:color="000000"/>
            </w:tcBorders>
            <w:shd w:val="clear" w:color="auto" w:fill="auto"/>
          </w:tcPr>
          <w:p w:rsidR="00F2470C" w:rsidRDefault="00F2470C" w:rsidP="00050B59">
            <w:pPr>
              <w:pStyle w:val="SingleTxtG"/>
              <w:spacing w:after="0" w:line="240" w:lineRule="auto"/>
              <w:ind w:left="0" w:right="0"/>
            </w:pPr>
            <w:r>
              <w:t>Faisabilité</w:t>
            </w:r>
          </w:p>
        </w:tc>
        <w:tc>
          <w:tcPr>
            <w:tcW w:w="5988" w:type="dxa"/>
            <w:tcBorders>
              <w:left w:val="none" w:sz="1" w:space="0" w:color="000000"/>
              <w:bottom w:val="none" w:sz="1" w:space="0" w:color="000000"/>
              <w:right w:val="none" w:sz="1" w:space="0" w:color="000000"/>
            </w:tcBorders>
            <w:shd w:val="clear" w:color="auto" w:fill="auto"/>
          </w:tcPr>
          <w:p w:rsidR="00F2470C" w:rsidRPr="003F179A" w:rsidRDefault="00F2470C" w:rsidP="00050B59">
            <w:pPr>
              <w:pStyle w:val="SingleTxtG"/>
              <w:spacing w:after="0" w:line="240" w:lineRule="auto"/>
              <w:ind w:left="0" w:right="0"/>
              <w:rPr>
                <w:lang w:val="fr-CH"/>
              </w:rPr>
            </w:pPr>
            <w:r w:rsidRPr="003F179A">
              <w:rPr>
                <w:lang w:val="fr-CH"/>
              </w:rPr>
              <w:t>Cette proposition est basée sur la méthode de test des engins autonomes mono-température. Elle ne rajoute qu’un test simple de réversibilité des compartiments permettant de limiter la durée du test tout en lui conservant toute sa pertinence.</w:t>
            </w:r>
          </w:p>
        </w:tc>
      </w:tr>
      <w:tr w:rsidR="00F2470C" w:rsidRPr="00DF6CF6" w:rsidTr="008E224D">
        <w:tc>
          <w:tcPr>
            <w:tcW w:w="1580" w:type="dxa"/>
            <w:tcBorders>
              <w:left w:val="none" w:sz="1" w:space="0" w:color="000000"/>
              <w:bottom w:val="none" w:sz="1" w:space="0" w:color="000000"/>
            </w:tcBorders>
            <w:shd w:val="clear" w:color="auto" w:fill="auto"/>
          </w:tcPr>
          <w:p w:rsidR="00F2470C" w:rsidRDefault="00F2470C" w:rsidP="00050B59">
            <w:pPr>
              <w:spacing w:line="240" w:lineRule="auto"/>
            </w:pPr>
            <w:r>
              <w:t>Impact sur l’environnement</w:t>
            </w:r>
          </w:p>
        </w:tc>
        <w:tc>
          <w:tcPr>
            <w:tcW w:w="5988" w:type="dxa"/>
            <w:tcBorders>
              <w:left w:val="none" w:sz="1" w:space="0" w:color="000000"/>
              <w:bottom w:val="none" w:sz="1" w:space="0" w:color="000000"/>
              <w:right w:val="none" w:sz="1" w:space="0" w:color="000000"/>
            </w:tcBorders>
            <w:shd w:val="clear" w:color="auto" w:fill="auto"/>
          </w:tcPr>
          <w:p w:rsidR="00F2470C" w:rsidRPr="003F179A" w:rsidRDefault="00F2470C" w:rsidP="00050B59">
            <w:pPr>
              <w:pStyle w:val="SingleTxtG"/>
              <w:spacing w:after="0" w:line="240" w:lineRule="auto"/>
              <w:ind w:left="0" w:right="0"/>
              <w:rPr>
                <w:lang w:val="fr-CH"/>
              </w:rPr>
            </w:pPr>
            <w:r w:rsidRPr="003F179A">
              <w:rPr>
                <w:lang w:val="fr-CH"/>
              </w:rPr>
              <w:t>L’impact environnemental est important car il permet d’imposer de la maintenance et donc une bonne performance des machines.</w:t>
            </w:r>
          </w:p>
        </w:tc>
      </w:tr>
      <w:tr w:rsidR="00F2470C" w:rsidTr="008E224D">
        <w:tc>
          <w:tcPr>
            <w:tcW w:w="1580" w:type="dxa"/>
            <w:tcBorders>
              <w:left w:val="none" w:sz="1" w:space="0" w:color="000000"/>
              <w:bottom w:val="none" w:sz="1" w:space="0" w:color="000000"/>
            </w:tcBorders>
            <w:shd w:val="clear" w:color="auto" w:fill="auto"/>
          </w:tcPr>
          <w:p w:rsidR="00F2470C" w:rsidRDefault="00F2470C" w:rsidP="00050B59">
            <w:pPr>
              <w:pStyle w:val="SingleTxtG"/>
              <w:spacing w:after="0" w:line="240" w:lineRule="auto"/>
              <w:ind w:left="0" w:right="0"/>
            </w:pPr>
            <w:r>
              <w:t>Application effective</w:t>
            </w:r>
          </w:p>
        </w:tc>
        <w:tc>
          <w:tcPr>
            <w:tcW w:w="5988" w:type="dxa"/>
            <w:tcBorders>
              <w:left w:val="none" w:sz="1" w:space="0" w:color="000000"/>
              <w:bottom w:val="none" w:sz="1" w:space="0" w:color="000000"/>
              <w:right w:val="none" w:sz="1" w:space="0" w:color="000000"/>
            </w:tcBorders>
            <w:shd w:val="clear" w:color="auto" w:fill="auto"/>
          </w:tcPr>
          <w:p w:rsidR="00F2470C" w:rsidRDefault="00F2470C" w:rsidP="00050B59">
            <w:pPr>
              <w:pStyle w:val="SingleTxtG"/>
              <w:spacing w:after="0" w:line="240" w:lineRule="auto"/>
              <w:ind w:left="0" w:right="0"/>
            </w:pPr>
          </w:p>
        </w:tc>
      </w:tr>
    </w:tbl>
    <w:p w:rsidR="00F507EC" w:rsidRPr="003F179A" w:rsidRDefault="00F2470C" w:rsidP="00F2470C">
      <w:pPr>
        <w:spacing w:before="240"/>
        <w:ind w:left="1134" w:right="1134"/>
        <w:jc w:val="center"/>
        <w:rPr>
          <w:u w:val="single"/>
          <w:lang w:val="fr-FR"/>
        </w:rPr>
      </w:pPr>
      <w:r>
        <w:rPr>
          <w:u w:val="single"/>
          <w:lang w:val="en-US"/>
        </w:rPr>
        <w:tab/>
      </w:r>
      <w:r>
        <w:rPr>
          <w:u w:val="single"/>
          <w:lang w:val="en-US"/>
        </w:rPr>
        <w:tab/>
      </w:r>
      <w:r>
        <w:rPr>
          <w:u w:val="single"/>
          <w:lang w:val="en-US"/>
        </w:rPr>
        <w:tab/>
      </w:r>
    </w:p>
    <w:sectPr w:rsidR="00F507EC" w:rsidRPr="003F179A" w:rsidSect="007D3A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B17" w:rsidRDefault="00EC4B17"/>
  </w:endnote>
  <w:endnote w:type="continuationSeparator" w:id="0">
    <w:p w:rsidR="00EC4B17" w:rsidRDefault="00EC4B17"/>
  </w:endnote>
  <w:endnote w:type="continuationNotice" w:id="1">
    <w:p w:rsidR="00EC4B17" w:rsidRDefault="00EC4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50" w:rsidRPr="007D3A50" w:rsidRDefault="007D3A50" w:rsidP="007D3A50">
    <w:pPr>
      <w:pStyle w:val="Footer"/>
      <w:tabs>
        <w:tab w:val="right" w:pos="9638"/>
      </w:tabs>
      <w:rPr>
        <w:sz w:val="18"/>
      </w:rPr>
    </w:pPr>
    <w:r w:rsidRPr="007D3A50">
      <w:rPr>
        <w:b/>
        <w:sz w:val="18"/>
      </w:rPr>
      <w:fldChar w:fldCharType="begin"/>
    </w:r>
    <w:r w:rsidRPr="007D3A50">
      <w:rPr>
        <w:b/>
        <w:sz w:val="18"/>
      </w:rPr>
      <w:instrText xml:space="preserve"> PAGE  \* MERGEFORMAT </w:instrText>
    </w:r>
    <w:r w:rsidRPr="007D3A50">
      <w:rPr>
        <w:b/>
        <w:sz w:val="18"/>
      </w:rPr>
      <w:fldChar w:fldCharType="separate"/>
    </w:r>
    <w:r w:rsidR="007366F1">
      <w:rPr>
        <w:b/>
        <w:noProof/>
        <w:sz w:val="18"/>
      </w:rPr>
      <w:t>2</w:t>
    </w:r>
    <w:r w:rsidRPr="007D3A5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50" w:rsidRPr="007D3A50" w:rsidRDefault="007D3A50" w:rsidP="007D3A50">
    <w:pPr>
      <w:pStyle w:val="Footer"/>
      <w:tabs>
        <w:tab w:val="right" w:pos="9638"/>
      </w:tabs>
      <w:rPr>
        <w:b/>
        <w:sz w:val="18"/>
      </w:rPr>
    </w:pPr>
    <w:r>
      <w:tab/>
    </w:r>
    <w:r w:rsidRPr="007D3A50">
      <w:rPr>
        <w:b/>
        <w:sz w:val="18"/>
      </w:rPr>
      <w:fldChar w:fldCharType="begin"/>
    </w:r>
    <w:r w:rsidRPr="007D3A50">
      <w:rPr>
        <w:b/>
        <w:sz w:val="18"/>
      </w:rPr>
      <w:instrText xml:space="preserve"> PAGE  \* MERGEFORMAT </w:instrText>
    </w:r>
    <w:r w:rsidRPr="007D3A50">
      <w:rPr>
        <w:b/>
        <w:sz w:val="18"/>
      </w:rPr>
      <w:fldChar w:fldCharType="separate"/>
    </w:r>
    <w:r w:rsidR="007366F1">
      <w:rPr>
        <w:b/>
        <w:noProof/>
        <w:sz w:val="18"/>
      </w:rPr>
      <w:t>3</w:t>
    </w:r>
    <w:r w:rsidRPr="007D3A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F6" w:rsidRPr="00DF6CF6" w:rsidRDefault="00DF6CF6">
    <w:pPr>
      <w:pStyle w:val="Footer"/>
      <w:rPr>
        <w:rFonts w:ascii="C39T30Lfz" w:hAnsi="C39T30Lfz"/>
        <w:sz w:val="56"/>
      </w:rPr>
    </w:pPr>
    <w:r>
      <w:rPr>
        <w:noProof/>
        <w:lang w:eastAsia="en-GB"/>
      </w:rPr>
      <w:drawing>
        <wp:anchor distT="0" distB="0" distL="114300" distR="114300" simplePos="0" relativeHeight="251657728" behindDoc="0" locked="0" layoutInCell="1" allowOverlap="0" wp14:anchorId="0BBBB88A" wp14:editId="3BA34C31">
          <wp:simplePos x="0" y="0"/>
          <wp:positionH relativeFrom="margin">
            <wp:posOffset>4319905</wp:posOffset>
          </wp:positionH>
          <wp:positionV relativeFrom="margin">
            <wp:posOffset>8318859</wp:posOffset>
          </wp:positionV>
          <wp:extent cx="1104900" cy="23368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33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800" behindDoc="0" locked="0" layoutInCell="1" allowOverlap="1">
          <wp:simplePos x="0" y="0"/>
          <wp:positionH relativeFrom="column">
            <wp:posOffset>5473147</wp:posOffset>
          </wp:positionH>
          <wp:positionV relativeFrom="paragraph">
            <wp:posOffset>-6626</wp:posOffset>
          </wp:positionV>
          <wp:extent cx="638175" cy="638175"/>
          <wp:effectExtent l="0" t="0" r="9525" b="9525"/>
          <wp:wrapNone/>
          <wp:docPr id="3" name="Image 1" descr="https://undocs.org/m2/QRCode.ashx?DS=ECE/TRANS/WP.11/2017/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7/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GE.17-12488  (F)</w:t>
    </w:r>
    <w:r>
      <w:br/>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r w:rsidRPr="00DF6CF6">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B17" w:rsidRPr="000B175B" w:rsidRDefault="00EC4B17" w:rsidP="000B175B">
      <w:pPr>
        <w:tabs>
          <w:tab w:val="right" w:pos="2155"/>
        </w:tabs>
        <w:spacing w:after="80"/>
        <w:ind w:left="680"/>
        <w:rPr>
          <w:u w:val="single"/>
        </w:rPr>
      </w:pPr>
      <w:r>
        <w:rPr>
          <w:u w:val="single"/>
        </w:rPr>
        <w:tab/>
      </w:r>
    </w:p>
  </w:footnote>
  <w:footnote w:type="continuationSeparator" w:id="0">
    <w:p w:rsidR="00EC4B17" w:rsidRPr="00FC68B7" w:rsidRDefault="00EC4B17" w:rsidP="00FC68B7">
      <w:pPr>
        <w:tabs>
          <w:tab w:val="left" w:pos="2155"/>
        </w:tabs>
        <w:spacing w:after="80"/>
        <w:ind w:left="680"/>
        <w:rPr>
          <w:u w:val="single"/>
        </w:rPr>
      </w:pPr>
      <w:r>
        <w:rPr>
          <w:u w:val="single"/>
        </w:rPr>
        <w:tab/>
      </w:r>
    </w:p>
  </w:footnote>
  <w:footnote w:type="continuationNotice" w:id="1">
    <w:p w:rsidR="00EC4B17" w:rsidRDefault="00EC4B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50" w:rsidRPr="007D3A50" w:rsidRDefault="007D3A50">
    <w:pPr>
      <w:pStyle w:val="Header"/>
    </w:pPr>
    <w:r>
      <w:t>ECE/TRANS/WP.11/2017/8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50" w:rsidRPr="007D3A50" w:rsidRDefault="007D3A50" w:rsidP="007D3A50">
    <w:pPr>
      <w:pStyle w:val="Header"/>
      <w:jc w:val="right"/>
    </w:pPr>
    <w:r>
      <w:t>ECE/TRANS/WP.11/2017/8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CF6" w:rsidRDefault="00DF6C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E"/>
    <w:multiLevelType w:val="multilevel"/>
    <w:tmpl w:val="0000000E"/>
    <w:name w:val="WWNum1"/>
    <w:lvl w:ilvl="0">
      <w:start w:val="1"/>
      <w:numFmt w:val="bullet"/>
      <w:lvlText w:val="•"/>
      <w:lvlJc w:val="left"/>
      <w:pPr>
        <w:tabs>
          <w:tab w:val="num" w:pos="1701"/>
        </w:tabs>
        <w:ind w:left="1701" w:hanging="170"/>
      </w:pPr>
      <w:rPr>
        <w:rFonts w:ascii="Times New Roman" w:hAnsi="Times New Roman" w:cs="Times New Roman"/>
        <w:b/>
      </w:rPr>
    </w:lvl>
    <w:lvl w:ilvl="1">
      <w:start w:val="1"/>
      <w:numFmt w:val="bullet"/>
      <w:lvlText w:val="o"/>
      <w:lvlJc w:val="left"/>
      <w:pPr>
        <w:tabs>
          <w:tab w:val="num" w:pos="3141"/>
        </w:tabs>
        <w:ind w:left="3141" w:hanging="360"/>
      </w:pPr>
      <w:rPr>
        <w:rFonts w:ascii="Courier New" w:hAnsi="Courier New"/>
      </w:rPr>
    </w:lvl>
    <w:lvl w:ilvl="2">
      <w:start w:val="1"/>
      <w:numFmt w:val="bullet"/>
      <w:lvlText w:val=""/>
      <w:lvlJc w:val="left"/>
      <w:pPr>
        <w:tabs>
          <w:tab w:val="num" w:pos="3861"/>
        </w:tabs>
        <w:ind w:left="3861" w:hanging="360"/>
      </w:pPr>
      <w:rPr>
        <w:rFonts w:ascii="Wingdings" w:hAnsi="Wingdings"/>
      </w:rPr>
    </w:lvl>
    <w:lvl w:ilvl="3">
      <w:start w:val="1"/>
      <w:numFmt w:val="bullet"/>
      <w:lvlText w:val=""/>
      <w:lvlJc w:val="left"/>
      <w:pPr>
        <w:tabs>
          <w:tab w:val="num" w:pos="4581"/>
        </w:tabs>
        <w:ind w:left="4581" w:hanging="360"/>
      </w:pPr>
      <w:rPr>
        <w:rFonts w:ascii="Symbol" w:hAnsi="Symbol"/>
      </w:rPr>
    </w:lvl>
    <w:lvl w:ilvl="4">
      <w:start w:val="1"/>
      <w:numFmt w:val="bullet"/>
      <w:lvlText w:val="o"/>
      <w:lvlJc w:val="left"/>
      <w:pPr>
        <w:tabs>
          <w:tab w:val="num" w:pos="5301"/>
        </w:tabs>
        <w:ind w:left="5301" w:hanging="360"/>
      </w:pPr>
      <w:rPr>
        <w:rFonts w:ascii="Courier New" w:hAnsi="Courier New"/>
      </w:rPr>
    </w:lvl>
    <w:lvl w:ilvl="5">
      <w:start w:val="1"/>
      <w:numFmt w:val="bullet"/>
      <w:lvlText w:val=""/>
      <w:lvlJc w:val="left"/>
      <w:pPr>
        <w:tabs>
          <w:tab w:val="num" w:pos="6021"/>
        </w:tabs>
        <w:ind w:left="6021" w:hanging="360"/>
      </w:pPr>
      <w:rPr>
        <w:rFonts w:ascii="Wingdings" w:hAnsi="Wingdings"/>
      </w:rPr>
    </w:lvl>
    <w:lvl w:ilvl="6">
      <w:start w:val="1"/>
      <w:numFmt w:val="bullet"/>
      <w:lvlText w:val=""/>
      <w:lvlJc w:val="left"/>
      <w:pPr>
        <w:tabs>
          <w:tab w:val="num" w:pos="6741"/>
        </w:tabs>
        <w:ind w:left="6741" w:hanging="360"/>
      </w:pPr>
      <w:rPr>
        <w:rFonts w:ascii="Symbol" w:hAnsi="Symbol"/>
      </w:rPr>
    </w:lvl>
    <w:lvl w:ilvl="7">
      <w:start w:val="1"/>
      <w:numFmt w:val="bullet"/>
      <w:lvlText w:val="o"/>
      <w:lvlJc w:val="left"/>
      <w:pPr>
        <w:tabs>
          <w:tab w:val="num" w:pos="7461"/>
        </w:tabs>
        <w:ind w:left="7461" w:hanging="360"/>
      </w:pPr>
      <w:rPr>
        <w:rFonts w:ascii="Courier New" w:hAnsi="Courier New"/>
      </w:rPr>
    </w:lvl>
    <w:lvl w:ilvl="8">
      <w:start w:val="1"/>
      <w:numFmt w:val="bullet"/>
      <w:lvlText w:val=""/>
      <w:lvlJc w:val="left"/>
      <w:pPr>
        <w:tabs>
          <w:tab w:val="num" w:pos="8181"/>
        </w:tabs>
        <w:ind w:left="8181" w:hanging="360"/>
      </w:pPr>
      <w:rPr>
        <w:rFonts w:ascii="Wingdings" w:hAnsi="Wingdings"/>
      </w:rPr>
    </w:lvl>
  </w:abstractNum>
  <w:abstractNum w:abstractNumId="12" w15:restartNumberingAfterBreak="0">
    <w:nsid w:val="0000000F"/>
    <w:multiLevelType w:val="multilevel"/>
    <w:tmpl w:val="0000000F"/>
    <w:name w:val="WWNum5"/>
    <w:lvl w:ilvl="0">
      <w:start w:val="1"/>
      <w:numFmt w:val="decimal"/>
      <w:lvlText w:val="%1."/>
      <w:lvlJc w:val="left"/>
      <w:pPr>
        <w:tabs>
          <w:tab w:val="num" w:pos="0"/>
        </w:tabs>
        <w:ind w:left="1704" w:hanging="570"/>
      </w:pPr>
    </w:lvl>
    <w:lvl w:ilvl="1">
      <w:start w:val="1"/>
      <w:numFmt w:val="lowerLetter"/>
      <w:lvlText w:val="%2."/>
      <w:lvlJc w:val="left"/>
      <w:pPr>
        <w:tabs>
          <w:tab w:val="num" w:pos="0"/>
        </w:tabs>
        <w:ind w:left="2214" w:hanging="360"/>
      </w:pPr>
    </w:lvl>
    <w:lvl w:ilvl="2">
      <w:start w:val="1"/>
      <w:numFmt w:val="lowerRoman"/>
      <w:lvlText w:val="%3."/>
      <w:lvlJc w:val="right"/>
      <w:pPr>
        <w:tabs>
          <w:tab w:val="num" w:pos="0"/>
        </w:tabs>
        <w:ind w:left="2934" w:hanging="180"/>
      </w:pPr>
    </w:lvl>
    <w:lvl w:ilvl="3">
      <w:start w:val="1"/>
      <w:numFmt w:val="decimal"/>
      <w:lvlText w:val="%4."/>
      <w:lvlJc w:val="left"/>
      <w:pPr>
        <w:tabs>
          <w:tab w:val="num" w:pos="0"/>
        </w:tabs>
        <w:ind w:left="3654" w:hanging="360"/>
      </w:pPr>
    </w:lvl>
    <w:lvl w:ilvl="4">
      <w:start w:val="1"/>
      <w:numFmt w:val="lowerLetter"/>
      <w:lvlText w:val="%5."/>
      <w:lvlJc w:val="left"/>
      <w:pPr>
        <w:tabs>
          <w:tab w:val="num" w:pos="0"/>
        </w:tabs>
        <w:ind w:left="4374" w:hanging="360"/>
      </w:pPr>
    </w:lvl>
    <w:lvl w:ilvl="5">
      <w:start w:val="1"/>
      <w:numFmt w:val="lowerRoman"/>
      <w:lvlText w:val="%6."/>
      <w:lvlJc w:val="right"/>
      <w:pPr>
        <w:tabs>
          <w:tab w:val="num" w:pos="0"/>
        </w:tabs>
        <w:ind w:left="5094" w:hanging="180"/>
      </w:pPr>
    </w:lvl>
    <w:lvl w:ilvl="6">
      <w:start w:val="1"/>
      <w:numFmt w:val="decimal"/>
      <w:lvlText w:val="%7."/>
      <w:lvlJc w:val="left"/>
      <w:pPr>
        <w:tabs>
          <w:tab w:val="num" w:pos="0"/>
        </w:tabs>
        <w:ind w:left="5814" w:hanging="360"/>
      </w:pPr>
    </w:lvl>
    <w:lvl w:ilvl="7">
      <w:start w:val="1"/>
      <w:numFmt w:val="lowerLetter"/>
      <w:lvlText w:val="%8."/>
      <w:lvlJc w:val="left"/>
      <w:pPr>
        <w:tabs>
          <w:tab w:val="num" w:pos="0"/>
        </w:tabs>
        <w:ind w:left="6534" w:hanging="360"/>
      </w:pPr>
    </w:lvl>
    <w:lvl w:ilvl="8">
      <w:start w:val="1"/>
      <w:numFmt w:val="lowerRoman"/>
      <w:lvlText w:val="%9."/>
      <w:lvlJc w:val="right"/>
      <w:pPr>
        <w:tabs>
          <w:tab w:val="num" w:pos="0"/>
        </w:tabs>
        <w:ind w:left="7254" w:hanging="180"/>
      </w:pPr>
    </w:lvl>
  </w:abstractNum>
  <w:abstractNum w:abstractNumId="13"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6"/>
  </w:num>
  <w:num w:numId="13">
    <w:abstractNumId w:val="13"/>
  </w:num>
  <w:num w:numId="14">
    <w:abstractNumId w:val="14"/>
  </w:num>
  <w:num w:numId="15">
    <w:abstractNumId w:val="18"/>
  </w:num>
  <w:num w:numId="16">
    <w:abstractNumId w:val="15"/>
  </w:num>
  <w:num w:numId="17">
    <w:abstractNumId w:val="19"/>
  </w:num>
  <w:num w:numId="18">
    <w:abstractNumId w:val="20"/>
  </w:num>
  <w:num w:numId="19">
    <w:abstractNumId w:val="10"/>
  </w:num>
  <w:num w:numId="20">
    <w:abstractNumId w:val="11"/>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50"/>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55C8"/>
    <w:rsid w:val="002974E9"/>
    <w:rsid w:val="002A3F87"/>
    <w:rsid w:val="002A7F94"/>
    <w:rsid w:val="002B109A"/>
    <w:rsid w:val="002C6D45"/>
    <w:rsid w:val="002D18AC"/>
    <w:rsid w:val="002D6E53"/>
    <w:rsid w:val="002F046D"/>
    <w:rsid w:val="00301764"/>
    <w:rsid w:val="003229D8"/>
    <w:rsid w:val="00336C97"/>
    <w:rsid w:val="00337F88"/>
    <w:rsid w:val="00342432"/>
    <w:rsid w:val="0035223F"/>
    <w:rsid w:val="00352D4B"/>
    <w:rsid w:val="0035638C"/>
    <w:rsid w:val="003672C4"/>
    <w:rsid w:val="003A46BB"/>
    <w:rsid w:val="003A4EC7"/>
    <w:rsid w:val="003A7295"/>
    <w:rsid w:val="003B1F60"/>
    <w:rsid w:val="003C2CC4"/>
    <w:rsid w:val="003D4B23"/>
    <w:rsid w:val="003E278A"/>
    <w:rsid w:val="003F179A"/>
    <w:rsid w:val="00412340"/>
    <w:rsid w:val="00413520"/>
    <w:rsid w:val="004325CB"/>
    <w:rsid w:val="00440A07"/>
    <w:rsid w:val="00462880"/>
    <w:rsid w:val="00476F24"/>
    <w:rsid w:val="004C55B0"/>
    <w:rsid w:val="004F6BA0"/>
    <w:rsid w:val="00503BEA"/>
    <w:rsid w:val="005057FD"/>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37551"/>
    <w:rsid w:val="00640B26"/>
    <w:rsid w:val="006467CE"/>
    <w:rsid w:val="006770B2"/>
    <w:rsid w:val="006940E1"/>
    <w:rsid w:val="006A3C72"/>
    <w:rsid w:val="006A7392"/>
    <w:rsid w:val="006B03A1"/>
    <w:rsid w:val="006B67D9"/>
    <w:rsid w:val="006C5535"/>
    <w:rsid w:val="006D0589"/>
    <w:rsid w:val="006E564B"/>
    <w:rsid w:val="006E7154"/>
    <w:rsid w:val="007003CD"/>
    <w:rsid w:val="0070701E"/>
    <w:rsid w:val="0072632A"/>
    <w:rsid w:val="007358E8"/>
    <w:rsid w:val="007366F1"/>
    <w:rsid w:val="00736ECE"/>
    <w:rsid w:val="0074533B"/>
    <w:rsid w:val="007643BC"/>
    <w:rsid w:val="007959FE"/>
    <w:rsid w:val="007A0CF1"/>
    <w:rsid w:val="007B6BA5"/>
    <w:rsid w:val="007C3390"/>
    <w:rsid w:val="007C42D8"/>
    <w:rsid w:val="007C4F4B"/>
    <w:rsid w:val="007D3A50"/>
    <w:rsid w:val="007D7362"/>
    <w:rsid w:val="007F5CE2"/>
    <w:rsid w:val="007F6611"/>
    <w:rsid w:val="00810BAC"/>
    <w:rsid w:val="008175E9"/>
    <w:rsid w:val="008242D7"/>
    <w:rsid w:val="0082577B"/>
    <w:rsid w:val="00866893"/>
    <w:rsid w:val="00866F02"/>
    <w:rsid w:val="00867D18"/>
    <w:rsid w:val="0087020C"/>
    <w:rsid w:val="00871F9A"/>
    <w:rsid w:val="00871FD5"/>
    <w:rsid w:val="0088172E"/>
    <w:rsid w:val="00881EFA"/>
    <w:rsid w:val="008879CB"/>
    <w:rsid w:val="008979B1"/>
    <w:rsid w:val="008A6B25"/>
    <w:rsid w:val="008A6C4F"/>
    <w:rsid w:val="008B389E"/>
    <w:rsid w:val="008D045E"/>
    <w:rsid w:val="008D3F25"/>
    <w:rsid w:val="008D4D82"/>
    <w:rsid w:val="008E0E46"/>
    <w:rsid w:val="008E224D"/>
    <w:rsid w:val="008E7116"/>
    <w:rsid w:val="008F143B"/>
    <w:rsid w:val="008F3882"/>
    <w:rsid w:val="008F4B7C"/>
    <w:rsid w:val="009240C3"/>
    <w:rsid w:val="00926E47"/>
    <w:rsid w:val="00931736"/>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A2C1D"/>
    <w:rsid w:val="00AC0F2C"/>
    <w:rsid w:val="00AC502A"/>
    <w:rsid w:val="00AF58C1"/>
    <w:rsid w:val="00B04A3F"/>
    <w:rsid w:val="00B06643"/>
    <w:rsid w:val="00B15055"/>
    <w:rsid w:val="00B30179"/>
    <w:rsid w:val="00B37B15"/>
    <w:rsid w:val="00B45C02"/>
    <w:rsid w:val="00B72A1E"/>
    <w:rsid w:val="00B81E12"/>
    <w:rsid w:val="00B93222"/>
    <w:rsid w:val="00BA339B"/>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463DD"/>
    <w:rsid w:val="00C745C3"/>
    <w:rsid w:val="00CA24A4"/>
    <w:rsid w:val="00CB348D"/>
    <w:rsid w:val="00CD46F5"/>
    <w:rsid w:val="00CE1F2E"/>
    <w:rsid w:val="00CE4A8F"/>
    <w:rsid w:val="00CF071D"/>
    <w:rsid w:val="00D15B04"/>
    <w:rsid w:val="00D2031B"/>
    <w:rsid w:val="00D25FE2"/>
    <w:rsid w:val="00D30D67"/>
    <w:rsid w:val="00D37DA9"/>
    <w:rsid w:val="00D406A7"/>
    <w:rsid w:val="00D43252"/>
    <w:rsid w:val="00D44D86"/>
    <w:rsid w:val="00D50B7D"/>
    <w:rsid w:val="00D52012"/>
    <w:rsid w:val="00D704E5"/>
    <w:rsid w:val="00D72727"/>
    <w:rsid w:val="00D978C6"/>
    <w:rsid w:val="00DA0956"/>
    <w:rsid w:val="00DA357F"/>
    <w:rsid w:val="00DA3E12"/>
    <w:rsid w:val="00DC18AD"/>
    <w:rsid w:val="00DF6CF6"/>
    <w:rsid w:val="00DF7CAE"/>
    <w:rsid w:val="00E423C0"/>
    <w:rsid w:val="00E6414C"/>
    <w:rsid w:val="00E7260F"/>
    <w:rsid w:val="00E8702D"/>
    <w:rsid w:val="00E916A9"/>
    <w:rsid w:val="00E916DE"/>
    <w:rsid w:val="00E925AD"/>
    <w:rsid w:val="00E96630"/>
    <w:rsid w:val="00EC4B17"/>
    <w:rsid w:val="00ED18DC"/>
    <w:rsid w:val="00ED6201"/>
    <w:rsid w:val="00ED7A2A"/>
    <w:rsid w:val="00EF1D7F"/>
    <w:rsid w:val="00F0137E"/>
    <w:rsid w:val="00F21786"/>
    <w:rsid w:val="00F2470C"/>
    <w:rsid w:val="00F3742B"/>
    <w:rsid w:val="00F4174D"/>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A2BAB57-FD3A-4E22-8C6A-C0FA0BA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unhideWhenUsed/>
    <w:rsid w:val="008E22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E224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C1BAE-3BDD-42B0-96E1-4A1AD3F1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0</TotalTime>
  <Pages>3</Pages>
  <Words>998</Words>
  <Characters>5690</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ECE/TRANS/WP.11/2017/8</vt:lpstr>
      <vt:lpstr>ECE/TRANS/WP.11/2017/8</vt:lpstr>
    </vt:vector>
  </TitlesOfParts>
  <Company>CSD</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ECE/TRANS/WP.11/2017/8</dc:title>
  <dc:subject>qrcode</dc:subject>
  <dc:creator>dvx</dc:creator>
  <cp:keywords/>
  <dc:description/>
  <cp:lastModifiedBy>Marie-Claude Collet</cp:lastModifiedBy>
  <cp:revision>2</cp:revision>
  <cp:lastPrinted>2017-08-04T11:46:00Z</cp:lastPrinted>
  <dcterms:created xsi:type="dcterms:W3CDTF">2017-08-17T06:30:00Z</dcterms:created>
  <dcterms:modified xsi:type="dcterms:W3CDTF">2017-08-17T06:30:00Z</dcterms:modified>
</cp:coreProperties>
</file>