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30867" w:rsidTr="00C97039">
        <w:trPr>
          <w:trHeight w:hRule="exact" w:val="851"/>
        </w:trPr>
        <w:tc>
          <w:tcPr>
            <w:tcW w:w="1276" w:type="dxa"/>
            <w:tcBorders>
              <w:bottom w:val="single" w:sz="4" w:space="0" w:color="auto"/>
            </w:tcBorders>
          </w:tcPr>
          <w:p w:rsidR="00F35BAF" w:rsidRPr="00F30867" w:rsidRDefault="00F35BAF" w:rsidP="00C76BF4">
            <w:bookmarkStart w:id="0" w:name="_GoBack"/>
            <w:bookmarkEnd w:id="0"/>
          </w:p>
        </w:tc>
        <w:tc>
          <w:tcPr>
            <w:tcW w:w="2268" w:type="dxa"/>
            <w:tcBorders>
              <w:bottom w:val="single" w:sz="4" w:space="0" w:color="auto"/>
            </w:tcBorders>
            <w:vAlign w:val="bottom"/>
          </w:tcPr>
          <w:p w:rsidR="00F35BAF" w:rsidRPr="00F30867" w:rsidRDefault="00F35BAF" w:rsidP="00C97039">
            <w:pPr>
              <w:spacing w:after="80" w:line="300" w:lineRule="exact"/>
              <w:rPr>
                <w:sz w:val="28"/>
              </w:rPr>
            </w:pPr>
            <w:r w:rsidRPr="00F30867">
              <w:rPr>
                <w:sz w:val="28"/>
              </w:rPr>
              <w:t>Nations Unies</w:t>
            </w:r>
          </w:p>
        </w:tc>
        <w:tc>
          <w:tcPr>
            <w:tcW w:w="6095" w:type="dxa"/>
            <w:gridSpan w:val="2"/>
            <w:tcBorders>
              <w:bottom w:val="single" w:sz="4" w:space="0" w:color="auto"/>
            </w:tcBorders>
            <w:vAlign w:val="bottom"/>
          </w:tcPr>
          <w:p w:rsidR="00F35BAF" w:rsidRPr="00F30867" w:rsidRDefault="00C76BF4" w:rsidP="00C76BF4">
            <w:pPr>
              <w:jc w:val="right"/>
            </w:pPr>
            <w:r w:rsidRPr="00F30867">
              <w:rPr>
                <w:sz w:val="40"/>
              </w:rPr>
              <w:t>ECE</w:t>
            </w:r>
            <w:r w:rsidRPr="00F30867">
              <w:t>/TRANS/WP.11/2017/5</w:t>
            </w:r>
          </w:p>
        </w:tc>
      </w:tr>
      <w:tr w:rsidR="00F35BAF" w:rsidRPr="00F30867" w:rsidTr="00C97039">
        <w:trPr>
          <w:trHeight w:hRule="exact" w:val="2835"/>
        </w:trPr>
        <w:tc>
          <w:tcPr>
            <w:tcW w:w="1276" w:type="dxa"/>
            <w:tcBorders>
              <w:top w:val="single" w:sz="4" w:space="0" w:color="auto"/>
              <w:bottom w:val="single" w:sz="12" w:space="0" w:color="auto"/>
            </w:tcBorders>
          </w:tcPr>
          <w:p w:rsidR="00F35BAF" w:rsidRPr="00F30867" w:rsidRDefault="00F35BAF" w:rsidP="00C97039">
            <w:pPr>
              <w:spacing w:before="120"/>
              <w:jc w:val="center"/>
            </w:pPr>
            <w:r w:rsidRPr="00F30867">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F30867" w:rsidRDefault="00F35BAF" w:rsidP="00C97039">
            <w:pPr>
              <w:spacing w:before="120" w:line="420" w:lineRule="exact"/>
              <w:rPr>
                <w:b/>
                <w:sz w:val="40"/>
                <w:szCs w:val="40"/>
              </w:rPr>
            </w:pPr>
            <w:r w:rsidRPr="00F30867">
              <w:rPr>
                <w:b/>
                <w:sz w:val="40"/>
                <w:szCs w:val="40"/>
              </w:rPr>
              <w:t>Conseil économique et social</w:t>
            </w:r>
          </w:p>
        </w:tc>
        <w:tc>
          <w:tcPr>
            <w:tcW w:w="2835" w:type="dxa"/>
            <w:tcBorders>
              <w:top w:val="single" w:sz="4" w:space="0" w:color="auto"/>
              <w:bottom w:val="single" w:sz="12" w:space="0" w:color="auto"/>
            </w:tcBorders>
          </w:tcPr>
          <w:p w:rsidR="00F35BAF" w:rsidRPr="00F30867" w:rsidRDefault="00C76BF4" w:rsidP="00C97039">
            <w:pPr>
              <w:spacing w:before="240"/>
            </w:pPr>
            <w:proofErr w:type="spellStart"/>
            <w:r w:rsidRPr="00F30867">
              <w:t>Distr</w:t>
            </w:r>
            <w:proofErr w:type="spellEnd"/>
            <w:r w:rsidRPr="00F30867">
              <w:t xml:space="preserve">. </w:t>
            </w:r>
            <w:proofErr w:type="gramStart"/>
            <w:r w:rsidRPr="00F30867">
              <w:t>générale</w:t>
            </w:r>
            <w:proofErr w:type="gramEnd"/>
          </w:p>
          <w:p w:rsidR="00C76BF4" w:rsidRPr="00F30867" w:rsidRDefault="00C76BF4" w:rsidP="00C76BF4">
            <w:pPr>
              <w:spacing w:line="240" w:lineRule="exact"/>
            </w:pPr>
            <w:r w:rsidRPr="00F30867">
              <w:t>2</w:t>
            </w:r>
            <w:r w:rsidR="009607A7" w:rsidRPr="00F30867">
              <w:t>4</w:t>
            </w:r>
            <w:r w:rsidRPr="00F30867">
              <w:t xml:space="preserve"> juillet 2017</w:t>
            </w:r>
          </w:p>
          <w:p w:rsidR="00C76BF4" w:rsidRPr="00F30867" w:rsidRDefault="00C76BF4" w:rsidP="00C76BF4">
            <w:pPr>
              <w:spacing w:line="240" w:lineRule="exact"/>
            </w:pPr>
            <w:r w:rsidRPr="00F30867">
              <w:t>Français</w:t>
            </w:r>
          </w:p>
          <w:p w:rsidR="00C76BF4" w:rsidRPr="00F30867" w:rsidRDefault="00C76BF4" w:rsidP="00C76BF4">
            <w:pPr>
              <w:spacing w:line="240" w:lineRule="exact"/>
            </w:pPr>
            <w:r w:rsidRPr="00F30867">
              <w:t>Original</w:t>
            </w:r>
            <w:r w:rsidR="00716CC0" w:rsidRPr="00F30867">
              <w:t> :</w:t>
            </w:r>
            <w:r w:rsidRPr="00F30867">
              <w:t xml:space="preserve"> anglais</w:t>
            </w:r>
          </w:p>
        </w:tc>
      </w:tr>
    </w:tbl>
    <w:p w:rsidR="007F20FA" w:rsidRPr="00F30867" w:rsidRDefault="007F20FA" w:rsidP="007F20FA">
      <w:pPr>
        <w:spacing w:before="120"/>
        <w:rPr>
          <w:b/>
          <w:sz w:val="28"/>
          <w:szCs w:val="28"/>
        </w:rPr>
      </w:pPr>
      <w:r w:rsidRPr="00F30867">
        <w:rPr>
          <w:b/>
          <w:sz w:val="28"/>
          <w:szCs w:val="28"/>
        </w:rPr>
        <w:t>Commission économique pour l</w:t>
      </w:r>
      <w:r w:rsidR="00417FA8" w:rsidRPr="00F30867">
        <w:rPr>
          <w:b/>
          <w:sz w:val="28"/>
          <w:szCs w:val="28"/>
        </w:rPr>
        <w:t>’</w:t>
      </w:r>
      <w:r w:rsidRPr="00F30867">
        <w:rPr>
          <w:b/>
          <w:sz w:val="28"/>
          <w:szCs w:val="28"/>
        </w:rPr>
        <w:t>Europe</w:t>
      </w:r>
    </w:p>
    <w:p w:rsidR="007F20FA" w:rsidRPr="00F30867" w:rsidRDefault="007F20FA" w:rsidP="007F20FA">
      <w:pPr>
        <w:spacing w:before="120"/>
        <w:rPr>
          <w:sz w:val="28"/>
          <w:szCs w:val="28"/>
        </w:rPr>
      </w:pPr>
      <w:r w:rsidRPr="00F30867">
        <w:rPr>
          <w:sz w:val="28"/>
          <w:szCs w:val="28"/>
        </w:rPr>
        <w:t>Comité des transports intérieurs</w:t>
      </w:r>
    </w:p>
    <w:p w:rsidR="00417FA8" w:rsidRPr="00F30867" w:rsidRDefault="00417FA8" w:rsidP="00A807C1">
      <w:pPr>
        <w:spacing w:before="120"/>
        <w:rPr>
          <w:b/>
          <w:sz w:val="24"/>
          <w:szCs w:val="24"/>
        </w:rPr>
      </w:pPr>
      <w:r w:rsidRPr="00F30867">
        <w:rPr>
          <w:b/>
          <w:sz w:val="24"/>
          <w:szCs w:val="24"/>
        </w:rPr>
        <w:t>Groupe de travail du transport</w:t>
      </w:r>
      <w:r w:rsidR="00A807C1" w:rsidRPr="00F30867">
        <w:rPr>
          <w:b/>
          <w:sz w:val="24"/>
          <w:szCs w:val="24"/>
        </w:rPr>
        <w:t xml:space="preserve"> </w:t>
      </w:r>
      <w:r w:rsidRPr="00F30867">
        <w:rPr>
          <w:b/>
          <w:sz w:val="24"/>
          <w:szCs w:val="24"/>
        </w:rPr>
        <w:t>des denrées périssables</w:t>
      </w:r>
    </w:p>
    <w:p w:rsidR="00417FA8" w:rsidRPr="00F30867" w:rsidRDefault="00417FA8" w:rsidP="00A807C1">
      <w:pPr>
        <w:spacing w:before="120"/>
        <w:rPr>
          <w:b/>
        </w:rPr>
      </w:pPr>
      <w:r w:rsidRPr="00F30867">
        <w:rPr>
          <w:b/>
          <w:lang w:eastAsia="en-GB"/>
        </w:rPr>
        <w:t xml:space="preserve">Soixante-treizième </w:t>
      </w:r>
      <w:r w:rsidRPr="00F30867">
        <w:rPr>
          <w:b/>
        </w:rPr>
        <w:t>session</w:t>
      </w:r>
    </w:p>
    <w:p w:rsidR="00417FA8" w:rsidRPr="00F30867" w:rsidRDefault="00417FA8" w:rsidP="00A807C1">
      <w:pPr>
        <w:rPr>
          <w:bCs/>
        </w:rPr>
      </w:pPr>
      <w:r w:rsidRPr="00F30867">
        <w:t>Genève, 10-13 octobre</w:t>
      </w:r>
      <w:r w:rsidRPr="00F30867">
        <w:rPr>
          <w:bCs/>
        </w:rPr>
        <w:t xml:space="preserve"> 2017</w:t>
      </w:r>
    </w:p>
    <w:p w:rsidR="00417FA8" w:rsidRPr="00F30867" w:rsidRDefault="00417FA8" w:rsidP="00A807C1">
      <w:r w:rsidRPr="00F30867">
        <w:t>Point 5 b) de l’ordre du jour provisoire</w:t>
      </w:r>
    </w:p>
    <w:p w:rsidR="00417FA8" w:rsidRPr="00F30867" w:rsidRDefault="00417FA8" w:rsidP="00A807C1">
      <w:pPr>
        <w:rPr>
          <w:b/>
        </w:rPr>
      </w:pPr>
      <w:r w:rsidRPr="00F30867">
        <w:rPr>
          <w:b/>
        </w:rPr>
        <w:t>Propositions d’amendements à l’ATP</w:t>
      </w:r>
      <w:r w:rsidR="00716CC0" w:rsidRPr="00F30867">
        <w:rPr>
          <w:b/>
        </w:rPr>
        <w:t> :</w:t>
      </w:r>
      <w:r w:rsidRPr="00F30867">
        <w:rPr>
          <w:b/>
        </w:rPr>
        <w:t xml:space="preserve"> </w:t>
      </w:r>
      <w:r w:rsidR="00A807C1" w:rsidRPr="00F30867">
        <w:rPr>
          <w:b/>
        </w:rPr>
        <w:br/>
      </w:r>
      <w:r w:rsidRPr="00F30867">
        <w:rPr>
          <w:b/>
        </w:rPr>
        <w:t xml:space="preserve">Nouvelles propositions </w:t>
      </w:r>
    </w:p>
    <w:p w:rsidR="00417FA8" w:rsidRPr="00F30867" w:rsidRDefault="00417FA8" w:rsidP="00417FA8">
      <w:pPr>
        <w:pStyle w:val="HChG"/>
        <w:rPr>
          <w:lang w:eastAsia="ar-SA"/>
        </w:rPr>
      </w:pPr>
      <w:r w:rsidRPr="00F30867">
        <w:rPr>
          <w:lang w:eastAsia="ar-SA"/>
        </w:rPr>
        <w:tab/>
      </w:r>
      <w:r w:rsidRPr="00F30867">
        <w:rPr>
          <w:lang w:eastAsia="ar-SA"/>
        </w:rPr>
        <w:tab/>
        <w:t>Méthode permettant d’obtenir l’attestation de conformité d’un groupe frigorifique à gaz liquéfié indépendamment du</w:t>
      </w:r>
      <w:r w:rsidR="00A807C1" w:rsidRPr="00F30867">
        <w:rPr>
          <w:lang w:eastAsia="ar-SA"/>
        </w:rPr>
        <w:t> </w:t>
      </w:r>
      <w:r w:rsidRPr="00F30867">
        <w:rPr>
          <w:lang w:eastAsia="ar-SA"/>
        </w:rPr>
        <w:t>véhicule qui le transporte</w:t>
      </w:r>
    </w:p>
    <w:p w:rsidR="00417FA8" w:rsidRPr="00F30867" w:rsidRDefault="00417FA8" w:rsidP="00417FA8">
      <w:pPr>
        <w:pStyle w:val="H1G"/>
      </w:pPr>
      <w:r w:rsidRPr="00F30867">
        <w:tab/>
      </w:r>
      <w:r w:rsidRPr="00F30867">
        <w:tab/>
        <w:t xml:space="preserve">Communications des </w:t>
      </w:r>
      <w:r w:rsidR="00716CC0" w:rsidRPr="00F30867">
        <w:t xml:space="preserve">Gouvernements </w:t>
      </w:r>
      <w:r w:rsidRPr="00F30867">
        <w:t>français et néerlandais</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F30867" w:rsidRPr="00F30867" w:rsidTr="00417FA8">
        <w:trPr>
          <w:jc w:val="center"/>
        </w:trPr>
        <w:tc>
          <w:tcPr>
            <w:tcW w:w="9637" w:type="dxa"/>
            <w:shd w:val="clear" w:color="auto" w:fill="auto"/>
          </w:tcPr>
          <w:p w:rsidR="00417FA8" w:rsidRPr="00F30867" w:rsidRDefault="00417FA8" w:rsidP="00417FA8">
            <w:pPr>
              <w:spacing w:before="240" w:after="120"/>
              <w:ind w:left="255"/>
              <w:rPr>
                <w:i/>
                <w:sz w:val="24"/>
              </w:rPr>
            </w:pPr>
            <w:r w:rsidRPr="00F30867">
              <w:rPr>
                <w:i/>
                <w:sz w:val="24"/>
              </w:rPr>
              <w:t>Résumé</w:t>
            </w:r>
          </w:p>
        </w:tc>
      </w:tr>
      <w:tr w:rsidR="00F30867" w:rsidRPr="00F30867" w:rsidTr="00445639">
        <w:tblPrEx>
          <w:tblLook w:val="01E0" w:firstRow="1" w:lastRow="1" w:firstColumn="1" w:lastColumn="1" w:noHBand="0" w:noVBand="0"/>
        </w:tblPrEx>
        <w:trPr>
          <w:jc w:val="center"/>
        </w:trPr>
        <w:tc>
          <w:tcPr>
            <w:tcW w:w="9637" w:type="dxa"/>
            <w:shd w:val="clear" w:color="auto" w:fill="auto"/>
          </w:tcPr>
          <w:p w:rsidR="00EA4CDD" w:rsidRPr="00F30867" w:rsidRDefault="00EA4CDD" w:rsidP="00EA4CDD">
            <w:pPr>
              <w:pStyle w:val="SingleTxtG"/>
              <w:ind w:left="2552" w:hanging="2268"/>
            </w:pPr>
            <w:r w:rsidRPr="00F30867">
              <w:rPr>
                <w:b/>
              </w:rPr>
              <w:t>Résumé analytique</w:t>
            </w:r>
            <w:r w:rsidR="00716CC0" w:rsidRPr="00F30867">
              <w:rPr>
                <w:b/>
              </w:rPr>
              <w:t> :</w:t>
            </w:r>
            <w:r w:rsidRPr="00F30867">
              <w:rPr>
                <w:b/>
              </w:rPr>
              <w:tab/>
            </w:r>
            <w:r w:rsidRPr="00F30867">
              <w:t xml:space="preserve">Actuellement, les groupes frigorifiques basés sur un cycle thermodynamique qui utilisent du gaz liquéfié commencent à s’imposer comme alternative aux groupes à compression. </w:t>
            </w:r>
          </w:p>
          <w:p w:rsidR="00EA4CDD" w:rsidRPr="00F30867" w:rsidRDefault="00EA4CDD" w:rsidP="004C2B66">
            <w:pPr>
              <w:pStyle w:val="SingleTxtG"/>
              <w:ind w:left="2552"/>
            </w:pPr>
            <w:r w:rsidRPr="00F30867">
              <w:t>Trois propositions sont présentées ci-après</w:t>
            </w:r>
            <w:r w:rsidR="00716CC0" w:rsidRPr="00F30867">
              <w:t> :</w:t>
            </w:r>
          </w:p>
          <w:p w:rsidR="00EA4CDD" w:rsidRPr="00F30867" w:rsidRDefault="00EA4CDD" w:rsidP="004C2B66">
            <w:pPr>
              <w:pStyle w:val="SingleTxtG"/>
              <w:ind w:left="2836" w:hanging="284"/>
            </w:pPr>
            <w:r w:rsidRPr="00F30867">
              <w:t>a)</w:t>
            </w:r>
            <w:r w:rsidRPr="00F30867">
              <w:tab/>
              <w:t>La possibilité pour les groupes frigorifiques fonctionnant au gaz liquéfié d’être essayés séparément du véhicule</w:t>
            </w:r>
            <w:r w:rsidR="00716CC0" w:rsidRPr="00F30867">
              <w:t> ;</w:t>
            </w:r>
            <w:r w:rsidRPr="00F30867">
              <w:t xml:space="preserve"> </w:t>
            </w:r>
          </w:p>
          <w:p w:rsidR="00EA4CDD" w:rsidRPr="00F30867" w:rsidRDefault="00EA4CDD" w:rsidP="004C2B66">
            <w:pPr>
              <w:pStyle w:val="SingleTxtG"/>
              <w:ind w:left="2836" w:hanging="284"/>
            </w:pPr>
            <w:r w:rsidRPr="00F30867">
              <w:t>b)</w:t>
            </w:r>
            <w:r w:rsidRPr="00F30867">
              <w:tab/>
              <w:t>Une méthode d’essai pour mesurer la puissance des groupes à gaz liquéfié, fonctionnant en mode mono-température ou en multi-températures, ainsi qu’une méthode de dimensionnement pour les véhicules équipés d’un groupe à gaz liquéfié</w:t>
            </w:r>
            <w:r w:rsidR="00716CC0" w:rsidRPr="00F30867">
              <w:t> ;</w:t>
            </w:r>
          </w:p>
          <w:p w:rsidR="00EA4CDD" w:rsidRPr="00F30867" w:rsidRDefault="00EA4CDD" w:rsidP="004C2B66">
            <w:pPr>
              <w:pStyle w:val="SingleTxtG"/>
              <w:ind w:left="2836" w:hanging="284"/>
            </w:pPr>
            <w:r w:rsidRPr="00F30867">
              <w:t>c)</w:t>
            </w:r>
            <w:r w:rsidRPr="00F30867">
              <w:tab/>
              <w:t>Un procès-verbal d’essai portant sur le groupe à gaz liquéfié.</w:t>
            </w:r>
          </w:p>
        </w:tc>
      </w:tr>
      <w:tr w:rsidR="00F30867" w:rsidRPr="00F30867" w:rsidTr="00445639">
        <w:tblPrEx>
          <w:tblLook w:val="01E0" w:firstRow="1" w:lastRow="1" w:firstColumn="1" w:lastColumn="1" w:noHBand="0" w:noVBand="0"/>
        </w:tblPrEx>
        <w:trPr>
          <w:jc w:val="center"/>
        </w:trPr>
        <w:tc>
          <w:tcPr>
            <w:tcW w:w="9637" w:type="dxa"/>
            <w:shd w:val="clear" w:color="auto" w:fill="auto"/>
          </w:tcPr>
          <w:p w:rsidR="00EA4CDD" w:rsidRPr="00F30867" w:rsidRDefault="00EA4CDD" w:rsidP="00445639">
            <w:pPr>
              <w:pStyle w:val="SingleTxtG"/>
              <w:ind w:left="2552" w:hanging="2268"/>
            </w:pPr>
            <w:r w:rsidRPr="00F30867">
              <w:rPr>
                <w:b/>
              </w:rPr>
              <w:t>Mesure à prendre</w:t>
            </w:r>
            <w:r w:rsidR="00716CC0" w:rsidRPr="00F30867">
              <w:rPr>
                <w:b/>
              </w:rPr>
              <w:t> :</w:t>
            </w:r>
            <w:r w:rsidRPr="00F30867">
              <w:rPr>
                <w:b/>
              </w:rPr>
              <w:tab/>
            </w:r>
            <w:r w:rsidRPr="00F30867">
              <w:rPr>
                <w:rFonts w:eastAsia="Times New Roman"/>
                <w:lang w:eastAsia="zh-CN"/>
              </w:rPr>
              <w:t>Modifier l’appendice 2 de l’annexe 1</w:t>
            </w:r>
          </w:p>
        </w:tc>
      </w:tr>
      <w:tr w:rsidR="00F30867" w:rsidRPr="00F30867" w:rsidTr="00445639">
        <w:tblPrEx>
          <w:tblLook w:val="01E0" w:firstRow="1" w:lastRow="1" w:firstColumn="1" w:lastColumn="1" w:noHBand="0" w:noVBand="0"/>
        </w:tblPrEx>
        <w:trPr>
          <w:jc w:val="center"/>
        </w:trPr>
        <w:tc>
          <w:tcPr>
            <w:tcW w:w="9637" w:type="dxa"/>
            <w:shd w:val="clear" w:color="auto" w:fill="auto"/>
          </w:tcPr>
          <w:p w:rsidR="00EA4CDD" w:rsidRPr="00F30867" w:rsidRDefault="00EA4CDD" w:rsidP="00EA4CDD">
            <w:pPr>
              <w:pStyle w:val="SingleTxtG"/>
              <w:ind w:left="2552" w:hanging="2268"/>
            </w:pPr>
            <w:r w:rsidRPr="00F30867">
              <w:rPr>
                <w:b/>
              </w:rPr>
              <w:t>Documents de référence</w:t>
            </w:r>
            <w:r w:rsidR="00716CC0" w:rsidRPr="00F30867">
              <w:rPr>
                <w:b/>
              </w:rPr>
              <w:t> :</w:t>
            </w:r>
            <w:r w:rsidRPr="00F30867">
              <w:rPr>
                <w:b/>
              </w:rPr>
              <w:tab/>
            </w:r>
            <w:r w:rsidRPr="00F30867">
              <w:t xml:space="preserve"> </w:t>
            </w:r>
          </w:p>
        </w:tc>
      </w:tr>
      <w:tr w:rsidR="00F30867" w:rsidRPr="00F30867" w:rsidTr="00417FA8">
        <w:trPr>
          <w:jc w:val="center"/>
        </w:trPr>
        <w:tc>
          <w:tcPr>
            <w:tcW w:w="9637" w:type="dxa"/>
            <w:shd w:val="clear" w:color="auto" w:fill="auto"/>
          </w:tcPr>
          <w:p w:rsidR="00417FA8" w:rsidRPr="00F30867" w:rsidRDefault="00417FA8" w:rsidP="00417FA8"/>
        </w:tc>
      </w:tr>
    </w:tbl>
    <w:p w:rsidR="00417FA8" w:rsidRPr="00F30867" w:rsidRDefault="00417FA8" w:rsidP="00A807C1">
      <w:pPr>
        <w:pStyle w:val="HChG"/>
      </w:pPr>
      <w:r w:rsidRPr="00F30867">
        <w:br w:type="page"/>
      </w:r>
      <w:r w:rsidRPr="00F30867">
        <w:lastRenderedPageBreak/>
        <w:tab/>
      </w:r>
      <w:r w:rsidRPr="00F30867">
        <w:tab/>
        <w:t>Introduction</w:t>
      </w:r>
    </w:p>
    <w:p w:rsidR="00417FA8" w:rsidRPr="00F30867" w:rsidRDefault="00417FA8" w:rsidP="009607A7">
      <w:pPr>
        <w:pStyle w:val="SingleTxtG"/>
      </w:pPr>
      <w:r w:rsidRPr="00F30867">
        <w:t>1.</w:t>
      </w:r>
      <w:r w:rsidRPr="00F30867">
        <w:tab/>
        <w:t>Actuellement, les groupes frigorifiques basés sur un cycle thermodynamique utilisant du gaz liquéfié tendent à s’imposer comme une alternative aux groupes à compression. Ils utilisent généralement un système qui dégage indirectement de l’azote liquide (N</w:t>
      </w:r>
      <w:r w:rsidRPr="00F30867">
        <w:rPr>
          <w:vertAlign w:val="subscript"/>
        </w:rPr>
        <w:t>2</w:t>
      </w:r>
      <w:r w:rsidRPr="00F30867">
        <w:t>) ou du dioxyde de carbone (CO</w:t>
      </w:r>
      <w:r w:rsidRPr="00F30867">
        <w:rPr>
          <w:vertAlign w:val="subscript"/>
        </w:rPr>
        <w:t>2</w:t>
      </w:r>
      <w:r w:rsidRPr="00F30867">
        <w:t>).</w:t>
      </w:r>
    </w:p>
    <w:p w:rsidR="00417FA8" w:rsidRPr="00F30867" w:rsidRDefault="00417FA8" w:rsidP="009607A7">
      <w:pPr>
        <w:pStyle w:val="SingleTxtG"/>
      </w:pPr>
      <w:r w:rsidRPr="00F30867">
        <w:t>2.</w:t>
      </w:r>
      <w:r w:rsidRPr="00F30867">
        <w:tab/>
        <w:t>Un véhicule comportant un groupe à gaz liquéfié peut déjà être certifié en vertu de l’ATP mais il n’est pas encore possible de le certifier indépendamment du véhicule.</w:t>
      </w:r>
    </w:p>
    <w:p w:rsidR="00417FA8" w:rsidRPr="00F30867" w:rsidRDefault="00417FA8" w:rsidP="009607A7">
      <w:pPr>
        <w:pStyle w:val="SingleTxtG"/>
      </w:pPr>
      <w:r w:rsidRPr="00F30867">
        <w:t>3.</w:t>
      </w:r>
      <w:r w:rsidRPr="00F30867">
        <w:tab/>
        <w:t>Le présent amendement propose une méthodologie permettant de mesurer la puissance frigorifique d’un groupe à gaz liquéfié ainsi que de dimensionner l’engin de transport qui utilise un groupe frigorifique à gaz liquéfié.</w:t>
      </w:r>
    </w:p>
    <w:p w:rsidR="00417FA8" w:rsidRPr="00F30867" w:rsidRDefault="00417FA8" w:rsidP="009607A7">
      <w:pPr>
        <w:pStyle w:val="HChG"/>
      </w:pPr>
      <w:r w:rsidRPr="00F30867">
        <w:tab/>
        <w:t>I.</w:t>
      </w:r>
      <w:r w:rsidRPr="00F30867">
        <w:tab/>
        <w:t>Propositions</w:t>
      </w:r>
    </w:p>
    <w:p w:rsidR="00417FA8" w:rsidRPr="00F30867" w:rsidRDefault="00417FA8" w:rsidP="009607A7">
      <w:pPr>
        <w:pStyle w:val="SingleTxtG"/>
      </w:pPr>
      <w:r w:rsidRPr="00F30867">
        <w:t>4.</w:t>
      </w:r>
      <w:r w:rsidRPr="00F30867">
        <w:tab/>
        <w:t>Trois propositions sont présentées ci-dessous</w:t>
      </w:r>
      <w:r w:rsidR="00716CC0" w:rsidRPr="00F30867">
        <w:t> :</w:t>
      </w:r>
    </w:p>
    <w:p w:rsidR="00417FA8" w:rsidRPr="00F30867" w:rsidRDefault="00417FA8" w:rsidP="009607A7">
      <w:pPr>
        <w:pStyle w:val="SingleTxtG"/>
        <w:ind w:left="2268" w:hanging="567"/>
      </w:pPr>
      <w:r w:rsidRPr="00F30867">
        <w:t>a)</w:t>
      </w:r>
      <w:r w:rsidRPr="00F30867">
        <w:tab/>
      </w:r>
      <w:r w:rsidR="0089132F" w:rsidRPr="00F30867">
        <w:t>La possibilité pour les groupes frigorifiques fonctionnant au gaz liquéfié d’être essayés séparément du véhicule</w:t>
      </w:r>
      <w:r w:rsidR="00716CC0" w:rsidRPr="00F30867">
        <w:t> ;</w:t>
      </w:r>
      <w:r w:rsidRPr="00F30867">
        <w:t xml:space="preserve"> </w:t>
      </w:r>
    </w:p>
    <w:p w:rsidR="00417FA8" w:rsidRPr="00F30867" w:rsidRDefault="00417FA8" w:rsidP="009607A7">
      <w:pPr>
        <w:pStyle w:val="SingleTxtG"/>
        <w:ind w:left="2268" w:hanging="567"/>
      </w:pPr>
      <w:r w:rsidRPr="00F30867">
        <w:t>b)</w:t>
      </w:r>
      <w:r w:rsidRPr="00F30867">
        <w:tab/>
      </w:r>
      <w:r w:rsidR="0089132F" w:rsidRPr="00F30867">
        <w:t>Une méthode d’essai pour mesurer la puissance des groupes à gaz liquéfié, fonctionnant en mode mono-température ou en multi-températures, ainsi qu’une méthode de dimensionnement pour les véhicules équipés d’un groupe à gaz liquéfié</w:t>
      </w:r>
      <w:r w:rsidR="00716CC0" w:rsidRPr="00F30867">
        <w:t> ;</w:t>
      </w:r>
    </w:p>
    <w:p w:rsidR="00417FA8" w:rsidRPr="00F30867" w:rsidRDefault="00417FA8" w:rsidP="009607A7">
      <w:pPr>
        <w:pStyle w:val="SingleTxtG"/>
        <w:ind w:left="2268" w:hanging="567"/>
      </w:pPr>
      <w:r w:rsidRPr="00F30867">
        <w:t>c)</w:t>
      </w:r>
      <w:r w:rsidRPr="00F30867">
        <w:tab/>
      </w:r>
      <w:r w:rsidR="0089132F" w:rsidRPr="00F30867">
        <w:t>Un procès-verbal d’essai portant sur le groupe à gaz liquéfié</w:t>
      </w:r>
      <w:r w:rsidR="0089132F">
        <w:t>.</w:t>
      </w:r>
    </w:p>
    <w:p w:rsidR="00417FA8" w:rsidRPr="00F30867" w:rsidRDefault="00417FA8" w:rsidP="009607A7">
      <w:pPr>
        <w:pStyle w:val="SingleTxtG"/>
      </w:pPr>
      <w:r w:rsidRPr="00F30867">
        <w:t>5.</w:t>
      </w:r>
      <w:r w:rsidRPr="00F30867">
        <w:tab/>
        <w:t>Ces propositions s’appliquent aux groupes frigorifique «</w:t>
      </w:r>
      <w:r w:rsidR="009607A7" w:rsidRPr="00F30867">
        <w:t> </w:t>
      </w:r>
      <w:r w:rsidRPr="00F30867">
        <w:t>indirects</w:t>
      </w:r>
      <w:r w:rsidR="009607A7" w:rsidRPr="00F30867">
        <w:t> </w:t>
      </w:r>
      <w:r w:rsidRPr="00F30867">
        <w:t>», c’est-à-dire sans libération de gaz à l’intérieur de la caisse isotherme.</w:t>
      </w:r>
    </w:p>
    <w:p w:rsidR="00417FA8" w:rsidRPr="00F30867" w:rsidRDefault="00417FA8" w:rsidP="009E51E8">
      <w:pPr>
        <w:pStyle w:val="H1G"/>
      </w:pPr>
      <w:r w:rsidRPr="00F30867">
        <w:tab/>
      </w:r>
      <w:r w:rsidRPr="00F30867">
        <w:tab/>
      </w:r>
      <w:r w:rsidR="00EE4AF4" w:rsidRPr="00F30867">
        <w:t xml:space="preserve">Amendement </w:t>
      </w:r>
      <w:r w:rsidR="00EE4AF4" w:rsidRPr="00F30867">
        <w:rPr>
          <w:rFonts w:eastAsia="MS Mincho"/>
        </w:rPr>
        <w:t>n</w:t>
      </w:r>
      <w:r w:rsidR="00EE4AF4" w:rsidRPr="00F30867">
        <w:rPr>
          <w:rFonts w:eastAsia="MS Mincho"/>
          <w:vertAlign w:val="superscript"/>
        </w:rPr>
        <w:t>o</w:t>
      </w:r>
      <w:r w:rsidR="00EE4AF4" w:rsidRPr="00F30867">
        <w:t> </w:t>
      </w:r>
      <w:r w:rsidRPr="00F30867">
        <w:t xml:space="preserve">1 proposé </w:t>
      </w:r>
    </w:p>
    <w:p w:rsidR="00417FA8" w:rsidRPr="00F30867" w:rsidRDefault="00417FA8" w:rsidP="00EE4AF4">
      <w:pPr>
        <w:pStyle w:val="SingleTxtG"/>
        <w:keepNext/>
      </w:pPr>
      <w:r w:rsidRPr="00F30867">
        <w:t>6.</w:t>
      </w:r>
      <w:r w:rsidRPr="00F30867">
        <w:tab/>
        <w:t>Il est proposé d’ajouter à l’appendice 2 de l’annexe 1 de l’ATP trois nouveaux paragraphes 3.1.7, 3.1.8 et 3.1.9, ainsi conçus</w:t>
      </w:r>
      <w:r w:rsidR="00716CC0" w:rsidRPr="00F30867">
        <w:t> :</w:t>
      </w:r>
    </w:p>
    <w:p w:rsidR="00417FA8" w:rsidRPr="00F30867" w:rsidRDefault="00EE4AF4" w:rsidP="00417FA8">
      <w:pPr>
        <w:tabs>
          <w:tab w:val="left" w:pos="1843"/>
        </w:tabs>
        <w:kinsoku/>
        <w:overflowPunct/>
        <w:autoSpaceDE/>
        <w:autoSpaceDN/>
        <w:adjustRightInd/>
        <w:snapToGrid/>
        <w:spacing w:after="120"/>
        <w:ind w:left="1134" w:right="1134"/>
        <w:jc w:val="both"/>
        <w:rPr>
          <w:rFonts w:eastAsia="Times New Roman"/>
          <w:spacing w:val="-2"/>
        </w:rPr>
      </w:pPr>
      <w:r w:rsidRPr="00F30867">
        <w:rPr>
          <w:rFonts w:eastAsia="Times New Roman"/>
          <w:spacing w:val="-2"/>
        </w:rPr>
        <w:t>«</w:t>
      </w:r>
      <w:r w:rsidRPr="00F30867">
        <w:rPr>
          <w:rFonts w:eastAsia="Times New Roman"/>
          <w:b/>
          <w:spacing w:val="-2"/>
        </w:rPr>
        <w:t> </w:t>
      </w:r>
      <w:r w:rsidR="00417FA8" w:rsidRPr="00F30867">
        <w:rPr>
          <w:rFonts w:eastAsia="Times New Roman"/>
          <w:spacing w:val="-2"/>
        </w:rPr>
        <w:t>3.1.7</w:t>
      </w:r>
      <w:r w:rsidR="00417FA8" w:rsidRPr="00F30867">
        <w:rPr>
          <w:rFonts w:eastAsia="Times New Roman"/>
          <w:spacing w:val="-2"/>
        </w:rPr>
        <w:tab/>
        <w:t xml:space="preserve">Si un dispositif de production de froid du type de ceux visés au </w:t>
      </w:r>
      <w:r w:rsidRPr="00F30867">
        <w:rPr>
          <w:rFonts w:eastAsia="Times New Roman"/>
          <w:spacing w:val="-2"/>
        </w:rPr>
        <w:t>paragraphe 3.1.3 </w:t>
      </w:r>
      <w:r w:rsidR="00417FA8" w:rsidRPr="00F30867">
        <w:rPr>
          <w:rFonts w:eastAsia="Times New Roman"/>
          <w:spacing w:val="-2"/>
        </w:rPr>
        <w:t>c), avec tous ses accessoires, a subi isolément, à la satisfaction de l’autorité compétente, l’essai prévu à la section 9 du présent appendice aux fins de la détermination de sa puissance frigorifique utile aux températures de référence prévues, l’engin de transport pourra être reconnu comme engin frigorifique sans devoir subir d’essai d’efficacité si la puissance frigorifique utile du dispositif est supérieure aux déperditions thermiques en régime permanent à travers les parois pour la classe considérée, multipliée par le facteur 1,75.</w:t>
      </w:r>
    </w:p>
    <w:p w:rsidR="00417FA8" w:rsidRPr="00F30867" w:rsidRDefault="00417FA8" w:rsidP="00EE4AF4">
      <w:pPr>
        <w:pStyle w:val="SingleTxtG"/>
      </w:pPr>
      <w:r w:rsidRPr="00F30867">
        <w:t>3.1.8</w:t>
      </w:r>
      <w:r w:rsidRPr="00F30867">
        <w:tab/>
        <w:t>Si le dispositif de production de froid est remplacé par un groupe d’un type différent, l’autorité compétente peut</w:t>
      </w:r>
      <w:r w:rsidR="00716CC0" w:rsidRPr="00F30867">
        <w:t> :</w:t>
      </w:r>
    </w:p>
    <w:p w:rsidR="00417FA8" w:rsidRPr="00F30867" w:rsidRDefault="00417FA8" w:rsidP="00EE4AF4">
      <w:pPr>
        <w:pStyle w:val="SingleTxtG"/>
        <w:ind w:left="2268" w:hanging="567"/>
        <w:rPr>
          <w:rFonts w:eastAsia="Times New Roman"/>
        </w:rPr>
      </w:pPr>
      <w:r w:rsidRPr="00F30867">
        <w:rPr>
          <w:rFonts w:eastAsia="Times New Roman"/>
        </w:rPr>
        <w:t>a)</w:t>
      </w:r>
      <w:r w:rsidRPr="00F30867">
        <w:rPr>
          <w:rFonts w:eastAsia="Times New Roman"/>
        </w:rPr>
        <w:tab/>
      </w:r>
      <w:r w:rsidR="00EE4AF4" w:rsidRPr="00F30867">
        <w:rPr>
          <w:rFonts w:eastAsia="Times New Roman"/>
        </w:rPr>
        <w:t>S</w:t>
      </w:r>
      <w:r w:rsidRPr="00F30867">
        <w:rPr>
          <w:rFonts w:eastAsia="Times New Roman"/>
        </w:rPr>
        <w:t xml:space="preserve">oit demander que l’engin subisse les déterminations et contrôles prévus aux </w:t>
      </w:r>
      <w:r w:rsidRPr="00F30867">
        <w:t>paragraphes</w:t>
      </w:r>
      <w:r w:rsidRPr="00F30867">
        <w:rPr>
          <w:rFonts w:eastAsia="Times New Roman"/>
        </w:rPr>
        <w:t xml:space="preserve"> 3.1.3 à 3.1.5</w:t>
      </w:r>
      <w:r w:rsidR="00716CC0" w:rsidRPr="00F30867">
        <w:rPr>
          <w:rFonts w:eastAsia="Times New Roman"/>
        </w:rPr>
        <w:t> ;</w:t>
      </w:r>
      <w:r w:rsidRPr="00F30867">
        <w:rPr>
          <w:rFonts w:eastAsia="Times New Roman"/>
        </w:rPr>
        <w:t xml:space="preserve"> </w:t>
      </w:r>
    </w:p>
    <w:p w:rsidR="00417FA8" w:rsidRPr="00F30867" w:rsidRDefault="00EE4AF4" w:rsidP="00EE4AF4">
      <w:pPr>
        <w:pStyle w:val="SingleTxtG"/>
        <w:ind w:left="2268" w:hanging="567"/>
        <w:rPr>
          <w:rFonts w:eastAsia="Times New Roman"/>
        </w:rPr>
      </w:pPr>
      <w:r w:rsidRPr="00F30867">
        <w:rPr>
          <w:rFonts w:eastAsia="Times New Roman"/>
        </w:rPr>
        <w:t>b)</w:t>
      </w:r>
      <w:r w:rsidRPr="00F30867">
        <w:rPr>
          <w:rFonts w:eastAsia="Times New Roman"/>
        </w:rPr>
        <w:tab/>
        <w:t>S</w:t>
      </w:r>
      <w:r w:rsidR="00417FA8" w:rsidRPr="00F30867">
        <w:rPr>
          <w:rFonts w:eastAsia="Times New Roman"/>
        </w:rPr>
        <w:t xml:space="preserve">oit s’assurer que la puissance frigorifique utile du nouveau dispositif de </w:t>
      </w:r>
      <w:r w:rsidR="00417FA8" w:rsidRPr="00F30867">
        <w:t>production</w:t>
      </w:r>
      <w:r w:rsidR="00417FA8" w:rsidRPr="00F30867">
        <w:rPr>
          <w:rFonts w:eastAsia="Times New Roman"/>
        </w:rPr>
        <w:t xml:space="preserve"> de froid est, à la température prévue pour la classe de l’engin, égale ou supérieure à celle du dispositif qu’il a remplacé</w:t>
      </w:r>
      <w:r w:rsidR="00716CC0" w:rsidRPr="00F30867">
        <w:rPr>
          <w:rFonts w:eastAsia="Times New Roman"/>
        </w:rPr>
        <w:t> ;</w:t>
      </w:r>
      <w:r w:rsidR="00417FA8" w:rsidRPr="00F30867">
        <w:rPr>
          <w:rFonts w:eastAsia="Times New Roman"/>
        </w:rPr>
        <w:t xml:space="preserve"> </w:t>
      </w:r>
    </w:p>
    <w:p w:rsidR="00417FA8" w:rsidRPr="00F30867" w:rsidRDefault="00417FA8" w:rsidP="00EE4AF4">
      <w:pPr>
        <w:pStyle w:val="SingleTxtG"/>
        <w:ind w:left="2268" w:hanging="567"/>
        <w:rPr>
          <w:rFonts w:eastAsia="Times New Roman"/>
        </w:rPr>
      </w:pPr>
      <w:r w:rsidRPr="00F30867">
        <w:rPr>
          <w:rFonts w:eastAsia="Times New Roman"/>
        </w:rPr>
        <w:t>c)</w:t>
      </w:r>
      <w:r w:rsidRPr="00F30867">
        <w:rPr>
          <w:rFonts w:eastAsia="Times New Roman"/>
        </w:rPr>
        <w:tab/>
      </w:r>
      <w:r w:rsidR="00EE4AF4" w:rsidRPr="00F30867">
        <w:rPr>
          <w:rFonts w:eastAsia="Times New Roman"/>
        </w:rPr>
        <w:t>S</w:t>
      </w:r>
      <w:r w:rsidRPr="00F30867">
        <w:rPr>
          <w:rFonts w:eastAsia="Times New Roman"/>
        </w:rPr>
        <w:t xml:space="preserve">oit s’assurer que la puissance frigorifique utile du nouveau dispositif de </w:t>
      </w:r>
      <w:r w:rsidRPr="00F30867">
        <w:t>production</w:t>
      </w:r>
      <w:r w:rsidRPr="00F30867">
        <w:rPr>
          <w:rFonts w:eastAsia="Times New Roman"/>
        </w:rPr>
        <w:t xml:space="preserve"> de froid satisfait aux dispositions du paragraphe 3.1.7.</w:t>
      </w:r>
    </w:p>
    <w:p w:rsidR="00417FA8" w:rsidRPr="00F30867" w:rsidRDefault="00417FA8" w:rsidP="00EE4AF4">
      <w:pPr>
        <w:pStyle w:val="SingleTxtG"/>
      </w:pPr>
      <w:r w:rsidRPr="00F30867">
        <w:t>3.1.9</w:t>
      </w:r>
      <w:r w:rsidRPr="00F30867">
        <w:tab/>
        <w:t>Un groupe frigorifique à gaz liquéfié est considéré comme étant du même type que le groupe frigorifique de référence soumis à l’essai si</w:t>
      </w:r>
      <w:r w:rsidR="00716CC0" w:rsidRPr="00F30867">
        <w:t> :</w:t>
      </w:r>
    </w:p>
    <w:p w:rsidR="00417FA8" w:rsidRPr="00F30867" w:rsidRDefault="00417FA8" w:rsidP="009F1AB3">
      <w:pPr>
        <w:pStyle w:val="Bullet2G"/>
      </w:pPr>
      <w:r w:rsidRPr="00F30867">
        <w:t>Le même frigorigène est utilisé</w:t>
      </w:r>
      <w:r w:rsidR="00716CC0" w:rsidRPr="00F30867">
        <w:t> ;</w:t>
      </w:r>
    </w:p>
    <w:p w:rsidR="00417FA8" w:rsidRPr="00F30867" w:rsidRDefault="00417FA8" w:rsidP="009F1AB3">
      <w:pPr>
        <w:pStyle w:val="Bullet2G"/>
      </w:pPr>
      <w:r w:rsidRPr="00F30867">
        <w:t>L’évaporateur a la même puissance</w:t>
      </w:r>
      <w:r w:rsidR="00716CC0" w:rsidRPr="00F30867">
        <w:t> ;</w:t>
      </w:r>
    </w:p>
    <w:p w:rsidR="00417FA8" w:rsidRPr="00F30867" w:rsidRDefault="00417FA8" w:rsidP="009F1AB3">
      <w:pPr>
        <w:pStyle w:val="Bullet2G"/>
      </w:pPr>
      <w:r w:rsidRPr="00F30867">
        <w:lastRenderedPageBreak/>
        <w:t>Le système de régulation a les mêmes caractéristiques</w:t>
      </w:r>
      <w:r w:rsidR="00716CC0" w:rsidRPr="00F30867">
        <w:t> ;</w:t>
      </w:r>
    </w:p>
    <w:p w:rsidR="00417FA8" w:rsidRPr="00F30867" w:rsidRDefault="00417FA8" w:rsidP="009F1AB3">
      <w:pPr>
        <w:pStyle w:val="Bullet2G"/>
      </w:pPr>
      <w:r w:rsidRPr="00F30867">
        <w:t>Le réservoir à gaz liquéfié est du même type, avec la contenance minimale indiquée dans le procès-verbal d’essai ou une contenance supérieure</w:t>
      </w:r>
      <w:r w:rsidR="00716CC0" w:rsidRPr="00F30867">
        <w:t> ;</w:t>
      </w:r>
      <w:r w:rsidRPr="00F30867">
        <w:t xml:space="preserve"> </w:t>
      </w:r>
    </w:p>
    <w:p w:rsidR="00417FA8" w:rsidRPr="009F1AB3" w:rsidRDefault="00417FA8" w:rsidP="009F1AB3">
      <w:pPr>
        <w:pStyle w:val="Bullet2G"/>
        <w:rPr>
          <w:spacing w:val="-2"/>
        </w:rPr>
      </w:pPr>
      <w:r w:rsidRPr="009F1AB3">
        <w:rPr>
          <w:spacing w:val="-2"/>
        </w:rPr>
        <w:t>Les diamètres et la technologie des conduites d’alimentation sont identiques.</w:t>
      </w:r>
      <w:r w:rsidR="00EE4AF4" w:rsidRPr="009F1AB3">
        <w:rPr>
          <w:spacing w:val="-2"/>
        </w:rPr>
        <w:t> »</w:t>
      </w:r>
      <w:r w:rsidRPr="009F1AB3">
        <w:rPr>
          <w:spacing w:val="-2"/>
        </w:rPr>
        <w:t>.</w:t>
      </w:r>
    </w:p>
    <w:p w:rsidR="00417FA8" w:rsidRPr="00F30867" w:rsidRDefault="00417FA8" w:rsidP="009E51E8">
      <w:pPr>
        <w:pStyle w:val="H1G"/>
      </w:pPr>
      <w:r w:rsidRPr="00F30867">
        <w:tab/>
      </w:r>
      <w:r w:rsidRPr="00F30867">
        <w:tab/>
        <w:t xml:space="preserve">Amendement </w:t>
      </w:r>
      <w:r w:rsidR="00937D81" w:rsidRPr="00F30867">
        <w:rPr>
          <w:rFonts w:eastAsia="MS Mincho"/>
        </w:rPr>
        <w:t>n</w:t>
      </w:r>
      <w:r w:rsidR="00937D81" w:rsidRPr="00F30867">
        <w:rPr>
          <w:rFonts w:eastAsia="MS Mincho"/>
          <w:vertAlign w:val="superscript"/>
        </w:rPr>
        <w:t>o</w:t>
      </w:r>
      <w:r w:rsidR="00937D81" w:rsidRPr="00F30867">
        <w:t> </w:t>
      </w:r>
      <w:r w:rsidRPr="00F30867">
        <w:t>2 proposé</w:t>
      </w:r>
    </w:p>
    <w:p w:rsidR="00417FA8" w:rsidRPr="00F30867" w:rsidRDefault="00417FA8" w:rsidP="00937D81">
      <w:pPr>
        <w:pStyle w:val="SingleTxtG"/>
      </w:pPr>
      <w:r w:rsidRPr="00F30867">
        <w:t>7.</w:t>
      </w:r>
      <w:r w:rsidRPr="00F30867">
        <w:tab/>
        <w:t>I</w:t>
      </w:r>
      <w:r w:rsidR="003D3F63">
        <w:t>l</w:t>
      </w:r>
      <w:r w:rsidRPr="00F30867">
        <w:t xml:space="preserve"> est proposé d’ajouter à l’appendice 2 de l’annexe 1 de l’ATP un nouveau point 9 ainsi conçu</w:t>
      </w:r>
      <w:r w:rsidR="00716CC0" w:rsidRPr="00F30867">
        <w:t> :</w:t>
      </w:r>
    </w:p>
    <w:p w:rsidR="00417FA8" w:rsidRPr="00F30867" w:rsidRDefault="00D837E9" w:rsidP="00210933">
      <w:pPr>
        <w:pStyle w:val="H1G"/>
      </w:pPr>
      <w:r w:rsidRPr="00C642CA">
        <w:rPr>
          <w:b w:val="0"/>
          <w:sz w:val="20"/>
        </w:rPr>
        <w:tab/>
      </w:r>
      <w:r w:rsidR="00937D81" w:rsidRPr="00C642CA">
        <w:rPr>
          <w:b w:val="0"/>
          <w:sz w:val="20"/>
        </w:rPr>
        <w:t>«</w:t>
      </w:r>
      <w:r w:rsidR="00937D81" w:rsidRPr="00F30867">
        <w:t> </w:t>
      </w:r>
      <w:r w:rsidR="00417FA8" w:rsidRPr="00F30867">
        <w:t>9.</w:t>
      </w:r>
      <w:r w:rsidR="00417FA8" w:rsidRPr="00F30867">
        <w:tab/>
      </w:r>
      <w:r w:rsidR="00783BB2" w:rsidRPr="00F30867">
        <w:t>Procédure de mesure de la puissance des groupes frigorifiques à gaz liquéfié et pour dimensionner les engins qui les utilisent</w:t>
      </w:r>
    </w:p>
    <w:p w:rsidR="00417FA8" w:rsidRPr="00F30867" w:rsidRDefault="00783BB2" w:rsidP="00783BB2">
      <w:pPr>
        <w:pStyle w:val="H23G"/>
      </w:pPr>
      <w:r w:rsidRPr="00F30867">
        <w:tab/>
      </w:r>
      <w:r w:rsidR="00417FA8" w:rsidRPr="00F30867">
        <w:t>9.1</w:t>
      </w:r>
      <w:r w:rsidR="00417FA8" w:rsidRPr="00F30867">
        <w:tab/>
        <w:t>Définitions</w:t>
      </w:r>
    </w:p>
    <w:p w:rsidR="00417FA8" w:rsidRPr="00F30867" w:rsidRDefault="00417FA8" w:rsidP="00783BB2">
      <w:pPr>
        <w:kinsoku/>
        <w:overflowPunct/>
        <w:autoSpaceDE/>
        <w:autoSpaceDN/>
        <w:adjustRightInd/>
        <w:snapToGrid/>
        <w:spacing w:after="120"/>
        <w:ind w:left="1701" w:right="1134" w:hanging="567"/>
        <w:jc w:val="both"/>
        <w:rPr>
          <w:rFonts w:eastAsia="Times New Roman"/>
        </w:rPr>
      </w:pPr>
      <w:r w:rsidRPr="00F30867">
        <w:rPr>
          <w:rFonts w:eastAsia="Times New Roman"/>
        </w:rPr>
        <w:t>a)</w:t>
      </w:r>
      <w:r w:rsidRPr="00F30867">
        <w:rPr>
          <w:rFonts w:eastAsia="Times New Roman"/>
        </w:rPr>
        <w:tab/>
        <w:t xml:space="preserve">Un groupe frigorifique à gaz liquéfié </w:t>
      </w:r>
      <w:proofErr w:type="gramStart"/>
      <w:r w:rsidRPr="00F30867">
        <w:rPr>
          <w:rFonts w:eastAsia="Times New Roman"/>
        </w:rPr>
        <w:t>est</w:t>
      </w:r>
      <w:proofErr w:type="gramEnd"/>
      <w:r w:rsidRPr="00F30867">
        <w:rPr>
          <w:rFonts w:eastAsia="Times New Roman"/>
        </w:rPr>
        <w:t xml:space="preserve"> constitué d’un réservoir contenant du gaz liquéfié, d’un système d’interconnexion, d’un silencieux le cas échéant et d’un ou plusieurs évaporateurs</w:t>
      </w:r>
      <w:r w:rsidR="00716CC0" w:rsidRPr="00F30867">
        <w:rPr>
          <w:rFonts w:eastAsia="Times New Roman"/>
        </w:rPr>
        <w:t> ;</w:t>
      </w:r>
    </w:p>
    <w:p w:rsidR="00417FA8" w:rsidRPr="00F30867" w:rsidRDefault="00417FA8" w:rsidP="00783BB2">
      <w:pPr>
        <w:kinsoku/>
        <w:overflowPunct/>
        <w:autoSpaceDE/>
        <w:autoSpaceDN/>
        <w:adjustRightInd/>
        <w:snapToGrid/>
        <w:spacing w:after="120"/>
        <w:ind w:left="1701" w:right="1134" w:hanging="567"/>
        <w:jc w:val="both"/>
        <w:rPr>
          <w:rFonts w:eastAsia="Times New Roman"/>
        </w:rPr>
      </w:pPr>
      <w:r w:rsidRPr="00F30867">
        <w:t>b)</w:t>
      </w:r>
      <w:r w:rsidRPr="00F30867">
        <w:tab/>
        <w:t>Évaporateur primaire</w:t>
      </w:r>
      <w:r w:rsidR="00716CC0" w:rsidRPr="00F30867">
        <w:t> :</w:t>
      </w:r>
      <w:r w:rsidRPr="00F30867">
        <w:t xml:space="preserve"> </w:t>
      </w:r>
      <w:proofErr w:type="spellStart"/>
      <w:r w:rsidRPr="00F30867">
        <w:t>tout</w:t>
      </w:r>
      <w:proofErr w:type="spellEnd"/>
      <w:r w:rsidRPr="00F30867">
        <w:t xml:space="preserve"> ensemble minimal d’un groupe à gaz liquéfié destiné à absorber une puissance thermique dans un compartiment isotherme</w:t>
      </w:r>
      <w:r w:rsidR="00716CC0" w:rsidRPr="00F30867">
        <w:rPr>
          <w:rFonts w:eastAsia="Times New Roman"/>
        </w:rPr>
        <w:t> ;</w:t>
      </w:r>
    </w:p>
    <w:p w:rsidR="00417FA8" w:rsidRPr="00F30867" w:rsidRDefault="00417FA8" w:rsidP="00783BB2">
      <w:pPr>
        <w:kinsoku/>
        <w:overflowPunct/>
        <w:autoSpaceDE/>
        <w:autoSpaceDN/>
        <w:adjustRightInd/>
        <w:snapToGrid/>
        <w:spacing w:after="120"/>
        <w:ind w:left="1701" w:right="1134" w:hanging="567"/>
        <w:jc w:val="both"/>
        <w:rPr>
          <w:rFonts w:eastAsia="Times New Roman"/>
        </w:rPr>
      </w:pPr>
      <w:r w:rsidRPr="00F30867">
        <w:rPr>
          <w:rFonts w:eastAsia="Times New Roman"/>
        </w:rPr>
        <w:t>c)</w:t>
      </w:r>
      <w:r w:rsidRPr="00F30867">
        <w:rPr>
          <w:rFonts w:eastAsia="Times New Roman"/>
        </w:rPr>
        <w:tab/>
        <w:t>Évaporateur</w:t>
      </w:r>
      <w:r w:rsidR="00716CC0" w:rsidRPr="00F30867">
        <w:rPr>
          <w:rFonts w:eastAsia="Times New Roman"/>
        </w:rPr>
        <w:t> :</w:t>
      </w:r>
      <w:r w:rsidRPr="00F30867">
        <w:rPr>
          <w:rFonts w:eastAsia="Times New Roman"/>
        </w:rPr>
        <w:t xml:space="preserve"> toute combinaison d’évaporateurs primaires positionnée dans un compartiment isotherme</w:t>
      </w:r>
      <w:r w:rsidR="00716CC0" w:rsidRPr="00F30867">
        <w:rPr>
          <w:rFonts w:eastAsia="Times New Roman"/>
        </w:rPr>
        <w:t> ;</w:t>
      </w:r>
    </w:p>
    <w:p w:rsidR="00417FA8" w:rsidRPr="00F30867" w:rsidRDefault="00417FA8" w:rsidP="00783BB2">
      <w:pPr>
        <w:kinsoku/>
        <w:overflowPunct/>
        <w:autoSpaceDE/>
        <w:autoSpaceDN/>
        <w:adjustRightInd/>
        <w:snapToGrid/>
        <w:spacing w:after="120"/>
        <w:ind w:left="1701" w:right="1134" w:hanging="567"/>
        <w:jc w:val="both"/>
        <w:rPr>
          <w:rFonts w:eastAsia="Times New Roman"/>
        </w:rPr>
      </w:pPr>
      <w:r w:rsidRPr="00F30867">
        <w:rPr>
          <w:rFonts w:eastAsia="Times New Roman"/>
        </w:rPr>
        <w:t>d)</w:t>
      </w:r>
      <w:r w:rsidRPr="00F30867">
        <w:rPr>
          <w:rFonts w:eastAsia="Times New Roman"/>
        </w:rPr>
        <w:tab/>
        <w:t>Évaporateur nominal maximal</w:t>
      </w:r>
      <w:r w:rsidR="00716CC0" w:rsidRPr="00F30867">
        <w:rPr>
          <w:rFonts w:eastAsia="Times New Roman"/>
        </w:rPr>
        <w:t> :</w:t>
      </w:r>
      <w:r w:rsidRPr="00F30867">
        <w:rPr>
          <w:rFonts w:eastAsia="Times New Roman"/>
        </w:rPr>
        <w:t xml:space="preserve"> toute combinaison d’évaporateurs primaires positionnés dans un ou plusieurs compartiments isothermes</w:t>
      </w:r>
      <w:r w:rsidR="00716CC0" w:rsidRPr="00F30867">
        <w:rPr>
          <w:rFonts w:eastAsia="Times New Roman"/>
        </w:rPr>
        <w:t> ;</w:t>
      </w:r>
    </w:p>
    <w:p w:rsidR="00417FA8" w:rsidRPr="00F30867" w:rsidRDefault="00417FA8" w:rsidP="00783BB2">
      <w:pPr>
        <w:kinsoku/>
        <w:overflowPunct/>
        <w:autoSpaceDE/>
        <w:autoSpaceDN/>
        <w:adjustRightInd/>
        <w:snapToGrid/>
        <w:spacing w:after="120"/>
        <w:ind w:left="1701" w:right="1134" w:hanging="567"/>
        <w:jc w:val="both"/>
        <w:rPr>
          <w:rFonts w:eastAsia="Times New Roman"/>
        </w:rPr>
      </w:pPr>
      <w:r w:rsidRPr="00F30867">
        <w:rPr>
          <w:rFonts w:eastAsia="Times New Roman"/>
        </w:rPr>
        <w:t>e)</w:t>
      </w:r>
      <w:r w:rsidRPr="00F30867">
        <w:rPr>
          <w:rFonts w:eastAsia="Times New Roman"/>
        </w:rPr>
        <w:tab/>
        <w:t>Groupe à gaz liquéfié à température unique</w:t>
      </w:r>
      <w:r w:rsidR="00716CC0" w:rsidRPr="00F30867">
        <w:rPr>
          <w:rFonts w:eastAsia="Times New Roman"/>
        </w:rPr>
        <w:t> :</w:t>
      </w:r>
      <w:r w:rsidRPr="00F30867">
        <w:rPr>
          <w:rFonts w:eastAsia="Times New Roman"/>
        </w:rPr>
        <w:t xml:space="preserve"> un groupe à gaz liquéfié comportant un réservoir contenant du gaz liquéfié ainsi qu’un unique ventilateur pour la régulation de la température d’un unique compartiment isotherme</w:t>
      </w:r>
      <w:r w:rsidR="00716CC0" w:rsidRPr="00F30867">
        <w:rPr>
          <w:rFonts w:eastAsia="Times New Roman"/>
        </w:rPr>
        <w:t> ;</w:t>
      </w:r>
    </w:p>
    <w:p w:rsidR="00417FA8" w:rsidRPr="00F30867" w:rsidRDefault="00417FA8" w:rsidP="00783BB2">
      <w:pPr>
        <w:kinsoku/>
        <w:overflowPunct/>
        <w:autoSpaceDE/>
        <w:autoSpaceDN/>
        <w:adjustRightInd/>
        <w:snapToGrid/>
        <w:spacing w:after="120"/>
        <w:ind w:left="1701" w:right="1134" w:hanging="567"/>
        <w:jc w:val="both"/>
        <w:rPr>
          <w:rFonts w:eastAsia="Times New Roman"/>
        </w:rPr>
      </w:pPr>
      <w:r w:rsidRPr="00F30867">
        <w:rPr>
          <w:rFonts w:eastAsia="Times New Roman"/>
        </w:rPr>
        <w:t>f)</w:t>
      </w:r>
      <w:r w:rsidRPr="00F30867">
        <w:rPr>
          <w:rFonts w:eastAsia="Times New Roman"/>
        </w:rPr>
        <w:tab/>
        <w:t>Groupe à gaz liquéfié à températures multiples</w:t>
      </w:r>
      <w:r w:rsidR="00716CC0" w:rsidRPr="00F30867">
        <w:rPr>
          <w:rFonts w:eastAsia="Times New Roman"/>
        </w:rPr>
        <w:t> :</w:t>
      </w:r>
      <w:r w:rsidRPr="00F30867">
        <w:t xml:space="preserve"> </w:t>
      </w:r>
      <w:r w:rsidRPr="00F30867">
        <w:rPr>
          <w:rFonts w:eastAsia="Times New Roman"/>
        </w:rPr>
        <w:t>un groupe à gaz liquéfié comportant un réservoir contenant du gaz liquéfié et au moins deux évaporateurs, chacun régulant la température d’un unique compartiment isotherme distinct d’un seul et unique engin à compartiments multiples</w:t>
      </w:r>
      <w:r w:rsidR="00716CC0" w:rsidRPr="00F30867">
        <w:rPr>
          <w:rFonts w:eastAsia="Times New Roman"/>
        </w:rPr>
        <w:t> ;</w:t>
      </w:r>
    </w:p>
    <w:p w:rsidR="00417FA8" w:rsidRPr="00F30867" w:rsidRDefault="00417FA8" w:rsidP="00783BB2">
      <w:pPr>
        <w:kinsoku/>
        <w:overflowPunct/>
        <w:autoSpaceDE/>
        <w:autoSpaceDN/>
        <w:adjustRightInd/>
        <w:snapToGrid/>
        <w:spacing w:after="120"/>
        <w:ind w:left="1701" w:right="1134" w:hanging="567"/>
        <w:jc w:val="both"/>
        <w:rPr>
          <w:rFonts w:eastAsia="Times New Roman"/>
        </w:rPr>
      </w:pPr>
      <w:r w:rsidRPr="00F30867">
        <w:rPr>
          <w:rFonts w:eastAsia="Times New Roman"/>
        </w:rPr>
        <w:t>g)</w:t>
      </w:r>
      <w:r w:rsidRPr="00F30867">
        <w:rPr>
          <w:rFonts w:eastAsia="Times New Roman"/>
        </w:rPr>
        <w:tab/>
        <w:t>Fonctionnement en mode température unique</w:t>
      </w:r>
      <w:r w:rsidR="00716CC0" w:rsidRPr="00F30867">
        <w:rPr>
          <w:rFonts w:eastAsia="Times New Roman"/>
        </w:rPr>
        <w:t> :</w:t>
      </w:r>
      <w:r w:rsidRPr="00F30867">
        <w:rPr>
          <w:rFonts w:eastAsia="Times New Roman"/>
        </w:rPr>
        <w:t xml:space="preserve"> fonctionnement d’un groupe à gaz liquéfié à température unique ou à températures multiples où un seul évaporateur réfrigérant est activé et assure le maintien d’un seul compartiment d’un engin à simple compartiment ou à compartiments multiples</w:t>
      </w:r>
      <w:r w:rsidR="00716CC0" w:rsidRPr="00F30867">
        <w:rPr>
          <w:rFonts w:eastAsia="Times New Roman"/>
        </w:rPr>
        <w:t> ;</w:t>
      </w:r>
    </w:p>
    <w:p w:rsidR="00417FA8" w:rsidRPr="00F30867" w:rsidRDefault="00417FA8" w:rsidP="00783BB2">
      <w:pPr>
        <w:kinsoku/>
        <w:overflowPunct/>
        <w:autoSpaceDE/>
        <w:autoSpaceDN/>
        <w:adjustRightInd/>
        <w:snapToGrid/>
        <w:spacing w:after="120"/>
        <w:ind w:left="1701" w:right="1134" w:hanging="567"/>
        <w:jc w:val="both"/>
        <w:rPr>
          <w:rFonts w:eastAsia="Times New Roman"/>
        </w:rPr>
      </w:pPr>
      <w:r w:rsidRPr="00F30867">
        <w:rPr>
          <w:rFonts w:eastAsia="Times New Roman"/>
        </w:rPr>
        <w:t>h)</w:t>
      </w:r>
      <w:r w:rsidRPr="00F30867">
        <w:rPr>
          <w:rFonts w:eastAsia="Times New Roman"/>
        </w:rPr>
        <w:tab/>
        <w:t>Fonctionnement en mode températures multiples</w:t>
      </w:r>
      <w:r w:rsidR="00716CC0" w:rsidRPr="00F30867">
        <w:rPr>
          <w:rFonts w:eastAsia="Times New Roman"/>
        </w:rPr>
        <w:t> :</w:t>
      </w:r>
      <w:r w:rsidRPr="00F30867">
        <w:t xml:space="preserve"> </w:t>
      </w:r>
      <w:r w:rsidRPr="00F30867">
        <w:rPr>
          <w:rFonts w:eastAsia="Times New Roman"/>
        </w:rPr>
        <w:t>fonctionnement d’un groupe à gaz liquéfié à températures multiples comportant au moins deux évaporateurs activés assurant le maintien de deux températures différentes dans les compartiments isothermes d’un engin à compartiments multiples</w:t>
      </w:r>
      <w:r w:rsidR="00716CC0" w:rsidRPr="00F30867">
        <w:rPr>
          <w:rFonts w:eastAsia="Times New Roman"/>
        </w:rPr>
        <w:t> ;</w:t>
      </w:r>
    </w:p>
    <w:p w:rsidR="00417FA8" w:rsidRPr="00F30867" w:rsidRDefault="00417FA8" w:rsidP="00783BB2">
      <w:pPr>
        <w:kinsoku/>
        <w:overflowPunct/>
        <w:autoSpaceDE/>
        <w:autoSpaceDN/>
        <w:adjustRightInd/>
        <w:snapToGrid/>
        <w:spacing w:after="120"/>
        <w:ind w:left="1701" w:right="1134" w:hanging="567"/>
        <w:jc w:val="both"/>
        <w:rPr>
          <w:rFonts w:eastAsia="Times New Roman"/>
        </w:rPr>
      </w:pPr>
      <w:r w:rsidRPr="00F30867">
        <w:rPr>
          <w:rFonts w:eastAsia="Times New Roman"/>
        </w:rPr>
        <w:t>i)</w:t>
      </w:r>
      <w:r w:rsidRPr="00F30867">
        <w:rPr>
          <w:rFonts w:eastAsia="Times New Roman"/>
        </w:rPr>
        <w:tab/>
        <w:t>Puissance frigorifique nominale maximale (</w:t>
      </w:r>
      <w:proofErr w:type="spellStart"/>
      <w:r w:rsidRPr="00F30867">
        <w:rPr>
          <w:rFonts w:eastAsia="Times New Roman"/>
        </w:rPr>
        <w:t>P</w:t>
      </w:r>
      <w:r w:rsidRPr="00F30867">
        <w:rPr>
          <w:rFonts w:eastAsia="Times New Roman"/>
          <w:vertAlign w:val="subscript"/>
        </w:rPr>
        <w:t>max</w:t>
      </w:r>
      <w:proofErr w:type="spellEnd"/>
      <w:r w:rsidRPr="00F30867">
        <w:rPr>
          <w:rFonts w:eastAsia="Times New Roman"/>
          <w:vertAlign w:val="subscript"/>
        </w:rPr>
        <w:t>-nom</w:t>
      </w:r>
      <w:r w:rsidRPr="00F30867">
        <w:rPr>
          <w:rFonts w:eastAsia="Times New Roman"/>
        </w:rPr>
        <w:t>)</w:t>
      </w:r>
      <w:r w:rsidR="00716CC0" w:rsidRPr="00F30867">
        <w:rPr>
          <w:rFonts w:eastAsia="Times New Roman"/>
        </w:rPr>
        <w:t> :</w:t>
      </w:r>
      <w:r w:rsidRPr="00F30867">
        <w:rPr>
          <w:rFonts w:eastAsia="Times New Roman"/>
        </w:rPr>
        <w:t xml:space="preserve"> puissance frigorifique spécifiée à laquelle le constructeur</w:t>
      </w:r>
      <w:r w:rsidRPr="00F30867">
        <w:t xml:space="preserve"> du </w:t>
      </w:r>
      <w:r w:rsidRPr="00F30867">
        <w:rPr>
          <w:rFonts w:eastAsia="Times New Roman"/>
        </w:rPr>
        <w:t>groupe à gaz liquéfié déclare le limiter</w:t>
      </w:r>
      <w:r w:rsidR="00716CC0" w:rsidRPr="00F30867">
        <w:rPr>
          <w:rFonts w:eastAsia="Times New Roman"/>
        </w:rPr>
        <w:t> ;</w:t>
      </w:r>
    </w:p>
    <w:p w:rsidR="00417FA8" w:rsidRPr="00F30867" w:rsidRDefault="00417FA8" w:rsidP="00783BB2">
      <w:pPr>
        <w:kinsoku/>
        <w:overflowPunct/>
        <w:autoSpaceDE/>
        <w:autoSpaceDN/>
        <w:adjustRightInd/>
        <w:snapToGrid/>
        <w:spacing w:after="120"/>
        <w:ind w:left="1701" w:right="1134" w:hanging="567"/>
        <w:jc w:val="both"/>
        <w:rPr>
          <w:rFonts w:eastAsia="Times New Roman"/>
        </w:rPr>
      </w:pPr>
      <w:r w:rsidRPr="00F30867">
        <w:rPr>
          <w:rFonts w:eastAsia="Times New Roman"/>
        </w:rPr>
        <w:t>j)</w:t>
      </w:r>
      <w:r w:rsidRPr="00F30867">
        <w:rPr>
          <w:rFonts w:eastAsia="Times New Roman"/>
        </w:rPr>
        <w:tab/>
        <w:t>Puissance frigorifique nominale installée (</w:t>
      </w:r>
      <w:proofErr w:type="spellStart"/>
      <w:r w:rsidRPr="00F30867">
        <w:rPr>
          <w:rFonts w:eastAsia="Times New Roman"/>
        </w:rPr>
        <w:t>P</w:t>
      </w:r>
      <w:r w:rsidRPr="00F30867">
        <w:rPr>
          <w:rFonts w:eastAsia="Times New Roman"/>
          <w:vertAlign w:val="subscript"/>
        </w:rPr>
        <w:t>nom-ins</w:t>
      </w:r>
      <w:proofErr w:type="spellEnd"/>
      <w:r w:rsidRPr="00F30867">
        <w:rPr>
          <w:rFonts w:eastAsia="Times New Roman"/>
        </w:rPr>
        <w:t>)</w:t>
      </w:r>
      <w:r w:rsidR="00716CC0" w:rsidRPr="00F30867">
        <w:rPr>
          <w:rFonts w:eastAsia="Times New Roman"/>
        </w:rPr>
        <w:t> :</w:t>
      </w:r>
      <w:r w:rsidRPr="00F30867">
        <w:t xml:space="preserve"> p</w:t>
      </w:r>
      <w:r w:rsidRPr="00F30867">
        <w:rPr>
          <w:rFonts w:eastAsia="Times New Roman"/>
        </w:rPr>
        <w:t>uissance frigorifique maximale pouvant être fournie par une configuration donnée d’évaporateurs du groupe à gaz liquéfié dans la limite de la puissance frigorifique nominale maximale</w:t>
      </w:r>
      <w:r w:rsidR="00716CC0" w:rsidRPr="00F30867">
        <w:rPr>
          <w:rFonts w:eastAsia="Times New Roman"/>
        </w:rPr>
        <w:t> ;</w:t>
      </w:r>
    </w:p>
    <w:p w:rsidR="00417FA8" w:rsidRPr="00F30867" w:rsidRDefault="00417FA8" w:rsidP="00783BB2">
      <w:pPr>
        <w:kinsoku/>
        <w:overflowPunct/>
        <w:autoSpaceDE/>
        <w:autoSpaceDN/>
        <w:adjustRightInd/>
        <w:snapToGrid/>
        <w:spacing w:after="120"/>
        <w:ind w:left="1701" w:right="1134" w:hanging="567"/>
        <w:jc w:val="both"/>
        <w:rPr>
          <w:rFonts w:eastAsia="Times New Roman"/>
        </w:rPr>
      </w:pPr>
      <w:r w:rsidRPr="00F30867">
        <w:rPr>
          <w:rFonts w:eastAsia="Times New Roman"/>
        </w:rPr>
        <w:t>k)</w:t>
      </w:r>
      <w:r w:rsidRPr="00F30867">
        <w:rPr>
          <w:rFonts w:eastAsia="Times New Roman"/>
        </w:rPr>
        <w:tab/>
        <w:t>Puissance frigorifique individuelle (</w:t>
      </w:r>
      <w:proofErr w:type="spellStart"/>
      <w:r w:rsidRPr="00F30867">
        <w:rPr>
          <w:rFonts w:eastAsia="Times New Roman"/>
        </w:rPr>
        <w:t>P</w:t>
      </w:r>
      <w:r w:rsidRPr="00F30867">
        <w:rPr>
          <w:rFonts w:eastAsia="Times New Roman"/>
          <w:vertAlign w:val="subscript"/>
        </w:rPr>
        <w:t>ind-évap</w:t>
      </w:r>
      <w:proofErr w:type="spellEnd"/>
      <w:r w:rsidRPr="00F30867">
        <w:rPr>
          <w:rFonts w:eastAsia="Times New Roman"/>
        </w:rPr>
        <w:t>)</w:t>
      </w:r>
      <w:r w:rsidR="00716CC0" w:rsidRPr="00F30867">
        <w:rPr>
          <w:rFonts w:eastAsia="Times New Roman"/>
        </w:rPr>
        <w:t> :</w:t>
      </w:r>
      <w:r w:rsidRPr="00F30867">
        <w:rPr>
          <w:rFonts w:eastAsia="Times New Roman"/>
        </w:rPr>
        <w:t xml:space="preserve"> puissance frigorifique maximale développée par chaque évaporateur lorsque le groupe à gaz liquéfié fonctionne comme un groupe à température unique</w:t>
      </w:r>
      <w:r w:rsidR="00716CC0" w:rsidRPr="00F30867">
        <w:rPr>
          <w:rFonts w:eastAsia="Times New Roman"/>
        </w:rPr>
        <w:t> ;</w:t>
      </w:r>
    </w:p>
    <w:p w:rsidR="00417FA8" w:rsidRPr="00F30867" w:rsidRDefault="00417FA8" w:rsidP="00783BB2">
      <w:pPr>
        <w:kinsoku/>
        <w:overflowPunct/>
        <w:autoSpaceDE/>
        <w:autoSpaceDN/>
        <w:adjustRightInd/>
        <w:snapToGrid/>
        <w:spacing w:after="120"/>
        <w:ind w:left="1701" w:right="1134" w:hanging="567"/>
        <w:jc w:val="both"/>
        <w:rPr>
          <w:rFonts w:eastAsia="Times New Roman"/>
        </w:rPr>
      </w:pPr>
      <w:r w:rsidRPr="00F30867">
        <w:rPr>
          <w:rFonts w:eastAsia="Times New Roman"/>
        </w:rPr>
        <w:t>l)</w:t>
      </w:r>
      <w:r w:rsidRPr="00F30867">
        <w:rPr>
          <w:rFonts w:eastAsia="Times New Roman"/>
        </w:rPr>
        <w:tab/>
        <w:t>Puissance frigorifique effective (</w:t>
      </w:r>
      <w:proofErr w:type="spellStart"/>
      <w:r w:rsidRPr="00F30867">
        <w:rPr>
          <w:rFonts w:eastAsia="Times New Roman"/>
        </w:rPr>
        <w:t>P</w:t>
      </w:r>
      <w:r w:rsidRPr="00F30867">
        <w:rPr>
          <w:rFonts w:eastAsia="Times New Roman"/>
          <w:vertAlign w:val="subscript"/>
        </w:rPr>
        <w:t>eff-évap-congél</w:t>
      </w:r>
      <w:proofErr w:type="spellEnd"/>
      <w:r w:rsidRPr="00F30867">
        <w:rPr>
          <w:rFonts w:eastAsia="Times New Roman"/>
        </w:rPr>
        <w:t>)</w:t>
      </w:r>
      <w:r w:rsidR="00716CC0" w:rsidRPr="00F30867">
        <w:rPr>
          <w:rFonts w:eastAsia="Times New Roman"/>
        </w:rPr>
        <w:t> :</w:t>
      </w:r>
      <w:r w:rsidRPr="00F30867">
        <w:rPr>
          <w:rFonts w:eastAsia="Times New Roman"/>
        </w:rPr>
        <w:t xml:space="preserve"> puissance frigorifique disponible pour l’évaporateur à la température la plus basse lorsque le groupe à gaz liquéfié fonctionne de la manière prescrite au paragraphe 9.2.4.</w:t>
      </w:r>
    </w:p>
    <w:p w:rsidR="00417FA8" w:rsidRPr="00F30867" w:rsidRDefault="00783BB2" w:rsidP="00783BB2">
      <w:pPr>
        <w:pStyle w:val="H23G"/>
      </w:pPr>
      <w:r w:rsidRPr="00F30867">
        <w:lastRenderedPageBreak/>
        <w:tab/>
      </w:r>
      <w:r w:rsidR="00417FA8" w:rsidRPr="00F30867">
        <w:t>9.2</w:t>
      </w:r>
      <w:r w:rsidR="00417FA8" w:rsidRPr="00F30867">
        <w:tab/>
        <w:t xml:space="preserve">Procédure d’essai pour les groupes à gaz liquéfié </w:t>
      </w:r>
    </w:p>
    <w:p w:rsidR="00417FA8" w:rsidRPr="00F30867" w:rsidRDefault="00783BB2" w:rsidP="00783BB2">
      <w:pPr>
        <w:pStyle w:val="H23G"/>
      </w:pPr>
      <w:r w:rsidRPr="00F30867">
        <w:tab/>
      </w:r>
      <w:r w:rsidR="00417FA8" w:rsidRPr="00F30867">
        <w:t>9.2.1</w:t>
      </w:r>
      <w:r w:rsidR="00417FA8" w:rsidRPr="00F30867">
        <w:tab/>
        <w:t xml:space="preserve">Procédure générale </w:t>
      </w:r>
    </w:p>
    <w:p w:rsidR="00417FA8" w:rsidRPr="00F30867" w:rsidRDefault="00417FA8" w:rsidP="00783BB2">
      <w:pPr>
        <w:pStyle w:val="SingleTxtG"/>
      </w:pPr>
      <w:r w:rsidRPr="00F30867">
        <w:t>La procédure d’essai doit être conforme à celle qui est présentée à la section 4 de l’appendice 2 de l’annexe 1 de l’ATP, compte tenu des particularités suivantes.</w:t>
      </w:r>
    </w:p>
    <w:p w:rsidR="00417FA8" w:rsidRPr="00F30867" w:rsidRDefault="00417FA8" w:rsidP="00783BB2">
      <w:pPr>
        <w:pStyle w:val="SingleTxtG"/>
        <w:rPr>
          <w:rFonts w:eastAsia="Times New Roman"/>
        </w:rPr>
      </w:pPr>
      <w:r w:rsidRPr="00F30867">
        <w:rPr>
          <w:rFonts w:eastAsia="Times New Roman"/>
        </w:rPr>
        <w:t xml:space="preserve">Les essais doivent être effectués sur les différents évaporateurs primaires. Chaque évaporateur primaire doit être essayé dans un calorimètre distinct, le cas échéant, et placé dans une cellule d’essai à température contrôlée. </w:t>
      </w:r>
    </w:p>
    <w:p w:rsidR="00417FA8" w:rsidRPr="00F30867" w:rsidRDefault="00417FA8" w:rsidP="00783BB2">
      <w:pPr>
        <w:pStyle w:val="SingleTxtG"/>
        <w:rPr>
          <w:rFonts w:eastAsia="Times New Roman"/>
        </w:rPr>
      </w:pPr>
      <w:r w:rsidRPr="00F30867">
        <w:rPr>
          <w:rFonts w:eastAsia="Times New Roman"/>
        </w:rPr>
        <w:t xml:space="preserve">Dans le cas d’un groupe à gaz liquéfié à température unique, on ne mesurera que la puissance frigorifique du régulateur avec l’évaporateur de puissance nominale maximale. Un troisième niveau de température est ajouté conformément au paragraphe 4 de l’appendice 2 de l’annexe 1 de l’ATP. </w:t>
      </w:r>
    </w:p>
    <w:p w:rsidR="00417FA8" w:rsidRPr="00F30867" w:rsidRDefault="00417FA8" w:rsidP="00783BB2">
      <w:pPr>
        <w:pStyle w:val="SingleTxtG"/>
        <w:rPr>
          <w:rFonts w:eastAsia="Times New Roman"/>
        </w:rPr>
      </w:pPr>
      <w:r w:rsidRPr="00F30867">
        <w:rPr>
          <w:rFonts w:eastAsia="Times New Roman"/>
        </w:rPr>
        <w:t>Dans le cas d’un groupe à gaz liquéfié à température</w:t>
      </w:r>
      <w:r w:rsidR="00B45931">
        <w:rPr>
          <w:rFonts w:eastAsia="Times New Roman"/>
        </w:rPr>
        <w:t>s</w:t>
      </w:r>
      <w:r w:rsidRPr="00F30867">
        <w:rPr>
          <w:rFonts w:eastAsia="Times New Roman"/>
        </w:rPr>
        <w:t xml:space="preserve"> multiples, la puissance frigorifique individuelle doit être mesurée pour tous les évaporateurs primaires, chacun fonctionnant en mode température unique, comme prescrit au paragraphe 9.2.3.</w:t>
      </w:r>
    </w:p>
    <w:p w:rsidR="00417FA8" w:rsidRPr="00341A74" w:rsidRDefault="00417FA8" w:rsidP="00783BB2">
      <w:pPr>
        <w:pStyle w:val="SingleTxtG"/>
        <w:rPr>
          <w:rFonts w:eastAsia="Times New Roman"/>
          <w:spacing w:val="-1"/>
        </w:rPr>
      </w:pPr>
      <w:r w:rsidRPr="00341A74">
        <w:rPr>
          <w:rFonts w:eastAsia="Times New Roman"/>
          <w:spacing w:val="-1"/>
        </w:rPr>
        <w:t>Les puissances frigorifiques sont déterminées à l’aide d’un réservoir à gaz liquéfié fourni par le constructeur permettant de procéder à un essai complet sans remplissage intermédiaire.</w:t>
      </w:r>
    </w:p>
    <w:p w:rsidR="00417FA8" w:rsidRPr="00F30867" w:rsidRDefault="00417FA8" w:rsidP="00783BB2">
      <w:pPr>
        <w:pStyle w:val="SingleTxtG"/>
        <w:rPr>
          <w:rFonts w:eastAsia="Times New Roman"/>
        </w:rPr>
      </w:pPr>
      <w:r w:rsidRPr="00F30867">
        <w:rPr>
          <w:rFonts w:eastAsia="Times New Roman"/>
        </w:rPr>
        <w:t xml:space="preserve">L’ensemble des constituants du groupe réfrigérant à gaz liquéfié doit être placé dans une enceinte thermostatique maintenue à une température ambiante de 30 </w:t>
      </w:r>
      <w:r w:rsidR="00370BEA" w:rsidRPr="00F30867">
        <w:rPr>
          <w:rFonts w:eastAsia="Times New Roman"/>
        </w:rPr>
        <w:sym w:font="Symbol" w:char="F0B1"/>
      </w:r>
      <w:r w:rsidR="003D3F63">
        <w:rPr>
          <w:rFonts w:eastAsia="Times New Roman"/>
        </w:rPr>
        <w:t xml:space="preserve"> </w:t>
      </w:r>
      <w:r w:rsidR="00094655" w:rsidRPr="00F30867">
        <w:rPr>
          <w:rFonts w:eastAsia="Times New Roman"/>
        </w:rPr>
        <w:t>0,5 </w:t>
      </w:r>
      <w:r w:rsidRPr="00F30867">
        <w:rPr>
          <w:rFonts w:eastAsia="Times New Roman"/>
        </w:rPr>
        <w:t>°C.</w:t>
      </w:r>
    </w:p>
    <w:p w:rsidR="00417FA8" w:rsidRPr="00F30867" w:rsidRDefault="00417FA8" w:rsidP="00094655">
      <w:pPr>
        <w:pStyle w:val="SingleTxtG"/>
        <w:keepNext/>
        <w:rPr>
          <w:rFonts w:eastAsia="Times New Roman"/>
        </w:rPr>
      </w:pPr>
      <w:r w:rsidRPr="00F30867">
        <w:rPr>
          <w:rFonts w:eastAsia="Times New Roman"/>
        </w:rPr>
        <w:t>Pour chaque essai, il faut aussi enregistrer</w:t>
      </w:r>
      <w:r w:rsidR="00716CC0" w:rsidRPr="00F30867">
        <w:rPr>
          <w:rFonts w:eastAsia="Times New Roman"/>
        </w:rPr>
        <w:t> :</w:t>
      </w:r>
    </w:p>
    <w:p w:rsidR="00417FA8" w:rsidRPr="00F30867" w:rsidRDefault="00417FA8" w:rsidP="00783BB2">
      <w:pPr>
        <w:pStyle w:val="SingleTxtG"/>
        <w:rPr>
          <w:rFonts w:eastAsia="Times New Roman"/>
        </w:rPr>
      </w:pPr>
      <w:r w:rsidRPr="00F30867">
        <w:rPr>
          <w:rFonts w:eastAsia="Times New Roman"/>
        </w:rPr>
        <w:t>Le débit, la température et les pressions du gaz liquéfié sortant du réservoir utilisé</w:t>
      </w:r>
      <w:r w:rsidR="00716CC0" w:rsidRPr="00F30867">
        <w:rPr>
          <w:rFonts w:eastAsia="Times New Roman"/>
        </w:rPr>
        <w:t> ;</w:t>
      </w:r>
      <w:r w:rsidRPr="00F30867">
        <w:rPr>
          <w:rFonts w:eastAsia="Times New Roman"/>
        </w:rPr>
        <w:t xml:space="preserve"> </w:t>
      </w:r>
    </w:p>
    <w:p w:rsidR="00417FA8" w:rsidRPr="00F30867" w:rsidRDefault="00417FA8" w:rsidP="00783BB2">
      <w:pPr>
        <w:pStyle w:val="SingleTxtG"/>
        <w:rPr>
          <w:rFonts w:eastAsia="Times New Roman"/>
        </w:rPr>
      </w:pPr>
      <w:r w:rsidRPr="00F30867">
        <w:rPr>
          <w:rFonts w:eastAsia="Times New Roman"/>
        </w:rPr>
        <w:t>La tension, l’intensité et la consommation électrique totale absorbée par le groupe à gaz liquéfié (ventilateur…).</w:t>
      </w:r>
    </w:p>
    <w:p w:rsidR="00417FA8" w:rsidRPr="00F30867" w:rsidRDefault="00417FA8" w:rsidP="00783BB2">
      <w:pPr>
        <w:pStyle w:val="SingleTxtG"/>
        <w:rPr>
          <w:rFonts w:eastAsia="Times New Roman"/>
        </w:rPr>
      </w:pPr>
      <w:r w:rsidRPr="00F30867">
        <w:rPr>
          <w:rFonts w:eastAsia="Times New Roman"/>
        </w:rPr>
        <w:t>Le débit de gaz est égal à la consommation moyenne massique de fluide au cours de l’essai considéré.</w:t>
      </w:r>
    </w:p>
    <w:p w:rsidR="00417FA8" w:rsidRPr="00F30867" w:rsidRDefault="00417FA8" w:rsidP="00783BB2">
      <w:pPr>
        <w:pStyle w:val="SingleTxtG"/>
        <w:rPr>
          <w:rFonts w:eastAsia="Times New Roman"/>
        </w:rPr>
      </w:pPr>
      <w:r w:rsidRPr="00F30867">
        <w:rPr>
          <w:rFonts w:eastAsia="Times New Roman"/>
        </w:rPr>
        <w:t>Hormis pour la détermination du débit de gaz liquéfié, chaque grandeur doit faire l’objet d’une acquisition physique de périod</w:t>
      </w:r>
      <w:r w:rsidR="00094655" w:rsidRPr="00F30867">
        <w:rPr>
          <w:rFonts w:eastAsia="Times New Roman"/>
        </w:rPr>
        <w:t>e fixe inférieure ou égale à 10 </w:t>
      </w:r>
      <w:r w:rsidRPr="00F30867">
        <w:rPr>
          <w:rFonts w:eastAsia="Times New Roman"/>
        </w:rPr>
        <w:t>secondes et chaque grandeur enregistrée selon une période fi</w:t>
      </w:r>
      <w:r w:rsidR="00094655" w:rsidRPr="00F30867">
        <w:rPr>
          <w:rFonts w:eastAsia="Times New Roman"/>
        </w:rPr>
        <w:t>xe maximale de 2 </w:t>
      </w:r>
      <w:r w:rsidRPr="00F30867">
        <w:rPr>
          <w:rFonts w:eastAsia="Times New Roman"/>
        </w:rPr>
        <w:t>minutes, comme suit</w:t>
      </w:r>
      <w:r w:rsidR="00716CC0" w:rsidRPr="00F30867">
        <w:rPr>
          <w:rFonts w:eastAsia="Times New Roman"/>
        </w:rPr>
        <w:t> :</w:t>
      </w:r>
    </w:p>
    <w:p w:rsidR="00417FA8" w:rsidRPr="00F30867" w:rsidRDefault="00417FA8" w:rsidP="00783BB2">
      <w:pPr>
        <w:pStyle w:val="SingleTxtG"/>
        <w:rPr>
          <w:rFonts w:eastAsia="Times New Roman"/>
        </w:rPr>
      </w:pPr>
      <w:r w:rsidRPr="00F30867">
        <w:rPr>
          <w:rFonts w:eastAsia="Times New Roman"/>
        </w:rPr>
        <w:t xml:space="preserve">Toutes les températures relevées à la reprise d’air de l’évaporateur ventilé ou à l’intérieur de la caisse de l’évaporateur non ventilé doivent être conformes à la température de classe requise </w:t>
      </w:r>
      <w:r w:rsidR="00D65109" w:rsidRPr="00F30867">
        <w:rPr>
          <w:rFonts w:eastAsia="Times New Roman"/>
        </w:rPr>
        <w:sym w:font="Symbol" w:char="F0B1"/>
      </w:r>
      <w:r w:rsidRPr="00F30867">
        <w:rPr>
          <w:rFonts w:eastAsia="Times New Roman"/>
        </w:rPr>
        <w:t>1K.</w:t>
      </w:r>
    </w:p>
    <w:p w:rsidR="00417FA8" w:rsidRPr="00F30867" w:rsidRDefault="00417FA8" w:rsidP="00783BB2">
      <w:pPr>
        <w:pStyle w:val="SingleTxtG"/>
        <w:rPr>
          <w:rFonts w:eastAsia="Times New Roman"/>
        </w:rPr>
      </w:pPr>
      <w:r w:rsidRPr="00F30867">
        <w:rPr>
          <w:rFonts w:eastAsia="Times New Roman"/>
        </w:rPr>
        <w:t>Si les éléments électriques</w:t>
      </w:r>
      <w:r w:rsidRPr="00F30867">
        <w:t xml:space="preserve"> du </w:t>
      </w:r>
      <w:r w:rsidRPr="00F30867">
        <w:rPr>
          <w:rFonts w:eastAsia="Times New Roman"/>
        </w:rPr>
        <w:t>groupe à gaz liquéfié peuvent être alimentés par plusieurs sources d’électricité, il convient de répéter les essais en conséquence.</w:t>
      </w:r>
    </w:p>
    <w:p w:rsidR="00417FA8" w:rsidRPr="00F30867" w:rsidRDefault="00417FA8" w:rsidP="00783BB2">
      <w:pPr>
        <w:pStyle w:val="SingleTxtG"/>
        <w:rPr>
          <w:rFonts w:eastAsia="Times New Roman"/>
        </w:rPr>
      </w:pPr>
      <w:r w:rsidRPr="00F30867">
        <w:rPr>
          <w:rFonts w:eastAsia="Times New Roman"/>
        </w:rPr>
        <w:t>Si les essais mettent en évidence une équivalence de la puissance frigorifique nominale maximale quel que soit le mode de fonctionnement du groupe frigorifique à gaz liquéfié, on peut limiter les essais à un seul mode d’alimentation électrique, en tenant compte de l’impact potentiel sur le débit d’air soufflé par les évaporateurs le cas échéant. L’équivalence est démontrée si</w:t>
      </w:r>
      <w:r w:rsidR="00716CC0" w:rsidRPr="00F30867">
        <w:rPr>
          <w:rFonts w:eastAsia="Times New Roman"/>
        </w:rPr>
        <w:t> :</w:t>
      </w:r>
    </w:p>
    <w:p w:rsidR="00417FA8" w:rsidRPr="00F30867" w:rsidRDefault="00094655" w:rsidP="00417FA8">
      <w:pPr>
        <w:kinsoku/>
        <w:overflowPunct/>
        <w:autoSpaceDE/>
        <w:autoSpaceDN/>
        <w:adjustRightInd/>
        <w:snapToGrid/>
        <w:spacing w:after="120"/>
        <w:ind w:left="1134" w:right="1134"/>
        <w:jc w:val="center"/>
      </w:pPr>
      <w:r w:rsidRPr="00F30867">
        <w:rPr>
          <w:rFonts w:eastAsia="Times New Roman"/>
          <w:position w:val="-30"/>
        </w:rPr>
        <w:object w:dxaOrig="2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6pt" o:ole="" filled="t">
            <v:fill color2="black"/>
            <v:imagedata r:id="rId9" o:title=""/>
          </v:shape>
          <o:OLEObject Type="Embed" ProgID="Equation.3" ShapeID="_x0000_i1025" DrawAspect="Content" ObjectID="_1565430741" r:id="rId10"/>
        </w:object>
      </w:r>
    </w:p>
    <w:p w:rsidR="00417FA8" w:rsidRPr="00F30867" w:rsidRDefault="00417FA8" w:rsidP="00783BB2">
      <w:pPr>
        <w:pStyle w:val="SingleTxtG"/>
        <w:rPr>
          <w:rFonts w:eastAsia="Times New Roman"/>
        </w:rPr>
      </w:pPr>
      <w:r w:rsidRPr="00F30867">
        <w:t>Où</w:t>
      </w:r>
      <w:r w:rsidR="00716CC0" w:rsidRPr="00F30867">
        <w:t> :</w:t>
      </w:r>
    </w:p>
    <w:p w:rsidR="00417FA8" w:rsidRPr="00F30867" w:rsidRDefault="00464679" w:rsidP="00783BB2">
      <w:pPr>
        <w:pStyle w:val="SingleTxtG"/>
      </w:pPr>
      <w:r w:rsidRPr="00F30867">
        <w:rPr>
          <w:position w:val="-12"/>
        </w:rPr>
        <w:object w:dxaOrig="900" w:dyaOrig="360">
          <v:shape id="_x0000_i1026" type="#_x0000_t75" style="width:45pt;height:18.75pt" o:ole="" filled="t">
            <v:fill color2="black"/>
            <v:imagedata r:id="rId11" o:title=""/>
          </v:shape>
          <o:OLEObject Type="Embed" ProgID="Equation.3" ShapeID="_x0000_i1026" DrawAspect="Content" ObjectID="_1565430742" r:id="rId12"/>
        </w:object>
      </w:r>
      <w:r w:rsidR="00716CC0" w:rsidRPr="00F30867">
        <w:t> :</w:t>
      </w:r>
      <w:r w:rsidR="00417FA8" w:rsidRPr="00F30867">
        <w:t xml:space="preserve"> la puissance nominale maximale du groupe à gaz liquéfié pour un mode d’alimentation électrique donné,</w:t>
      </w:r>
    </w:p>
    <w:p w:rsidR="00417FA8" w:rsidRPr="00F30867" w:rsidRDefault="00464679" w:rsidP="00783BB2">
      <w:pPr>
        <w:pStyle w:val="SingleTxtG"/>
      </w:pPr>
      <w:r w:rsidRPr="00F30867">
        <w:rPr>
          <w:position w:val="-12"/>
        </w:rPr>
        <w:object w:dxaOrig="900" w:dyaOrig="360">
          <v:shape id="_x0000_i1027" type="#_x0000_t75" style="width:45pt;height:18.75pt" o:ole="" filled="t">
            <v:fill color2="black"/>
            <v:imagedata r:id="rId13" o:title=""/>
          </v:shape>
          <o:OLEObject Type="Embed" ProgID="Equation.3" ShapeID="_x0000_i1027" DrawAspect="Content" ObjectID="_1565430743" r:id="rId14"/>
        </w:object>
      </w:r>
      <w:r w:rsidR="00716CC0" w:rsidRPr="00F30867">
        <w:t> :</w:t>
      </w:r>
      <w:r w:rsidR="00417FA8" w:rsidRPr="00F30867">
        <w:t xml:space="preserve"> la seconde puissance nominale maximale du groupe à gaz liquéfié pour un autre mode d’alimentation électrique donné.</w:t>
      </w:r>
    </w:p>
    <w:p w:rsidR="00417FA8" w:rsidRPr="00F30867" w:rsidRDefault="00417FA8" w:rsidP="00783BB2">
      <w:pPr>
        <w:pStyle w:val="H23G"/>
      </w:pPr>
      <w:r w:rsidRPr="00F30867">
        <w:lastRenderedPageBreak/>
        <w:tab/>
        <w:t>9.2.2</w:t>
      </w:r>
      <w:r w:rsidRPr="00F30867">
        <w:tab/>
        <w:t xml:space="preserve">Mesure de la puissance frigorifique nominale maximale du groupe à gaz liquéfié </w:t>
      </w:r>
    </w:p>
    <w:p w:rsidR="00417FA8" w:rsidRPr="00F30867" w:rsidRDefault="00417FA8" w:rsidP="00783BB2">
      <w:pPr>
        <w:pStyle w:val="SingleTxtG"/>
      </w:pPr>
      <w:r w:rsidRPr="00F30867">
        <w:t xml:space="preserve">L’essai doit être réalisé aux températures de référence égales à </w:t>
      </w:r>
      <w:r w:rsidR="00464679" w:rsidRPr="00F30867">
        <w:t>-20 </w:t>
      </w:r>
      <w:r w:rsidRPr="00F30867">
        <w:t xml:space="preserve">°C et </w:t>
      </w:r>
      <w:r w:rsidR="00464679" w:rsidRPr="00F30867">
        <w:t>0 </w:t>
      </w:r>
      <w:r w:rsidRPr="00F30867">
        <w:t xml:space="preserve">°C. </w:t>
      </w:r>
    </w:p>
    <w:p w:rsidR="00417FA8" w:rsidRPr="00F30867" w:rsidRDefault="00417FA8" w:rsidP="00783BB2">
      <w:pPr>
        <w:pStyle w:val="SingleTxtG"/>
      </w:pPr>
      <w:r w:rsidRPr="00F30867">
        <w:t xml:space="preserve">La puissance frigorifique nominale </w:t>
      </w:r>
      <w:r w:rsidR="00464679" w:rsidRPr="00F30867">
        <w:t>à -10 </w:t>
      </w:r>
      <w:r w:rsidRPr="00F30867">
        <w:t xml:space="preserve">°C doit être calculée par interpolation linéaire des </w:t>
      </w:r>
      <w:r w:rsidR="00464679" w:rsidRPr="00F30867">
        <w:t>puissances à -20 </w:t>
      </w:r>
      <w:r w:rsidRPr="00F30867">
        <w:t xml:space="preserve">°C et </w:t>
      </w:r>
      <w:r w:rsidR="00464679" w:rsidRPr="00F30867">
        <w:t>à 0 °</w:t>
      </w:r>
      <w:r w:rsidRPr="00F30867">
        <w:t xml:space="preserve">C. </w:t>
      </w:r>
    </w:p>
    <w:p w:rsidR="00417FA8" w:rsidRPr="00F30867" w:rsidRDefault="00417FA8" w:rsidP="00783BB2">
      <w:pPr>
        <w:pStyle w:val="SingleTxtG"/>
      </w:pPr>
      <w:r w:rsidRPr="00F30867">
        <w:t xml:space="preserve">La puissance frigorifique nominale maximale du régulateur en mode de fonctionnement à température unique doit être mesurée avec l’évaporateur nominal maximal proposé par le constructeur. Cet évaporateur est constitué du ou des évaporateur(s) réfrigérant(s) primaire(s). </w:t>
      </w:r>
    </w:p>
    <w:p w:rsidR="00417FA8" w:rsidRPr="00F30867" w:rsidRDefault="00417FA8" w:rsidP="00783BB2">
      <w:pPr>
        <w:pStyle w:val="SingleTxtG"/>
      </w:pPr>
      <w:r w:rsidRPr="00F30867">
        <w:t>L’essai doit être effectué lorsque le groupe fonctionne à une même température de référence, celle qui est mesurée à la reprise d’air pour les évaporateurs ventilés ou celle de l’intérieur de la caisse pour les évaporateurs non ventilés.</w:t>
      </w:r>
    </w:p>
    <w:p w:rsidR="00417FA8" w:rsidRPr="00F30867" w:rsidRDefault="00417FA8" w:rsidP="00464679">
      <w:pPr>
        <w:pStyle w:val="SingleTxtG"/>
        <w:keepNext/>
      </w:pPr>
      <w:r w:rsidRPr="00F30867">
        <w:t>La puissance frigorifique nominale maximale doit être estimée à chaque niveau de température, comme suit</w:t>
      </w:r>
      <w:r w:rsidR="00716CC0" w:rsidRPr="00F30867">
        <w:t> :</w:t>
      </w:r>
      <w:r w:rsidRPr="00F30867">
        <w:t xml:space="preserve"> </w:t>
      </w:r>
    </w:p>
    <w:p w:rsidR="00417FA8" w:rsidRPr="00F30867" w:rsidRDefault="00417FA8" w:rsidP="00783BB2">
      <w:pPr>
        <w:pStyle w:val="SingleTxtG"/>
      </w:pPr>
      <w:r w:rsidRPr="00F30867">
        <w:t xml:space="preserve">Un premier essai doit être effectué, pendant au moins </w:t>
      </w:r>
      <w:r w:rsidR="007A43B4">
        <w:t>4 </w:t>
      </w:r>
      <w:r w:rsidRPr="00F30867">
        <w:t xml:space="preserve">heures, en régime </w:t>
      </w:r>
      <w:proofErr w:type="spellStart"/>
      <w:r w:rsidRPr="00F30867">
        <w:t>thermostatisé</w:t>
      </w:r>
      <w:proofErr w:type="spellEnd"/>
      <w:r w:rsidRPr="00F30867">
        <w:t xml:space="preserve"> (du groupe frigorifique), pour stabiliser les échanges de chaleur entre l’intérieur et l’extérieur du caisson calorimétrique.</w:t>
      </w:r>
    </w:p>
    <w:p w:rsidR="00417FA8" w:rsidRPr="00F30867" w:rsidRDefault="00417FA8" w:rsidP="00464679">
      <w:pPr>
        <w:pStyle w:val="SingleTxtG"/>
        <w:keepNext/>
      </w:pPr>
      <w:r w:rsidRPr="00F30867">
        <w:t>Après remplissage du réservoir (si nécessaire), il faut procéder, pendant au moins 3 heures, afin de mesurer la puissance frigorifique nominale maximale, à un deuxième essai au cours duquel</w:t>
      </w:r>
      <w:r w:rsidR="00716CC0" w:rsidRPr="00F30867">
        <w:t> :</w:t>
      </w:r>
    </w:p>
    <w:p w:rsidR="00417FA8" w:rsidRPr="00F30867" w:rsidRDefault="00417FA8" w:rsidP="00783BB2">
      <w:pPr>
        <w:pStyle w:val="SingleTxtG"/>
        <w:ind w:left="2268" w:hanging="567"/>
      </w:pPr>
      <w:r w:rsidRPr="00F30867">
        <w:t>a)</w:t>
      </w:r>
      <w:r w:rsidRPr="00F30867">
        <w:tab/>
        <w:t>Le point de consigne du groupe à gaz liquéfié doit être réglé à la température d’essai choisie avec un décalage de consigne si nécessaire, selon les instructions du commanditaire des essais</w:t>
      </w:r>
      <w:r w:rsidR="00716CC0" w:rsidRPr="00F30867">
        <w:t> ;</w:t>
      </w:r>
    </w:p>
    <w:p w:rsidR="00417FA8" w:rsidRPr="00F30867" w:rsidRDefault="00417FA8" w:rsidP="00783BB2">
      <w:pPr>
        <w:pStyle w:val="SingleTxtG"/>
        <w:ind w:left="2268" w:hanging="567"/>
      </w:pPr>
      <w:r w:rsidRPr="00F30867">
        <w:t>b)</w:t>
      </w:r>
      <w:r w:rsidRPr="00F30867">
        <w:tab/>
        <w:t xml:space="preserve">La puissance électrique dissipée dans le caisson calorimétrique doit être ajustée tout au long de l’essai pour maintenir la température de référence constante. </w:t>
      </w:r>
    </w:p>
    <w:p w:rsidR="00417FA8" w:rsidRPr="00F30867" w:rsidRDefault="00417FA8" w:rsidP="00783BB2">
      <w:pPr>
        <w:pStyle w:val="SingleTxtG"/>
      </w:pPr>
      <w:r w:rsidRPr="00F30867">
        <w:t>La dérive de la puissance frigorifique pendant ce deuxième essai doit être inférieure en moyenne mobile à 5</w:t>
      </w:r>
      <w:r w:rsidR="00D65109" w:rsidRPr="00F30867">
        <w:t> </w:t>
      </w:r>
      <w:r w:rsidRPr="00F30867">
        <w:t>% par heure et dans la limite de 10</w:t>
      </w:r>
      <w:r w:rsidR="00D65109" w:rsidRPr="00F30867">
        <w:t> </w:t>
      </w:r>
      <w:r w:rsidRPr="00F30867">
        <w:t>% sur toute la durée de l’essai. Si tel est le cas, la puissance frigorifique retenue correspond au minimum de la puissance frigorifique enregistrée tout au long de l’essai.</w:t>
      </w:r>
    </w:p>
    <w:p w:rsidR="00417FA8" w:rsidRPr="00F30867" w:rsidRDefault="00417FA8" w:rsidP="00783BB2">
      <w:pPr>
        <w:pStyle w:val="SingleTxtG"/>
      </w:pPr>
      <w:r w:rsidRPr="00F30867">
        <w:t xml:space="preserve">Uniquement dans le cas de la mesure de la puissance frigorifique nominale maximale du groupe à gaz liquéfié, un seul essai supplémentaire d’une heure doit être effectué avec le plus petit réservoir commercialisé en même temps que le groupe afin de quantifier l’impact de son volume sur la régulation de la puissance frigorifique. La nouvelle puissance frigorifique obtenue ne doit pas varier de plus de </w:t>
      </w:r>
      <w:r w:rsidR="00222A20">
        <w:t>5 </w:t>
      </w:r>
      <w:r w:rsidRPr="00F30867">
        <w:t>% par rapport à la valeur inférieure ou à celle trouvée avec le réservoir utilisé pour les essais d’une durée supérieure ou égale à 3</w:t>
      </w:r>
      <w:r w:rsidR="00464679" w:rsidRPr="00F30867">
        <w:t> </w:t>
      </w:r>
      <w:r w:rsidRPr="00F30867">
        <w:t>heures. En cas d’impact supérieur, une restriction portant sur le volume du réservoir doit être mentionnée dans le procès-verbal d’essai officiel.</w:t>
      </w:r>
    </w:p>
    <w:p w:rsidR="00417FA8" w:rsidRPr="00F30867" w:rsidRDefault="00417FA8" w:rsidP="00783BB2">
      <w:pPr>
        <w:pStyle w:val="H23G"/>
      </w:pPr>
      <w:r w:rsidRPr="00F30867">
        <w:tab/>
        <w:t>9.2.3</w:t>
      </w:r>
      <w:r w:rsidRPr="00F30867">
        <w:tab/>
        <w:t>Mesure de la puissance frigorifique individuelle de chaque évaporateur primaire d’</w:t>
      </w:r>
      <w:r w:rsidR="00464679" w:rsidRPr="00F30867">
        <w:t>un </w:t>
      </w:r>
      <w:r w:rsidRPr="00F30867">
        <w:t>groupe à gaz liquéfié</w:t>
      </w:r>
    </w:p>
    <w:p w:rsidR="00417FA8" w:rsidRPr="00F30867" w:rsidRDefault="00417FA8" w:rsidP="00783BB2">
      <w:pPr>
        <w:pStyle w:val="SingleTxtG"/>
      </w:pPr>
      <w:r w:rsidRPr="00F30867">
        <w:t>La puissance frigorifique individuelle de chaque évaporateur primaire doit être mesurée en mode de fonctionnement mono-température. L’essai doit être effectué à -20</w:t>
      </w:r>
      <w:r w:rsidR="00464679" w:rsidRPr="00F30867">
        <w:t> </w:t>
      </w:r>
      <w:r w:rsidRPr="00F30867">
        <w:rPr>
          <w:rFonts w:ascii="Symbol" w:hAnsi="Symbol"/>
        </w:rPr>
        <w:t></w:t>
      </w:r>
      <w:r w:rsidR="00464679" w:rsidRPr="00F30867">
        <w:t>C et à 0 </w:t>
      </w:r>
      <w:r w:rsidRPr="00F30867">
        <w:rPr>
          <w:rFonts w:ascii="Symbol" w:hAnsi="Symbol"/>
        </w:rPr>
        <w:t></w:t>
      </w:r>
      <w:r w:rsidRPr="00F30867">
        <w:t>C, comme il est prescrit au paragraphe 9.2.2.</w:t>
      </w:r>
    </w:p>
    <w:p w:rsidR="00417FA8" w:rsidRPr="00F30867" w:rsidRDefault="00417FA8" w:rsidP="00783BB2">
      <w:pPr>
        <w:pStyle w:val="SingleTxtG"/>
      </w:pPr>
      <w:r w:rsidRPr="00F30867">
        <w:t xml:space="preserve">La puissance </w:t>
      </w:r>
      <w:r w:rsidR="00464679" w:rsidRPr="00F30867">
        <w:t>frigorifique individuelle à -10 </w:t>
      </w:r>
      <w:r w:rsidRPr="00F30867">
        <w:sym w:font="Symbol" w:char="F0B0"/>
      </w:r>
      <w:r w:rsidRPr="00F30867">
        <w:t>C doit être calculée par interpolation linéaire des puissances à -20 </w:t>
      </w:r>
      <w:r w:rsidRPr="00F30867">
        <w:sym w:font="Symbol" w:char="F0B0"/>
      </w:r>
      <w:r w:rsidRPr="00F30867">
        <w:t>C et à 0 </w:t>
      </w:r>
      <w:r w:rsidRPr="00F30867">
        <w:sym w:font="Symbol" w:char="F0B0"/>
      </w:r>
      <w:r w:rsidRPr="00F30867">
        <w:t>C.</w:t>
      </w:r>
    </w:p>
    <w:p w:rsidR="00417FA8" w:rsidRPr="00F30867" w:rsidRDefault="00417FA8" w:rsidP="00783BB2">
      <w:pPr>
        <w:pStyle w:val="H23G"/>
      </w:pPr>
      <w:r w:rsidRPr="00F30867">
        <w:lastRenderedPageBreak/>
        <w:tab/>
        <w:t>9.2.4</w:t>
      </w:r>
      <w:r w:rsidRPr="00F30867">
        <w:tab/>
        <w:t>Mesure de la puissance frigorifique effective restante d’un groupe à gaz liquéfié en</w:t>
      </w:r>
      <w:r w:rsidR="00464679" w:rsidRPr="00F30867">
        <w:t> </w:t>
      </w:r>
      <w:r w:rsidRPr="00F30867">
        <w:t>mode de fonctionnement à températures multiples, compte tenu d’une charge thermique de référence</w:t>
      </w:r>
    </w:p>
    <w:p w:rsidR="00417FA8" w:rsidRPr="00F30867" w:rsidRDefault="00417FA8" w:rsidP="00D65109">
      <w:pPr>
        <w:pStyle w:val="SingleTxtG"/>
        <w:keepNext/>
      </w:pPr>
      <w:r w:rsidRPr="00F30867">
        <w:t>La détermination de la puissance effective restante d’un groupe frigorifique à gaz liquéfié nécessite l’utilisation simultanée de deux ou trois évaporateurs, comme suit</w:t>
      </w:r>
      <w:r w:rsidR="00716CC0" w:rsidRPr="00F30867">
        <w:t> :</w:t>
      </w:r>
    </w:p>
    <w:p w:rsidR="00417FA8" w:rsidRPr="00F30867" w:rsidRDefault="00417FA8" w:rsidP="009F1AB3">
      <w:pPr>
        <w:pStyle w:val="Bullet2G"/>
      </w:pPr>
      <w:r w:rsidRPr="00F30867">
        <w:t>Pour un groupe à deux compartiments, avec les évaporateurs ayant les puissances frigorifiques individuelles la plus grande et la plus petite</w:t>
      </w:r>
      <w:r w:rsidR="00716CC0" w:rsidRPr="00F30867">
        <w:t> ;</w:t>
      </w:r>
    </w:p>
    <w:p w:rsidR="00417FA8" w:rsidRPr="00F30867" w:rsidRDefault="00417FA8" w:rsidP="009F1AB3">
      <w:pPr>
        <w:pStyle w:val="Bullet2G"/>
      </w:pPr>
      <w:r w:rsidRPr="00F30867">
        <w:t>Pour un groupe à trois compartiments ou davantage, avec les mêmes évaporateurs que ci-dessus et autant d’autres que nécessaire, de puissances frigorifiques intermédiaires.</w:t>
      </w:r>
    </w:p>
    <w:p w:rsidR="00417FA8" w:rsidRPr="00F30867" w:rsidRDefault="00417FA8" w:rsidP="00464679">
      <w:pPr>
        <w:pStyle w:val="SingleTxtG"/>
        <w:keepNext/>
      </w:pPr>
      <w:r w:rsidRPr="00F30867">
        <w:t>Réglage de la charge thermique de référence</w:t>
      </w:r>
      <w:r w:rsidR="00716CC0" w:rsidRPr="00F30867">
        <w:t> :</w:t>
      </w:r>
    </w:p>
    <w:p w:rsidR="00417FA8" w:rsidRPr="00F30867" w:rsidRDefault="00417FA8" w:rsidP="009F1AB3">
      <w:pPr>
        <w:pStyle w:val="Bullet2G"/>
      </w:pPr>
      <w:r w:rsidRPr="00F30867">
        <w:t>Le point de consigne de l’ensemble des évaporateurs sauf un doit être réglé de façon à obtenir une température de 0</w:t>
      </w:r>
      <w:r w:rsidR="00464679" w:rsidRPr="00F30867">
        <w:t> </w:t>
      </w:r>
      <w:r w:rsidRPr="00F30867">
        <w:t xml:space="preserve">°C à la reprise d’air ou à l’intérieur de la </w:t>
      </w:r>
      <w:r w:rsidR="00DC79BB" w:rsidRPr="00F30867">
        <w:t>caisse ;</w:t>
      </w:r>
    </w:p>
    <w:p w:rsidR="00417FA8" w:rsidRPr="00F30867" w:rsidRDefault="00417FA8" w:rsidP="009F1AB3">
      <w:pPr>
        <w:pStyle w:val="Bullet2G"/>
      </w:pPr>
      <w:r w:rsidRPr="00F30867">
        <w:t xml:space="preserve">Une charge thermique doit être appliquée à chaque couple calorimètre/évaporateur en régime </w:t>
      </w:r>
      <w:proofErr w:type="spellStart"/>
      <w:r w:rsidRPr="00F30867">
        <w:t>thermostatisé</w:t>
      </w:r>
      <w:proofErr w:type="spellEnd"/>
      <w:r w:rsidRPr="00F30867">
        <w:t>, sauf à celui qui n’a pas été retenu</w:t>
      </w:r>
      <w:r w:rsidR="00DC79BB" w:rsidRPr="00F30867">
        <w:t> ;</w:t>
      </w:r>
    </w:p>
    <w:p w:rsidR="00417FA8" w:rsidRPr="00F30867" w:rsidRDefault="00417FA8" w:rsidP="009F1AB3">
      <w:pPr>
        <w:pStyle w:val="Bullet2G"/>
      </w:pPr>
      <w:r w:rsidRPr="00F30867">
        <w:t>La charge thermique doit être égale à 20</w:t>
      </w:r>
      <w:r w:rsidR="00464679" w:rsidRPr="00F30867">
        <w:t> </w:t>
      </w:r>
      <w:r w:rsidRPr="00F30867">
        <w:t>% de la puissance frigorifique individuelle de chaque évaporateur considéré à -20</w:t>
      </w:r>
      <w:r w:rsidR="00464679" w:rsidRPr="00F30867">
        <w:t> </w:t>
      </w:r>
      <w:r w:rsidRPr="00F30867">
        <w:t>°C.</w:t>
      </w:r>
    </w:p>
    <w:p w:rsidR="00417FA8" w:rsidRPr="00F30867" w:rsidRDefault="00417FA8" w:rsidP="00783BB2">
      <w:pPr>
        <w:pStyle w:val="SingleTxtG"/>
      </w:pPr>
      <w:r w:rsidRPr="00F30867">
        <w:t xml:space="preserve">La puissance effective de l’évaporateur restant doit être mesurée à une température </w:t>
      </w:r>
      <w:r w:rsidR="00DC79BB" w:rsidRPr="00F30867">
        <w:t xml:space="preserve">de </w:t>
      </w:r>
      <w:r w:rsidR="00DC79BB" w:rsidRPr="00F30867">
        <w:noBreakHyphen/>
      </w:r>
      <w:r w:rsidR="00464679" w:rsidRPr="00F30867">
        <w:t>20 </w:t>
      </w:r>
      <w:r w:rsidRPr="00F30867">
        <w:t xml:space="preserve">°C à la reprise d’air ou à l’intérieur de la caisse. </w:t>
      </w:r>
    </w:p>
    <w:p w:rsidR="00417FA8" w:rsidRPr="00F30867" w:rsidRDefault="00417FA8" w:rsidP="00783BB2">
      <w:pPr>
        <w:pStyle w:val="SingleTxtG"/>
      </w:pPr>
      <w:r w:rsidRPr="00F30867">
        <w:t>Une fois mesurée la puissance effective de l’évaporateur restant, l’essai doit être renouvelé après permutation circulaire des classes de température.</w:t>
      </w:r>
    </w:p>
    <w:p w:rsidR="00417FA8" w:rsidRPr="00F30867" w:rsidRDefault="00417FA8" w:rsidP="00D65109">
      <w:pPr>
        <w:pStyle w:val="H23G"/>
      </w:pPr>
      <w:r w:rsidRPr="00F30867">
        <w:tab/>
        <w:t>9.3</w:t>
      </w:r>
      <w:r w:rsidRPr="00F30867">
        <w:tab/>
        <w:t xml:space="preserve">Puissance frigorifique des évaporateurs </w:t>
      </w:r>
    </w:p>
    <w:p w:rsidR="00417FA8" w:rsidRPr="00F30867" w:rsidRDefault="00417FA8" w:rsidP="00D65109">
      <w:pPr>
        <w:pStyle w:val="SingleTxtG"/>
      </w:pPr>
      <w:r w:rsidRPr="00F30867">
        <w:t>La constitution d’évaporateurs réfrigérants est possible sur la base des essais de puissance frigorifiques réalisés sur des évaporateurs primaires. La puissance frigorifique et la consommation de gaz liquéfié des évaporateurs correspondent à la somme arithmétique, respectivement, des puissances frigorifiques et de la consommation en gaz liquéfié des évaporateurs primaires dans la limite de la puissance frigorifique nominale maximale et du débit de gaz liquéfié qui y est lié.</w:t>
      </w:r>
    </w:p>
    <w:p w:rsidR="00417FA8" w:rsidRPr="00F30867" w:rsidRDefault="00417FA8" w:rsidP="00D65109">
      <w:pPr>
        <w:pStyle w:val="H23G"/>
        <w:rPr>
          <w:spacing w:val="-2"/>
        </w:rPr>
      </w:pPr>
      <w:r w:rsidRPr="00F30867">
        <w:tab/>
        <w:t>9.4</w:t>
      </w:r>
      <w:r w:rsidRPr="00F30867">
        <w:tab/>
      </w:r>
      <w:r w:rsidRPr="00F30867">
        <w:rPr>
          <w:spacing w:val="-2"/>
        </w:rPr>
        <w:t xml:space="preserve">Dimensionnement et certification des engins frigorifiques à gaz liquéfié à températures multiples </w:t>
      </w:r>
    </w:p>
    <w:p w:rsidR="00417FA8" w:rsidRPr="00F30867" w:rsidRDefault="00417FA8" w:rsidP="00DC79BB">
      <w:pPr>
        <w:pStyle w:val="SingleTxtG"/>
        <w:keepNext/>
      </w:pPr>
      <w:r w:rsidRPr="00F30867">
        <w:t>Le dimensionnement et la certification d’engins frigorifiques équipés de groupes à gaz liquéfié doi</w:t>
      </w:r>
      <w:r w:rsidR="002E4D66">
        <w:t>ven</w:t>
      </w:r>
      <w:r w:rsidRPr="00F30867">
        <w:t>t être conforme</w:t>
      </w:r>
      <w:r w:rsidR="002E4D66">
        <w:t>s</w:t>
      </w:r>
      <w:r w:rsidRPr="00F30867">
        <w:t xml:space="preserve"> à </w:t>
      </w:r>
      <w:r w:rsidR="002E4D66">
        <w:t xml:space="preserve">ceux </w:t>
      </w:r>
      <w:r w:rsidRPr="00F30867">
        <w:t xml:space="preserve">qui </w:t>
      </w:r>
      <w:r w:rsidR="002E4D66">
        <w:t>sont présentés</w:t>
      </w:r>
      <w:r w:rsidRPr="00F30867">
        <w:t xml:space="preserve"> à la section 3.2.6 pour les engins mono température avec les équivalences de puissance suivantes</w:t>
      </w:r>
      <w:r w:rsidR="00716CC0" w:rsidRPr="00F30867">
        <w:t> :</w:t>
      </w:r>
    </w:p>
    <w:p w:rsidR="00417FA8" w:rsidRPr="00F30867" w:rsidRDefault="00417FA8" w:rsidP="00DC79BB">
      <w:pPr>
        <w:pStyle w:val="SingleTxtG"/>
        <w:jc w:val="center"/>
      </w:pPr>
      <w:proofErr w:type="spellStart"/>
      <w:r w:rsidRPr="00F30867">
        <w:t>P</w:t>
      </w:r>
      <w:r w:rsidRPr="00F30867">
        <w:rPr>
          <w:vertAlign w:val="subscript"/>
        </w:rPr>
        <w:t>nom-ins</w:t>
      </w:r>
      <w:proofErr w:type="spellEnd"/>
      <w:r w:rsidRPr="00F30867">
        <w:t xml:space="preserve"> = </w:t>
      </w:r>
      <w:proofErr w:type="spellStart"/>
      <w:r w:rsidRPr="00F30867">
        <w:t>P</w:t>
      </w:r>
      <w:r w:rsidRPr="00F30867">
        <w:rPr>
          <w:vertAlign w:val="subscript"/>
        </w:rPr>
        <w:t>utile</w:t>
      </w:r>
      <w:proofErr w:type="spellEnd"/>
      <w:r w:rsidRPr="00F30867">
        <w:t xml:space="preserve"> (puissance frigorifique utile)</w:t>
      </w:r>
    </w:p>
    <w:p w:rsidR="00417FA8" w:rsidRPr="00F30867" w:rsidRDefault="00417FA8" w:rsidP="00DC79BB">
      <w:pPr>
        <w:pStyle w:val="SingleTxtG"/>
        <w:keepNext/>
      </w:pPr>
      <w:proofErr w:type="gramStart"/>
      <w:r w:rsidRPr="00F30867">
        <w:t>ou</w:t>
      </w:r>
      <w:proofErr w:type="gramEnd"/>
      <w:r w:rsidRPr="00F30867">
        <w:t xml:space="preserve"> à la section 7.3 pour les engins frigorifiques à températures multiples, avec les équivalences de puissance suivantes</w:t>
      </w:r>
      <w:r w:rsidR="00716CC0" w:rsidRPr="00F30867">
        <w:t> :</w:t>
      </w:r>
      <w:r w:rsidRPr="00F30867">
        <w:t xml:space="preserve"> </w:t>
      </w:r>
    </w:p>
    <w:p w:rsidR="00417FA8" w:rsidRPr="00F30867" w:rsidRDefault="00417FA8" w:rsidP="00DC79BB">
      <w:pPr>
        <w:pStyle w:val="SingleTxtG"/>
        <w:jc w:val="center"/>
      </w:pPr>
      <w:proofErr w:type="spellStart"/>
      <w:r w:rsidRPr="00F30867">
        <w:t>P</w:t>
      </w:r>
      <w:r w:rsidRPr="00F30867">
        <w:rPr>
          <w:vertAlign w:val="subscript"/>
        </w:rPr>
        <w:t>max</w:t>
      </w:r>
      <w:proofErr w:type="spellEnd"/>
      <w:r w:rsidRPr="00F30867">
        <w:rPr>
          <w:vertAlign w:val="subscript"/>
        </w:rPr>
        <w:t>-nom</w:t>
      </w:r>
      <w:r w:rsidRPr="00F30867">
        <w:t xml:space="preserve"> = </w:t>
      </w:r>
      <w:proofErr w:type="spellStart"/>
      <w:r w:rsidRPr="00F30867">
        <w:t>P</w:t>
      </w:r>
      <w:r w:rsidRPr="00F30867">
        <w:rPr>
          <w:vertAlign w:val="subscript"/>
        </w:rPr>
        <w:t>nominale</w:t>
      </w:r>
      <w:proofErr w:type="spellEnd"/>
    </w:p>
    <w:p w:rsidR="00417FA8" w:rsidRPr="00F30867" w:rsidRDefault="00417FA8" w:rsidP="00D65109">
      <w:pPr>
        <w:pStyle w:val="SingleTxtG"/>
        <w:rPr>
          <w:u w:val="single"/>
        </w:rPr>
      </w:pPr>
      <w:r w:rsidRPr="00F30867">
        <w:t>Par ailleurs, le volume utile des réservoirs de gaz liquéfié doit permettre au groupe à gaz liquéfié d’assurer le maintien de la température de la classe d’engin pendant 12 heures au minimum.</w:t>
      </w:r>
      <w:r w:rsidR="00DC79BB" w:rsidRPr="00F30867">
        <w:t> »</w:t>
      </w:r>
      <w:r w:rsidRPr="00F30867">
        <w:t>.</w:t>
      </w:r>
    </w:p>
    <w:p w:rsidR="00417FA8" w:rsidRPr="00F30867" w:rsidRDefault="00417FA8" w:rsidP="009E51E8">
      <w:pPr>
        <w:pStyle w:val="H1G"/>
      </w:pPr>
      <w:r w:rsidRPr="00F30867">
        <w:tab/>
      </w:r>
      <w:r w:rsidRPr="00F30867">
        <w:tab/>
        <w:t xml:space="preserve">Amendement </w:t>
      </w:r>
      <w:r w:rsidR="00392D41" w:rsidRPr="00F30867">
        <w:rPr>
          <w:rFonts w:eastAsia="MS Mincho"/>
        </w:rPr>
        <w:t>n</w:t>
      </w:r>
      <w:r w:rsidR="00392D41" w:rsidRPr="00F30867">
        <w:rPr>
          <w:rFonts w:eastAsia="MS Mincho"/>
          <w:vertAlign w:val="superscript"/>
        </w:rPr>
        <w:t>o</w:t>
      </w:r>
      <w:r w:rsidR="00392D41" w:rsidRPr="00F30867">
        <w:t> </w:t>
      </w:r>
      <w:r w:rsidR="009E51E8">
        <w:t>3</w:t>
      </w:r>
      <w:r w:rsidR="001F675A">
        <w:t xml:space="preserve"> proposé</w:t>
      </w:r>
    </w:p>
    <w:p w:rsidR="00417FA8" w:rsidRPr="00F30867" w:rsidRDefault="00417FA8" w:rsidP="00392D41">
      <w:pPr>
        <w:pStyle w:val="SingleTxtG"/>
        <w:keepNext/>
        <w:rPr>
          <w:rFonts w:eastAsia="SimSun"/>
        </w:rPr>
      </w:pPr>
      <w:r w:rsidRPr="00F30867">
        <w:t>8.</w:t>
      </w:r>
      <w:r w:rsidRPr="00F30867">
        <w:tab/>
        <w:t>Il est proposé d’ajouter au paragraphe 8 de l’appendice 2 de l’annexe 1 de l’ATP le modèle suivant</w:t>
      </w:r>
      <w:r w:rsidR="00716CC0" w:rsidRPr="00F30867">
        <w:t> :</w:t>
      </w:r>
    </w:p>
    <w:p w:rsidR="00417FA8" w:rsidRPr="00F30867" w:rsidRDefault="00417FA8" w:rsidP="00D65109">
      <w:pPr>
        <w:pStyle w:val="H23G"/>
        <w:rPr>
          <w:sz w:val="22"/>
          <w:szCs w:val="22"/>
        </w:rPr>
      </w:pPr>
      <w:r w:rsidRPr="00F30867">
        <w:tab/>
      </w:r>
      <w:r w:rsidRPr="00F30867">
        <w:tab/>
      </w:r>
      <w:r w:rsidR="00D65109" w:rsidRPr="00F30867">
        <w:rPr>
          <w:b w:val="0"/>
        </w:rPr>
        <w:t>« </w:t>
      </w:r>
      <w:r w:rsidRPr="00F30867">
        <w:t xml:space="preserve">Modèle </w:t>
      </w:r>
      <w:r w:rsidR="00D65109" w:rsidRPr="00F30867">
        <w:rPr>
          <w:rFonts w:eastAsia="MS Mincho"/>
        </w:rPr>
        <w:t>n</w:t>
      </w:r>
      <w:r w:rsidR="00D65109" w:rsidRPr="00F30867">
        <w:rPr>
          <w:rFonts w:eastAsia="MS Mincho"/>
          <w:vertAlign w:val="superscript"/>
        </w:rPr>
        <w:t>o</w:t>
      </w:r>
      <w:r w:rsidR="00D65109" w:rsidRPr="00F30867">
        <w:t> </w:t>
      </w:r>
      <w:proofErr w:type="spellStart"/>
      <w:r w:rsidRPr="00F30867">
        <w:t>zy</w:t>
      </w:r>
      <w:proofErr w:type="spellEnd"/>
    </w:p>
    <w:p w:rsidR="00417FA8" w:rsidRPr="00F30867" w:rsidRDefault="00417FA8" w:rsidP="00392D41">
      <w:pPr>
        <w:pStyle w:val="SingleTxtG"/>
        <w:keepNext/>
        <w:jc w:val="center"/>
      </w:pPr>
      <w:r w:rsidRPr="00F30867">
        <w:t>PROCÈS-VERBAL D’ESSAI</w:t>
      </w:r>
    </w:p>
    <w:p w:rsidR="00417FA8" w:rsidRPr="00F30867" w:rsidRDefault="00417FA8" w:rsidP="00392D41">
      <w:pPr>
        <w:pStyle w:val="SingleTxtG"/>
        <w:jc w:val="center"/>
      </w:pPr>
      <w:r w:rsidRPr="00F30867">
        <w:t xml:space="preserve">Établi conformément aux dispositions spéciales de l’Accord relatif </w:t>
      </w:r>
      <w:r w:rsidR="003C2252">
        <w:br/>
      </w:r>
      <w:r w:rsidRPr="00F30867">
        <w:t xml:space="preserve">aux transports internationaux de denrées périssables et aux engins spéciaux </w:t>
      </w:r>
      <w:r w:rsidR="003C2252">
        <w:br/>
      </w:r>
      <w:r w:rsidRPr="00F30867">
        <w:t>à utiliser pour ces transports (ATP)</w:t>
      </w:r>
    </w:p>
    <w:p w:rsidR="00417FA8" w:rsidRPr="00F30867" w:rsidRDefault="00417FA8" w:rsidP="00392D41">
      <w:pPr>
        <w:pStyle w:val="SingleTxtG"/>
        <w:tabs>
          <w:tab w:val="right" w:leader="dot" w:pos="4536"/>
        </w:tabs>
        <w:jc w:val="center"/>
      </w:pPr>
      <w:r w:rsidRPr="00F30867">
        <w:t>Numéro du procès-verbal d’essai</w:t>
      </w:r>
      <w:r w:rsidR="00716CC0" w:rsidRPr="00F30867">
        <w:t> :</w:t>
      </w:r>
      <w:r w:rsidR="00392D41" w:rsidRPr="00F30867">
        <w:tab/>
      </w:r>
    </w:p>
    <w:p w:rsidR="00417FA8" w:rsidRPr="00F30867" w:rsidRDefault="00417FA8" w:rsidP="00392D41">
      <w:pPr>
        <w:pStyle w:val="SingleTxtG"/>
        <w:jc w:val="center"/>
        <w:rPr>
          <w:rFonts w:eastAsia="Times New Roman"/>
        </w:rPr>
      </w:pPr>
      <w:r w:rsidRPr="00F30867">
        <w:rPr>
          <w:rFonts w:eastAsia="Times New Roman"/>
        </w:rPr>
        <w:t xml:space="preserve">Détermination de la </w:t>
      </w:r>
      <w:r w:rsidRPr="00F30867">
        <w:t>puissance</w:t>
      </w:r>
      <w:r w:rsidRPr="00F30867">
        <w:rPr>
          <w:rFonts w:eastAsia="Times New Roman"/>
        </w:rPr>
        <w:t xml:space="preserve"> frigorifique utile d’un groupe frigorifique </w:t>
      </w:r>
      <w:r w:rsidR="003C2252">
        <w:rPr>
          <w:rFonts w:eastAsia="Times New Roman"/>
        </w:rPr>
        <w:br/>
      </w:r>
      <w:r w:rsidRPr="00F30867">
        <w:rPr>
          <w:rFonts w:eastAsia="Times New Roman"/>
        </w:rPr>
        <w:t>conformément à la section 9 de l’appendice 2 de l’annexe 1 de l’ATP</w:t>
      </w:r>
    </w:p>
    <w:p w:rsidR="00417FA8" w:rsidRPr="00F30867" w:rsidRDefault="00417FA8" w:rsidP="00180BA4">
      <w:pPr>
        <w:pStyle w:val="SingleTxtG"/>
        <w:pBdr>
          <w:bottom w:val="single" w:sz="4" w:space="1" w:color="auto"/>
        </w:pBdr>
        <w:jc w:val="center"/>
        <w:rPr>
          <w:rFonts w:eastAsia="SimSun"/>
        </w:rPr>
      </w:pPr>
      <w:r w:rsidRPr="00F30867">
        <w:rPr>
          <w:rFonts w:eastAsia="SimSun"/>
        </w:rPr>
        <w:t xml:space="preserve">Essais </w:t>
      </w:r>
      <w:r w:rsidRPr="00F30867">
        <w:t>effectués</w:t>
      </w:r>
      <w:r w:rsidRPr="00F30867">
        <w:rPr>
          <w:rFonts w:eastAsia="SimSun"/>
        </w:rPr>
        <w:t xml:space="preserve"> du </w:t>
      </w:r>
      <w:proofErr w:type="spellStart"/>
      <w:r w:rsidRPr="00F30867">
        <w:rPr>
          <w:rFonts w:eastAsia="SimSun"/>
        </w:rPr>
        <w:t>jj</w:t>
      </w:r>
      <w:proofErr w:type="spellEnd"/>
      <w:r w:rsidRPr="00F30867">
        <w:rPr>
          <w:rFonts w:eastAsia="SimSun"/>
        </w:rPr>
        <w:t>/mm/</w:t>
      </w:r>
      <w:proofErr w:type="spellStart"/>
      <w:r w:rsidRPr="00F30867">
        <w:rPr>
          <w:rFonts w:eastAsia="SimSun"/>
        </w:rPr>
        <w:t>aaaa</w:t>
      </w:r>
      <w:proofErr w:type="spellEnd"/>
      <w:r w:rsidRPr="00F30867">
        <w:rPr>
          <w:rFonts w:eastAsia="SimSun"/>
        </w:rPr>
        <w:t xml:space="preserve"> au </w:t>
      </w:r>
      <w:proofErr w:type="spellStart"/>
      <w:r w:rsidRPr="00F30867">
        <w:rPr>
          <w:rFonts w:eastAsia="SimSun"/>
        </w:rPr>
        <w:t>jj</w:t>
      </w:r>
      <w:proofErr w:type="spellEnd"/>
      <w:r w:rsidRPr="00F30867">
        <w:rPr>
          <w:rFonts w:eastAsia="SimSun"/>
        </w:rPr>
        <w:t>/mm/</w:t>
      </w:r>
      <w:proofErr w:type="spellStart"/>
      <w:r w:rsidRPr="00F30867">
        <w:rPr>
          <w:rFonts w:eastAsia="SimSun"/>
        </w:rPr>
        <w:t>aaaa</w:t>
      </w:r>
      <w:proofErr w:type="spellEnd"/>
      <w:r w:rsidRPr="00F30867">
        <w:rPr>
          <w:rFonts w:eastAsia="SimSun"/>
        </w:rPr>
        <w:t xml:space="preserve"> </w:t>
      </w:r>
    </w:p>
    <w:p w:rsidR="00417FA8" w:rsidRPr="00F30867" w:rsidRDefault="00417FA8" w:rsidP="00180BA4">
      <w:pPr>
        <w:pStyle w:val="SingleTxtG"/>
      </w:pPr>
      <w:r w:rsidRPr="00F30867">
        <w:t>Station expérimentale agréée</w:t>
      </w:r>
    </w:p>
    <w:p w:rsidR="00417FA8" w:rsidRPr="00F30867" w:rsidRDefault="00417FA8" w:rsidP="00180BA4">
      <w:pPr>
        <w:pStyle w:val="SingleTxtG"/>
        <w:tabs>
          <w:tab w:val="left" w:leader="dot" w:pos="4536"/>
        </w:tabs>
      </w:pPr>
      <w:r w:rsidRPr="00F30867">
        <w:t>Nom</w:t>
      </w:r>
      <w:r w:rsidR="00716CC0" w:rsidRPr="00F30867">
        <w:t> :</w:t>
      </w:r>
      <w:r w:rsidR="00180BA4" w:rsidRPr="00F30867">
        <w:tab/>
      </w:r>
    </w:p>
    <w:p w:rsidR="00417FA8" w:rsidRPr="00F30867" w:rsidRDefault="00417FA8" w:rsidP="00180BA4">
      <w:pPr>
        <w:pStyle w:val="SingleTxtG"/>
        <w:tabs>
          <w:tab w:val="left" w:leader="dot" w:pos="4536"/>
        </w:tabs>
      </w:pPr>
      <w:r w:rsidRPr="00F30867">
        <w:t>Adresse</w:t>
      </w:r>
      <w:r w:rsidR="00716CC0" w:rsidRPr="00F30867">
        <w:t> :</w:t>
      </w:r>
      <w:r w:rsidR="00180BA4" w:rsidRPr="00F30867">
        <w:tab/>
      </w:r>
    </w:p>
    <w:p w:rsidR="00417FA8" w:rsidRPr="00F30867" w:rsidRDefault="00417FA8" w:rsidP="00B97A71">
      <w:pPr>
        <w:pStyle w:val="H56G"/>
        <w:tabs>
          <w:tab w:val="right" w:leader="dot" w:pos="8505"/>
        </w:tabs>
        <w:rPr>
          <w:u w:val="single"/>
        </w:rPr>
      </w:pPr>
      <w:r w:rsidRPr="00F30867">
        <w:tab/>
      </w:r>
      <w:r w:rsidRPr="00F30867">
        <w:tab/>
        <w:t>Groupe frigorifique présenté par</w:t>
      </w:r>
      <w:r w:rsidR="00716CC0" w:rsidRPr="00F30867">
        <w:t> :</w:t>
      </w:r>
      <w:r w:rsidR="00B97A71" w:rsidRPr="00F30867">
        <w:tab/>
      </w:r>
      <w:r w:rsidRPr="00F30867">
        <w:br/>
        <w:t xml:space="preserve">[(Une déclaration du fabricant doit être fournie si le demandeur n’est pas le fabricant)] </w:t>
      </w:r>
    </w:p>
    <w:p w:rsidR="00417FA8" w:rsidRPr="00F30867" w:rsidRDefault="00417FA8" w:rsidP="00B97A71">
      <w:pPr>
        <w:pStyle w:val="SingleTxtG"/>
      </w:pPr>
      <w:r w:rsidRPr="00F30867">
        <w:t>a)</w:t>
      </w:r>
      <w:r w:rsidRPr="00F30867">
        <w:tab/>
      </w:r>
      <w:r w:rsidRPr="00F30867">
        <w:rPr>
          <w:u w:val="single"/>
        </w:rPr>
        <w:t>Spécifications techniques du groupe</w:t>
      </w:r>
      <w:r w:rsidR="00716CC0" w:rsidRPr="00F30867">
        <w:rPr>
          <w:u w:val="single"/>
        </w:rPr>
        <w:t> :</w:t>
      </w:r>
    </w:p>
    <w:p w:rsidR="00B97A71" w:rsidRPr="00F30867" w:rsidRDefault="00417FA8" w:rsidP="00F445AC">
      <w:pPr>
        <w:pStyle w:val="SingleTxtG"/>
        <w:tabs>
          <w:tab w:val="right" w:leader="dot" w:pos="8505"/>
        </w:tabs>
        <w:spacing w:after="0"/>
        <w:ind w:left="3686" w:hanging="1985"/>
      </w:pPr>
      <w:r w:rsidRPr="00F30867">
        <w:t>Marque</w:t>
      </w:r>
      <w:r w:rsidR="00A04F0B" w:rsidRPr="00F30867">
        <w:tab/>
      </w:r>
      <w:r w:rsidR="00716CC0" w:rsidRPr="00F30867">
        <w:t> :</w:t>
      </w:r>
      <w:r w:rsidR="00A04F0B" w:rsidRPr="00F30867">
        <w:tab/>
      </w:r>
    </w:p>
    <w:p w:rsidR="00B97A71" w:rsidRPr="00F30867" w:rsidRDefault="00417FA8" w:rsidP="00F445AC">
      <w:pPr>
        <w:pStyle w:val="SingleTxtG"/>
        <w:tabs>
          <w:tab w:val="right" w:leader="dot" w:pos="8505"/>
        </w:tabs>
        <w:spacing w:after="0"/>
        <w:ind w:left="3686" w:hanging="1985"/>
      </w:pPr>
      <w:r w:rsidRPr="00F30867">
        <w:t>Désignation du Type</w:t>
      </w:r>
      <w:r w:rsidRPr="00F30867">
        <w:tab/>
      </w:r>
      <w:r w:rsidR="00716CC0" w:rsidRPr="00F30867">
        <w:t> :</w:t>
      </w:r>
      <w:r w:rsidR="00AC68FD" w:rsidRPr="00F30867">
        <w:tab/>
      </w:r>
    </w:p>
    <w:p w:rsidR="00417FA8" w:rsidRPr="00F30867" w:rsidRDefault="00417FA8" w:rsidP="00063DE8">
      <w:pPr>
        <w:pStyle w:val="SingleTxtG"/>
        <w:tabs>
          <w:tab w:val="right" w:leader="dot" w:pos="8505"/>
        </w:tabs>
        <w:spacing w:after="0"/>
        <w:ind w:left="3686" w:hanging="1985"/>
      </w:pPr>
      <w:r w:rsidRPr="00F30867">
        <w:t>Type de gaz liquéfié</w:t>
      </w:r>
      <w:r w:rsidRPr="00F30867">
        <w:tab/>
      </w:r>
      <w:r w:rsidR="00716CC0" w:rsidRPr="00F30867">
        <w:t> :</w:t>
      </w:r>
      <w:r w:rsidR="00AC68FD" w:rsidRPr="00F30867">
        <w:tab/>
      </w:r>
    </w:p>
    <w:p w:rsidR="00417FA8" w:rsidRPr="00F30867" w:rsidRDefault="00417FA8" w:rsidP="00F9587F">
      <w:pPr>
        <w:pStyle w:val="SingleTxtG"/>
        <w:tabs>
          <w:tab w:val="right" w:leader="dot" w:pos="8505"/>
        </w:tabs>
        <w:ind w:left="3686" w:hanging="1985"/>
      </w:pPr>
      <w:r w:rsidRPr="00F30867">
        <w:t>Numéro de série</w:t>
      </w:r>
      <w:r w:rsidRPr="00F30867">
        <w:tab/>
      </w:r>
      <w:r w:rsidR="00716CC0" w:rsidRPr="00F30867">
        <w:t> :</w:t>
      </w:r>
      <w:r w:rsidR="00AC68FD" w:rsidRPr="00F30867">
        <w:tab/>
      </w:r>
    </w:p>
    <w:p w:rsidR="00417FA8" w:rsidRPr="00F30867" w:rsidRDefault="00417FA8" w:rsidP="00A04F0B">
      <w:pPr>
        <w:pStyle w:val="SingleTxtG"/>
      </w:pPr>
      <w:r w:rsidRPr="00F30867">
        <w:t>Date de fabrication (mois/année)</w:t>
      </w:r>
      <w:r w:rsidR="00716CC0" w:rsidRPr="00F30867">
        <w:t> :</w:t>
      </w:r>
      <w:r w:rsidRPr="00F30867">
        <w:t xml:space="preserve"> (Le groupe soumis à l’essai ne doit pas avoir été construit plus d’un an avant les essais ATP) </w:t>
      </w:r>
    </w:p>
    <w:p w:rsidR="00AC68FD" w:rsidRPr="00F30867" w:rsidRDefault="00417FA8" w:rsidP="00063DE8">
      <w:pPr>
        <w:pStyle w:val="SingleTxtG"/>
        <w:keepNext/>
        <w:spacing w:after="0"/>
      </w:pPr>
      <w:r w:rsidRPr="00F30867">
        <w:t>Description</w:t>
      </w:r>
      <w:r w:rsidR="00716CC0" w:rsidRPr="00F30867">
        <w:t> :</w:t>
      </w:r>
    </w:p>
    <w:p w:rsidR="00417FA8" w:rsidRPr="00F30867" w:rsidRDefault="00AC68FD" w:rsidP="00AC68FD">
      <w:pPr>
        <w:pStyle w:val="SingleTxtG"/>
        <w:tabs>
          <w:tab w:val="right" w:leader="dot" w:pos="8505"/>
        </w:tabs>
      </w:pPr>
      <w:r w:rsidRPr="00F30867">
        <w:tab/>
      </w:r>
      <w:r w:rsidRPr="00F30867">
        <w:tab/>
      </w:r>
      <w:r w:rsidRPr="00F30867">
        <w:br/>
      </w:r>
      <w:r w:rsidRPr="00F30867">
        <w:tab/>
      </w:r>
      <w:r w:rsidRPr="00F30867">
        <w:br/>
      </w:r>
      <w:r w:rsidRPr="00F30867">
        <w:tab/>
      </w:r>
    </w:p>
    <w:p w:rsidR="00AC68FD" w:rsidRPr="00F30867" w:rsidRDefault="00417FA8" w:rsidP="00063DE8">
      <w:pPr>
        <w:pStyle w:val="SingleTxtG"/>
        <w:keepNext/>
        <w:spacing w:after="0"/>
      </w:pPr>
      <w:r w:rsidRPr="00F30867">
        <w:rPr>
          <w:rFonts w:eastAsia="SimSun"/>
        </w:rPr>
        <w:t xml:space="preserve">Soupape de régulation </w:t>
      </w:r>
      <w:r w:rsidRPr="00F30867">
        <w:t>(si différentes catégories de ventilateurs sont utilisées, fournir les informations ci-dessous pour chacune)</w:t>
      </w:r>
    </w:p>
    <w:p w:rsidR="00AC68FD" w:rsidRPr="00F30867" w:rsidRDefault="00417FA8" w:rsidP="00F445AC">
      <w:pPr>
        <w:pStyle w:val="SingleTxtG"/>
        <w:tabs>
          <w:tab w:val="right" w:leader="dot" w:pos="8505"/>
        </w:tabs>
        <w:spacing w:after="0"/>
        <w:ind w:left="3686" w:hanging="1985"/>
        <w:rPr>
          <w:rFonts w:eastAsia="SimSun"/>
        </w:rPr>
      </w:pPr>
      <w:r w:rsidRPr="00F30867">
        <w:t>Marque</w:t>
      </w:r>
      <w:r w:rsidRPr="00F30867">
        <w:rPr>
          <w:rFonts w:eastAsia="SimSun"/>
        </w:rPr>
        <w:tab/>
      </w:r>
      <w:r w:rsidR="00716CC0" w:rsidRPr="00F30867">
        <w:rPr>
          <w:rFonts w:eastAsia="SimSun"/>
        </w:rPr>
        <w:t> :</w:t>
      </w:r>
      <w:r w:rsidR="00AC68FD" w:rsidRPr="00F30867">
        <w:rPr>
          <w:rFonts w:eastAsia="SimSun"/>
        </w:rPr>
        <w:tab/>
      </w:r>
    </w:p>
    <w:p w:rsidR="00AC68FD" w:rsidRPr="00F30867" w:rsidRDefault="00417FA8" w:rsidP="00063DE8">
      <w:pPr>
        <w:pStyle w:val="SingleTxtG"/>
        <w:tabs>
          <w:tab w:val="right" w:leader="dot" w:pos="8505"/>
        </w:tabs>
        <w:spacing w:after="0"/>
        <w:ind w:left="3686" w:hanging="1985"/>
        <w:rPr>
          <w:rFonts w:eastAsia="SimSun"/>
        </w:rPr>
      </w:pPr>
      <w:r w:rsidRPr="00F30867">
        <w:t>Type</w:t>
      </w:r>
      <w:r w:rsidRPr="00F30867">
        <w:rPr>
          <w:rFonts w:eastAsia="SimSun"/>
        </w:rPr>
        <w:tab/>
      </w:r>
      <w:r w:rsidR="00716CC0" w:rsidRPr="00F30867">
        <w:rPr>
          <w:rFonts w:eastAsia="SimSun"/>
        </w:rPr>
        <w:t> :</w:t>
      </w:r>
      <w:r w:rsidR="00AC68FD" w:rsidRPr="00F30867">
        <w:rPr>
          <w:rFonts w:eastAsia="SimSun"/>
        </w:rPr>
        <w:tab/>
      </w:r>
    </w:p>
    <w:p w:rsidR="00417FA8" w:rsidRPr="00F30867" w:rsidRDefault="00417FA8" w:rsidP="00F9587F">
      <w:pPr>
        <w:pStyle w:val="SingleTxtG"/>
        <w:tabs>
          <w:tab w:val="right" w:leader="dot" w:pos="8505"/>
        </w:tabs>
        <w:ind w:left="3686" w:hanging="1985"/>
        <w:rPr>
          <w:rFonts w:eastAsia="SimSun"/>
        </w:rPr>
      </w:pPr>
      <w:r w:rsidRPr="00F30867">
        <w:t>Numéro</w:t>
      </w:r>
      <w:r w:rsidRPr="00F30867">
        <w:rPr>
          <w:rFonts w:eastAsia="SimSun"/>
        </w:rPr>
        <w:t xml:space="preserve"> de série</w:t>
      </w:r>
      <w:r w:rsidRPr="00F30867">
        <w:rPr>
          <w:rFonts w:eastAsia="SimSun"/>
        </w:rPr>
        <w:tab/>
      </w:r>
      <w:r w:rsidR="00716CC0" w:rsidRPr="00F30867">
        <w:rPr>
          <w:rFonts w:eastAsia="SimSun"/>
        </w:rPr>
        <w:t> :</w:t>
      </w:r>
      <w:r w:rsidR="00AC68FD" w:rsidRPr="00F30867">
        <w:rPr>
          <w:rFonts w:eastAsia="SimSun"/>
        </w:rPr>
        <w:tab/>
      </w:r>
    </w:p>
    <w:p w:rsidR="00183076" w:rsidRPr="00F30867" w:rsidRDefault="00417FA8" w:rsidP="00063DE8">
      <w:pPr>
        <w:pStyle w:val="SingleTxtG"/>
        <w:keepNext/>
        <w:spacing w:after="0"/>
        <w:rPr>
          <w:rFonts w:eastAsia="Times New Roman"/>
        </w:rPr>
      </w:pPr>
      <w:r w:rsidRPr="00F30867">
        <w:rPr>
          <w:rFonts w:eastAsia="SimSun"/>
        </w:rPr>
        <w:t>Réservoir</w:t>
      </w:r>
      <w:r w:rsidRPr="00F30867">
        <w:rPr>
          <w:rFonts w:eastAsia="SimSun"/>
          <w:i/>
        </w:rPr>
        <w:t xml:space="preserve"> </w:t>
      </w:r>
      <w:r w:rsidRPr="00F30867">
        <w:rPr>
          <w:rFonts w:eastAsia="Times New Roman"/>
        </w:rPr>
        <w:t>(si différentes catégories de ventilateurs sont utilisées, fournir les inf</w:t>
      </w:r>
      <w:r w:rsidR="00392319">
        <w:rPr>
          <w:rFonts w:eastAsia="Times New Roman"/>
        </w:rPr>
        <w:t>ormations ci</w:t>
      </w:r>
      <w:r w:rsidR="00392319">
        <w:rPr>
          <w:rFonts w:eastAsia="Times New Roman"/>
        </w:rPr>
        <w:noBreakHyphen/>
      </w:r>
      <w:r w:rsidRPr="00F30867">
        <w:t>dessous</w:t>
      </w:r>
      <w:r w:rsidRPr="00F30867">
        <w:rPr>
          <w:rFonts w:eastAsia="Times New Roman"/>
        </w:rPr>
        <w:t xml:space="preserve"> pour chacune)</w:t>
      </w:r>
    </w:p>
    <w:p w:rsidR="00183076" w:rsidRPr="00F30867" w:rsidRDefault="00417FA8" w:rsidP="00F445AC">
      <w:pPr>
        <w:pStyle w:val="SingleTxtG"/>
        <w:tabs>
          <w:tab w:val="right" w:leader="dot" w:pos="8505"/>
        </w:tabs>
        <w:spacing w:after="0"/>
        <w:ind w:left="3686" w:hanging="1985"/>
      </w:pPr>
      <w:r w:rsidRPr="00F30867">
        <w:t>Marque</w:t>
      </w:r>
      <w:r w:rsidRPr="00F30867">
        <w:tab/>
      </w:r>
      <w:r w:rsidR="00716CC0" w:rsidRPr="00F30867">
        <w:t> :</w:t>
      </w:r>
      <w:r w:rsidR="00B66EE4" w:rsidRPr="00F30867">
        <w:tab/>
      </w:r>
    </w:p>
    <w:p w:rsidR="00183076" w:rsidRPr="00F30867" w:rsidRDefault="00417FA8" w:rsidP="00F445AC">
      <w:pPr>
        <w:pStyle w:val="SingleTxtG"/>
        <w:tabs>
          <w:tab w:val="right" w:leader="dot" w:pos="8505"/>
        </w:tabs>
        <w:spacing w:after="0"/>
        <w:ind w:left="3686" w:hanging="1985"/>
      </w:pPr>
      <w:r w:rsidRPr="00F30867">
        <w:t>Type</w:t>
      </w:r>
      <w:r w:rsidRPr="00F30867">
        <w:tab/>
      </w:r>
      <w:r w:rsidR="00716CC0" w:rsidRPr="00F30867">
        <w:t> :</w:t>
      </w:r>
      <w:r w:rsidR="00B66EE4" w:rsidRPr="00F30867">
        <w:tab/>
      </w:r>
    </w:p>
    <w:p w:rsidR="00183076" w:rsidRPr="00F30867" w:rsidRDefault="00417FA8" w:rsidP="00F445AC">
      <w:pPr>
        <w:pStyle w:val="SingleTxtG"/>
        <w:tabs>
          <w:tab w:val="right" w:leader="dot" w:pos="8505"/>
        </w:tabs>
        <w:spacing w:after="0"/>
        <w:ind w:left="3686" w:hanging="1985"/>
      </w:pPr>
      <w:r w:rsidRPr="00F30867">
        <w:t xml:space="preserve">Numéro de série </w:t>
      </w:r>
      <w:r w:rsidRPr="00F30867">
        <w:tab/>
      </w:r>
      <w:r w:rsidR="00716CC0" w:rsidRPr="00F30867">
        <w:t> :</w:t>
      </w:r>
      <w:r w:rsidR="00B66EE4" w:rsidRPr="00F30867">
        <w:tab/>
      </w:r>
    </w:p>
    <w:p w:rsidR="00183076" w:rsidRPr="00F30867" w:rsidRDefault="00417FA8" w:rsidP="00F445AC">
      <w:pPr>
        <w:pStyle w:val="SingleTxtG"/>
        <w:tabs>
          <w:tab w:val="right" w:leader="dot" w:pos="8505"/>
        </w:tabs>
        <w:spacing w:after="0"/>
        <w:ind w:left="3686" w:hanging="1985"/>
      </w:pPr>
      <w:r w:rsidRPr="00F30867">
        <w:t>Capacité [l]</w:t>
      </w:r>
      <w:r w:rsidRPr="00F30867">
        <w:tab/>
      </w:r>
      <w:r w:rsidR="00716CC0" w:rsidRPr="00F30867">
        <w:t> :</w:t>
      </w:r>
      <w:r w:rsidR="00B66EE4" w:rsidRPr="00F30867">
        <w:tab/>
      </w:r>
    </w:p>
    <w:p w:rsidR="00417FA8" w:rsidRPr="00F30867" w:rsidRDefault="00417FA8" w:rsidP="00063DE8">
      <w:pPr>
        <w:pStyle w:val="SingleTxtG"/>
        <w:tabs>
          <w:tab w:val="right" w:leader="dot" w:pos="8505"/>
        </w:tabs>
        <w:ind w:left="3686" w:hanging="1985"/>
      </w:pPr>
      <w:r w:rsidRPr="00F30867">
        <w:t>Pression de gaz à la sortie du réservoir</w:t>
      </w:r>
      <w:r w:rsidR="00716CC0" w:rsidRPr="00F30867">
        <w:t> :</w:t>
      </w:r>
      <w:r w:rsidR="00B66EE4" w:rsidRPr="00F30867">
        <w:tab/>
      </w:r>
    </w:p>
    <w:p w:rsidR="00183076" w:rsidRPr="00F30867" w:rsidRDefault="00417FA8" w:rsidP="00F445AC">
      <w:pPr>
        <w:pStyle w:val="SingleTxtG"/>
        <w:tabs>
          <w:tab w:val="right" w:leader="dot" w:pos="8505"/>
        </w:tabs>
        <w:spacing w:after="0"/>
        <w:ind w:left="3686" w:hanging="1985"/>
      </w:pPr>
      <w:r w:rsidRPr="00F30867">
        <w:t>Méthode d’isolation</w:t>
      </w:r>
      <w:r w:rsidRPr="00F30867">
        <w:tab/>
      </w:r>
      <w:r w:rsidR="00716CC0" w:rsidRPr="00F30867">
        <w:t> :</w:t>
      </w:r>
      <w:r w:rsidR="00B66EE4" w:rsidRPr="00F30867">
        <w:tab/>
      </w:r>
    </w:p>
    <w:p w:rsidR="00183076" w:rsidRPr="00F30867" w:rsidRDefault="00417FA8" w:rsidP="00F445AC">
      <w:pPr>
        <w:pStyle w:val="SingleTxtG"/>
        <w:tabs>
          <w:tab w:val="right" w:leader="dot" w:pos="8505"/>
        </w:tabs>
        <w:spacing w:after="0"/>
        <w:ind w:left="3686" w:hanging="1985"/>
      </w:pPr>
      <w:r w:rsidRPr="00F30867">
        <w:t>Matériau de l’intérieur du réservoir</w:t>
      </w:r>
      <w:r w:rsidR="00716CC0" w:rsidRPr="00F30867">
        <w:t> :</w:t>
      </w:r>
      <w:r w:rsidR="00B66EE4" w:rsidRPr="00F30867">
        <w:tab/>
      </w:r>
    </w:p>
    <w:p w:rsidR="00183076" w:rsidRPr="00F30867" w:rsidRDefault="00417FA8" w:rsidP="00F445AC">
      <w:pPr>
        <w:pStyle w:val="SingleTxtG"/>
        <w:tabs>
          <w:tab w:val="right" w:leader="dot" w:pos="8505"/>
        </w:tabs>
        <w:spacing w:after="0"/>
        <w:ind w:left="3686" w:hanging="1985"/>
        <w:rPr>
          <w:rFonts w:eastAsia="SimSun"/>
        </w:rPr>
      </w:pPr>
      <w:r w:rsidRPr="00F30867">
        <w:t>Matériau</w:t>
      </w:r>
      <w:r w:rsidRPr="00F30867">
        <w:rPr>
          <w:rFonts w:eastAsia="SimSun"/>
        </w:rPr>
        <w:t xml:space="preserve"> de l’extérieur du réservoir</w:t>
      </w:r>
      <w:r w:rsidR="00716CC0" w:rsidRPr="00F30867">
        <w:rPr>
          <w:rFonts w:eastAsia="SimSun"/>
        </w:rPr>
        <w:t> :</w:t>
      </w:r>
      <w:r w:rsidR="00B66EE4" w:rsidRPr="00F30867">
        <w:rPr>
          <w:rFonts w:eastAsia="SimSun"/>
        </w:rPr>
        <w:tab/>
      </w:r>
    </w:p>
    <w:p w:rsidR="00417FA8" w:rsidRPr="00F30867" w:rsidRDefault="00417FA8" w:rsidP="00F9587F">
      <w:pPr>
        <w:pStyle w:val="SingleTxtG"/>
        <w:tabs>
          <w:tab w:val="left" w:pos="5103"/>
        </w:tabs>
        <w:ind w:left="4253" w:hanging="2552"/>
      </w:pPr>
      <w:r w:rsidRPr="00F30867">
        <w:t>Alimentation en gaz liquéfié</w:t>
      </w:r>
      <w:r w:rsidR="00716CC0" w:rsidRPr="00F30867">
        <w:t> :</w:t>
      </w:r>
      <w:r w:rsidR="00F842C5" w:rsidRPr="00F30867">
        <w:tab/>
      </w:r>
      <w:r w:rsidRPr="00F30867">
        <w:t xml:space="preserve">(pression </w:t>
      </w:r>
      <w:r w:rsidR="00F842C5" w:rsidRPr="00F30867">
        <w:t>interne, pression par échangeur t</w:t>
      </w:r>
      <w:r w:rsidRPr="00F30867">
        <w:t>hermique, pompe)</w:t>
      </w:r>
      <w:r w:rsidRPr="00F30867">
        <w:rPr>
          <w:rStyle w:val="FootnoteReference"/>
        </w:rPr>
        <w:t>1</w:t>
      </w:r>
    </w:p>
    <w:p w:rsidR="00417FA8" w:rsidRPr="00F30867" w:rsidRDefault="00417FA8" w:rsidP="00063DE8">
      <w:pPr>
        <w:pStyle w:val="SingleTxtG"/>
        <w:keepNext/>
        <w:spacing w:after="0"/>
        <w:rPr>
          <w:rFonts w:eastAsia="SimSun"/>
        </w:rPr>
      </w:pPr>
      <w:r w:rsidRPr="00F30867">
        <w:t>Régulateur</w:t>
      </w:r>
      <w:r w:rsidRPr="00F30867">
        <w:rPr>
          <w:rFonts w:eastAsia="SimSun"/>
        </w:rPr>
        <w:t xml:space="preserve"> de pression </w:t>
      </w:r>
    </w:p>
    <w:p w:rsidR="0016087C" w:rsidRPr="00F30867" w:rsidRDefault="00417FA8" w:rsidP="00F445AC">
      <w:pPr>
        <w:pStyle w:val="SingleTxtG"/>
        <w:tabs>
          <w:tab w:val="right" w:leader="dot" w:pos="8505"/>
        </w:tabs>
        <w:spacing w:after="0"/>
        <w:ind w:left="3686" w:hanging="1985"/>
      </w:pPr>
      <w:r w:rsidRPr="00F30867">
        <w:t>Marque</w:t>
      </w:r>
      <w:r w:rsidRPr="00F30867">
        <w:tab/>
      </w:r>
      <w:r w:rsidR="00716CC0" w:rsidRPr="00F30867">
        <w:t> :</w:t>
      </w:r>
      <w:r w:rsidR="00F445AC" w:rsidRPr="00F30867">
        <w:tab/>
      </w:r>
    </w:p>
    <w:p w:rsidR="0016087C" w:rsidRPr="00F30867" w:rsidRDefault="00417FA8" w:rsidP="00F445AC">
      <w:pPr>
        <w:pStyle w:val="SingleTxtG"/>
        <w:tabs>
          <w:tab w:val="right" w:leader="dot" w:pos="8505"/>
        </w:tabs>
        <w:spacing w:after="0"/>
        <w:ind w:left="3686" w:hanging="1985"/>
        <w:rPr>
          <w:rFonts w:eastAsia="SimSun"/>
        </w:rPr>
      </w:pPr>
      <w:r w:rsidRPr="00F30867">
        <w:t>Type</w:t>
      </w:r>
      <w:r w:rsidRPr="00F30867">
        <w:rPr>
          <w:rFonts w:eastAsia="SimSun"/>
        </w:rPr>
        <w:tab/>
      </w:r>
      <w:r w:rsidR="00716CC0" w:rsidRPr="00F30867">
        <w:rPr>
          <w:rFonts w:eastAsia="SimSun"/>
        </w:rPr>
        <w:t> :</w:t>
      </w:r>
      <w:r w:rsidR="00F445AC" w:rsidRPr="00F30867">
        <w:rPr>
          <w:rFonts w:eastAsia="SimSun"/>
        </w:rPr>
        <w:tab/>
      </w:r>
    </w:p>
    <w:p w:rsidR="0016087C" w:rsidRPr="00F30867" w:rsidRDefault="00417FA8" w:rsidP="00F445AC">
      <w:pPr>
        <w:pStyle w:val="SingleTxtG"/>
        <w:tabs>
          <w:tab w:val="right" w:leader="dot" w:pos="8505"/>
        </w:tabs>
        <w:spacing w:after="0"/>
        <w:ind w:left="3686" w:hanging="1985"/>
      </w:pPr>
      <w:r w:rsidRPr="00F30867">
        <w:t>Numéro de série</w:t>
      </w:r>
      <w:r w:rsidRPr="00F30867">
        <w:tab/>
      </w:r>
      <w:r w:rsidR="00716CC0" w:rsidRPr="00F30867">
        <w:t> :</w:t>
      </w:r>
      <w:r w:rsidR="00F445AC" w:rsidRPr="00F30867">
        <w:tab/>
      </w:r>
    </w:p>
    <w:p w:rsidR="00417FA8" w:rsidRPr="00F30867" w:rsidRDefault="00417FA8" w:rsidP="00063DE8">
      <w:pPr>
        <w:pStyle w:val="SingleTxtG"/>
        <w:tabs>
          <w:tab w:val="right" w:leader="dot" w:pos="8505"/>
        </w:tabs>
        <w:ind w:left="3686" w:hanging="1985"/>
        <w:rPr>
          <w:rFonts w:eastAsia="Times New Roman"/>
        </w:rPr>
      </w:pPr>
      <w:r w:rsidRPr="00F30867">
        <w:t>Pression</w:t>
      </w:r>
      <w:r w:rsidRPr="00F30867">
        <w:rPr>
          <w:rFonts w:eastAsia="SimSun"/>
        </w:rPr>
        <w:t xml:space="preserve"> de gaz à la sortie du réservoir</w:t>
      </w:r>
      <w:r w:rsidR="00716CC0" w:rsidRPr="00F30867">
        <w:rPr>
          <w:rFonts w:eastAsia="SimSun"/>
        </w:rPr>
        <w:t> :</w:t>
      </w:r>
      <w:r w:rsidR="00F445AC" w:rsidRPr="00F30867">
        <w:rPr>
          <w:rFonts w:eastAsia="SimSun"/>
        </w:rPr>
        <w:tab/>
      </w:r>
    </w:p>
    <w:p w:rsidR="00183076" w:rsidRPr="00F30867" w:rsidRDefault="00417FA8" w:rsidP="00063DE8">
      <w:pPr>
        <w:pStyle w:val="SingleTxtG"/>
        <w:keepNext/>
        <w:spacing w:after="0"/>
        <w:rPr>
          <w:rFonts w:eastAsia="Times New Roman"/>
        </w:rPr>
      </w:pPr>
      <w:r w:rsidRPr="00F30867">
        <w:t>Tuyau</w:t>
      </w:r>
      <w:r w:rsidRPr="00F30867">
        <w:rPr>
          <w:rFonts w:eastAsia="Times New Roman"/>
        </w:rPr>
        <w:t xml:space="preserve"> d’alimentation en gaz liquéfié (sur le banc d’essai)</w:t>
      </w:r>
    </w:p>
    <w:p w:rsidR="0016087C" w:rsidRPr="00F30867" w:rsidRDefault="00417FA8" w:rsidP="00F445AC">
      <w:pPr>
        <w:pStyle w:val="SingleTxtG"/>
        <w:tabs>
          <w:tab w:val="right" w:leader="dot" w:pos="8505"/>
        </w:tabs>
        <w:spacing w:after="0"/>
        <w:ind w:left="3686" w:hanging="1985"/>
      </w:pPr>
      <w:r w:rsidRPr="00F30867">
        <w:t>Diamètre</w:t>
      </w:r>
      <w:r w:rsidRPr="00F30867">
        <w:tab/>
      </w:r>
      <w:r w:rsidR="00716CC0" w:rsidRPr="00F30867">
        <w:t> :</w:t>
      </w:r>
      <w:r w:rsidR="00F445AC" w:rsidRPr="00F30867">
        <w:tab/>
      </w:r>
    </w:p>
    <w:p w:rsidR="0016087C" w:rsidRPr="00F30867" w:rsidRDefault="00417FA8" w:rsidP="00F445AC">
      <w:pPr>
        <w:pStyle w:val="SingleTxtG"/>
        <w:tabs>
          <w:tab w:val="right" w:leader="dot" w:pos="8505"/>
        </w:tabs>
        <w:spacing w:after="0"/>
        <w:ind w:left="3686" w:hanging="1985"/>
      </w:pPr>
      <w:r w:rsidRPr="00F30867">
        <w:t>Longueur</w:t>
      </w:r>
      <w:r w:rsidRPr="00F30867">
        <w:tab/>
      </w:r>
      <w:r w:rsidR="00716CC0" w:rsidRPr="00F30867">
        <w:t> :</w:t>
      </w:r>
      <w:r w:rsidR="00F445AC" w:rsidRPr="00F30867">
        <w:tab/>
      </w:r>
    </w:p>
    <w:p w:rsidR="0016087C" w:rsidRPr="00F30867" w:rsidRDefault="00417FA8" w:rsidP="00F445AC">
      <w:pPr>
        <w:pStyle w:val="SingleTxtG"/>
        <w:tabs>
          <w:tab w:val="right" w:leader="dot" w:pos="8505"/>
        </w:tabs>
        <w:spacing w:after="0"/>
        <w:ind w:left="3686" w:hanging="1985"/>
      </w:pPr>
      <w:r w:rsidRPr="00F30867">
        <w:t>Matériau</w:t>
      </w:r>
      <w:r w:rsidRPr="00F30867">
        <w:tab/>
      </w:r>
      <w:r w:rsidR="00716CC0" w:rsidRPr="00F30867">
        <w:t> :</w:t>
      </w:r>
      <w:r w:rsidR="00F445AC" w:rsidRPr="00F30867">
        <w:tab/>
      </w:r>
    </w:p>
    <w:p w:rsidR="00417FA8" w:rsidRPr="00F30867" w:rsidRDefault="00417FA8" w:rsidP="00063DE8">
      <w:pPr>
        <w:pStyle w:val="SingleTxtG"/>
        <w:tabs>
          <w:tab w:val="right" w:leader="dot" w:pos="8505"/>
        </w:tabs>
        <w:ind w:left="3686" w:hanging="1985"/>
        <w:rPr>
          <w:rFonts w:eastAsia="SimSun"/>
        </w:rPr>
      </w:pPr>
      <w:r w:rsidRPr="00F30867">
        <w:t>Nombre</w:t>
      </w:r>
      <w:r w:rsidRPr="00F30867">
        <w:rPr>
          <w:rFonts w:eastAsia="SimSun"/>
        </w:rPr>
        <w:t xml:space="preserve"> de connections</w:t>
      </w:r>
      <w:r w:rsidRPr="00F30867">
        <w:rPr>
          <w:rFonts w:eastAsia="SimSun"/>
        </w:rPr>
        <w:tab/>
      </w:r>
      <w:r w:rsidR="00716CC0" w:rsidRPr="00F30867">
        <w:rPr>
          <w:rFonts w:eastAsia="SimSun"/>
        </w:rPr>
        <w:t> :</w:t>
      </w:r>
      <w:r w:rsidR="00F445AC" w:rsidRPr="00F30867">
        <w:rPr>
          <w:rFonts w:eastAsia="SimSun"/>
        </w:rPr>
        <w:tab/>
      </w:r>
    </w:p>
    <w:p w:rsidR="00417FA8" w:rsidRPr="00F30867" w:rsidRDefault="00417FA8" w:rsidP="00063DE8">
      <w:pPr>
        <w:pStyle w:val="SingleTxtG"/>
        <w:keepNext/>
        <w:spacing w:after="0"/>
        <w:rPr>
          <w:rFonts w:eastAsia="SimSun"/>
        </w:rPr>
      </w:pPr>
      <w:r w:rsidRPr="00F30867">
        <w:t>Dispositif</w:t>
      </w:r>
      <w:r w:rsidRPr="00F30867">
        <w:rPr>
          <w:rFonts w:eastAsia="SimSun"/>
        </w:rPr>
        <w:t xml:space="preserve"> de dégivrage (électrique/à combustion)</w:t>
      </w:r>
      <w:r w:rsidRPr="00F30867">
        <w:rPr>
          <w:rFonts w:eastAsia="SimSun"/>
          <w:vertAlign w:val="superscript"/>
        </w:rPr>
        <w:t>1</w:t>
      </w:r>
    </w:p>
    <w:p w:rsidR="0016087C" w:rsidRPr="00F30867" w:rsidRDefault="00417FA8" w:rsidP="00F445AC">
      <w:pPr>
        <w:pStyle w:val="SingleTxtG"/>
        <w:tabs>
          <w:tab w:val="right" w:leader="dot" w:pos="8505"/>
        </w:tabs>
        <w:spacing w:after="0"/>
        <w:ind w:left="3686" w:hanging="1985"/>
      </w:pPr>
      <w:r w:rsidRPr="00F30867">
        <w:t>Marque</w:t>
      </w:r>
      <w:r w:rsidRPr="00F30867">
        <w:tab/>
      </w:r>
      <w:r w:rsidR="00716CC0" w:rsidRPr="00F30867">
        <w:t> :</w:t>
      </w:r>
      <w:r w:rsidR="00F445AC" w:rsidRPr="00F30867">
        <w:tab/>
      </w:r>
    </w:p>
    <w:p w:rsidR="00417FA8" w:rsidRPr="00F30867" w:rsidRDefault="00417FA8" w:rsidP="00F445AC">
      <w:pPr>
        <w:pStyle w:val="SingleTxtG"/>
        <w:tabs>
          <w:tab w:val="right" w:leader="dot" w:pos="8505"/>
        </w:tabs>
        <w:spacing w:after="0"/>
        <w:ind w:left="3686" w:hanging="1985"/>
      </w:pPr>
      <w:r w:rsidRPr="00F30867">
        <w:t>Type</w:t>
      </w:r>
      <w:r w:rsidRPr="00F30867">
        <w:tab/>
      </w:r>
      <w:r w:rsidR="00716CC0" w:rsidRPr="00F30867">
        <w:t> :</w:t>
      </w:r>
      <w:r w:rsidR="00F445AC" w:rsidRPr="00F30867">
        <w:tab/>
      </w:r>
    </w:p>
    <w:p w:rsidR="00417FA8" w:rsidRPr="00F30867" w:rsidRDefault="00417FA8" w:rsidP="00F445AC">
      <w:pPr>
        <w:pStyle w:val="SingleTxtG"/>
        <w:tabs>
          <w:tab w:val="right" w:leader="dot" w:pos="8505"/>
        </w:tabs>
        <w:spacing w:after="0"/>
        <w:ind w:left="3686" w:hanging="1985"/>
      </w:pPr>
      <w:r w:rsidRPr="00F30867">
        <w:t>Alimentation</w:t>
      </w:r>
      <w:r w:rsidRPr="00F30867">
        <w:tab/>
      </w:r>
      <w:r w:rsidR="00716CC0" w:rsidRPr="00F30867">
        <w:t> :</w:t>
      </w:r>
      <w:r w:rsidR="00F445AC" w:rsidRPr="00F30867">
        <w:tab/>
      </w:r>
    </w:p>
    <w:p w:rsidR="00417FA8" w:rsidRPr="00F30867" w:rsidRDefault="00417FA8" w:rsidP="00063DE8">
      <w:pPr>
        <w:pStyle w:val="SingleTxtG"/>
        <w:tabs>
          <w:tab w:val="right" w:leader="dot" w:pos="8505"/>
        </w:tabs>
        <w:ind w:left="3686" w:hanging="1985"/>
        <w:rPr>
          <w:rFonts w:eastAsia="SimSun"/>
          <w:i/>
        </w:rPr>
      </w:pPr>
      <w:r w:rsidRPr="00F30867">
        <w:t>Puissance</w:t>
      </w:r>
      <w:r w:rsidRPr="00F30867">
        <w:rPr>
          <w:rFonts w:eastAsia="SimSun"/>
        </w:rPr>
        <w:t xml:space="preserve"> de chauffage déclarée</w:t>
      </w:r>
      <w:r w:rsidR="00716CC0" w:rsidRPr="00F30867">
        <w:rPr>
          <w:rFonts w:eastAsia="SimSun"/>
        </w:rPr>
        <w:t> :</w:t>
      </w:r>
      <w:r w:rsidR="00F445AC" w:rsidRPr="00F30867">
        <w:rPr>
          <w:rFonts w:eastAsia="SimSun"/>
        </w:rPr>
        <w:tab/>
      </w:r>
    </w:p>
    <w:p w:rsidR="00417FA8" w:rsidRPr="00F30867" w:rsidRDefault="00417FA8" w:rsidP="00063DE8">
      <w:pPr>
        <w:pStyle w:val="SingleTxtG"/>
        <w:keepNext/>
        <w:spacing w:after="0"/>
        <w:rPr>
          <w:rFonts w:eastAsia="SimSun"/>
        </w:rPr>
      </w:pPr>
      <w:r w:rsidRPr="00F30867">
        <w:t>Régulateur</w:t>
      </w:r>
    </w:p>
    <w:p w:rsidR="0016087C" w:rsidRPr="00F30867" w:rsidRDefault="00417FA8" w:rsidP="00F445AC">
      <w:pPr>
        <w:pStyle w:val="SingleTxtG"/>
        <w:tabs>
          <w:tab w:val="right" w:leader="dot" w:pos="8505"/>
        </w:tabs>
        <w:spacing w:after="0"/>
        <w:ind w:left="3686" w:hanging="1985"/>
      </w:pPr>
      <w:r w:rsidRPr="00F30867">
        <w:t>Marque</w:t>
      </w:r>
      <w:r w:rsidRPr="00F30867">
        <w:tab/>
      </w:r>
      <w:r w:rsidR="00716CC0" w:rsidRPr="00F30867">
        <w:t> :</w:t>
      </w:r>
      <w:r w:rsidR="00F445AC" w:rsidRPr="00F30867">
        <w:tab/>
      </w:r>
    </w:p>
    <w:p w:rsidR="00417FA8" w:rsidRPr="00F30867" w:rsidRDefault="00417FA8" w:rsidP="00F445AC">
      <w:pPr>
        <w:pStyle w:val="SingleTxtG"/>
        <w:tabs>
          <w:tab w:val="right" w:leader="dot" w:pos="8505"/>
        </w:tabs>
        <w:spacing w:after="0"/>
        <w:ind w:left="3686" w:hanging="1985"/>
      </w:pPr>
      <w:r w:rsidRPr="00F30867">
        <w:t>Type</w:t>
      </w:r>
      <w:r w:rsidRPr="00F30867">
        <w:tab/>
      </w:r>
      <w:r w:rsidR="00716CC0" w:rsidRPr="00F30867">
        <w:t> :</w:t>
      </w:r>
      <w:r w:rsidR="00F445AC" w:rsidRPr="00F30867">
        <w:tab/>
      </w:r>
    </w:p>
    <w:p w:rsidR="00417FA8" w:rsidRPr="00F30867" w:rsidRDefault="00417FA8" w:rsidP="00F445AC">
      <w:pPr>
        <w:pStyle w:val="SingleTxtG"/>
        <w:tabs>
          <w:tab w:val="right" w:leader="dot" w:pos="8505"/>
        </w:tabs>
        <w:spacing w:after="0"/>
        <w:ind w:left="3686" w:hanging="1985"/>
      </w:pPr>
      <w:r w:rsidRPr="00F30867">
        <w:t>Version du matériel</w:t>
      </w:r>
      <w:r w:rsidRPr="00F30867">
        <w:tab/>
      </w:r>
      <w:r w:rsidR="00716CC0" w:rsidRPr="00F30867">
        <w:t> :</w:t>
      </w:r>
      <w:r w:rsidR="00F445AC" w:rsidRPr="00F30867">
        <w:tab/>
      </w:r>
    </w:p>
    <w:p w:rsidR="00417FA8" w:rsidRPr="00F30867" w:rsidRDefault="00417FA8" w:rsidP="00F445AC">
      <w:pPr>
        <w:pStyle w:val="SingleTxtG"/>
        <w:tabs>
          <w:tab w:val="right" w:leader="dot" w:pos="8505"/>
        </w:tabs>
        <w:spacing w:after="0"/>
        <w:ind w:left="3686" w:hanging="1985"/>
      </w:pPr>
      <w:r w:rsidRPr="00F30867">
        <w:t>Version du logiciel</w:t>
      </w:r>
      <w:r w:rsidRPr="00F30867">
        <w:tab/>
      </w:r>
      <w:r w:rsidR="00716CC0" w:rsidRPr="00F30867">
        <w:t> :</w:t>
      </w:r>
      <w:r w:rsidR="00F445AC" w:rsidRPr="00F30867">
        <w:tab/>
      </w:r>
    </w:p>
    <w:p w:rsidR="0016087C" w:rsidRPr="00F30867" w:rsidRDefault="00417FA8" w:rsidP="00F445AC">
      <w:pPr>
        <w:pStyle w:val="SingleTxtG"/>
        <w:tabs>
          <w:tab w:val="right" w:leader="dot" w:pos="8505"/>
        </w:tabs>
        <w:spacing w:after="0"/>
        <w:ind w:left="3686" w:hanging="1985"/>
      </w:pPr>
      <w:r w:rsidRPr="00F30867">
        <w:t>Numéro de série</w:t>
      </w:r>
      <w:r w:rsidRPr="00F30867">
        <w:tab/>
      </w:r>
      <w:r w:rsidR="00716CC0" w:rsidRPr="00F30867">
        <w:t> :</w:t>
      </w:r>
      <w:r w:rsidR="00F445AC" w:rsidRPr="00F30867">
        <w:tab/>
      </w:r>
    </w:p>
    <w:p w:rsidR="00417FA8" w:rsidRPr="00F30867" w:rsidRDefault="00417FA8" w:rsidP="00063DE8">
      <w:pPr>
        <w:pStyle w:val="SingleTxtG"/>
        <w:tabs>
          <w:tab w:val="right" w:leader="dot" w:pos="8505"/>
        </w:tabs>
        <w:ind w:left="3686" w:hanging="1985"/>
        <w:rPr>
          <w:rFonts w:eastAsia="SimSun"/>
        </w:rPr>
      </w:pPr>
      <w:r w:rsidRPr="00F30867">
        <w:t>Alimentation</w:t>
      </w:r>
      <w:r w:rsidRPr="00F30867">
        <w:rPr>
          <w:rFonts w:eastAsia="SimSun"/>
        </w:rPr>
        <w:tab/>
      </w:r>
      <w:r w:rsidR="00716CC0" w:rsidRPr="00F30867">
        <w:rPr>
          <w:rFonts w:eastAsia="SimSun"/>
        </w:rPr>
        <w:t> :</w:t>
      </w:r>
      <w:r w:rsidR="00F445AC" w:rsidRPr="00F30867">
        <w:rPr>
          <w:rFonts w:eastAsia="SimSun"/>
        </w:rPr>
        <w:tab/>
      </w:r>
    </w:p>
    <w:p w:rsidR="00417FA8" w:rsidRPr="00F30867" w:rsidRDefault="00417FA8" w:rsidP="00417FA8">
      <w:pPr>
        <w:kinsoku/>
        <w:overflowPunct/>
        <w:autoSpaceDE/>
        <w:autoSpaceDN/>
        <w:adjustRightInd/>
        <w:snapToGrid/>
        <w:ind w:left="1134" w:right="1134"/>
        <w:jc w:val="both"/>
        <w:rPr>
          <w:rFonts w:eastAsia="SimSun"/>
        </w:rPr>
      </w:pPr>
      <w:r w:rsidRPr="00F30867">
        <w:rPr>
          <w:rFonts w:eastAsia="SimSun"/>
        </w:rPr>
        <w:t>Possibilité de fonctionnement en mode températures multiples</w:t>
      </w:r>
      <w:r w:rsidR="00716CC0" w:rsidRPr="00F30867">
        <w:rPr>
          <w:rFonts w:eastAsia="SimSun"/>
        </w:rPr>
        <w:t> :</w:t>
      </w:r>
      <w:r w:rsidRPr="00F30867">
        <w:rPr>
          <w:rFonts w:eastAsia="SimSun"/>
        </w:rPr>
        <w:t xml:space="preserve"> (oui/non)</w:t>
      </w:r>
      <w:r w:rsidRPr="00F30867">
        <w:rPr>
          <w:rFonts w:eastAsia="SimSun"/>
          <w:vertAlign w:val="superscript"/>
        </w:rPr>
        <w:t>1</w:t>
      </w:r>
    </w:p>
    <w:p w:rsidR="00417FA8" w:rsidRPr="00F30867" w:rsidRDefault="00417FA8" w:rsidP="00787779">
      <w:pPr>
        <w:tabs>
          <w:tab w:val="right" w:leader="dot" w:pos="8505"/>
        </w:tabs>
        <w:kinsoku/>
        <w:overflowPunct/>
        <w:autoSpaceDE/>
        <w:autoSpaceDN/>
        <w:adjustRightInd/>
        <w:snapToGrid/>
        <w:spacing w:after="120"/>
        <w:ind w:left="1134" w:right="1134"/>
        <w:jc w:val="both"/>
        <w:rPr>
          <w:rFonts w:eastAsia="SimSun"/>
        </w:rPr>
      </w:pPr>
      <w:r w:rsidRPr="00F30867">
        <w:rPr>
          <w:rFonts w:eastAsia="SimSun"/>
        </w:rPr>
        <w:t>Nombre de compartiments capables de fonctionner à températures multiples</w:t>
      </w:r>
      <w:r w:rsidR="00716CC0" w:rsidRPr="00F30867">
        <w:rPr>
          <w:rFonts w:eastAsia="SimSun"/>
        </w:rPr>
        <w:t> :</w:t>
      </w:r>
      <w:r w:rsidR="00787779" w:rsidRPr="00F30867">
        <w:rPr>
          <w:rFonts w:eastAsia="SimSun"/>
        </w:rPr>
        <w:tab/>
      </w:r>
    </w:p>
    <w:p w:rsidR="00417FA8" w:rsidRPr="00F30867" w:rsidRDefault="009A2E95" w:rsidP="00292DA3">
      <w:pPr>
        <w:pStyle w:val="H23G"/>
        <w:keepNext w:val="0"/>
        <w:rPr>
          <w:i/>
        </w:rPr>
      </w:pPr>
      <w:r>
        <w:br w:type="page"/>
      </w:r>
      <w:r w:rsidR="00417FA8" w:rsidRPr="00F30867">
        <w:tab/>
      </w:r>
      <w:r w:rsidR="00417FA8" w:rsidRPr="00F30867">
        <w:tab/>
      </w:r>
      <w:r w:rsidR="00787779" w:rsidRPr="00F30867">
        <w:t>Échangeurs thermiques</w:t>
      </w:r>
    </w:p>
    <w:tbl>
      <w:tblPr>
        <w:tblW w:w="7370" w:type="dxa"/>
        <w:tblInd w:w="1134" w:type="dxa"/>
        <w:tblLayout w:type="fixed"/>
        <w:tblCellMar>
          <w:left w:w="0" w:type="dxa"/>
          <w:right w:w="0" w:type="dxa"/>
        </w:tblCellMar>
        <w:tblLook w:val="0000" w:firstRow="0" w:lastRow="0" w:firstColumn="0" w:lastColumn="0" w:noHBand="0" w:noVBand="0"/>
      </w:tblPr>
      <w:tblGrid>
        <w:gridCol w:w="656"/>
        <w:gridCol w:w="3275"/>
        <w:gridCol w:w="1638"/>
        <w:gridCol w:w="1801"/>
      </w:tblGrid>
      <w:tr w:rsidR="00F30867" w:rsidRPr="00F30867" w:rsidTr="00847403">
        <w:trPr>
          <w:cantSplit/>
        </w:trPr>
        <w:tc>
          <w:tcPr>
            <w:tcW w:w="3402" w:type="dxa"/>
            <w:gridSpan w:val="2"/>
            <w:shd w:val="clear" w:color="auto" w:fill="auto"/>
            <w:vAlign w:val="center"/>
          </w:tcPr>
          <w:p w:rsidR="00417FA8" w:rsidRPr="00F30867" w:rsidRDefault="00417FA8" w:rsidP="00FA40B0">
            <w:pPr>
              <w:kinsoku/>
              <w:overflowPunct/>
              <w:autoSpaceDE/>
              <w:autoSpaceDN/>
              <w:adjustRightInd/>
              <w:snapToGrid/>
              <w:spacing w:before="60" w:after="60" w:line="200" w:lineRule="atLeast"/>
              <w:ind w:left="57" w:right="57"/>
              <w:jc w:val="center"/>
              <w:rPr>
                <w:rFonts w:eastAsia="Times New Roman"/>
                <w:i/>
                <w:sz w:val="16"/>
                <w:szCs w:val="16"/>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60" w:after="60" w:line="200" w:lineRule="atLeast"/>
              <w:ind w:left="57" w:right="57"/>
              <w:jc w:val="center"/>
              <w:rPr>
                <w:rFonts w:eastAsia="Times New Roman"/>
                <w:i/>
                <w:sz w:val="16"/>
                <w:szCs w:val="16"/>
              </w:rPr>
            </w:pPr>
            <w:r w:rsidRPr="00F30867">
              <w:rPr>
                <w:rFonts w:eastAsia="Times New Roman"/>
                <w:i/>
                <w:sz w:val="16"/>
                <w:szCs w:val="16"/>
              </w:rPr>
              <w:t xml:space="preserve">Condenseur </w:t>
            </w: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847403" w:rsidP="00FA40B0">
            <w:pPr>
              <w:kinsoku/>
              <w:overflowPunct/>
              <w:autoSpaceDE/>
              <w:autoSpaceDN/>
              <w:adjustRightInd/>
              <w:snapToGrid/>
              <w:spacing w:before="60" w:after="60" w:line="200" w:lineRule="atLeast"/>
              <w:ind w:left="57" w:right="57"/>
              <w:jc w:val="center"/>
              <w:rPr>
                <w:rFonts w:eastAsia="Times New Roman"/>
                <w:i/>
                <w:sz w:val="16"/>
                <w:szCs w:val="16"/>
              </w:rPr>
            </w:pPr>
            <w:r w:rsidRPr="00F30867">
              <w:rPr>
                <w:rFonts w:eastAsia="Times New Roman"/>
                <w:i/>
                <w:sz w:val="16"/>
                <w:szCs w:val="16"/>
              </w:rPr>
              <w:t>Évaporateur</w:t>
            </w:r>
          </w:p>
        </w:tc>
      </w:tr>
      <w:tr w:rsidR="00F30867" w:rsidRPr="00F30867" w:rsidTr="00847403">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Marque-Type</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 xml:space="preserve">Nombre de circuits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 xml:space="preserve">Nombre de rangées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 xml:space="preserve">Nombre d’isolants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 xml:space="preserve">Nombre de tubes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Pas des ailettes [mm]</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Tube</w:t>
            </w:r>
            <w:r w:rsidR="00716CC0" w:rsidRPr="00F30867">
              <w:rPr>
                <w:rFonts w:eastAsia="Times New Roman"/>
                <w:sz w:val="18"/>
                <w:szCs w:val="18"/>
              </w:rPr>
              <w:t> :</w:t>
            </w:r>
            <w:r w:rsidRPr="00F30867">
              <w:rPr>
                <w:rFonts w:eastAsia="Times New Roman"/>
                <w:sz w:val="18"/>
                <w:szCs w:val="18"/>
              </w:rPr>
              <w:t xml:space="preserve"> nature et diamètre [mm]</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Surface d’échange [m</w:t>
            </w:r>
            <w:r w:rsidR="00292DA3" w:rsidRPr="00F30867">
              <w:rPr>
                <w:rFonts w:eastAsia="Times New Roman"/>
                <w:sz w:val="18"/>
                <w:szCs w:val="18"/>
                <w:vertAlign w:val="superscript"/>
              </w:rPr>
              <w:t>2</w:t>
            </w:r>
            <w:r w:rsidRPr="00F30867">
              <w:rPr>
                <w:rFonts w:eastAsia="Times New Roman"/>
                <w:sz w:val="18"/>
                <w:szCs w:val="18"/>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 xml:space="preserve">Surface frontale </w:t>
            </w:r>
            <w:r w:rsidR="00292DA3" w:rsidRPr="00F30867">
              <w:rPr>
                <w:rFonts w:eastAsia="Times New Roman"/>
                <w:sz w:val="18"/>
                <w:szCs w:val="18"/>
              </w:rPr>
              <w:t>[m</w:t>
            </w:r>
            <w:r w:rsidR="00292DA3" w:rsidRPr="00F30867">
              <w:rPr>
                <w:rFonts w:eastAsia="Times New Roman"/>
                <w:sz w:val="18"/>
                <w:szCs w:val="18"/>
                <w:vertAlign w:val="superscript"/>
              </w:rPr>
              <w:t>2</w:t>
            </w:r>
            <w:r w:rsidRPr="00F30867">
              <w:rPr>
                <w:rFonts w:eastAsia="Times New Roman"/>
                <w:sz w:val="18"/>
                <w:szCs w:val="18"/>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567" w:type="dxa"/>
            <w:vMerge w:val="restart"/>
            <w:tcBorders>
              <w:left w:val="single" w:sz="6" w:space="0" w:color="00000A"/>
              <w:bottom w:val="single" w:sz="6" w:space="0" w:color="00000A"/>
              <w:right w:val="single" w:sz="6" w:space="0" w:color="00000A"/>
            </w:tcBorders>
            <w:shd w:val="clear" w:color="auto" w:fill="auto"/>
            <w:textDirection w:val="btLr"/>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r w:rsidRPr="00F30867">
              <w:rPr>
                <w:rFonts w:eastAsia="Times New Roman"/>
                <w:sz w:val="18"/>
                <w:szCs w:val="18"/>
              </w:rPr>
              <w:t>VENTILATEURS</w:t>
            </w: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 xml:space="preserve">Marque-Type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Nombre</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Nombre de pales par ventilateur</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p>
        </w:tc>
        <w:tc>
          <w:tcPr>
            <w:tcW w:w="2835" w:type="dxa"/>
            <w:tcBorders>
              <w:top w:val="single" w:sz="6" w:space="0" w:color="00000A"/>
              <w:left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 xml:space="preserve">Diamètre [mm] </w:t>
            </w:r>
          </w:p>
        </w:tc>
        <w:tc>
          <w:tcPr>
            <w:tcW w:w="1418" w:type="dxa"/>
            <w:tcBorders>
              <w:top w:val="single" w:sz="6" w:space="0" w:color="00000A"/>
              <w:left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Puissance [W]</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847403">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Vitesse nominale [</w:t>
            </w:r>
            <w:proofErr w:type="spellStart"/>
            <w:r w:rsidRPr="00F30867">
              <w:rPr>
                <w:rFonts w:eastAsia="Times New Roman"/>
                <w:sz w:val="18"/>
                <w:szCs w:val="18"/>
              </w:rPr>
              <w:t>rpm</w:t>
            </w:r>
            <w:proofErr w:type="spellEnd"/>
            <w:r w:rsidRPr="00F30867">
              <w:rPr>
                <w:rFonts w:eastAsia="Times New Roman"/>
                <w:sz w:val="18"/>
                <w:szCs w:val="18"/>
              </w:rPr>
              <w:t>]</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r w:rsidRPr="00F30867">
              <w:rPr>
                <w:rFonts w:eastAsia="Times New Roman"/>
                <w:sz w:val="18"/>
                <w:szCs w:val="18"/>
              </w:rPr>
              <w:t>Débit total nominal [m</w:t>
            </w:r>
            <w:r w:rsidR="00292DA3" w:rsidRPr="00F30867">
              <w:rPr>
                <w:vertAlign w:val="superscript"/>
              </w:rPr>
              <w:t>3</w:t>
            </w:r>
            <w:r w:rsidR="00292DA3" w:rsidRPr="00F30867">
              <w:rPr>
                <w:rFonts w:eastAsia="Times New Roman"/>
                <w:sz w:val="18"/>
                <w:szCs w:val="18"/>
              </w:rPr>
              <w:t>/h] sous une pression de 0 </w:t>
            </w:r>
            <w:r w:rsidRPr="00F30867">
              <w:rPr>
                <w:rFonts w:eastAsia="Times New Roman"/>
                <w:sz w:val="18"/>
                <w:szCs w:val="18"/>
              </w:rPr>
              <w:t xml:space="preserve">Pa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sz w:val="18"/>
                <w:szCs w:val="18"/>
              </w:rPr>
            </w:pPr>
          </w:p>
        </w:tc>
      </w:tr>
      <w:tr w:rsidR="00F30867" w:rsidRPr="00F30867" w:rsidTr="00847403">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sz w:val="18"/>
                <w:szCs w:val="18"/>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rPr>
                <w:rFonts w:eastAsia="Times New Roman"/>
                <w:i/>
                <w:sz w:val="18"/>
                <w:szCs w:val="18"/>
              </w:rPr>
            </w:pPr>
            <w:r w:rsidRPr="00F30867">
              <w:rPr>
                <w:rFonts w:eastAsia="Times New Roman"/>
                <w:sz w:val="18"/>
                <w:szCs w:val="18"/>
              </w:rPr>
              <w:t>Type d’alimentation (description de l’alimentation électrique</w:t>
            </w:r>
            <w:r w:rsidR="00716CC0" w:rsidRPr="00F30867">
              <w:rPr>
                <w:rFonts w:eastAsia="Times New Roman"/>
                <w:sz w:val="18"/>
                <w:szCs w:val="18"/>
              </w:rPr>
              <w:t> :</w:t>
            </w:r>
            <w:r w:rsidRPr="00F30867">
              <w:rPr>
                <w:rFonts w:eastAsia="Times New Roman"/>
                <w:sz w:val="18"/>
                <w:szCs w:val="18"/>
              </w:rPr>
              <w:t xml:space="preserve"> DC/AC, fréquence, etc.)</w:t>
            </w:r>
            <w:r w:rsidR="00716CC0" w:rsidRPr="00F30867">
              <w:rPr>
                <w:rFonts w:eastAsia="Times New Roman"/>
                <w:sz w:val="18"/>
                <w:szCs w:val="18"/>
              </w:rPr>
              <w:t>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i/>
                <w:sz w:val="18"/>
                <w:szCs w:val="18"/>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417FA8" w:rsidRPr="00F30867" w:rsidRDefault="00417FA8" w:rsidP="00FA40B0">
            <w:pPr>
              <w:kinsoku/>
              <w:overflowPunct/>
              <w:autoSpaceDE/>
              <w:autoSpaceDN/>
              <w:adjustRightInd/>
              <w:snapToGrid/>
              <w:spacing w:before="40" w:after="40" w:line="220" w:lineRule="atLeast"/>
              <w:ind w:left="57" w:right="57"/>
              <w:jc w:val="center"/>
              <w:rPr>
                <w:rFonts w:eastAsia="Times New Roman"/>
                <w:i/>
                <w:sz w:val="18"/>
                <w:szCs w:val="18"/>
              </w:rPr>
            </w:pPr>
          </w:p>
        </w:tc>
      </w:tr>
    </w:tbl>
    <w:p w:rsidR="00417FA8" w:rsidRPr="00F30867" w:rsidRDefault="00417FA8" w:rsidP="00847403">
      <w:pPr>
        <w:pStyle w:val="SingleTxtG"/>
        <w:keepNext/>
        <w:spacing w:before="120"/>
      </w:pPr>
      <w:r w:rsidRPr="00F30867">
        <w:t>b)</w:t>
      </w:r>
      <w:r w:rsidRPr="00F30867">
        <w:tab/>
        <w:t>Méthode d’essai et résultats</w:t>
      </w:r>
      <w:r w:rsidR="00716CC0" w:rsidRPr="00F30867">
        <w:t> :</w:t>
      </w:r>
    </w:p>
    <w:p w:rsidR="00417FA8" w:rsidRPr="00F30867" w:rsidRDefault="00417FA8" w:rsidP="00847403">
      <w:pPr>
        <w:pStyle w:val="SingleTxtG"/>
        <w:keepNext/>
      </w:pPr>
      <w:r w:rsidRPr="00F30867">
        <w:t>Méthode d’essai</w:t>
      </w:r>
      <w:r w:rsidRPr="00F30867">
        <w:rPr>
          <w:vertAlign w:val="superscript"/>
        </w:rPr>
        <w:t>1</w:t>
      </w:r>
      <w:r w:rsidR="00716CC0" w:rsidRPr="00F30867">
        <w:t> :</w:t>
      </w:r>
      <w:r w:rsidRPr="00F30867">
        <w:t xml:space="preserve"> par la méthode du bilan thermique/par la méthode de la différence d’enthalpie</w:t>
      </w:r>
    </w:p>
    <w:p w:rsidR="00417FA8" w:rsidRPr="00F30867" w:rsidRDefault="00417FA8" w:rsidP="00847403">
      <w:pPr>
        <w:pStyle w:val="SingleTxtG"/>
        <w:keepNext/>
        <w:tabs>
          <w:tab w:val="right" w:leader="dot" w:pos="8505"/>
        </w:tabs>
      </w:pPr>
      <w:r w:rsidRPr="00F30867">
        <w:t>Dans un caisson calorimétrique de superficie moyenne =</w:t>
      </w:r>
      <w:r w:rsidR="00D049B6" w:rsidRPr="00F30867">
        <w:t xml:space="preserve"> </w:t>
      </w:r>
      <w:r w:rsidR="00D049B6" w:rsidRPr="00F30867">
        <w:tab/>
      </w:r>
      <w:r w:rsidRPr="00F30867">
        <w:t>m</w:t>
      </w:r>
      <w:r w:rsidR="00D049B6" w:rsidRPr="00F30867">
        <w:rPr>
          <w:vertAlign w:val="superscript"/>
        </w:rPr>
        <w:t>2</w:t>
      </w:r>
    </w:p>
    <w:p w:rsidR="00417FA8" w:rsidRPr="00F30867" w:rsidRDefault="00417FA8" w:rsidP="00D049B6">
      <w:pPr>
        <w:pStyle w:val="SingleTxtG"/>
        <w:tabs>
          <w:tab w:val="right" w:leader="dot" w:pos="8505"/>
        </w:tabs>
      </w:pPr>
      <w:r w:rsidRPr="00F30867">
        <w:t>Valeur mesurée du coefficient U du caisson avec le groupe en place</w:t>
      </w:r>
      <w:r w:rsidR="00716CC0" w:rsidRPr="00F30867">
        <w:t> :</w:t>
      </w:r>
      <w:r w:rsidR="00D049B6" w:rsidRPr="00F30867">
        <w:tab/>
      </w:r>
      <w:r w:rsidRPr="00F30867">
        <w:t>W/°C,</w:t>
      </w:r>
      <w:r w:rsidR="00D049B6" w:rsidRPr="00F30867">
        <w:br/>
      </w:r>
      <w:r w:rsidRPr="00F30867">
        <w:t>à la température moyenne de paroi</w:t>
      </w:r>
      <w:r w:rsidR="00716CC0" w:rsidRPr="00F30867">
        <w:t> :</w:t>
      </w:r>
      <w:r w:rsidR="00D049B6" w:rsidRPr="00F30867">
        <w:tab/>
      </w:r>
      <w:r w:rsidRPr="00F30867">
        <w:t>°C.</w:t>
      </w:r>
    </w:p>
    <w:p w:rsidR="00417FA8" w:rsidRPr="00F30867" w:rsidRDefault="00417FA8" w:rsidP="00FA40B0">
      <w:pPr>
        <w:pStyle w:val="SingleTxtG"/>
      </w:pPr>
      <w:r w:rsidRPr="00F30867">
        <w:t>Dans un engin de transport</w:t>
      </w:r>
    </w:p>
    <w:p w:rsidR="00417FA8" w:rsidRPr="00F30867" w:rsidRDefault="00417FA8" w:rsidP="00D049B6">
      <w:pPr>
        <w:pStyle w:val="SingleTxtG"/>
        <w:tabs>
          <w:tab w:val="right" w:leader="dot" w:pos="8505"/>
        </w:tabs>
      </w:pPr>
      <w:r w:rsidRPr="00F30867">
        <w:t>Valeur mesurée du coefficient U de l’engin de transport équipé du groupe</w:t>
      </w:r>
      <w:r w:rsidR="00716CC0" w:rsidRPr="00F30867">
        <w:t> :</w:t>
      </w:r>
      <w:r w:rsidR="00D049B6" w:rsidRPr="00F30867">
        <w:tab/>
      </w:r>
      <w:r w:rsidRPr="00F30867">
        <w:t>W/°C,</w:t>
      </w:r>
      <w:r w:rsidR="00D049B6" w:rsidRPr="00F30867">
        <w:br/>
      </w:r>
      <w:r w:rsidRPr="00F30867">
        <w:t>à la température moyenne de paroi</w:t>
      </w:r>
      <w:r w:rsidR="00716CC0" w:rsidRPr="00F30867">
        <w:t> :</w:t>
      </w:r>
      <w:r w:rsidR="00D049B6" w:rsidRPr="00F30867">
        <w:tab/>
      </w:r>
      <w:r w:rsidRPr="00F30867">
        <w:t>°C.</w:t>
      </w:r>
    </w:p>
    <w:p w:rsidR="00417FA8" w:rsidRPr="00F30867" w:rsidRDefault="00417FA8" w:rsidP="00FA40B0">
      <w:pPr>
        <w:pStyle w:val="SingleTxtG"/>
      </w:pPr>
      <w:r w:rsidRPr="00F30867">
        <w:t>Formule employée pour la correction du coefficient U du caisson calorimétrique en fonction de la température moyenne de sa paroi</w:t>
      </w:r>
      <w:r w:rsidR="00716CC0" w:rsidRPr="00F30867">
        <w:t> :</w:t>
      </w:r>
    </w:p>
    <w:p w:rsidR="00417FA8" w:rsidRPr="00F30867" w:rsidRDefault="00417FA8" w:rsidP="00714EB3">
      <w:pPr>
        <w:pStyle w:val="SingleTxtG"/>
        <w:tabs>
          <w:tab w:val="right" w:leader="dot" w:pos="8505"/>
        </w:tabs>
        <w:spacing w:after="0"/>
        <w:rPr>
          <w:rFonts w:eastAsia="Times New Roman"/>
        </w:rPr>
      </w:pPr>
      <w:r w:rsidRPr="00F30867">
        <w:rPr>
          <w:rFonts w:eastAsia="Times New Roman"/>
        </w:rPr>
        <w:tab/>
      </w:r>
    </w:p>
    <w:p w:rsidR="00417FA8" w:rsidRPr="00F30867" w:rsidRDefault="00417FA8" w:rsidP="00714EB3">
      <w:pPr>
        <w:pStyle w:val="SingleTxtG"/>
        <w:tabs>
          <w:tab w:val="right" w:leader="dot" w:pos="8505"/>
        </w:tabs>
        <w:rPr>
          <w:rFonts w:eastAsia="Times New Roman"/>
        </w:rPr>
      </w:pPr>
      <w:r w:rsidRPr="00F30867">
        <w:rPr>
          <w:rFonts w:eastAsia="Times New Roman"/>
        </w:rPr>
        <w:tab/>
      </w:r>
      <w:r w:rsidRPr="00F30867">
        <w:rPr>
          <w:rFonts w:eastAsia="Times New Roman"/>
        </w:rPr>
        <w:tab/>
      </w:r>
    </w:p>
    <w:p w:rsidR="00417FA8" w:rsidRPr="00F30867" w:rsidRDefault="00417FA8" w:rsidP="00714EB3">
      <w:pPr>
        <w:pStyle w:val="SingleTxtG"/>
        <w:spacing w:after="0"/>
      </w:pPr>
      <w:r w:rsidRPr="00F30867">
        <w:t>Erreurs maximales de détermination de</w:t>
      </w:r>
      <w:r w:rsidR="00716CC0" w:rsidRPr="00F30867">
        <w:t> :</w:t>
      </w:r>
    </w:p>
    <w:p w:rsidR="00417FA8" w:rsidRPr="00F30867" w:rsidRDefault="00417FA8" w:rsidP="001573E0">
      <w:pPr>
        <w:pStyle w:val="SingleTxtG"/>
        <w:tabs>
          <w:tab w:val="right" w:leader="dot" w:pos="8505"/>
        </w:tabs>
      </w:pPr>
      <w:r w:rsidRPr="00F30867">
        <w:t>Coefficient U de la caisse</w:t>
      </w:r>
      <w:r w:rsidR="00716CC0" w:rsidRPr="00F30867">
        <w:t> :</w:t>
      </w:r>
      <w:r w:rsidR="00714EB3" w:rsidRPr="00F30867">
        <w:tab/>
      </w:r>
    </w:p>
    <w:p w:rsidR="00417FA8" w:rsidRPr="00F30867" w:rsidRDefault="00417FA8" w:rsidP="00714EB3">
      <w:pPr>
        <w:pStyle w:val="SingleTxtG"/>
        <w:tabs>
          <w:tab w:val="right" w:leader="dot" w:pos="8505"/>
        </w:tabs>
      </w:pPr>
      <w:r w:rsidRPr="00F30867">
        <w:t>Puissance frigorifique du groupe à gaz liquéfié</w:t>
      </w:r>
      <w:r w:rsidR="00716CC0" w:rsidRPr="00F30867">
        <w:t> :</w:t>
      </w:r>
      <w:r w:rsidR="00714EB3" w:rsidRPr="00F30867">
        <w:tab/>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
        <w:gridCol w:w="795"/>
        <w:gridCol w:w="737"/>
        <w:gridCol w:w="980"/>
        <w:gridCol w:w="736"/>
        <w:gridCol w:w="743"/>
        <w:gridCol w:w="851"/>
        <w:gridCol w:w="735"/>
        <w:gridCol w:w="866"/>
      </w:tblGrid>
      <w:tr w:rsidR="00F30867" w:rsidRPr="00F30867" w:rsidTr="00057D71">
        <w:trPr>
          <w:cantSplit/>
          <w:tblHeader/>
        </w:trPr>
        <w:tc>
          <w:tcPr>
            <w:tcW w:w="7370" w:type="dxa"/>
            <w:gridSpan w:val="9"/>
            <w:shd w:val="clear" w:color="auto" w:fill="auto"/>
            <w:vAlign w:val="bottom"/>
          </w:tcPr>
          <w:p w:rsidR="00417FA8" w:rsidRPr="00F30867" w:rsidRDefault="00417FA8" w:rsidP="00736697">
            <w:pPr>
              <w:keepNext/>
              <w:tabs>
                <w:tab w:val="right" w:leader="dot" w:pos="5670"/>
              </w:tabs>
              <w:suppressAutoHyphens w:val="0"/>
              <w:spacing w:before="60" w:after="60" w:line="220" w:lineRule="exact"/>
              <w:ind w:left="57" w:right="57"/>
              <w:rPr>
                <w:sz w:val="18"/>
                <w:szCs w:val="18"/>
              </w:rPr>
            </w:pPr>
            <w:r w:rsidRPr="00F30867">
              <w:rPr>
                <w:sz w:val="18"/>
                <w:szCs w:val="18"/>
              </w:rPr>
              <w:t>Température moyenne ambiante à l’extérieur du réservoir</w:t>
            </w:r>
            <w:r w:rsidR="00716CC0" w:rsidRPr="00F30867">
              <w:rPr>
                <w:sz w:val="18"/>
                <w:szCs w:val="18"/>
              </w:rPr>
              <w:t> :</w:t>
            </w:r>
            <w:r w:rsidR="00C62014" w:rsidRPr="00F30867">
              <w:rPr>
                <w:sz w:val="18"/>
                <w:szCs w:val="18"/>
              </w:rPr>
              <w:tab/>
            </w:r>
            <w:r w:rsidR="00F830C9" w:rsidRPr="00F30867">
              <w:rPr>
                <w:sz w:val="18"/>
                <w:szCs w:val="18"/>
              </w:rPr>
              <w:t>°</w:t>
            </w:r>
            <w:r w:rsidRPr="00F30867">
              <w:rPr>
                <w:sz w:val="18"/>
                <w:szCs w:val="18"/>
              </w:rPr>
              <w:t>C</w:t>
            </w:r>
          </w:p>
          <w:p w:rsidR="00417FA8" w:rsidRPr="00F30867" w:rsidRDefault="00417FA8" w:rsidP="00F830C9">
            <w:pPr>
              <w:keepNext/>
              <w:tabs>
                <w:tab w:val="right" w:leader="dot" w:pos="7314"/>
              </w:tabs>
              <w:suppressAutoHyphens w:val="0"/>
              <w:spacing w:before="60" w:after="60" w:line="220" w:lineRule="exact"/>
              <w:ind w:left="57" w:right="57"/>
              <w:rPr>
                <w:sz w:val="18"/>
                <w:szCs w:val="18"/>
              </w:rPr>
            </w:pPr>
            <w:r w:rsidRPr="00F30867">
              <w:rPr>
                <w:sz w:val="18"/>
                <w:szCs w:val="18"/>
              </w:rPr>
              <w:t>Alimentation électrique</w:t>
            </w:r>
            <w:r w:rsidR="00716CC0" w:rsidRPr="00F30867">
              <w:rPr>
                <w:sz w:val="18"/>
                <w:szCs w:val="18"/>
              </w:rPr>
              <w:t> :</w:t>
            </w:r>
            <w:r w:rsidR="00F830C9" w:rsidRPr="00F30867">
              <w:rPr>
                <w:sz w:val="18"/>
                <w:szCs w:val="18"/>
              </w:rPr>
              <w:tab/>
            </w:r>
          </w:p>
        </w:tc>
      </w:tr>
      <w:tr w:rsidR="00F30867" w:rsidRPr="00F30867" w:rsidTr="00057D71">
        <w:trPr>
          <w:cantSplit/>
          <w:trHeight w:val="1531"/>
        </w:trPr>
        <w:tc>
          <w:tcPr>
            <w:tcW w:w="927" w:type="dxa"/>
            <w:shd w:val="clear" w:color="auto" w:fill="auto"/>
            <w:textDirection w:val="tbRl"/>
            <w:vAlign w:val="center"/>
          </w:tcPr>
          <w:p w:rsidR="00417FA8" w:rsidRPr="00F30867" w:rsidRDefault="00417FA8" w:rsidP="00057D71">
            <w:pPr>
              <w:keepNext/>
              <w:suppressAutoHyphens w:val="0"/>
              <w:spacing w:before="40" w:after="40" w:line="220" w:lineRule="exact"/>
              <w:ind w:left="57" w:right="57"/>
              <w:rPr>
                <w:sz w:val="18"/>
                <w:szCs w:val="18"/>
              </w:rPr>
            </w:pPr>
            <w:r w:rsidRPr="00F30867">
              <w:rPr>
                <w:sz w:val="18"/>
                <w:szCs w:val="18"/>
              </w:rPr>
              <w:t>Consommation de</w:t>
            </w:r>
            <w:r w:rsidR="001A301A" w:rsidRPr="00F30867">
              <w:rPr>
                <w:sz w:val="18"/>
                <w:szCs w:val="18"/>
              </w:rPr>
              <w:t> </w:t>
            </w:r>
            <w:r w:rsidRPr="00F30867">
              <w:rPr>
                <w:sz w:val="18"/>
                <w:szCs w:val="18"/>
              </w:rPr>
              <w:t>gaz liquéfié</w:t>
            </w:r>
          </w:p>
        </w:tc>
        <w:tc>
          <w:tcPr>
            <w:tcW w:w="795" w:type="dxa"/>
            <w:shd w:val="clear" w:color="auto" w:fill="auto"/>
            <w:textDirection w:val="tbRl"/>
            <w:vAlign w:val="center"/>
          </w:tcPr>
          <w:p w:rsidR="00417FA8" w:rsidRPr="00F30867" w:rsidRDefault="00417FA8" w:rsidP="00057D71">
            <w:pPr>
              <w:keepNext/>
              <w:suppressAutoHyphens w:val="0"/>
              <w:spacing w:before="40" w:after="40" w:line="220" w:lineRule="exact"/>
              <w:ind w:left="57" w:right="57"/>
              <w:rPr>
                <w:sz w:val="18"/>
                <w:szCs w:val="18"/>
              </w:rPr>
            </w:pPr>
            <w:r w:rsidRPr="00F30867">
              <w:rPr>
                <w:sz w:val="18"/>
                <w:szCs w:val="18"/>
              </w:rPr>
              <w:t>Consommation électrique</w:t>
            </w:r>
          </w:p>
        </w:tc>
        <w:tc>
          <w:tcPr>
            <w:tcW w:w="737" w:type="dxa"/>
            <w:tcBorders>
              <w:right w:val="single" w:sz="12" w:space="0" w:color="auto"/>
            </w:tcBorders>
            <w:shd w:val="clear" w:color="auto" w:fill="auto"/>
            <w:textDirection w:val="tbRl"/>
            <w:vAlign w:val="center"/>
          </w:tcPr>
          <w:p w:rsidR="00417FA8" w:rsidRPr="00F30867" w:rsidRDefault="00417FA8" w:rsidP="00057D71">
            <w:pPr>
              <w:keepNext/>
              <w:suppressAutoHyphens w:val="0"/>
              <w:spacing w:before="40" w:after="40" w:line="220" w:lineRule="exact"/>
              <w:ind w:left="57" w:right="57"/>
              <w:rPr>
                <w:sz w:val="18"/>
                <w:szCs w:val="18"/>
              </w:rPr>
            </w:pPr>
            <w:r w:rsidRPr="00F30867">
              <w:rPr>
                <w:sz w:val="18"/>
                <w:szCs w:val="18"/>
              </w:rPr>
              <w:t>Pression à la sortie du réservoir</w:t>
            </w:r>
          </w:p>
        </w:tc>
        <w:tc>
          <w:tcPr>
            <w:tcW w:w="980" w:type="dxa"/>
            <w:tcBorders>
              <w:left w:val="single" w:sz="12" w:space="0" w:color="auto"/>
            </w:tcBorders>
            <w:shd w:val="clear" w:color="auto" w:fill="auto"/>
            <w:textDirection w:val="tbRl"/>
            <w:vAlign w:val="center"/>
          </w:tcPr>
          <w:p w:rsidR="00417FA8" w:rsidRPr="00F30867" w:rsidRDefault="00417FA8" w:rsidP="00C62014">
            <w:pPr>
              <w:keepNext/>
              <w:suppressAutoHyphens w:val="0"/>
              <w:spacing w:before="40" w:after="40" w:line="220" w:lineRule="exact"/>
              <w:ind w:left="57" w:right="57"/>
              <w:rPr>
                <w:sz w:val="18"/>
                <w:szCs w:val="18"/>
              </w:rPr>
            </w:pPr>
            <w:r w:rsidRPr="00F30867">
              <w:rPr>
                <w:sz w:val="18"/>
                <w:szCs w:val="18"/>
              </w:rPr>
              <w:t>Température du</w:t>
            </w:r>
            <w:r w:rsidR="00C62014" w:rsidRPr="00F30867">
              <w:rPr>
                <w:sz w:val="18"/>
                <w:szCs w:val="18"/>
              </w:rPr>
              <w:t> l</w:t>
            </w:r>
            <w:r w:rsidRPr="00F30867">
              <w:rPr>
                <w:sz w:val="18"/>
                <w:szCs w:val="18"/>
              </w:rPr>
              <w:t>iquide dans l’évaporateur</w:t>
            </w:r>
          </w:p>
        </w:tc>
        <w:tc>
          <w:tcPr>
            <w:tcW w:w="736" w:type="dxa"/>
            <w:shd w:val="clear" w:color="auto" w:fill="auto"/>
            <w:textDirection w:val="tbRl"/>
            <w:vAlign w:val="center"/>
          </w:tcPr>
          <w:p w:rsidR="00417FA8" w:rsidRPr="00F30867" w:rsidRDefault="00417FA8" w:rsidP="00057D71">
            <w:pPr>
              <w:keepNext/>
              <w:suppressAutoHyphens w:val="0"/>
              <w:spacing w:before="40" w:after="40" w:line="220" w:lineRule="exact"/>
              <w:ind w:left="57" w:right="57"/>
              <w:rPr>
                <w:sz w:val="18"/>
                <w:szCs w:val="18"/>
              </w:rPr>
            </w:pPr>
            <w:r w:rsidRPr="00F30867">
              <w:rPr>
                <w:sz w:val="18"/>
                <w:szCs w:val="18"/>
              </w:rPr>
              <w:t>Température extérieure</w:t>
            </w:r>
          </w:p>
        </w:tc>
        <w:tc>
          <w:tcPr>
            <w:tcW w:w="743" w:type="dxa"/>
            <w:shd w:val="clear" w:color="auto" w:fill="auto"/>
            <w:textDirection w:val="tbRl"/>
            <w:vAlign w:val="center"/>
          </w:tcPr>
          <w:p w:rsidR="00417FA8" w:rsidRPr="00F30867" w:rsidRDefault="00417FA8" w:rsidP="00057D71">
            <w:pPr>
              <w:keepNext/>
              <w:suppressAutoHyphens w:val="0"/>
              <w:spacing w:before="40" w:after="40" w:line="220" w:lineRule="exact"/>
              <w:ind w:left="57" w:right="57"/>
              <w:rPr>
                <w:sz w:val="18"/>
                <w:szCs w:val="18"/>
              </w:rPr>
            </w:pPr>
            <w:r w:rsidRPr="00F30867">
              <w:rPr>
                <w:sz w:val="18"/>
                <w:szCs w:val="18"/>
              </w:rPr>
              <w:t>Température intérieure</w:t>
            </w:r>
          </w:p>
        </w:tc>
        <w:tc>
          <w:tcPr>
            <w:tcW w:w="851" w:type="dxa"/>
            <w:shd w:val="clear" w:color="auto" w:fill="auto"/>
            <w:textDirection w:val="tbRl"/>
            <w:vAlign w:val="center"/>
          </w:tcPr>
          <w:p w:rsidR="00417FA8" w:rsidRPr="00F30867" w:rsidRDefault="00417FA8" w:rsidP="00057D71">
            <w:pPr>
              <w:keepNext/>
              <w:suppressAutoHyphens w:val="0"/>
              <w:spacing w:before="40" w:after="40" w:line="220" w:lineRule="exact"/>
              <w:ind w:left="57" w:right="57"/>
              <w:rPr>
                <w:sz w:val="18"/>
                <w:szCs w:val="18"/>
              </w:rPr>
            </w:pPr>
            <w:r w:rsidRPr="00F30867">
              <w:rPr>
                <w:sz w:val="18"/>
                <w:szCs w:val="18"/>
              </w:rPr>
              <w:t>Puissance thermique</w:t>
            </w:r>
          </w:p>
        </w:tc>
        <w:tc>
          <w:tcPr>
            <w:tcW w:w="735" w:type="dxa"/>
            <w:shd w:val="clear" w:color="auto" w:fill="auto"/>
            <w:textDirection w:val="tbRl"/>
            <w:vAlign w:val="center"/>
          </w:tcPr>
          <w:p w:rsidR="00417FA8" w:rsidRPr="00F30867" w:rsidRDefault="003D3F63" w:rsidP="00057D71">
            <w:pPr>
              <w:keepNext/>
              <w:suppressAutoHyphens w:val="0"/>
              <w:spacing w:before="40" w:after="40" w:line="220" w:lineRule="exact"/>
              <w:ind w:left="57" w:right="57"/>
              <w:rPr>
                <w:sz w:val="18"/>
                <w:szCs w:val="18"/>
              </w:rPr>
            </w:pPr>
            <w:r>
              <w:rPr>
                <w:sz w:val="18"/>
                <w:szCs w:val="18"/>
              </w:rPr>
              <w:t>Température à l’</w:t>
            </w:r>
            <w:r w:rsidR="001A301A" w:rsidRPr="00F30867">
              <w:rPr>
                <w:sz w:val="18"/>
                <w:szCs w:val="18"/>
              </w:rPr>
              <w:t>entrée de </w:t>
            </w:r>
            <w:r w:rsidR="00417FA8" w:rsidRPr="00F30867">
              <w:rPr>
                <w:sz w:val="18"/>
                <w:szCs w:val="18"/>
              </w:rPr>
              <w:t>l’évaporateur</w:t>
            </w:r>
          </w:p>
        </w:tc>
        <w:tc>
          <w:tcPr>
            <w:tcW w:w="866" w:type="dxa"/>
            <w:shd w:val="clear" w:color="auto" w:fill="auto"/>
            <w:textDirection w:val="tbRl"/>
            <w:vAlign w:val="center"/>
          </w:tcPr>
          <w:p w:rsidR="00417FA8" w:rsidRPr="00F30867" w:rsidRDefault="00417FA8" w:rsidP="00057D71">
            <w:pPr>
              <w:keepNext/>
              <w:suppressAutoHyphens w:val="0"/>
              <w:spacing w:before="40" w:after="40" w:line="220" w:lineRule="exact"/>
              <w:ind w:left="57" w:right="57"/>
              <w:rPr>
                <w:sz w:val="18"/>
                <w:szCs w:val="18"/>
              </w:rPr>
            </w:pPr>
            <w:r w:rsidRPr="00F30867">
              <w:rPr>
                <w:sz w:val="18"/>
                <w:szCs w:val="18"/>
              </w:rPr>
              <w:t>Puissance frigorifique utile</w:t>
            </w:r>
          </w:p>
        </w:tc>
      </w:tr>
      <w:tr w:rsidR="00F30867" w:rsidRPr="00F30867" w:rsidTr="00057D71">
        <w:trPr>
          <w:cantSplit/>
        </w:trPr>
        <w:tc>
          <w:tcPr>
            <w:tcW w:w="927" w:type="dxa"/>
            <w:shd w:val="clear" w:color="auto" w:fill="auto"/>
          </w:tcPr>
          <w:p w:rsidR="00417FA8" w:rsidRPr="00F30867" w:rsidRDefault="00417FA8" w:rsidP="00057D71">
            <w:pPr>
              <w:keepNext/>
              <w:suppressAutoHyphens w:val="0"/>
              <w:spacing w:before="40" w:after="40" w:line="220" w:lineRule="exact"/>
              <w:ind w:left="57" w:right="57"/>
              <w:jc w:val="center"/>
              <w:rPr>
                <w:sz w:val="18"/>
              </w:rPr>
            </w:pPr>
            <w:r w:rsidRPr="00F30867">
              <w:rPr>
                <w:sz w:val="18"/>
              </w:rPr>
              <w:t>[kg/h]</w:t>
            </w:r>
          </w:p>
        </w:tc>
        <w:tc>
          <w:tcPr>
            <w:tcW w:w="795" w:type="dxa"/>
            <w:shd w:val="clear" w:color="auto" w:fill="auto"/>
          </w:tcPr>
          <w:p w:rsidR="00417FA8" w:rsidRPr="00F30867" w:rsidRDefault="00417FA8" w:rsidP="00057D71">
            <w:pPr>
              <w:keepNext/>
              <w:suppressAutoHyphens w:val="0"/>
              <w:spacing w:before="40" w:after="40" w:line="220" w:lineRule="exact"/>
              <w:ind w:left="57" w:right="57"/>
              <w:jc w:val="center"/>
              <w:rPr>
                <w:sz w:val="18"/>
              </w:rPr>
            </w:pPr>
            <w:r w:rsidRPr="00F30867">
              <w:rPr>
                <w:sz w:val="18"/>
              </w:rPr>
              <w:t>[</w:t>
            </w:r>
            <w:proofErr w:type="spellStart"/>
            <w:r w:rsidRPr="00F30867">
              <w:rPr>
                <w:sz w:val="18"/>
              </w:rPr>
              <w:t>Vdc</w:t>
            </w:r>
            <w:proofErr w:type="spellEnd"/>
            <w:r w:rsidRPr="00F30867">
              <w:rPr>
                <w:sz w:val="18"/>
              </w:rPr>
              <w:t>] et [A]</w:t>
            </w:r>
          </w:p>
        </w:tc>
        <w:tc>
          <w:tcPr>
            <w:tcW w:w="737" w:type="dxa"/>
            <w:tcBorders>
              <w:right w:val="single" w:sz="12" w:space="0" w:color="auto"/>
            </w:tcBorders>
            <w:shd w:val="clear" w:color="auto" w:fill="auto"/>
          </w:tcPr>
          <w:p w:rsidR="00417FA8" w:rsidRPr="00F30867" w:rsidRDefault="00417FA8" w:rsidP="00057D71">
            <w:pPr>
              <w:keepNext/>
              <w:suppressAutoHyphens w:val="0"/>
              <w:spacing w:before="40" w:after="40" w:line="220" w:lineRule="exact"/>
              <w:ind w:left="57" w:right="57"/>
              <w:jc w:val="center"/>
              <w:rPr>
                <w:sz w:val="18"/>
              </w:rPr>
            </w:pPr>
            <w:r w:rsidRPr="00F30867">
              <w:rPr>
                <w:sz w:val="18"/>
              </w:rPr>
              <w:t>[bar abs]</w:t>
            </w:r>
          </w:p>
        </w:tc>
        <w:tc>
          <w:tcPr>
            <w:tcW w:w="980" w:type="dxa"/>
            <w:tcBorders>
              <w:left w:val="single" w:sz="12" w:space="0" w:color="auto"/>
            </w:tcBorders>
            <w:shd w:val="clear" w:color="auto" w:fill="auto"/>
          </w:tcPr>
          <w:p w:rsidR="00417FA8" w:rsidRPr="00F30867" w:rsidRDefault="00417FA8" w:rsidP="00057D71">
            <w:pPr>
              <w:keepNext/>
              <w:suppressAutoHyphens w:val="0"/>
              <w:spacing w:before="40" w:after="40" w:line="220" w:lineRule="exact"/>
              <w:ind w:left="57" w:right="57"/>
              <w:jc w:val="center"/>
              <w:rPr>
                <w:sz w:val="18"/>
              </w:rPr>
            </w:pPr>
            <w:r w:rsidRPr="00F30867">
              <w:rPr>
                <w:sz w:val="18"/>
              </w:rPr>
              <w:t>[°C]</w:t>
            </w:r>
          </w:p>
        </w:tc>
        <w:tc>
          <w:tcPr>
            <w:tcW w:w="736" w:type="dxa"/>
            <w:shd w:val="clear" w:color="auto" w:fill="auto"/>
          </w:tcPr>
          <w:p w:rsidR="00417FA8" w:rsidRPr="00F30867" w:rsidRDefault="00417FA8" w:rsidP="00057D71">
            <w:pPr>
              <w:keepNext/>
              <w:suppressAutoHyphens w:val="0"/>
              <w:spacing w:before="40" w:after="40" w:line="220" w:lineRule="exact"/>
              <w:ind w:left="57" w:right="57"/>
              <w:jc w:val="center"/>
              <w:rPr>
                <w:sz w:val="18"/>
              </w:rPr>
            </w:pPr>
            <w:r w:rsidRPr="00F30867">
              <w:rPr>
                <w:sz w:val="18"/>
              </w:rPr>
              <w:t>[°C]</w:t>
            </w:r>
          </w:p>
        </w:tc>
        <w:tc>
          <w:tcPr>
            <w:tcW w:w="743" w:type="dxa"/>
            <w:shd w:val="clear" w:color="auto" w:fill="auto"/>
          </w:tcPr>
          <w:p w:rsidR="00417FA8" w:rsidRPr="00F30867" w:rsidRDefault="00417FA8" w:rsidP="00057D71">
            <w:pPr>
              <w:keepNext/>
              <w:suppressAutoHyphens w:val="0"/>
              <w:spacing w:before="40" w:after="40" w:line="220" w:lineRule="exact"/>
              <w:ind w:left="57" w:right="57"/>
              <w:jc w:val="center"/>
              <w:rPr>
                <w:sz w:val="18"/>
              </w:rPr>
            </w:pPr>
            <w:r w:rsidRPr="00F30867">
              <w:rPr>
                <w:sz w:val="18"/>
              </w:rPr>
              <w:t>[°C]</w:t>
            </w:r>
          </w:p>
        </w:tc>
        <w:tc>
          <w:tcPr>
            <w:tcW w:w="851" w:type="dxa"/>
            <w:shd w:val="clear" w:color="auto" w:fill="auto"/>
          </w:tcPr>
          <w:p w:rsidR="00417FA8" w:rsidRPr="00F30867" w:rsidRDefault="00417FA8" w:rsidP="00057D71">
            <w:pPr>
              <w:keepNext/>
              <w:suppressAutoHyphens w:val="0"/>
              <w:spacing w:before="40" w:after="40" w:line="220" w:lineRule="exact"/>
              <w:ind w:left="57" w:right="57"/>
              <w:jc w:val="center"/>
              <w:rPr>
                <w:sz w:val="18"/>
              </w:rPr>
            </w:pPr>
            <w:r w:rsidRPr="00F30867">
              <w:rPr>
                <w:sz w:val="18"/>
              </w:rPr>
              <w:t>[W]</w:t>
            </w:r>
          </w:p>
        </w:tc>
        <w:tc>
          <w:tcPr>
            <w:tcW w:w="735" w:type="dxa"/>
            <w:shd w:val="clear" w:color="auto" w:fill="auto"/>
          </w:tcPr>
          <w:p w:rsidR="00417FA8" w:rsidRPr="00F30867" w:rsidRDefault="00417FA8" w:rsidP="00057D71">
            <w:pPr>
              <w:keepNext/>
              <w:suppressAutoHyphens w:val="0"/>
              <w:spacing w:before="40" w:after="40" w:line="220" w:lineRule="exact"/>
              <w:ind w:left="57" w:right="57"/>
              <w:jc w:val="center"/>
              <w:rPr>
                <w:sz w:val="18"/>
              </w:rPr>
            </w:pPr>
            <w:r w:rsidRPr="00F30867">
              <w:rPr>
                <w:sz w:val="18"/>
              </w:rPr>
              <w:t>[°C]</w:t>
            </w:r>
          </w:p>
        </w:tc>
        <w:tc>
          <w:tcPr>
            <w:tcW w:w="866" w:type="dxa"/>
            <w:shd w:val="clear" w:color="auto" w:fill="auto"/>
          </w:tcPr>
          <w:p w:rsidR="00417FA8" w:rsidRPr="00F30867" w:rsidRDefault="00417FA8" w:rsidP="00057D71">
            <w:pPr>
              <w:keepNext/>
              <w:suppressAutoHyphens w:val="0"/>
              <w:spacing w:before="40" w:after="40" w:line="220" w:lineRule="exact"/>
              <w:ind w:left="57" w:right="57"/>
              <w:jc w:val="center"/>
              <w:rPr>
                <w:sz w:val="18"/>
              </w:rPr>
            </w:pPr>
            <w:r w:rsidRPr="00F30867">
              <w:rPr>
                <w:sz w:val="18"/>
              </w:rPr>
              <w:t>[W]</w:t>
            </w:r>
          </w:p>
        </w:tc>
      </w:tr>
      <w:tr w:rsidR="00F30867" w:rsidRPr="00F30867" w:rsidTr="00057D71">
        <w:trPr>
          <w:cantSplit/>
        </w:trPr>
        <w:tc>
          <w:tcPr>
            <w:tcW w:w="927" w:type="dxa"/>
            <w:shd w:val="clear" w:color="auto" w:fill="auto"/>
          </w:tcPr>
          <w:p w:rsidR="00417FA8" w:rsidRPr="00F30867" w:rsidRDefault="00417FA8" w:rsidP="009E4240">
            <w:pPr>
              <w:suppressAutoHyphens w:val="0"/>
              <w:spacing w:before="40" w:after="40" w:line="220" w:lineRule="exact"/>
              <w:ind w:left="57" w:right="57"/>
              <w:rPr>
                <w:sz w:val="18"/>
                <w:shd w:val="clear" w:color="auto" w:fill="FF0000"/>
              </w:rPr>
            </w:pPr>
          </w:p>
        </w:tc>
        <w:tc>
          <w:tcPr>
            <w:tcW w:w="795" w:type="dxa"/>
            <w:shd w:val="clear" w:color="auto" w:fill="auto"/>
          </w:tcPr>
          <w:p w:rsidR="00417FA8" w:rsidRPr="00F30867" w:rsidRDefault="00417FA8" w:rsidP="009E4240">
            <w:pPr>
              <w:suppressAutoHyphens w:val="0"/>
              <w:spacing w:before="40" w:after="40" w:line="220" w:lineRule="exact"/>
              <w:ind w:left="57" w:right="57"/>
              <w:rPr>
                <w:sz w:val="18"/>
                <w:shd w:val="clear" w:color="auto" w:fill="FF0000"/>
              </w:rPr>
            </w:pPr>
          </w:p>
        </w:tc>
        <w:tc>
          <w:tcPr>
            <w:tcW w:w="737" w:type="dxa"/>
            <w:tcBorders>
              <w:right w:val="single" w:sz="12" w:space="0" w:color="auto"/>
            </w:tcBorders>
            <w:shd w:val="clear" w:color="auto" w:fill="auto"/>
          </w:tcPr>
          <w:p w:rsidR="00417FA8" w:rsidRPr="00F30867" w:rsidRDefault="00417FA8" w:rsidP="009E4240">
            <w:pPr>
              <w:suppressAutoHyphens w:val="0"/>
              <w:spacing w:before="40" w:after="40" w:line="220" w:lineRule="exact"/>
              <w:ind w:left="57" w:right="57"/>
              <w:rPr>
                <w:sz w:val="18"/>
              </w:rPr>
            </w:pPr>
          </w:p>
        </w:tc>
        <w:tc>
          <w:tcPr>
            <w:tcW w:w="980" w:type="dxa"/>
            <w:tcBorders>
              <w:left w:val="single" w:sz="12" w:space="0" w:color="auto"/>
            </w:tcBorders>
            <w:shd w:val="clear" w:color="auto" w:fill="auto"/>
          </w:tcPr>
          <w:p w:rsidR="00417FA8" w:rsidRPr="00F30867" w:rsidRDefault="00417FA8" w:rsidP="009E4240">
            <w:pPr>
              <w:suppressAutoHyphens w:val="0"/>
              <w:spacing w:before="40" w:after="40" w:line="220" w:lineRule="exact"/>
              <w:ind w:left="57" w:right="57"/>
              <w:rPr>
                <w:sz w:val="18"/>
                <w:shd w:val="clear" w:color="auto" w:fill="FF0000"/>
              </w:rPr>
            </w:pPr>
          </w:p>
        </w:tc>
        <w:tc>
          <w:tcPr>
            <w:tcW w:w="736" w:type="dxa"/>
            <w:shd w:val="clear" w:color="auto" w:fill="auto"/>
          </w:tcPr>
          <w:p w:rsidR="00417FA8" w:rsidRPr="00F30867" w:rsidRDefault="00417FA8" w:rsidP="009E4240">
            <w:pPr>
              <w:suppressAutoHyphens w:val="0"/>
              <w:spacing w:before="40" w:after="40" w:line="220" w:lineRule="exact"/>
              <w:ind w:left="57" w:right="57"/>
              <w:rPr>
                <w:sz w:val="18"/>
              </w:rPr>
            </w:pPr>
          </w:p>
        </w:tc>
        <w:tc>
          <w:tcPr>
            <w:tcW w:w="743" w:type="dxa"/>
            <w:shd w:val="clear" w:color="auto" w:fill="auto"/>
          </w:tcPr>
          <w:p w:rsidR="00417FA8" w:rsidRPr="00F30867" w:rsidRDefault="00417FA8" w:rsidP="009E4240">
            <w:pPr>
              <w:suppressAutoHyphens w:val="0"/>
              <w:spacing w:before="40" w:after="40" w:line="220" w:lineRule="exact"/>
              <w:ind w:left="57" w:right="57"/>
              <w:rPr>
                <w:sz w:val="18"/>
              </w:rPr>
            </w:pPr>
          </w:p>
        </w:tc>
        <w:tc>
          <w:tcPr>
            <w:tcW w:w="851" w:type="dxa"/>
            <w:shd w:val="clear" w:color="auto" w:fill="auto"/>
          </w:tcPr>
          <w:p w:rsidR="00417FA8" w:rsidRPr="00F30867" w:rsidRDefault="00417FA8" w:rsidP="009E4240">
            <w:pPr>
              <w:suppressAutoHyphens w:val="0"/>
              <w:spacing w:before="40" w:after="40" w:line="220" w:lineRule="exact"/>
              <w:ind w:left="57" w:right="57"/>
              <w:rPr>
                <w:sz w:val="18"/>
              </w:rPr>
            </w:pPr>
          </w:p>
        </w:tc>
        <w:tc>
          <w:tcPr>
            <w:tcW w:w="735" w:type="dxa"/>
            <w:shd w:val="clear" w:color="auto" w:fill="auto"/>
          </w:tcPr>
          <w:p w:rsidR="00417FA8" w:rsidRPr="00F30867" w:rsidRDefault="00417FA8" w:rsidP="009E4240">
            <w:pPr>
              <w:suppressAutoHyphens w:val="0"/>
              <w:spacing w:before="40" w:after="40" w:line="220" w:lineRule="exact"/>
              <w:ind w:left="57" w:right="57"/>
              <w:rPr>
                <w:b/>
                <w:sz w:val="18"/>
              </w:rPr>
            </w:pPr>
          </w:p>
        </w:tc>
        <w:tc>
          <w:tcPr>
            <w:tcW w:w="866" w:type="dxa"/>
            <w:shd w:val="clear" w:color="auto" w:fill="auto"/>
          </w:tcPr>
          <w:p w:rsidR="00417FA8" w:rsidRPr="00F30867" w:rsidRDefault="00417FA8" w:rsidP="009E4240">
            <w:pPr>
              <w:suppressAutoHyphens w:val="0"/>
              <w:spacing w:before="40" w:after="40" w:line="220" w:lineRule="exact"/>
              <w:ind w:left="57" w:right="57"/>
              <w:rPr>
                <w:sz w:val="18"/>
              </w:rPr>
            </w:pPr>
          </w:p>
        </w:tc>
      </w:tr>
    </w:tbl>
    <w:p w:rsidR="00417FA8" w:rsidRPr="00F30867" w:rsidRDefault="00417FA8" w:rsidP="00057D71">
      <w:pPr>
        <w:pStyle w:val="H56G"/>
        <w:rPr>
          <w:szCs w:val="23"/>
        </w:rPr>
      </w:pPr>
      <w:r w:rsidRPr="00F30867">
        <w:tab/>
      </w:r>
      <w:r w:rsidRPr="00F30867">
        <w:tab/>
        <w:t>Puissance frigorifique corrigée [W]</w:t>
      </w:r>
      <w:r w:rsidR="00716CC0" w:rsidRPr="00F30867">
        <w:t> :</w:t>
      </w:r>
    </w:p>
    <w:p w:rsidR="00417FA8" w:rsidRPr="00F30867" w:rsidRDefault="00417FA8" w:rsidP="00035D10">
      <w:pPr>
        <w:pStyle w:val="SingleTxtG"/>
        <w:keepNext/>
      </w:pPr>
      <w:r w:rsidRPr="00F30867">
        <w:t>c)</w:t>
      </w:r>
      <w:r w:rsidRPr="00F30867">
        <w:tab/>
        <w:t>Contrôles</w:t>
      </w:r>
      <w:r w:rsidR="00716CC0" w:rsidRPr="00F30867">
        <w:t> :</w:t>
      </w:r>
    </w:p>
    <w:p w:rsidR="00417FA8" w:rsidRPr="00F30867" w:rsidRDefault="00417FA8" w:rsidP="0044529E">
      <w:pPr>
        <w:pStyle w:val="SingleTxtG"/>
        <w:tabs>
          <w:tab w:val="right" w:leader="dot" w:pos="8505"/>
        </w:tabs>
        <w:spacing w:after="0"/>
        <w:ind w:left="3969" w:hanging="2835"/>
      </w:pPr>
      <w:r w:rsidRPr="00F30867">
        <w:t>Régulateur de température</w:t>
      </w:r>
      <w:r w:rsidR="00716CC0" w:rsidRPr="00F30867">
        <w:t> :</w:t>
      </w:r>
      <w:r w:rsidR="00057D71" w:rsidRPr="00F30867">
        <w:tab/>
      </w:r>
      <w:r w:rsidRPr="00F30867">
        <w:t>Exactitude de consigne</w:t>
      </w:r>
      <w:r w:rsidR="00057D71" w:rsidRPr="00F30867">
        <w:tab/>
      </w:r>
      <w:r w:rsidRPr="00F30867">
        <w:t>°C</w:t>
      </w:r>
    </w:p>
    <w:p w:rsidR="00417FA8" w:rsidRPr="00F30867" w:rsidRDefault="00417FA8" w:rsidP="0044529E">
      <w:pPr>
        <w:tabs>
          <w:tab w:val="right" w:leader="dot" w:pos="8505"/>
        </w:tabs>
        <w:kinsoku/>
        <w:overflowPunct/>
        <w:autoSpaceDE/>
        <w:autoSpaceDN/>
        <w:adjustRightInd/>
        <w:snapToGrid/>
        <w:spacing w:after="120"/>
        <w:ind w:left="3969" w:right="1134"/>
        <w:jc w:val="both"/>
        <w:rPr>
          <w:rFonts w:eastAsia="Times New Roman"/>
        </w:rPr>
      </w:pPr>
      <w:r w:rsidRPr="00F30867">
        <w:rPr>
          <w:rFonts w:eastAsia="Times New Roman"/>
        </w:rPr>
        <w:t>Différentiel</w:t>
      </w:r>
      <w:r w:rsidR="0044529E" w:rsidRPr="00F30867">
        <w:rPr>
          <w:rFonts w:eastAsia="Times New Roman"/>
        </w:rPr>
        <w:tab/>
        <w:t>°</w:t>
      </w:r>
      <w:r w:rsidRPr="00F30867">
        <w:rPr>
          <w:rFonts w:eastAsia="Times New Roman"/>
        </w:rPr>
        <w:t>C</w:t>
      </w:r>
    </w:p>
    <w:p w:rsidR="00417FA8" w:rsidRPr="00F30867" w:rsidRDefault="00417FA8" w:rsidP="0044529E">
      <w:pPr>
        <w:pStyle w:val="SingleTxtG"/>
      </w:pPr>
      <w:r w:rsidRPr="00F30867">
        <w:t>Fonctionnement du dispositif de dégivrage</w:t>
      </w:r>
      <w:r w:rsidRPr="00F30867">
        <w:rPr>
          <w:vertAlign w:val="superscript"/>
        </w:rPr>
        <w:t>1</w:t>
      </w:r>
      <w:r w:rsidR="00716CC0" w:rsidRPr="00F30867">
        <w:t> :</w:t>
      </w:r>
      <w:r w:rsidRPr="00F30867">
        <w:t xml:space="preserve"> satisfaisant /non satisfaisant</w:t>
      </w:r>
    </w:p>
    <w:p w:rsidR="00417FA8" w:rsidRPr="00F30867" w:rsidRDefault="00417FA8" w:rsidP="0044529E">
      <w:pPr>
        <w:pStyle w:val="SingleTxtG"/>
      </w:pPr>
      <w:r w:rsidRPr="00F30867">
        <w:t>Débit d’air au soufflage de l’évaporateur</w:t>
      </w:r>
      <w:r w:rsidR="00716CC0" w:rsidRPr="00F30867">
        <w:t> :</w:t>
      </w:r>
      <w:r w:rsidRPr="00F30867">
        <w:t xml:space="preserve"> </w:t>
      </w:r>
    </w:p>
    <w:p w:rsidR="00417FA8" w:rsidRPr="00F30867" w:rsidRDefault="00417FA8" w:rsidP="00D9230B">
      <w:pPr>
        <w:pStyle w:val="SingleTxtG"/>
        <w:tabs>
          <w:tab w:val="right" w:leader="dot" w:pos="8505"/>
        </w:tabs>
        <w:spacing w:after="0"/>
        <w:ind w:left="1701"/>
      </w:pPr>
      <w:r w:rsidRPr="00F30867">
        <w:t>Valeur mesurée</w:t>
      </w:r>
      <w:r w:rsidR="00716CC0" w:rsidRPr="00F30867">
        <w:t> :</w:t>
      </w:r>
      <w:r w:rsidR="00423F7A" w:rsidRPr="00F30867">
        <w:tab/>
      </w:r>
      <w:r w:rsidRPr="00F30867">
        <w:t>m</w:t>
      </w:r>
      <w:r w:rsidRPr="00F30867">
        <w:rPr>
          <w:vertAlign w:val="superscript"/>
        </w:rPr>
        <w:t>3</w:t>
      </w:r>
      <w:r w:rsidRPr="00F30867">
        <w:t>/h</w:t>
      </w:r>
    </w:p>
    <w:p w:rsidR="00417FA8" w:rsidRPr="00F30867" w:rsidRDefault="00417FA8" w:rsidP="00D9230B">
      <w:pPr>
        <w:pStyle w:val="SingleTxtG"/>
        <w:tabs>
          <w:tab w:val="right" w:leader="dot" w:pos="8505"/>
        </w:tabs>
        <w:spacing w:after="0"/>
        <w:ind w:left="1701"/>
        <w:rPr>
          <w:rFonts w:eastAsia="Times New Roman"/>
        </w:rPr>
      </w:pPr>
      <w:r w:rsidRPr="00F30867">
        <w:rPr>
          <w:rFonts w:eastAsia="Times New Roman"/>
        </w:rPr>
        <w:t xml:space="preserve">Sous une </w:t>
      </w:r>
      <w:r w:rsidRPr="00F30867">
        <w:t>pression</w:t>
      </w:r>
      <w:r w:rsidR="00423F7A" w:rsidRPr="00F30867">
        <w:rPr>
          <w:rFonts w:eastAsia="Times New Roman"/>
        </w:rPr>
        <w:t xml:space="preserve"> de</w:t>
      </w:r>
      <w:r w:rsidR="00423F7A" w:rsidRPr="00F30867">
        <w:rPr>
          <w:rFonts w:eastAsia="Times New Roman"/>
        </w:rPr>
        <w:tab/>
      </w:r>
      <w:r w:rsidRPr="00F30867">
        <w:rPr>
          <w:rFonts w:eastAsia="Times New Roman"/>
        </w:rPr>
        <w:t>Pa</w:t>
      </w:r>
    </w:p>
    <w:p w:rsidR="00417FA8" w:rsidRPr="00F30867" w:rsidRDefault="009A2E95" w:rsidP="00D9230B">
      <w:pPr>
        <w:pStyle w:val="SingleTxtG"/>
        <w:tabs>
          <w:tab w:val="right" w:leader="dot" w:pos="8505"/>
        </w:tabs>
        <w:spacing w:after="0"/>
        <w:ind w:left="1701"/>
        <w:rPr>
          <w:rFonts w:eastAsia="Times New Roman"/>
        </w:rPr>
      </w:pPr>
      <w:r w:rsidRPr="00F30867">
        <w:rPr>
          <w:rFonts w:eastAsia="Times New Roman"/>
        </w:rPr>
        <w:t>À</w:t>
      </w:r>
      <w:r w:rsidR="00417FA8" w:rsidRPr="00F30867">
        <w:rPr>
          <w:rFonts w:eastAsia="Times New Roman"/>
        </w:rPr>
        <w:t xml:space="preserve"> une </w:t>
      </w:r>
      <w:r w:rsidR="00417FA8" w:rsidRPr="00F30867">
        <w:t>température</w:t>
      </w:r>
      <w:r w:rsidR="00417FA8" w:rsidRPr="00F30867">
        <w:rPr>
          <w:rFonts w:eastAsia="Times New Roman"/>
        </w:rPr>
        <w:t xml:space="preserve"> de</w:t>
      </w:r>
      <w:r w:rsidR="00423F7A" w:rsidRPr="00F30867">
        <w:rPr>
          <w:rFonts w:eastAsia="Times New Roman"/>
        </w:rPr>
        <w:tab/>
      </w:r>
      <w:r w:rsidR="00417FA8" w:rsidRPr="00F30867">
        <w:rPr>
          <w:rFonts w:eastAsia="Times New Roman"/>
        </w:rPr>
        <w:t>°C</w:t>
      </w:r>
    </w:p>
    <w:p w:rsidR="00417FA8" w:rsidRPr="00F30867" w:rsidRDefault="009A2E95" w:rsidP="00661B80">
      <w:pPr>
        <w:pStyle w:val="SingleTxtG"/>
        <w:tabs>
          <w:tab w:val="right" w:leader="dot" w:pos="8505"/>
        </w:tabs>
        <w:ind w:left="1701"/>
        <w:rPr>
          <w:rFonts w:eastAsia="Times New Roman"/>
        </w:rPr>
      </w:pPr>
      <w:r w:rsidRPr="00F30867">
        <w:rPr>
          <w:rFonts w:eastAsia="Times New Roman"/>
        </w:rPr>
        <w:t>À</w:t>
      </w:r>
      <w:r w:rsidR="00417FA8" w:rsidRPr="00F30867">
        <w:rPr>
          <w:rFonts w:eastAsia="Times New Roman"/>
        </w:rPr>
        <w:t xml:space="preserve"> une </w:t>
      </w:r>
      <w:r w:rsidR="00417FA8" w:rsidRPr="00F30867">
        <w:t>vitesse</w:t>
      </w:r>
      <w:r w:rsidR="00417FA8" w:rsidRPr="00F30867">
        <w:rPr>
          <w:rFonts w:eastAsia="Times New Roman"/>
        </w:rPr>
        <w:t xml:space="preserve"> de rotation de</w:t>
      </w:r>
      <w:r w:rsidR="00423F7A" w:rsidRPr="00F30867">
        <w:rPr>
          <w:rFonts w:eastAsia="Times New Roman"/>
        </w:rPr>
        <w:tab/>
      </w:r>
      <w:r w:rsidR="00417FA8" w:rsidRPr="00F30867">
        <w:rPr>
          <w:rFonts w:eastAsia="Times New Roman"/>
        </w:rPr>
        <w:t>tr/min.</w:t>
      </w:r>
    </w:p>
    <w:p w:rsidR="00417FA8" w:rsidRPr="00F30867" w:rsidRDefault="00417FA8" w:rsidP="00661B80">
      <w:pPr>
        <w:pStyle w:val="SingleTxtG"/>
        <w:tabs>
          <w:tab w:val="right" w:leader="dot" w:pos="8505"/>
        </w:tabs>
      </w:pPr>
      <w:r w:rsidRPr="00F30867">
        <w:t>Capacité minimale du réservoir</w:t>
      </w:r>
      <w:r w:rsidR="00716CC0" w:rsidRPr="00F30867">
        <w:t> :</w:t>
      </w:r>
      <w:r w:rsidR="00423F7A" w:rsidRPr="00F30867">
        <w:tab/>
      </w:r>
    </w:p>
    <w:p w:rsidR="00417FA8" w:rsidRPr="00F30867" w:rsidRDefault="00417FA8" w:rsidP="00035D10">
      <w:pPr>
        <w:pStyle w:val="SingleTxtG"/>
        <w:keepNext/>
      </w:pPr>
      <w:r w:rsidRPr="00F30867">
        <w:t>d)</w:t>
      </w:r>
      <w:r w:rsidRPr="00F30867">
        <w:tab/>
        <w:t>Remarques</w:t>
      </w:r>
    </w:p>
    <w:p w:rsidR="00D9230B" w:rsidRPr="00F30867" w:rsidRDefault="00D9230B" w:rsidP="00D9230B">
      <w:pPr>
        <w:tabs>
          <w:tab w:val="right" w:leader="dot" w:pos="8505"/>
        </w:tabs>
        <w:kinsoku/>
        <w:overflowPunct/>
        <w:autoSpaceDE/>
        <w:autoSpaceDN/>
        <w:adjustRightInd/>
        <w:snapToGrid/>
        <w:spacing w:after="120"/>
        <w:ind w:left="1134" w:right="1134"/>
        <w:jc w:val="both"/>
        <w:rPr>
          <w:rFonts w:eastAsia="SimSun"/>
        </w:rPr>
      </w:pPr>
      <w:r w:rsidRPr="00F30867">
        <w:rPr>
          <w:rFonts w:eastAsia="SimSun"/>
        </w:rPr>
        <w:tab/>
      </w:r>
    </w:p>
    <w:p w:rsidR="00D9230B" w:rsidRPr="00F30867" w:rsidRDefault="00D9230B" w:rsidP="00D9230B">
      <w:pPr>
        <w:tabs>
          <w:tab w:val="right" w:leader="dot" w:pos="8505"/>
        </w:tabs>
        <w:kinsoku/>
        <w:overflowPunct/>
        <w:autoSpaceDE/>
        <w:autoSpaceDN/>
        <w:adjustRightInd/>
        <w:snapToGrid/>
        <w:spacing w:after="120"/>
        <w:ind w:left="1134" w:right="1134"/>
        <w:jc w:val="both"/>
        <w:rPr>
          <w:rFonts w:eastAsia="SimSun"/>
        </w:rPr>
      </w:pPr>
      <w:r w:rsidRPr="00F30867">
        <w:rPr>
          <w:rFonts w:eastAsia="SimSun"/>
        </w:rPr>
        <w:tab/>
      </w:r>
    </w:p>
    <w:p w:rsidR="00D9230B" w:rsidRPr="00F30867" w:rsidRDefault="00D9230B" w:rsidP="00D9230B">
      <w:pPr>
        <w:pBdr>
          <w:bottom w:val="single" w:sz="4" w:space="1" w:color="auto"/>
        </w:pBdr>
        <w:tabs>
          <w:tab w:val="right" w:leader="dot" w:pos="8505"/>
        </w:tabs>
        <w:kinsoku/>
        <w:overflowPunct/>
        <w:autoSpaceDE/>
        <w:autoSpaceDN/>
        <w:adjustRightInd/>
        <w:snapToGrid/>
        <w:spacing w:after="120"/>
        <w:ind w:left="1134" w:right="1134"/>
        <w:jc w:val="both"/>
        <w:rPr>
          <w:rFonts w:eastAsia="SimSun"/>
        </w:rPr>
      </w:pPr>
      <w:r w:rsidRPr="00F30867">
        <w:rPr>
          <w:rFonts w:eastAsia="SimSun"/>
        </w:rPr>
        <w:tab/>
      </w:r>
    </w:p>
    <w:p w:rsidR="00417FA8" w:rsidRPr="00F30867" w:rsidRDefault="00417FA8" w:rsidP="00035D10">
      <w:pPr>
        <w:pStyle w:val="SingleTxtG"/>
        <w:spacing w:after="360"/>
      </w:pPr>
      <w:r w:rsidRPr="00F30867">
        <w:t xml:space="preserve">Le présent procès-verbal d’essai a une durée de validité de six ans à compter de la date de fin des essais. </w:t>
      </w:r>
    </w:p>
    <w:p w:rsidR="00417FA8" w:rsidRPr="00F30867" w:rsidRDefault="00417FA8" w:rsidP="00BB0942">
      <w:pPr>
        <w:pStyle w:val="SingleTxtG"/>
        <w:tabs>
          <w:tab w:val="right" w:leader="dot" w:pos="5103"/>
        </w:tabs>
      </w:pPr>
      <w:r w:rsidRPr="00F30867">
        <w:t>Fait à</w:t>
      </w:r>
      <w:r w:rsidR="00716CC0" w:rsidRPr="00F30867">
        <w:t> :</w:t>
      </w:r>
      <w:r w:rsidRPr="00F30867">
        <w:tab/>
      </w:r>
    </w:p>
    <w:p w:rsidR="00417FA8" w:rsidRPr="00F30867" w:rsidRDefault="00417FA8" w:rsidP="00BB0942">
      <w:pPr>
        <w:pStyle w:val="SingleTxtG"/>
        <w:tabs>
          <w:tab w:val="right" w:leader="dot" w:pos="5103"/>
        </w:tabs>
      </w:pPr>
      <w:r w:rsidRPr="00F30867">
        <w:t>Le</w:t>
      </w:r>
      <w:r w:rsidR="00716CC0" w:rsidRPr="00F30867">
        <w:t> :</w:t>
      </w:r>
      <w:r w:rsidRPr="00F30867">
        <w:tab/>
      </w:r>
      <w:r w:rsidRPr="00F30867">
        <w:tab/>
      </w:r>
      <w:r w:rsidRPr="00F30867">
        <w:tab/>
        <w:t xml:space="preserve">Le responsable des essais </w:t>
      </w:r>
    </w:p>
    <w:p w:rsidR="00AB7E3D" w:rsidRPr="00F30867" w:rsidRDefault="00AB7E3D" w:rsidP="00AB7E3D">
      <w:pPr>
        <w:pStyle w:val="SingleTxtG"/>
        <w:tabs>
          <w:tab w:val="right" w:leader="dot" w:pos="8505"/>
        </w:tabs>
        <w:ind w:left="5670"/>
      </w:pPr>
      <w:r w:rsidRPr="00F30867">
        <w:tab/>
      </w:r>
    </w:p>
    <w:p w:rsidR="00D05CC1" w:rsidRPr="00F30867" w:rsidRDefault="00D40F87" w:rsidP="00035D10">
      <w:pPr>
        <w:ind w:left="680"/>
      </w:pPr>
      <w:r w:rsidRPr="00F30867">
        <w:t>______________</w:t>
      </w:r>
    </w:p>
    <w:p w:rsidR="00104EF3" w:rsidRPr="00F30867" w:rsidRDefault="00104EF3" w:rsidP="00D05CC1">
      <w:pPr>
        <w:kinsoku/>
        <w:overflowPunct/>
        <w:autoSpaceDE/>
        <w:autoSpaceDN/>
        <w:adjustRightInd/>
        <w:snapToGrid/>
        <w:spacing w:line="220" w:lineRule="atLeast"/>
        <w:ind w:left="1134" w:right="1134"/>
        <w:jc w:val="both"/>
        <w:rPr>
          <w:i/>
          <w:sz w:val="18"/>
          <w:szCs w:val="18"/>
        </w:rPr>
      </w:pPr>
      <w:proofErr w:type="gramStart"/>
      <w:r w:rsidRPr="00F30867">
        <w:rPr>
          <w:rFonts w:eastAsia="Times New Roman"/>
          <w:i/>
          <w:vertAlign w:val="superscript"/>
        </w:rPr>
        <w:t>1</w:t>
      </w:r>
      <w:r w:rsidR="00D05CC1" w:rsidRPr="00F30867">
        <w:rPr>
          <w:rFonts w:eastAsia="Times New Roman"/>
          <w:i/>
          <w:vertAlign w:val="superscript"/>
        </w:rPr>
        <w:t xml:space="preserve">  </w:t>
      </w:r>
      <w:r w:rsidRPr="00F30867">
        <w:rPr>
          <w:i/>
          <w:sz w:val="18"/>
          <w:szCs w:val="18"/>
        </w:rPr>
        <w:t>Rayer</w:t>
      </w:r>
      <w:proofErr w:type="gramEnd"/>
      <w:r w:rsidRPr="00F30867">
        <w:rPr>
          <w:i/>
          <w:sz w:val="18"/>
          <w:szCs w:val="18"/>
        </w:rPr>
        <w:t xml:space="preserve"> les mentions inutiles.</w:t>
      </w:r>
    </w:p>
    <w:p w:rsidR="00417FA8" w:rsidRPr="00F30867" w:rsidRDefault="00417FA8" w:rsidP="00417FA8">
      <w:pPr>
        <w:kinsoku/>
        <w:overflowPunct/>
        <w:autoSpaceDE/>
        <w:autoSpaceDN/>
        <w:adjustRightInd/>
        <w:snapToGrid/>
        <w:spacing w:after="120"/>
        <w:ind w:left="1134" w:right="1134"/>
        <w:jc w:val="both"/>
        <w:rPr>
          <w:rFonts w:eastAsia="Times New Roman"/>
          <w:i/>
        </w:rPr>
      </w:pPr>
      <w:proofErr w:type="gramStart"/>
      <w:r w:rsidRPr="00F30867">
        <w:rPr>
          <w:rFonts w:eastAsia="Times New Roman"/>
          <w:i/>
          <w:vertAlign w:val="superscript"/>
        </w:rPr>
        <w:t>2</w:t>
      </w:r>
      <w:r w:rsidR="00D05CC1" w:rsidRPr="00F30867">
        <w:rPr>
          <w:rFonts w:eastAsia="Times New Roman"/>
          <w:i/>
          <w:vertAlign w:val="superscript"/>
        </w:rPr>
        <w:t xml:space="preserve">  </w:t>
      </w:r>
      <w:r w:rsidR="00D05CC1" w:rsidRPr="00F30867">
        <w:rPr>
          <w:i/>
          <w:sz w:val="18"/>
          <w:szCs w:val="18"/>
        </w:rPr>
        <w:t>V</w:t>
      </w:r>
      <w:r w:rsidRPr="00F30867">
        <w:rPr>
          <w:i/>
          <w:sz w:val="18"/>
          <w:szCs w:val="18"/>
        </w:rPr>
        <w:t>aleur</w:t>
      </w:r>
      <w:proofErr w:type="gramEnd"/>
      <w:r w:rsidRPr="00F30867">
        <w:rPr>
          <w:i/>
          <w:sz w:val="18"/>
          <w:szCs w:val="18"/>
        </w:rPr>
        <w:t xml:space="preserve"> indiquée par le constructeur.</w:t>
      </w:r>
      <w:r w:rsidR="00D05CC1" w:rsidRPr="00F30867">
        <w:t> ».</w:t>
      </w:r>
    </w:p>
    <w:p w:rsidR="00417FA8" w:rsidRPr="00F30867" w:rsidRDefault="00417FA8" w:rsidP="00417FA8">
      <w:pPr>
        <w:pStyle w:val="HChG"/>
      </w:pPr>
      <w:r w:rsidRPr="00F30867">
        <w:tab/>
        <w:t>II.</w:t>
      </w:r>
      <w:r w:rsidRPr="00F30867">
        <w:tab/>
        <w:t>Justification</w:t>
      </w:r>
    </w:p>
    <w:p w:rsidR="00417FA8" w:rsidRPr="00F30867" w:rsidRDefault="00417FA8" w:rsidP="00417FA8">
      <w:pPr>
        <w:pStyle w:val="SingleTxtG"/>
      </w:pPr>
      <w:r w:rsidRPr="00F30867">
        <w:t>9.</w:t>
      </w:r>
      <w:r w:rsidRPr="00F30867">
        <w:tab/>
        <w:t xml:space="preserve">Les présentes propositions apporteraient une méthode de mesure de la puissance des groupes frigorifiques à gaz liquéfié. Cette méthode est basée sur celle qui s’applique déjà aux groupes frigorifiques dans l’ATP. </w:t>
      </w:r>
    </w:p>
    <w:p w:rsidR="00417FA8" w:rsidRPr="00F30867" w:rsidRDefault="00417FA8" w:rsidP="00417FA8">
      <w:pPr>
        <w:pStyle w:val="HChG"/>
      </w:pPr>
      <w:r w:rsidRPr="00F30867">
        <w:tab/>
        <w:t>III.</w:t>
      </w:r>
      <w:r w:rsidRPr="00F30867">
        <w:tab/>
        <w:t>Impact environnemental</w:t>
      </w:r>
    </w:p>
    <w:p w:rsidR="00417FA8" w:rsidRPr="00F30867" w:rsidRDefault="00417FA8" w:rsidP="00417FA8">
      <w:pPr>
        <w:pStyle w:val="SingleTxtG"/>
      </w:pPr>
      <w:r w:rsidRPr="00F30867">
        <w:t>10.</w:t>
      </w:r>
      <w:r w:rsidRPr="00F30867">
        <w:tab/>
        <w:t>Ces propositions permettraient de réduire considérablement le nombre d’essais et donc leur impact sur l’environnement. Elles permettraient aussi d’éviter de pénaliser une alternative crédible aux groupes à compression de vapeurs qui utilisent des fluides frigorigènes à potentiel de réchauffement planétaire (PRP) élevé qui sont dans le collimateur des efforts internationaux visant à limiter les gaz à effet de serre.</w:t>
      </w:r>
    </w:p>
    <w:p w:rsidR="00417FA8" w:rsidRPr="00F30867" w:rsidRDefault="00417FA8" w:rsidP="00417FA8">
      <w:pPr>
        <w:pStyle w:val="HChG"/>
      </w:pPr>
      <w:r w:rsidRPr="00F30867">
        <w:tab/>
        <w:t>IV.</w:t>
      </w:r>
      <w:r w:rsidRPr="00F30867">
        <w:tab/>
        <w:t>Impact économique</w:t>
      </w:r>
    </w:p>
    <w:p w:rsidR="00417FA8" w:rsidRPr="00F30867" w:rsidRDefault="00417FA8" w:rsidP="00417FA8">
      <w:pPr>
        <w:pStyle w:val="SingleTxtG"/>
        <w:rPr>
          <w:u w:val="single"/>
          <w:lang w:eastAsia="ar-SA"/>
        </w:rPr>
      </w:pPr>
      <w:r w:rsidRPr="00F30867">
        <w:t>11.</w:t>
      </w:r>
      <w:r w:rsidRPr="00F30867">
        <w:tab/>
        <w:t>Les coût des essais baissera sensiblement une fois que ces matériels auront été introduits dans toute une série de groupes frigorifiques. Leur coût de fabrication sera considérablement réduit pour les constructeurs et donc pour leurs clients également.</w:t>
      </w:r>
    </w:p>
    <w:p w:rsidR="00F9573C" w:rsidRPr="00F30867" w:rsidRDefault="00417FA8" w:rsidP="00417FA8">
      <w:pPr>
        <w:pStyle w:val="SingleTxtG"/>
        <w:spacing w:before="240" w:after="0"/>
        <w:jc w:val="center"/>
        <w:rPr>
          <w:u w:val="single"/>
        </w:rPr>
      </w:pPr>
      <w:r w:rsidRPr="00F30867">
        <w:rPr>
          <w:u w:val="single"/>
        </w:rPr>
        <w:tab/>
      </w:r>
      <w:r w:rsidRPr="00F30867">
        <w:rPr>
          <w:u w:val="single"/>
        </w:rPr>
        <w:tab/>
      </w:r>
      <w:r w:rsidRPr="00F30867">
        <w:rPr>
          <w:u w:val="single"/>
        </w:rPr>
        <w:tab/>
      </w:r>
    </w:p>
    <w:sectPr w:rsidR="00F9573C" w:rsidRPr="00F30867" w:rsidSect="00C76BF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FA8" w:rsidRDefault="00417FA8" w:rsidP="00F95C08">
      <w:pPr>
        <w:spacing w:line="240" w:lineRule="auto"/>
      </w:pPr>
    </w:p>
  </w:endnote>
  <w:endnote w:type="continuationSeparator" w:id="0">
    <w:p w:rsidR="00417FA8" w:rsidRPr="00AC3823" w:rsidRDefault="00417FA8" w:rsidP="00AC3823">
      <w:pPr>
        <w:pStyle w:val="Footer"/>
      </w:pPr>
    </w:p>
  </w:endnote>
  <w:endnote w:type="continuationNotice" w:id="1">
    <w:p w:rsidR="00417FA8" w:rsidRDefault="00417F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A8" w:rsidRPr="00C76BF4" w:rsidRDefault="00417FA8" w:rsidP="00C76BF4">
    <w:pPr>
      <w:pStyle w:val="Footer"/>
      <w:tabs>
        <w:tab w:val="right" w:pos="9638"/>
      </w:tabs>
    </w:pPr>
    <w:r w:rsidRPr="00C76BF4">
      <w:rPr>
        <w:b/>
        <w:sz w:val="18"/>
      </w:rPr>
      <w:fldChar w:fldCharType="begin"/>
    </w:r>
    <w:r w:rsidRPr="00C76BF4">
      <w:rPr>
        <w:b/>
        <w:sz w:val="18"/>
      </w:rPr>
      <w:instrText xml:space="preserve"> PAGE  \* MERGEFORMAT </w:instrText>
    </w:r>
    <w:r w:rsidRPr="00C76BF4">
      <w:rPr>
        <w:b/>
        <w:sz w:val="18"/>
      </w:rPr>
      <w:fldChar w:fldCharType="separate"/>
    </w:r>
    <w:r w:rsidR="00756573">
      <w:rPr>
        <w:b/>
        <w:noProof/>
        <w:sz w:val="18"/>
      </w:rPr>
      <w:t>10</w:t>
    </w:r>
    <w:r w:rsidRPr="00C76BF4">
      <w:rPr>
        <w:b/>
        <w:sz w:val="18"/>
      </w:rPr>
      <w:fldChar w:fldCharType="end"/>
    </w:r>
    <w:r>
      <w:rPr>
        <w:b/>
        <w:sz w:val="18"/>
      </w:rPr>
      <w:tab/>
    </w:r>
    <w:r>
      <w:t>GE.17-12319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A8" w:rsidRPr="00C76BF4" w:rsidRDefault="00417FA8" w:rsidP="00C76BF4">
    <w:pPr>
      <w:pStyle w:val="Footer"/>
      <w:tabs>
        <w:tab w:val="right" w:pos="9638"/>
      </w:tabs>
      <w:rPr>
        <w:b/>
        <w:sz w:val="18"/>
      </w:rPr>
    </w:pPr>
    <w:r>
      <w:t>GE.17-12319</w:t>
    </w:r>
    <w:r>
      <w:tab/>
    </w:r>
    <w:r w:rsidRPr="00C76BF4">
      <w:rPr>
        <w:b/>
        <w:sz w:val="18"/>
      </w:rPr>
      <w:fldChar w:fldCharType="begin"/>
    </w:r>
    <w:r w:rsidRPr="00C76BF4">
      <w:rPr>
        <w:b/>
        <w:sz w:val="18"/>
      </w:rPr>
      <w:instrText xml:space="preserve"> PAGE  \* MERGEFORMAT </w:instrText>
    </w:r>
    <w:r w:rsidRPr="00C76BF4">
      <w:rPr>
        <w:b/>
        <w:sz w:val="18"/>
      </w:rPr>
      <w:fldChar w:fldCharType="separate"/>
    </w:r>
    <w:r w:rsidR="00756573">
      <w:rPr>
        <w:b/>
        <w:noProof/>
        <w:sz w:val="18"/>
      </w:rPr>
      <w:t>11</w:t>
    </w:r>
    <w:r w:rsidRPr="00C76B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A8" w:rsidRPr="00C76BF4" w:rsidRDefault="00417FA8" w:rsidP="00C76BF4">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17-12319  (F)</w:t>
    </w:r>
    <w:r w:rsidR="009607A7">
      <w:rPr>
        <w:sz w:val="20"/>
      </w:rPr>
      <w:t xml:space="preserve">    230817    240817</w:t>
    </w:r>
    <w:r>
      <w:rPr>
        <w:sz w:val="20"/>
      </w:rPr>
      <w:br/>
    </w:r>
    <w:r w:rsidRPr="00C76BF4">
      <w:rPr>
        <w:rFonts w:ascii="C39T30Lfz" w:hAnsi="C39T30Lfz"/>
        <w:sz w:val="56"/>
      </w:rPr>
      <w:t></w:t>
    </w:r>
    <w:r w:rsidRPr="00C76BF4">
      <w:rPr>
        <w:rFonts w:ascii="C39T30Lfz" w:hAnsi="C39T30Lfz"/>
        <w:sz w:val="56"/>
      </w:rPr>
      <w:t></w:t>
    </w:r>
    <w:r w:rsidRPr="00C76BF4">
      <w:rPr>
        <w:rFonts w:ascii="C39T30Lfz" w:hAnsi="C39T30Lfz"/>
        <w:sz w:val="56"/>
      </w:rPr>
      <w:t></w:t>
    </w:r>
    <w:r w:rsidRPr="00C76BF4">
      <w:rPr>
        <w:rFonts w:ascii="C39T30Lfz" w:hAnsi="C39T30Lfz"/>
        <w:sz w:val="56"/>
      </w:rPr>
      <w:t></w:t>
    </w:r>
    <w:r w:rsidRPr="00C76BF4">
      <w:rPr>
        <w:rFonts w:ascii="C39T30Lfz" w:hAnsi="C39T30Lfz"/>
        <w:sz w:val="56"/>
      </w:rPr>
      <w:t></w:t>
    </w:r>
    <w:r w:rsidRPr="00C76BF4">
      <w:rPr>
        <w:rFonts w:ascii="C39T30Lfz" w:hAnsi="C39T30Lfz"/>
        <w:sz w:val="56"/>
      </w:rPr>
      <w:t></w:t>
    </w:r>
    <w:r w:rsidRPr="00C76BF4">
      <w:rPr>
        <w:rFonts w:ascii="C39T30Lfz" w:hAnsi="C39T30Lfz"/>
        <w:sz w:val="56"/>
      </w:rPr>
      <w:t></w:t>
    </w:r>
    <w:r w:rsidRPr="00C76BF4">
      <w:rPr>
        <w:rFonts w:ascii="C39T30Lfz" w:hAnsi="C39T30Lfz"/>
        <w:sz w:val="56"/>
      </w:rPr>
      <w:t></w:t>
    </w:r>
    <w:r w:rsidRPr="00C76BF4">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7/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A8" w:rsidRPr="00AC3823" w:rsidRDefault="00417FA8" w:rsidP="00AC3823">
      <w:pPr>
        <w:pStyle w:val="Footer"/>
        <w:tabs>
          <w:tab w:val="right" w:pos="2155"/>
        </w:tabs>
        <w:spacing w:after="80" w:line="240" w:lineRule="atLeast"/>
        <w:ind w:left="680"/>
        <w:rPr>
          <w:u w:val="single"/>
        </w:rPr>
      </w:pPr>
      <w:r>
        <w:rPr>
          <w:u w:val="single"/>
        </w:rPr>
        <w:tab/>
      </w:r>
    </w:p>
  </w:footnote>
  <w:footnote w:type="continuationSeparator" w:id="0">
    <w:p w:rsidR="00417FA8" w:rsidRPr="00AC3823" w:rsidRDefault="00417FA8" w:rsidP="00AC3823">
      <w:pPr>
        <w:pStyle w:val="Footer"/>
        <w:tabs>
          <w:tab w:val="right" w:pos="2155"/>
        </w:tabs>
        <w:spacing w:after="80" w:line="240" w:lineRule="atLeast"/>
        <w:ind w:left="680"/>
        <w:rPr>
          <w:u w:val="single"/>
        </w:rPr>
      </w:pPr>
      <w:r>
        <w:rPr>
          <w:u w:val="single"/>
        </w:rPr>
        <w:tab/>
      </w:r>
    </w:p>
  </w:footnote>
  <w:footnote w:type="continuationNotice" w:id="1">
    <w:p w:rsidR="00417FA8" w:rsidRPr="00AC3823" w:rsidRDefault="00417FA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A8" w:rsidRPr="00C76BF4" w:rsidRDefault="00A4405E">
    <w:pPr>
      <w:pStyle w:val="Header"/>
    </w:pPr>
    <w:fldSimple w:instr=" TITLE  \* MERGEFORMAT ">
      <w:r w:rsidR="00756573">
        <w:t>ECE/TRANS/WP.11/2017/5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A8" w:rsidRPr="00C76BF4" w:rsidRDefault="00A4405E" w:rsidP="00C76BF4">
    <w:pPr>
      <w:pStyle w:val="Header"/>
      <w:jc w:val="right"/>
    </w:pPr>
    <w:fldSimple w:instr=" TITLE  \* MERGEFORMAT ">
      <w:r w:rsidR="00756573">
        <w:t>ECE/TRANS/WP.11/2017/5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1199D"/>
    <w:multiLevelType w:val="hybridMultilevel"/>
    <w:tmpl w:val="CC628072"/>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2147C7"/>
    <w:multiLevelType w:val="hybridMultilevel"/>
    <w:tmpl w:val="AE9E9224"/>
    <w:lvl w:ilvl="0" w:tplc="100C0001">
      <w:start w:val="1"/>
      <w:numFmt w:val="bullet"/>
      <w:lvlText w:val=""/>
      <w:lvlJc w:val="left"/>
      <w:pPr>
        <w:ind w:left="2818" w:hanging="360"/>
      </w:pPr>
      <w:rPr>
        <w:rFonts w:ascii="Symbol" w:hAnsi="Symbol" w:hint="default"/>
      </w:rPr>
    </w:lvl>
    <w:lvl w:ilvl="1" w:tplc="100C0003" w:tentative="1">
      <w:start w:val="1"/>
      <w:numFmt w:val="bullet"/>
      <w:lvlText w:val="o"/>
      <w:lvlJc w:val="left"/>
      <w:pPr>
        <w:ind w:left="3538" w:hanging="360"/>
      </w:pPr>
      <w:rPr>
        <w:rFonts w:ascii="Courier New" w:hAnsi="Courier New" w:cs="Courier New" w:hint="default"/>
      </w:rPr>
    </w:lvl>
    <w:lvl w:ilvl="2" w:tplc="100C0005" w:tentative="1">
      <w:start w:val="1"/>
      <w:numFmt w:val="bullet"/>
      <w:lvlText w:val=""/>
      <w:lvlJc w:val="left"/>
      <w:pPr>
        <w:ind w:left="4258" w:hanging="360"/>
      </w:pPr>
      <w:rPr>
        <w:rFonts w:ascii="Wingdings" w:hAnsi="Wingdings" w:hint="default"/>
      </w:rPr>
    </w:lvl>
    <w:lvl w:ilvl="3" w:tplc="100C0001" w:tentative="1">
      <w:start w:val="1"/>
      <w:numFmt w:val="bullet"/>
      <w:lvlText w:val=""/>
      <w:lvlJc w:val="left"/>
      <w:pPr>
        <w:ind w:left="4978" w:hanging="360"/>
      </w:pPr>
      <w:rPr>
        <w:rFonts w:ascii="Symbol" w:hAnsi="Symbol" w:hint="default"/>
      </w:rPr>
    </w:lvl>
    <w:lvl w:ilvl="4" w:tplc="100C0003" w:tentative="1">
      <w:start w:val="1"/>
      <w:numFmt w:val="bullet"/>
      <w:lvlText w:val="o"/>
      <w:lvlJc w:val="left"/>
      <w:pPr>
        <w:ind w:left="5698" w:hanging="360"/>
      </w:pPr>
      <w:rPr>
        <w:rFonts w:ascii="Courier New" w:hAnsi="Courier New" w:cs="Courier New" w:hint="default"/>
      </w:rPr>
    </w:lvl>
    <w:lvl w:ilvl="5" w:tplc="100C0005" w:tentative="1">
      <w:start w:val="1"/>
      <w:numFmt w:val="bullet"/>
      <w:lvlText w:val=""/>
      <w:lvlJc w:val="left"/>
      <w:pPr>
        <w:ind w:left="6418" w:hanging="360"/>
      </w:pPr>
      <w:rPr>
        <w:rFonts w:ascii="Wingdings" w:hAnsi="Wingdings" w:hint="default"/>
      </w:rPr>
    </w:lvl>
    <w:lvl w:ilvl="6" w:tplc="100C0001" w:tentative="1">
      <w:start w:val="1"/>
      <w:numFmt w:val="bullet"/>
      <w:lvlText w:val=""/>
      <w:lvlJc w:val="left"/>
      <w:pPr>
        <w:ind w:left="7138" w:hanging="360"/>
      </w:pPr>
      <w:rPr>
        <w:rFonts w:ascii="Symbol" w:hAnsi="Symbol" w:hint="default"/>
      </w:rPr>
    </w:lvl>
    <w:lvl w:ilvl="7" w:tplc="100C0003" w:tentative="1">
      <w:start w:val="1"/>
      <w:numFmt w:val="bullet"/>
      <w:lvlText w:val="o"/>
      <w:lvlJc w:val="left"/>
      <w:pPr>
        <w:ind w:left="7858" w:hanging="360"/>
      </w:pPr>
      <w:rPr>
        <w:rFonts w:ascii="Courier New" w:hAnsi="Courier New" w:cs="Courier New" w:hint="default"/>
      </w:rPr>
    </w:lvl>
    <w:lvl w:ilvl="8" w:tplc="100C0005" w:tentative="1">
      <w:start w:val="1"/>
      <w:numFmt w:val="bullet"/>
      <w:lvlText w:val=""/>
      <w:lvlJc w:val="left"/>
      <w:pPr>
        <w:ind w:left="8578" w:hanging="360"/>
      </w:pPr>
      <w:rPr>
        <w:rFonts w:ascii="Wingdings" w:hAnsi="Wingdings" w:hint="default"/>
      </w:r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863A1"/>
    <w:multiLevelType w:val="hybridMultilevel"/>
    <w:tmpl w:val="5164DF74"/>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6"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009CD7AA"/>
    <w:lvl w:ilvl="0" w:tplc="4772720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8"/>
  </w:num>
  <w:num w:numId="18">
    <w:abstractNumId w:val="16"/>
  </w:num>
  <w:num w:numId="19">
    <w:abstractNumId w:val="14"/>
  </w:num>
  <w:num w:numId="20">
    <w:abstractNumId w:val="20"/>
  </w:num>
  <w:num w:numId="21">
    <w:abstractNumId w:val="13"/>
  </w:num>
  <w:num w:numId="22">
    <w:abstractNumId w:val="12"/>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FD"/>
    <w:rsid w:val="00017F94"/>
    <w:rsid w:val="00023842"/>
    <w:rsid w:val="000334F9"/>
    <w:rsid w:val="00035D10"/>
    <w:rsid w:val="00045FEB"/>
    <w:rsid w:val="00057D71"/>
    <w:rsid w:val="00063DE8"/>
    <w:rsid w:val="0007796D"/>
    <w:rsid w:val="00094655"/>
    <w:rsid w:val="000B7790"/>
    <w:rsid w:val="00104EF3"/>
    <w:rsid w:val="00111F2F"/>
    <w:rsid w:val="0014365E"/>
    <w:rsid w:val="00143C66"/>
    <w:rsid w:val="001573E0"/>
    <w:rsid w:val="0016087C"/>
    <w:rsid w:val="00176178"/>
    <w:rsid w:val="00180BA4"/>
    <w:rsid w:val="00183076"/>
    <w:rsid w:val="001A301A"/>
    <w:rsid w:val="001F525A"/>
    <w:rsid w:val="001F675A"/>
    <w:rsid w:val="00210933"/>
    <w:rsid w:val="00222A20"/>
    <w:rsid w:val="00223272"/>
    <w:rsid w:val="0024779E"/>
    <w:rsid w:val="00257168"/>
    <w:rsid w:val="002744B8"/>
    <w:rsid w:val="002832AC"/>
    <w:rsid w:val="00292DA3"/>
    <w:rsid w:val="002D7C93"/>
    <w:rsid w:val="002E4D66"/>
    <w:rsid w:val="00305801"/>
    <w:rsid w:val="00341A74"/>
    <w:rsid w:val="00370BEA"/>
    <w:rsid w:val="003916DE"/>
    <w:rsid w:val="00392319"/>
    <w:rsid w:val="00392D41"/>
    <w:rsid w:val="003C2252"/>
    <w:rsid w:val="003D3F63"/>
    <w:rsid w:val="00417FA8"/>
    <w:rsid w:val="00423F7A"/>
    <w:rsid w:val="00441C3B"/>
    <w:rsid w:val="0044529E"/>
    <w:rsid w:val="00446FE5"/>
    <w:rsid w:val="00452396"/>
    <w:rsid w:val="00464679"/>
    <w:rsid w:val="004837D8"/>
    <w:rsid w:val="004C2B66"/>
    <w:rsid w:val="004D0E57"/>
    <w:rsid w:val="004E468C"/>
    <w:rsid w:val="005505B7"/>
    <w:rsid w:val="00573BE5"/>
    <w:rsid w:val="00586ED3"/>
    <w:rsid w:val="0059405D"/>
    <w:rsid w:val="00594EFD"/>
    <w:rsid w:val="00596AA9"/>
    <w:rsid w:val="005D2DCC"/>
    <w:rsid w:val="00661B80"/>
    <w:rsid w:val="00714EB3"/>
    <w:rsid w:val="0071601D"/>
    <w:rsid w:val="00716CC0"/>
    <w:rsid w:val="00736697"/>
    <w:rsid w:val="00756573"/>
    <w:rsid w:val="00783BB2"/>
    <w:rsid w:val="00787779"/>
    <w:rsid w:val="007A43B4"/>
    <w:rsid w:val="007A62E6"/>
    <w:rsid w:val="007F20FA"/>
    <w:rsid w:val="0080684C"/>
    <w:rsid w:val="00833762"/>
    <w:rsid w:val="00847403"/>
    <w:rsid w:val="00871C75"/>
    <w:rsid w:val="008776DC"/>
    <w:rsid w:val="00885E45"/>
    <w:rsid w:val="0089132F"/>
    <w:rsid w:val="00937D81"/>
    <w:rsid w:val="009446C0"/>
    <w:rsid w:val="009607A7"/>
    <w:rsid w:val="009705C8"/>
    <w:rsid w:val="00973CF0"/>
    <w:rsid w:val="009A2E95"/>
    <w:rsid w:val="009C1CF4"/>
    <w:rsid w:val="009C5CE2"/>
    <w:rsid w:val="009E4240"/>
    <w:rsid w:val="009E51E8"/>
    <w:rsid w:val="009F1AB3"/>
    <w:rsid w:val="009F6B74"/>
    <w:rsid w:val="00A04F0B"/>
    <w:rsid w:val="00A30353"/>
    <w:rsid w:val="00A4405E"/>
    <w:rsid w:val="00A807C1"/>
    <w:rsid w:val="00AB7E3D"/>
    <w:rsid w:val="00AC3823"/>
    <w:rsid w:val="00AC68FD"/>
    <w:rsid w:val="00AE323C"/>
    <w:rsid w:val="00AF0CB5"/>
    <w:rsid w:val="00B00181"/>
    <w:rsid w:val="00B00B0D"/>
    <w:rsid w:val="00B45931"/>
    <w:rsid w:val="00B66EE4"/>
    <w:rsid w:val="00B765F7"/>
    <w:rsid w:val="00B97A71"/>
    <w:rsid w:val="00BA0CA9"/>
    <w:rsid w:val="00BB0942"/>
    <w:rsid w:val="00BD4678"/>
    <w:rsid w:val="00C02897"/>
    <w:rsid w:val="00C62014"/>
    <w:rsid w:val="00C642CA"/>
    <w:rsid w:val="00C76BF4"/>
    <w:rsid w:val="00C91C0B"/>
    <w:rsid w:val="00C97039"/>
    <w:rsid w:val="00CA10F0"/>
    <w:rsid w:val="00D049B6"/>
    <w:rsid w:val="00D05CC1"/>
    <w:rsid w:val="00D3439C"/>
    <w:rsid w:val="00D40F87"/>
    <w:rsid w:val="00D65109"/>
    <w:rsid w:val="00D837E9"/>
    <w:rsid w:val="00D9230B"/>
    <w:rsid w:val="00DB1831"/>
    <w:rsid w:val="00DC79BB"/>
    <w:rsid w:val="00DD3BFD"/>
    <w:rsid w:val="00DF6678"/>
    <w:rsid w:val="00E0299A"/>
    <w:rsid w:val="00E85C74"/>
    <w:rsid w:val="00EA4CDD"/>
    <w:rsid w:val="00EA6547"/>
    <w:rsid w:val="00EE4AF4"/>
    <w:rsid w:val="00EF2E22"/>
    <w:rsid w:val="00F30867"/>
    <w:rsid w:val="00F35BAF"/>
    <w:rsid w:val="00F445AC"/>
    <w:rsid w:val="00F660DF"/>
    <w:rsid w:val="00F830C9"/>
    <w:rsid w:val="00F842C5"/>
    <w:rsid w:val="00F94664"/>
    <w:rsid w:val="00F9573C"/>
    <w:rsid w:val="00F9587F"/>
    <w:rsid w:val="00F95C08"/>
    <w:rsid w:val="00FA0435"/>
    <w:rsid w:val="00FA40B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835F56F-A4FD-4689-8929-CC842B6A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17FA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93169-A5F2-4C5A-AD7B-F1535C73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3256</Words>
  <Characters>18562</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ECE/TRANS/WP.11/2017/5</vt:lpstr>
      <vt:lpstr>ECE/TRANS/WP.11/2017/5</vt:lpstr>
    </vt:vector>
  </TitlesOfParts>
  <Company>DCM</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ECE/TRANS/WP.11/2017/5</dc:title>
  <dc:subject/>
  <dc:creator>Nicolas MORIN</dc:creator>
  <cp:keywords/>
  <cp:lastModifiedBy>Marie-Claude Collet</cp:lastModifiedBy>
  <cp:revision>3</cp:revision>
  <cp:lastPrinted>2017-08-28T11:06:00Z</cp:lastPrinted>
  <dcterms:created xsi:type="dcterms:W3CDTF">2017-08-28T11:06:00Z</dcterms:created>
  <dcterms:modified xsi:type="dcterms:W3CDTF">2017-08-28T11:06:00Z</dcterms:modified>
</cp:coreProperties>
</file>