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34B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34B64" w:rsidP="00534B64">
            <w:pPr>
              <w:jc w:val="right"/>
            </w:pPr>
            <w:r w:rsidRPr="00534B64">
              <w:rPr>
                <w:sz w:val="40"/>
              </w:rPr>
              <w:t>ECE</w:t>
            </w:r>
            <w:r>
              <w:t>/TRANS/WP.11/2017/3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34B6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34B64" w:rsidRDefault="00534B64" w:rsidP="00534B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July 2017</w:t>
            </w:r>
          </w:p>
          <w:p w:rsidR="00534B64" w:rsidRDefault="00534B64" w:rsidP="00534B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34B64" w:rsidRPr="008D53B6" w:rsidRDefault="00534B64" w:rsidP="00534B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34B64" w:rsidRPr="006C4C25" w:rsidRDefault="00534B64" w:rsidP="00534B64">
      <w:pPr>
        <w:spacing w:before="120"/>
        <w:rPr>
          <w:sz w:val="28"/>
          <w:szCs w:val="28"/>
        </w:rPr>
      </w:pPr>
      <w:r w:rsidRPr="006C4C25">
        <w:rPr>
          <w:sz w:val="28"/>
          <w:szCs w:val="28"/>
        </w:rPr>
        <w:t>Комитет по внутреннему транспорту</w:t>
      </w:r>
    </w:p>
    <w:p w:rsidR="00534B64" w:rsidRPr="006C4C25" w:rsidRDefault="00534B64" w:rsidP="00534B64">
      <w:pPr>
        <w:spacing w:before="120"/>
        <w:rPr>
          <w:b/>
          <w:sz w:val="24"/>
          <w:szCs w:val="24"/>
        </w:rPr>
      </w:pPr>
      <w:r w:rsidRPr="006C4C25">
        <w:rPr>
          <w:b/>
          <w:sz w:val="24"/>
          <w:szCs w:val="24"/>
        </w:rPr>
        <w:t xml:space="preserve">Рабочая группа по перевозкам скоропортящихся </w:t>
      </w:r>
      <w:r>
        <w:rPr>
          <w:b/>
          <w:sz w:val="24"/>
          <w:szCs w:val="24"/>
        </w:rPr>
        <w:br/>
      </w:r>
      <w:r w:rsidRPr="006C4C25">
        <w:rPr>
          <w:b/>
          <w:sz w:val="24"/>
          <w:szCs w:val="24"/>
        </w:rPr>
        <w:t>пищевых продуктов</w:t>
      </w:r>
    </w:p>
    <w:p w:rsidR="00534B64" w:rsidRPr="006C4C25" w:rsidRDefault="00534B64" w:rsidP="00534B64">
      <w:pPr>
        <w:spacing w:before="120"/>
        <w:rPr>
          <w:b/>
        </w:rPr>
      </w:pPr>
      <w:r w:rsidRPr="006C4C25">
        <w:rPr>
          <w:b/>
        </w:rPr>
        <w:t>Семьдесят третья сессия</w:t>
      </w:r>
    </w:p>
    <w:p w:rsidR="00534B64" w:rsidRPr="006C4C25" w:rsidRDefault="00534B64" w:rsidP="00534B64">
      <w:r w:rsidRPr="006C4C25">
        <w:t>Женева, 10</w:t>
      </w:r>
      <w:r>
        <w:rPr>
          <w:lang w:val="en-US"/>
        </w:rPr>
        <w:t>–</w:t>
      </w:r>
      <w:r w:rsidRPr="006C4C25">
        <w:t>13 октября 2017 года</w:t>
      </w:r>
    </w:p>
    <w:p w:rsidR="00534B64" w:rsidRPr="006C4C25" w:rsidRDefault="00534B64" w:rsidP="00534B64">
      <w:r w:rsidRPr="006C4C25">
        <w:t xml:space="preserve">Пункт </w:t>
      </w:r>
      <w:r>
        <w:rPr>
          <w:lang w:val="en-US"/>
        </w:rPr>
        <w:t xml:space="preserve">9 </w:t>
      </w:r>
      <w:r w:rsidRPr="006C4C25">
        <w:t>предварительной повестки дня</w:t>
      </w:r>
    </w:p>
    <w:p w:rsidR="00534B64" w:rsidRPr="00534B64" w:rsidRDefault="00534B64" w:rsidP="00534B64">
      <w:pPr>
        <w:rPr>
          <w:b/>
        </w:rPr>
      </w:pPr>
      <w:r w:rsidRPr="00534B64">
        <w:rPr>
          <w:b/>
        </w:rPr>
        <w:t>Программа работы и двухгодичная оценка</w:t>
      </w:r>
    </w:p>
    <w:p w:rsidR="00534B64" w:rsidRPr="00534B64" w:rsidRDefault="00534B64" w:rsidP="00534B64">
      <w:pPr>
        <w:pStyle w:val="HChGR"/>
      </w:pPr>
      <w:r>
        <w:tab/>
      </w:r>
      <w:r>
        <w:tab/>
      </w:r>
      <w:r w:rsidRPr="00534B64">
        <w:t>Двухгодичная оценка и программа работы</w:t>
      </w:r>
    </w:p>
    <w:p w:rsidR="00534B64" w:rsidRPr="00534B64" w:rsidRDefault="00534B64" w:rsidP="00534B64">
      <w:pPr>
        <w:pStyle w:val="H1GR"/>
      </w:pPr>
      <w:r w:rsidRPr="00534B64">
        <w:tab/>
      </w:r>
      <w:r w:rsidRPr="00534B64">
        <w:tab/>
        <w:t>Записка секретариата</w:t>
      </w:r>
    </w:p>
    <w:p w:rsidR="00534B64" w:rsidRPr="00534B64" w:rsidRDefault="00534B64" w:rsidP="00534B64">
      <w:pPr>
        <w:pStyle w:val="SingleTxtGR"/>
      </w:pPr>
      <w:r w:rsidRPr="00534B64">
        <w:t>1.</w:t>
      </w:r>
      <w:r w:rsidRPr="00534B64">
        <w:tab/>
        <w:t>WP.11 рассматривает и одобряет проект своей программы работы каждые два года. После принятия WP.11 проект программы работы передается Комитету по внутреннему транспорту (КВТ) и после его утверждения становится частью программы работы КВТ. Проект программы работы на 2018</w:t>
      </w:r>
      <w:r>
        <w:t>–</w:t>
      </w:r>
      <w:r w:rsidRPr="00534B64">
        <w:t>2019 годы содержится в приложении II.</w:t>
      </w:r>
    </w:p>
    <w:p w:rsidR="00534B64" w:rsidRPr="00B65C2B" w:rsidRDefault="00534B64" w:rsidP="00B65C2B">
      <w:pPr>
        <w:pStyle w:val="SingleTxtGR"/>
      </w:pPr>
      <w:r w:rsidRPr="00B65C2B">
        <w:t>2.</w:t>
      </w:r>
      <w:r w:rsidRPr="00B65C2B">
        <w:tab/>
        <w:t>Секретариат также хотел бы обратить внимание Рабочей группы на цель подпрограммы по транспорту, предусмотренную в Стратегических рамках на 2018–2019 годы, которая предусматривает следующее: «Совершенствование</w:t>
      </w:r>
      <w:r w:rsidR="00B65C2B">
        <w:t> </w:t>
      </w:r>
      <w:r w:rsidRPr="00B65C2B">
        <w:t xml:space="preserve">устойчивого внутреннего транспорта, с тем чтобы сделать его безопасным, чистым и конкурентоспособным как для грузовых, так и для пассажирских перевозок». </w:t>
      </w:r>
    </w:p>
    <w:p w:rsidR="00534B64" w:rsidRPr="00534B64" w:rsidRDefault="00534B64" w:rsidP="00534B64">
      <w:pPr>
        <w:pStyle w:val="SingleTxtGR"/>
      </w:pPr>
      <w:r w:rsidRPr="00534B64">
        <w:t>3.</w:t>
      </w:r>
      <w:r w:rsidRPr="00534B64">
        <w:tab/>
        <w:t>Предполагается, что, как и в предыдущий двухгодичный период, WP.11 подготовит проект ожидаемых достижений, связанных с ее областью работы, а</w:t>
      </w:r>
      <w:r w:rsidR="00B65C2B">
        <w:t> </w:t>
      </w:r>
      <w:r w:rsidRPr="00534B64">
        <w:t>также соответствующие показатели достижений.</w:t>
      </w:r>
    </w:p>
    <w:p w:rsidR="00534B64" w:rsidRPr="00534B64" w:rsidRDefault="00534B64" w:rsidP="00534B64">
      <w:pPr>
        <w:pStyle w:val="SingleTxtGR"/>
      </w:pPr>
      <w:r w:rsidRPr="00534B64">
        <w:t>4.</w:t>
      </w:r>
      <w:r w:rsidRPr="00534B64">
        <w:tab/>
        <w:t>На своей семьдесят первой сессии, состоявшейся в 2015 году, WP.11 приняла приведенное ниже предложение, которое впоследствии было одобрено Комитетом по внутреннему транспорту.</w:t>
      </w:r>
    </w:p>
    <w:p w:rsidR="00534B64" w:rsidRPr="00534B64" w:rsidRDefault="00534B64" w:rsidP="00534B64">
      <w:pPr>
        <w:pStyle w:val="H1GR"/>
      </w:pPr>
      <w:r>
        <w:tab/>
      </w:r>
      <w:r w:rsidRPr="00534B64">
        <w:t>A.</w:t>
      </w:r>
      <w:r w:rsidRPr="00534B64">
        <w:tab/>
        <w:t xml:space="preserve">Ожидаемое достижение </w:t>
      </w:r>
    </w:p>
    <w:p w:rsidR="00534B64" w:rsidRPr="00534B64" w:rsidRDefault="00534B64" w:rsidP="00534B64">
      <w:pPr>
        <w:pStyle w:val="SingleTxtGR"/>
      </w:pPr>
      <w:r w:rsidRPr="00534B64">
        <w:t>5.</w:t>
      </w:r>
      <w:r w:rsidRPr="00534B64">
        <w:tab/>
        <w:t>Повышение и обновление международных требований для перевозок скоропортящихся пищевых продуктов.</w:t>
      </w:r>
    </w:p>
    <w:p w:rsidR="00534B64" w:rsidRPr="00534B64" w:rsidRDefault="00534B64" w:rsidP="00534B64">
      <w:pPr>
        <w:pStyle w:val="H1GR"/>
      </w:pPr>
      <w:r w:rsidRPr="00534B64">
        <w:lastRenderedPageBreak/>
        <w:tab/>
        <w:t>B</w:t>
      </w:r>
      <w:r>
        <w:t>.</w:t>
      </w:r>
      <w:r w:rsidRPr="00534B64">
        <w:tab/>
        <w:t>Показатели достижения результатов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722"/>
        <w:gridCol w:w="2478"/>
        <w:gridCol w:w="3170"/>
      </w:tblGrid>
      <w:tr w:rsidR="00534B64" w:rsidRPr="00534B64" w:rsidTr="009E1E33">
        <w:trPr>
          <w:tblHeader/>
        </w:trPr>
        <w:tc>
          <w:tcPr>
            <w:tcW w:w="17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34B64" w:rsidRPr="00534B64" w:rsidRDefault="00534B64" w:rsidP="00534B64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534B64">
              <w:rPr>
                <w:i/>
                <w:sz w:val="16"/>
              </w:rPr>
              <w:t>Направление деятельности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34B64" w:rsidRPr="00534B64" w:rsidRDefault="00534B64" w:rsidP="00534B64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534B64">
              <w:rPr>
                <w:i/>
                <w:sz w:val="16"/>
              </w:rPr>
              <w:t>Ожидаемые достижения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34B64" w:rsidRPr="00534B64" w:rsidRDefault="00534B64" w:rsidP="00534B64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534B64">
              <w:rPr>
                <w:i/>
                <w:sz w:val="16"/>
              </w:rPr>
              <w:t>Показатели достижения результатов</w:t>
            </w:r>
          </w:p>
        </w:tc>
      </w:tr>
      <w:tr w:rsidR="00534B64" w:rsidRPr="00534B64" w:rsidTr="009E1E33">
        <w:trPr>
          <w:trHeight w:val="473"/>
        </w:trPr>
        <w:tc>
          <w:tcPr>
            <w:tcW w:w="1722" w:type="dxa"/>
            <w:tcBorders>
              <w:top w:val="single" w:sz="12" w:space="0" w:color="auto"/>
            </w:tcBorders>
          </w:tcPr>
          <w:p w:rsidR="00534B64" w:rsidRPr="00534B64" w:rsidRDefault="00534B64" w:rsidP="00534B64">
            <w:r w:rsidRPr="00534B64">
              <w:t xml:space="preserve">Перевозка </w:t>
            </w:r>
            <w:r>
              <w:br/>
            </w:r>
            <w:r w:rsidRPr="00534B64">
              <w:t xml:space="preserve">скоропортящихся пищевых </w:t>
            </w:r>
            <w:r>
              <w:br/>
            </w:r>
            <w:r w:rsidRPr="00534B64">
              <w:t>продуктов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534B64" w:rsidRPr="00534B64" w:rsidRDefault="00534B64" w:rsidP="00534B64">
            <w:r w:rsidRPr="00534B64">
              <w:t>Повышение и обновление международных требований для перевозок скоропортящихся пищевых продуктов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0" w:type="dxa"/>
            <w:tcBorders>
              <w:top w:val="single" w:sz="12" w:space="0" w:color="auto"/>
            </w:tcBorders>
          </w:tcPr>
          <w:p w:rsidR="00534B64" w:rsidRPr="00534B64" w:rsidRDefault="00534B64" w:rsidP="00534B64">
            <w:pPr>
              <w:tabs>
                <w:tab w:val="left" w:pos="459"/>
              </w:tabs>
            </w:pPr>
            <w:r w:rsidRPr="00534B64">
              <w:t>a)</w:t>
            </w:r>
            <w:r w:rsidRPr="00534B64">
              <w:tab/>
              <w:t>Общая процентная доля предложений о нередакционных поправках, принятых WP.11</w:t>
            </w:r>
          </w:p>
          <w:p w:rsidR="00534B64" w:rsidRPr="00534B64" w:rsidRDefault="00534B64" w:rsidP="00534B64">
            <w:pPr>
              <w:tabs>
                <w:tab w:val="left" w:pos="459"/>
              </w:tabs>
            </w:pPr>
            <w:r w:rsidRPr="00534B64">
              <w:t>Показатели результативности:</w:t>
            </w:r>
            <w:r>
              <w:br/>
            </w:r>
            <w:r w:rsidRPr="00534B64">
              <w:t xml:space="preserve">Базовый показатель </w:t>
            </w:r>
            <w:r>
              <w:br/>
            </w:r>
            <w:r w:rsidRPr="00534B64">
              <w:t>на</w:t>
            </w:r>
            <w:r>
              <w:t xml:space="preserve"> </w:t>
            </w:r>
            <w:r w:rsidRPr="00534B64">
              <w:t>2014</w:t>
            </w:r>
            <w:r>
              <w:t>–</w:t>
            </w:r>
            <w:r w:rsidRPr="00534B64">
              <w:t>2015 годы: 5</w:t>
            </w:r>
            <w:r>
              <w:t>0</w:t>
            </w:r>
            <w:r w:rsidRPr="00534B64">
              <w:t xml:space="preserve">% </w:t>
            </w:r>
            <w:r>
              <w:br/>
            </w:r>
            <w:r w:rsidRPr="00534B64">
              <w:t xml:space="preserve">Целевой показатель </w:t>
            </w:r>
            <w:r>
              <w:br/>
            </w:r>
            <w:r w:rsidRPr="00534B64">
              <w:t>на 2016</w:t>
            </w:r>
            <w:r>
              <w:t>–</w:t>
            </w:r>
            <w:r w:rsidRPr="00534B64">
              <w:t>2017 годы: 60%</w:t>
            </w:r>
          </w:p>
        </w:tc>
      </w:tr>
      <w:tr w:rsidR="00534B64" w:rsidRPr="00534B64" w:rsidTr="009E1E33">
        <w:trPr>
          <w:trHeight w:val="472"/>
        </w:trPr>
        <w:tc>
          <w:tcPr>
            <w:tcW w:w="1722" w:type="dxa"/>
          </w:tcPr>
          <w:p w:rsidR="00534B64" w:rsidRPr="00534B64" w:rsidRDefault="00534B64" w:rsidP="00534B64"/>
        </w:tc>
        <w:tc>
          <w:tcPr>
            <w:tcW w:w="2478" w:type="dxa"/>
          </w:tcPr>
          <w:p w:rsidR="00534B64" w:rsidRPr="00534B64" w:rsidRDefault="00534B64" w:rsidP="00534B6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0" w:type="dxa"/>
          </w:tcPr>
          <w:p w:rsidR="00534B64" w:rsidRPr="00534B64" w:rsidRDefault="00534B64" w:rsidP="00534B64">
            <w:pPr>
              <w:tabs>
                <w:tab w:val="left" w:pos="459"/>
              </w:tabs>
            </w:pPr>
            <w:r w:rsidRPr="00534B64">
              <w:t>b)</w:t>
            </w:r>
            <w:r w:rsidRPr="00534B64">
              <w:tab/>
              <w:t>Общее число Договаривающихся сторон Соглашения СПС</w:t>
            </w:r>
          </w:p>
        </w:tc>
      </w:tr>
      <w:tr w:rsidR="00534B64" w:rsidRPr="00534B64" w:rsidTr="009E1E33">
        <w:trPr>
          <w:trHeight w:val="472"/>
        </w:trPr>
        <w:tc>
          <w:tcPr>
            <w:tcW w:w="1722" w:type="dxa"/>
          </w:tcPr>
          <w:p w:rsidR="00534B64" w:rsidRPr="00534B64" w:rsidRDefault="00534B64" w:rsidP="00534B64"/>
        </w:tc>
        <w:tc>
          <w:tcPr>
            <w:tcW w:w="2478" w:type="dxa"/>
          </w:tcPr>
          <w:p w:rsidR="00534B64" w:rsidRPr="00534B64" w:rsidRDefault="00534B64" w:rsidP="00534B6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0" w:type="dxa"/>
          </w:tcPr>
          <w:p w:rsidR="00534B64" w:rsidRPr="00534B64" w:rsidRDefault="00534B64" w:rsidP="00534B64">
            <w:pPr>
              <w:tabs>
                <w:tab w:val="left" w:pos="459"/>
              </w:tabs>
            </w:pPr>
            <w:r w:rsidRPr="00534B64">
              <w:t>Показатели результативности:</w:t>
            </w:r>
            <w:r>
              <w:br/>
            </w:r>
            <w:r w:rsidRPr="00534B64">
              <w:t xml:space="preserve">Базовый показатель </w:t>
            </w:r>
            <w:r>
              <w:br/>
            </w:r>
            <w:r w:rsidRPr="00534B64">
              <w:t>на 2014</w:t>
            </w:r>
            <w:r>
              <w:t>–</w:t>
            </w:r>
            <w:r w:rsidRPr="00534B64">
              <w:t xml:space="preserve">2015 годы: 49 </w:t>
            </w:r>
            <w:r>
              <w:br/>
            </w:r>
            <w:r w:rsidRPr="00534B64">
              <w:t xml:space="preserve">Целевой показатель </w:t>
            </w:r>
            <w:r>
              <w:br/>
            </w:r>
            <w:r w:rsidRPr="00534B64">
              <w:t>на 2016</w:t>
            </w:r>
            <w:r>
              <w:t>–</w:t>
            </w:r>
            <w:r w:rsidRPr="00534B64">
              <w:t>2017 годы: 51</w:t>
            </w:r>
          </w:p>
        </w:tc>
      </w:tr>
      <w:tr w:rsidR="00534B64" w:rsidRPr="00534B64" w:rsidTr="009E1E33">
        <w:trPr>
          <w:trHeight w:val="472"/>
        </w:trPr>
        <w:tc>
          <w:tcPr>
            <w:tcW w:w="1722" w:type="dxa"/>
          </w:tcPr>
          <w:p w:rsidR="00534B64" w:rsidRPr="00534B64" w:rsidRDefault="00534B64" w:rsidP="00534B64"/>
        </w:tc>
        <w:tc>
          <w:tcPr>
            <w:tcW w:w="2478" w:type="dxa"/>
          </w:tcPr>
          <w:p w:rsidR="00534B64" w:rsidRPr="00534B64" w:rsidRDefault="00534B64" w:rsidP="00534B6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0" w:type="dxa"/>
          </w:tcPr>
          <w:p w:rsidR="00534B64" w:rsidRPr="00534B64" w:rsidRDefault="00534B64" w:rsidP="009E1E33">
            <w:pPr>
              <w:tabs>
                <w:tab w:val="left" w:pos="459"/>
              </w:tabs>
            </w:pPr>
            <w:r w:rsidRPr="00534B64">
              <w:t>c)</w:t>
            </w:r>
            <w:r w:rsidRPr="00534B64">
              <w:tab/>
              <w:t>Число стран, отвечающих на</w:t>
            </w:r>
            <w:r w:rsidR="009E1E33">
              <w:t> </w:t>
            </w:r>
            <w:r w:rsidRPr="00534B64">
              <w:t>вопросник по осуществлению СПС</w:t>
            </w:r>
          </w:p>
        </w:tc>
      </w:tr>
      <w:tr w:rsidR="00534B64" w:rsidRPr="00534B64" w:rsidTr="009E1E33">
        <w:trPr>
          <w:trHeight w:val="472"/>
        </w:trPr>
        <w:tc>
          <w:tcPr>
            <w:tcW w:w="1722" w:type="dxa"/>
          </w:tcPr>
          <w:p w:rsidR="00534B64" w:rsidRPr="00534B64" w:rsidRDefault="00534B64" w:rsidP="00534B64"/>
        </w:tc>
        <w:tc>
          <w:tcPr>
            <w:tcW w:w="2478" w:type="dxa"/>
          </w:tcPr>
          <w:p w:rsidR="00534B64" w:rsidRPr="00534B64" w:rsidRDefault="00534B64" w:rsidP="00534B6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0" w:type="dxa"/>
          </w:tcPr>
          <w:p w:rsidR="00534B64" w:rsidRPr="00534B64" w:rsidRDefault="00534B64" w:rsidP="00534B64">
            <w:r w:rsidRPr="00534B64">
              <w:t>Показатели результативности:</w:t>
            </w:r>
            <w:r>
              <w:br/>
            </w:r>
            <w:r w:rsidRPr="00534B64">
              <w:t xml:space="preserve">Базовый показатель </w:t>
            </w:r>
            <w:r>
              <w:br/>
            </w:r>
            <w:r w:rsidRPr="00534B64">
              <w:t>на 2014</w:t>
            </w:r>
            <w:r>
              <w:t>–2015 годы: 21</w:t>
            </w:r>
            <w:r>
              <w:br/>
            </w:r>
            <w:r w:rsidRPr="00534B64">
              <w:t xml:space="preserve">Целевой показатель </w:t>
            </w:r>
            <w:r>
              <w:br/>
            </w:r>
            <w:r w:rsidRPr="00534B64">
              <w:t>на 2016</w:t>
            </w:r>
            <w:r>
              <w:t>–</w:t>
            </w:r>
            <w:r w:rsidRPr="00534B64">
              <w:t>2017 годы: 24</w:t>
            </w:r>
          </w:p>
        </w:tc>
      </w:tr>
    </w:tbl>
    <w:p w:rsidR="00534B64" w:rsidRPr="00534B64" w:rsidRDefault="00534B64" w:rsidP="00534B64">
      <w:pPr>
        <w:pStyle w:val="SingleTxtGR"/>
        <w:spacing w:before="120"/>
      </w:pPr>
      <w:r w:rsidRPr="00534B64">
        <w:t>6.</w:t>
      </w:r>
      <w:r w:rsidRPr="00534B64">
        <w:tab/>
        <w:t>Рабочей группе предлагается оценить эффективность своей деятельности в свете ожидаемых достижений и соответствующих показателей, сформулированных в 2015 году. С этой целью она, возможно, пожелает рассмотреть приводимый ниже проект отчета о достижениях, включающий оценку результатов, полученных до июля 2017 года, обсудить извлеченные уроки и принять программные меры.</w:t>
      </w:r>
    </w:p>
    <w:p w:rsidR="00534B64" w:rsidRPr="00534B64" w:rsidRDefault="00534B64" w:rsidP="00534B64">
      <w:pPr>
        <w:pStyle w:val="H1GR"/>
      </w:pPr>
      <w:r>
        <w:tab/>
      </w:r>
      <w:r w:rsidRPr="00534B64">
        <w:t>C.</w:t>
      </w:r>
      <w:r w:rsidRPr="00534B64">
        <w:tab/>
        <w:t>Оценка результативности</w:t>
      </w:r>
    </w:p>
    <w:p w:rsidR="00534B64" w:rsidRPr="00534B64" w:rsidRDefault="00534B64" w:rsidP="00534B64">
      <w:pPr>
        <w:pStyle w:val="H23GR"/>
      </w:pPr>
      <w:r>
        <w:tab/>
      </w:r>
      <w:r w:rsidRPr="00534B64">
        <w:t>a)</w:t>
      </w:r>
      <w:r w:rsidRPr="00534B64">
        <w:tab/>
        <w:t>Общая процентная доля предложений о нередакционных поправках, принятых WP.11</w:t>
      </w:r>
    </w:p>
    <w:p w:rsidR="00534B64" w:rsidRPr="00534B64" w:rsidRDefault="00534B64" w:rsidP="00534B64">
      <w:pPr>
        <w:pStyle w:val="SingleTxtGR"/>
      </w:pPr>
      <w:r w:rsidRPr="00534B64">
        <w:t>7.</w:t>
      </w:r>
      <w:r w:rsidRPr="00534B64">
        <w:tab/>
        <w:t>На своей семьдесят второй сессии в 2016 году WP.11 приняла в общей сложности одну предложенную поправку к СПС, содержащуюся в приложении</w:t>
      </w:r>
      <w:r>
        <w:t> </w:t>
      </w:r>
      <w:r w:rsidRPr="00534B64">
        <w:t xml:space="preserve">I к докладу о работе сессии (ECE/TRANS/WP.11/235). Эту поправку можно рассматривать как редакционную. Число нередакционных поправок, которые будут приняты на семьдесят третьей сессии WP.11 в 2017 году, станет известно лишь после сессии (10−13 октября 2017 года), однако уже сейчас можно предположить, что общая процентная доля предложений о нередакционных поправках не превысит целевой показатель 2016–2017 годов, равный 60%. WP.11, возможно, пожелает выбрать новый показатель достижений для замены </w:t>
      </w:r>
      <w:r>
        <w:t>«</w:t>
      </w:r>
      <w:r w:rsidRPr="00534B64">
        <w:t>процентной доли предложений о нередакционных поправках, принятых WP.11</w:t>
      </w:r>
      <w:r>
        <w:t>»</w:t>
      </w:r>
      <w:r w:rsidRPr="00534B64">
        <w:t xml:space="preserve">. </w:t>
      </w:r>
    </w:p>
    <w:p w:rsidR="00534B64" w:rsidRPr="00534B64" w:rsidRDefault="00534B64" w:rsidP="00534B64">
      <w:pPr>
        <w:pStyle w:val="H23GR"/>
      </w:pPr>
      <w:r>
        <w:lastRenderedPageBreak/>
        <w:tab/>
      </w:r>
      <w:r w:rsidRPr="00534B64">
        <w:t>b)</w:t>
      </w:r>
      <w:r w:rsidRPr="00534B64">
        <w:tab/>
        <w:t>Общее число Договаривающихся сторон Соглашения СПС</w:t>
      </w:r>
    </w:p>
    <w:p w:rsidR="00534B64" w:rsidRPr="00534B64" w:rsidRDefault="00534B64" w:rsidP="008D0A7E">
      <w:pPr>
        <w:pStyle w:val="SingleTxtGR"/>
        <w:keepNext/>
        <w:keepLines/>
      </w:pPr>
      <w:r w:rsidRPr="00534B64">
        <w:t>8.</w:t>
      </w:r>
      <w:r w:rsidRPr="00534B64">
        <w:tab/>
        <w:t>На момент составления настоящей записки насчитывалось 50 Договаривающихся сторон СПС. Таким образом, намеченная цель, которая состояла в том, чтобы обеспечить присоединение к СПС двух новых Договаривающихся сторон в течение двухгодичного периода 2016</w:t>
      </w:r>
      <w:r w:rsidR="008D0A7E">
        <w:t>–</w:t>
      </w:r>
      <w:r w:rsidRPr="00534B64">
        <w:t>2017 годов</w:t>
      </w:r>
      <w:r w:rsidR="008D0A7E">
        <w:t>,</w:t>
      </w:r>
      <w:r w:rsidRPr="00534B64">
        <w:t xml:space="preserve"> не была достигнута. Последней Договаривающейся стороной стала Сан-Марино (май 2016 года). Потенциал для присоединения к нему новых Договаривающихся сторон по-прежнему существует. Из 56 государств − членов ЕЭК ООН Договаривающимися сторонами СПС пока не являются Армения, Израиль, Исландия, Канада, Кипр, Лихтенштейн, Мальта, Туркменистан и Швейцария. Работа по пропаганде СПС ведется также среди таких других стран Средиземноморья, как Алжир, Египет, Израиль, Иордания и Ливан. Эти страны уже являются сторонами других правовых документов ЕЭК ООН. Данный показатель достижения рекомендуется сохранить на период 2018–2019 годов.</w:t>
      </w:r>
    </w:p>
    <w:p w:rsidR="00534B64" w:rsidRPr="00534B64" w:rsidRDefault="00534B64" w:rsidP="00534B64">
      <w:pPr>
        <w:pStyle w:val="H23GR"/>
      </w:pPr>
      <w:r>
        <w:tab/>
      </w:r>
      <w:r w:rsidRPr="00534B64">
        <w:t>c)</w:t>
      </w:r>
      <w:r w:rsidRPr="00534B64">
        <w:tab/>
        <w:t>Число стран, отвечающих на вопросник по осуществлению СПС</w:t>
      </w:r>
    </w:p>
    <w:p w:rsidR="00534B64" w:rsidRPr="00534B64" w:rsidRDefault="00534B64" w:rsidP="00534B64">
      <w:pPr>
        <w:pStyle w:val="SingleTxtGR"/>
        <w:rPr>
          <w:spacing w:val="2"/>
        </w:rPr>
      </w:pPr>
      <w:r w:rsidRPr="00534B64">
        <w:t>9.</w:t>
      </w:r>
      <w:r w:rsidRPr="00534B64">
        <w:tab/>
        <w:t>В 2016 году на вопросник по осуществлению СПС ответили 22 страны. В</w:t>
      </w:r>
      <w:r>
        <w:t> </w:t>
      </w:r>
      <w:r w:rsidRPr="00534B64">
        <w:rPr>
          <w:spacing w:val="2"/>
        </w:rPr>
        <w:t>2017 году ответы на него представили 23 страны. Таким образом, целевой показатель, предусматривающий представление 24 ответов, достигнут не был. Данный показатель достижения рекомендуется сохранить на период 2018–2019 годов.</w:t>
      </w:r>
    </w:p>
    <w:p w:rsidR="00534B64" w:rsidRPr="00534B64" w:rsidRDefault="00534B64" w:rsidP="00534B64">
      <w:pPr>
        <w:pStyle w:val="H1GR"/>
      </w:pPr>
      <w:r>
        <w:tab/>
      </w:r>
      <w:r w:rsidRPr="00534B64">
        <w:t>D.</w:t>
      </w:r>
      <w:r w:rsidRPr="00534B64">
        <w:tab/>
        <w:t>Извлеченные уроки/области, требующие усовершенствования</w:t>
      </w:r>
    </w:p>
    <w:p w:rsidR="00534B64" w:rsidRDefault="00534B64" w:rsidP="00534B64">
      <w:pPr>
        <w:pStyle w:val="SingleTxtGR"/>
      </w:pPr>
      <w:r w:rsidRPr="00534B64">
        <w:t>10.</w:t>
      </w:r>
      <w:r w:rsidRPr="00534B64">
        <w:tab/>
        <w:t xml:space="preserve">Целевой показатель, характеризующий число ответов на вопросник по осуществлению СПС, был достигнут, поэтому на следующий период его рекомендуется повысить. Некоторые страны заявляют, что они не в состоянии представить требуемые данные в силу особенностей их административных структур. Данный показатель достижения рекомендуется сохранить на период </w:t>
      </w:r>
      <w:r>
        <w:br/>
      </w:r>
      <w:r w:rsidRPr="00534B64">
        <w:t>2018–2019 годов.</w:t>
      </w:r>
    </w:p>
    <w:p w:rsidR="00534B64" w:rsidRPr="00534B64" w:rsidRDefault="00534B64" w:rsidP="00534B64">
      <w:pPr>
        <w:pStyle w:val="HChGR"/>
      </w:pPr>
      <w:r>
        <w:br w:type="page"/>
      </w:r>
      <w:r w:rsidRPr="00534B64">
        <w:lastRenderedPageBreak/>
        <w:t xml:space="preserve"> Приложение I</w:t>
      </w:r>
    </w:p>
    <w:p w:rsidR="00534B64" w:rsidRPr="00534B64" w:rsidRDefault="00534B64" w:rsidP="00534B64">
      <w:pPr>
        <w:pStyle w:val="HChGR"/>
      </w:pPr>
      <w:r w:rsidRPr="00534B64">
        <w:tab/>
      </w:r>
      <w:r w:rsidRPr="00534B64">
        <w:tab/>
        <w:t xml:space="preserve">Предлагаемая оценка на двухгодичный период </w:t>
      </w:r>
      <w:r>
        <w:br/>
      </w:r>
      <w:r w:rsidRPr="00534B64">
        <w:t>2018</w:t>
      </w:r>
      <w:r w:rsidR="00967096">
        <w:t>–</w:t>
      </w:r>
      <w:r w:rsidRPr="00534B64">
        <w:t>2019 годов</w:t>
      </w:r>
    </w:p>
    <w:p w:rsidR="00534B64" w:rsidRDefault="00534B64" w:rsidP="00534B64">
      <w:pPr>
        <w:pStyle w:val="SingleTxtGR"/>
      </w:pPr>
      <w:r w:rsidRPr="00534B64">
        <w:t>9.</w:t>
      </w:r>
      <w:r w:rsidRPr="00534B64">
        <w:tab/>
        <w:t>WP.11 предлагается обсудить, изменить и принять предлагаемую оценку на двухгодичный период 2018–2019 годов, которая приводится ниже и будет представлена восьмидесятой сессии КВТ в 2018 году.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729"/>
        <w:gridCol w:w="2537"/>
        <w:gridCol w:w="3104"/>
      </w:tblGrid>
      <w:tr w:rsidR="00534B64" w:rsidRPr="00534B64" w:rsidTr="00534B64">
        <w:trPr>
          <w:tblHeader/>
        </w:trPr>
        <w:tc>
          <w:tcPr>
            <w:tcW w:w="1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34B64" w:rsidRPr="00534B64" w:rsidRDefault="00534B64" w:rsidP="00534B64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534B64">
              <w:rPr>
                <w:i/>
                <w:sz w:val="16"/>
              </w:rPr>
              <w:t xml:space="preserve">Направление </w:t>
            </w:r>
            <w:r>
              <w:rPr>
                <w:i/>
                <w:sz w:val="16"/>
              </w:rPr>
              <w:br/>
            </w:r>
            <w:r w:rsidRPr="00534B64">
              <w:rPr>
                <w:i/>
                <w:sz w:val="16"/>
              </w:rPr>
              <w:t>деятельности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34B64" w:rsidRPr="00534B64" w:rsidRDefault="00534B64" w:rsidP="00534B64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534B64">
              <w:rPr>
                <w:i/>
                <w:sz w:val="16"/>
              </w:rPr>
              <w:t>Ожидаемые достижения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34B64" w:rsidRPr="00534B64" w:rsidRDefault="00534B64" w:rsidP="00534B64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534B64">
              <w:rPr>
                <w:i/>
                <w:sz w:val="16"/>
              </w:rPr>
              <w:t>Показатели достижения результатов</w:t>
            </w:r>
          </w:p>
        </w:tc>
      </w:tr>
      <w:tr w:rsidR="00534B64" w:rsidRPr="00534B64" w:rsidTr="00534B64">
        <w:trPr>
          <w:trHeight w:val="473"/>
        </w:trPr>
        <w:tc>
          <w:tcPr>
            <w:tcW w:w="1729" w:type="dxa"/>
            <w:tcBorders>
              <w:top w:val="single" w:sz="12" w:space="0" w:color="auto"/>
            </w:tcBorders>
          </w:tcPr>
          <w:p w:rsidR="00534B64" w:rsidRPr="00534B64" w:rsidRDefault="00534B64" w:rsidP="00534B64">
            <w:r w:rsidRPr="00534B64">
              <w:t xml:space="preserve">Перевозка </w:t>
            </w:r>
            <w:r>
              <w:br/>
            </w:r>
            <w:r w:rsidRPr="00534B64">
              <w:t xml:space="preserve">скоропортящихся пищевых </w:t>
            </w:r>
            <w:r>
              <w:br/>
            </w:r>
            <w:r w:rsidRPr="00534B64">
              <w:t>продуктов</w:t>
            </w:r>
          </w:p>
        </w:tc>
        <w:tc>
          <w:tcPr>
            <w:tcW w:w="2537" w:type="dxa"/>
            <w:tcBorders>
              <w:top w:val="single" w:sz="12" w:space="0" w:color="auto"/>
            </w:tcBorders>
          </w:tcPr>
          <w:p w:rsidR="00534B64" w:rsidRPr="00534B64" w:rsidRDefault="00534B64" w:rsidP="00534B64">
            <w:r w:rsidRPr="00534B64">
              <w:t xml:space="preserve">Повышение и обновление международных требований для перевозок скоропортящихся пищевых </w:t>
            </w:r>
            <w:r w:rsidR="00967096">
              <w:br/>
            </w:r>
            <w:r w:rsidRPr="00534B64">
              <w:t>продуктов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4" w:type="dxa"/>
            <w:tcBorders>
              <w:top w:val="single" w:sz="12" w:space="0" w:color="auto"/>
            </w:tcBorders>
          </w:tcPr>
          <w:p w:rsidR="00534B64" w:rsidRPr="00534B64" w:rsidRDefault="00534B64" w:rsidP="00534B64">
            <w:pPr>
              <w:tabs>
                <w:tab w:val="left" w:pos="348"/>
              </w:tabs>
            </w:pPr>
            <w:r w:rsidRPr="00534B64">
              <w:t>a)</w:t>
            </w:r>
            <w:r w:rsidRPr="00534B64">
              <w:tab/>
              <w:t>Общая процентная доля предложений о нередакционных поправках, принятых WP.11</w:t>
            </w:r>
          </w:p>
          <w:p w:rsidR="00534B64" w:rsidRPr="00534B64" w:rsidRDefault="00534B64" w:rsidP="00534B64">
            <w:pPr>
              <w:tabs>
                <w:tab w:val="left" w:pos="348"/>
              </w:tabs>
            </w:pPr>
            <w:r w:rsidRPr="00534B64">
              <w:t>Показатели результативности:</w:t>
            </w:r>
            <w:r>
              <w:br/>
            </w:r>
            <w:r w:rsidRPr="00534B64">
              <w:t>Оценка на 2016–2017 годы: 60% Целевой показатель на</w:t>
            </w:r>
            <w:r>
              <w:t> </w:t>
            </w:r>
            <w:r w:rsidRPr="00534B64">
              <w:t>2018−2019 годы: 60%</w:t>
            </w:r>
          </w:p>
        </w:tc>
      </w:tr>
      <w:tr w:rsidR="00534B64" w:rsidRPr="00534B64" w:rsidTr="00534B64">
        <w:trPr>
          <w:trHeight w:val="472"/>
        </w:trPr>
        <w:tc>
          <w:tcPr>
            <w:tcW w:w="1729" w:type="dxa"/>
          </w:tcPr>
          <w:p w:rsidR="00534B64" w:rsidRPr="00534B64" w:rsidRDefault="00534B64" w:rsidP="00534B64"/>
        </w:tc>
        <w:tc>
          <w:tcPr>
            <w:tcW w:w="2537" w:type="dxa"/>
          </w:tcPr>
          <w:p w:rsidR="00534B64" w:rsidRPr="00534B64" w:rsidRDefault="00534B64" w:rsidP="00534B6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4" w:type="dxa"/>
          </w:tcPr>
          <w:p w:rsidR="00534B64" w:rsidRPr="00534B64" w:rsidRDefault="00534B64" w:rsidP="00534B64">
            <w:pPr>
              <w:tabs>
                <w:tab w:val="left" w:pos="348"/>
              </w:tabs>
            </w:pPr>
            <w:r w:rsidRPr="00534B64">
              <w:t>b)</w:t>
            </w:r>
            <w:r w:rsidRPr="00534B64">
              <w:tab/>
              <w:t>Общее число Договаривающихся сторон Соглашения СПС</w:t>
            </w:r>
          </w:p>
        </w:tc>
      </w:tr>
      <w:tr w:rsidR="00534B64" w:rsidRPr="00534B64" w:rsidTr="00534B64">
        <w:trPr>
          <w:trHeight w:val="472"/>
        </w:trPr>
        <w:tc>
          <w:tcPr>
            <w:tcW w:w="1729" w:type="dxa"/>
          </w:tcPr>
          <w:p w:rsidR="00534B64" w:rsidRPr="00534B64" w:rsidRDefault="00534B64" w:rsidP="00534B64"/>
        </w:tc>
        <w:tc>
          <w:tcPr>
            <w:tcW w:w="2537" w:type="dxa"/>
          </w:tcPr>
          <w:p w:rsidR="00534B64" w:rsidRPr="00534B64" w:rsidRDefault="00534B64" w:rsidP="00534B6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4" w:type="dxa"/>
          </w:tcPr>
          <w:p w:rsidR="00534B64" w:rsidRPr="00534B64" w:rsidRDefault="00534B64" w:rsidP="00534B64">
            <w:pPr>
              <w:tabs>
                <w:tab w:val="left" w:pos="348"/>
              </w:tabs>
            </w:pPr>
            <w:r w:rsidRPr="00534B64">
              <w:t>Показатели результативности:</w:t>
            </w:r>
            <w:r>
              <w:br/>
            </w:r>
            <w:r w:rsidRPr="00534B64">
              <w:t xml:space="preserve">Базовый показатель </w:t>
            </w:r>
            <w:r>
              <w:br/>
            </w:r>
            <w:r w:rsidRPr="00534B64">
              <w:t xml:space="preserve">на 2016–2017 годы: 50 </w:t>
            </w:r>
            <w:r>
              <w:br/>
            </w:r>
            <w:r w:rsidRPr="00534B64">
              <w:t>Целевой показатель на</w:t>
            </w:r>
            <w:r>
              <w:t> </w:t>
            </w:r>
            <w:r w:rsidRPr="00534B64">
              <w:t>2018−2019 годы: 52</w:t>
            </w:r>
          </w:p>
        </w:tc>
      </w:tr>
      <w:tr w:rsidR="00534B64" w:rsidRPr="00534B64" w:rsidTr="00534B64">
        <w:trPr>
          <w:trHeight w:val="472"/>
        </w:trPr>
        <w:tc>
          <w:tcPr>
            <w:tcW w:w="1729" w:type="dxa"/>
          </w:tcPr>
          <w:p w:rsidR="00534B64" w:rsidRPr="00534B64" w:rsidRDefault="00534B64" w:rsidP="00534B64"/>
        </w:tc>
        <w:tc>
          <w:tcPr>
            <w:tcW w:w="2537" w:type="dxa"/>
          </w:tcPr>
          <w:p w:rsidR="00534B64" w:rsidRPr="00534B64" w:rsidRDefault="00534B64" w:rsidP="00534B6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4" w:type="dxa"/>
          </w:tcPr>
          <w:p w:rsidR="00534B64" w:rsidRPr="00534B64" w:rsidRDefault="00534B64" w:rsidP="00534B64">
            <w:pPr>
              <w:tabs>
                <w:tab w:val="left" w:pos="348"/>
              </w:tabs>
            </w:pPr>
            <w:r w:rsidRPr="00534B64">
              <w:t>c)</w:t>
            </w:r>
            <w:r w:rsidRPr="00534B64">
              <w:tab/>
              <w:t>Число стран, отвечающих на</w:t>
            </w:r>
            <w:r>
              <w:t> </w:t>
            </w:r>
            <w:r w:rsidRPr="00534B64">
              <w:t>вопросник по осуществлению СПС</w:t>
            </w:r>
          </w:p>
        </w:tc>
      </w:tr>
      <w:tr w:rsidR="00534B64" w:rsidRPr="00534B64" w:rsidTr="00534B64">
        <w:trPr>
          <w:trHeight w:val="472"/>
        </w:trPr>
        <w:tc>
          <w:tcPr>
            <w:tcW w:w="1729" w:type="dxa"/>
          </w:tcPr>
          <w:p w:rsidR="00534B64" w:rsidRPr="00534B64" w:rsidRDefault="00534B64" w:rsidP="00534B64"/>
        </w:tc>
        <w:tc>
          <w:tcPr>
            <w:tcW w:w="2537" w:type="dxa"/>
          </w:tcPr>
          <w:p w:rsidR="00534B64" w:rsidRPr="00534B64" w:rsidRDefault="00534B64" w:rsidP="00534B6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4" w:type="dxa"/>
          </w:tcPr>
          <w:p w:rsidR="00534B64" w:rsidRPr="00534B64" w:rsidRDefault="00534B64" w:rsidP="00534B64">
            <w:pPr>
              <w:tabs>
                <w:tab w:val="left" w:pos="348"/>
              </w:tabs>
            </w:pPr>
            <w:r w:rsidRPr="00534B64">
              <w:t>Показатели результативности:</w:t>
            </w:r>
            <w:r>
              <w:br/>
            </w:r>
            <w:r w:rsidRPr="00534B64">
              <w:t xml:space="preserve">Базовый показатель </w:t>
            </w:r>
            <w:r>
              <w:br/>
            </w:r>
            <w:r w:rsidRPr="00534B64">
              <w:t>на</w:t>
            </w:r>
            <w:r>
              <w:t xml:space="preserve"> </w:t>
            </w:r>
            <w:r w:rsidRPr="00534B64">
              <w:t xml:space="preserve">2016–2017 годы: 22 </w:t>
            </w:r>
            <w:r>
              <w:br/>
            </w:r>
            <w:r w:rsidRPr="00534B64">
              <w:t>Целевой показатель на</w:t>
            </w:r>
            <w:r>
              <w:t> </w:t>
            </w:r>
            <w:r w:rsidRPr="00534B64">
              <w:t>2018−2019 годы: 24</w:t>
            </w:r>
          </w:p>
        </w:tc>
      </w:tr>
    </w:tbl>
    <w:p w:rsidR="00534B64" w:rsidRDefault="00534B64" w:rsidP="00534B64">
      <w:pPr>
        <w:pStyle w:val="BlockText"/>
      </w:pPr>
    </w:p>
    <w:p w:rsidR="00534B64" w:rsidRPr="00534B64" w:rsidRDefault="00534B64" w:rsidP="00DA583E">
      <w:pPr>
        <w:pStyle w:val="HChGR"/>
        <w:spacing w:before="120"/>
      </w:pPr>
      <w:r>
        <w:br w:type="page"/>
      </w:r>
      <w:r w:rsidRPr="00534B64">
        <w:lastRenderedPageBreak/>
        <w:t>Приложение II</w:t>
      </w:r>
    </w:p>
    <w:p w:rsidR="00534B64" w:rsidRPr="00534B64" w:rsidRDefault="00534B64" w:rsidP="00534B64">
      <w:pPr>
        <w:pStyle w:val="HChGR"/>
      </w:pPr>
      <w:r w:rsidRPr="00534B64">
        <w:tab/>
      </w:r>
      <w:r w:rsidRPr="00534B64">
        <w:tab/>
        <w:t>Результаты/виды деятельности для реализации в</w:t>
      </w:r>
      <w:r>
        <w:t> </w:t>
      </w:r>
      <w:r w:rsidRPr="00534B64">
        <w:t>течение двухгодичного периода 2018–2019 годов</w:t>
      </w:r>
    </w:p>
    <w:p w:rsidR="00534B64" w:rsidRPr="00534B64" w:rsidRDefault="00534B64" w:rsidP="00DA583E">
      <w:pPr>
        <w:pStyle w:val="H23GR"/>
      </w:pPr>
      <w:r w:rsidRPr="00534B64">
        <w:tab/>
      </w:r>
      <w:r w:rsidRPr="00534B64">
        <w:tab/>
        <w:t>Подпрограмма: 02 Транспорт</w:t>
      </w:r>
    </w:p>
    <w:p w:rsidR="00534B64" w:rsidRPr="00534B64" w:rsidRDefault="00534B64" w:rsidP="00DA583E">
      <w:pPr>
        <w:pStyle w:val="H1GR"/>
        <w:spacing w:before="240"/>
      </w:pPr>
      <w:r w:rsidRPr="00534B64">
        <w:tab/>
      </w:r>
      <w:r w:rsidRPr="00534B64">
        <w:tab/>
        <w:t xml:space="preserve">Направление деятельности 12 </w:t>
      </w:r>
      <w:r>
        <w:br/>
      </w:r>
      <w:r w:rsidRPr="00534B64">
        <w:t>Перевозка скоропортящихся пищевых продуктов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382"/>
        <w:gridCol w:w="2988"/>
      </w:tblGrid>
      <w:tr w:rsidR="00534B64" w:rsidRPr="00534B64" w:rsidTr="00DA583E">
        <w:trPr>
          <w:tblHeader/>
        </w:trPr>
        <w:tc>
          <w:tcPr>
            <w:tcW w:w="43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34B64" w:rsidRPr="00534B64" w:rsidRDefault="00534B64" w:rsidP="00534B64">
            <w:pPr>
              <w:spacing w:before="80" w:after="80" w:line="200" w:lineRule="exact"/>
              <w:rPr>
                <w:i/>
                <w:sz w:val="16"/>
              </w:rPr>
            </w:pPr>
            <w:r w:rsidRPr="00534B64">
              <w:rPr>
                <w:i/>
                <w:sz w:val="16"/>
              </w:rPr>
              <w:t>Описание направления деятельности (факультативно)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34B64" w:rsidRPr="00534B64" w:rsidRDefault="00534B64" w:rsidP="00534B64">
            <w:pPr>
              <w:spacing w:before="80" w:after="80" w:line="200" w:lineRule="exact"/>
              <w:rPr>
                <w:i/>
                <w:sz w:val="16"/>
              </w:rPr>
            </w:pPr>
            <w:r w:rsidRPr="00534B64">
              <w:rPr>
                <w:i/>
                <w:sz w:val="16"/>
              </w:rPr>
              <w:t>Ожидаемые достижения по этому направлению деятельности</w:t>
            </w:r>
          </w:p>
        </w:tc>
      </w:tr>
      <w:tr w:rsidR="00534B64" w:rsidRPr="00534B64" w:rsidTr="00DA583E">
        <w:tc>
          <w:tcPr>
            <w:tcW w:w="4382" w:type="dxa"/>
            <w:tcBorders>
              <w:top w:val="single" w:sz="12" w:space="0" w:color="auto"/>
            </w:tcBorders>
          </w:tcPr>
          <w:p w:rsidR="00534B64" w:rsidRPr="00534B64" w:rsidRDefault="00534B64" w:rsidP="007762D1">
            <w:pPr>
              <w:spacing w:line="220" w:lineRule="atLeast"/>
              <w:rPr>
                <w:sz w:val="18"/>
                <w:szCs w:val="18"/>
              </w:rPr>
            </w:pPr>
            <w:r w:rsidRPr="00534B64">
              <w:rPr>
                <w:sz w:val="18"/>
                <w:szCs w:val="18"/>
              </w:rPr>
              <w:t>Основные цели этого направления деятельности:</w:t>
            </w:r>
          </w:p>
          <w:p w:rsidR="00534B64" w:rsidRPr="00534B64" w:rsidRDefault="00534B64" w:rsidP="007762D1">
            <w:pPr>
              <w:spacing w:line="220" w:lineRule="atLeast"/>
              <w:rPr>
                <w:sz w:val="18"/>
                <w:szCs w:val="18"/>
              </w:rPr>
            </w:pPr>
            <w:r w:rsidRPr="00534B64">
              <w:rPr>
                <w:sz w:val="18"/>
                <w:szCs w:val="18"/>
              </w:rPr>
              <w:t>принимать и осуществлять меры, направленные на улучшение условий сохранения качества скоропортящихся пищевых продуктов в ходе их транспортировки, в частности при международных перевозках;</w:t>
            </w:r>
          </w:p>
          <w:p w:rsidR="00534B64" w:rsidRPr="00534B64" w:rsidRDefault="00534B64" w:rsidP="007762D1">
            <w:pPr>
              <w:spacing w:line="220" w:lineRule="atLeast"/>
              <w:rPr>
                <w:sz w:val="18"/>
                <w:szCs w:val="18"/>
              </w:rPr>
            </w:pPr>
            <w:r w:rsidRPr="00534B64">
              <w:rPr>
                <w:sz w:val="18"/>
                <w:szCs w:val="18"/>
              </w:rPr>
              <w:t>содействовать облегчению международных перевозок скоропортящихся пищевых продуктов путем согласования относящихся к ним требований и правил, а также административных процедур и требований, связанных с документацией, которые применяются к этим перевозкам;</w:t>
            </w:r>
          </w:p>
          <w:p w:rsidR="00534B64" w:rsidRPr="00534B64" w:rsidRDefault="00534B64" w:rsidP="007762D1">
            <w:pPr>
              <w:spacing w:line="220" w:lineRule="atLeast"/>
              <w:rPr>
                <w:sz w:val="18"/>
                <w:szCs w:val="18"/>
              </w:rPr>
            </w:pPr>
            <w:r w:rsidRPr="00534B64">
              <w:rPr>
                <w:sz w:val="18"/>
                <w:szCs w:val="18"/>
              </w:rPr>
              <w:t>разрабатывать и обновлять Соглашение о международных перевозках скоропортящихся пищевых продуктов и о специальных транспортных средствах, предназначенных для этих перевозок (СПС), заключенное в Женеве в 1970 году;</w:t>
            </w:r>
          </w:p>
          <w:p w:rsidR="00534B64" w:rsidRPr="00534B64" w:rsidRDefault="00534B64" w:rsidP="007762D1">
            <w:pPr>
              <w:spacing w:line="220" w:lineRule="atLeast"/>
              <w:rPr>
                <w:sz w:val="18"/>
                <w:szCs w:val="18"/>
              </w:rPr>
            </w:pPr>
            <w:r w:rsidRPr="00534B64">
              <w:rPr>
                <w:sz w:val="18"/>
                <w:szCs w:val="18"/>
              </w:rPr>
              <w:t>обеспечивать согласование СПС с другими соответствующими юридическими документами, регулирующими перевозку скоропортящихся пищевых продуктов, которые были разработаны на других форумах.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8" w:type="dxa"/>
            <w:tcBorders>
              <w:top w:val="single" w:sz="12" w:space="0" w:color="auto"/>
            </w:tcBorders>
          </w:tcPr>
          <w:p w:rsidR="00534B64" w:rsidRPr="00534B64" w:rsidRDefault="00534B64" w:rsidP="007762D1">
            <w:pPr>
              <w:spacing w:line="220" w:lineRule="atLeast"/>
              <w:rPr>
                <w:sz w:val="18"/>
                <w:szCs w:val="18"/>
              </w:rPr>
            </w:pPr>
            <w:r w:rsidRPr="00534B64">
              <w:rPr>
                <w:sz w:val="18"/>
                <w:szCs w:val="18"/>
              </w:rPr>
              <w:t xml:space="preserve">Повышение и обновление международных требований для перевозок скоропортящихся пищевых продуктов </w:t>
            </w:r>
          </w:p>
        </w:tc>
      </w:tr>
      <w:tr w:rsidR="00534B64" w:rsidRPr="00534B64" w:rsidTr="00DA583E">
        <w:tc>
          <w:tcPr>
            <w:tcW w:w="4382" w:type="dxa"/>
          </w:tcPr>
          <w:p w:rsidR="00534B64" w:rsidRPr="00534B64" w:rsidRDefault="00534B64" w:rsidP="007762D1">
            <w:pPr>
              <w:spacing w:line="220" w:lineRule="atLeast"/>
              <w:rPr>
                <w:sz w:val="18"/>
                <w:szCs w:val="18"/>
              </w:rPr>
            </w:pPr>
            <w:r w:rsidRPr="00534B64">
              <w:rPr>
                <w:sz w:val="18"/>
                <w:szCs w:val="18"/>
              </w:rPr>
              <w:t>Основные задачи Отдела устойчивого транспорта:</w:t>
            </w:r>
          </w:p>
          <w:p w:rsidR="00534B64" w:rsidRPr="00534B64" w:rsidRDefault="00534B64" w:rsidP="004956E5">
            <w:pPr>
              <w:tabs>
                <w:tab w:val="left" w:pos="268"/>
              </w:tabs>
              <w:spacing w:line="220" w:lineRule="atLeast"/>
              <w:ind w:left="268" w:hanging="268"/>
              <w:rPr>
                <w:sz w:val="18"/>
                <w:szCs w:val="18"/>
              </w:rPr>
            </w:pPr>
            <w:r w:rsidRPr="00534B64">
              <w:rPr>
                <w:sz w:val="18"/>
                <w:szCs w:val="18"/>
              </w:rPr>
              <w:t>–</w:t>
            </w:r>
            <w:r w:rsidRPr="00534B64">
              <w:rPr>
                <w:sz w:val="18"/>
                <w:szCs w:val="18"/>
              </w:rPr>
              <w:tab/>
              <w:t>выполнять роль секретариата для Рабочей группы по перевозкам скоропортящихся пищевых продуктов (WP.11);</w:t>
            </w:r>
          </w:p>
          <w:p w:rsidR="00534B64" w:rsidRPr="00534B64" w:rsidRDefault="00534B64" w:rsidP="004956E5">
            <w:pPr>
              <w:tabs>
                <w:tab w:val="left" w:pos="268"/>
              </w:tabs>
              <w:spacing w:line="220" w:lineRule="atLeast"/>
              <w:ind w:left="268" w:hanging="268"/>
              <w:rPr>
                <w:sz w:val="18"/>
                <w:szCs w:val="18"/>
              </w:rPr>
            </w:pPr>
            <w:r w:rsidRPr="00534B64">
              <w:rPr>
                <w:sz w:val="18"/>
                <w:szCs w:val="18"/>
              </w:rPr>
              <w:t>–</w:t>
            </w:r>
            <w:r w:rsidRPr="00534B64">
              <w:rPr>
                <w:sz w:val="18"/>
                <w:szCs w:val="18"/>
              </w:rPr>
              <w:tab/>
              <w:t xml:space="preserve">выпускать обновленные издания СПС (в печатном виде и в Интернете) и Справочника СПС </w:t>
            </w:r>
            <w:r w:rsidR="00DA583E">
              <w:rPr>
                <w:sz w:val="18"/>
                <w:szCs w:val="18"/>
              </w:rPr>
              <w:br/>
            </w:r>
            <w:r w:rsidRPr="00534B64">
              <w:rPr>
                <w:sz w:val="18"/>
                <w:szCs w:val="18"/>
              </w:rPr>
              <w:t>(только в Интернете);</w:t>
            </w:r>
          </w:p>
          <w:p w:rsidR="00534B64" w:rsidRPr="00534B64" w:rsidRDefault="00534B64" w:rsidP="004956E5">
            <w:pPr>
              <w:tabs>
                <w:tab w:val="left" w:pos="268"/>
              </w:tabs>
              <w:spacing w:line="220" w:lineRule="atLeast"/>
              <w:ind w:left="268" w:hanging="268"/>
              <w:rPr>
                <w:sz w:val="18"/>
                <w:szCs w:val="18"/>
              </w:rPr>
            </w:pPr>
            <w:r w:rsidRPr="00534B64">
              <w:rPr>
                <w:sz w:val="18"/>
                <w:szCs w:val="18"/>
              </w:rPr>
              <w:t>–</w:t>
            </w:r>
            <w:r w:rsidRPr="00534B64">
              <w:rPr>
                <w:sz w:val="18"/>
                <w:szCs w:val="18"/>
              </w:rPr>
              <w:tab/>
              <w:t>организовывать мероприятия, включая рабочие совещания, направленные на улучшение применения СПС и содействие присоединению к нему других государств;</w:t>
            </w:r>
          </w:p>
          <w:p w:rsidR="00534B64" w:rsidRPr="00534B64" w:rsidRDefault="00534B64" w:rsidP="004956E5">
            <w:pPr>
              <w:tabs>
                <w:tab w:val="left" w:pos="268"/>
              </w:tabs>
              <w:spacing w:line="220" w:lineRule="atLeast"/>
              <w:ind w:left="268" w:hanging="268"/>
              <w:rPr>
                <w:sz w:val="18"/>
                <w:szCs w:val="18"/>
              </w:rPr>
            </w:pPr>
            <w:r w:rsidRPr="00534B64">
              <w:rPr>
                <w:sz w:val="18"/>
                <w:szCs w:val="18"/>
              </w:rPr>
              <w:t>–</w:t>
            </w:r>
            <w:r w:rsidRPr="00534B64">
              <w:rPr>
                <w:sz w:val="18"/>
                <w:szCs w:val="18"/>
              </w:rPr>
              <w:tab/>
              <w:t>сотрудничать с правительствами и другими сторонами (межправительственными и неправительственными организациями) в области перевозок холодильным транспортом.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8" w:type="dxa"/>
          </w:tcPr>
          <w:p w:rsidR="00534B64" w:rsidRPr="00534B64" w:rsidRDefault="00534B64" w:rsidP="007762D1">
            <w:pPr>
              <w:spacing w:line="220" w:lineRule="atLeast"/>
              <w:rPr>
                <w:sz w:val="18"/>
                <w:szCs w:val="18"/>
              </w:rPr>
            </w:pPr>
          </w:p>
        </w:tc>
      </w:tr>
    </w:tbl>
    <w:p w:rsidR="00C8787F" w:rsidRPr="00C8787F" w:rsidRDefault="00C8787F" w:rsidP="00C8787F">
      <w:pPr>
        <w:pStyle w:val="H23GR"/>
      </w:pPr>
      <w:r w:rsidRPr="00C8787F">
        <w:lastRenderedPageBreak/>
        <w:tab/>
      </w:r>
      <w:r w:rsidRPr="00C8787F">
        <w:tab/>
        <w:t>Результаты/виды деятельности</w:t>
      </w:r>
    </w:p>
    <w:p w:rsidR="00C8787F" w:rsidRPr="00C8787F" w:rsidRDefault="00C8787F" w:rsidP="00C8787F">
      <w:pPr>
        <w:pStyle w:val="H4GR"/>
      </w:pPr>
      <w:r>
        <w:tab/>
      </w:r>
      <w:r w:rsidRPr="00C8787F">
        <w:t>a)</w:t>
      </w:r>
      <w:r w:rsidRPr="00C8787F">
        <w:tab/>
        <w:t>Совещания и соответствующая дискуссионная документация</w:t>
      </w:r>
    </w:p>
    <w:p w:rsidR="00C8787F" w:rsidRPr="00C8787F" w:rsidRDefault="00C8787F" w:rsidP="00C8787F">
      <w:pPr>
        <w:pStyle w:val="SingleTxtGR"/>
        <w:keepNext/>
        <w:keepLines/>
        <w:ind w:left="1701" w:hanging="567"/>
      </w:pPr>
      <w:r w:rsidRPr="00C8787F">
        <w:t>12.1</w:t>
      </w:r>
      <w:r w:rsidRPr="00C8787F">
        <w:tab/>
        <w:t>Рабочая группа по перевозкам скоропортящихся пищевых продуктов (WP.11): семьдесят четвертая сессия (9−12 октября 2018 года), семьдесят пятая сессия (даты будут определены в 2018 году) (16 заседаний)</w:t>
      </w:r>
      <w:r>
        <w:t>.</w:t>
      </w:r>
    </w:p>
    <w:p w:rsidR="00C8787F" w:rsidRPr="00C8787F" w:rsidRDefault="00C8787F" w:rsidP="00C8787F">
      <w:pPr>
        <w:pStyle w:val="SingleTxtGR"/>
        <w:ind w:left="1701" w:hanging="567"/>
      </w:pPr>
      <w:r>
        <w:tab/>
      </w:r>
      <w:r w:rsidRPr="00C8787F">
        <w:t>Доклады о работе годовых сессий WP.11 (2); серии документов, касающихся, в частности, следующего: обмен информацией об осуществлении</w:t>
      </w:r>
      <w:r>
        <w:t> </w:t>
      </w:r>
      <w:r w:rsidRPr="00C8787F">
        <w:t xml:space="preserve">СПС; предложения по поправкам к СПС и приложениям к нему; предложения по добавлениям к Справочнику СПС; предложения по возможному распространению области применения СПС; программа работы, двухгодичная оценка и план работы (2). </w:t>
      </w:r>
    </w:p>
    <w:p w:rsidR="00C8787F" w:rsidRPr="00C8787F" w:rsidRDefault="00C8787F" w:rsidP="00C8787F">
      <w:pPr>
        <w:pStyle w:val="H4GR"/>
        <w:rPr>
          <w:iCs/>
        </w:rPr>
      </w:pPr>
      <w:r>
        <w:tab/>
      </w:r>
      <w:r w:rsidRPr="00C8787F">
        <w:t>b)</w:t>
      </w:r>
      <w:r w:rsidRPr="00C8787F">
        <w:tab/>
        <w:t>Публикации и другие информационные материалы</w:t>
      </w:r>
    </w:p>
    <w:p w:rsidR="00C8787F" w:rsidRPr="00C8787F" w:rsidRDefault="00C8787F" w:rsidP="00C8787F">
      <w:pPr>
        <w:pStyle w:val="SingleTxtGR"/>
        <w:ind w:left="1701" w:hanging="567"/>
      </w:pPr>
      <w:r w:rsidRPr="00C8787F">
        <w:t>12.2</w:t>
      </w:r>
      <w:r w:rsidRPr="00C8787F">
        <w:tab/>
        <w:t>Выпуск издания СПС 2018–2019 годов (1)</w:t>
      </w:r>
      <w:r>
        <w:t>;</w:t>
      </w:r>
    </w:p>
    <w:p w:rsidR="00C8787F" w:rsidRPr="00C8787F" w:rsidRDefault="00C8787F" w:rsidP="00C8787F">
      <w:pPr>
        <w:pStyle w:val="SingleTxtGR"/>
        <w:ind w:left="1701" w:hanging="567"/>
      </w:pPr>
      <w:r w:rsidRPr="00C8787F">
        <w:t>12.3</w:t>
      </w:r>
      <w:r w:rsidRPr="00C8787F">
        <w:tab/>
        <w:t>Обновление Справочника СПС на веб-сайте Отдела устойчивого транспорта</w:t>
      </w:r>
      <w:r>
        <w:t>.</w:t>
      </w:r>
    </w:p>
    <w:p w:rsidR="00C8787F" w:rsidRPr="00C8787F" w:rsidRDefault="00C8787F" w:rsidP="00C8787F">
      <w:pPr>
        <w:pStyle w:val="H4GR"/>
      </w:pPr>
      <w:r>
        <w:tab/>
      </w:r>
      <w:r w:rsidRPr="00C8787F">
        <w:t>c)</w:t>
      </w:r>
      <w:r w:rsidRPr="00C8787F">
        <w:tab/>
        <w:t>Техническое сотрудничество</w:t>
      </w:r>
    </w:p>
    <w:p w:rsidR="00C8787F" w:rsidRPr="00C8787F" w:rsidRDefault="00C8787F" w:rsidP="00C8787F">
      <w:pPr>
        <w:pStyle w:val="SingleTxtGR"/>
        <w:ind w:left="1701" w:hanging="567"/>
      </w:pPr>
      <w:r w:rsidRPr="00C8787F">
        <w:t>12.4</w:t>
      </w:r>
      <w:r w:rsidRPr="00C8787F">
        <w:tab/>
        <w:t>Мероприятия, включая возможные рабочие совещания по вопросам улучшения применения СПС, содействия присоединению к нему стран ЕЭК ООН и государств за пределами региона ЕЭК ООН, а также снижения экологического воздействия перевозок холодильным транспортом</w:t>
      </w:r>
      <w:r>
        <w:t>;</w:t>
      </w:r>
    </w:p>
    <w:p w:rsidR="00C8787F" w:rsidRPr="00C8787F" w:rsidRDefault="00C8787F" w:rsidP="00C8787F">
      <w:pPr>
        <w:pStyle w:val="SingleTxtGR"/>
        <w:ind w:left="1701" w:hanging="567"/>
      </w:pPr>
      <w:r w:rsidRPr="00C8787F">
        <w:t>12.5</w:t>
      </w:r>
      <w:r w:rsidRPr="00C8787F">
        <w:tab/>
        <w:t>Сотрудничество с другими организациями, работающими в сфере перевозок холодильным транспортом, включая Международную ассоциацию по производству автомобильных кузовов и прицепов, Международный институт холода и «Трансфригорут интернэшнл»</w:t>
      </w:r>
      <w:r>
        <w:t>.</w:t>
      </w:r>
    </w:p>
    <w:p w:rsidR="00534B64" w:rsidRPr="00C8787F" w:rsidRDefault="00C8787F" w:rsidP="00C8787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787F" w:rsidRPr="00534B64" w:rsidRDefault="00C8787F" w:rsidP="00C8787F">
      <w:pPr>
        <w:pStyle w:val="SingleTxtGR"/>
      </w:pPr>
    </w:p>
    <w:sectPr w:rsidR="00C8787F" w:rsidRPr="00534B64" w:rsidSect="00534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EF" w:rsidRPr="00A312BC" w:rsidRDefault="00257EEF" w:rsidP="00A312BC"/>
  </w:endnote>
  <w:endnote w:type="continuationSeparator" w:id="0">
    <w:p w:rsidR="00257EEF" w:rsidRPr="00A312BC" w:rsidRDefault="00257EE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64" w:rsidRPr="00534B64" w:rsidRDefault="00534B64">
    <w:pPr>
      <w:pStyle w:val="Footer"/>
    </w:pPr>
    <w:r w:rsidRPr="00534B64">
      <w:rPr>
        <w:b/>
        <w:sz w:val="18"/>
      </w:rPr>
      <w:fldChar w:fldCharType="begin"/>
    </w:r>
    <w:r w:rsidRPr="00534B64">
      <w:rPr>
        <w:b/>
        <w:sz w:val="18"/>
      </w:rPr>
      <w:instrText xml:space="preserve"> PAGE  \* MERGEFORMAT </w:instrText>
    </w:r>
    <w:r w:rsidRPr="00534B64">
      <w:rPr>
        <w:b/>
        <w:sz w:val="18"/>
      </w:rPr>
      <w:fldChar w:fldCharType="separate"/>
    </w:r>
    <w:r w:rsidR="00A02E2F">
      <w:rPr>
        <w:b/>
        <w:noProof/>
        <w:sz w:val="18"/>
      </w:rPr>
      <w:t>2</w:t>
    </w:r>
    <w:r w:rsidRPr="00534B64">
      <w:rPr>
        <w:b/>
        <w:sz w:val="18"/>
      </w:rPr>
      <w:fldChar w:fldCharType="end"/>
    </w:r>
    <w:r>
      <w:rPr>
        <w:b/>
        <w:sz w:val="18"/>
      </w:rPr>
      <w:tab/>
    </w:r>
    <w:r>
      <w:t>GE.17-12629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64" w:rsidRPr="00534B64" w:rsidRDefault="00534B64" w:rsidP="00534B64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GE.17-12629</w:t>
    </w:r>
    <w:r>
      <w:tab/>
    </w:r>
    <w:r w:rsidRPr="00534B64">
      <w:rPr>
        <w:b/>
        <w:sz w:val="18"/>
      </w:rPr>
      <w:fldChar w:fldCharType="begin"/>
    </w:r>
    <w:r w:rsidRPr="00534B64">
      <w:rPr>
        <w:b/>
        <w:sz w:val="18"/>
      </w:rPr>
      <w:instrText xml:space="preserve"> PAGE  \* MERGEFORMAT </w:instrText>
    </w:r>
    <w:r w:rsidRPr="00534B64">
      <w:rPr>
        <w:b/>
        <w:sz w:val="18"/>
      </w:rPr>
      <w:fldChar w:fldCharType="separate"/>
    </w:r>
    <w:r w:rsidR="00A02E2F">
      <w:rPr>
        <w:b/>
        <w:noProof/>
        <w:sz w:val="18"/>
      </w:rPr>
      <w:t>5</w:t>
    </w:r>
    <w:r w:rsidRPr="00534B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34B64" w:rsidRDefault="00534B64" w:rsidP="00534B64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17-12629  (R)</w:t>
    </w:r>
    <w:r>
      <w:rPr>
        <w:lang w:val="en-US"/>
      </w:rPr>
      <w:t xml:space="preserve">  100817  160817</w:t>
    </w:r>
    <w:r>
      <w:br/>
    </w:r>
    <w:r w:rsidRPr="00534B64">
      <w:rPr>
        <w:rFonts w:ascii="C39T30Lfz" w:hAnsi="C39T30Lfz"/>
        <w:spacing w:val="0"/>
        <w:w w:val="100"/>
        <w:sz w:val="56"/>
      </w:rPr>
      <w:t></w:t>
    </w:r>
    <w:r w:rsidRPr="00534B64">
      <w:rPr>
        <w:rFonts w:ascii="C39T30Lfz" w:hAnsi="C39T30Lfz"/>
        <w:spacing w:val="0"/>
        <w:w w:val="100"/>
        <w:sz w:val="56"/>
      </w:rPr>
      <w:t></w:t>
    </w:r>
    <w:r w:rsidRPr="00534B64">
      <w:rPr>
        <w:rFonts w:ascii="C39T30Lfz" w:hAnsi="C39T30Lfz"/>
        <w:spacing w:val="0"/>
        <w:w w:val="100"/>
        <w:sz w:val="56"/>
      </w:rPr>
      <w:t></w:t>
    </w:r>
    <w:r w:rsidRPr="00534B64">
      <w:rPr>
        <w:rFonts w:ascii="C39T30Lfz" w:hAnsi="C39T30Lfz"/>
        <w:spacing w:val="0"/>
        <w:w w:val="100"/>
        <w:sz w:val="56"/>
      </w:rPr>
      <w:t></w:t>
    </w:r>
    <w:r w:rsidRPr="00534B64">
      <w:rPr>
        <w:rFonts w:ascii="C39T30Lfz" w:hAnsi="C39T30Lfz"/>
        <w:spacing w:val="0"/>
        <w:w w:val="100"/>
        <w:sz w:val="56"/>
      </w:rPr>
      <w:t></w:t>
    </w:r>
    <w:r w:rsidRPr="00534B64">
      <w:rPr>
        <w:rFonts w:ascii="C39T30Lfz" w:hAnsi="C39T30Lfz"/>
        <w:spacing w:val="0"/>
        <w:w w:val="100"/>
        <w:sz w:val="56"/>
      </w:rPr>
      <w:t></w:t>
    </w:r>
    <w:r w:rsidRPr="00534B64">
      <w:rPr>
        <w:rFonts w:ascii="C39T30Lfz" w:hAnsi="C39T30Lfz"/>
        <w:spacing w:val="0"/>
        <w:w w:val="100"/>
        <w:sz w:val="56"/>
      </w:rPr>
      <w:t></w:t>
    </w:r>
    <w:r w:rsidRPr="00534B64">
      <w:rPr>
        <w:rFonts w:ascii="C39T30Lfz" w:hAnsi="C39T30Lfz"/>
        <w:spacing w:val="0"/>
        <w:w w:val="100"/>
        <w:sz w:val="56"/>
      </w:rPr>
      <w:t></w:t>
    </w:r>
    <w:r w:rsidRPr="00534B6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7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EF" w:rsidRPr="001075E9" w:rsidRDefault="00257EE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7EEF" w:rsidRDefault="00257EE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64" w:rsidRPr="00534B64" w:rsidRDefault="00620F56">
    <w:pPr>
      <w:pStyle w:val="Header"/>
    </w:pPr>
    <w:fldSimple w:instr=" TITLE  \* MERGEFORMAT ">
      <w:r w:rsidR="00A02E2F">
        <w:t>ECE/TRANS/WP.11/2017/3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64" w:rsidRPr="00534B64" w:rsidRDefault="00620F56" w:rsidP="00534B64">
    <w:pPr>
      <w:pStyle w:val="Header"/>
      <w:jc w:val="right"/>
    </w:pPr>
    <w:fldSimple w:instr=" TITLE  \* MERGEFORMAT ">
      <w:r w:rsidR="00A02E2F">
        <w:t>ECE/TRANS/WP.11/2017/3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64" w:rsidRDefault="00534B64" w:rsidP="00534B6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E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57EEF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956E5"/>
    <w:rsid w:val="004E05B7"/>
    <w:rsid w:val="0050108D"/>
    <w:rsid w:val="00513081"/>
    <w:rsid w:val="00517901"/>
    <w:rsid w:val="00526683"/>
    <w:rsid w:val="00534B64"/>
    <w:rsid w:val="005639C1"/>
    <w:rsid w:val="005709E0"/>
    <w:rsid w:val="00572E19"/>
    <w:rsid w:val="005961C8"/>
    <w:rsid w:val="005966F1"/>
    <w:rsid w:val="005D7914"/>
    <w:rsid w:val="005E2B41"/>
    <w:rsid w:val="005F0B42"/>
    <w:rsid w:val="00620F56"/>
    <w:rsid w:val="006345DB"/>
    <w:rsid w:val="00640F49"/>
    <w:rsid w:val="006464CD"/>
    <w:rsid w:val="00680D03"/>
    <w:rsid w:val="00681A10"/>
    <w:rsid w:val="006A1ED8"/>
    <w:rsid w:val="006B2DBB"/>
    <w:rsid w:val="006C2031"/>
    <w:rsid w:val="006D461A"/>
    <w:rsid w:val="006F35EE"/>
    <w:rsid w:val="007021FF"/>
    <w:rsid w:val="00712895"/>
    <w:rsid w:val="00734ACB"/>
    <w:rsid w:val="00757357"/>
    <w:rsid w:val="007762D1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0A7E"/>
    <w:rsid w:val="008D53B6"/>
    <w:rsid w:val="008F7609"/>
    <w:rsid w:val="00906890"/>
    <w:rsid w:val="00911BE4"/>
    <w:rsid w:val="00951972"/>
    <w:rsid w:val="009608F3"/>
    <w:rsid w:val="00967096"/>
    <w:rsid w:val="009A24AC"/>
    <w:rsid w:val="009C6FE6"/>
    <w:rsid w:val="009D7E7D"/>
    <w:rsid w:val="009E1E33"/>
    <w:rsid w:val="00A02E2F"/>
    <w:rsid w:val="00A14DA8"/>
    <w:rsid w:val="00A312BC"/>
    <w:rsid w:val="00A84021"/>
    <w:rsid w:val="00A84D35"/>
    <w:rsid w:val="00A917B3"/>
    <w:rsid w:val="00AA4803"/>
    <w:rsid w:val="00AB4B51"/>
    <w:rsid w:val="00B10CC7"/>
    <w:rsid w:val="00B31A05"/>
    <w:rsid w:val="00B36DF7"/>
    <w:rsid w:val="00B539E7"/>
    <w:rsid w:val="00B62458"/>
    <w:rsid w:val="00B65C2B"/>
    <w:rsid w:val="00BC18B2"/>
    <w:rsid w:val="00BD33EE"/>
    <w:rsid w:val="00BE1CC7"/>
    <w:rsid w:val="00C106D6"/>
    <w:rsid w:val="00C119AE"/>
    <w:rsid w:val="00C60F0C"/>
    <w:rsid w:val="00C805C9"/>
    <w:rsid w:val="00C8787F"/>
    <w:rsid w:val="00C92939"/>
    <w:rsid w:val="00CA1679"/>
    <w:rsid w:val="00CB151C"/>
    <w:rsid w:val="00CE5A1A"/>
    <w:rsid w:val="00CF55F6"/>
    <w:rsid w:val="00D00B33"/>
    <w:rsid w:val="00D33D63"/>
    <w:rsid w:val="00D5253A"/>
    <w:rsid w:val="00D90028"/>
    <w:rsid w:val="00D90138"/>
    <w:rsid w:val="00DA583E"/>
    <w:rsid w:val="00DC2A44"/>
    <w:rsid w:val="00DD78D1"/>
    <w:rsid w:val="00DE32CD"/>
    <w:rsid w:val="00DF5767"/>
    <w:rsid w:val="00DF71B9"/>
    <w:rsid w:val="00E12C5F"/>
    <w:rsid w:val="00E73F76"/>
    <w:rsid w:val="00E97581"/>
    <w:rsid w:val="00EA2C9F"/>
    <w:rsid w:val="00EA420E"/>
    <w:rsid w:val="00ED0BDA"/>
    <w:rsid w:val="00EE142A"/>
    <w:rsid w:val="00EF1360"/>
    <w:rsid w:val="00EF3220"/>
    <w:rsid w:val="00F2523A"/>
    <w:rsid w:val="00F43903"/>
    <w:rsid w:val="00F43A5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08FE2AC-17E6-4FDE-8AC5-E9A2AAFD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rsid w:val="00534B64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2EF6-69CC-41DF-9F07-0B67A30B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ECE/TRANS/WP.11/2017/3</vt:lpstr>
      <vt:lpstr>ECE/TRANS/WP.11/2017/3</vt:lpstr>
      <vt:lpstr>A/</vt:lpstr>
    </vt:vector>
  </TitlesOfParts>
  <Company>DCM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ECE/TRANS/WP.11/2017/3</dc:title>
  <dc:subject/>
  <dc:creator>SHUVALOVA Natalia</dc:creator>
  <cp:keywords/>
  <cp:lastModifiedBy>Marie-Claude Collet</cp:lastModifiedBy>
  <cp:revision>3</cp:revision>
  <cp:lastPrinted>2017-08-18T06:08:00Z</cp:lastPrinted>
  <dcterms:created xsi:type="dcterms:W3CDTF">2017-08-18T06:06:00Z</dcterms:created>
  <dcterms:modified xsi:type="dcterms:W3CDTF">2017-08-18T06:08:00Z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