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7E68C0" w:rsidRDefault="00545230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bookmarkStart w:id="0" w:name="_GoBack"/>
      <w:bookmarkEnd w:id="0"/>
      <w:r>
        <w:rPr>
          <w:rFonts w:ascii="Arial" w:eastAsia="Arial" w:hAnsi="Arial" w:cs="Arial"/>
          <w:bCs/>
          <w:sz w:val="20"/>
          <w:szCs w:val="24"/>
          <w:lang w:val="fr-FR" w:eastAsia="de-DE"/>
        </w:rPr>
        <w:t>Informal document</w:t>
      </w:r>
      <w:r>
        <w:rPr>
          <w:rFonts w:ascii="Arial" w:eastAsia="Arial" w:hAnsi="Arial" w:cs="Arial"/>
          <w:bCs/>
          <w:sz w:val="20"/>
          <w:szCs w:val="24"/>
          <w:lang w:val="en-US" w:eastAsia="de-DE"/>
        </w:rPr>
        <w:t xml:space="preserve"> </w:t>
      </w:r>
      <w:r w:rsidR="00F326FE">
        <w:rPr>
          <w:rFonts w:ascii="Arial" w:eastAsia="Arial" w:hAnsi="Arial" w:cs="Arial"/>
          <w:bCs/>
          <w:sz w:val="20"/>
          <w:szCs w:val="24"/>
          <w:lang w:val="en-US" w:eastAsia="de-DE"/>
        </w:rPr>
        <w:t>INF.</w:t>
      </w:r>
      <w:r w:rsidR="009B0DC6">
        <w:rPr>
          <w:rFonts w:ascii="Arial" w:eastAsia="Arial" w:hAnsi="Arial" w:cs="Arial"/>
          <w:bCs/>
          <w:sz w:val="20"/>
          <w:szCs w:val="24"/>
          <w:lang w:val="en-US" w:eastAsia="de-DE"/>
        </w:rPr>
        <w:t>25</w:t>
      </w:r>
    </w:p>
    <w:p w:rsidR="007E68C0" w:rsidRPr="007E68C0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7E68C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7E68C0" w:rsidRDefault="009B0DC6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22</w:t>
      </w:r>
      <w:r w:rsidR="007E68C0" w:rsidRPr="007E68C0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4B2DFD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7E68C0" w:rsidRPr="007E68C0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 w:rsidRPr="007E68C0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7E68C0">
        <w:rPr>
          <w:rFonts w:ascii="Arial" w:eastAsia="Arial" w:hAnsi="Arial" w:cs="Arial"/>
          <w:sz w:val="16"/>
          <w:szCs w:val="24"/>
          <w:lang w:val="de-DE" w:eastAsia="de-DE"/>
        </w:rPr>
        <w:t>.  DEUTSCH</w:t>
      </w:r>
    </w:p>
    <w:p w:rsidR="007E68C0" w:rsidRPr="007E68C0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7E68C0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7E68C0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7E68C0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(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3</w:t>
      </w:r>
      <w:r w:rsidR="004B2DFD">
        <w:rPr>
          <w:rFonts w:ascii="Arial" w:hAnsi="Arial" w:cs="Arial"/>
          <w:snapToGrid w:val="0"/>
          <w:sz w:val="16"/>
          <w:szCs w:val="16"/>
          <w:lang w:val="de-DE" w:eastAsia="fr-FR"/>
        </w:rPr>
        <w:t>1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8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bis 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31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AA50EE">
        <w:rPr>
          <w:rFonts w:ascii="Arial" w:hAnsi="Arial" w:cs="Arial"/>
          <w:snapToGrid w:val="0"/>
          <w:sz w:val="16"/>
          <w:szCs w:val="16"/>
          <w:lang w:val="de-DE" w:eastAsia="fr-FR"/>
        </w:rPr>
        <w:t>August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7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9145E4">
        <w:rPr>
          <w:rFonts w:ascii="Arial" w:hAnsi="Arial" w:cs="Arial"/>
          <w:snapToGrid w:val="0"/>
          <w:sz w:val="16"/>
          <w:szCs w:val="16"/>
          <w:lang w:val="de-DE" w:eastAsia="fr-FR"/>
        </w:rPr>
        <w:t>4 b)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A909D8" w:rsidRPr="00942BC4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A909D8" w:rsidRPr="00942BC4" w:rsidRDefault="00A909D8" w:rsidP="00942BC4">
      <w:pPr>
        <w:spacing w:after="0"/>
        <w:rPr>
          <w:rFonts w:ascii="Arial" w:hAnsi="Arial" w:cs="Arial"/>
          <w:sz w:val="20"/>
          <w:lang w:val="de-DE"/>
        </w:rPr>
      </w:pPr>
    </w:p>
    <w:p w:rsidR="009145E4" w:rsidRPr="009145E4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9145E4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Default="009145E4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AA50EE" w:rsidRDefault="00AA50EE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AA50EE" w:rsidRPr="009145E4" w:rsidRDefault="00AA50EE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9145E4" w:rsidRPr="002B1169" w:rsidRDefault="004B2DFD" w:rsidP="009145E4">
      <w:pPr>
        <w:suppressAutoHyphens/>
        <w:snapToGrid w:val="0"/>
        <w:spacing w:after="0" w:line="240" w:lineRule="atLeast"/>
        <w:jc w:val="center"/>
        <w:rPr>
          <w:b/>
          <w:noProof/>
          <w:sz w:val="28"/>
          <w:szCs w:val="28"/>
          <w:u w:val="single"/>
          <w:lang w:val="de-DE" w:eastAsia="fr-FR"/>
        </w:rPr>
      </w:pPr>
      <w:r>
        <w:rPr>
          <w:b/>
          <w:noProof/>
          <w:snapToGrid w:val="0"/>
          <w:sz w:val="28"/>
          <w:szCs w:val="28"/>
          <w:u w:val="single"/>
          <w:lang w:val="de-DE" w:eastAsia="fr-FR"/>
        </w:rPr>
        <w:t>Änderung von 7.1.4.1 [Begrenzung der beförderten Mengen]</w:t>
      </w:r>
    </w:p>
    <w:p w:rsidR="000A4580" w:rsidRPr="002B1169" w:rsidRDefault="000A4580" w:rsidP="000A4580">
      <w:pPr>
        <w:spacing w:after="0" w:line="360" w:lineRule="auto"/>
        <w:ind w:left="1134"/>
        <w:rPr>
          <w:b/>
          <w:sz w:val="28"/>
          <w:szCs w:val="28"/>
          <w:lang w:val="de-DE"/>
        </w:rPr>
      </w:pPr>
    </w:p>
    <w:p w:rsidR="00BC51C3" w:rsidRPr="00853BD3" w:rsidRDefault="009F4E31" w:rsidP="001E6C4F">
      <w:pPr>
        <w:spacing w:after="0"/>
        <w:ind w:left="1134"/>
        <w:rPr>
          <w:sz w:val="20"/>
          <w:vertAlign w:val="superscript"/>
          <w:lang w:val="de-DE"/>
        </w:rPr>
      </w:pPr>
      <w:r w:rsidRPr="000A4580">
        <w:rPr>
          <w:b/>
          <w:snapToGrid w:val="0"/>
          <w:lang w:val="de-DE" w:eastAsia="fr-FR"/>
        </w:rPr>
        <w:t>Gemeinsam e</w:t>
      </w:r>
      <w:r w:rsidR="00905493" w:rsidRPr="000A4580">
        <w:rPr>
          <w:b/>
          <w:snapToGrid w:val="0"/>
          <w:lang w:val="de-DE" w:eastAsia="fr-FR"/>
        </w:rPr>
        <w:t xml:space="preserve">ingereicht </w:t>
      </w:r>
      <w:r w:rsidR="00AF42C7" w:rsidRPr="000A4580">
        <w:rPr>
          <w:b/>
          <w:snapToGrid w:val="0"/>
          <w:lang w:val="de-DE" w:eastAsia="fr-FR"/>
        </w:rPr>
        <w:t xml:space="preserve">durch die </w:t>
      </w:r>
      <w:r w:rsidR="0045718A" w:rsidRPr="000A4580">
        <w:rPr>
          <w:b/>
          <w:snapToGrid w:val="0"/>
          <w:lang w:val="de-DE" w:eastAsia="fr-FR"/>
        </w:rPr>
        <w:t xml:space="preserve">Europäische </w:t>
      </w:r>
      <w:proofErr w:type="spellStart"/>
      <w:r w:rsidR="0045718A" w:rsidRPr="000A4580">
        <w:rPr>
          <w:b/>
          <w:snapToGrid w:val="0"/>
          <w:lang w:val="de-DE" w:eastAsia="fr-FR"/>
        </w:rPr>
        <w:t>Binnenschif</w:t>
      </w:r>
      <w:r w:rsidR="000A1F33" w:rsidRPr="000A4580">
        <w:rPr>
          <w:b/>
          <w:snapToGrid w:val="0"/>
          <w:lang w:val="de-DE" w:eastAsia="fr-FR"/>
        </w:rPr>
        <w:t>f</w:t>
      </w:r>
      <w:r w:rsidR="0045718A" w:rsidRPr="000A4580">
        <w:rPr>
          <w:b/>
          <w:snapToGrid w:val="0"/>
          <w:lang w:val="de-DE" w:eastAsia="fr-FR"/>
        </w:rPr>
        <w:t>fahrts</w:t>
      </w:r>
      <w:proofErr w:type="spellEnd"/>
      <w:r w:rsidR="00CF33C1" w:rsidRPr="000A4580">
        <w:rPr>
          <w:b/>
          <w:snapToGrid w:val="0"/>
          <w:lang w:val="de-DE" w:eastAsia="fr-FR"/>
        </w:rPr>
        <w:t xml:space="preserve"> U</w:t>
      </w:r>
      <w:r w:rsidR="0045718A" w:rsidRPr="000A4580">
        <w:rPr>
          <w:b/>
          <w:snapToGrid w:val="0"/>
          <w:lang w:val="de-DE" w:eastAsia="fr-FR"/>
        </w:rPr>
        <w:t>nion</w:t>
      </w:r>
      <w:r w:rsidRPr="000A4580">
        <w:rPr>
          <w:b/>
          <w:snapToGrid w:val="0"/>
          <w:lang w:val="de-DE" w:eastAsia="fr-FR"/>
        </w:rPr>
        <w:t xml:space="preserve"> (EBU)</w:t>
      </w:r>
      <w:r w:rsidR="00935E15" w:rsidRPr="000A4580">
        <w:rPr>
          <w:b/>
          <w:snapToGrid w:val="0"/>
          <w:lang w:val="de-DE" w:eastAsia="fr-FR"/>
        </w:rPr>
        <w:t xml:space="preserve">, ERSTU (European River </w:t>
      </w:r>
      <w:proofErr w:type="spellStart"/>
      <w:r w:rsidR="00935E15" w:rsidRPr="000A4580">
        <w:rPr>
          <w:b/>
          <w:snapToGrid w:val="0"/>
          <w:lang w:val="de-DE" w:eastAsia="fr-FR"/>
        </w:rPr>
        <w:t>Sea</w:t>
      </w:r>
      <w:proofErr w:type="spellEnd"/>
      <w:r w:rsidR="00935E15" w:rsidRPr="000A4580">
        <w:rPr>
          <w:b/>
          <w:snapToGrid w:val="0"/>
          <w:lang w:val="de-DE" w:eastAsia="fr-FR"/>
        </w:rPr>
        <w:t xml:space="preserve"> Transport Union) </w:t>
      </w:r>
      <w:r w:rsidRPr="000A4580">
        <w:rPr>
          <w:b/>
          <w:snapToGrid w:val="0"/>
          <w:lang w:val="de-DE" w:eastAsia="fr-FR"/>
        </w:rPr>
        <w:t>und die Europäische Schifferorganisation(ESO)</w:t>
      </w:r>
    </w:p>
    <w:p w:rsidR="00A909D8" w:rsidRDefault="00A909D8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4B2DFD" w:rsidRPr="00B84575" w:rsidRDefault="00B84575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  <w:r w:rsidRPr="00B84575">
        <w:rPr>
          <w:sz w:val="20"/>
          <w:u w:val="single"/>
          <w:lang w:val="de-DE"/>
        </w:rPr>
        <w:t xml:space="preserve">Steht in Verbindung mit </w:t>
      </w:r>
      <w:r w:rsidRPr="00B84575">
        <w:rPr>
          <w:rFonts w:eastAsia="Arial"/>
          <w:bCs/>
          <w:sz w:val="20"/>
          <w:szCs w:val="24"/>
          <w:lang w:val="de-DE" w:eastAsia="de-DE"/>
        </w:rPr>
        <w:t>CCNR-ZKR/ADN/WP.15/AC.2/2017/INF.18</w:t>
      </w:r>
    </w:p>
    <w:p w:rsidR="004B2DFD" w:rsidRPr="00B84575" w:rsidRDefault="004B2DFD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4B2DFD" w:rsidRPr="005E339B" w:rsidRDefault="004B2DFD" w:rsidP="004B2DFD">
      <w:pPr>
        <w:suppressAutoHyphens/>
        <w:spacing w:after="0"/>
        <w:rPr>
          <w:b/>
          <w:szCs w:val="24"/>
          <w:lang w:val="de-DE"/>
        </w:rPr>
      </w:pPr>
      <w:r w:rsidRPr="005E339B">
        <w:rPr>
          <w:b/>
          <w:szCs w:val="24"/>
          <w:lang w:val="de-DE"/>
        </w:rPr>
        <w:t>Einleitung</w:t>
      </w:r>
    </w:p>
    <w:p w:rsidR="004B2DFD" w:rsidRPr="00853BD3" w:rsidRDefault="004B2DFD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4B2DFD" w:rsidRDefault="00B17473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1</w:t>
      </w:r>
      <w:r w:rsidR="005E339B">
        <w:rPr>
          <w:sz w:val="20"/>
          <w:lang w:val="de-DE"/>
        </w:rPr>
        <w:t>.</w:t>
      </w:r>
      <w:r w:rsidR="007B3035" w:rsidRPr="000A4580">
        <w:rPr>
          <w:sz w:val="20"/>
          <w:lang w:val="de-DE"/>
        </w:rPr>
        <w:tab/>
      </w:r>
      <w:r w:rsidR="004B2DFD">
        <w:rPr>
          <w:sz w:val="20"/>
          <w:lang w:val="de-DE"/>
        </w:rPr>
        <w:t xml:space="preserve">In Abschnitt 7.1.4.1 </w:t>
      </w:r>
      <w:proofErr w:type="gramStart"/>
      <w:r w:rsidR="004B2DFD">
        <w:rPr>
          <w:sz w:val="20"/>
          <w:lang w:val="de-DE"/>
        </w:rPr>
        <w:t>werden</w:t>
      </w:r>
      <w:proofErr w:type="gramEnd"/>
      <w:r w:rsidR="004B2DFD">
        <w:rPr>
          <w:sz w:val="20"/>
          <w:lang w:val="de-DE"/>
        </w:rPr>
        <w:t xml:space="preserve"> die Höchstmenge an gefährlichen Gütern festgelegt, die beim Transport in Trockengüterschiffen nicht überschritten werden dürfen. Die Vorschriften werden nach Gefahrgutklassen unterschieden und differenzieren nach Einhüllen- und Doppelhüllenschiffen.</w:t>
      </w:r>
    </w:p>
    <w:p w:rsidR="004B2DFD" w:rsidRDefault="004B2DFD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Default="004B2DFD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2.</w:t>
      </w:r>
      <w:r>
        <w:rPr>
          <w:sz w:val="20"/>
          <w:lang w:val="de-DE"/>
        </w:rPr>
        <w:tab/>
        <w:t xml:space="preserve">In früheren Ausgaben des ADN </w:t>
      </w:r>
      <w:r w:rsidR="005E339B">
        <w:rPr>
          <w:sz w:val="20"/>
          <w:lang w:val="de-DE"/>
        </w:rPr>
        <w:t xml:space="preserve">und auch des ADNR </w:t>
      </w:r>
      <w:r>
        <w:rPr>
          <w:sz w:val="20"/>
          <w:lang w:val="de-DE"/>
        </w:rPr>
        <w:t>sind an diesem Abschnitt wiederholt Änderungen vorgenommen worden. Diese Änderungen haben dazu beigetragen</w:t>
      </w:r>
      <w:r w:rsidR="005E339B">
        <w:rPr>
          <w:sz w:val="20"/>
          <w:lang w:val="de-DE"/>
        </w:rPr>
        <w:t xml:space="preserve"> dass die Lesbarkeit gelitten hat. Die Bestimmungen sind heute für die Anwender schwer zu verstehen</w:t>
      </w:r>
      <w:r>
        <w:rPr>
          <w:sz w:val="20"/>
          <w:lang w:val="de-DE"/>
        </w:rPr>
        <w:t xml:space="preserve">. </w:t>
      </w: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3.</w:t>
      </w:r>
      <w:r>
        <w:rPr>
          <w:sz w:val="20"/>
          <w:lang w:val="de-DE"/>
        </w:rPr>
        <w:tab/>
        <w:t>Die Vertreter des Binnenschifffahrtsgewerbes haben zur 29. Sitzung des UNECE ADN Sicherheitsausschusses mit Dokument CCNR-ZKR/ADN/WP.15/AC.2(2016/39 auf diese</w:t>
      </w:r>
      <w:r w:rsidR="001312EC">
        <w:rPr>
          <w:sz w:val="20"/>
          <w:lang w:val="de-DE"/>
        </w:rPr>
        <w:t>s</w:t>
      </w:r>
      <w:r>
        <w:rPr>
          <w:sz w:val="20"/>
          <w:lang w:val="de-DE"/>
        </w:rPr>
        <w:t xml:space="preserve"> Problem hingewiesen. Im Protokoll über die 29. Sitzung ist ausgeführt, dass die Angelegenheit in einer von den Verfassern des Antrags zu organisierenden informellen Arbeitsgruppe diskutiert werden soll.</w:t>
      </w: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4.</w:t>
      </w:r>
      <w:r>
        <w:rPr>
          <w:sz w:val="20"/>
          <w:lang w:val="de-DE"/>
        </w:rPr>
        <w:tab/>
        <w:t xml:space="preserve">Bei der Vorbereitung dieser Diskussion ist den Verfassern des Antrags deutlich geworden, dass der Diskussions- bzw. Änderungsbedarf größer ist als ursprünglich angenommen. Daher hat die Erarbeitung einer Diskussionsgrundlage mehr Zeit in Anspruch genommen. </w:t>
      </w: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Default="005E339B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Pr="005E339B" w:rsidRDefault="005E339B" w:rsidP="005E339B">
      <w:pPr>
        <w:suppressAutoHyphens/>
        <w:spacing w:after="0"/>
        <w:rPr>
          <w:b/>
          <w:szCs w:val="24"/>
          <w:lang w:val="de-DE"/>
        </w:rPr>
      </w:pPr>
      <w:r>
        <w:rPr>
          <w:b/>
          <w:szCs w:val="24"/>
          <w:lang w:val="de-DE"/>
        </w:rPr>
        <w:t>Vo</w:t>
      </w:r>
      <w:r w:rsidR="001312EC">
        <w:rPr>
          <w:b/>
          <w:szCs w:val="24"/>
          <w:lang w:val="de-DE"/>
        </w:rPr>
        <w:t>r</w:t>
      </w:r>
      <w:r>
        <w:rPr>
          <w:b/>
          <w:szCs w:val="24"/>
          <w:lang w:val="de-DE"/>
        </w:rPr>
        <w:t>schlag</w:t>
      </w:r>
    </w:p>
    <w:p w:rsidR="005E339B" w:rsidRPr="00853BD3" w:rsidRDefault="005E339B" w:rsidP="005E339B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9D2078" w:rsidRDefault="005E339B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5.</w:t>
      </w:r>
      <w:r w:rsidRPr="000A4580">
        <w:rPr>
          <w:sz w:val="20"/>
          <w:lang w:val="de-DE"/>
        </w:rPr>
        <w:tab/>
      </w:r>
      <w:r w:rsidR="009D2078">
        <w:rPr>
          <w:sz w:val="20"/>
          <w:lang w:val="de-DE"/>
        </w:rPr>
        <w:t>Die Verbände des Binnenschifffahrt</w:t>
      </w:r>
      <w:r w:rsidR="001B2E45">
        <w:rPr>
          <w:sz w:val="20"/>
          <w:lang w:val="de-DE"/>
        </w:rPr>
        <w:t>s</w:t>
      </w:r>
      <w:r w:rsidR="009D2078">
        <w:rPr>
          <w:sz w:val="20"/>
          <w:lang w:val="de-DE"/>
        </w:rPr>
        <w:t>gewerbes haben einen neuen Vorschlag erarbeitet unter folgenden Gesichtspunkten:</w:t>
      </w:r>
    </w:p>
    <w:p w:rsidR="009D2078" w:rsidRDefault="009D207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9D2078" w:rsidRDefault="009D207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ab/>
        <w:t>(1) Neue Gliederung und vereinfachte Wortwahl</w:t>
      </w:r>
    </w:p>
    <w:p w:rsidR="009D2078" w:rsidRDefault="009D207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ab/>
        <w:t>(2) Darstellung der Mengengrenzen in tabellarischer Form</w:t>
      </w:r>
    </w:p>
    <w:p w:rsidR="009D2078" w:rsidRDefault="001312EC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ab/>
        <w:t xml:space="preserve">(3) Abschaffen der Mengenobergrenze für gefährliche Güter, die mit </w:t>
      </w:r>
      <w:proofErr w:type="spellStart"/>
      <w:r>
        <w:rPr>
          <w:sz w:val="20"/>
          <w:lang w:val="de-DE"/>
        </w:rPr>
        <w:t>Einhüllenschiffen</w:t>
      </w:r>
      <w:proofErr w:type="spellEnd"/>
      <w:r>
        <w:rPr>
          <w:sz w:val="20"/>
          <w:lang w:val="de-DE"/>
        </w:rPr>
        <w:t xml:space="preserve"> transportiert werden. Diese Obergrenze scheint bei der Umstellung vom ADNR 2003 auf das ADNR 2005 unbeabsichtigt eingeführt worden zu sein. </w:t>
      </w:r>
    </w:p>
    <w:p w:rsidR="009D2078" w:rsidRDefault="009D207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922188" w:rsidRDefault="00922188" w:rsidP="00922188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  <w:r>
        <w:rPr>
          <w:sz w:val="20"/>
          <w:lang w:val="de-DE"/>
        </w:rPr>
        <w:lastRenderedPageBreak/>
        <w:t>6. Neuer Textvorschlag:</w:t>
      </w:r>
    </w:p>
    <w:p w:rsidR="00922188" w:rsidRDefault="00922188" w:rsidP="00922188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</w:p>
    <w:p w:rsidR="00922188" w:rsidRPr="00945AD9" w:rsidRDefault="00922188" w:rsidP="00922188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922188" w:rsidRPr="00945AD9" w:rsidRDefault="00922188" w:rsidP="00922188">
      <w:pPr>
        <w:ind w:firstLine="567"/>
        <w:rPr>
          <w:rFonts w:eastAsiaTheme="minorHAnsi"/>
          <w:b/>
          <w:bCs/>
          <w:sz w:val="20"/>
          <w:lang w:val="de-DE"/>
        </w:rPr>
      </w:pPr>
      <w:r w:rsidRPr="00945AD9">
        <w:rPr>
          <w:rFonts w:eastAsiaTheme="minorHAnsi"/>
          <w:bCs/>
          <w:sz w:val="20"/>
          <w:lang w:val="de-DE"/>
        </w:rPr>
        <w:t>7.1.4.1</w:t>
      </w:r>
      <w:r>
        <w:rPr>
          <w:rFonts w:eastAsiaTheme="minorHAnsi"/>
          <w:bCs/>
          <w:sz w:val="20"/>
          <w:lang w:val="de-DE"/>
        </w:rPr>
        <w:tab/>
      </w:r>
      <w:r w:rsidRPr="00945AD9">
        <w:rPr>
          <w:rFonts w:eastAsiaTheme="minorHAnsi"/>
          <w:b/>
          <w:bCs/>
          <w:sz w:val="20"/>
          <w:lang w:val="de-DE"/>
        </w:rPr>
        <w:tab/>
      </w:r>
      <w:r>
        <w:rPr>
          <w:rFonts w:eastAsiaTheme="minorHAnsi"/>
          <w:b/>
          <w:bCs/>
          <w:sz w:val="20"/>
          <w:lang w:val="de-DE"/>
        </w:rPr>
        <w:t>[</w:t>
      </w:r>
      <w:r w:rsidRPr="00945AD9">
        <w:rPr>
          <w:rFonts w:eastAsiaTheme="minorHAnsi"/>
          <w:b/>
          <w:bCs/>
          <w:sz w:val="20"/>
          <w:lang w:val="de-DE"/>
        </w:rPr>
        <w:t>Begrenzung der beförderten Mengen</w:t>
      </w:r>
      <w:r>
        <w:rPr>
          <w:rFonts w:eastAsiaTheme="minorHAnsi"/>
          <w:b/>
          <w:bCs/>
          <w:sz w:val="20"/>
          <w:lang w:val="de-DE"/>
        </w:rPr>
        <w:t>]</w:t>
      </w:r>
    </w:p>
    <w:p w:rsidR="00922188" w:rsidRPr="00945AD9" w:rsidRDefault="00922188" w:rsidP="00922188">
      <w:pPr>
        <w:spacing w:after="120"/>
        <w:ind w:left="1701"/>
        <w:rPr>
          <w:rFonts w:eastAsiaTheme="minorHAnsi"/>
          <w:sz w:val="20"/>
          <w:lang w:val="de-DE"/>
        </w:rPr>
      </w:pPr>
      <w:r w:rsidRPr="00945AD9">
        <w:rPr>
          <w:rFonts w:eastAsiaTheme="minorHAnsi"/>
          <w:sz w:val="20"/>
          <w:lang w:val="de-DE"/>
        </w:rPr>
        <w:t xml:space="preserve">Gefährliche Güter der Klassen </w:t>
      </w:r>
      <w:r>
        <w:rPr>
          <w:rFonts w:eastAsiaTheme="minorHAnsi"/>
          <w:sz w:val="20"/>
          <w:lang w:val="de-DE"/>
        </w:rPr>
        <w:t xml:space="preserve">1, </w:t>
      </w:r>
      <w:r w:rsidRPr="00945AD9">
        <w:rPr>
          <w:rFonts w:eastAsiaTheme="minorHAnsi"/>
          <w:sz w:val="20"/>
          <w:lang w:val="de-DE"/>
        </w:rPr>
        <w:t>2, 3, 4.1, 4.2, 4.3, 5.1, 5.2, 6.1, 7, 8 und 9 dürfen nur in begrenzten Mengen nach den Absätzen 7.1.4.1.1, 7.1.4.1.2 und 7.1.4.1.3 befördert werden.</w:t>
      </w:r>
    </w:p>
    <w:p w:rsidR="00922188" w:rsidRPr="00945AD9" w:rsidRDefault="00922188" w:rsidP="00922188">
      <w:pPr>
        <w:ind w:left="1701"/>
        <w:rPr>
          <w:rFonts w:eastAsiaTheme="minorHAnsi"/>
          <w:bCs/>
          <w:sz w:val="20"/>
          <w:lang w:val="de-DE"/>
        </w:rPr>
      </w:pPr>
      <w:r w:rsidRPr="00945AD9">
        <w:rPr>
          <w:rFonts w:eastAsiaTheme="minorHAnsi"/>
          <w:bCs/>
          <w:sz w:val="20"/>
          <w:lang w:val="de-DE"/>
        </w:rPr>
        <w:t xml:space="preserve">Mengenbegrenzungen nach den Absätzen </w:t>
      </w:r>
      <w:r w:rsidRPr="00945AD9">
        <w:rPr>
          <w:rFonts w:eastAsiaTheme="minorHAnsi"/>
          <w:sz w:val="20"/>
          <w:lang w:val="de-DE"/>
        </w:rPr>
        <w:t xml:space="preserve">7.1.4.1.1, 7.1.4.1.2 und 7.1.4.1.3 gelten bei Schubverbänden und gekuppelten Schiffen pro Einheit. </w:t>
      </w:r>
    </w:p>
    <w:p w:rsidR="00922188" w:rsidRPr="006A0113" w:rsidRDefault="00922188" w:rsidP="00922188">
      <w:pPr>
        <w:spacing w:after="120"/>
        <w:ind w:left="1701" w:hanging="1134"/>
        <w:rPr>
          <w:rFonts w:eastAsiaTheme="minorHAnsi"/>
          <w:sz w:val="20"/>
          <w:lang w:val="de-DE"/>
        </w:rPr>
      </w:pPr>
      <w:r w:rsidRPr="006A0113">
        <w:rPr>
          <w:rFonts w:eastAsiaTheme="minorHAnsi"/>
          <w:bCs/>
          <w:sz w:val="20"/>
          <w:lang w:val="de-DE"/>
        </w:rPr>
        <w:t>7.1.4.1.1</w:t>
      </w:r>
      <w:r w:rsidRPr="006A0113">
        <w:rPr>
          <w:rFonts w:eastAsiaTheme="minorHAnsi"/>
          <w:b/>
          <w:bCs/>
          <w:sz w:val="20"/>
          <w:lang w:val="de-DE"/>
        </w:rPr>
        <w:tab/>
      </w:r>
      <w:r w:rsidRPr="006A0113">
        <w:rPr>
          <w:rFonts w:eastAsiaTheme="minorHAnsi"/>
          <w:sz w:val="20"/>
          <w:lang w:val="de-DE"/>
        </w:rPr>
        <w:t>Doppelhüllenschiffe, die den zusätzlichen Bauvorschriften in den Unterabschnitten 9.1.0.88 bis 9.1.0.95 oder 9.2.0.88 bis 9.2.0.95 entsprechen, dürfen gefährliche Güter der Klassen 2, 3, 4.1, 4.2, 4.3, 5.1, 5.2, 6.1, 7, 8 und 9 ohne Begrenzung der beförderten Menge transportieren.</w:t>
      </w:r>
    </w:p>
    <w:p w:rsidR="00922188" w:rsidRPr="006A0113" w:rsidRDefault="00922188" w:rsidP="00922188">
      <w:pPr>
        <w:ind w:left="1701"/>
        <w:rPr>
          <w:rFonts w:eastAsiaTheme="minorHAnsi"/>
          <w:sz w:val="20"/>
          <w:lang w:val="de-DE"/>
        </w:rPr>
      </w:pPr>
      <w:r w:rsidRPr="006A0113">
        <w:rPr>
          <w:rFonts w:eastAsiaTheme="minorHAnsi"/>
          <w:sz w:val="20"/>
          <w:lang w:val="de-DE"/>
        </w:rPr>
        <w:t xml:space="preserve">Ausgenommen hiervon sind gefährliche Güter mit Gefahrzettel 1 in Kapitel 3.2 Tabelle A Spalte (5). Diese Güter dürfen </w:t>
      </w:r>
      <w:r>
        <w:rPr>
          <w:rFonts w:eastAsiaTheme="minorHAnsi"/>
          <w:sz w:val="20"/>
          <w:lang w:val="de-DE"/>
        </w:rPr>
        <w:t xml:space="preserve">pro Einheit </w:t>
      </w:r>
      <w:r w:rsidRPr="006A0113">
        <w:rPr>
          <w:rFonts w:eastAsiaTheme="minorHAnsi"/>
          <w:sz w:val="20"/>
          <w:lang w:val="de-DE"/>
        </w:rPr>
        <w:t xml:space="preserve">nur in </w:t>
      </w:r>
      <w:r>
        <w:rPr>
          <w:rFonts w:eastAsiaTheme="minorHAnsi"/>
          <w:sz w:val="20"/>
          <w:lang w:val="de-DE"/>
        </w:rPr>
        <w:t>den</w:t>
      </w:r>
      <w:r w:rsidRPr="006A0113">
        <w:rPr>
          <w:rFonts w:eastAsiaTheme="minorHAnsi"/>
          <w:sz w:val="20"/>
          <w:lang w:val="de-DE"/>
        </w:rPr>
        <w:t xml:space="preserve"> Mengen befördert werden, </w:t>
      </w:r>
      <w:r>
        <w:rPr>
          <w:rFonts w:eastAsiaTheme="minorHAnsi"/>
          <w:sz w:val="20"/>
          <w:lang w:val="de-DE"/>
        </w:rPr>
        <w:t>w</w:t>
      </w:r>
      <w:r w:rsidRPr="006A0113">
        <w:rPr>
          <w:rFonts w:eastAsiaTheme="minorHAnsi"/>
          <w:sz w:val="20"/>
          <w:lang w:val="de-DE"/>
        </w:rPr>
        <w:t>ie sie in Abs</w:t>
      </w:r>
      <w:r>
        <w:rPr>
          <w:rFonts w:eastAsiaTheme="minorHAnsi"/>
          <w:sz w:val="20"/>
          <w:lang w:val="de-DE"/>
        </w:rPr>
        <w:t>a</w:t>
      </w:r>
      <w:r w:rsidRPr="006A0113">
        <w:rPr>
          <w:rFonts w:eastAsiaTheme="minorHAnsi"/>
          <w:sz w:val="20"/>
          <w:lang w:val="de-DE"/>
        </w:rPr>
        <w:t>tz</w:t>
      </w:r>
      <w:r>
        <w:rPr>
          <w:rFonts w:eastAsiaTheme="minorHAnsi"/>
          <w:sz w:val="20"/>
          <w:lang w:val="de-DE"/>
        </w:rPr>
        <w:t xml:space="preserve"> </w:t>
      </w:r>
      <w:r w:rsidRPr="006A0113">
        <w:rPr>
          <w:rFonts w:eastAsiaTheme="minorHAnsi"/>
          <w:sz w:val="20"/>
          <w:lang w:val="de-DE"/>
        </w:rPr>
        <w:t xml:space="preserve"> 7.1.4.1.</w:t>
      </w:r>
      <w:r>
        <w:rPr>
          <w:rFonts w:eastAsiaTheme="minorHAnsi"/>
          <w:sz w:val="20"/>
          <w:lang w:val="de-DE"/>
        </w:rPr>
        <w:t>3</w:t>
      </w:r>
      <w:r w:rsidRPr="006A0113">
        <w:rPr>
          <w:rFonts w:eastAsiaTheme="minorHAnsi"/>
          <w:sz w:val="20"/>
          <w:lang w:val="de-DE"/>
        </w:rPr>
        <w:t xml:space="preserve"> genannt sind.</w:t>
      </w:r>
    </w:p>
    <w:p w:rsidR="00922188" w:rsidRDefault="00922188" w:rsidP="00922188">
      <w:pPr>
        <w:spacing w:after="120"/>
        <w:ind w:left="1701" w:hanging="1134"/>
        <w:rPr>
          <w:rFonts w:eastAsiaTheme="minorHAnsi"/>
          <w:sz w:val="20"/>
          <w:lang w:val="de-DE"/>
        </w:rPr>
      </w:pPr>
      <w:r w:rsidRPr="006A0113">
        <w:rPr>
          <w:rFonts w:eastAsiaTheme="minorHAnsi"/>
          <w:bCs/>
          <w:sz w:val="20"/>
          <w:lang w:val="de-DE"/>
        </w:rPr>
        <w:t>7.1.4.1.</w:t>
      </w:r>
      <w:r>
        <w:rPr>
          <w:rFonts w:eastAsiaTheme="minorHAnsi"/>
          <w:bCs/>
          <w:sz w:val="20"/>
          <w:lang w:val="de-DE"/>
        </w:rPr>
        <w:t>2</w:t>
      </w:r>
      <w:r w:rsidRPr="006A0113">
        <w:rPr>
          <w:rFonts w:eastAsiaTheme="minorHAnsi"/>
          <w:b/>
          <w:bCs/>
          <w:sz w:val="20"/>
          <w:lang w:val="de-DE"/>
        </w:rPr>
        <w:tab/>
      </w:r>
      <w:proofErr w:type="spellStart"/>
      <w:r w:rsidRPr="00BF131D">
        <w:rPr>
          <w:rFonts w:eastAsiaTheme="minorHAnsi"/>
          <w:bCs/>
          <w:sz w:val="20"/>
          <w:lang w:val="de-DE"/>
        </w:rPr>
        <w:t>Einhüllenschiffe</w:t>
      </w:r>
      <w:proofErr w:type="spellEnd"/>
      <w:r w:rsidRPr="00BF131D">
        <w:rPr>
          <w:rFonts w:eastAsiaTheme="minorHAnsi"/>
          <w:sz w:val="20"/>
          <w:lang w:val="de-DE"/>
        </w:rPr>
        <w:t>, S</w:t>
      </w:r>
      <w:r>
        <w:rPr>
          <w:rFonts w:eastAsiaTheme="minorHAnsi"/>
          <w:sz w:val="20"/>
          <w:lang w:val="de-DE"/>
        </w:rPr>
        <w:t xml:space="preserve">chubleichter und Doppelhüllenschiffe, </w:t>
      </w:r>
      <w:r w:rsidRPr="006A0113">
        <w:rPr>
          <w:rFonts w:eastAsiaTheme="minorHAnsi"/>
          <w:sz w:val="20"/>
          <w:lang w:val="de-DE"/>
        </w:rPr>
        <w:t xml:space="preserve">die den zusätzlichen Bauvorschriften in den Unterabschnitten 9.1.0.88 bis 9.1.0.95 oder 9.2.0.88 bis 9.2.0.95 </w:t>
      </w:r>
      <w:r>
        <w:rPr>
          <w:rFonts w:eastAsiaTheme="minorHAnsi"/>
          <w:sz w:val="20"/>
          <w:lang w:val="de-DE"/>
        </w:rPr>
        <w:t xml:space="preserve">nicht </w:t>
      </w:r>
      <w:r w:rsidRPr="006A0113">
        <w:rPr>
          <w:rFonts w:eastAsiaTheme="minorHAnsi"/>
          <w:sz w:val="20"/>
          <w:lang w:val="de-DE"/>
        </w:rPr>
        <w:t xml:space="preserve">entsprechen, dürfen gefährliche Güter der Klassen </w:t>
      </w:r>
      <w:r>
        <w:rPr>
          <w:rFonts w:eastAsiaTheme="minorHAnsi"/>
          <w:sz w:val="20"/>
          <w:lang w:val="de-DE"/>
        </w:rPr>
        <w:t xml:space="preserve">1, </w:t>
      </w:r>
      <w:r w:rsidRPr="006A0113">
        <w:rPr>
          <w:rFonts w:eastAsiaTheme="minorHAnsi"/>
          <w:sz w:val="20"/>
          <w:lang w:val="de-DE"/>
        </w:rPr>
        <w:t>2, 3, 4.1, 4.2,</w:t>
      </w:r>
      <w:r>
        <w:rPr>
          <w:rFonts w:eastAsiaTheme="minorHAnsi"/>
          <w:sz w:val="20"/>
          <w:lang w:val="de-DE"/>
        </w:rPr>
        <w:t xml:space="preserve"> 4.3, 5.1, 5.2, 6.1, 7, 8 und 9 nur in begrenzten </w:t>
      </w:r>
      <w:r w:rsidRPr="006A0113">
        <w:rPr>
          <w:rFonts w:eastAsiaTheme="minorHAnsi"/>
          <w:sz w:val="20"/>
          <w:lang w:val="de-DE"/>
        </w:rPr>
        <w:t>Menge</w:t>
      </w:r>
      <w:r>
        <w:rPr>
          <w:rFonts w:eastAsiaTheme="minorHAnsi"/>
          <w:sz w:val="20"/>
          <w:lang w:val="de-DE"/>
        </w:rPr>
        <w:t>n gem. Absatz 7.1.4.1.3 befördern.</w:t>
      </w:r>
    </w:p>
    <w:p w:rsidR="00922188" w:rsidRDefault="00922188" w:rsidP="00922188">
      <w:pPr>
        <w:ind w:left="1701" w:hanging="1134"/>
        <w:rPr>
          <w:rFonts w:eastAsiaTheme="minorHAnsi"/>
          <w:sz w:val="20"/>
          <w:lang w:val="de-DE"/>
        </w:rPr>
      </w:pPr>
      <w:r>
        <w:rPr>
          <w:rFonts w:eastAsiaTheme="minorHAnsi"/>
          <w:sz w:val="20"/>
          <w:lang w:val="de-DE"/>
        </w:rPr>
        <w:tab/>
      </w:r>
      <w:proofErr w:type="gramStart"/>
      <w:r>
        <w:rPr>
          <w:rFonts w:eastAsiaTheme="minorHAnsi"/>
          <w:sz w:val="20"/>
          <w:lang w:val="de-DE"/>
        </w:rPr>
        <w:t>Bem.:</w:t>
      </w:r>
      <w:proofErr w:type="gramEnd"/>
      <w:r>
        <w:rPr>
          <w:rFonts w:eastAsiaTheme="minorHAnsi"/>
          <w:sz w:val="20"/>
          <w:lang w:val="de-DE"/>
        </w:rPr>
        <w:t xml:space="preserve"> In den Fällen, in denen in Unterabsatz 7.1.4.1.3 die Mengenangabe „unbeschränkt“ ausgewiesen ist, dürfen diese Ladegüter in unbeschränkten Mengen transportiert werden.</w:t>
      </w:r>
    </w:p>
    <w:p w:rsidR="00922188" w:rsidRDefault="00922188" w:rsidP="00922188">
      <w:pPr>
        <w:ind w:left="1701" w:hanging="1134"/>
        <w:rPr>
          <w:rFonts w:eastAsiaTheme="minorHAnsi"/>
          <w:sz w:val="20"/>
          <w:lang w:val="de-DE"/>
        </w:rPr>
      </w:pPr>
      <w:r w:rsidRPr="0000323E">
        <w:rPr>
          <w:sz w:val="20"/>
          <w:lang w:val="de-DE"/>
        </w:rPr>
        <w:t>7.1.4.1.</w:t>
      </w:r>
      <w:r>
        <w:rPr>
          <w:sz w:val="20"/>
          <w:lang w:val="de-DE"/>
        </w:rPr>
        <w:t>3</w:t>
      </w:r>
      <w:r w:rsidRPr="0000323E">
        <w:rPr>
          <w:sz w:val="20"/>
          <w:lang w:val="de-DE"/>
        </w:rPr>
        <w:tab/>
        <w:t>Tabelle</w:t>
      </w:r>
      <w:r>
        <w:rPr>
          <w:sz w:val="20"/>
          <w:lang w:val="de-DE"/>
        </w:rPr>
        <w:t xml:space="preserve"> </w:t>
      </w:r>
    </w:p>
    <w:p w:rsidR="00922188" w:rsidRDefault="0092218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922188" w:rsidRDefault="0092218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E339B" w:rsidRDefault="00922188" w:rsidP="005E339B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7</w:t>
      </w:r>
      <w:r w:rsidR="001312EC">
        <w:rPr>
          <w:sz w:val="20"/>
          <w:lang w:val="de-DE"/>
        </w:rPr>
        <w:t>.</w:t>
      </w:r>
      <w:r w:rsidR="009D2078">
        <w:rPr>
          <w:sz w:val="20"/>
          <w:lang w:val="de-DE"/>
        </w:rPr>
        <w:tab/>
        <w:t xml:space="preserve">Darüber hinaus wird vorgeschlagen, dass </w:t>
      </w:r>
      <w:r w:rsidR="001312EC">
        <w:rPr>
          <w:sz w:val="20"/>
          <w:lang w:val="de-DE"/>
        </w:rPr>
        <w:t>d</w:t>
      </w:r>
      <w:r w:rsidR="009D2078">
        <w:rPr>
          <w:sz w:val="20"/>
          <w:lang w:val="de-DE"/>
        </w:rPr>
        <w:t xml:space="preserve">ie </w:t>
      </w:r>
      <w:r w:rsidR="001B2E45">
        <w:rPr>
          <w:sz w:val="20"/>
          <w:lang w:val="de-DE"/>
        </w:rPr>
        <w:t>heute in 7.1.4.1</w:t>
      </w:r>
      <w:r w:rsidR="003E5055">
        <w:rPr>
          <w:sz w:val="20"/>
          <w:lang w:val="de-DE"/>
        </w:rPr>
        <w:t>.3</w:t>
      </w:r>
      <w:r w:rsidR="001B2E45">
        <w:rPr>
          <w:sz w:val="20"/>
          <w:lang w:val="de-DE"/>
        </w:rPr>
        <w:t xml:space="preserve"> sehr breit aufgefächerten Mengengrenzen unter sicherheitstechnischen Aspekten von den zuständigen Behörden überdacht und ggf. vereinfacht</w:t>
      </w:r>
      <w:r w:rsidR="001312EC">
        <w:rPr>
          <w:sz w:val="20"/>
          <w:lang w:val="de-DE"/>
        </w:rPr>
        <w:t xml:space="preserve"> werden</w:t>
      </w:r>
      <w:r w:rsidR="001B2E45">
        <w:rPr>
          <w:sz w:val="20"/>
          <w:lang w:val="de-DE"/>
        </w:rPr>
        <w:t>.</w:t>
      </w:r>
    </w:p>
    <w:p w:rsidR="001B2E45" w:rsidRDefault="001B2E45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1312EC" w:rsidRDefault="001312EC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922188" w:rsidRPr="005E339B" w:rsidRDefault="00922188" w:rsidP="00922188">
      <w:pPr>
        <w:suppressAutoHyphens/>
        <w:spacing w:after="0"/>
        <w:rPr>
          <w:b/>
          <w:szCs w:val="24"/>
          <w:lang w:val="de-DE"/>
        </w:rPr>
      </w:pPr>
      <w:r>
        <w:rPr>
          <w:b/>
          <w:szCs w:val="24"/>
          <w:lang w:val="de-DE"/>
        </w:rPr>
        <w:t>Weiteres Vorgehen:</w:t>
      </w:r>
    </w:p>
    <w:p w:rsidR="00922188" w:rsidRDefault="00922188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1B2E45" w:rsidRDefault="001312EC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7.</w:t>
      </w:r>
      <w:r>
        <w:rPr>
          <w:sz w:val="20"/>
          <w:lang w:val="de-DE"/>
        </w:rPr>
        <w:tab/>
      </w:r>
      <w:r w:rsidR="00922188">
        <w:rPr>
          <w:sz w:val="20"/>
          <w:lang w:val="de-DE"/>
        </w:rPr>
        <w:t>Die Verfasser des Dokuments organisieren eine informe</w:t>
      </w:r>
      <w:r w:rsidR="003E5055">
        <w:rPr>
          <w:sz w:val="20"/>
          <w:lang w:val="de-DE"/>
        </w:rPr>
        <w:t>l</w:t>
      </w:r>
      <w:r w:rsidR="00922188">
        <w:rPr>
          <w:sz w:val="20"/>
          <w:lang w:val="de-DE"/>
        </w:rPr>
        <w:t xml:space="preserve">le Arbeitsgruppe. </w:t>
      </w:r>
      <w:r w:rsidR="00BA5EE2">
        <w:rPr>
          <w:sz w:val="20"/>
          <w:lang w:val="de-DE"/>
        </w:rPr>
        <w:t>Der Sicherheitsausschuss möge bitte feststellen, welche Staaten und Sicherheitsbehörden sich für eine Teilnahme interessieren.</w:t>
      </w:r>
    </w:p>
    <w:p w:rsidR="001312EC" w:rsidRDefault="001312EC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</w:p>
    <w:p w:rsidR="005604C0" w:rsidRDefault="005604C0">
      <w:pPr>
        <w:spacing w:after="0"/>
        <w:rPr>
          <w:sz w:val="20"/>
          <w:lang w:val="de-DE"/>
        </w:rPr>
        <w:sectPr w:rsidR="005604C0" w:rsidSect="003D6093">
          <w:headerReference w:type="even" r:id="rId9"/>
          <w:headerReference w:type="default" r:id="rId10"/>
          <w:footerReference w:type="default" r:id="rId11"/>
          <w:endnotePr>
            <w:numFmt w:val="decimal"/>
          </w:endnotePr>
          <w:type w:val="continuous"/>
          <w:pgSz w:w="11907" w:h="16840" w:code="9"/>
          <w:pgMar w:top="1418" w:right="1418" w:bottom="1418" w:left="1418" w:header="680" w:footer="680" w:gutter="0"/>
          <w:cols w:space="720"/>
          <w:titlePg/>
          <w:docGrid w:linePitch="326"/>
        </w:sectPr>
      </w:pPr>
      <w:r>
        <w:rPr>
          <w:sz w:val="20"/>
          <w:lang w:val="de-DE"/>
        </w:rPr>
        <w:br w:type="page"/>
      </w:r>
    </w:p>
    <w:p w:rsidR="005604C0" w:rsidRDefault="005604C0" w:rsidP="005604C0">
      <w:pPr>
        <w:rPr>
          <w:rFonts w:eastAsiaTheme="minorHAnsi"/>
          <w:szCs w:val="24"/>
          <w:lang w:val="de-DE"/>
        </w:rPr>
      </w:pPr>
      <w:r w:rsidRPr="00766827">
        <w:rPr>
          <w:szCs w:val="24"/>
          <w:lang w:val="de-DE"/>
        </w:rPr>
        <w:lastRenderedPageBreak/>
        <w:t>7.1.4.</w:t>
      </w:r>
      <w:r>
        <w:rPr>
          <w:szCs w:val="24"/>
          <w:lang w:val="de-DE"/>
        </w:rPr>
        <w:t>1.3</w:t>
      </w:r>
      <w:r>
        <w:rPr>
          <w:szCs w:val="24"/>
          <w:lang w:val="de-DE"/>
        </w:rPr>
        <w:tab/>
        <w:t>Mengengrenzen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788"/>
        <w:gridCol w:w="425"/>
        <w:gridCol w:w="426"/>
        <w:gridCol w:w="425"/>
        <w:gridCol w:w="425"/>
        <w:gridCol w:w="493"/>
        <w:gridCol w:w="459"/>
        <w:gridCol w:w="459"/>
        <w:gridCol w:w="459"/>
      </w:tblGrid>
      <w:tr w:rsidR="005604C0" w:rsidRPr="005604C0" w:rsidTr="00985072">
        <w:tc>
          <w:tcPr>
            <w:tcW w:w="852" w:type="dxa"/>
          </w:tcPr>
          <w:p w:rsidR="005604C0" w:rsidRPr="005604C0" w:rsidRDefault="005604C0" w:rsidP="00985072">
            <w:pPr>
              <w:ind w:left="-40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Klasse</w:t>
            </w:r>
          </w:p>
        </w:tc>
        <w:tc>
          <w:tcPr>
            <w:tcW w:w="8788" w:type="dxa"/>
          </w:tcPr>
          <w:p w:rsidR="005604C0" w:rsidRPr="005604C0" w:rsidRDefault="005604C0" w:rsidP="00985072">
            <w:pPr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Umschreibung</w:t>
            </w:r>
          </w:p>
        </w:tc>
        <w:tc>
          <w:tcPr>
            <w:tcW w:w="3571" w:type="dxa"/>
            <w:gridSpan w:val="8"/>
          </w:tcPr>
          <w:p w:rsidR="005604C0" w:rsidRPr="005604C0" w:rsidRDefault="005604C0" w:rsidP="00985072">
            <w:pPr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Bruttomasse auf einem Schiff</w:t>
            </w:r>
          </w:p>
        </w:tc>
      </w:tr>
      <w:tr w:rsidR="005604C0" w:rsidRPr="005604C0" w:rsidTr="00985072">
        <w:trPr>
          <w:cantSplit/>
          <w:trHeight w:val="1448"/>
        </w:trPr>
        <w:tc>
          <w:tcPr>
            <w:tcW w:w="852" w:type="dxa"/>
          </w:tcPr>
          <w:p w:rsidR="005604C0" w:rsidRPr="005604C0" w:rsidRDefault="005604C0" w:rsidP="00985072">
            <w:pPr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985072">
            <w:pPr>
              <w:rPr>
                <w:sz w:val="20"/>
                <w:lang w:val="de-DE"/>
              </w:rPr>
            </w:pPr>
          </w:p>
        </w:tc>
        <w:tc>
          <w:tcPr>
            <w:tcW w:w="425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0 kg</w:t>
            </w:r>
          </w:p>
        </w:tc>
        <w:tc>
          <w:tcPr>
            <w:tcW w:w="426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90 kg</w:t>
            </w:r>
          </w:p>
        </w:tc>
        <w:tc>
          <w:tcPr>
            <w:tcW w:w="425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15 000 kg</w:t>
            </w:r>
          </w:p>
        </w:tc>
        <w:tc>
          <w:tcPr>
            <w:tcW w:w="425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50 000 kg</w:t>
            </w:r>
          </w:p>
        </w:tc>
        <w:tc>
          <w:tcPr>
            <w:tcW w:w="493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120 000 kg</w:t>
            </w:r>
          </w:p>
        </w:tc>
        <w:tc>
          <w:tcPr>
            <w:tcW w:w="459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300 000 kg</w:t>
            </w:r>
          </w:p>
        </w:tc>
        <w:tc>
          <w:tcPr>
            <w:tcW w:w="459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1 100 000 kg</w:t>
            </w:r>
          </w:p>
        </w:tc>
        <w:tc>
          <w:tcPr>
            <w:tcW w:w="459" w:type="dxa"/>
            <w:textDirection w:val="tbRl"/>
          </w:tcPr>
          <w:p w:rsidR="005604C0" w:rsidRPr="005604C0" w:rsidRDefault="005604C0" w:rsidP="00985072">
            <w:pPr>
              <w:ind w:left="113" w:right="113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Unbeschränkt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1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rPr>
                <w:sz w:val="20"/>
                <w:vertAlign w:val="superscript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Stoffe und Gegenstände der Unterklasse 1.1 der Verträglichkeitsgruppe A </w:t>
            </w:r>
            <w:r w:rsidRPr="005604C0">
              <w:rPr>
                <w:rFonts w:eastAsiaTheme="minorHAnsi"/>
                <w:sz w:val="20"/>
                <w:vertAlign w:val="superscript"/>
                <w:lang w:val="de-DE"/>
              </w:rPr>
              <w:t>1)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vertAlign w:val="superscript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Stoffe und Gegenstände der Unterklasse 1.1 der Verträglichkeitsgruppe B, C, D, E, F, G, J oder L </w:t>
            </w:r>
            <w:r w:rsidRPr="005604C0">
              <w:rPr>
                <w:rFonts w:eastAsiaTheme="minorHAnsi"/>
                <w:sz w:val="20"/>
                <w:vertAlign w:val="superscript"/>
                <w:lang w:val="de-DE"/>
              </w:rPr>
              <w:t>2)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Stoffe und Gegenstände der Unterklasse 1.2 der Verträglichkeitsgruppe B, C, D, E, F, G, H, J oder L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vertAlign w:val="superscript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Stoffe und Gegenstände der Unterklasse 1.3 der Verträglichkeitsgruppe C, G, H, J oder L </w:t>
            </w:r>
            <w:r w:rsidRPr="005604C0">
              <w:rPr>
                <w:rFonts w:eastAsiaTheme="minorHAnsi"/>
                <w:sz w:val="20"/>
                <w:vertAlign w:val="superscript"/>
                <w:lang w:val="de-DE"/>
              </w:rPr>
              <w:t>3)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Stoffe und Gegenstände der Unterklasse 1.4 der Verträglichkeitsgruppe B, C, D, E, F, G oder S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vertAlign w:val="superscript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Stoffe der Unterklasse 1.5 der Verträglichkeitsgruppe D </w:t>
            </w:r>
            <w:r w:rsidRPr="005604C0">
              <w:rPr>
                <w:rFonts w:eastAsiaTheme="minorHAnsi"/>
                <w:sz w:val="20"/>
                <w:vertAlign w:val="superscript"/>
                <w:lang w:val="de-DE"/>
              </w:rPr>
              <w:t>2)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vertAlign w:val="superscript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Gegenstände der Unterklasse 1.6 der Verträglichkeitsgruppe N </w:t>
            </w:r>
            <w:r w:rsidRPr="005604C0">
              <w:rPr>
                <w:rFonts w:eastAsiaTheme="minorHAnsi"/>
                <w:sz w:val="20"/>
                <w:vertAlign w:val="superscript"/>
                <w:lang w:val="de-DE"/>
              </w:rPr>
              <w:t>3)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ungereinigte leere Verpackungen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ind w:left="731" w:hanging="731"/>
              <w:jc w:val="left"/>
              <w:rPr>
                <w:rFonts w:eastAsiaTheme="minorHAnsi"/>
                <w:b/>
                <w:bCs/>
                <w:i/>
                <w:sz w:val="20"/>
                <w:lang w:val="de-DE"/>
              </w:rPr>
            </w:pPr>
            <w:r w:rsidRPr="005604C0">
              <w:rPr>
                <w:rFonts w:eastAsiaTheme="minorHAnsi"/>
                <w:b/>
                <w:bCs/>
                <w:i/>
                <w:sz w:val="20"/>
                <w:lang w:val="de-DE"/>
              </w:rPr>
              <w:t>Bemerkungen</w:t>
            </w:r>
          </w:p>
          <w:p w:rsidR="005604C0" w:rsidRPr="005604C0" w:rsidRDefault="005604C0" w:rsidP="00526C17">
            <w:pPr>
              <w:spacing w:after="0"/>
              <w:ind w:left="731" w:hanging="731"/>
              <w:jc w:val="left"/>
              <w:rPr>
                <w:rFonts w:eastAsiaTheme="minorHAnsi"/>
                <w:i/>
                <w:sz w:val="20"/>
                <w:lang w:val="de-DE"/>
              </w:rPr>
            </w:pPr>
            <w:r w:rsidRPr="005604C0">
              <w:rPr>
                <w:rFonts w:eastAsiaTheme="minorHAnsi"/>
                <w:i/>
                <w:sz w:val="20"/>
                <w:vertAlign w:val="superscript"/>
                <w:lang w:val="de-DE"/>
              </w:rPr>
              <w:t>1)</w:t>
            </w:r>
            <w:r w:rsidRPr="005604C0">
              <w:rPr>
                <w:rFonts w:eastAsiaTheme="minorHAnsi"/>
                <w:i/>
                <w:sz w:val="20"/>
                <w:lang w:val="de-DE"/>
              </w:rPr>
              <w:t xml:space="preserve"> In mindestens drei Partien zu maximal je 30 kg und mindestens 10 m Abstand zwischen den einzelnen Partien.</w:t>
            </w:r>
          </w:p>
          <w:p w:rsidR="005604C0" w:rsidRPr="005604C0" w:rsidRDefault="005604C0" w:rsidP="00526C17">
            <w:pPr>
              <w:spacing w:after="0"/>
              <w:ind w:left="731" w:hanging="731"/>
              <w:jc w:val="left"/>
              <w:rPr>
                <w:rFonts w:eastAsiaTheme="minorHAnsi"/>
                <w:i/>
                <w:sz w:val="20"/>
                <w:lang w:val="de-DE"/>
              </w:rPr>
            </w:pPr>
            <w:r w:rsidRPr="005604C0">
              <w:rPr>
                <w:rFonts w:eastAsiaTheme="minorHAnsi"/>
                <w:i/>
                <w:sz w:val="20"/>
                <w:vertAlign w:val="superscript"/>
                <w:lang w:val="de-DE"/>
              </w:rPr>
              <w:t xml:space="preserve">2) </w:t>
            </w:r>
            <w:r w:rsidRPr="005604C0">
              <w:rPr>
                <w:rFonts w:eastAsiaTheme="minorHAnsi"/>
                <w:i/>
                <w:sz w:val="20"/>
                <w:lang w:val="de-DE"/>
              </w:rPr>
              <w:t>In mindestens drei Partien zu maximal je 5 000 kg und mindestens 10 m Abstand zwischen den einzelnen Partien.</w:t>
            </w:r>
          </w:p>
          <w:p w:rsidR="005604C0" w:rsidRPr="005604C0" w:rsidRDefault="005604C0" w:rsidP="00526C17">
            <w:pPr>
              <w:spacing w:after="0"/>
              <w:ind w:left="731" w:hanging="731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i/>
                <w:sz w:val="20"/>
                <w:vertAlign w:val="superscript"/>
                <w:lang w:val="de-DE"/>
              </w:rPr>
              <w:t>3)</w:t>
            </w:r>
            <w:r w:rsidRPr="005604C0">
              <w:rPr>
                <w:rFonts w:eastAsiaTheme="minorHAnsi"/>
                <w:i/>
                <w:sz w:val="20"/>
                <w:lang w:val="de-DE"/>
              </w:rPr>
              <w:t xml:space="preserve"> Nicht mehr als 100 000 kg pro Laderaum. Ein eingesetzter Holzschott wird als Laderaumtrennung anerkannt.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mit Gefahrzettel 2.1 in Kapitel 3.2 Tabelle A Spalte (5):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mit Gefahrzettel 2.3 in Kapitel 3.2 Tabelle A Spalte (5):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3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 oder II, für die neben dem Gefahrzettel 3 ein Gefahrzettel 6.1 in Kapitel 3.2 Tabelle A Spalte (5) vorgeschrieben ist: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rFonts w:eastAsiaTheme="minorHAnsi"/>
                <w:lang w:val="de-DE" w:eastAsia="en-US"/>
              </w:rPr>
            </w:pPr>
            <w:r w:rsidRPr="005604C0">
              <w:rPr>
                <w:rFonts w:eastAsiaTheme="minorHAnsi"/>
                <w:lang w:val="de-DE" w:eastAsia="en-US"/>
              </w:rPr>
              <w:t>alle anderen Güter der Verpackungsgruppe I oder II: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andere Güter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pageBreakBefore/>
              <w:spacing w:after="0"/>
              <w:ind w:left="-113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lastRenderedPageBreak/>
              <w:t>4.1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UN-Nummern 3221, 3222, 3231 und 3232,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rFonts w:eastAsiaTheme="minorHAnsi"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Güter der Verpackungsgruppe I; </w:t>
            </w:r>
          </w:p>
          <w:p w:rsidR="005604C0" w:rsidRPr="005604C0" w:rsidRDefault="005604C0" w:rsidP="00526C17">
            <w:pPr>
              <w:spacing w:after="0"/>
              <w:jc w:val="left"/>
              <w:rPr>
                <w:rFonts w:eastAsiaTheme="minorHAnsi"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II, für die neben dem Gefahrzettel 4.1 ein Gefahrzettel 6.1 in Kapitel 3.2 Tabelle A Spalte (5) vorgeschrieben ist;</w:t>
            </w:r>
          </w:p>
          <w:p w:rsidR="005604C0" w:rsidRPr="005604C0" w:rsidRDefault="005604C0" w:rsidP="00526C17">
            <w:pPr>
              <w:spacing w:after="0"/>
              <w:jc w:val="left"/>
              <w:rPr>
                <w:rFonts w:eastAsiaTheme="minorHAnsi"/>
                <w:sz w:val="20"/>
                <w:lang w:val="de-DE"/>
              </w:rPr>
            </w:pPr>
            <w:proofErr w:type="spellStart"/>
            <w:r w:rsidRPr="005604C0">
              <w:rPr>
                <w:rFonts w:eastAsiaTheme="minorHAnsi"/>
                <w:sz w:val="20"/>
                <w:lang w:val="de-DE"/>
              </w:rPr>
              <w:t>Selbstzersetzliche</w:t>
            </w:r>
            <w:proofErr w:type="spellEnd"/>
            <w:r w:rsidRPr="005604C0">
              <w:rPr>
                <w:rFonts w:eastAsiaTheme="minorHAnsi"/>
                <w:sz w:val="20"/>
                <w:lang w:val="de-DE"/>
              </w:rPr>
              <w:t xml:space="preserve"> Stoffe des Typs C, D, E, und F (UN-Nummern 3223 bis 3230 und 3233 bis 3240);</w:t>
            </w:r>
          </w:p>
          <w:p w:rsidR="005604C0" w:rsidRPr="005604C0" w:rsidRDefault="005604C0" w:rsidP="00526C17">
            <w:pPr>
              <w:spacing w:after="0"/>
              <w:jc w:val="left"/>
              <w:rPr>
                <w:rFonts w:eastAsiaTheme="minorHAnsi"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 xml:space="preserve">alle anderen Stoffe des Klassifizierungscodes SR1 oder SR2 (UN-Nummern 2956, 3241, 3242 und 3251); </w:t>
            </w:r>
          </w:p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die desensibilisierten explosiven Stoffe der Verpackungsgruppe II (UN-Nummern 2907, 3319 und 3344):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4.2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 oder II, für die neben dem Gefahrzettel 4.2 ein Gefahrzettel 6.1 in Kapitel 3.2 Tabelle A Spalte (5) vorgeschrieben ist: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4.3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 oder II, für die neben dem Gefahrzettel 4.3 ein Gefahrzettel 3, 4.1 oder 6.1 in Kapitel 3.2 Tabelle A Spalte (5) vorgeschrieben ist: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5.1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 oder II, für die neben dem Gefahrzettel 5.1 ein Gefahrzettel 6.1 in Kapitel 3.2 Tabelle A Spalte (5) vorgeschrieben ist: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5.2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UN-Nummern 3101, 3102, 3111 und 3112: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>andere Güter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6.1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alle Güter der Verpackungsgruppe I: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alle Güter der Verpackungsgruppe II: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alle in loser Schüttung beförderte Güter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7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b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UN-Nummern 2912, 2913, 2915, 2916, 2917, 2919, 2977, 2978 und 3321 bis 3333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8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rFonts w:eastAsiaTheme="minorHAnsi"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I;</w:t>
            </w:r>
          </w:p>
          <w:p w:rsidR="005604C0" w:rsidRPr="005604C0" w:rsidRDefault="005604C0" w:rsidP="00526C17">
            <w:pPr>
              <w:spacing w:after="0"/>
              <w:jc w:val="left"/>
              <w:rPr>
                <w:b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alle Güter der Verpackungsgruppe II, für die neben dem Gefahrzettel 8 ein Gefahrzettel 3 oder 6.1 in Kapitel 3.2 Tabelle A Spalte (5) vorgeschrieben ist: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  <w:tr w:rsidR="005604C0" w:rsidRPr="005604C0" w:rsidTr="00985072">
        <w:tc>
          <w:tcPr>
            <w:tcW w:w="852" w:type="dxa"/>
            <w:tcBorders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b/>
                <w:sz w:val="20"/>
                <w:lang w:val="de-DE"/>
              </w:rPr>
            </w:pPr>
            <w:r w:rsidRPr="005604C0">
              <w:rPr>
                <w:b/>
                <w:sz w:val="20"/>
                <w:lang w:val="de-DE"/>
              </w:rPr>
              <w:t>9</w:t>
            </w: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b/>
                <w:lang w:val="de-DE"/>
              </w:rPr>
            </w:pPr>
            <w:r w:rsidRPr="005604C0">
              <w:rPr>
                <w:rFonts w:eastAsiaTheme="minorHAnsi"/>
                <w:lang w:val="de-DE" w:eastAsia="en-US"/>
              </w:rPr>
              <w:t>alle Güter der Verpackungsgruppe II: insgesamt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  <w:bottom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spacing w:after="0"/>
              <w:jc w:val="left"/>
              <w:rPr>
                <w:b/>
                <w:sz w:val="20"/>
                <w:lang w:val="de-DE"/>
              </w:rPr>
            </w:pPr>
            <w:r w:rsidRPr="005604C0">
              <w:rPr>
                <w:rFonts w:eastAsiaTheme="minorHAnsi"/>
                <w:sz w:val="20"/>
                <w:lang w:val="de-DE"/>
              </w:rPr>
              <w:t>UN 3077, Güter, die in loser Schüttung befördert werden und als umweltgefährdende Stoffe (aquatische Umwelt), Kategorien Akute Giftigkeit 1 oder Chronische Giftigkeit 1, eingestuft sind, in Übereinstimmung mit 2.4.3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</w:tr>
      <w:tr w:rsidR="005604C0" w:rsidRPr="005604C0" w:rsidTr="00985072">
        <w:tc>
          <w:tcPr>
            <w:tcW w:w="852" w:type="dxa"/>
            <w:tcBorders>
              <w:top w:val="nil"/>
            </w:tcBorders>
          </w:tcPr>
          <w:p w:rsidR="005604C0" w:rsidRPr="005604C0" w:rsidRDefault="005604C0" w:rsidP="00526C17">
            <w:pPr>
              <w:spacing w:after="0"/>
              <w:ind w:left="-111"/>
              <w:jc w:val="center"/>
              <w:rPr>
                <w:sz w:val="20"/>
                <w:lang w:val="de-DE"/>
              </w:rPr>
            </w:pPr>
          </w:p>
        </w:tc>
        <w:tc>
          <w:tcPr>
            <w:tcW w:w="8788" w:type="dxa"/>
          </w:tcPr>
          <w:p w:rsidR="005604C0" w:rsidRPr="005604C0" w:rsidRDefault="005604C0" w:rsidP="00526C1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40" w:lineRule="auto"/>
              <w:ind w:left="0" w:firstLine="0"/>
              <w:rPr>
                <w:lang w:val="de-DE"/>
              </w:rPr>
            </w:pPr>
            <w:r w:rsidRPr="005604C0">
              <w:rPr>
                <w:lang w:val="de-DE"/>
              </w:rPr>
              <w:t xml:space="preserve">andere Güter    </w:t>
            </w: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6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25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93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</w:p>
        </w:tc>
        <w:tc>
          <w:tcPr>
            <w:tcW w:w="459" w:type="dxa"/>
          </w:tcPr>
          <w:p w:rsidR="005604C0" w:rsidRPr="005604C0" w:rsidRDefault="005604C0" w:rsidP="00526C17">
            <w:pPr>
              <w:spacing w:after="0"/>
              <w:jc w:val="center"/>
              <w:rPr>
                <w:sz w:val="20"/>
                <w:lang w:val="de-DE"/>
              </w:rPr>
            </w:pPr>
            <w:r w:rsidRPr="005604C0">
              <w:rPr>
                <w:sz w:val="20"/>
                <w:lang w:val="de-DE"/>
              </w:rPr>
              <w:t>X</w:t>
            </w:r>
          </w:p>
        </w:tc>
      </w:tr>
    </w:tbl>
    <w:p w:rsidR="005604C0" w:rsidRPr="008F6848" w:rsidRDefault="008F6848" w:rsidP="008F6848">
      <w:pPr>
        <w:suppressAutoHyphens/>
        <w:spacing w:before="240" w:after="0" w:line="240" w:lineRule="atLeast"/>
        <w:ind w:left="1134" w:right="1134"/>
        <w:jc w:val="center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A47FBC" w:rsidRDefault="00A47FBC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</w:p>
    <w:sectPr w:rsidR="00A47FBC" w:rsidSect="005604C0">
      <w:endnotePr>
        <w:numFmt w:val="decimal"/>
      </w:endnotePr>
      <w:pgSz w:w="16840" w:h="11907" w:orient="landscape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C" w:rsidRDefault="001312EC">
      <w:pPr>
        <w:pStyle w:val="Footer"/>
      </w:pPr>
    </w:p>
  </w:endnote>
  <w:endnote w:type="continuationSeparator" w:id="0">
    <w:p w:rsidR="001312EC" w:rsidRDefault="001312EC">
      <w:pPr>
        <w:spacing w:after="0"/>
      </w:pPr>
    </w:p>
  </w:endnote>
  <w:endnote w:type="continuationNotice" w:id="1">
    <w:p w:rsidR="001312EC" w:rsidRDefault="001312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C" w:rsidRPr="000A4580" w:rsidRDefault="001312EC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C" w:rsidRDefault="001312EC">
      <w:pPr>
        <w:spacing w:after="0"/>
      </w:pPr>
      <w:r>
        <w:separator/>
      </w:r>
    </w:p>
  </w:footnote>
  <w:footnote w:type="continuationSeparator" w:id="0">
    <w:p w:rsidR="001312EC" w:rsidRDefault="001312E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1312EC" w:rsidRDefault="001312E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C" w:rsidRPr="00545230" w:rsidRDefault="00545230" w:rsidP="00853BD3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545230">
      <w:rPr>
        <w:rFonts w:ascii="Arial" w:eastAsia="Arial" w:hAnsi="Arial" w:cs="Arial"/>
        <w:bCs/>
        <w:sz w:val="16"/>
        <w:szCs w:val="16"/>
        <w:lang w:val="fr-FR" w:eastAsia="de-DE"/>
      </w:rPr>
      <w:t>Informal document</w:t>
    </w:r>
    <w:r w:rsidRPr="00545230">
      <w:rPr>
        <w:rFonts w:ascii="Arial" w:hAnsi="Arial" w:cs="Arial"/>
        <w:sz w:val="16"/>
        <w:szCs w:val="16"/>
        <w:lang w:val="en-US"/>
      </w:rPr>
      <w:t xml:space="preserve">  INF.</w:t>
    </w:r>
    <w:r w:rsidR="00526C17" w:rsidRPr="00545230">
      <w:rPr>
        <w:rFonts w:ascii="Arial" w:hAnsi="Arial" w:cs="Arial"/>
        <w:sz w:val="16"/>
        <w:szCs w:val="16"/>
        <w:lang w:val="en-US"/>
      </w:rPr>
      <w:t>25</w:t>
    </w:r>
  </w:p>
  <w:p w:rsidR="001312EC" w:rsidRPr="00226EA3" w:rsidRDefault="001312EC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="00874480"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="00874480" w:rsidRPr="00226EA3">
      <w:rPr>
        <w:rFonts w:ascii="Arial" w:hAnsi="Arial" w:cs="Arial"/>
        <w:sz w:val="16"/>
        <w:szCs w:val="16"/>
      </w:rPr>
      <w:fldChar w:fldCharType="separate"/>
    </w:r>
    <w:r w:rsidR="00F31DE0">
      <w:rPr>
        <w:rFonts w:ascii="Arial" w:hAnsi="Arial" w:cs="Arial"/>
        <w:noProof/>
        <w:sz w:val="16"/>
        <w:szCs w:val="16"/>
      </w:rPr>
      <w:t>4</w:t>
    </w:r>
    <w:r w:rsidR="00874480"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EC" w:rsidRPr="00226EA3" w:rsidRDefault="001312EC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ECE/TRANS/WP.15/AC.2/2015/19</w:t>
    </w:r>
  </w:p>
  <w:p w:rsidR="001312EC" w:rsidRPr="00226EA3" w:rsidRDefault="001312EC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="00874480"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="00874480" w:rsidRPr="00226EA3">
      <w:rPr>
        <w:rFonts w:ascii="Arial" w:hAnsi="Arial" w:cs="Arial"/>
        <w:sz w:val="16"/>
        <w:szCs w:val="16"/>
      </w:rPr>
      <w:fldChar w:fldCharType="separate"/>
    </w:r>
    <w:r w:rsidR="008F6848">
      <w:rPr>
        <w:rFonts w:ascii="Arial" w:hAnsi="Arial" w:cs="Arial"/>
        <w:noProof/>
        <w:sz w:val="16"/>
        <w:szCs w:val="16"/>
      </w:rPr>
      <w:t>5</w:t>
    </w:r>
    <w:r w:rsidR="00874480"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933A5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46C7"/>
    <w:rsid w:val="000C618B"/>
    <w:rsid w:val="000C63F9"/>
    <w:rsid w:val="000D561F"/>
    <w:rsid w:val="000E06E4"/>
    <w:rsid w:val="000E09F2"/>
    <w:rsid w:val="000E5406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309F5"/>
    <w:rsid w:val="001312EC"/>
    <w:rsid w:val="00131898"/>
    <w:rsid w:val="00135481"/>
    <w:rsid w:val="00137616"/>
    <w:rsid w:val="00141BE2"/>
    <w:rsid w:val="00143FA2"/>
    <w:rsid w:val="001442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52F"/>
    <w:rsid w:val="00192DC1"/>
    <w:rsid w:val="001A04FA"/>
    <w:rsid w:val="001A6F70"/>
    <w:rsid w:val="001A705C"/>
    <w:rsid w:val="001B2E45"/>
    <w:rsid w:val="001B387B"/>
    <w:rsid w:val="001B731A"/>
    <w:rsid w:val="001C024F"/>
    <w:rsid w:val="001C6029"/>
    <w:rsid w:val="001D0337"/>
    <w:rsid w:val="001D2866"/>
    <w:rsid w:val="001D33BE"/>
    <w:rsid w:val="001E6C4F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26E5"/>
    <w:rsid w:val="002A5AC5"/>
    <w:rsid w:val="002A5D74"/>
    <w:rsid w:val="002B1104"/>
    <w:rsid w:val="002B1169"/>
    <w:rsid w:val="002B22DA"/>
    <w:rsid w:val="002B5575"/>
    <w:rsid w:val="002C34CD"/>
    <w:rsid w:val="002C7555"/>
    <w:rsid w:val="002D43AB"/>
    <w:rsid w:val="002D48DF"/>
    <w:rsid w:val="002E1922"/>
    <w:rsid w:val="002E274C"/>
    <w:rsid w:val="002E340B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71B3"/>
    <w:rsid w:val="0034481F"/>
    <w:rsid w:val="0035078B"/>
    <w:rsid w:val="00350F80"/>
    <w:rsid w:val="00354712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C2D68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E5055"/>
    <w:rsid w:val="003E6FB7"/>
    <w:rsid w:val="003F1078"/>
    <w:rsid w:val="003F3660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1621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2DFD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6C17"/>
    <w:rsid w:val="005275C4"/>
    <w:rsid w:val="00530A8E"/>
    <w:rsid w:val="00532AC5"/>
    <w:rsid w:val="00532AFB"/>
    <w:rsid w:val="00532CD7"/>
    <w:rsid w:val="00534113"/>
    <w:rsid w:val="00534523"/>
    <w:rsid w:val="00535D55"/>
    <w:rsid w:val="00545230"/>
    <w:rsid w:val="00550ADC"/>
    <w:rsid w:val="00550D9B"/>
    <w:rsid w:val="005525CA"/>
    <w:rsid w:val="00552F76"/>
    <w:rsid w:val="00553406"/>
    <w:rsid w:val="00556D9C"/>
    <w:rsid w:val="00557DAC"/>
    <w:rsid w:val="005604C0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87BCC"/>
    <w:rsid w:val="00591CEB"/>
    <w:rsid w:val="005930D9"/>
    <w:rsid w:val="00593BD5"/>
    <w:rsid w:val="005948EF"/>
    <w:rsid w:val="005962CC"/>
    <w:rsid w:val="00597B92"/>
    <w:rsid w:val="005A02C4"/>
    <w:rsid w:val="005A1286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339B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647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A9B"/>
    <w:rsid w:val="00673E42"/>
    <w:rsid w:val="006803B8"/>
    <w:rsid w:val="0068283F"/>
    <w:rsid w:val="00690BDD"/>
    <w:rsid w:val="006913C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D7ECA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42407"/>
    <w:rsid w:val="00755AD5"/>
    <w:rsid w:val="00765C89"/>
    <w:rsid w:val="00766C3D"/>
    <w:rsid w:val="00767C40"/>
    <w:rsid w:val="007708ED"/>
    <w:rsid w:val="007741AF"/>
    <w:rsid w:val="007771AD"/>
    <w:rsid w:val="0077743D"/>
    <w:rsid w:val="00777C93"/>
    <w:rsid w:val="007854E8"/>
    <w:rsid w:val="00790543"/>
    <w:rsid w:val="0079054B"/>
    <w:rsid w:val="00792A40"/>
    <w:rsid w:val="00793B03"/>
    <w:rsid w:val="00795A5A"/>
    <w:rsid w:val="00796034"/>
    <w:rsid w:val="007A121E"/>
    <w:rsid w:val="007A4191"/>
    <w:rsid w:val="007A76E2"/>
    <w:rsid w:val="007B3035"/>
    <w:rsid w:val="007B4161"/>
    <w:rsid w:val="007B5F64"/>
    <w:rsid w:val="007B63AB"/>
    <w:rsid w:val="007B6660"/>
    <w:rsid w:val="007C5820"/>
    <w:rsid w:val="007C68C9"/>
    <w:rsid w:val="007C76BD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17619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CE5"/>
    <w:rsid w:val="00872F22"/>
    <w:rsid w:val="00874480"/>
    <w:rsid w:val="008757CE"/>
    <w:rsid w:val="00876E72"/>
    <w:rsid w:val="00886550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1E1"/>
    <w:rsid w:val="008F0210"/>
    <w:rsid w:val="008F3F20"/>
    <w:rsid w:val="008F5EB6"/>
    <w:rsid w:val="008F602B"/>
    <w:rsid w:val="008F6848"/>
    <w:rsid w:val="008F6979"/>
    <w:rsid w:val="008F73B3"/>
    <w:rsid w:val="008F7EF3"/>
    <w:rsid w:val="00905493"/>
    <w:rsid w:val="00912349"/>
    <w:rsid w:val="0091294F"/>
    <w:rsid w:val="00912DF3"/>
    <w:rsid w:val="009145E4"/>
    <w:rsid w:val="00916F16"/>
    <w:rsid w:val="00917269"/>
    <w:rsid w:val="00922188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45A7"/>
    <w:rsid w:val="009466A6"/>
    <w:rsid w:val="009468B6"/>
    <w:rsid w:val="0095070F"/>
    <w:rsid w:val="009507F2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0DC6"/>
    <w:rsid w:val="009B271F"/>
    <w:rsid w:val="009B4B28"/>
    <w:rsid w:val="009B6193"/>
    <w:rsid w:val="009C1299"/>
    <w:rsid w:val="009C6A78"/>
    <w:rsid w:val="009C7262"/>
    <w:rsid w:val="009D2078"/>
    <w:rsid w:val="009E0D70"/>
    <w:rsid w:val="009E5EB9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47FBC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D1F"/>
    <w:rsid w:val="00A95548"/>
    <w:rsid w:val="00A9588A"/>
    <w:rsid w:val="00AA1B28"/>
    <w:rsid w:val="00AA3F46"/>
    <w:rsid w:val="00AA50EE"/>
    <w:rsid w:val="00AB4F31"/>
    <w:rsid w:val="00AC1BD0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74C"/>
    <w:rsid w:val="00B170AC"/>
    <w:rsid w:val="00B17473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4575"/>
    <w:rsid w:val="00B85E8E"/>
    <w:rsid w:val="00B85FED"/>
    <w:rsid w:val="00B946CB"/>
    <w:rsid w:val="00B94D10"/>
    <w:rsid w:val="00BA0FB9"/>
    <w:rsid w:val="00BA5BE3"/>
    <w:rsid w:val="00BA5EE2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37F3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E69"/>
    <w:rsid w:val="00E510CC"/>
    <w:rsid w:val="00E51DDC"/>
    <w:rsid w:val="00E5797E"/>
    <w:rsid w:val="00E61511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33E1"/>
    <w:rsid w:val="00F253B3"/>
    <w:rsid w:val="00F25B2F"/>
    <w:rsid w:val="00F26AD9"/>
    <w:rsid w:val="00F27152"/>
    <w:rsid w:val="00F31DE0"/>
    <w:rsid w:val="00F326FE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4D2A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0B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E340B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E340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340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340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E340B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E340B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2E340B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E340B"/>
    <w:pPr>
      <w:keepNext/>
      <w:outlineLvl w:val="7"/>
    </w:pPr>
  </w:style>
  <w:style w:type="paragraph" w:styleId="Heading9">
    <w:name w:val="heading 9"/>
    <w:basedOn w:val="Normal"/>
    <w:next w:val="Normal"/>
    <w:qFormat/>
    <w:rsid w:val="002E340B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2E340B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2E340B"/>
  </w:style>
  <w:style w:type="paragraph" w:customStyle="1" w:styleId="Rom2">
    <w:name w:val="Rom2"/>
    <w:basedOn w:val="Normal"/>
    <w:rsid w:val="002E340B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2E340B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2E340B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2E340B"/>
  </w:style>
  <w:style w:type="character" w:styleId="PageNumber">
    <w:name w:val="page number"/>
    <w:basedOn w:val="DefaultParagraphFont"/>
    <w:rsid w:val="002E340B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2E340B"/>
  </w:style>
  <w:style w:type="character" w:styleId="EndnoteReference">
    <w:name w:val="endnote reference"/>
    <w:rsid w:val="002E340B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uiPriority w:val="3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SingleTxtG">
    <w:name w:val="_ Single Txt_G"/>
    <w:basedOn w:val="Normal"/>
    <w:link w:val="SingleTxtGChar"/>
    <w:qFormat/>
    <w:rsid w:val="00AA50EE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character" w:customStyle="1" w:styleId="SingleTxtGChar">
    <w:name w:val="_ Single Txt_G Char"/>
    <w:link w:val="SingleTxtG"/>
    <w:qFormat/>
    <w:rsid w:val="00AA50EE"/>
    <w:rPr>
      <w:lang w:val="en-GB" w:eastAsia="en-US"/>
    </w:rPr>
  </w:style>
  <w:style w:type="paragraph" w:customStyle="1" w:styleId="Plattetekst21">
    <w:name w:val="Platte tekst 21"/>
    <w:basedOn w:val="Normal"/>
    <w:rsid w:val="005604C0"/>
    <w:pPr>
      <w:tabs>
        <w:tab w:val="left" w:pos="-1698"/>
        <w:tab w:val="left" w:pos="-847"/>
        <w:tab w:val="left" w:pos="-340"/>
        <w:tab w:val="left" w:pos="0"/>
        <w:tab w:val="left" w:pos="284"/>
        <w:tab w:val="left" w:pos="454"/>
        <w:tab w:val="left" w:pos="680"/>
        <w:tab w:val="left" w:pos="851"/>
        <w:tab w:val="left" w:pos="1134"/>
        <w:tab w:val="left" w:pos="1418"/>
        <w:tab w:val="left" w:pos="1702"/>
        <w:tab w:val="left" w:pos="2410"/>
        <w:tab w:val="left" w:pos="2834"/>
        <w:tab w:val="left" w:pos="3402"/>
        <w:tab w:val="left" w:pos="3968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</w:tabs>
      <w:suppressAutoHyphens/>
      <w:overflowPunct w:val="0"/>
      <w:autoSpaceDE w:val="0"/>
      <w:autoSpaceDN w:val="0"/>
      <w:adjustRightInd w:val="0"/>
      <w:spacing w:after="0" w:line="226" w:lineRule="auto"/>
      <w:ind w:left="1134" w:hanging="1134"/>
      <w:textAlignment w:val="baseline"/>
    </w:pPr>
    <w:rPr>
      <w:sz w:val="20"/>
      <w:lang w:val="nl-NL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ai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92FD-B49C-4AFE-85D0-5941B4D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ECE-ADN-36-Add.1</cp:lastModifiedBy>
  <cp:revision>8</cp:revision>
  <cp:lastPrinted>2017-08-22T14:43:00Z</cp:lastPrinted>
  <dcterms:created xsi:type="dcterms:W3CDTF">2017-08-22T07:57:00Z</dcterms:created>
  <dcterms:modified xsi:type="dcterms:W3CDTF">2017-08-25T12:21:00Z</dcterms:modified>
</cp:coreProperties>
</file>