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5" w:tblpY="568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5528"/>
        <w:gridCol w:w="2835"/>
      </w:tblGrid>
      <w:tr w:rsidR="00E62788" w:rsidRPr="00E62788" w:rsidTr="00390AA0">
        <w:trPr>
          <w:cantSplit/>
          <w:trHeight w:hRule="exact" w:val="709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62788" w:rsidRPr="00E62788" w:rsidRDefault="00E62788" w:rsidP="00E627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napToGrid w:val="0"/>
                <w:lang w:val="en-GB"/>
              </w:rPr>
            </w:pPr>
            <w:bookmarkStart w:id="0" w:name="OLE_LINK1"/>
            <w:bookmarkStart w:id="1" w:name="OLE_LINK2"/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bottom"/>
          </w:tcPr>
          <w:p w:rsidR="00E62788" w:rsidRPr="00E62788" w:rsidRDefault="00E62788" w:rsidP="00E62788">
            <w:pPr>
              <w:suppressAutoHyphens/>
              <w:spacing w:after="0" w:line="240" w:lineRule="atLeast"/>
              <w:jc w:val="right"/>
              <w:rPr>
                <w:rFonts w:ascii="Times New Roman" w:hAnsi="Times New Roman" w:cs="Times New Roman"/>
                <w:snapToGrid w:val="0"/>
                <w:lang w:val="en-GB"/>
              </w:rPr>
            </w:pPr>
            <w:r w:rsidRPr="00E62788">
              <w:rPr>
                <w:rFonts w:ascii="Times New Roman" w:hAnsi="Times New Roman" w:cs="Times New Roman"/>
                <w:b/>
                <w:snapToGrid w:val="0"/>
                <w:sz w:val="40"/>
                <w:szCs w:val="40"/>
                <w:lang w:val="en-GB"/>
              </w:rPr>
              <w:t>INF.</w:t>
            </w:r>
            <w:r>
              <w:rPr>
                <w:rFonts w:ascii="Times New Roman" w:hAnsi="Times New Roman" w:cs="Times New Roman"/>
                <w:b/>
                <w:snapToGrid w:val="0"/>
                <w:sz w:val="40"/>
                <w:szCs w:val="40"/>
                <w:lang w:val="en-GB"/>
              </w:rPr>
              <w:t>21</w:t>
            </w:r>
          </w:p>
        </w:tc>
      </w:tr>
      <w:tr w:rsidR="00E62788" w:rsidRPr="00E62788" w:rsidTr="00E62788">
        <w:trPr>
          <w:cantSplit/>
          <w:trHeight w:hRule="exact" w:val="3695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62788" w:rsidRPr="00E62788" w:rsidRDefault="00E62788" w:rsidP="00E62788">
            <w:pPr>
              <w:suppressAutoHyphens/>
              <w:spacing w:before="120" w:after="0" w:line="240" w:lineRule="atLeast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fr-CH"/>
              </w:rPr>
            </w:pPr>
            <w:r w:rsidRPr="00E62788"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fr-CH"/>
              </w:rPr>
              <w:t>Commission économique pour l’Europe</w:t>
            </w:r>
          </w:p>
          <w:p w:rsidR="00E62788" w:rsidRPr="00E62788" w:rsidRDefault="00E62788" w:rsidP="00E62788">
            <w:pPr>
              <w:suppressAutoHyphens/>
              <w:spacing w:before="120" w:after="0" w:line="240" w:lineRule="atLeast"/>
              <w:rPr>
                <w:rFonts w:ascii="Times New Roman" w:hAnsi="Times New Roman" w:cs="Times New Roman"/>
                <w:snapToGrid w:val="0"/>
                <w:sz w:val="28"/>
                <w:szCs w:val="28"/>
                <w:lang w:val="fr-CH"/>
              </w:rPr>
            </w:pPr>
            <w:r w:rsidRPr="00E62788">
              <w:rPr>
                <w:rFonts w:ascii="Times New Roman" w:hAnsi="Times New Roman" w:cs="Times New Roman"/>
                <w:snapToGrid w:val="0"/>
                <w:sz w:val="28"/>
                <w:szCs w:val="28"/>
                <w:lang w:val="fr-CH"/>
              </w:rPr>
              <w:t>Comité des transports intérieurs</w:t>
            </w:r>
          </w:p>
          <w:p w:rsidR="00E62788" w:rsidRPr="00E62788" w:rsidRDefault="00E62788" w:rsidP="00E62788">
            <w:pPr>
              <w:suppressAutoHyphens/>
              <w:spacing w:before="120" w:after="0" w:line="240" w:lineRule="atLeas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fr-CH"/>
              </w:rPr>
            </w:pPr>
            <w:r w:rsidRPr="00E6278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fr-CH"/>
              </w:rPr>
              <w:t>Groupe de travail des transports de marchandises dangereuses</w:t>
            </w:r>
          </w:p>
          <w:p w:rsidR="00E62788" w:rsidRPr="00E62788" w:rsidRDefault="00E62788" w:rsidP="00E62788">
            <w:pPr>
              <w:suppressAutoHyphens/>
              <w:spacing w:before="120" w:after="0" w:line="240" w:lineRule="atLeast"/>
              <w:rPr>
                <w:rFonts w:ascii="Times New Roman" w:hAnsi="Times New Roman" w:cs="Times New Roman"/>
                <w:b/>
                <w:snapToGrid w:val="0"/>
                <w:lang w:val="fr-CH"/>
              </w:rPr>
            </w:pPr>
            <w:r w:rsidRPr="00E62788">
              <w:rPr>
                <w:rFonts w:ascii="Times New Roman" w:hAnsi="Times New Roman" w:cs="Times New Roman"/>
                <w:b/>
                <w:snapToGrid w:val="0"/>
                <w:lang w:val="fr-FR"/>
              </w:rPr>
              <w:t>Réunion commune d’experts sur le Règlement annexé</w:t>
            </w:r>
            <w:r w:rsidRPr="00E62788">
              <w:rPr>
                <w:rFonts w:ascii="Times New Roman" w:hAnsi="Times New Roman" w:cs="Times New Roman"/>
                <w:b/>
                <w:snapToGrid w:val="0"/>
                <w:lang w:val="fr-FR"/>
              </w:rPr>
              <w:br/>
              <w:t>à l’Accord européen relatif au transport international</w:t>
            </w:r>
            <w:r w:rsidRPr="00E62788">
              <w:rPr>
                <w:rFonts w:ascii="Times New Roman" w:hAnsi="Times New Roman" w:cs="Times New Roman"/>
                <w:b/>
                <w:snapToGrid w:val="0"/>
                <w:lang w:val="fr-FR"/>
              </w:rPr>
              <w:br/>
              <w:t xml:space="preserve">des marchandises </w:t>
            </w:r>
            <w:r w:rsidRPr="00E62788">
              <w:rPr>
                <w:rFonts w:ascii="Times New Roman" w:hAnsi="Times New Roman" w:cs="Times New Roman"/>
                <w:b/>
                <w:bCs/>
                <w:iCs/>
                <w:snapToGrid w:val="0"/>
                <w:lang w:val="fr-FR"/>
              </w:rPr>
              <w:t>dangereuses par voies de navigation</w:t>
            </w:r>
            <w:r w:rsidRPr="00E62788">
              <w:rPr>
                <w:rFonts w:ascii="Times New Roman" w:hAnsi="Times New Roman" w:cs="Times New Roman"/>
                <w:b/>
                <w:bCs/>
                <w:iCs/>
                <w:snapToGrid w:val="0"/>
                <w:lang w:val="fr-FR"/>
              </w:rPr>
              <w:br/>
              <w:t xml:space="preserve">intérieures (ADN) </w:t>
            </w:r>
            <w:r w:rsidRPr="00E62788">
              <w:rPr>
                <w:rFonts w:ascii="Times New Roman" w:hAnsi="Times New Roman" w:cs="Times New Roman"/>
                <w:b/>
                <w:bCs/>
                <w:snapToGrid w:val="0"/>
                <w:lang w:val="fr-FR"/>
              </w:rPr>
              <w:t>(Comité de sécurité de l’ADN)</w:t>
            </w:r>
          </w:p>
          <w:p w:rsidR="00E62788" w:rsidRPr="00E62788" w:rsidRDefault="00E62788" w:rsidP="00E62788">
            <w:pPr>
              <w:suppressAutoHyphens/>
              <w:spacing w:before="120" w:after="0" w:line="240" w:lineRule="atLeast"/>
              <w:rPr>
                <w:rFonts w:ascii="Times New Roman" w:hAnsi="Times New Roman" w:cs="Times New Roman"/>
                <w:b/>
                <w:snapToGrid w:val="0"/>
                <w:lang w:val="fr-CH"/>
              </w:rPr>
            </w:pPr>
            <w:r w:rsidRPr="00E62788">
              <w:rPr>
                <w:rFonts w:ascii="Times New Roman" w:hAnsi="Times New Roman" w:cs="Times New Roman"/>
                <w:b/>
                <w:snapToGrid w:val="0"/>
                <w:lang w:val="fr-CH"/>
              </w:rPr>
              <w:t>Trentième session</w:t>
            </w:r>
          </w:p>
          <w:p w:rsidR="00E62788" w:rsidRPr="00E62788" w:rsidRDefault="00E62788" w:rsidP="00E627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napToGrid w:val="0"/>
                <w:lang w:val="fr-CH"/>
              </w:rPr>
            </w:pPr>
            <w:r w:rsidRPr="00E62788">
              <w:rPr>
                <w:rFonts w:ascii="Times New Roman" w:hAnsi="Times New Roman" w:cs="Times New Roman"/>
                <w:snapToGrid w:val="0"/>
                <w:lang w:val="fr-CH"/>
              </w:rPr>
              <w:t>Genève, 23-27 janvier 2017</w:t>
            </w:r>
          </w:p>
          <w:p w:rsidR="00E62788" w:rsidRPr="00E62788" w:rsidRDefault="00E62788" w:rsidP="00E627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snapToGrid w:val="0"/>
                <w:lang w:val="fr-CH"/>
              </w:rPr>
            </w:pPr>
            <w:r w:rsidRPr="00E62788">
              <w:rPr>
                <w:rFonts w:ascii="Times New Roman" w:hAnsi="Times New Roman" w:cs="Times New Roman"/>
                <w:snapToGrid w:val="0"/>
                <w:lang w:val="fr-CH"/>
              </w:rPr>
              <w:t xml:space="preserve">Point </w:t>
            </w:r>
            <w:r>
              <w:rPr>
                <w:rFonts w:ascii="Times New Roman" w:hAnsi="Times New Roman" w:cs="Times New Roman"/>
                <w:snapToGrid w:val="0"/>
                <w:lang w:val="fr-CH"/>
              </w:rPr>
              <w:t>5</w:t>
            </w:r>
            <w:r w:rsidRPr="00E62788">
              <w:rPr>
                <w:rFonts w:ascii="Times New Roman" w:hAnsi="Times New Roman" w:cs="Times New Roman"/>
                <w:snapToGrid w:val="0"/>
                <w:lang w:val="fr-CH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lang w:val="fr-CH"/>
              </w:rPr>
              <w:t>b</w:t>
            </w:r>
            <w:r w:rsidRPr="00E62788">
              <w:rPr>
                <w:rFonts w:ascii="Times New Roman" w:hAnsi="Times New Roman" w:cs="Times New Roman"/>
                <w:snapToGrid w:val="0"/>
                <w:lang w:val="fr-CH"/>
              </w:rPr>
              <w:t>) de l’ordre du jour provisoire</w:t>
            </w:r>
          </w:p>
          <w:p w:rsidR="00E62788" w:rsidRPr="00E62788" w:rsidRDefault="00E62788" w:rsidP="00E627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b/>
                <w:snapToGrid w:val="0"/>
                <w:lang w:val="fr-FR"/>
              </w:rPr>
            </w:pPr>
            <w:r w:rsidRPr="00E62788">
              <w:rPr>
                <w:rFonts w:ascii="Times New Roman" w:hAnsi="Times New Roman" w:cs="Times New Roman"/>
                <w:b/>
                <w:snapToGrid w:val="0"/>
                <w:lang w:val="fr-FR"/>
              </w:rPr>
              <w:t>Propositions d’amendements au Règlement annexé à l’ADN:</w:t>
            </w:r>
          </w:p>
          <w:p w:rsidR="00E62788" w:rsidRPr="00E62788" w:rsidRDefault="00E62788" w:rsidP="00E62788">
            <w:pPr>
              <w:suppressAutoHyphens/>
              <w:spacing w:after="0" w:line="240" w:lineRule="atLeast"/>
              <w:rPr>
                <w:rFonts w:ascii="Times New Roman" w:hAnsi="Times New Roman" w:cs="Times New Roman"/>
                <w:b/>
                <w:snapToGrid w:val="0"/>
                <w:lang w:val="fr-CH"/>
              </w:rPr>
            </w:pPr>
            <w:r w:rsidRPr="00E62788">
              <w:rPr>
                <w:rFonts w:ascii="Times New Roman" w:hAnsi="Times New Roman" w:cs="Times New Roman"/>
                <w:b/>
                <w:snapToGrid w:val="0"/>
                <w:lang w:val="fr-FR"/>
              </w:rPr>
              <w:t>autres propositions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E62788" w:rsidRPr="00E62788" w:rsidRDefault="00E62788" w:rsidP="00E62788">
            <w:pPr>
              <w:suppressAutoHyphens/>
              <w:spacing w:before="120" w:after="0" w:line="240" w:lineRule="atLeast"/>
              <w:rPr>
                <w:rFonts w:ascii="Times New Roman" w:hAnsi="Times New Roman" w:cs="Times New Roman"/>
                <w:snapToGrid w:val="0"/>
                <w:lang w:val="fr-CH"/>
              </w:rPr>
            </w:pPr>
          </w:p>
          <w:p w:rsidR="00E62788" w:rsidRPr="00E62788" w:rsidRDefault="00E62788" w:rsidP="00E62788">
            <w:pPr>
              <w:suppressAutoHyphens/>
              <w:spacing w:before="120" w:after="0" w:line="240" w:lineRule="atLeast"/>
              <w:rPr>
                <w:rFonts w:ascii="Times New Roman" w:hAnsi="Times New Roman" w:cs="Times New Roman"/>
                <w:snapToGrid w:val="0"/>
                <w:lang w:val="en-GB"/>
              </w:rPr>
            </w:pPr>
            <w:r w:rsidRPr="00E62788">
              <w:rPr>
                <w:rFonts w:ascii="Times New Roman" w:hAnsi="Times New Roman" w:cs="Times New Roman"/>
                <w:snapToGrid w:val="0"/>
                <w:lang w:val="en-GB"/>
              </w:rPr>
              <w:t>Français</w:t>
            </w:r>
          </w:p>
          <w:p w:rsidR="00E62788" w:rsidRPr="00E62788" w:rsidRDefault="00E62788" w:rsidP="00E62788">
            <w:pPr>
              <w:suppressAutoHyphens/>
              <w:spacing w:before="120" w:after="0" w:line="240" w:lineRule="atLeast"/>
              <w:rPr>
                <w:rFonts w:ascii="Times New Roman" w:hAnsi="Times New Roman" w:cs="Times New Roman"/>
                <w:snapToGrid w:val="0"/>
                <w:lang w:val="en-GB"/>
              </w:rPr>
            </w:pPr>
            <w:r>
              <w:rPr>
                <w:rFonts w:ascii="Times New Roman" w:hAnsi="Times New Roman" w:cs="Times New Roman"/>
                <w:snapToGrid w:val="0"/>
                <w:lang w:val="en-GB"/>
              </w:rPr>
              <w:t>19</w:t>
            </w:r>
            <w:r w:rsidRPr="00E62788">
              <w:rPr>
                <w:rFonts w:ascii="Times New Roman" w:hAnsi="Times New Roman" w:cs="Times New Roman"/>
                <w:snapToGrid w:val="0"/>
                <w:lang w:val="en-GB"/>
              </w:rPr>
              <w:t xml:space="preserve"> janvier 2017</w:t>
            </w:r>
          </w:p>
        </w:tc>
      </w:tr>
    </w:tbl>
    <w:bookmarkEnd w:id="0"/>
    <w:bookmarkEnd w:id="1"/>
    <w:p w:rsidR="00E20B57" w:rsidRPr="00C6122A" w:rsidRDefault="00E62788" w:rsidP="00E62788">
      <w:pPr>
        <w:pStyle w:val="HChG"/>
        <w:rPr>
          <w:b w:val="0"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E01B85" w:rsidRPr="00C6122A">
        <w:rPr>
          <w:lang w:val="fr-FR"/>
        </w:rPr>
        <w:t xml:space="preserve">Utilisation du courant électrique terrestre pour les bâtiments transportant des matières </w:t>
      </w:r>
      <w:r w:rsidR="00E01B85" w:rsidRPr="00E62788">
        <w:rPr>
          <w:lang w:val="fr-CH" w:eastAsia="en-US"/>
        </w:rPr>
        <w:t>dangereuses</w:t>
      </w:r>
      <w:r w:rsidR="00DF6EF7" w:rsidRPr="00C6122A">
        <w:rPr>
          <w:lang w:val="fr-FR"/>
        </w:rPr>
        <w:t xml:space="preserve"> -</w:t>
      </w:r>
      <w:r w:rsidR="00A83BBA" w:rsidRPr="00C6122A">
        <w:rPr>
          <w:lang w:val="fr-FR"/>
        </w:rPr>
        <w:t xml:space="preserve"> </w:t>
      </w:r>
      <w:r w:rsidR="00CC6FFA" w:rsidRPr="00C6122A">
        <w:rPr>
          <w:lang w:val="fr-FR"/>
        </w:rPr>
        <w:t xml:space="preserve">Exigences </w:t>
      </w:r>
      <w:r w:rsidR="00E20B57" w:rsidRPr="00C6122A">
        <w:rPr>
          <w:lang w:val="fr-FR"/>
        </w:rPr>
        <w:t xml:space="preserve">applicables au branchement et au câble de raccordement entre le bateau et la terre </w:t>
      </w:r>
    </w:p>
    <w:p w:rsidR="00560C1C" w:rsidRPr="00C6122A" w:rsidRDefault="00E62788" w:rsidP="00E62788">
      <w:pPr>
        <w:pStyle w:val="H1G"/>
        <w:rPr>
          <w:b w:val="0"/>
          <w:szCs w:val="24"/>
          <w:lang w:val="fr-FR" w:eastAsia="en-US"/>
        </w:rPr>
      </w:pPr>
      <w:r>
        <w:rPr>
          <w:szCs w:val="24"/>
          <w:lang w:val="fr-FR" w:eastAsia="en-US"/>
        </w:rPr>
        <w:tab/>
      </w:r>
      <w:r>
        <w:rPr>
          <w:szCs w:val="24"/>
          <w:lang w:val="fr-FR" w:eastAsia="en-US"/>
        </w:rPr>
        <w:tab/>
      </w:r>
      <w:r w:rsidR="00A83BBA" w:rsidRPr="00C6122A">
        <w:rPr>
          <w:szCs w:val="24"/>
          <w:lang w:val="fr-FR" w:eastAsia="en-US"/>
        </w:rPr>
        <w:t xml:space="preserve">Soumis par la </w:t>
      </w:r>
      <w:r w:rsidR="00A83BBA" w:rsidRPr="00E62788">
        <w:rPr>
          <w:lang w:val="fr-CH" w:eastAsia="en-US"/>
        </w:rPr>
        <w:t>Commission</w:t>
      </w:r>
      <w:r w:rsidR="00A83BBA" w:rsidRPr="00C6122A">
        <w:rPr>
          <w:szCs w:val="24"/>
          <w:lang w:val="fr-FR" w:eastAsia="en-US"/>
        </w:rPr>
        <w:t xml:space="preserve"> Centrale pour la Navigation du Rhin</w:t>
      </w:r>
    </w:p>
    <w:p w:rsidR="0071605E" w:rsidRPr="00C338BF" w:rsidRDefault="00BD48FE" w:rsidP="00CD7651">
      <w:pPr>
        <w:pStyle w:val="HChG"/>
        <w:rPr>
          <w:caps/>
          <w:szCs w:val="24"/>
        </w:rPr>
      </w:pPr>
      <w:r>
        <w:tab/>
      </w:r>
      <w:r>
        <w:tab/>
      </w:r>
      <w:r w:rsidR="0071605E">
        <w:t>Introduction</w:t>
      </w:r>
    </w:p>
    <w:p w:rsidR="00CC6FFA" w:rsidRPr="00BD48FE" w:rsidRDefault="00BD48FE" w:rsidP="00CD7651">
      <w:pPr>
        <w:pStyle w:val="SingleTxtG"/>
        <w:tabs>
          <w:tab w:val="left" w:pos="1701"/>
        </w:tabs>
        <w:rPr>
          <w:lang w:val="fr-CH"/>
        </w:rPr>
      </w:pPr>
      <w:r w:rsidRPr="00BD48FE">
        <w:rPr>
          <w:lang w:val="fr-CH"/>
        </w:rPr>
        <w:t>1.</w:t>
      </w:r>
      <w:r w:rsidRPr="00BD48FE">
        <w:rPr>
          <w:lang w:val="fr-CH"/>
        </w:rPr>
        <w:tab/>
      </w:r>
      <w:r w:rsidR="002B1D32" w:rsidRPr="00BD48FE">
        <w:rPr>
          <w:lang w:val="fr-CH"/>
        </w:rPr>
        <w:t>L</w:t>
      </w:r>
      <w:r w:rsidR="00A83BBA" w:rsidRPr="00BD48FE">
        <w:rPr>
          <w:lang w:val="fr-CH"/>
        </w:rPr>
        <w:t>a</w:t>
      </w:r>
      <w:r w:rsidR="002B1D32" w:rsidRPr="00BD48FE">
        <w:rPr>
          <w:lang w:val="fr-CH"/>
        </w:rPr>
        <w:t xml:space="preserve"> </w:t>
      </w:r>
      <w:r w:rsidR="00A83BBA" w:rsidRPr="00BD48FE">
        <w:rPr>
          <w:lang w:val="fr-CH"/>
        </w:rPr>
        <w:t xml:space="preserve">Commission Centrale pour la </w:t>
      </w:r>
      <w:r w:rsidR="00AF029E" w:rsidRPr="00BD48FE">
        <w:rPr>
          <w:lang w:val="fr-CH"/>
        </w:rPr>
        <w:t>N</w:t>
      </w:r>
      <w:r w:rsidR="00A83BBA" w:rsidRPr="00BD48FE">
        <w:rPr>
          <w:lang w:val="fr-CH"/>
        </w:rPr>
        <w:t>avigation du Rhin</w:t>
      </w:r>
      <w:r w:rsidR="00485E20" w:rsidRPr="00BD48FE">
        <w:rPr>
          <w:lang w:val="fr-CH"/>
        </w:rPr>
        <w:t xml:space="preserve"> </w:t>
      </w:r>
      <w:r w:rsidR="00DF6EF7" w:rsidRPr="00BD48FE">
        <w:rPr>
          <w:lang w:val="fr-CH"/>
        </w:rPr>
        <w:t>examine les conditions ré</w:t>
      </w:r>
      <w:r w:rsidR="00485E20" w:rsidRPr="00BD48FE">
        <w:rPr>
          <w:lang w:val="fr-CH"/>
        </w:rPr>
        <w:t>glementaire</w:t>
      </w:r>
      <w:r w:rsidR="00DF6EF7" w:rsidRPr="00BD48FE">
        <w:rPr>
          <w:lang w:val="fr-CH"/>
        </w:rPr>
        <w:t>s</w:t>
      </w:r>
      <w:r w:rsidR="00485E20" w:rsidRPr="00BD48FE">
        <w:rPr>
          <w:lang w:val="fr-CH"/>
        </w:rPr>
        <w:t xml:space="preserve"> d’une obligation de raccordement aux aires de stationnement équipées d’une connexion au réseau électr</w:t>
      </w:r>
      <w:r w:rsidR="00DF6EF7" w:rsidRPr="00BD48FE">
        <w:rPr>
          <w:lang w:val="fr-CH"/>
        </w:rPr>
        <w:t>ique terrestre.</w:t>
      </w:r>
    </w:p>
    <w:p w:rsidR="0071605E" w:rsidRPr="00BD48FE" w:rsidRDefault="00BD48FE" w:rsidP="00CD7651">
      <w:pPr>
        <w:pStyle w:val="HChG"/>
        <w:rPr>
          <w:lang w:val="fr-CH"/>
        </w:rPr>
      </w:pPr>
      <w:r>
        <w:tab/>
      </w:r>
      <w:r>
        <w:tab/>
      </w:r>
      <w:r w:rsidR="0071605E" w:rsidRPr="00BD48FE">
        <w:rPr>
          <w:lang w:val="fr-CH"/>
        </w:rPr>
        <w:t>Contexte</w:t>
      </w:r>
    </w:p>
    <w:p w:rsidR="0095121E" w:rsidRPr="00BD48FE" w:rsidRDefault="00BD48FE" w:rsidP="00CD7651">
      <w:pPr>
        <w:pStyle w:val="SingleTxtG"/>
        <w:tabs>
          <w:tab w:val="left" w:pos="1701"/>
        </w:tabs>
        <w:rPr>
          <w:lang w:val="fr-CH"/>
        </w:rPr>
      </w:pPr>
      <w:r>
        <w:rPr>
          <w:lang w:val="fr-FR" w:eastAsia="en-US"/>
        </w:rPr>
        <w:t>2.</w:t>
      </w:r>
      <w:r>
        <w:rPr>
          <w:lang w:val="fr-FR" w:eastAsia="en-US"/>
        </w:rPr>
        <w:tab/>
      </w:r>
      <w:r w:rsidR="0095121E" w:rsidRPr="00A83BBA">
        <w:rPr>
          <w:lang w:val="fr-FR" w:eastAsia="en-US"/>
        </w:rPr>
        <w:t xml:space="preserve">Les bâtiments doivent respecter les prescriptions techniques du </w:t>
      </w:r>
      <w:r w:rsidR="00A83BBA" w:rsidRPr="00A83BBA">
        <w:rPr>
          <w:lang w:val="fr-FR" w:eastAsia="en-US"/>
        </w:rPr>
        <w:t xml:space="preserve">Règlement de </w:t>
      </w:r>
      <w:r w:rsidR="00AF029E">
        <w:rPr>
          <w:lang w:val="fr-FR" w:eastAsia="en-US"/>
        </w:rPr>
        <w:t>V</w:t>
      </w:r>
      <w:r w:rsidR="00A83BBA" w:rsidRPr="00A83BBA">
        <w:rPr>
          <w:lang w:val="fr-FR" w:eastAsia="en-US"/>
        </w:rPr>
        <w:t xml:space="preserve">isite des </w:t>
      </w:r>
      <w:r w:rsidR="00AF029E">
        <w:rPr>
          <w:lang w:val="fr-FR" w:eastAsia="en-US"/>
        </w:rPr>
        <w:t>B</w:t>
      </w:r>
      <w:r w:rsidR="00A83BBA" w:rsidRPr="00A83BBA">
        <w:rPr>
          <w:lang w:val="fr-FR" w:eastAsia="en-US"/>
        </w:rPr>
        <w:t xml:space="preserve">ateaux du </w:t>
      </w:r>
      <w:r w:rsidR="00A83BBA" w:rsidRPr="00BD48FE">
        <w:rPr>
          <w:lang w:val="fr-CH"/>
        </w:rPr>
        <w:t>Rhin</w:t>
      </w:r>
      <w:r w:rsidR="00A02DEA" w:rsidRPr="00BD48FE">
        <w:rPr>
          <w:lang w:val="fr-CH"/>
        </w:rPr>
        <w:t xml:space="preserve"> (RVBR)</w:t>
      </w:r>
      <w:r w:rsidR="0095121E" w:rsidRPr="00BD48FE">
        <w:rPr>
          <w:lang w:val="fr-CH"/>
        </w:rPr>
        <w:t>, en particulier l’article 9.08 portant sur le branchement à la rive ou à d'autres réseaux externes.</w:t>
      </w:r>
      <w:r w:rsidR="0030690F" w:rsidRPr="00BD48FE">
        <w:rPr>
          <w:lang w:val="fr-CH"/>
        </w:rPr>
        <w:t xml:space="preserve"> Le chiffre 1 de cet article précise « </w:t>
      </w:r>
      <w:r w:rsidR="00C150A1" w:rsidRPr="00BD48FE">
        <w:rPr>
          <w:lang w:val="fr-CH"/>
        </w:rPr>
        <w:t>Les câbles d'alimentation venant de réseaux de terre ou d'autres réseaux externes vers des installations du réseau de bord doivent avoir un raccordement fixe à bord à l'aide de bornes fixes ou de dispositifs de prises de courant fixes. Les connexions des câbles ne doivent pas pouvoir être sollicitées à la traction.</w:t>
      </w:r>
      <w:r w:rsidR="0030690F" w:rsidRPr="00BD48FE">
        <w:rPr>
          <w:lang w:val="fr-CH"/>
        </w:rPr>
        <w:t> »</w:t>
      </w:r>
    </w:p>
    <w:p w:rsidR="00D95988" w:rsidRPr="00BD48FE" w:rsidRDefault="00BD48FE" w:rsidP="00CD7651">
      <w:pPr>
        <w:pStyle w:val="SingleTxtG"/>
        <w:tabs>
          <w:tab w:val="left" w:pos="1701"/>
        </w:tabs>
        <w:rPr>
          <w:lang w:val="fr-CH"/>
        </w:rPr>
      </w:pPr>
      <w:r>
        <w:rPr>
          <w:lang w:val="fr-CH"/>
        </w:rPr>
        <w:t>3.</w:t>
      </w:r>
      <w:r>
        <w:rPr>
          <w:lang w:val="fr-CH"/>
        </w:rPr>
        <w:tab/>
      </w:r>
      <w:r w:rsidR="00485E20" w:rsidRPr="00BD48FE">
        <w:rPr>
          <w:lang w:val="fr-CH"/>
        </w:rPr>
        <w:t>Les bâtiments transportant des ma</w:t>
      </w:r>
      <w:r w:rsidR="00AF029E" w:rsidRPr="00BD48FE">
        <w:rPr>
          <w:lang w:val="fr-CH"/>
        </w:rPr>
        <w:t>rchandises</w:t>
      </w:r>
      <w:r w:rsidR="00485E20" w:rsidRPr="00BD48FE">
        <w:rPr>
          <w:lang w:val="fr-CH"/>
        </w:rPr>
        <w:t xml:space="preserve"> dangereuses doivent respecter les prescriptions du règlement annexé à l’accord ADN. Ce règlement prévoit plusieurs dispositions applicables à l’utilisation de câbles électriques. En résumé, </w:t>
      </w:r>
      <w:r w:rsidR="00CC6FFA" w:rsidRPr="00BD48FE">
        <w:rPr>
          <w:lang w:val="fr-CH"/>
        </w:rPr>
        <w:t xml:space="preserve">en application de l’ADN, </w:t>
      </w:r>
      <w:r w:rsidR="00485E20" w:rsidRPr="00BD48FE">
        <w:rPr>
          <w:lang w:val="fr-CH"/>
        </w:rPr>
        <w:t>l’utilisation de câbles électriques mobiles est interdite dans la zone de cargaison</w:t>
      </w:r>
      <w:r w:rsidR="00BF0012" w:rsidRPr="00BD48FE">
        <w:rPr>
          <w:lang w:val="fr-CH"/>
        </w:rPr>
        <w:t xml:space="preserve"> ou zone protégée</w:t>
      </w:r>
      <w:r w:rsidR="00E20B57" w:rsidRPr="00BD48FE">
        <w:rPr>
          <w:lang w:val="fr-CH"/>
        </w:rPr>
        <w:t xml:space="preserve"> </w:t>
      </w:r>
      <w:r w:rsidR="00AB3E60" w:rsidRPr="00BD48FE">
        <w:rPr>
          <w:lang w:val="fr-CH"/>
        </w:rPr>
        <w:t>sauf exception</w:t>
      </w:r>
      <w:r w:rsidR="00485E20" w:rsidRPr="00BD48FE">
        <w:rPr>
          <w:lang w:val="fr-CH"/>
        </w:rPr>
        <w:t xml:space="preserve">. </w:t>
      </w:r>
    </w:p>
    <w:p w:rsidR="00C150A1" w:rsidRPr="001006EA" w:rsidRDefault="00BD48FE" w:rsidP="00CD7651">
      <w:pPr>
        <w:pStyle w:val="SingleTxtG"/>
        <w:tabs>
          <w:tab w:val="left" w:pos="1701"/>
        </w:tabs>
        <w:rPr>
          <w:lang w:val="fr-FR" w:eastAsia="en-US"/>
        </w:rPr>
      </w:pPr>
      <w:r>
        <w:rPr>
          <w:lang w:val="fr-CH"/>
        </w:rPr>
        <w:t>4.</w:t>
      </w:r>
      <w:r>
        <w:rPr>
          <w:lang w:val="fr-CH"/>
        </w:rPr>
        <w:tab/>
      </w:r>
      <w:r w:rsidR="00E20B57" w:rsidRPr="00BD48FE">
        <w:rPr>
          <w:lang w:val="fr-CH"/>
        </w:rPr>
        <w:t>Ces dispositions</w:t>
      </w:r>
      <w:r w:rsidR="00C150A1" w:rsidRPr="00BD48FE">
        <w:rPr>
          <w:lang w:val="fr-CH"/>
        </w:rPr>
        <w:t xml:space="preserve"> r</w:t>
      </w:r>
      <w:r w:rsidR="005B4B36" w:rsidRPr="00BD48FE">
        <w:rPr>
          <w:lang w:val="fr-CH"/>
        </w:rPr>
        <w:t>é</w:t>
      </w:r>
      <w:r w:rsidR="00C150A1" w:rsidRPr="00BD48FE">
        <w:rPr>
          <w:lang w:val="fr-CH"/>
        </w:rPr>
        <w:t>glementaires (ADN, RVBR)</w:t>
      </w:r>
      <w:r w:rsidR="00485E20" w:rsidRPr="00BD48FE">
        <w:rPr>
          <w:lang w:val="fr-CH"/>
        </w:rPr>
        <w:t xml:space="preserve"> peu</w:t>
      </w:r>
      <w:r w:rsidR="00E20B57" w:rsidRPr="00BD48FE">
        <w:rPr>
          <w:lang w:val="fr-CH"/>
        </w:rPr>
        <w:t>ven</w:t>
      </w:r>
      <w:r w:rsidR="00485E20" w:rsidRPr="00BD48FE">
        <w:rPr>
          <w:lang w:val="fr-CH"/>
        </w:rPr>
        <w:t xml:space="preserve">t poser des difficultés pratiques supplémentaires dans le raccordement </w:t>
      </w:r>
      <w:r w:rsidR="00AB3E60" w:rsidRPr="00BD48FE">
        <w:rPr>
          <w:lang w:val="fr-CH"/>
        </w:rPr>
        <w:t>au</w:t>
      </w:r>
      <w:r w:rsidR="00485E20" w:rsidRPr="00BD48FE">
        <w:rPr>
          <w:lang w:val="fr-CH"/>
        </w:rPr>
        <w:t xml:space="preserve"> </w:t>
      </w:r>
      <w:r w:rsidR="00AB3E60" w:rsidRPr="00BD48FE">
        <w:rPr>
          <w:lang w:val="fr-CH"/>
        </w:rPr>
        <w:t>réseau</w:t>
      </w:r>
      <w:r w:rsidR="00485E20" w:rsidRPr="001006EA">
        <w:rPr>
          <w:lang w:val="fr-FR" w:eastAsia="en-US"/>
        </w:rPr>
        <w:t xml:space="preserve"> électrique terrestre.</w:t>
      </w:r>
    </w:p>
    <w:p w:rsidR="00956B31" w:rsidRPr="00AF029E" w:rsidRDefault="00956B31" w:rsidP="00CD7651">
      <w:pPr>
        <w:pStyle w:val="SingleTxtG"/>
        <w:tabs>
          <w:tab w:val="left" w:pos="2268"/>
        </w:tabs>
        <w:ind w:firstLine="567"/>
      </w:pPr>
      <w:r w:rsidRPr="00BD48FE">
        <w:rPr>
          <w:lang w:val="fr-CH"/>
        </w:rPr>
        <w:t>a)</w:t>
      </w:r>
      <w:r w:rsidR="005B4B36" w:rsidRPr="00BD48FE">
        <w:rPr>
          <w:lang w:val="fr-CH"/>
        </w:rPr>
        <w:tab/>
      </w:r>
      <w:r w:rsidRPr="00BD48FE">
        <w:rPr>
          <w:lang w:val="fr-CH"/>
        </w:rPr>
        <w:t xml:space="preserve">Le passage de câble du bateau au quai est un point délicat. </w:t>
      </w:r>
      <w:r w:rsidRPr="00AF029E">
        <w:t>Lors de ce passage, un risque de traction sur le câble doit être évité. De même</w:t>
      </w:r>
      <w:r w:rsidR="005B4B36" w:rsidRPr="00AF029E">
        <w:t>,</w:t>
      </w:r>
      <w:r w:rsidRPr="00AF029E">
        <w:t xml:space="preserve"> ce point de passage ne doit pas se trouver dans la zone de cargaison ou la zone protégée pour les bâtiments transportant des matières dangereuses.</w:t>
      </w:r>
    </w:p>
    <w:p w:rsidR="00C150A1" w:rsidRPr="00AF029E" w:rsidRDefault="00956B31" w:rsidP="00CD7651">
      <w:pPr>
        <w:pStyle w:val="SingleTxtG"/>
        <w:tabs>
          <w:tab w:val="left" w:pos="2268"/>
        </w:tabs>
        <w:ind w:firstLine="567"/>
      </w:pPr>
      <w:r w:rsidRPr="00BD48FE">
        <w:rPr>
          <w:lang w:val="fr-CH"/>
        </w:rPr>
        <w:lastRenderedPageBreak/>
        <w:t>b</w:t>
      </w:r>
      <w:r w:rsidR="00C150A1" w:rsidRPr="00BD48FE">
        <w:rPr>
          <w:lang w:val="fr-CH"/>
        </w:rPr>
        <w:t>)</w:t>
      </w:r>
      <w:r w:rsidR="005B4B36" w:rsidRPr="00BD48FE">
        <w:rPr>
          <w:lang w:val="fr-CH"/>
        </w:rPr>
        <w:tab/>
      </w:r>
      <w:r w:rsidR="00C150A1" w:rsidRPr="00BD48FE">
        <w:rPr>
          <w:lang w:val="fr-CH"/>
        </w:rPr>
        <w:t>L</w:t>
      </w:r>
      <w:r w:rsidR="00D95988" w:rsidRPr="00BD48FE">
        <w:rPr>
          <w:lang w:val="fr-CH"/>
        </w:rPr>
        <w:t xml:space="preserve">orsque les connexions à terre ne sont pas en face des connexions à bord, un câble doit courir le long du bateau. </w:t>
      </w:r>
      <w:r w:rsidR="00D95988" w:rsidRPr="00AF029E">
        <w:t>Ce câble peut se trouver soit sur le quai soit sur le pont du bateau. Compte tenu des prescriptions actuelles de l'ADN,</w:t>
      </w:r>
      <w:r w:rsidR="00202DB8" w:rsidRPr="00AF029E">
        <w:t xml:space="preserve"> ce câble doit courir sur le qua</w:t>
      </w:r>
      <w:r w:rsidR="00D95988" w:rsidRPr="00AF029E">
        <w:t>i</w:t>
      </w:r>
      <w:r w:rsidR="00202DB8" w:rsidRPr="00AF029E">
        <w:t xml:space="preserve"> et </w:t>
      </w:r>
      <w:r w:rsidR="0030690F" w:rsidRPr="00AF029E">
        <w:t>rejoindre</w:t>
      </w:r>
      <w:r w:rsidR="00202DB8" w:rsidRPr="00AF029E">
        <w:t xml:space="preserve"> l’avant ou l’arrière du bateau (en dehors de la zone de cargaison)</w:t>
      </w:r>
      <w:r w:rsidR="00D95988" w:rsidRPr="00AF029E">
        <w:t>.</w:t>
      </w:r>
      <w:r w:rsidR="00E1454B" w:rsidRPr="00AF029E">
        <w:t xml:space="preserve"> </w:t>
      </w:r>
    </w:p>
    <w:p w:rsidR="00E20B57" w:rsidRPr="00BD48FE" w:rsidRDefault="00BD48FE" w:rsidP="00CD7651">
      <w:pPr>
        <w:pStyle w:val="SingleTxtG"/>
        <w:tabs>
          <w:tab w:val="left" w:pos="1701"/>
        </w:tabs>
        <w:rPr>
          <w:lang w:val="fr-CH"/>
        </w:rPr>
      </w:pPr>
      <w:r w:rsidRPr="00BD48FE">
        <w:rPr>
          <w:lang w:val="fr-CH"/>
        </w:rPr>
        <w:t>5.</w:t>
      </w:r>
      <w:r w:rsidRPr="00BD48FE">
        <w:rPr>
          <w:lang w:val="fr-CH"/>
        </w:rPr>
        <w:tab/>
      </w:r>
      <w:r w:rsidR="00E20B57" w:rsidRPr="00BD48FE">
        <w:rPr>
          <w:lang w:val="fr-CH"/>
        </w:rPr>
        <w:t>Pour diminuer ces difficultés pratiques, une possibilité serait de rajouter une exception dans la liste définie aux  articles 7.</w:t>
      </w:r>
      <w:r w:rsidR="001006EA" w:rsidRPr="00BD48FE">
        <w:rPr>
          <w:lang w:val="fr-CH"/>
        </w:rPr>
        <w:t>X</w:t>
      </w:r>
      <w:r w:rsidR="00E20B57" w:rsidRPr="00BD48FE">
        <w:rPr>
          <w:lang w:val="fr-CH"/>
        </w:rPr>
        <w:t>.3.51.2 et 9.3.</w:t>
      </w:r>
      <w:r w:rsidR="001006EA" w:rsidRPr="00BD48FE">
        <w:rPr>
          <w:lang w:val="fr-CH"/>
        </w:rPr>
        <w:t>X</w:t>
      </w:r>
      <w:r w:rsidR="00E20B57" w:rsidRPr="00BD48FE">
        <w:rPr>
          <w:lang w:val="fr-CH"/>
        </w:rPr>
        <w:t>.56</w:t>
      </w:r>
      <w:r w:rsidR="001006EA" w:rsidRPr="00BD48FE">
        <w:rPr>
          <w:lang w:val="fr-CH"/>
        </w:rPr>
        <w:t>.3</w:t>
      </w:r>
      <w:r w:rsidR="00E20B57" w:rsidRPr="00BD48FE">
        <w:rPr>
          <w:lang w:val="fr-CH"/>
        </w:rPr>
        <w:t xml:space="preserve"> de l’ADN.</w:t>
      </w:r>
    </w:p>
    <w:p w:rsidR="00A65E44" w:rsidRDefault="00BD48FE" w:rsidP="00CD7651">
      <w:pPr>
        <w:pStyle w:val="SingleTxtG"/>
        <w:tabs>
          <w:tab w:val="left" w:pos="1701"/>
        </w:tabs>
        <w:rPr>
          <w:lang w:val="fr-FR" w:eastAsia="en-US"/>
        </w:rPr>
      </w:pPr>
      <w:r>
        <w:rPr>
          <w:lang w:val="fr-FR" w:eastAsia="en-US"/>
        </w:rPr>
        <w:t>6.</w:t>
      </w:r>
      <w:r>
        <w:rPr>
          <w:lang w:val="fr-FR" w:eastAsia="en-US"/>
        </w:rPr>
        <w:tab/>
      </w:r>
      <w:r w:rsidR="004123B1" w:rsidRPr="001006EA">
        <w:rPr>
          <w:lang w:val="fr-FR" w:eastAsia="en-US"/>
        </w:rPr>
        <w:t xml:space="preserve">Les conditions de l’exception doivent permettre de prévenir le risque principal, à savoir la formation </w:t>
      </w:r>
      <w:r w:rsidR="00DF6EF7" w:rsidRPr="001006EA">
        <w:rPr>
          <w:lang w:val="fr-FR" w:eastAsia="en-US"/>
        </w:rPr>
        <w:t>d’</w:t>
      </w:r>
      <w:r w:rsidR="004123B1" w:rsidRPr="001006EA">
        <w:rPr>
          <w:lang w:val="fr-FR" w:eastAsia="en-US"/>
        </w:rPr>
        <w:t xml:space="preserve">étincelles au niveau du branchement lors de la connexion/déconnexion du câble. Pour limiter les risques, le </w:t>
      </w:r>
      <w:r w:rsidR="004123B1" w:rsidRPr="00BD48FE">
        <w:rPr>
          <w:lang w:val="fr-CH"/>
        </w:rPr>
        <w:t>branchement</w:t>
      </w:r>
      <w:r w:rsidR="004123B1" w:rsidRPr="001006EA">
        <w:rPr>
          <w:lang w:val="fr-FR" w:eastAsia="en-US"/>
        </w:rPr>
        <w:t xml:space="preserve"> du câble de raccordement au réseau électrique du bat</w:t>
      </w:r>
      <w:r w:rsidR="00DF6EF7" w:rsidRPr="001006EA">
        <w:rPr>
          <w:lang w:val="fr-FR" w:eastAsia="en-US"/>
        </w:rPr>
        <w:t xml:space="preserve">eau devrait se faire en dehors </w:t>
      </w:r>
      <w:r w:rsidR="004123B1" w:rsidRPr="001006EA">
        <w:rPr>
          <w:lang w:val="fr-FR" w:eastAsia="en-US"/>
        </w:rPr>
        <w:t>de la zone de cargaison</w:t>
      </w:r>
      <w:r w:rsidR="00BF0012" w:rsidRPr="001006EA">
        <w:rPr>
          <w:lang w:val="fr-FR" w:eastAsia="en-US"/>
        </w:rPr>
        <w:t xml:space="preserve"> ou zone protégée</w:t>
      </w:r>
      <w:r w:rsidR="004123B1" w:rsidRPr="001006EA">
        <w:rPr>
          <w:lang w:val="fr-FR" w:eastAsia="en-US"/>
        </w:rPr>
        <w:t>. </w:t>
      </w:r>
      <w:r w:rsidR="00A6254A" w:rsidRPr="001006EA">
        <w:rPr>
          <w:lang w:val="fr-FR" w:eastAsia="en-US"/>
        </w:rPr>
        <w:t xml:space="preserve">La </w:t>
      </w:r>
      <w:r w:rsidR="00245004" w:rsidRPr="001006EA">
        <w:rPr>
          <w:lang w:val="fr-FR" w:eastAsia="en-US"/>
        </w:rPr>
        <w:t>modification</w:t>
      </w:r>
      <w:r w:rsidR="00A6254A" w:rsidRPr="001006EA">
        <w:rPr>
          <w:lang w:val="fr-FR" w:eastAsia="en-US"/>
        </w:rPr>
        <w:t xml:space="preserve"> suivante pourrait être </w:t>
      </w:r>
      <w:r w:rsidR="00245004" w:rsidRPr="001006EA">
        <w:rPr>
          <w:lang w:val="fr-FR" w:eastAsia="en-US"/>
        </w:rPr>
        <w:t xml:space="preserve">discutée par les experts du Comité de Sécurité de l’ADN et </w:t>
      </w:r>
      <w:r w:rsidR="00A6254A" w:rsidRPr="001006EA">
        <w:rPr>
          <w:lang w:val="fr-FR" w:eastAsia="en-US"/>
        </w:rPr>
        <w:t>introduite dans l’ADN</w:t>
      </w:r>
      <w:r w:rsidR="00480BBB" w:rsidRPr="001006EA">
        <w:rPr>
          <w:lang w:val="fr-FR" w:eastAsia="en-US"/>
        </w:rPr>
        <w:t xml:space="preserve"> </w:t>
      </w:r>
      <w:r w:rsidR="004123B1" w:rsidRPr="001006EA">
        <w:rPr>
          <w:lang w:val="fr-FR" w:eastAsia="en-US"/>
        </w:rPr>
        <w:t xml:space="preserve">: </w:t>
      </w:r>
    </w:p>
    <w:p w:rsidR="004123B1" w:rsidRPr="00BD48FE" w:rsidRDefault="004123B1" w:rsidP="00CD7651">
      <w:pPr>
        <w:autoSpaceDE w:val="0"/>
        <w:autoSpaceDN w:val="0"/>
        <w:adjustRightInd w:val="0"/>
        <w:spacing w:after="120" w:line="240" w:lineRule="atLeast"/>
        <w:ind w:left="1134" w:right="1134"/>
        <w:jc w:val="both"/>
        <w:rPr>
          <w:rFonts w:ascii="TimesNewRomanPSMT" w:hAnsi="TimesNewRomanPSMT" w:cs="TimesNewRomanPSMT"/>
          <w:i/>
          <w:lang w:val="fr-FR"/>
        </w:rPr>
      </w:pPr>
      <w:r w:rsidRPr="00BD48FE">
        <w:rPr>
          <w:rFonts w:ascii="TimesNewRomanPSMT" w:hAnsi="TimesNewRomanPSMT" w:cs="TimesNewRomanPSMT"/>
          <w:i/>
          <w:lang w:val="fr-FR"/>
        </w:rPr>
        <w:t>« 7.</w:t>
      </w:r>
      <w:r w:rsidR="00A6254A" w:rsidRPr="00BD48FE">
        <w:rPr>
          <w:rFonts w:ascii="TimesNewRomanPSMT" w:hAnsi="TimesNewRomanPSMT" w:cs="TimesNewRomanPSMT"/>
          <w:i/>
          <w:lang w:val="fr-FR"/>
        </w:rPr>
        <w:t>X</w:t>
      </w:r>
      <w:r w:rsidR="00D05C8D" w:rsidRPr="00BD48FE">
        <w:rPr>
          <w:rFonts w:ascii="TimesNewRomanPSMT" w:hAnsi="TimesNewRomanPSMT" w:cs="TimesNewRomanPSMT"/>
          <w:i/>
          <w:lang w:val="fr-FR"/>
        </w:rPr>
        <w:t>.3.51.2</w:t>
      </w:r>
      <w:r w:rsidR="00D05C8D" w:rsidRPr="00BD48FE">
        <w:rPr>
          <w:rFonts w:ascii="TimesNewRomanPSMT" w:hAnsi="TimesNewRomanPSMT" w:cs="TimesNewRomanPSMT"/>
          <w:i/>
          <w:lang w:val="fr-FR"/>
        </w:rPr>
        <w:tab/>
      </w:r>
      <w:r w:rsidRPr="00BD48FE">
        <w:rPr>
          <w:rFonts w:ascii="TimesNewRomanPSMT" w:hAnsi="TimesNewRomanPSMT" w:cs="TimesNewRomanPSMT"/>
          <w:i/>
          <w:lang w:val="fr-FR"/>
        </w:rPr>
        <w:t>Il est interdit d'utiliser des câbles électriques mobiles dans la zone de cargaison.</w:t>
      </w:r>
    </w:p>
    <w:p w:rsidR="004123B1" w:rsidRPr="00BD48FE" w:rsidRDefault="004123B1" w:rsidP="00CD7651">
      <w:pPr>
        <w:autoSpaceDE w:val="0"/>
        <w:autoSpaceDN w:val="0"/>
        <w:adjustRightInd w:val="0"/>
        <w:spacing w:after="120" w:line="240" w:lineRule="atLeast"/>
        <w:ind w:left="1701" w:right="1134" w:hanging="567"/>
        <w:jc w:val="both"/>
        <w:rPr>
          <w:rFonts w:ascii="TimesNewRomanPSMT" w:hAnsi="TimesNewRomanPSMT" w:cs="TimesNewRomanPSMT"/>
          <w:i/>
          <w:lang w:val="fr-FR"/>
        </w:rPr>
      </w:pPr>
      <w:r w:rsidRPr="00BD48FE">
        <w:rPr>
          <w:rFonts w:ascii="TimesNewRomanPSMT" w:hAnsi="TimesNewRomanPSMT" w:cs="TimesNewRomanPSMT"/>
          <w:i/>
          <w:lang w:val="fr-FR"/>
        </w:rPr>
        <w:t>Cette prescription ne s'applique pas</w:t>
      </w:r>
      <w:r w:rsidR="00902626" w:rsidRPr="00BD48FE">
        <w:rPr>
          <w:rFonts w:ascii="TimesNewRomanPSMT" w:hAnsi="TimesNewRomanPSMT" w:cs="TimesNewRomanPSMT"/>
          <w:i/>
          <w:lang w:val="fr-FR"/>
        </w:rPr>
        <w:t xml:space="preserve"> </w:t>
      </w:r>
      <w:r w:rsidRPr="00BD48FE">
        <w:rPr>
          <w:rFonts w:ascii="TimesNewRomanPSMT" w:hAnsi="TimesNewRomanPSMT" w:cs="TimesNewRomanPSMT"/>
          <w:i/>
          <w:lang w:val="fr-FR"/>
        </w:rPr>
        <w:t>:</w:t>
      </w:r>
    </w:p>
    <w:p w:rsidR="004123B1" w:rsidRPr="00BD48FE" w:rsidRDefault="004123B1" w:rsidP="00CD7651">
      <w:pPr>
        <w:autoSpaceDE w:val="0"/>
        <w:autoSpaceDN w:val="0"/>
        <w:adjustRightInd w:val="0"/>
        <w:spacing w:after="120" w:line="240" w:lineRule="atLeast"/>
        <w:ind w:left="2127" w:right="1134" w:hanging="567"/>
        <w:jc w:val="both"/>
        <w:rPr>
          <w:rFonts w:ascii="TimesNewRomanPSMT" w:hAnsi="TimesNewRomanPSMT" w:cs="TimesNewRomanPSMT"/>
          <w:i/>
          <w:lang w:val="fr-FR"/>
        </w:rPr>
      </w:pPr>
      <w:r w:rsidRPr="00BD48FE">
        <w:rPr>
          <w:rFonts w:ascii="TimesNewRomanPSMT" w:hAnsi="TimesNewRomanPSMT" w:cs="TimesNewRomanPSMT"/>
          <w:i/>
          <w:lang w:val="fr-FR"/>
        </w:rPr>
        <w:t>–</w:t>
      </w:r>
      <w:r w:rsidR="00902626" w:rsidRPr="00BD48FE">
        <w:rPr>
          <w:rFonts w:ascii="TimesNewRomanPSMT" w:hAnsi="TimesNewRomanPSMT" w:cs="TimesNewRomanPSMT"/>
          <w:i/>
          <w:lang w:val="fr-FR"/>
        </w:rPr>
        <w:tab/>
      </w:r>
      <w:r w:rsidRPr="00BD48FE">
        <w:rPr>
          <w:rFonts w:ascii="TimesNewRomanPSMT" w:hAnsi="TimesNewRomanPSMT" w:cs="TimesNewRomanPSMT"/>
          <w:i/>
          <w:lang w:val="fr-FR"/>
        </w:rPr>
        <w:t>aux circuits électriques à sécurité intrinsèque</w:t>
      </w:r>
      <w:r w:rsidR="000A1711" w:rsidRPr="00BD48FE">
        <w:rPr>
          <w:rFonts w:ascii="TimesNewRomanPSMT" w:hAnsi="TimesNewRomanPSMT" w:cs="TimesNewRomanPSMT"/>
          <w:i/>
          <w:lang w:val="fr-FR"/>
        </w:rPr>
        <w:t> </w:t>
      </w:r>
      <w:r w:rsidRPr="00BD48FE">
        <w:rPr>
          <w:rFonts w:ascii="TimesNewRomanPSMT" w:hAnsi="TimesNewRomanPSMT" w:cs="TimesNewRomanPSMT"/>
          <w:i/>
          <w:lang w:val="fr-FR"/>
        </w:rPr>
        <w:t>;</w:t>
      </w:r>
    </w:p>
    <w:p w:rsidR="004123B1" w:rsidRPr="00BD48FE" w:rsidRDefault="004123B1" w:rsidP="00CD7651">
      <w:pPr>
        <w:autoSpaceDE w:val="0"/>
        <w:autoSpaceDN w:val="0"/>
        <w:adjustRightInd w:val="0"/>
        <w:spacing w:after="120" w:line="240" w:lineRule="atLeast"/>
        <w:ind w:left="2126" w:right="1134" w:hanging="567"/>
        <w:jc w:val="both"/>
        <w:rPr>
          <w:rFonts w:ascii="TimesNewRomanPSMT" w:hAnsi="TimesNewRomanPSMT" w:cs="TimesNewRomanPSMT"/>
          <w:i/>
          <w:lang w:val="fr-FR"/>
        </w:rPr>
      </w:pPr>
      <w:r w:rsidRPr="00BD48FE">
        <w:rPr>
          <w:rFonts w:ascii="TimesNewRomanPSMT" w:hAnsi="TimesNewRomanPSMT" w:cs="TimesNewRomanPSMT"/>
          <w:i/>
          <w:lang w:val="fr-FR"/>
        </w:rPr>
        <w:t>–</w:t>
      </w:r>
      <w:r w:rsidR="00902626" w:rsidRPr="00BD48FE">
        <w:rPr>
          <w:rFonts w:ascii="TimesNewRomanPSMT" w:hAnsi="TimesNewRomanPSMT" w:cs="TimesNewRomanPSMT"/>
          <w:i/>
          <w:lang w:val="fr-FR"/>
        </w:rPr>
        <w:tab/>
      </w:r>
      <w:r w:rsidRPr="00BD48FE">
        <w:rPr>
          <w:rFonts w:ascii="TimesNewRomanPSMT" w:hAnsi="TimesNewRomanPSMT" w:cs="TimesNewRomanPSMT"/>
          <w:i/>
          <w:lang w:val="fr-FR"/>
        </w:rPr>
        <w:t>aux câbles électriques destinés au raccordement des feux de signalisation et de passerelle, si la prise de courant est installée à demeure à bord du bateau à proximité du mât de signalisation ou de la passerelle</w:t>
      </w:r>
      <w:r w:rsidR="000A1711" w:rsidRPr="00BD48FE">
        <w:rPr>
          <w:rFonts w:ascii="TimesNewRomanPSMT" w:hAnsi="TimesNewRomanPSMT" w:cs="TimesNewRomanPSMT"/>
          <w:i/>
          <w:lang w:val="fr-FR"/>
        </w:rPr>
        <w:t> </w:t>
      </w:r>
      <w:r w:rsidRPr="00BD48FE">
        <w:rPr>
          <w:rFonts w:ascii="TimesNewRomanPSMT" w:hAnsi="TimesNewRomanPSMT" w:cs="TimesNewRomanPSMT"/>
          <w:i/>
          <w:lang w:val="fr-FR"/>
        </w:rPr>
        <w:t>;</w:t>
      </w:r>
    </w:p>
    <w:p w:rsidR="004123B1" w:rsidRPr="00BD48FE" w:rsidRDefault="004123B1" w:rsidP="00CD7651">
      <w:pPr>
        <w:autoSpaceDE w:val="0"/>
        <w:autoSpaceDN w:val="0"/>
        <w:adjustRightInd w:val="0"/>
        <w:spacing w:after="120" w:line="240" w:lineRule="atLeast"/>
        <w:ind w:left="2126" w:right="1134" w:hanging="567"/>
        <w:jc w:val="both"/>
        <w:rPr>
          <w:rFonts w:ascii="TimesNewRomanPSMT" w:hAnsi="TimesNewRomanPSMT" w:cs="TimesNewRomanPSMT"/>
          <w:i/>
          <w:lang w:val="fr-FR"/>
        </w:rPr>
      </w:pPr>
      <w:r w:rsidRPr="00BD48FE">
        <w:rPr>
          <w:rFonts w:ascii="TimesNewRomanPSMT" w:hAnsi="TimesNewRomanPSMT" w:cs="TimesNewRomanPSMT"/>
          <w:i/>
          <w:lang w:val="fr-FR"/>
        </w:rPr>
        <w:t>–</w:t>
      </w:r>
      <w:r w:rsidR="00902626" w:rsidRPr="00BD48FE">
        <w:rPr>
          <w:rFonts w:ascii="TimesNewRomanPSMT" w:hAnsi="TimesNewRomanPSMT" w:cs="TimesNewRomanPSMT"/>
          <w:i/>
          <w:lang w:val="fr-FR"/>
        </w:rPr>
        <w:tab/>
      </w:r>
      <w:r w:rsidRPr="00BD48FE">
        <w:rPr>
          <w:rFonts w:ascii="TimesNewRomanPSMT" w:hAnsi="TimesNewRomanPSMT" w:cs="TimesNewRomanPSMT"/>
          <w:i/>
          <w:lang w:val="fr-FR"/>
        </w:rPr>
        <w:t>aux câbles électriques destinés au raccordement de pompes immergées à bord de bateaux déshuileurs</w:t>
      </w:r>
      <w:r w:rsidR="000A1711" w:rsidRPr="00BD48FE">
        <w:rPr>
          <w:rFonts w:ascii="TimesNewRomanPSMT" w:hAnsi="TimesNewRomanPSMT" w:cs="TimesNewRomanPSMT"/>
          <w:i/>
          <w:lang w:val="fr-FR"/>
        </w:rPr>
        <w:t> ;</w:t>
      </w:r>
    </w:p>
    <w:p w:rsidR="004123B1" w:rsidRPr="00BD48FE" w:rsidRDefault="001006EA" w:rsidP="00CD7651">
      <w:pPr>
        <w:autoSpaceDE w:val="0"/>
        <w:autoSpaceDN w:val="0"/>
        <w:adjustRightInd w:val="0"/>
        <w:spacing w:after="120" w:line="240" w:lineRule="atLeast"/>
        <w:ind w:left="2127" w:right="1134" w:hanging="567"/>
        <w:jc w:val="both"/>
        <w:rPr>
          <w:rFonts w:ascii="TimesNewRomanPSMT" w:hAnsi="TimesNewRomanPSMT" w:cs="TimesNewRomanPSMT"/>
          <w:i/>
          <w:lang w:val="fr-FR"/>
        </w:rPr>
      </w:pPr>
      <w:r w:rsidRPr="00BD48FE">
        <w:rPr>
          <w:rFonts w:ascii="TimesNewRomanPSMT" w:hAnsi="TimesNewRomanPSMT" w:cs="TimesNewRomanPSMT"/>
          <w:i/>
          <w:u w:val="single"/>
          <w:lang w:val="fr-FR"/>
        </w:rPr>
        <w:t>–</w:t>
      </w:r>
      <w:r w:rsidR="00902626" w:rsidRPr="00BD48FE">
        <w:rPr>
          <w:rFonts w:ascii="TimesNewRomanPSMT" w:hAnsi="TimesNewRomanPSMT" w:cs="TimesNewRomanPSMT"/>
          <w:i/>
          <w:u w:val="single"/>
          <w:lang w:val="fr-FR"/>
        </w:rPr>
        <w:tab/>
      </w:r>
      <w:r w:rsidR="004123B1" w:rsidRPr="00BD48FE">
        <w:rPr>
          <w:rFonts w:ascii="TimesNewRomanPSMT" w:hAnsi="TimesNewRomanPSMT" w:cs="TimesNewRomanPSMT"/>
          <w:i/>
          <w:u w:val="single"/>
          <w:lang w:val="fr-FR"/>
        </w:rPr>
        <w:t>aux câbles électriques destinés au raccordement du réseau électrique du bateau à un réseau électrique terrestre si le branchement au réseau électrique du bateau se trouve en dehors de la zone de cargaison</w:t>
      </w:r>
      <w:r w:rsidR="004123B1" w:rsidRPr="00BD48FE">
        <w:rPr>
          <w:rFonts w:ascii="TimesNewRomanPSMT" w:hAnsi="TimesNewRomanPSMT" w:cs="TimesNewRomanPSMT"/>
          <w:i/>
          <w:lang w:val="fr-FR"/>
        </w:rPr>
        <w:t>.</w:t>
      </w:r>
    </w:p>
    <w:p w:rsidR="004123B1" w:rsidRPr="00BD48FE" w:rsidRDefault="004123B1" w:rsidP="00CD7651">
      <w:pPr>
        <w:autoSpaceDE w:val="0"/>
        <w:autoSpaceDN w:val="0"/>
        <w:adjustRightInd w:val="0"/>
        <w:spacing w:after="120" w:line="240" w:lineRule="atLeast"/>
        <w:ind w:left="1701" w:right="1134" w:hanging="567"/>
        <w:jc w:val="both"/>
        <w:rPr>
          <w:rFonts w:ascii="TimesNewRomanPSMT" w:hAnsi="TimesNewRomanPSMT" w:cs="TimesNewRomanPSMT"/>
          <w:i/>
          <w:lang w:val="fr-FR"/>
        </w:rPr>
      </w:pPr>
      <w:r w:rsidRPr="00BD48FE">
        <w:rPr>
          <w:rFonts w:ascii="TimesNewRomanPSMT" w:hAnsi="TimesNewRomanPSMT" w:cs="TimesNewRomanPSMT"/>
          <w:i/>
          <w:lang w:val="fr-FR"/>
        </w:rPr>
        <w:t>9.3.</w:t>
      </w:r>
      <w:r w:rsidR="00A6254A" w:rsidRPr="00BD48FE">
        <w:rPr>
          <w:rFonts w:ascii="TimesNewRomanPSMT" w:hAnsi="TimesNewRomanPSMT" w:cs="TimesNewRomanPSMT"/>
          <w:i/>
          <w:lang w:val="fr-FR"/>
        </w:rPr>
        <w:t>X</w:t>
      </w:r>
      <w:r w:rsidRPr="00BD48FE">
        <w:rPr>
          <w:rFonts w:ascii="TimesNewRomanPSMT" w:hAnsi="TimesNewRomanPSMT" w:cs="TimesNewRomanPSMT"/>
          <w:i/>
          <w:lang w:val="fr-FR"/>
        </w:rPr>
        <w:t xml:space="preserve">.56.3 </w:t>
      </w:r>
      <w:r w:rsidR="00D05C8D" w:rsidRPr="00BD48FE">
        <w:rPr>
          <w:rFonts w:ascii="TimesNewRomanPSMT" w:hAnsi="TimesNewRomanPSMT" w:cs="TimesNewRomanPSMT"/>
          <w:i/>
          <w:lang w:val="fr-FR"/>
        </w:rPr>
        <w:tab/>
      </w:r>
      <w:r w:rsidRPr="00BD48FE">
        <w:rPr>
          <w:rFonts w:ascii="TimesNewRomanPSMT" w:hAnsi="TimesNewRomanPSMT" w:cs="TimesNewRomanPSMT"/>
          <w:i/>
          <w:lang w:val="fr-FR"/>
        </w:rPr>
        <w:t xml:space="preserve">Les câbles mobiles sont interdits dans la zone de cargaison sauf </w:t>
      </w:r>
    </w:p>
    <w:p w:rsidR="004123B1" w:rsidRPr="00BD48FE" w:rsidRDefault="004123B1" w:rsidP="00CD7651">
      <w:pPr>
        <w:autoSpaceDE w:val="0"/>
        <w:autoSpaceDN w:val="0"/>
        <w:adjustRightInd w:val="0"/>
        <w:spacing w:after="120" w:line="240" w:lineRule="atLeast"/>
        <w:ind w:left="2127" w:right="1134" w:hanging="567"/>
        <w:jc w:val="both"/>
        <w:rPr>
          <w:rFonts w:ascii="TimesNewRomanPSMT" w:hAnsi="TimesNewRomanPSMT" w:cs="TimesNewRomanPSMT"/>
          <w:i/>
          <w:lang w:val="fr-FR"/>
        </w:rPr>
      </w:pPr>
      <w:r w:rsidRPr="00BD48FE">
        <w:rPr>
          <w:rFonts w:ascii="TimesNewRomanPSMT" w:hAnsi="TimesNewRomanPSMT" w:cs="TimesNewRomanPSMT"/>
          <w:i/>
          <w:lang w:val="fr-FR"/>
        </w:rPr>
        <w:t>-</w:t>
      </w:r>
      <w:r w:rsidR="00902626" w:rsidRPr="00BD48FE">
        <w:rPr>
          <w:rFonts w:ascii="TimesNewRomanPSMT" w:hAnsi="TimesNewRomanPSMT" w:cs="TimesNewRomanPSMT"/>
          <w:i/>
          <w:lang w:val="fr-FR"/>
        </w:rPr>
        <w:tab/>
      </w:r>
      <w:r w:rsidRPr="00BD48FE">
        <w:rPr>
          <w:rFonts w:ascii="TimesNewRomanPSMT" w:hAnsi="TimesNewRomanPSMT" w:cs="TimesNewRomanPSMT"/>
          <w:i/>
          <w:lang w:val="fr-FR"/>
        </w:rPr>
        <w:t>pour les circuits à sécurité intrinsèque</w:t>
      </w:r>
      <w:r w:rsidRPr="00BD48FE">
        <w:rPr>
          <w:rFonts w:ascii="TimesNewRomanPSMT" w:hAnsi="TimesNewRomanPSMT" w:cs="TimesNewRomanPSMT"/>
          <w:i/>
          <w:u w:val="single"/>
          <w:lang w:val="fr-FR"/>
        </w:rPr>
        <w:t>,</w:t>
      </w:r>
      <w:r w:rsidRPr="00BD48FE">
        <w:rPr>
          <w:rFonts w:ascii="TimesNewRomanPSMT" w:hAnsi="TimesNewRomanPSMT" w:cs="TimesNewRomanPSMT"/>
          <w:i/>
          <w:lang w:val="fr-FR"/>
        </w:rPr>
        <w:t xml:space="preserve"> </w:t>
      </w:r>
      <w:r w:rsidRPr="00BD48FE">
        <w:rPr>
          <w:rFonts w:ascii="TimesNewRomanPSMT" w:hAnsi="TimesNewRomanPSMT" w:cs="TimesNewRomanPSMT"/>
          <w:i/>
          <w:strike/>
          <w:lang w:val="fr-FR"/>
        </w:rPr>
        <w:t>et</w:t>
      </w:r>
      <w:r w:rsidRPr="00BD48FE">
        <w:rPr>
          <w:rFonts w:ascii="TimesNewRomanPSMT" w:hAnsi="TimesNewRomanPSMT" w:cs="TimesNewRomanPSMT"/>
          <w:i/>
          <w:lang w:val="fr-FR"/>
        </w:rPr>
        <w:t xml:space="preserve"> </w:t>
      </w:r>
    </w:p>
    <w:p w:rsidR="004123B1" w:rsidRPr="00BD48FE" w:rsidRDefault="004123B1" w:rsidP="00CD7651">
      <w:pPr>
        <w:autoSpaceDE w:val="0"/>
        <w:autoSpaceDN w:val="0"/>
        <w:adjustRightInd w:val="0"/>
        <w:spacing w:after="120" w:line="240" w:lineRule="atLeast"/>
        <w:ind w:left="2127" w:right="1134" w:hanging="567"/>
        <w:jc w:val="both"/>
        <w:rPr>
          <w:rFonts w:ascii="TimesNewRomanPSMT" w:hAnsi="TimesNewRomanPSMT" w:cs="TimesNewRomanPSMT"/>
          <w:i/>
          <w:lang w:val="fr-FR"/>
        </w:rPr>
      </w:pPr>
      <w:r w:rsidRPr="00BD48FE">
        <w:rPr>
          <w:rFonts w:ascii="TimesNewRomanPSMT" w:hAnsi="TimesNewRomanPSMT" w:cs="TimesNewRomanPSMT"/>
          <w:i/>
          <w:lang w:val="fr-FR"/>
        </w:rPr>
        <w:t>-</w:t>
      </w:r>
      <w:r w:rsidR="00902626" w:rsidRPr="00BD48FE">
        <w:rPr>
          <w:rFonts w:ascii="TimesNewRomanPSMT" w:hAnsi="TimesNewRomanPSMT" w:cs="TimesNewRomanPSMT"/>
          <w:i/>
          <w:lang w:val="fr-FR"/>
        </w:rPr>
        <w:tab/>
      </w:r>
      <w:r w:rsidRPr="00BD48FE">
        <w:rPr>
          <w:rFonts w:ascii="TimesNewRomanPSMT" w:hAnsi="TimesNewRomanPSMT" w:cs="TimesNewRomanPSMT"/>
          <w:i/>
          <w:lang w:val="fr-FR"/>
        </w:rPr>
        <w:t>pour le raccordement des feux de signalisation et de l'éclairage des passerelles</w:t>
      </w:r>
      <w:r w:rsidR="00841802" w:rsidRPr="00BD48FE">
        <w:rPr>
          <w:rFonts w:ascii="TimesNewRomanPSMT" w:hAnsi="TimesNewRomanPSMT" w:cs="TimesNewRomanPSMT"/>
          <w:i/>
          <w:lang w:val="fr-FR"/>
        </w:rPr>
        <w:t>,</w:t>
      </w:r>
    </w:p>
    <w:p w:rsidR="004123B1" w:rsidRPr="00BD48FE" w:rsidRDefault="004123B1" w:rsidP="00CD7651">
      <w:pPr>
        <w:autoSpaceDE w:val="0"/>
        <w:autoSpaceDN w:val="0"/>
        <w:adjustRightInd w:val="0"/>
        <w:spacing w:after="120" w:line="240" w:lineRule="atLeast"/>
        <w:ind w:left="2127" w:right="1134" w:hanging="567"/>
        <w:jc w:val="both"/>
        <w:rPr>
          <w:rFonts w:ascii="TimesNewRomanPSMT" w:hAnsi="TimesNewRomanPSMT" w:cs="TimesNewRomanPSMT"/>
          <w:lang w:val="fr-FR"/>
        </w:rPr>
      </w:pPr>
      <w:r w:rsidRPr="00BD48FE">
        <w:rPr>
          <w:rFonts w:ascii="TimesNewRomanPSMT" w:hAnsi="TimesNewRomanPSMT" w:cs="TimesNewRomanPSMT"/>
          <w:i/>
          <w:u w:val="single"/>
          <w:lang w:val="fr-FR"/>
        </w:rPr>
        <w:t>-</w:t>
      </w:r>
      <w:r w:rsidR="00902626" w:rsidRPr="00BD48FE">
        <w:rPr>
          <w:rFonts w:ascii="TimesNewRomanPSMT" w:hAnsi="TimesNewRomanPSMT" w:cs="TimesNewRomanPSMT"/>
          <w:i/>
          <w:u w:val="single"/>
          <w:lang w:val="fr-FR"/>
        </w:rPr>
        <w:tab/>
      </w:r>
      <w:r w:rsidR="00A6254A" w:rsidRPr="00BD48FE">
        <w:rPr>
          <w:rFonts w:ascii="TimesNewRomanPSMT" w:hAnsi="TimesNewRomanPSMT" w:cs="TimesNewRomanPSMT"/>
          <w:i/>
          <w:u w:val="single"/>
          <w:lang w:val="fr-FR"/>
        </w:rPr>
        <w:t>pour le raccordement du réseau électrique du bateau à un réseau électrique terrestre</w:t>
      </w:r>
      <w:r w:rsidRPr="00BD48FE">
        <w:rPr>
          <w:rFonts w:ascii="TimesNewRomanPSMT" w:hAnsi="TimesNewRomanPSMT" w:cs="TimesNewRomanPSMT"/>
          <w:i/>
          <w:lang w:val="fr-FR"/>
        </w:rPr>
        <w:t>. </w:t>
      </w:r>
      <w:r w:rsidRPr="00BD48FE">
        <w:rPr>
          <w:rFonts w:ascii="TimesNewRomanPSMT" w:hAnsi="TimesNewRomanPSMT" w:cs="TimesNewRomanPSMT"/>
          <w:lang w:val="fr-FR"/>
        </w:rPr>
        <w:t>»</w:t>
      </w:r>
    </w:p>
    <w:p w:rsidR="00C150A1" w:rsidRPr="001006EA" w:rsidRDefault="00BD48FE" w:rsidP="00CD7651">
      <w:pPr>
        <w:pStyle w:val="SingleTxtG"/>
        <w:tabs>
          <w:tab w:val="left" w:pos="1701"/>
        </w:tabs>
        <w:rPr>
          <w:lang w:val="fr-FR" w:eastAsia="en-US"/>
        </w:rPr>
      </w:pPr>
      <w:r>
        <w:rPr>
          <w:lang w:val="fr-FR" w:eastAsia="en-US"/>
        </w:rPr>
        <w:t>7.</w:t>
      </w:r>
      <w:r>
        <w:rPr>
          <w:lang w:val="fr-FR" w:eastAsia="en-US"/>
        </w:rPr>
        <w:tab/>
      </w:r>
      <w:r w:rsidR="00C150A1" w:rsidRPr="001006EA">
        <w:rPr>
          <w:lang w:val="fr-FR" w:eastAsia="en-US"/>
        </w:rPr>
        <w:t>Cette proposition a été discutée de façon informelle avec plusieurs experts. Il en ressort les points d’attention suivant</w:t>
      </w:r>
      <w:r w:rsidR="002A44E5" w:rsidRPr="001006EA">
        <w:rPr>
          <w:lang w:val="fr-FR" w:eastAsia="en-US"/>
        </w:rPr>
        <w:t>s</w:t>
      </w:r>
      <w:r w:rsidR="00C150A1" w:rsidRPr="001006EA">
        <w:rPr>
          <w:lang w:val="fr-FR" w:eastAsia="en-US"/>
        </w:rPr>
        <w:t> :</w:t>
      </w:r>
    </w:p>
    <w:p w:rsidR="00C150A1" w:rsidRPr="00AF029E" w:rsidRDefault="00BD48FE" w:rsidP="00CD7651">
      <w:pPr>
        <w:pStyle w:val="SingleTxtG"/>
        <w:tabs>
          <w:tab w:val="left" w:pos="1701"/>
        </w:tabs>
        <w:rPr>
          <w:lang w:val="fr-FR" w:eastAsia="en-US"/>
        </w:rPr>
      </w:pPr>
      <w:r>
        <w:rPr>
          <w:lang w:val="fr-FR" w:eastAsia="en-US"/>
        </w:rPr>
        <w:tab/>
      </w:r>
      <w:r w:rsidR="00956B31" w:rsidRPr="00AF029E">
        <w:rPr>
          <w:lang w:val="fr-FR" w:eastAsia="en-US"/>
        </w:rPr>
        <w:t>a)</w:t>
      </w:r>
      <w:r w:rsidR="00B13AC8" w:rsidRPr="00AF029E">
        <w:rPr>
          <w:lang w:val="fr-FR" w:eastAsia="en-US"/>
        </w:rPr>
        <w:tab/>
      </w:r>
      <w:r w:rsidR="002A44E5" w:rsidRPr="00AF029E">
        <w:rPr>
          <w:lang w:val="fr-FR" w:eastAsia="en-US"/>
        </w:rPr>
        <w:t>L</w:t>
      </w:r>
      <w:r w:rsidR="00C150A1" w:rsidRPr="00AF029E">
        <w:rPr>
          <w:lang w:val="fr-FR" w:eastAsia="en-US"/>
        </w:rPr>
        <w:t xml:space="preserve">e câble reliant </w:t>
      </w:r>
      <w:r w:rsidR="003018E0" w:rsidRPr="00AF029E">
        <w:rPr>
          <w:lang w:val="fr-FR" w:eastAsia="en-US"/>
        </w:rPr>
        <w:t>le</w:t>
      </w:r>
      <w:r w:rsidR="00C150A1" w:rsidRPr="00AF029E">
        <w:rPr>
          <w:lang w:val="fr-FR" w:eastAsia="en-US"/>
        </w:rPr>
        <w:t xml:space="preserve"> réseau électrique du bateau au réseau électrique terrestre transporte une intensité électrique supérieure à celle du câble racco</w:t>
      </w:r>
      <w:r w:rsidR="00956B31" w:rsidRPr="00AF029E">
        <w:rPr>
          <w:lang w:val="fr-FR" w:eastAsia="en-US"/>
        </w:rPr>
        <w:t>rdant les feux de signalisation.</w:t>
      </w:r>
      <w:r w:rsidR="00B13AC8" w:rsidRPr="00AF029E">
        <w:rPr>
          <w:lang w:val="fr-FR" w:eastAsia="en-US"/>
        </w:rPr>
        <w:t xml:space="preserve"> </w:t>
      </w:r>
      <w:r w:rsidR="002A44E5" w:rsidRPr="00AF029E">
        <w:rPr>
          <w:lang w:val="fr-FR" w:eastAsia="en-US"/>
        </w:rPr>
        <w:t>Les risques ne sont donc pas identiques.</w:t>
      </w:r>
    </w:p>
    <w:p w:rsidR="003018E0" w:rsidRPr="00AF029E" w:rsidRDefault="00BD48FE" w:rsidP="00CD7651">
      <w:pPr>
        <w:pStyle w:val="SingleTxtG"/>
        <w:tabs>
          <w:tab w:val="left" w:pos="1701"/>
        </w:tabs>
        <w:rPr>
          <w:lang w:val="fr-FR" w:eastAsia="en-US"/>
        </w:rPr>
      </w:pPr>
      <w:r>
        <w:rPr>
          <w:lang w:val="fr-FR" w:eastAsia="en-US"/>
        </w:rPr>
        <w:tab/>
      </w:r>
      <w:r w:rsidR="00956B31" w:rsidRPr="00AF029E">
        <w:rPr>
          <w:lang w:val="fr-FR" w:eastAsia="en-US"/>
        </w:rPr>
        <w:t>b)</w:t>
      </w:r>
      <w:r w:rsidR="00B13AC8" w:rsidRPr="00AF029E">
        <w:rPr>
          <w:lang w:val="fr-FR" w:eastAsia="en-US"/>
        </w:rPr>
        <w:tab/>
      </w:r>
      <w:r w:rsidR="002A44E5" w:rsidRPr="00AF029E">
        <w:rPr>
          <w:lang w:val="fr-FR" w:eastAsia="en-US"/>
        </w:rPr>
        <w:t>S</w:t>
      </w:r>
      <w:r w:rsidR="003018E0" w:rsidRPr="00AF029E">
        <w:rPr>
          <w:lang w:val="fr-FR" w:eastAsia="en-US"/>
        </w:rPr>
        <w:t xml:space="preserve">i la connexion au réseau électrique terrestre est imposée, le câble reliant le réseau électrique du bateau au réseau électrique terrestre sera manipulé plus souvent. Il pourra être tiré </w:t>
      </w:r>
      <w:r w:rsidR="002A44E5" w:rsidRPr="00AF029E">
        <w:rPr>
          <w:lang w:val="fr-FR" w:eastAsia="en-US"/>
        </w:rPr>
        <w:t>par</w:t>
      </w:r>
      <w:r w:rsidR="003018E0" w:rsidRPr="00AF029E">
        <w:rPr>
          <w:lang w:val="fr-FR" w:eastAsia="en-US"/>
        </w:rPr>
        <w:t xml:space="preserve"> dessus d</w:t>
      </w:r>
      <w:r w:rsidR="002A44E5" w:rsidRPr="00AF029E">
        <w:rPr>
          <w:lang w:val="fr-FR" w:eastAsia="en-US"/>
        </w:rPr>
        <w:t xml:space="preserve">es </w:t>
      </w:r>
      <w:r w:rsidR="003018E0" w:rsidRPr="00AF029E">
        <w:rPr>
          <w:lang w:val="fr-FR" w:eastAsia="en-US"/>
        </w:rPr>
        <w:t>arrêtes et risque d’être endommagé.</w:t>
      </w:r>
    </w:p>
    <w:p w:rsidR="003018E0" w:rsidRPr="00AF029E" w:rsidRDefault="00BD48FE" w:rsidP="00CD7651">
      <w:pPr>
        <w:pStyle w:val="SingleTxtG"/>
        <w:tabs>
          <w:tab w:val="left" w:pos="1701"/>
        </w:tabs>
        <w:rPr>
          <w:lang w:val="fr-FR" w:eastAsia="en-US"/>
        </w:rPr>
      </w:pPr>
      <w:r>
        <w:rPr>
          <w:lang w:val="fr-FR" w:eastAsia="en-US"/>
        </w:rPr>
        <w:tab/>
      </w:r>
      <w:r w:rsidR="00956B31" w:rsidRPr="00AF029E">
        <w:rPr>
          <w:lang w:val="fr-FR" w:eastAsia="en-US"/>
        </w:rPr>
        <w:t>c)</w:t>
      </w:r>
      <w:r w:rsidR="00B13AC8" w:rsidRPr="00AF029E">
        <w:rPr>
          <w:lang w:val="fr-FR" w:eastAsia="en-US"/>
        </w:rPr>
        <w:tab/>
      </w:r>
      <w:r w:rsidR="002A44E5" w:rsidRPr="00AF029E">
        <w:rPr>
          <w:lang w:val="fr-FR" w:eastAsia="en-US"/>
        </w:rPr>
        <w:t>C</w:t>
      </w:r>
      <w:r w:rsidR="003018E0" w:rsidRPr="00AF029E">
        <w:rPr>
          <w:lang w:val="fr-FR" w:eastAsia="en-US"/>
        </w:rPr>
        <w:t>e câble doit être stocké de telle sorte qu’il ne gêne pas les opérations de chargement ou de déchargement ou qu’il ne soit pas endommagé durant ces opérations.</w:t>
      </w:r>
    </w:p>
    <w:p w:rsidR="00956B31" w:rsidRPr="00AF029E" w:rsidRDefault="00BD48FE" w:rsidP="00CD7651">
      <w:pPr>
        <w:pStyle w:val="SingleTxtG"/>
        <w:tabs>
          <w:tab w:val="left" w:pos="1701"/>
        </w:tabs>
        <w:rPr>
          <w:lang w:val="fr-FR" w:eastAsia="en-US"/>
        </w:rPr>
      </w:pPr>
      <w:r>
        <w:rPr>
          <w:lang w:val="fr-FR" w:eastAsia="en-US"/>
        </w:rPr>
        <w:tab/>
      </w:r>
      <w:r w:rsidR="00956B31" w:rsidRPr="00AF029E">
        <w:rPr>
          <w:lang w:val="fr-FR" w:eastAsia="en-US"/>
        </w:rPr>
        <w:t>d)</w:t>
      </w:r>
      <w:r w:rsidR="00B13AC8" w:rsidRPr="00AF029E">
        <w:rPr>
          <w:lang w:val="fr-FR" w:eastAsia="en-US"/>
        </w:rPr>
        <w:tab/>
      </w:r>
      <w:r w:rsidR="002A44E5" w:rsidRPr="00AF029E">
        <w:rPr>
          <w:lang w:val="fr-FR" w:eastAsia="en-US"/>
        </w:rPr>
        <w:t>C</w:t>
      </w:r>
      <w:r w:rsidR="00956B31" w:rsidRPr="00AF029E">
        <w:rPr>
          <w:lang w:val="fr-FR" w:eastAsia="en-US"/>
        </w:rPr>
        <w:t>e câble doit en premier lieu être raccordé au branchement électrique à terre et au branchement électrique du bateau. En second lieu, il p</w:t>
      </w:r>
      <w:r w:rsidR="002A44E5" w:rsidRPr="00AF029E">
        <w:rPr>
          <w:lang w:val="fr-FR" w:eastAsia="en-US"/>
        </w:rPr>
        <w:t>ourra</w:t>
      </w:r>
      <w:r w:rsidR="00956B31" w:rsidRPr="00AF029E">
        <w:rPr>
          <w:lang w:val="fr-FR" w:eastAsia="en-US"/>
        </w:rPr>
        <w:t xml:space="preserve"> </w:t>
      </w:r>
      <w:bookmarkStart w:id="2" w:name="_GoBack"/>
      <w:bookmarkEnd w:id="2"/>
      <w:r w:rsidR="00956B31" w:rsidRPr="00AF029E">
        <w:rPr>
          <w:lang w:val="fr-FR" w:eastAsia="en-US"/>
        </w:rPr>
        <w:t>être mis sous tension.</w:t>
      </w:r>
    </w:p>
    <w:p w:rsidR="00956B31" w:rsidRPr="00AF029E" w:rsidRDefault="00BD48FE" w:rsidP="00CD7651">
      <w:pPr>
        <w:pStyle w:val="SingleTxtG"/>
        <w:tabs>
          <w:tab w:val="left" w:pos="1701"/>
        </w:tabs>
        <w:rPr>
          <w:lang w:val="fr-FR" w:eastAsia="en-US"/>
        </w:rPr>
      </w:pPr>
      <w:r>
        <w:rPr>
          <w:lang w:val="fr-FR" w:eastAsia="en-US"/>
        </w:rPr>
        <w:tab/>
      </w:r>
      <w:r w:rsidR="00956B31" w:rsidRPr="00AF029E">
        <w:rPr>
          <w:lang w:val="fr-FR" w:eastAsia="en-US"/>
        </w:rPr>
        <w:t>e)</w:t>
      </w:r>
      <w:r w:rsidR="00B13AC8" w:rsidRPr="00AF029E">
        <w:rPr>
          <w:lang w:val="fr-FR" w:eastAsia="en-US"/>
        </w:rPr>
        <w:tab/>
      </w:r>
      <w:r w:rsidR="002A44E5" w:rsidRPr="00AF029E">
        <w:rPr>
          <w:lang w:val="fr-FR" w:eastAsia="en-US"/>
        </w:rPr>
        <w:t>I</w:t>
      </w:r>
      <w:r w:rsidR="00956B31" w:rsidRPr="00AF029E">
        <w:rPr>
          <w:lang w:val="fr-FR" w:eastAsia="en-US"/>
        </w:rPr>
        <w:t>l serait souhaitable d’avoir la même r</w:t>
      </w:r>
      <w:r w:rsidR="00B13AC8" w:rsidRPr="00AF029E">
        <w:rPr>
          <w:lang w:val="fr-FR" w:eastAsia="en-US"/>
        </w:rPr>
        <w:t>é</w:t>
      </w:r>
      <w:r w:rsidR="00956B31" w:rsidRPr="00AF029E">
        <w:rPr>
          <w:lang w:val="fr-FR" w:eastAsia="en-US"/>
        </w:rPr>
        <w:t>glementation pour tous les bateaux (c’est</w:t>
      </w:r>
      <w:r w:rsidR="00B13AC8" w:rsidRPr="00AF029E">
        <w:rPr>
          <w:lang w:val="fr-FR" w:eastAsia="en-US"/>
        </w:rPr>
        <w:t>-</w:t>
      </w:r>
      <w:r w:rsidR="00956B31" w:rsidRPr="00AF029E">
        <w:rPr>
          <w:lang w:val="fr-FR" w:eastAsia="en-US"/>
        </w:rPr>
        <w:t>à</w:t>
      </w:r>
      <w:r w:rsidR="00B13AC8" w:rsidRPr="00AF029E">
        <w:rPr>
          <w:lang w:val="fr-FR" w:eastAsia="en-US"/>
        </w:rPr>
        <w:t>-</w:t>
      </w:r>
      <w:r w:rsidR="00956B31" w:rsidRPr="00AF029E">
        <w:rPr>
          <w:lang w:val="fr-FR" w:eastAsia="en-US"/>
        </w:rPr>
        <w:t xml:space="preserve">dire transportant des matières dangereuses ou non). En effet, dans le cas contraire, </w:t>
      </w:r>
      <w:r w:rsidR="00956B31" w:rsidRPr="00AF029E">
        <w:rPr>
          <w:lang w:val="fr-FR" w:eastAsia="en-US"/>
        </w:rPr>
        <w:lastRenderedPageBreak/>
        <w:t>la r</w:t>
      </w:r>
      <w:r w:rsidR="00B13AC8" w:rsidRPr="00AF029E">
        <w:rPr>
          <w:lang w:val="fr-FR" w:eastAsia="en-US"/>
        </w:rPr>
        <w:t>é</w:t>
      </w:r>
      <w:r w:rsidR="00956B31" w:rsidRPr="00AF029E">
        <w:rPr>
          <w:lang w:val="fr-FR" w:eastAsia="en-US"/>
        </w:rPr>
        <w:t>glementation serait plus complexe à appliquer</w:t>
      </w:r>
      <w:r w:rsidR="00B13AC8" w:rsidRPr="00AF029E">
        <w:rPr>
          <w:lang w:val="fr-FR" w:eastAsia="en-US"/>
        </w:rPr>
        <w:t>,</w:t>
      </w:r>
      <w:r w:rsidR="00956B31" w:rsidRPr="00AF029E">
        <w:rPr>
          <w:lang w:val="fr-FR" w:eastAsia="en-US"/>
        </w:rPr>
        <w:t xml:space="preserve"> ce qui pourrait être source de malentendus.</w:t>
      </w:r>
    </w:p>
    <w:p w:rsidR="00035B25" w:rsidRPr="008B4F10" w:rsidRDefault="00BD48FE" w:rsidP="00CD7651">
      <w:pPr>
        <w:pStyle w:val="SingleTxtG"/>
        <w:tabs>
          <w:tab w:val="left" w:pos="1701"/>
        </w:tabs>
        <w:rPr>
          <w:lang w:val="fr-FR" w:eastAsia="en-US"/>
        </w:rPr>
      </w:pPr>
      <w:r>
        <w:rPr>
          <w:lang w:val="fr-FR" w:eastAsia="en-US"/>
        </w:rPr>
        <w:t>8.</w:t>
      </w:r>
      <w:r>
        <w:rPr>
          <w:lang w:val="fr-FR" w:eastAsia="en-US"/>
        </w:rPr>
        <w:tab/>
      </w:r>
      <w:r w:rsidR="00035B25" w:rsidRPr="008B4F10">
        <w:rPr>
          <w:lang w:val="fr-FR" w:eastAsia="en-US"/>
        </w:rPr>
        <w:t>D’un point de vue du calendrier, la future nouvelle édition de l’ADN serait publiée le 1er</w:t>
      </w:r>
      <w:r w:rsidR="00902626" w:rsidRPr="008B4F10">
        <w:rPr>
          <w:lang w:val="fr-FR" w:eastAsia="en-US"/>
        </w:rPr>
        <w:t> </w:t>
      </w:r>
      <w:r w:rsidR="00035B25" w:rsidRPr="008B4F10">
        <w:rPr>
          <w:lang w:val="fr-FR" w:eastAsia="en-US"/>
        </w:rPr>
        <w:t>janvier</w:t>
      </w:r>
      <w:r w:rsidR="00902626" w:rsidRPr="008B4F10">
        <w:rPr>
          <w:lang w:val="fr-FR" w:eastAsia="en-US"/>
        </w:rPr>
        <w:t> </w:t>
      </w:r>
      <w:r w:rsidR="00035B25" w:rsidRPr="008B4F10">
        <w:rPr>
          <w:lang w:val="fr-FR" w:eastAsia="en-US"/>
        </w:rPr>
        <w:t>2019.</w:t>
      </w:r>
    </w:p>
    <w:p w:rsidR="00035B25" w:rsidRPr="008B4F10" w:rsidRDefault="00035B25" w:rsidP="00CD7651">
      <w:pPr>
        <w:pStyle w:val="SingleTxtG"/>
        <w:tabs>
          <w:tab w:val="left" w:pos="1701"/>
        </w:tabs>
        <w:rPr>
          <w:lang w:val="fr-FR" w:eastAsia="en-US"/>
        </w:rPr>
      </w:pPr>
      <w:r w:rsidRPr="008B4F10">
        <w:rPr>
          <w:lang w:val="fr-FR" w:eastAsia="en-US"/>
        </w:rPr>
        <w:t xml:space="preserve">Ce calendrier serait cohérent avec </w:t>
      </w:r>
      <w:r w:rsidR="00902626" w:rsidRPr="008B4F10">
        <w:rPr>
          <w:lang w:val="fr-FR" w:eastAsia="en-US"/>
        </w:rPr>
        <w:t>l</w:t>
      </w:r>
      <w:r w:rsidRPr="008B4F10">
        <w:rPr>
          <w:lang w:val="fr-FR" w:eastAsia="en-US"/>
        </w:rPr>
        <w:t>’adoption en décembre 2017 d’une résolution de la CCNR modifiant le RPNR. Cette résolution pourrait entrer en vig</w:t>
      </w:r>
      <w:r w:rsidR="00DF6EF7" w:rsidRPr="008B4F10">
        <w:rPr>
          <w:lang w:val="fr-FR" w:eastAsia="en-US"/>
        </w:rPr>
        <w:t>u</w:t>
      </w:r>
      <w:r w:rsidRPr="008B4F10">
        <w:rPr>
          <w:lang w:val="fr-FR" w:eastAsia="en-US"/>
        </w:rPr>
        <w:t>eur le 1er décembre 2018.</w:t>
      </w:r>
    </w:p>
    <w:p w:rsidR="0071605E" w:rsidRPr="00BD48FE" w:rsidRDefault="00BD48FE" w:rsidP="00CD7651">
      <w:pPr>
        <w:pStyle w:val="HChG"/>
        <w:rPr>
          <w:rFonts w:ascii="Arial" w:hAnsi="Arial" w:cs="Arial"/>
          <w:sz w:val="20"/>
          <w:lang w:val="fr-CH" w:eastAsia="fr-FR"/>
        </w:rPr>
      </w:pPr>
      <w:r>
        <w:tab/>
      </w:r>
      <w:r>
        <w:tab/>
      </w:r>
      <w:r w:rsidR="00233243" w:rsidRPr="00BD48FE">
        <w:rPr>
          <w:lang w:val="fr-CH"/>
        </w:rPr>
        <w:t>Proposition</w:t>
      </w:r>
    </w:p>
    <w:p w:rsidR="00582954" w:rsidRDefault="00BD48FE" w:rsidP="00CD7651">
      <w:pPr>
        <w:pStyle w:val="SingleTxtG"/>
        <w:tabs>
          <w:tab w:val="left" w:pos="1701"/>
        </w:tabs>
        <w:rPr>
          <w:lang w:val="fr-FR" w:eastAsia="en-US"/>
        </w:rPr>
      </w:pPr>
      <w:r>
        <w:rPr>
          <w:lang w:val="fr-FR" w:eastAsia="en-US"/>
        </w:rPr>
        <w:t>9.</w:t>
      </w:r>
      <w:r>
        <w:rPr>
          <w:lang w:val="fr-FR" w:eastAsia="en-US"/>
        </w:rPr>
        <w:tab/>
      </w:r>
      <w:r w:rsidR="0049166E" w:rsidRPr="008A43A7">
        <w:rPr>
          <w:lang w:val="fr-FR" w:eastAsia="en-US"/>
        </w:rPr>
        <w:t>Le Comité de sécurité pourrait vérifier si les modifications de l’ADN proposées au point 6 pour l’utilisation du réseau électrique terrestre par des bâtiments soumis à l’ADN sont suffisantes ou si des dispositions supplémentaires sont nécessaires.</w:t>
      </w:r>
    </w:p>
    <w:p w:rsidR="00BD48FE" w:rsidRPr="00BD48FE" w:rsidRDefault="00BD48FE" w:rsidP="00BD48FE">
      <w:pPr>
        <w:pStyle w:val="SingleTxtG"/>
        <w:tabs>
          <w:tab w:val="left" w:pos="1701"/>
        </w:tabs>
        <w:spacing w:before="240" w:after="0"/>
        <w:jc w:val="center"/>
        <w:rPr>
          <w:u w:val="single"/>
          <w:lang w:val="fr-FR" w:eastAsia="en-US"/>
        </w:rPr>
      </w:pPr>
      <w:r>
        <w:rPr>
          <w:u w:val="single"/>
          <w:lang w:val="fr-FR" w:eastAsia="en-US"/>
        </w:rPr>
        <w:tab/>
      </w:r>
      <w:r>
        <w:rPr>
          <w:u w:val="single"/>
          <w:lang w:val="fr-FR" w:eastAsia="en-US"/>
        </w:rPr>
        <w:tab/>
      </w:r>
      <w:r>
        <w:rPr>
          <w:u w:val="single"/>
          <w:lang w:val="fr-FR" w:eastAsia="en-US"/>
        </w:rPr>
        <w:tab/>
      </w:r>
    </w:p>
    <w:sectPr w:rsidR="00BD48FE" w:rsidRPr="00BD48FE" w:rsidSect="00BD48F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701" w:right="1134" w:bottom="2268" w:left="1134" w:header="1134" w:footer="17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52D" w:rsidRDefault="00E6052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endnote>
  <w:endnote w:type="continuationSeparator" w:id="0">
    <w:p w:rsidR="00E6052D" w:rsidRDefault="00E6052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4"/>
        <w:szCs w:val="24"/>
        <w:lang w:val="en-GB" w:eastAsia="en-GB"/>
      </w:rPr>
      <w:id w:val="-983001661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18"/>
        <w:szCs w:val="18"/>
      </w:rPr>
    </w:sdtEndPr>
    <w:sdtContent>
      <w:p w:rsidR="00BD48FE" w:rsidRPr="00BD48FE" w:rsidRDefault="00BD48FE" w:rsidP="00BD48FE">
        <w:pPr>
          <w:tabs>
            <w:tab w:val="center" w:pos="4536"/>
            <w:tab w:val="right" w:pos="9072"/>
          </w:tabs>
          <w:spacing w:after="0" w:line="240" w:lineRule="auto"/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</w:pPr>
        <w:r w:rsidRPr="00BD48FE"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  <w:fldChar w:fldCharType="begin"/>
        </w:r>
        <w:r w:rsidRPr="00BD48FE"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  <w:instrText xml:space="preserve"> PAGE   \* MERGEFORMAT </w:instrText>
        </w:r>
        <w:r w:rsidRPr="00BD48FE"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  <w:fldChar w:fldCharType="separate"/>
        </w:r>
        <w:r w:rsidR="00CD7651">
          <w:rPr>
            <w:rFonts w:ascii="Times New Roman" w:hAnsi="Times New Roman" w:cs="Times New Roman"/>
            <w:b/>
            <w:noProof/>
            <w:sz w:val="18"/>
            <w:szCs w:val="18"/>
            <w:lang w:val="en-GB" w:eastAsia="en-GB"/>
          </w:rPr>
          <w:t>2</w:t>
        </w:r>
        <w:r w:rsidRPr="00BD48FE">
          <w:rPr>
            <w:rFonts w:ascii="Times New Roman" w:hAnsi="Times New Roman" w:cs="Times New Roman"/>
            <w:b/>
            <w:noProof/>
            <w:sz w:val="18"/>
            <w:szCs w:val="18"/>
            <w:lang w:val="en-GB" w:eastAsia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4"/>
        <w:szCs w:val="24"/>
        <w:lang w:val="en-GB" w:eastAsia="en-GB"/>
      </w:rPr>
      <w:id w:val="44806527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18"/>
        <w:szCs w:val="18"/>
      </w:rPr>
    </w:sdtEndPr>
    <w:sdtContent>
      <w:p w:rsidR="00560C1C" w:rsidRPr="00BD48FE" w:rsidRDefault="00BD48FE" w:rsidP="00BD48FE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</w:pPr>
        <w:r w:rsidRPr="00BD48FE"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  <w:fldChar w:fldCharType="begin"/>
        </w:r>
        <w:r w:rsidRPr="00BD48FE"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  <w:instrText xml:space="preserve"> PAGE   \* MERGEFORMAT </w:instrText>
        </w:r>
        <w:r w:rsidRPr="00BD48FE"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  <w:fldChar w:fldCharType="separate"/>
        </w:r>
        <w:r w:rsidR="00CD7651">
          <w:rPr>
            <w:rFonts w:ascii="Times New Roman" w:hAnsi="Times New Roman" w:cs="Times New Roman"/>
            <w:b/>
            <w:noProof/>
            <w:sz w:val="18"/>
            <w:szCs w:val="18"/>
            <w:lang w:val="en-GB" w:eastAsia="en-GB"/>
          </w:rPr>
          <w:t>3</w:t>
        </w:r>
        <w:r w:rsidRPr="00BD48FE">
          <w:rPr>
            <w:rFonts w:ascii="Times New Roman" w:hAnsi="Times New Roman" w:cs="Times New Roman"/>
            <w:b/>
            <w:noProof/>
            <w:sz w:val="18"/>
            <w:szCs w:val="18"/>
            <w:lang w:val="en-GB" w:eastAsia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 w:val="24"/>
        <w:szCs w:val="24"/>
        <w:lang w:val="en-GB" w:eastAsia="en-GB"/>
      </w:rPr>
      <w:id w:val="1385753909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noProof/>
        <w:sz w:val="18"/>
        <w:szCs w:val="18"/>
      </w:rPr>
    </w:sdtEndPr>
    <w:sdtContent>
      <w:p w:rsidR="00BD48FE" w:rsidRPr="00BD48FE" w:rsidRDefault="00BD48FE" w:rsidP="00BD48FE">
        <w:pPr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</w:pPr>
        <w:r w:rsidRPr="00BD48FE"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  <w:fldChar w:fldCharType="begin"/>
        </w:r>
        <w:r w:rsidRPr="00BD48FE"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  <w:instrText xml:space="preserve"> PAGE   \* MERGEFORMAT </w:instrText>
        </w:r>
        <w:r w:rsidRPr="00BD48FE">
          <w:rPr>
            <w:rFonts w:ascii="Times New Roman" w:hAnsi="Times New Roman" w:cs="Times New Roman"/>
            <w:b/>
            <w:sz w:val="18"/>
            <w:szCs w:val="18"/>
            <w:lang w:val="en-GB" w:eastAsia="en-GB"/>
          </w:rPr>
          <w:fldChar w:fldCharType="separate"/>
        </w:r>
        <w:r w:rsidR="00CD7651">
          <w:rPr>
            <w:rFonts w:ascii="Times New Roman" w:hAnsi="Times New Roman" w:cs="Times New Roman"/>
            <w:b/>
            <w:noProof/>
            <w:sz w:val="18"/>
            <w:szCs w:val="18"/>
            <w:lang w:val="en-GB" w:eastAsia="en-GB"/>
          </w:rPr>
          <w:t>1</w:t>
        </w:r>
        <w:r w:rsidRPr="00BD48FE">
          <w:rPr>
            <w:rFonts w:ascii="Times New Roman" w:hAnsi="Times New Roman" w:cs="Times New Roman"/>
            <w:b/>
            <w:noProof/>
            <w:sz w:val="18"/>
            <w:szCs w:val="18"/>
            <w:lang w:val="en-GB" w:eastAsia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52D" w:rsidRDefault="00E6052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separator/>
      </w:r>
    </w:p>
  </w:footnote>
  <w:footnote w:type="continuationSeparator" w:id="0">
    <w:p w:rsidR="00E6052D" w:rsidRDefault="00E6052D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8FE" w:rsidRPr="00BD48FE" w:rsidRDefault="00BD48FE" w:rsidP="00BD48FE">
    <w:pPr>
      <w:pBdr>
        <w:bottom w:val="single" w:sz="4" w:space="4" w:color="auto"/>
      </w:pBdr>
      <w:suppressAutoHyphens/>
      <w:spacing w:after="0" w:line="240" w:lineRule="auto"/>
      <w:rPr>
        <w:rFonts w:ascii="Times New Roman" w:hAnsi="Times New Roman" w:cs="Times New Roman"/>
        <w:b/>
        <w:sz w:val="18"/>
        <w:lang w:val="en-GB" w:eastAsia="en-US"/>
      </w:rPr>
    </w:pPr>
    <w:r w:rsidRPr="00BD48FE">
      <w:rPr>
        <w:rFonts w:ascii="Times New Roman" w:hAnsi="Times New Roman" w:cs="Times New Roman"/>
        <w:b/>
        <w:sz w:val="18"/>
        <w:lang w:val="en-GB" w:eastAsia="en-US"/>
      </w:rPr>
      <w:t>INF.</w:t>
    </w:r>
    <w:r>
      <w:rPr>
        <w:rFonts w:ascii="Times New Roman" w:hAnsi="Times New Roman" w:cs="Times New Roman"/>
        <w:b/>
        <w:sz w:val="18"/>
        <w:lang w:val="en-GB" w:eastAsia="en-US"/>
      </w:rPr>
      <w:t>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1C" w:rsidRPr="00BD48FE" w:rsidRDefault="00BD48FE" w:rsidP="00BD48FE">
    <w:pPr>
      <w:pBdr>
        <w:bottom w:val="single" w:sz="4" w:space="4" w:color="auto"/>
      </w:pBdr>
      <w:suppressAutoHyphens/>
      <w:spacing w:after="0" w:line="240" w:lineRule="auto"/>
      <w:jc w:val="right"/>
      <w:rPr>
        <w:rFonts w:ascii="Times New Roman" w:hAnsi="Times New Roman" w:cs="Times New Roman"/>
        <w:b/>
        <w:sz w:val="18"/>
        <w:lang w:val="en-GB" w:eastAsia="en-US"/>
      </w:rPr>
    </w:pPr>
    <w:r w:rsidRPr="00BD48FE">
      <w:rPr>
        <w:rFonts w:ascii="Times New Roman" w:hAnsi="Times New Roman" w:cs="Times New Roman"/>
        <w:b/>
        <w:sz w:val="18"/>
        <w:lang w:val="en-GB" w:eastAsia="en-US"/>
      </w:rPr>
      <w:t>INF.</w:t>
    </w:r>
    <w:r>
      <w:rPr>
        <w:rFonts w:ascii="Times New Roman" w:hAnsi="Times New Roman" w:cs="Times New Roman"/>
        <w:b/>
        <w:sz w:val="18"/>
        <w:lang w:val="en-GB" w:eastAsia="en-US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B03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9691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F5AF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89C83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AC69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4032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66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322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A65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F43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118D6"/>
    <w:multiLevelType w:val="hybridMultilevel"/>
    <w:tmpl w:val="24ECC88C"/>
    <w:lvl w:ilvl="0" w:tplc="2F0EB9A2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DD6C3A"/>
    <w:multiLevelType w:val="hybridMultilevel"/>
    <w:tmpl w:val="7AA21538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1B0282"/>
    <w:multiLevelType w:val="hybridMultilevel"/>
    <w:tmpl w:val="C22242FC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83449C"/>
    <w:multiLevelType w:val="hybridMultilevel"/>
    <w:tmpl w:val="A8AA2B94"/>
    <w:lvl w:ilvl="0" w:tplc="9E00CB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2467EF"/>
    <w:multiLevelType w:val="singleLevel"/>
    <w:tmpl w:val="B2608910"/>
    <w:lvl w:ilvl="0">
      <w:start w:val="1"/>
      <w:numFmt w:val="lowerRoman"/>
      <w:lvlText w:val="(%1)"/>
      <w:lvlJc w:val="right"/>
      <w:pPr>
        <w:tabs>
          <w:tab w:val="num" w:pos="1440"/>
        </w:tabs>
        <w:ind w:left="1440" w:hanging="448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35512CE"/>
    <w:multiLevelType w:val="hybridMultilevel"/>
    <w:tmpl w:val="5F3261B8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811E88"/>
    <w:multiLevelType w:val="hybridMultilevel"/>
    <w:tmpl w:val="0AE2EF4C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38F2EDF"/>
    <w:multiLevelType w:val="hybridMultilevel"/>
    <w:tmpl w:val="CB3C325C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C67E19"/>
    <w:multiLevelType w:val="hybridMultilevel"/>
    <w:tmpl w:val="646AB27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5506B6B"/>
    <w:multiLevelType w:val="hybridMultilevel"/>
    <w:tmpl w:val="A87E7774"/>
    <w:lvl w:ilvl="0" w:tplc="9028E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2F0EB9A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57F110C"/>
    <w:multiLevelType w:val="hybridMultilevel"/>
    <w:tmpl w:val="EE549A74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6A80D0B"/>
    <w:multiLevelType w:val="hybridMultilevel"/>
    <w:tmpl w:val="7BA6187A"/>
    <w:lvl w:ilvl="0" w:tplc="543E4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D7F5B"/>
    <w:multiLevelType w:val="hybridMultilevel"/>
    <w:tmpl w:val="4F64FFAE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1E0775"/>
    <w:multiLevelType w:val="hybridMultilevel"/>
    <w:tmpl w:val="DB7E1A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11345"/>
    <w:multiLevelType w:val="singleLevel"/>
    <w:tmpl w:val="C7EAD7E4"/>
    <w:lvl w:ilvl="0">
      <w:start w:val="1"/>
      <w:numFmt w:val="lowerRoman"/>
      <w:lvlText w:val="(%1)"/>
      <w:lvlJc w:val="left"/>
      <w:pPr>
        <w:ind w:left="1770" w:hanging="1245"/>
      </w:pPr>
      <w:rPr>
        <w:rFonts w:cs="Times New Roman"/>
      </w:rPr>
    </w:lvl>
  </w:abstractNum>
  <w:abstractNum w:abstractNumId="25" w15:restartNumberingAfterBreak="0">
    <w:nsid w:val="42975BD1"/>
    <w:multiLevelType w:val="hybridMultilevel"/>
    <w:tmpl w:val="C9ECD7D4"/>
    <w:lvl w:ilvl="0" w:tplc="39200B66">
      <w:start w:val="3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43457F4F"/>
    <w:multiLevelType w:val="hybridMultilevel"/>
    <w:tmpl w:val="020A9F72"/>
    <w:lvl w:ilvl="0" w:tplc="7D521F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1" w:tplc="0FB88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CB227C"/>
    <w:multiLevelType w:val="hybridMultilevel"/>
    <w:tmpl w:val="3B382874"/>
    <w:lvl w:ilvl="0" w:tplc="2F0EB9A2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B887575"/>
    <w:multiLevelType w:val="hybridMultilevel"/>
    <w:tmpl w:val="C284EF34"/>
    <w:lvl w:ilvl="0" w:tplc="FE9E99C0">
      <w:start w:val="1"/>
      <w:numFmt w:val="lowerLetter"/>
      <w:lvlText w:val="%1)"/>
      <w:lvlJc w:val="left"/>
      <w:pPr>
        <w:tabs>
          <w:tab w:val="num" w:pos="1633"/>
        </w:tabs>
        <w:ind w:left="1633" w:hanging="567"/>
      </w:pPr>
      <w:rPr>
        <w:rFonts w:cs="Times New Roman" w:hint="default"/>
        <w:b w:val="0"/>
        <w:i w:val="0"/>
        <w:sz w:val="24"/>
      </w:rPr>
    </w:lvl>
    <w:lvl w:ilvl="1" w:tplc="39DC3518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BD9786A"/>
    <w:multiLevelType w:val="hybridMultilevel"/>
    <w:tmpl w:val="BDAE4F2C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DC3C53"/>
    <w:multiLevelType w:val="singleLevel"/>
    <w:tmpl w:val="2F2623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2DA3AC6"/>
    <w:multiLevelType w:val="hybridMultilevel"/>
    <w:tmpl w:val="05280BCC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377B59"/>
    <w:multiLevelType w:val="hybridMultilevel"/>
    <w:tmpl w:val="52C81C10"/>
    <w:lvl w:ilvl="0" w:tplc="D97E6A66">
      <w:start w:val="3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3" w15:restartNumberingAfterBreak="0">
    <w:nsid w:val="58824AF2"/>
    <w:multiLevelType w:val="hybridMultilevel"/>
    <w:tmpl w:val="E0246948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B87535"/>
    <w:multiLevelType w:val="hybridMultilevel"/>
    <w:tmpl w:val="344255F0"/>
    <w:lvl w:ilvl="0" w:tplc="B0CCF9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F64EC2"/>
    <w:multiLevelType w:val="hybridMultilevel"/>
    <w:tmpl w:val="47B67E2A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960F82"/>
    <w:multiLevelType w:val="hybridMultilevel"/>
    <w:tmpl w:val="62A01F9E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256E62"/>
    <w:multiLevelType w:val="hybridMultilevel"/>
    <w:tmpl w:val="0EF88FF6"/>
    <w:lvl w:ilvl="0" w:tplc="9E00CB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C013796"/>
    <w:multiLevelType w:val="hybridMultilevel"/>
    <w:tmpl w:val="457E4758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2C77D5"/>
    <w:multiLevelType w:val="hybridMultilevel"/>
    <w:tmpl w:val="D8086D64"/>
    <w:lvl w:ilvl="0" w:tplc="EFF8BF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EE6BDC"/>
    <w:multiLevelType w:val="hybridMultilevel"/>
    <w:tmpl w:val="3FA61766"/>
    <w:lvl w:ilvl="0" w:tplc="39DC35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02481B"/>
    <w:multiLevelType w:val="hybridMultilevel"/>
    <w:tmpl w:val="3E42E8AA"/>
    <w:lvl w:ilvl="0" w:tplc="F2183E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7A12541"/>
    <w:multiLevelType w:val="hybridMultilevel"/>
    <w:tmpl w:val="B43290BE"/>
    <w:lvl w:ilvl="0" w:tplc="9E00CB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FD73CDD"/>
    <w:multiLevelType w:val="hybridMultilevel"/>
    <w:tmpl w:val="40C2D794"/>
    <w:lvl w:ilvl="0" w:tplc="9E00CB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41"/>
  </w:num>
  <w:num w:numId="13">
    <w:abstractNumId w:val="19"/>
  </w:num>
  <w:num w:numId="14">
    <w:abstractNumId w:val="26"/>
  </w:num>
  <w:num w:numId="15">
    <w:abstractNumId w:val="37"/>
  </w:num>
  <w:num w:numId="16">
    <w:abstractNumId w:val="13"/>
  </w:num>
  <w:num w:numId="17">
    <w:abstractNumId w:val="27"/>
  </w:num>
  <w:num w:numId="18">
    <w:abstractNumId w:val="42"/>
  </w:num>
  <w:num w:numId="19">
    <w:abstractNumId w:val="43"/>
  </w:num>
  <w:num w:numId="20">
    <w:abstractNumId w:val="10"/>
  </w:num>
  <w:num w:numId="21">
    <w:abstractNumId w:val="30"/>
  </w:num>
  <w:num w:numId="22">
    <w:abstractNumId w:val="34"/>
  </w:num>
  <w:num w:numId="23">
    <w:abstractNumId w:val="39"/>
  </w:num>
  <w:num w:numId="24">
    <w:abstractNumId w:val="18"/>
  </w:num>
  <w:num w:numId="25">
    <w:abstractNumId w:val="38"/>
  </w:num>
  <w:num w:numId="26">
    <w:abstractNumId w:val="36"/>
  </w:num>
  <w:num w:numId="27">
    <w:abstractNumId w:val="16"/>
  </w:num>
  <w:num w:numId="28">
    <w:abstractNumId w:val="33"/>
  </w:num>
  <w:num w:numId="29">
    <w:abstractNumId w:val="17"/>
  </w:num>
  <w:num w:numId="30">
    <w:abstractNumId w:val="15"/>
  </w:num>
  <w:num w:numId="31">
    <w:abstractNumId w:val="12"/>
  </w:num>
  <w:num w:numId="32">
    <w:abstractNumId w:val="20"/>
  </w:num>
  <w:num w:numId="33">
    <w:abstractNumId w:val="35"/>
  </w:num>
  <w:num w:numId="34">
    <w:abstractNumId w:val="29"/>
  </w:num>
  <w:num w:numId="35">
    <w:abstractNumId w:val="31"/>
  </w:num>
  <w:num w:numId="36">
    <w:abstractNumId w:val="11"/>
  </w:num>
  <w:num w:numId="37">
    <w:abstractNumId w:val="22"/>
  </w:num>
  <w:num w:numId="38">
    <w:abstractNumId w:val="28"/>
  </w:num>
  <w:num w:numId="39">
    <w:abstractNumId w:val="40"/>
  </w:num>
  <w:num w:numId="40">
    <w:abstractNumId w:val="32"/>
  </w:num>
  <w:num w:numId="41">
    <w:abstractNumId w:val="24"/>
  </w:num>
  <w:num w:numId="42">
    <w:abstractNumId w:val="25"/>
  </w:num>
  <w:num w:numId="43">
    <w:abstractNumId w:val="2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8B"/>
    <w:rsid w:val="00000D74"/>
    <w:rsid w:val="00023774"/>
    <w:rsid w:val="000302DE"/>
    <w:rsid w:val="00035B25"/>
    <w:rsid w:val="00047583"/>
    <w:rsid w:val="00062F85"/>
    <w:rsid w:val="000A1711"/>
    <w:rsid w:val="000A23DE"/>
    <w:rsid w:val="000A4775"/>
    <w:rsid w:val="001006EA"/>
    <w:rsid w:val="001136EA"/>
    <w:rsid w:val="00141158"/>
    <w:rsid w:val="00162E5B"/>
    <w:rsid w:val="00171102"/>
    <w:rsid w:val="001C0EC7"/>
    <w:rsid w:val="001D5955"/>
    <w:rsid w:val="001E2274"/>
    <w:rsid w:val="001E287B"/>
    <w:rsid w:val="001F4219"/>
    <w:rsid w:val="001F4973"/>
    <w:rsid w:val="001F5124"/>
    <w:rsid w:val="001F76C0"/>
    <w:rsid w:val="00202DB8"/>
    <w:rsid w:val="0021095C"/>
    <w:rsid w:val="00217A9C"/>
    <w:rsid w:val="00222CE8"/>
    <w:rsid w:val="002245C8"/>
    <w:rsid w:val="00233243"/>
    <w:rsid w:val="00245004"/>
    <w:rsid w:val="002A388B"/>
    <w:rsid w:val="002A44E5"/>
    <w:rsid w:val="002B09D8"/>
    <w:rsid w:val="002B1D32"/>
    <w:rsid w:val="002B3439"/>
    <w:rsid w:val="002C2B85"/>
    <w:rsid w:val="002D2173"/>
    <w:rsid w:val="002D4194"/>
    <w:rsid w:val="002D6C56"/>
    <w:rsid w:val="002E368B"/>
    <w:rsid w:val="002F22F0"/>
    <w:rsid w:val="002F4474"/>
    <w:rsid w:val="002F6A75"/>
    <w:rsid w:val="003018E0"/>
    <w:rsid w:val="003051CB"/>
    <w:rsid w:val="0030690F"/>
    <w:rsid w:val="00313BFB"/>
    <w:rsid w:val="00316AF8"/>
    <w:rsid w:val="00325484"/>
    <w:rsid w:val="00334B92"/>
    <w:rsid w:val="00335E0F"/>
    <w:rsid w:val="0035413A"/>
    <w:rsid w:val="00357C7F"/>
    <w:rsid w:val="00373399"/>
    <w:rsid w:val="003733EB"/>
    <w:rsid w:val="003A6041"/>
    <w:rsid w:val="003B7B38"/>
    <w:rsid w:val="003C15E5"/>
    <w:rsid w:val="003C58FA"/>
    <w:rsid w:val="003D3481"/>
    <w:rsid w:val="003D4826"/>
    <w:rsid w:val="003D613A"/>
    <w:rsid w:val="003E4390"/>
    <w:rsid w:val="003F0EAB"/>
    <w:rsid w:val="003F2DF9"/>
    <w:rsid w:val="00403A4C"/>
    <w:rsid w:val="004123B1"/>
    <w:rsid w:val="00413EFE"/>
    <w:rsid w:val="00415E3F"/>
    <w:rsid w:val="00436C6C"/>
    <w:rsid w:val="004440FF"/>
    <w:rsid w:val="00450063"/>
    <w:rsid w:val="00457002"/>
    <w:rsid w:val="00474E39"/>
    <w:rsid w:val="00480BBB"/>
    <w:rsid w:val="00485E20"/>
    <w:rsid w:val="004870E3"/>
    <w:rsid w:val="00487185"/>
    <w:rsid w:val="0049166E"/>
    <w:rsid w:val="00495FFE"/>
    <w:rsid w:val="004A1504"/>
    <w:rsid w:val="004A64EC"/>
    <w:rsid w:val="004B59B9"/>
    <w:rsid w:val="004D3304"/>
    <w:rsid w:val="004D39E8"/>
    <w:rsid w:val="004E66E7"/>
    <w:rsid w:val="00525954"/>
    <w:rsid w:val="00532027"/>
    <w:rsid w:val="00536EFA"/>
    <w:rsid w:val="00537E04"/>
    <w:rsid w:val="0054675F"/>
    <w:rsid w:val="00560A3E"/>
    <w:rsid w:val="00560C1C"/>
    <w:rsid w:val="00564722"/>
    <w:rsid w:val="00572AEC"/>
    <w:rsid w:val="00575848"/>
    <w:rsid w:val="00582954"/>
    <w:rsid w:val="00582C9F"/>
    <w:rsid w:val="00585CF7"/>
    <w:rsid w:val="005B4B36"/>
    <w:rsid w:val="005C0C25"/>
    <w:rsid w:val="005C76FD"/>
    <w:rsid w:val="005D1288"/>
    <w:rsid w:val="005F3ADC"/>
    <w:rsid w:val="005F5651"/>
    <w:rsid w:val="006064B9"/>
    <w:rsid w:val="00613DB6"/>
    <w:rsid w:val="00623FF8"/>
    <w:rsid w:val="00626DF4"/>
    <w:rsid w:val="006275DB"/>
    <w:rsid w:val="00647851"/>
    <w:rsid w:val="00663810"/>
    <w:rsid w:val="006669B8"/>
    <w:rsid w:val="006721BD"/>
    <w:rsid w:val="0067469B"/>
    <w:rsid w:val="006828C7"/>
    <w:rsid w:val="006C0354"/>
    <w:rsid w:val="006F7302"/>
    <w:rsid w:val="00701BAF"/>
    <w:rsid w:val="007151AC"/>
    <w:rsid w:val="0071605E"/>
    <w:rsid w:val="00730D6D"/>
    <w:rsid w:val="00750CC9"/>
    <w:rsid w:val="007534F7"/>
    <w:rsid w:val="007552AF"/>
    <w:rsid w:val="007607C3"/>
    <w:rsid w:val="00782569"/>
    <w:rsid w:val="007A672F"/>
    <w:rsid w:val="0080083F"/>
    <w:rsid w:val="0081162C"/>
    <w:rsid w:val="008218B7"/>
    <w:rsid w:val="00841802"/>
    <w:rsid w:val="00844CDC"/>
    <w:rsid w:val="00847C89"/>
    <w:rsid w:val="008525A8"/>
    <w:rsid w:val="008642C1"/>
    <w:rsid w:val="00867F0C"/>
    <w:rsid w:val="00870B6D"/>
    <w:rsid w:val="00881D7A"/>
    <w:rsid w:val="0088257B"/>
    <w:rsid w:val="008849AD"/>
    <w:rsid w:val="0089212E"/>
    <w:rsid w:val="008A43A7"/>
    <w:rsid w:val="008A4415"/>
    <w:rsid w:val="008B4F10"/>
    <w:rsid w:val="008C71E1"/>
    <w:rsid w:val="008E3FFB"/>
    <w:rsid w:val="008E7773"/>
    <w:rsid w:val="008F129F"/>
    <w:rsid w:val="00901637"/>
    <w:rsid w:val="00902626"/>
    <w:rsid w:val="00931CC9"/>
    <w:rsid w:val="009356BB"/>
    <w:rsid w:val="0095121E"/>
    <w:rsid w:val="00956B31"/>
    <w:rsid w:val="009630E1"/>
    <w:rsid w:val="009741AE"/>
    <w:rsid w:val="00980456"/>
    <w:rsid w:val="00997F58"/>
    <w:rsid w:val="009C3D02"/>
    <w:rsid w:val="009E0BA4"/>
    <w:rsid w:val="009F2A47"/>
    <w:rsid w:val="00A0088E"/>
    <w:rsid w:val="00A01A4B"/>
    <w:rsid w:val="00A02DEA"/>
    <w:rsid w:val="00A165BA"/>
    <w:rsid w:val="00A17F94"/>
    <w:rsid w:val="00A2604F"/>
    <w:rsid w:val="00A26AE3"/>
    <w:rsid w:val="00A3738F"/>
    <w:rsid w:val="00A375B3"/>
    <w:rsid w:val="00A42E6C"/>
    <w:rsid w:val="00A46D45"/>
    <w:rsid w:val="00A471A4"/>
    <w:rsid w:val="00A6254A"/>
    <w:rsid w:val="00A65E44"/>
    <w:rsid w:val="00A717CA"/>
    <w:rsid w:val="00A8307D"/>
    <w:rsid w:val="00A83BBA"/>
    <w:rsid w:val="00A86441"/>
    <w:rsid w:val="00AB3E60"/>
    <w:rsid w:val="00AC5D5B"/>
    <w:rsid w:val="00AC6618"/>
    <w:rsid w:val="00AD6CA7"/>
    <w:rsid w:val="00AE308D"/>
    <w:rsid w:val="00AF029E"/>
    <w:rsid w:val="00B115A3"/>
    <w:rsid w:val="00B13AC8"/>
    <w:rsid w:val="00B1498D"/>
    <w:rsid w:val="00B15D60"/>
    <w:rsid w:val="00B22D98"/>
    <w:rsid w:val="00B234B9"/>
    <w:rsid w:val="00B3642C"/>
    <w:rsid w:val="00B533B5"/>
    <w:rsid w:val="00B5724A"/>
    <w:rsid w:val="00B659EA"/>
    <w:rsid w:val="00B67FA3"/>
    <w:rsid w:val="00B73688"/>
    <w:rsid w:val="00B84F1E"/>
    <w:rsid w:val="00BA72FE"/>
    <w:rsid w:val="00BB6044"/>
    <w:rsid w:val="00BD48FE"/>
    <w:rsid w:val="00BD682E"/>
    <w:rsid w:val="00BF0012"/>
    <w:rsid w:val="00C150A1"/>
    <w:rsid w:val="00C166CC"/>
    <w:rsid w:val="00C2465C"/>
    <w:rsid w:val="00C31C80"/>
    <w:rsid w:val="00C338BF"/>
    <w:rsid w:val="00C46AF3"/>
    <w:rsid w:val="00C6122A"/>
    <w:rsid w:val="00C91BE2"/>
    <w:rsid w:val="00C91C1F"/>
    <w:rsid w:val="00CA2C95"/>
    <w:rsid w:val="00CB62B5"/>
    <w:rsid w:val="00CC51E1"/>
    <w:rsid w:val="00CC6FFA"/>
    <w:rsid w:val="00CD17FC"/>
    <w:rsid w:val="00CD7651"/>
    <w:rsid w:val="00CE59EE"/>
    <w:rsid w:val="00CF0396"/>
    <w:rsid w:val="00D05C8D"/>
    <w:rsid w:val="00D34AC1"/>
    <w:rsid w:val="00D44618"/>
    <w:rsid w:val="00D44D3B"/>
    <w:rsid w:val="00D501BD"/>
    <w:rsid w:val="00D511F3"/>
    <w:rsid w:val="00D81B09"/>
    <w:rsid w:val="00D930AB"/>
    <w:rsid w:val="00D95988"/>
    <w:rsid w:val="00DB0E88"/>
    <w:rsid w:val="00DB6B73"/>
    <w:rsid w:val="00DC1C06"/>
    <w:rsid w:val="00DC38D2"/>
    <w:rsid w:val="00DD274A"/>
    <w:rsid w:val="00DD648B"/>
    <w:rsid w:val="00DF33AC"/>
    <w:rsid w:val="00DF6EF7"/>
    <w:rsid w:val="00E01B85"/>
    <w:rsid w:val="00E1454B"/>
    <w:rsid w:val="00E15D85"/>
    <w:rsid w:val="00E20B57"/>
    <w:rsid w:val="00E33A44"/>
    <w:rsid w:val="00E37274"/>
    <w:rsid w:val="00E43C29"/>
    <w:rsid w:val="00E6052D"/>
    <w:rsid w:val="00E62788"/>
    <w:rsid w:val="00E74095"/>
    <w:rsid w:val="00E93E85"/>
    <w:rsid w:val="00E94D83"/>
    <w:rsid w:val="00EA1BF0"/>
    <w:rsid w:val="00EA2CB0"/>
    <w:rsid w:val="00EA3BD6"/>
    <w:rsid w:val="00EB3CE5"/>
    <w:rsid w:val="00EC5E8F"/>
    <w:rsid w:val="00ED067E"/>
    <w:rsid w:val="00ED7E43"/>
    <w:rsid w:val="00EF4E5F"/>
    <w:rsid w:val="00F0499F"/>
    <w:rsid w:val="00F05F36"/>
    <w:rsid w:val="00F20475"/>
    <w:rsid w:val="00F53EC4"/>
    <w:rsid w:val="00F555A4"/>
    <w:rsid w:val="00F852ED"/>
    <w:rsid w:val="00FA4E62"/>
    <w:rsid w:val="00FA6A79"/>
    <w:rsid w:val="00FB0399"/>
    <w:rsid w:val="00F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7946"/>
  <w15:docId w15:val="{0F8C654F-A824-4009-8611-790E6E0D4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de-DE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spacing w:before="1500" w:after="1060" w:line="360" w:lineRule="auto"/>
      <w:jc w:val="center"/>
      <w:outlineLvl w:val="0"/>
    </w:pPr>
    <w:rPr>
      <w:rFonts w:ascii="Verdana" w:hAnsi="Verdana" w:cs="Times New Roman"/>
      <w:b/>
      <w:caps/>
      <w:snapToGrid w:val="0"/>
      <w:color w:val="000080"/>
      <w:sz w:val="21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spacing w:before="340" w:line="240" w:lineRule="auto"/>
      <w:outlineLvl w:val="1"/>
    </w:pPr>
    <w:rPr>
      <w:rFonts w:ascii="Verdana" w:hAnsi="Verdana" w:cs="Times New Roman"/>
      <w:b/>
      <w:caps/>
      <w:snapToGrid w:val="0"/>
      <w:color w:val="333399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spacing w:before="480" w:after="240" w:line="240" w:lineRule="auto"/>
      <w:jc w:val="center"/>
      <w:outlineLvl w:val="2"/>
    </w:pPr>
    <w:rPr>
      <w:rFonts w:ascii="Verdana" w:hAnsi="Verdana" w:cs="Times New Roman"/>
      <w:i/>
      <w:snapToGrid w:val="0"/>
      <w:color w:val="CC0000"/>
      <w:sz w:val="21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tabs>
        <w:tab w:val="num" w:pos="1134"/>
      </w:tabs>
      <w:spacing w:line="240" w:lineRule="auto"/>
      <w:ind w:left="1134" w:hanging="283"/>
      <w:outlineLvl w:val="3"/>
    </w:pPr>
    <w:rPr>
      <w:rFonts w:ascii="Verdana" w:hAnsi="Verdana" w:cs="Times New Roman"/>
      <w:snapToGrid w:val="0"/>
      <w:sz w:val="21"/>
      <w:u w:val="single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keepNext/>
      <w:spacing w:line="240" w:lineRule="auto"/>
      <w:jc w:val="center"/>
      <w:outlineLvl w:val="4"/>
    </w:pPr>
    <w:rPr>
      <w:rFonts w:ascii="Verdana" w:hAnsi="Verdana" w:cs="Times New Roman"/>
      <w:snapToGrid w:val="0"/>
      <w:sz w:val="21"/>
      <w:u w:val="single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keepNext/>
      <w:spacing w:line="240" w:lineRule="auto"/>
      <w:jc w:val="center"/>
      <w:outlineLvl w:val="5"/>
    </w:pPr>
    <w:rPr>
      <w:rFonts w:ascii="Verdana" w:hAnsi="Verdana" w:cs="Times New Roman"/>
      <w:caps/>
      <w:snapToGrid w:val="0"/>
      <w:sz w:val="21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keepNext/>
      <w:spacing w:after="0" w:line="240" w:lineRule="auto"/>
      <w:jc w:val="center"/>
      <w:outlineLvl w:val="6"/>
    </w:pPr>
    <w:rPr>
      <w:rFonts w:cs="Times New Roman"/>
      <w:sz w:val="28"/>
      <w:szCs w:val="24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spacing w:after="240" w:line="480" w:lineRule="auto"/>
      <w:jc w:val="center"/>
      <w:outlineLvl w:val="7"/>
    </w:pPr>
    <w:rPr>
      <w:rFonts w:ascii="Verdana" w:hAnsi="Verdana" w:cs="Times New Roman"/>
      <w:iCs/>
      <w:sz w:val="21"/>
      <w:szCs w:val="24"/>
      <w:lang w:val="en-GB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keepNext/>
      <w:spacing w:after="0" w:line="240" w:lineRule="auto"/>
      <w:jc w:val="center"/>
      <w:outlineLvl w:val="8"/>
    </w:pPr>
    <w:rPr>
      <w:rFonts w:ascii="Verdana" w:hAnsi="Verdana" w:cs="Times New Roman"/>
      <w:b/>
      <w:bCs/>
      <w:sz w:val="3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napToGrid w:val="0"/>
      <w:sz w:val="24"/>
      <w:szCs w:val="24"/>
    </w:rPr>
  </w:style>
  <w:style w:type="paragraph" w:customStyle="1" w:styleId="Normal0">
    <w:name w:val="[Normal]"/>
    <w:pPr>
      <w:autoSpaceDE w:val="0"/>
      <w:autoSpaceDN w:val="0"/>
      <w:adjustRightInd w:val="0"/>
    </w:pPr>
    <w:rPr>
      <w:snapToGrid w:val="0"/>
      <w:lang w:val="de-D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FootnoteReference">
    <w:name w:val="footnote reference"/>
    <w:rPr>
      <w:rFonts w:ascii="Verdana" w:hAnsi="Verdana"/>
      <w:b/>
      <w:color w:val="000080"/>
      <w:spacing w:val="0"/>
      <w:w w:val="100"/>
      <w:kern w:val="0"/>
      <w:position w:val="0"/>
      <w:sz w:val="21"/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</w:style>
  <w:style w:type="numbering" w:customStyle="1" w:styleId="Aucuneliste1">
    <w:name w:val="Aucune liste1"/>
    <w:next w:val="NoList"/>
    <w:semiHidden/>
  </w:style>
  <w:style w:type="character" w:customStyle="1" w:styleId="HeaderChar">
    <w:name w:val="Header Char"/>
    <w:link w:val="Header"/>
    <w:rPr>
      <w:snapToGrid w:val="0"/>
      <w:sz w:val="24"/>
      <w:szCs w:val="24"/>
      <w:lang w:val="de-DE" w:eastAsia="fr-FR" w:bidi="ar-SA"/>
    </w:rPr>
  </w:style>
  <w:style w:type="character" w:customStyle="1" w:styleId="FooterChar">
    <w:name w:val="Footer Char"/>
    <w:link w:val="Footer"/>
    <w:rPr>
      <w:rFonts w:ascii="Arial" w:hAnsi="Arial"/>
      <w:lang w:val="de-DE" w:eastAsia="fr-FR" w:bidi="ar-SA"/>
    </w:rPr>
  </w:style>
  <w:style w:type="table" w:styleId="TableGrid">
    <w:name w:val="Table Grid"/>
    <w:basedOn w:val="TableNormal"/>
    <w:locked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Pr>
      <w:rFonts w:ascii="Verdana" w:hAnsi="Verdana"/>
      <w:b/>
      <w:caps/>
      <w:snapToGrid w:val="0"/>
      <w:color w:val="000080"/>
      <w:sz w:val="21"/>
      <w:lang w:val="en-GB" w:eastAsia="en-US" w:bidi="ar-SA"/>
    </w:rPr>
  </w:style>
  <w:style w:type="character" w:customStyle="1" w:styleId="Heading2Char">
    <w:name w:val="Heading 2 Char"/>
    <w:link w:val="Heading2"/>
    <w:rPr>
      <w:rFonts w:ascii="Verdana" w:hAnsi="Verdana"/>
      <w:b/>
      <w:caps/>
      <w:snapToGrid w:val="0"/>
      <w:color w:val="333399"/>
      <w:sz w:val="24"/>
      <w:lang w:val="en-GB" w:eastAsia="en-US" w:bidi="ar-SA"/>
    </w:rPr>
  </w:style>
  <w:style w:type="character" w:customStyle="1" w:styleId="Heading3Char">
    <w:name w:val="Heading 3 Char"/>
    <w:link w:val="Heading3"/>
    <w:rPr>
      <w:rFonts w:ascii="Verdana" w:hAnsi="Verdana"/>
      <w:i/>
      <w:snapToGrid w:val="0"/>
      <w:color w:val="CC0000"/>
      <w:sz w:val="21"/>
      <w:lang w:val="en-GB" w:eastAsia="en-US" w:bidi="ar-SA"/>
    </w:rPr>
  </w:style>
  <w:style w:type="character" w:customStyle="1" w:styleId="Heading4Char">
    <w:name w:val="Heading 4 Char"/>
    <w:link w:val="Heading4"/>
    <w:rPr>
      <w:rFonts w:ascii="Verdana" w:hAnsi="Verdana"/>
      <w:snapToGrid w:val="0"/>
      <w:sz w:val="21"/>
      <w:u w:val="single"/>
      <w:lang w:val="en-GB" w:eastAsia="en-US" w:bidi="ar-SA"/>
    </w:rPr>
  </w:style>
  <w:style w:type="character" w:customStyle="1" w:styleId="Heading5Char">
    <w:name w:val="Heading 5 Char"/>
    <w:link w:val="Heading5"/>
    <w:rPr>
      <w:rFonts w:ascii="Verdana" w:hAnsi="Verdana"/>
      <w:snapToGrid w:val="0"/>
      <w:sz w:val="21"/>
      <w:u w:val="single"/>
      <w:lang w:val="en-GB" w:eastAsia="en-US" w:bidi="ar-SA"/>
    </w:rPr>
  </w:style>
  <w:style w:type="character" w:customStyle="1" w:styleId="Heading6Char">
    <w:name w:val="Heading 6 Char"/>
    <w:link w:val="Heading6"/>
    <w:rPr>
      <w:rFonts w:ascii="Verdana" w:hAnsi="Verdana"/>
      <w:caps/>
      <w:snapToGrid w:val="0"/>
      <w:sz w:val="21"/>
      <w:lang w:val="en-GB" w:eastAsia="en-US" w:bidi="ar-SA"/>
    </w:rPr>
  </w:style>
  <w:style w:type="character" w:customStyle="1" w:styleId="Heading7Char">
    <w:name w:val="Heading 7 Char"/>
    <w:link w:val="Heading7"/>
    <w:rPr>
      <w:rFonts w:ascii="Arial" w:hAnsi="Arial"/>
      <w:sz w:val="28"/>
      <w:szCs w:val="24"/>
      <w:lang w:val="en-GB" w:eastAsia="en-US" w:bidi="ar-SA"/>
    </w:rPr>
  </w:style>
  <w:style w:type="character" w:customStyle="1" w:styleId="Heading8Char">
    <w:name w:val="Heading 8 Char"/>
    <w:link w:val="Heading8"/>
    <w:rPr>
      <w:rFonts w:ascii="Verdana" w:hAnsi="Verdana"/>
      <w:iCs/>
      <w:sz w:val="21"/>
      <w:szCs w:val="24"/>
      <w:lang w:val="en-GB" w:eastAsia="en-US" w:bidi="ar-SA"/>
    </w:rPr>
  </w:style>
  <w:style w:type="character" w:customStyle="1" w:styleId="Heading9Char">
    <w:name w:val="Heading 9 Char"/>
    <w:link w:val="Heading9"/>
    <w:rPr>
      <w:rFonts w:ascii="Verdana" w:hAnsi="Verdana"/>
      <w:b/>
      <w:bCs/>
      <w:sz w:val="34"/>
      <w:szCs w:val="24"/>
      <w:lang w:val="en-GB" w:eastAsia="en-US" w:bidi="ar-SA"/>
    </w:rPr>
  </w:style>
  <w:style w:type="paragraph" w:customStyle="1" w:styleId="ParaNo">
    <w:name w:val="ParaNo."/>
    <w:basedOn w:val="Normal"/>
    <w:link w:val="ParaNoCharChar"/>
    <w:pPr>
      <w:spacing w:after="180" w:line="264" w:lineRule="auto"/>
      <w:jc w:val="both"/>
    </w:pPr>
    <w:rPr>
      <w:rFonts w:ascii="Verdana" w:hAnsi="Verdana" w:cs="Times New Roman"/>
      <w:snapToGrid w:val="0"/>
      <w:sz w:val="21"/>
      <w:lang w:val="x-none" w:eastAsia="en-US"/>
    </w:rPr>
  </w:style>
  <w:style w:type="character" w:customStyle="1" w:styleId="ParaNoCharChar">
    <w:name w:val="ParaNo. Char Char"/>
    <w:link w:val="ParaNo"/>
    <w:rPr>
      <w:rFonts w:ascii="Verdana" w:hAnsi="Verdana"/>
      <w:snapToGrid w:val="0"/>
      <w:sz w:val="21"/>
      <w:lang w:val="x-none" w:eastAsia="en-US" w:bidi="ar-SA"/>
    </w:rPr>
  </w:style>
  <w:style w:type="character" w:customStyle="1" w:styleId="FootnoteTextChar">
    <w:name w:val="Footnote Text Char"/>
    <w:link w:val="FootnoteText"/>
    <w:rPr>
      <w:rFonts w:ascii="Arial" w:hAnsi="Arial" w:cs="Arial"/>
      <w:lang w:val="de-DE" w:eastAsia="fr-FR" w:bidi="ar-SA"/>
    </w:rPr>
  </w:style>
  <w:style w:type="paragraph" w:customStyle="1" w:styleId="TITLEPAGE">
    <w:name w:val="TITLE PAGE"/>
    <w:basedOn w:val="Normal"/>
    <w:pPr>
      <w:spacing w:after="0" w:line="240" w:lineRule="auto"/>
      <w:jc w:val="center"/>
    </w:pPr>
    <w:rPr>
      <w:rFonts w:cs="Times New Roman"/>
      <w:color w:val="333399"/>
      <w:sz w:val="21"/>
      <w:szCs w:val="24"/>
      <w:lang w:val="en-GB" w:eastAsia="en-US"/>
    </w:r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locked/>
    <w:pPr>
      <w:keepNext/>
      <w:tabs>
        <w:tab w:val="right" w:leader="dot" w:pos="8505"/>
        <w:tab w:val="center" w:pos="8930"/>
      </w:tabs>
      <w:spacing w:before="240" w:after="240" w:line="240" w:lineRule="auto"/>
      <w:ind w:left="1701" w:hanging="1701"/>
    </w:pPr>
    <w:rPr>
      <w:rFonts w:ascii="Verdana" w:hAnsi="Verdana" w:cs="Times New Roman"/>
      <w:color w:val="000080"/>
      <w:sz w:val="21"/>
      <w:szCs w:val="24"/>
      <w:lang w:val="en-GB" w:eastAsia="en-US"/>
    </w:rPr>
  </w:style>
  <w:style w:type="paragraph" w:customStyle="1" w:styleId="Para">
    <w:name w:val="Para"/>
    <w:basedOn w:val="Normal"/>
    <w:pPr>
      <w:spacing w:after="180" w:line="264" w:lineRule="auto"/>
      <w:ind w:firstLine="567"/>
      <w:jc w:val="both"/>
    </w:pPr>
    <w:rPr>
      <w:rFonts w:ascii="Verdana" w:hAnsi="Verdana" w:cs="Times New Roman"/>
      <w:sz w:val="21"/>
      <w:szCs w:val="24"/>
      <w:lang w:val="en-GB" w:eastAsia="en-US"/>
    </w:rPr>
  </w:style>
  <w:style w:type="paragraph" w:customStyle="1" w:styleId="Paraa">
    <w:name w:val="Para a)"/>
    <w:basedOn w:val="ParaNo"/>
    <w:pPr>
      <w:spacing w:after="140"/>
      <w:ind w:left="1134" w:hanging="567"/>
    </w:pPr>
  </w:style>
  <w:style w:type="paragraph" w:customStyle="1" w:styleId="Parai">
    <w:name w:val="Para i)"/>
    <w:basedOn w:val="Paraa"/>
    <w:pPr>
      <w:tabs>
        <w:tab w:val="right" w:pos="1871"/>
      </w:tabs>
      <w:ind w:left="1701" w:hanging="1134"/>
    </w:pPr>
  </w:style>
  <w:style w:type="paragraph" w:styleId="TOC2">
    <w:name w:val="toc 2"/>
    <w:basedOn w:val="Normal"/>
    <w:next w:val="Normal"/>
    <w:locked/>
    <w:pPr>
      <w:keepNext/>
      <w:tabs>
        <w:tab w:val="left" w:pos="1134"/>
        <w:tab w:val="right" w:leader="dot" w:pos="8505"/>
        <w:tab w:val="center" w:pos="8930"/>
      </w:tabs>
      <w:spacing w:before="140" w:after="140" w:line="240" w:lineRule="auto"/>
      <w:ind w:left="1134" w:hanging="907"/>
    </w:pPr>
    <w:rPr>
      <w:rFonts w:ascii="Verdana" w:hAnsi="Verdana" w:cs="Times New Roman"/>
      <w:noProof/>
      <w:color w:val="333399"/>
      <w:sz w:val="21"/>
      <w:szCs w:val="24"/>
      <w:lang w:val="en-GB" w:eastAsia="en-US"/>
    </w:rPr>
  </w:style>
  <w:style w:type="paragraph" w:styleId="TOC3">
    <w:name w:val="toc 3"/>
    <w:basedOn w:val="Normal"/>
    <w:next w:val="Normal"/>
    <w:locked/>
    <w:pPr>
      <w:tabs>
        <w:tab w:val="center" w:pos="1985"/>
        <w:tab w:val="left" w:pos="2268"/>
        <w:tab w:val="right" w:leader="dot" w:pos="8505"/>
        <w:tab w:val="center" w:pos="8930"/>
      </w:tabs>
      <w:spacing w:after="0" w:line="240" w:lineRule="auto"/>
      <w:ind w:left="2269" w:right="1134" w:hanging="1985"/>
    </w:pPr>
    <w:rPr>
      <w:rFonts w:ascii="Verdana" w:hAnsi="Verdana" w:cs="Times New Roman"/>
      <w:szCs w:val="24"/>
      <w:lang w:val="en-GB" w:eastAsia="en-US"/>
    </w:rPr>
  </w:style>
  <w:style w:type="paragraph" w:styleId="TOC4">
    <w:name w:val="toc 4"/>
    <w:basedOn w:val="Normal"/>
    <w:next w:val="Normal"/>
    <w:autoRedefine/>
    <w:locked/>
    <w:pPr>
      <w:spacing w:after="0" w:line="240" w:lineRule="auto"/>
      <w:ind w:left="720"/>
    </w:pPr>
    <w:rPr>
      <w:rFonts w:ascii="Verdana" w:hAnsi="Verdana" w:cs="Times New Roman"/>
      <w:sz w:val="21"/>
      <w:szCs w:val="24"/>
      <w:lang w:val="en-GB" w:eastAsia="en-US"/>
    </w:rPr>
  </w:style>
  <w:style w:type="paragraph" w:styleId="TOC5">
    <w:name w:val="toc 5"/>
    <w:basedOn w:val="Normal"/>
    <w:next w:val="Normal"/>
    <w:autoRedefine/>
    <w:locked/>
    <w:pPr>
      <w:spacing w:after="0" w:line="240" w:lineRule="auto"/>
      <w:ind w:left="960"/>
    </w:pPr>
    <w:rPr>
      <w:rFonts w:ascii="Verdana" w:hAnsi="Verdana" w:cs="Times New Roman"/>
      <w:sz w:val="21"/>
      <w:szCs w:val="24"/>
      <w:lang w:val="en-GB" w:eastAsia="en-US"/>
    </w:rPr>
  </w:style>
  <w:style w:type="paragraph" w:styleId="TOC6">
    <w:name w:val="toc 6"/>
    <w:basedOn w:val="Normal"/>
    <w:next w:val="Normal"/>
    <w:autoRedefine/>
    <w:locked/>
    <w:pPr>
      <w:spacing w:after="0" w:line="240" w:lineRule="auto"/>
      <w:ind w:left="1200"/>
    </w:pPr>
    <w:rPr>
      <w:rFonts w:ascii="Verdana" w:hAnsi="Verdana" w:cs="Times New Roman"/>
      <w:sz w:val="21"/>
      <w:szCs w:val="24"/>
      <w:lang w:val="en-GB" w:eastAsia="en-US"/>
    </w:rPr>
  </w:style>
  <w:style w:type="paragraph" w:styleId="TOC7">
    <w:name w:val="toc 7"/>
    <w:basedOn w:val="Normal"/>
    <w:next w:val="Normal"/>
    <w:autoRedefine/>
    <w:locked/>
    <w:pPr>
      <w:spacing w:after="0" w:line="240" w:lineRule="auto"/>
      <w:ind w:left="1440"/>
    </w:pPr>
    <w:rPr>
      <w:rFonts w:ascii="Verdana" w:hAnsi="Verdana" w:cs="Times New Roman"/>
      <w:sz w:val="21"/>
      <w:szCs w:val="24"/>
      <w:lang w:val="en-GB" w:eastAsia="en-US"/>
    </w:rPr>
  </w:style>
  <w:style w:type="paragraph" w:styleId="TOC8">
    <w:name w:val="toc 8"/>
    <w:basedOn w:val="Normal"/>
    <w:next w:val="Normal"/>
    <w:autoRedefine/>
    <w:locked/>
    <w:pPr>
      <w:spacing w:after="0" w:line="240" w:lineRule="auto"/>
      <w:ind w:left="1680"/>
    </w:pPr>
    <w:rPr>
      <w:rFonts w:ascii="Verdana" w:hAnsi="Verdana" w:cs="Times New Roman"/>
      <w:sz w:val="21"/>
      <w:szCs w:val="24"/>
      <w:lang w:val="en-GB" w:eastAsia="en-US"/>
    </w:rPr>
  </w:style>
  <w:style w:type="paragraph" w:styleId="TOC9">
    <w:name w:val="toc 9"/>
    <w:basedOn w:val="Normal"/>
    <w:next w:val="Normal"/>
    <w:autoRedefine/>
    <w:locked/>
    <w:pPr>
      <w:spacing w:after="0" w:line="240" w:lineRule="auto"/>
      <w:ind w:left="1920"/>
    </w:pPr>
    <w:rPr>
      <w:rFonts w:ascii="Verdana" w:hAnsi="Verdana" w:cs="Times New Roman"/>
      <w:sz w:val="21"/>
      <w:szCs w:val="24"/>
      <w:lang w:val="en-GB" w:eastAsia="en-US"/>
    </w:rPr>
  </w:style>
  <w:style w:type="paragraph" w:customStyle="1" w:styleId="table">
    <w:name w:val="table"/>
    <w:basedOn w:val="Normal"/>
    <w:pPr>
      <w:spacing w:after="140" w:line="264" w:lineRule="auto"/>
      <w:jc w:val="both"/>
    </w:pPr>
    <w:rPr>
      <w:rFonts w:ascii="Verdana" w:hAnsi="Verdana" w:cs="Times New Roman"/>
      <w:spacing w:val="-1"/>
      <w:sz w:val="21"/>
      <w:szCs w:val="24"/>
      <w:lang w:val="en-GB" w:eastAsia="en-US"/>
    </w:rPr>
  </w:style>
  <w:style w:type="paragraph" w:customStyle="1" w:styleId="Para1">
    <w:name w:val="Para 1"/>
    <w:basedOn w:val="Para"/>
    <w:pPr>
      <w:ind w:left="567" w:firstLine="0"/>
    </w:pPr>
  </w:style>
  <w:style w:type="character" w:styleId="EndnoteReference">
    <w:name w:val="endnote reference"/>
    <w:rPr>
      <w:rFonts w:ascii="Times New Roman" w:hAnsi="Times New Roman"/>
      <w:b/>
      <w:sz w:val="24"/>
      <w:vertAlign w:val="superscript"/>
    </w:rPr>
  </w:style>
  <w:style w:type="paragraph" w:customStyle="1" w:styleId="Subpara">
    <w:name w:val="Sub para"/>
    <w:basedOn w:val="Normal"/>
    <w:next w:val="Normal"/>
    <w:pPr>
      <w:spacing w:line="288" w:lineRule="auto"/>
      <w:ind w:firstLine="567"/>
      <w:jc w:val="both"/>
    </w:pPr>
    <w:rPr>
      <w:rFonts w:ascii="Verdana" w:hAnsi="Verdana" w:cs="Times New Roman"/>
      <w:sz w:val="21"/>
      <w:szCs w:val="24"/>
      <w:lang w:val="en-GB" w:eastAsia="en-US"/>
    </w:rPr>
  </w:style>
  <w:style w:type="paragraph" w:styleId="EndnoteText">
    <w:name w:val="endnote text"/>
    <w:basedOn w:val="Normal"/>
    <w:link w:val="EndnoteTextChar"/>
    <w:pPr>
      <w:spacing w:after="0" w:line="240" w:lineRule="auto"/>
    </w:pPr>
    <w:rPr>
      <w:rFonts w:ascii="Verdana" w:hAnsi="Verdana" w:cs="Times New Roman"/>
      <w:sz w:val="21"/>
      <w:lang w:val="en-GB" w:eastAsia="en-US"/>
    </w:rPr>
  </w:style>
  <w:style w:type="character" w:customStyle="1" w:styleId="EndnoteTextChar">
    <w:name w:val="Endnote Text Char"/>
    <w:link w:val="EndnoteText"/>
    <w:rPr>
      <w:rFonts w:ascii="Verdana" w:hAnsi="Verdana"/>
      <w:sz w:val="21"/>
      <w:lang w:val="en-GB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link w:val="BodyTextIndentChar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0" w:line="240" w:lineRule="auto"/>
      <w:ind w:left="568" w:hanging="284"/>
    </w:pPr>
    <w:rPr>
      <w:rFonts w:ascii="Verdana" w:hAnsi="Verdana" w:cs="Times New Roman"/>
      <w:sz w:val="21"/>
      <w:szCs w:val="24"/>
      <w:lang w:val="en-GB" w:eastAsia="en-US"/>
    </w:rPr>
  </w:style>
  <w:style w:type="character" w:customStyle="1" w:styleId="BodyTextIndentChar">
    <w:name w:val="Body Text Indent Char"/>
    <w:link w:val="BodyTextIndent"/>
    <w:rPr>
      <w:rFonts w:ascii="Verdana" w:hAnsi="Verdana"/>
      <w:sz w:val="21"/>
      <w:szCs w:val="24"/>
      <w:lang w:val="en-GB" w:eastAsia="en-US" w:bidi="ar-SA"/>
    </w:rPr>
  </w:style>
  <w:style w:type="paragraph" w:styleId="BodyTextIndent2">
    <w:name w:val="Body Text Indent 2"/>
    <w:basedOn w:val="Normal"/>
    <w:link w:val="BodyTextIndent2Char"/>
    <w:pPr>
      <w:tabs>
        <w:tab w:val="left" w:pos="284"/>
        <w:tab w:val="left" w:pos="567"/>
        <w:tab w:val="left" w:pos="851"/>
        <w:tab w:val="left" w:pos="1134"/>
        <w:tab w:val="left" w:pos="1418"/>
      </w:tabs>
      <w:spacing w:after="60" w:line="240" w:lineRule="auto"/>
      <w:ind w:left="284" w:hanging="284"/>
    </w:pPr>
    <w:rPr>
      <w:rFonts w:ascii="Verdana" w:hAnsi="Verdana" w:cs="Times New Roman"/>
      <w:sz w:val="21"/>
      <w:szCs w:val="24"/>
      <w:lang w:val="en-GB" w:eastAsia="en-US"/>
    </w:rPr>
  </w:style>
  <w:style w:type="character" w:customStyle="1" w:styleId="BodyTextIndent2Char">
    <w:name w:val="Body Text Indent 2 Char"/>
    <w:link w:val="BodyTextIndent2"/>
    <w:rPr>
      <w:rFonts w:ascii="Verdana" w:hAnsi="Verdana"/>
      <w:sz w:val="21"/>
      <w:szCs w:val="24"/>
      <w:lang w:val="en-GB" w:eastAsia="en-US" w:bidi="ar-SA"/>
    </w:rPr>
  </w:style>
  <w:style w:type="paragraph" w:customStyle="1" w:styleId="Para10">
    <w:name w:val="Para1"/>
    <w:basedOn w:val="Para"/>
    <w:pPr>
      <w:ind w:left="567" w:firstLine="0"/>
    </w:pPr>
  </w:style>
  <w:style w:type="paragraph" w:customStyle="1" w:styleId="Subparac">
    <w:name w:val="Subpara c"/>
    <w:basedOn w:val="Para"/>
    <w:pPr>
      <w:spacing w:after="200"/>
      <w:ind w:left="567" w:firstLine="0"/>
    </w:pPr>
  </w:style>
  <w:style w:type="paragraph" w:customStyle="1" w:styleId="Para1a">
    <w:name w:val="Para1a"/>
    <w:basedOn w:val="Para10"/>
    <w:pPr>
      <w:spacing w:after="140"/>
      <w:ind w:left="1134" w:hanging="567"/>
    </w:pPr>
  </w:style>
  <w:style w:type="paragraph" w:customStyle="1" w:styleId="Para2">
    <w:name w:val="Para2"/>
    <w:basedOn w:val="Para10"/>
    <w:pPr>
      <w:ind w:left="1134"/>
    </w:pPr>
  </w:style>
  <w:style w:type="paragraph" w:customStyle="1" w:styleId="Table0">
    <w:name w:val="Table"/>
    <w:basedOn w:val="Normal"/>
    <w:pPr>
      <w:widowControl w:val="0"/>
      <w:spacing w:after="0" w:line="240" w:lineRule="auto"/>
    </w:pPr>
    <w:rPr>
      <w:rFonts w:ascii="Arial Narrow" w:hAnsi="Arial Narrow" w:cs="Times New Roman"/>
      <w:sz w:val="22"/>
      <w:szCs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pPr>
      <w:spacing w:after="120" w:line="240" w:lineRule="auto"/>
      <w:ind w:left="283"/>
    </w:pPr>
    <w:rPr>
      <w:rFonts w:ascii="Verdana" w:hAnsi="Verdana" w:cs="Times New Roman"/>
      <w:sz w:val="16"/>
      <w:szCs w:val="16"/>
      <w:lang w:val="en-GB" w:eastAsia="en-US"/>
    </w:rPr>
  </w:style>
  <w:style w:type="character" w:customStyle="1" w:styleId="BodyTextIndent3Char">
    <w:name w:val="Body Text Indent 3 Char"/>
    <w:link w:val="BodyTextIndent3"/>
    <w:rPr>
      <w:rFonts w:ascii="Verdana" w:hAnsi="Verdana"/>
      <w:sz w:val="16"/>
      <w:szCs w:val="16"/>
      <w:lang w:val="en-GB" w:eastAsia="en-US" w:bidi="ar-SA"/>
    </w:rPr>
  </w:style>
  <w:style w:type="paragraph" w:customStyle="1" w:styleId="TNRa">
    <w:name w:val="TNRa"/>
    <w:basedOn w:val="Normal"/>
    <w:pPr>
      <w:tabs>
        <w:tab w:val="left" w:pos="284"/>
        <w:tab w:val="left" w:pos="454"/>
        <w:tab w:val="left" w:pos="680"/>
        <w:tab w:val="left" w:pos="1021"/>
      </w:tabs>
      <w:overflowPunct w:val="0"/>
      <w:autoSpaceDE w:val="0"/>
      <w:autoSpaceDN w:val="0"/>
      <w:adjustRightInd w:val="0"/>
      <w:spacing w:after="0" w:line="240" w:lineRule="exact"/>
      <w:ind w:left="284" w:hanging="284"/>
      <w:jc w:val="both"/>
      <w:textAlignment w:val="baseline"/>
    </w:pPr>
    <w:rPr>
      <w:rFonts w:ascii="Times New Roman" w:hAnsi="Times New Roman" w:cs="Times New Roman"/>
      <w:sz w:val="24"/>
      <w:lang w:val="fr-FR" w:eastAsia="en-US"/>
    </w:rPr>
  </w:style>
  <w:style w:type="paragraph" w:customStyle="1" w:styleId="Anlage">
    <w:name w:val="Anlage"/>
    <w:basedOn w:val="Normal"/>
    <w:pPr>
      <w:spacing w:before="240" w:after="0" w:line="240" w:lineRule="auto"/>
      <w:ind w:left="1134" w:hanging="1134"/>
    </w:pPr>
    <w:rPr>
      <w:rFonts w:cs="Times New Roman"/>
      <w:sz w:val="24"/>
      <w:lang w:eastAsia="en-US"/>
    </w:rPr>
  </w:style>
  <w:style w:type="paragraph" w:customStyle="1" w:styleId="Betrifft">
    <w:name w:val="Betrifft"/>
    <w:basedOn w:val="Normal"/>
    <w:pPr>
      <w:spacing w:before="480" w:after="0" w:line="240" w:lineRule="auto"/>
    </w:pPr>
    <w:rPr>
      <w:rFonts w:cs="Times New Roman"/>
      <w:sz w:val="24"/>
      <w:lang w:eastAsia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after="0" w:line="240" w:lineRule="auto"/>
    </w:pPr>
    <w:rPr>
      <w:rFonts w:ascii="Times New Roman" w:hAnsi="Times New Roman" w:cs="Times New Roman"/>
      <w:lang w:eastAsia="en-US"/>
    </w:rPr>
  </w:style>
  <w:style w:type="character" w:customStyle="1" w:styleId="CommentTextChar">
    <w:name w:val="Comment Text Char"/>
    <w:link w:val="CommentText"/>
    <w:rPr>
      <w:lang w:val="de-DE" w:eastAsia="en-US" w:bidi="ar-SA"/>
    </w:rPr>
  </w:style>
  <w:style w:type="paragraph" w:styleId="BodyText2">
    <w:name w:val="Body Text 2"/>
    <w:basedOn w:val="Normal"/>
    <w:link w:val="BodyText2Char"/>
    <w:pPr>
      <w:spacing w:after="120" w:line="480" w:lineRule="auto"/>
    </w:pPr>
    <w:rPr>
      <w:rFonts w:ascii="Verdana" w:hAnsi="Verdana" w:cs="Times New Roman"/>
      <w:sz w:val="21"/>
      <w:szCs w:val="24"/>
      <w:lang w:val="en-GB" w:eastAsia="en-US"/>
    </w:rPr>
  </w:style>
  <w:style w:type="character" w:customStyle="1" w:styleId="BodyText2Char">
    <w:name w:val="Body Text 2 Char"/>
    <w:link w:val="BodyText2"/>
    <w:rPr>
      <w:rFonts w:ascii="Verdana" w:hAnsi="Verdana"/>
      <w:sz w:val="21"/>
      <w:szCs w:val="24"/>
      <w:lang w:val="en-GB" w:eastAsia="en-US" w:bidi="ar-SA"/>
    </w:rPr>
  </w:style>
  <w:style w:type="paragraph" w:styleId="BodyText">
    <w:name w:val="Body Text"/>
    <w:basedOn w:val="Normal"/>
    <w:link w:val="BodyTextChar"/>
    <w:pPr>
      <w:spacing w:after="120" w:line="240" w:lineRule="auto"/>
    </w:pPr>
    <w:rPr>
      <w:rFonts w:ascii="Verdana" w:hAnsi="Verdana" w:cs="Times New Roman"/>
      <w:sz w:val="21"/>
      <w:szCs w:val="24"/>
      <w:lang w:val="en-GB" w:eastAsia="en-US"/>
    </w:rPr>
  </w:style>
  <w:style w:type="character" w:customStyle="1" w:styleId="BodyTextChar">
    <w:name w:val="Body Text Char"/>
    <w:link w:val="BodyText"/>
    <w:rPr>
      <w:rFonts w:ascii="Verdana" w:hAnsi="Verdana"/>
      <w:sz w:val="21"/>
      <w:szCs w:val="24"/>
      <w:lang w:val="en-GB" w:eastAsia="en-US" w:bidi="ar-SA"/>
    </w:rPr>
  </w:style>
  <w:style w:type="paragraph" w:styleId="BodyText3">
    <w:name w:val="Body Text 3"/>
    <w:basedOn w:val="Normal"/>
    <w:link w:val="BodyText3Char"/>
    <w:pPr>
      <w:spacing w:after="120" w:line="240" w:lineRule="auto"/>
    </w:pPr>
    <w:rPr>
      <w:rFonts w:ascii="Verdana" w:hAnsi="Verdana" w:cs="Times New Roman"/>
      <w:sz w:val="16"/>
      <w:szCs w:val="16"/>
      <w:lang w:val="en-GB" w:eastAsia="en-US"/>
    </w:rPr>
  </w:style>
  <w:style w:type="character" w:customStyle="1" w:styleId="BodyText3Char">
    <w:name w:val="Body Text 3 Char"/>
    <w:link w:val="BodyText3"/>
    <w:rPr>
      <w:rFonts w:ascii="Verdana" w:hAnsi="Verdana"/>
      <w:sz w:val="16"/>
      <w:szCs w:val="16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Pr>
      <w:rFonts w:ascii="Verdana" w:hAnsi="Verdana"/>
      <w:b/>
      <w:bCs/>
      <w:lang w:val="en-GB"/>
    </w:rPr>
  </w:style>
  <w:style w:type="character" w:customStyle="1" w:styleId="CommentSubjectChar">
    <w:name w:val="Comment Subject Char"/>
    <w:link w:val="CommentSubject"/>
    <w:rPr>
      <w:rFonts w:ascii="Verdana" w:hAnsi="Verdana"/>
      <w:b/>
      <w:bCs/>
      <w:lang w:val="en-GB" w:eastAsia="en-US" w:bidi="ar-SA"/>
    </w:rPr>
  </w:style>
  <w:style w:type="character" w:customStyle="1" w:styleId="KommentarthemaZchn">
    <w:name w:val="Kommentarthema Zchn"/>
    <w:basedOn w:val="CommentTextChar"/>
    <w:rPr>
      <w:lang w:val="de-DE" w:eastAsia="en-US" w:bidi="ar-SA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  <w:sz w:val="22"/>
      <w:szCs w:val="22"/>
      <w:lang w:val="fr-FR" w:eastAsia="en-US"/>
    </w:rPr>
  </w:style>
  <w:style w:type="paragraph" w:customStyle="1" w:styleId="TDatelangues">
    <w:name w:val="T_Date_langues"/>
    <w:basedOn w:val="Header"/>
    <w:pPr>
      <w:suppressAutoHyphens/>
      <w:ind w:left="6521"/>
    </w:pPr>
    <w:rPr>
      <w:rFonts w:ascii="Arial" w:hAnsi="Arial"/>
      <w:snapToGrid/>
      <w:color w:val="00000A"/>
      <w:kern w:val="1"/>
      <w:sz w:val="20"/>
      <w:szCs w:val="20"/>
      <w:lang w:val="fr-FR" w:bidi="fr-FR"/>
    </w:rPr>
  </w:style>
  <w:style w:type="paragraph" w:customStyle="1" w:styleId="TGauche">
    <w:name w:val="T_Gauche"/>
    <w:basedOn w:val="Normal"/>
    <w:pPr>
      <w:suppressAutoHyphens/>
      <w:spacing w:after="0" w:line="240" w:lineRule="atLeast"/>
      <w:jc w:val="both"/>
    </w:pPr>
    <w:rPr>
      <w:color w:val="00000A"/>
      <w:kern w:val="1"/>
      <w:lang w:bidi="fr-FR"/>
    </w:rPr>
  </w:style>
  <w:style w:type="paragraph" w:customStyle="1" w:styleId="Sous-titre1">
    <w:name w:val="Sous-titre1"/>
    <w:basedOn w:val="Normal"/>
    <w:link w:val="Sous-titre1Car"/>
    <w:qFormat/>
    <w:pPr>
      <w:spacing w:after="0" w:line="240" w:lineRule="atLeast"/>
      <w:ind w:left="425" w:hanging="425"/>
      <w:jc w:val="both"/>
    </w:pPr>
    <w:rPr>
      <w:b/>
      <w:color w:val="00000A"/>
      <w:kern w:val="1"/>
      <w:lang w:val="fr-FR"/>
    </w:rPr>
  </w:style>
  <w:style w:type="paragraph" w:customStyle="1" w:styleId="Parenthese1">
    <w:name w:val="Parenthese1"/>
    <w:basedOn w:val="Normal"/>
    <w:link w:val="Parenthese1Car"/>
    <w:qFormat/>
    <w:pPr>
      <w:suppressAutoHyphens/>
      <w:spacing w:after="0" w:line="240" w:lineRule="atLeast"/>
      <w:ind w:left="851" w:hanging="425"/>
      <w:jc w:val="both"/>
    </w:pPr>
    <w:rPr>
      <w:color w:val="00000A"/>
      <w:kern w:val="1"/>
      <w:lang w:val="fr-FR"/>
    </w:rPr>
  </w:style>
  <w:style w:type="character" w:customStyle="1" w:styleId="Sous-titre1Car">
    <w:name w:val="Sous-titre1 Car"/>
    <w:link w:val="Sous-titre1"/>
    <w:rPr>
      <w:b/>
      <w:color w:val="00000A"/>
      <w:kern w:val="1"/>
    </w:rPr>
  </w:style>
  <w:style w:type="paragraph" w:customStyle="1" w:styleId="Sous-titre2">
    <w:name w:val="Sous-titre2"/>
    <w:basedOn w:val="Normal"/>
    <w:link w:val="Sous-titre2Car"/>
    <w:qFormat/>
    <w:pPr>
      <w:suppressAutoHyphens/>
      <w:spacing w:after="0" w:line="240" w:lineRule="atLeast"/>
      <w:ind w:left="851" w:hanging="425"/>
      <w:jc w:val="both"/>
    </w:pPr>
    <w:rPr>
      <w:b/>
      <w:color w:val="00000A"/>
      <w:kern w:val="1"/>
      <w:lang w:val="fr-FR"/>
    </w:rPr>
  </w:style>
  <w:style w:type="character" w:customStyle="1" w:styleId="Parenthese1Car">
    <w:name w:val="Parenthese1 Car"/>
    <w:link w:val="Parenthese1"/>
    <w:rPr>
      <w:color w:val="00000A"/>
      <w:kern w:val="1"/>
    </w:rPr>
  </w:style>
  <w:style w:type="character" w:customStyle="1" w:styleId="Sous-titre2Car">
    <w:name w:val="Sous-titre2 Car"/>
    <w:link w:val="Sous-titre2"/>
    <w:rPr>
      <w:b/>
      <w:color w:val="00000A"/>
      <w:kern w:val="1"/>
    </w:rPr>
  </w:style>
  <w:style w:type="paragraph" w:customStyle="1" w:styleId="ESch">
    <w:name w:val="ES_ch"/>
    <w:basedOn w:val="Normal"/>
    <w:qFormat/>
    <w:rsid w:val="00A471A4"/>
    <w:pPr>
      <w:autoSpaceDE w:val="0"/>
      <w:autoSpaceDN w:val="0"/>
      <w:spacing w:after="0" w:line="240" w:lineRule="atLeast"/>
      <w:ind w:left="567" w:hanging="567"/>
      <w:jc w:val="both"/>
    </w:pPr>
    <w:rPr>
      <w:rFonts w:cs="Times New Roman"/>
      <w:szCs w:val="24"/>
      <w:lang w:val="fr-FR"/>
    </w:rPr>
  </w:style>
  <w:style w:type="paragraph" w:customStyle="1" w:styleId="Standard1">
    <w:name w:val="Standard1"/>
    <w:rsid w:val="00E33A44"/>
    <w:pPr>
      <w:suppressAutoHyphens/>
      <w:autoSpaceDN w:val="0"/>
      <w:spacing w:after="200" w:line="276" w:lineRule="auto"/>
    </w:pPr>
    <w:rPr>
      <w:color w:val="00000A"/>
      <w:kern w:val="3"/>
    </w:rPr>
  </w:style>
  <w:style w:type="paragraph" w:styleId="NormalWeb">
    <w:name w:val="Normal (Web)"/>
    <w:basedOn w:val="Normal"/>
    <w:uiPriority w:val="99"/>
    <w:semiHidden/>
    <w:unhideWhenUsed/>
    <w:rsid w:val="00D9598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fr-FR"/>
    </w:rPr>
  </w:style>
  <w:style w:type="paragraph" w:customStyle="1" w:styleId="HChG">
    <w:name w:val="_ H _Ch_G"/>
    <w:basedOn w:val="Normal"/>
    <w:next w:val="Normal"/>
    <w:rsid w:val="00E62788"/>
    <w:pPr>
      <w:keepNext/>
      <w:keepLines/>
      <w:tabs>
        <w:tab w:val="right" w:pos="851"/>
      </w:tabs>
      <w:suppressAutoHyphens/>
      <w:snapToGrid w:val="0"/>
      <w:spacing w:before="360" w:after="240" w:line="300" w:lineRule="exact"/>
      <w:ind w:left="1134" w:right="1134" w:hanging="1134"/>
    </w:pPr>
    <w:rPr>
      <w:rFonts w:ascii="Times New Roman" w:hAnsi="Times New Roman" w:cs="Times New Roman"/>
      <w:b/>
      <w:sz w:val="28"/>
      <w:lang w:val="en-GB" w:eastAsia="en-GB"/>
    </w:rPr>
  </w:style>
  <w:style w:type="paragraph" w:customStyle="1" w:styleId="H1G">
    <w:name w:val="_ H_1_G"/>
    <w:basedOn w:val="Normal"/>
    <w:next w:val="Normal"/>
    <w:rsid w:val="00E62788"/>
    <w:pPr>
      <w:keepNext/>
      <w:keepLines/>
      <w:tabs>
        <w:tab w:val="right" w:pos="851"/>
      </w:tabs>
      <w:suppressAutoHyphens/>
      <w:snapToGrid w:val="0"/>
      <w:spacing w:before="360" w:after="240" w:line="270" w:lineRule="exact"/>
      <w:ind w:left="1134" w:right="1134" w:hanging="1134"/>
    </w:pPr>
    <w:rPr>
      <w:rFonts w:ascii="Times New Roman" w:hAnsi="Times New Roman" w:cs="Times New Roman"/>
      <w:b/>
      <w:sz w:val="24"/>
      <w:lang w:val="en-GB" w:eastAsia="en-GB"/>
    </w:rPr>
  </w:style>
  <w:style w:type="paragraph" w:customStyle="1" w:styleId="SingleTxtG">
    <w:name w:val="_ Single Txt_G"/>
    <w:basedOn w:val="Normal"/>
    <w:rsid w:val="00BD48FE"/>
    <w:pPr>
      <w:suppressAutoHyphens/>
      <w:spacing w:after="120" w:line="240" w:lineRule="atLeast"/>
      <w:ind w:left="1134" w:right="1134"/>
      <w:jc w:val="both"/>
    </w:pPr>
    <w:rPr>
      <w:rFonts w:ascii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39AD5-7D3C-4F16-8FFC-42BC5342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Zusammenfassung wichtiger Äußerungen der Teilnehmer des RIS-Workshops</vt:lpstr>
      <vt:lpstr>Zusammenfassung wichtiger Äußerungen der Teilnehmer des RIS-Workshops</vt:lpstr>
      <vt:lpstr>Zusammenfassung wichtiger Äußerungen der Teilnehmer des RIS-Workshops</vt:lpstr>
    </vt:vector>
  </TitlesOfParts>
  <Company>HP</Company>
  <LinksUpToDate>false</LinksUpToDate>
  <CharactersWithSpaces>6177</CharactersWithSpaces>
  <SharedDoc>false</SharedDoc>
  <HLinks>
    <vt:vector size="6" baseType="variant">
      <vt:variant>
        <vt:i4>1704063</vt:i4>
      </vt:variant>
      <vt:variant>
        <vt:i4>0</vt:i4>
      </vt:variant>
      <vt:variant>
        <vt:i4>0</vt:i4>
      </vt:variant>
      <vt:variant>
        <vt:i4>5</vt:i4>
      </vt:variant>
      <vt:variant>
        <vt:lpwstr>http://www.ccr-zkr.org/files/documents/ris/ris_strategie_strat_fr.pdf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Zusammenfassung wichtiger Äußerungen der Teilnehmer des RIS-Workshops</dc:title>
  <dc:creator>g.pauli</dc:creator>
  <cp:lastModifiedBy>Lucille</cp:lastModifiedBy>
  <cp:revision>5</cp:revision>
  <cp:lastPrinted>2016-12-07T16:43:00Z</cp:lastPrinted>
  <dcterms:created xsi:type="dcterms:W3CDTF">2017-01-19T14:07:00Z</dcterms:created>
  <dcterms:modified xsi:type="dcterms:W3CDTF">2017-01-19T14:15:00Z</dcterms:modified>
</cp:coreProperties>
</file>