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512C0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512C08" w:rsidP="00512C08">
            <w:pPr>
              <w:jc w:val="right"/>
            </w:pPr>
            <w:r w:rsidRPr="00512C08">
              <w:rPr>
                <w:sz w:val="40"/>
              </w:rPr>
              <w:t>ECE</w:t>
            </w:r>
            <w:r>
              <w:t>/TRANS/WP.15/AC.2/2017/46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512C08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512C08" w:rsidRDefault="00512C08" w:rsidP="00512C08">
            <w:pPr>
              <w:spacing w:line="240" w:lineRule="exact"/>
            </w:pPr>
            <w:r>
              <w:t>15 juin 2017</w:t>
            </w:r>
          </w:p>
          <w:p w:rsidR="00512C08" w:rsidRDefault="00512C08" w:rsidP="00512C08">
            <w:pPr>
              <w:spacing w:line="240" w:lineRule="exact"/>
            </w:pPr>
            <w:r>
              <w:t>Français</w:t>
            </w:r>
          </w:p>
          <w:p w:rsidR="00512C08" w:rsidRPr="00DB58B5" w:rsidRDefault="00512C08" w:rsidP="00512C08">
            <w:pPr>
              <w:spacing w:line="240" w:lineRule="exact"/>
            </w:pPr>
            <w:r>
              <w:t>Original : anglais</w:t>
            </w:r>
          </w:p>
        </w:tc>
      </w:tr>
    </w:tbl>
    <w:p w:rsidR="001E41AA" w:rsidRPr="000312C0" w:rsidRDefault="001E41AA" w:rsidP="001E41A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5C3886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1E41AA" w:rsidRDefault="001E41AA" w:rsidP="001E41AA">
      <w:pPr>
        <w:spacing w:before="120" w:after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1E41AA" w:rsidRPr="00F0073E" w:rsidRDefault="001E41AA" w:rsidP="001E41AA">
      <w:pPr>
        <w:spacing w:after="120"/>
        <w:rPr>
          <w:b/>
          <w:sz w:val="24"/>
          <w:szCs w:val="24"/>
        </w:rPr>
      </w:pPr>
      <w:r w:rsidRPr="00F0073E">
        <w:rPr>
          <w:b/>
          <w:sz w:val="24"/>
          <w:szCs w:val="24"/>
          <w:lang w:val="fr-FR"/>
        </w:rPr>
        <w:t>Groupe de travail des transports de marchandises dangereuses</w:t>
      </w:r>
    </w:p>
    <w:p w:rsidR="001E41AA" w:rsidRPr="00121915" w:rsidRDefault="001E41AA" w:rsidP="001E41AA">
      <w:pPr>
        <w:rPr>
          <w:b/>
        </w:rPr>
      </w:pPr>
      <w:r w:rsidRPr="00121915">
        <w:rPr>
          <w:b/>
          <w:lang w:val="fr-FR"/>
        </w:rPr>
        <w:t>Réunion commune d</w:t>
      </w:r>
      <w:r w:rsidR="005C3886">
        <w:rPr>
          <w:b/>
          <w:lang w:val="fr-FR"/>
        </w:rPr>
        <w:t>’</w:t>
      </w:r>
      <w:r w:rsidRPr="00121915">
        <w:rPr>
          <w:b/>
          <w:lang w:val="fr-FR"/>
        </w:rPr>
        <w:t>experts sur le Règlement annexé à l</w:t>
      </w:r>
      <w:r w:rsidR="005C3886">
        <w:rPr>
          <w:b/>
          <w:lang w:val="fr-FR"/>
        </w:rPr>
        <w:t>’</w:t>
      </w:r>
      <w:r w:rsidRPr="00121915">
        <w:rPr>
          <w:b/>
          <w:lang w:val="fr-FR"/>
        </w:rPr>
        <w:t>Accord européen</w:t>
      </w:r>
      <w:r w:rsidRPr="00121915">
        <w:rPr>
          <w:b/>
          <w:lang w:val="fr-FR"/>
        </w:rPr>
        <w:br/>
        <w:t>relatif au transport international des marchandises dangereuses</w:t>
      </w:r>
      <w:r w:rsidRPr="00121915">
        <w:rPr>
          <w:b/>
          <w:lang w:val="fr-FR"/>
        </w:rPr>
        <w:br/>
        <w:t>par voies de navigation intérieures (ADN)</w:t>
      </w:r>
    </w:p>
    <w:p w:rsidR="001E41AA" w:rsidRPr="00121915" w:rsidRDefault="001E41AA" w:rsidP="001E41AA">
      <w:pPr>
        <w:spacing w:after="120"/>
        <w:rPr>
          <w:b/>
        </w:rPr>
      </w:pPr>
      <w:r w:rsidRPr="00121915">
        <w:rPr>
          <w:b/>
          <w:lang w:val="fr-FR"/>
        </w:rPr>
        <w:t>(Comité de sécurité de l</w:t>
      </w:r>
      <w:r w:rsidR="005C3886">
        <w:rPr>
          <w:b/>
          <w:lang w:val="fr-FR"/>
        </w:rPr>
        <w:t>’</w:t>
      </w:r>
      <w:r w:rsidRPr="00121915">
        <w:rPr>
          <w:b/>
          <w:lang w:val="fr-FR"/>
        </w:rPr>
        <w:t>ADN)</w:t>
      </w:r>
    </w:p>
    <w:p w:rsidR="001E41AA" w:rsidRPr="00F0073E" w:rsidRDefault="001E41AA" w:rsidP="001E41AA">
      <w:pPr>
        <w:rPr>
          <w:b/>
        </w:rPr>
      </w:pPr>
      <w:r w:rsidRPr="00F0073E">
        <w:rPr>
          <w:b/>
          <w:lang w:val="fr-FR"/>
        </w:rPr>
        <w:t>Trente et unième session</w:t>
      </w:r>
    </w:p>
    <w:p w:rsidR="001E41AA" w:rsidRPr="004B146F" w:rsidRDefault="001E41AA" w:rsidP="001E41AA">
      <w:r>
        <w:rPr>
          <w:lang w:val="fr-FR"/>
        </w:rPr>
        <w:t>Genève, 28-31 août 2017</w:t>
      </w:r>
    </w:p>
    <w:p w:rsidR="001E41AA" w:rsidRPr="006F6E2B" w:rsidRDefault="001E41AA" w:rsidP="001E41AA">
      <w:r>
        <w:rPr>
          <w:lang w:val="fr-FR"/>
        </w:rPr>
        <w:t>Point 4 b</w:t>
      </w:r>
      <w:r w:rsidRPr="006F6E2B">
        <w:rPr>
          <w:lang w:val="fr-FR"/>
        </w:rPr>
        <w:t>) de l</w:t>
      </w:r>
      <w:r w:rsidR="005C3886">
        <w:rPr>
          <w:lang w:val="fr-FR"/>
        </w:rPr>
        <w:t>’</w:t>
      </w:r>
      <w:r w:rsidRPr="006F6E2B">
        <w:rPr>
          <w:lang w:val="fr-FR"/>
        </w:rPr>
        <w:t>ordre du jour provisoire</w:t>
      </w:r>
    </w:p>
    <w:p w:rsidR="001E41AA" w:rsidRPr="001E41AA" w:rsidRDefault="001E41AA" w:rsidP="001E41AA">
      <w:pPr>
        <w:rPr>
          <w:b/>
          <w:lang w:val="fr-FR"/>
        </w:rPr>
      </w:pPr>
      <w:r w:rsidRPr="001E41AA">
        <w:rPr>
          <w:b/>
          <w:lang w:val="fr-FR"/>
        </w:rPr>
        <w:t>Propositions d</w:t>
      </w:r>
      <w:r w:rsidR="005C3886">
        <w:rPr>
          <w:b/>
          <w:lang w:val="fr-FR"/>
        </w:rPr>
        <w:t>’</w:t>
      </w:r>
      <w:r w:rsidRPr="001E41AA">
        <w:rPr>
          <w:b/>
          <w:lang w:val="fr-FR"/>
        </w:rPr>
        <w:t>amendemen</w:t>
      </w:r>
      <w:r>
        <w:rPr>
          <w:b/>
          <w:lang w:val="fr-FR"/>
        </w:rPr>
        <w:t>ts au Règlement annexé à l</w:t>
      </w:r>
      <w:r w:rsidR="005C3886">
        <w:rPr>
          <w:b/>
          <w:lang w:val="fr-FR"/>
        </w:rPr>
        <w:t>’</w:t>
      </w:r>
      <w:r>
        <w:rPr>
          <w:b/>
          <w:lang w:val="fr-FR"/>
        </w:rPr>
        <w:t>ADN :</w:t>
      </w:r>
    </w:p>
    <w:p w:rsidR="00F9573C" w:rsidRDefault="001E41AA" w:rsidP="00AF0CB5">
      <w:pPr>
        <w:rPr>
          <w:b/>
          <w:lang w:val="fr-FR"/>
        </w:rPr>
      </w:pPr>
      <w:proofErr w:type="gramStart"/>
      <w:r w:rsidRPr="001E41AA">
        <w:rPr>
          <w:b/>
          <w:lang w:val="fr-FR"/>
        </w:rPr>
        <w:t>autres</w:t>
      </w:r>
      <w:proofErr w:type="gramEnd"/>
      <w:r w:rsidRPr="001E41AA">
        <w:rPr>
          <w:b/>
          <w:lang w:val="fr-FR"/>
        </w:rPr>
        <w:t xml:space="preserve"> propositions</w:t>
      </w:r>
    </w:p>
    <w:p w:rsidR="00031EC2" w:rsidRPr="00C668E0" w:rsidRDefault="00031EC2" w:rsidP="00031EC2">
      <w:pPr>
        <w:pStyle w:val="HChG"/>
        <w:rPr>
          <w:rFonts w:eastAsia="TimesNewRomanPSMT"/>
        </w:rPr>
      </w:pPr>
      <w:r>
        <w:rPr>
          <w:lang w:val="fr-FR"/>
        </w:rPr>
        <w:tab/>
      </w:r>
      <w:r>
        <w:rPr>
          <w:lang w:val="fr-FR"/>
        </w:rPr>
        <w:tab/>
        <w:t xml:space="preserve">Installation à air comprimé sur le pont − </w:t>
      </w:r>
      <w:r>
        <w:rPr>
          <w:lang w:val="fr-FR"/>
        </w:rPr>
        <w:br/>
      </w:r>
      <w:proofErr w:type="gramStart"/>
      <w:r>
        <w:rPr>
          <w:lang w:val="fr-FR"/>
        </w:rPr>
        <w:t>paragraphes</w:t>
      </w:r>
      <w:proofErr w:type="gramEnd"/>
      <w:r>
        <w:rPr>
          <w:lang w:val="fr-FR"/>
        </w:rPr>
        <w:t xml:space="preserve"> 9.3</w:t>
      </w:r>
      <w:r w:rsidR="002B1057">
        <w:rPr>
          <w:lang w:val="fr-FR"/>
        </w:rPr>
        <w:t>.X.</w:t>
      </w:r>
      <w:r>
        <w:rPr>
          <w:lang w:val="fr-FR"/>
        </w:rPr>
        <w:t>25.10 et 9.3</w:t>
      </w:r>
      <w:r w:rsidR="002B1057">
        <w:rPr>
          <w:lang w:val="fr-FR"/>
        </w:rPr>
        <w:t>.X.</w:t>
      </w:r>
      <w:r>
        <w:rPr>
          <w:lang w:val="fr-FR"/>
        </w:rPr>
        <w:t>40.1</w:t>
      </w:r>
    </w:p>
    <w:p w:rsidR="00031EC2" w:rsidRPr="00C668E0" w:rsidRDefault="00031EC2" w:rsidP="00031EC2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Communication des sociétés de classification recommandées ADN</w:t>
      </w:r>
      <w:r w:rsidRPr="00031EC2">
        <w:rPr>
          <w:rStyle w:val="FootnoteReference"/>
          <w:b w:val="0"/>
          <w:vertAlign w:val="baseline"/>
        </w:rPr>
        <w:footnoteReference w:customMarkFollows="1" w:id="2"/>
        <w:t>*</w:t>
      </w:r>
      <w:r w:rsidRPr="00031EC2">
        <w:rPr>
          <w:b w:val="0"/>
          <w:sz w:val="20"/>
          <w:vertAlign w:val="superscript"/>
          <w:lang w:val="fr-FR"/>
        </w:rPr>
        <w:t>,</w:t>
      </w:r>
      <w:r>
        <w:rPr>
          <w:b w:val="0"/>
          <w:sz w:val="20"/>
          <w:vertAlign w:val="superscript"/>
          <w:lang w:val="fr-FR"/>
        </w:rPr>
        <w:t xml:space="preserve"> </w:t>
      </w:r>
      <w:r w:rsidRPr="00031EC2">
        <w:rPr>
          <w:rStyle w:val="FootnoteReference"/>
          <w:b w:val="0"/>
          <w:sz w:val="20"/>
          <w:vertAlign w:val="baseline"/>
          <w:lang w:val="fr-FR"/>
        </w:rPr>
        <w:footnoteReference w:customMarkFollows="1" w:id="3"/>
        <w:t>**</w:t>
      </w:r>
    </w:p>
    <w:p w:rsidR="00AF65DE" w:rsidRDefault="00031EC2" w:rsidP="00AF65DE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Afin de tenir compte du cas des installations à air comprimé, les sociétés de classification recommandées avaient proposé, dans le document ECE/TRANS/</w:t>
      </w:r>
      <w:r w:rsidR="001D014E">
        <w:rPr>
          <w:lang w:val="fr-FR"/>
        </w:rPr>
        <w:t xml:space="preserve"> </w:t>
      </w:r>
      <w:r>
        <w:rPr>
          <w:lang w:val="fr-FR"/>
        </w:rPr>
        <w:t>WP.15/AC.2/2015/25/Rev.1, d</w:t>
      </w:r>
      <w:r w:rsidR="005C3886">
        <w:rPr>
          <w:lang w:val="fr-FR"/>
        </w:rPr>
        <w:t>’</w:t>
      </w:r>
      <w:r>
        <w:rPr>
          <w:lang w:val="fr-FR"/>
        </w:rPr>
        <w:t>ajouter un nouveau paragraphe 9.3</w:t>
      </w:r>
      <w:r w:rsidR="002B1057">
        <w:rPr>
          <w:lang w:val="fr-FR"/>
        </w:rPr>
        <w:t>.X.</w:t>
      </w:r>
      <w:r>
        <w:rPr>
          <w:lang w:val="fr-FR"/>
        </w:rPr>
        <w:t>25.10 libellé comme suit :</w:t>
      </w:r>
    </w:p>
    <w:p w:rsidR="00031EC2" w:rsidRPr="0017505A" w:rsidRDefault="00031EC2" w:rsidP="0017505A">
      <w:pPr>
        <w:pStyle w:val="SingleTxtG"/>
        <w:kinsoku/>
        <w:overflowPunct/>
        <w:autoSpaceDE/>
        <w:autoSpaceDN/>
        <w:adjustRightInd/>
        <w:snapToGrid/>
        <w:ind w:firstLine="567"/>
        <w:rPr>
          <w:rFonts w:eastAsia="SimSun"/>
          <w:lang w:eastAsia="zh-CN"/>
        </w:rPr>
      </w:pPr>
      <w:r>
        <w:rPr>
          <w:lang w:val="fr-FR"/>
        </w:rPr>
        <w:t>« 9.</w:t>
      </w:r>
      <w:proofErr w:type="gramStart"/>
      <w:r>
        <w:rPr>
          <w:lang w:val="fr-FR"/>
        </w:rPr>
        <w:t>3</w:t>
      </w:r>
      <w:r w:rsidR="002B1057">
        <w:rPr>
          <w:lang w:val="fr-FR"/>
        </w:rPr>
        <w:t>.X.</w:t>
      </w:r>
      <w:proofErr w:type="gramEnd"/>
      <w:r>
        <w:rPr>
          <w:lang w:val="fr-FR"/>
        </w:rPr>
        <w:t>25.10</w:t>
      </w:r>
      <w:r>
        <w:rPr>
          <w:lang w:val="fr-FR"/>
        </w:rPr>
        <w:tab/>
        <w:t>De l</w:t>
      </w:r>
      <w:r w:rsidR="005C3886">
        <w:rPr>
          <w:lang w:val="fr-FR"/>
        </w:rPr>
        <w:t>’</w:t>
      </w:r>
      <w:r>
        <w:rPr>
          <w:lang w:val="fr-FR"/>
        </w:rPr>
        <w:t>air comprimé produit à l</w:t>
      </w:r>
      <w:r w:rsidR="005C3886">
        <w:rPr>
          <w:lang w:val="fr-FR"/>
        </w:rPr>
        <w:t>’</w:t>
      </w:r>
      <w:r>
        <w:rPr>
          <w:lang w:val="fr-FR"/>
        </w:rPr>
        <w:t>extérieur de la zone de cargaison peut être utilisé dans la zone de cargaison à condition qu</w:t>
      </w:r>
      <w:r w:rsidR="005C3886">
        <w:rPr>
          <w:lang w:val="fr-FR"/>
        </w:rPr>
        <w:t>’</w:t>
      </w:r>
      <w:r>
        <w:rPr>
          <w:lang w:val="fr-FR"/>
        </w:rPr>
        <w:t>il soit installé un clapet antiretour à ressort qui empêche que des gaz puissent s</w:t>
      </w:r>
      <w:r w:rsidR="005C3886">
        <w:rPr>
          <w:lang w:val="fr-FR"/>
        </w:rPr>
        <w:t>’</w:t>
      </w:r>
      <w:r>
        <w:rPr>
          <w:lang w:val="fr-FR"/>
        </w:rPr>
        <w:t>échapper de la zone de cargaison et atteindre les logements et locaux de service en passant par le circuit d</w:t>
      </w:r>
      <w:r w:rsidR="005C3886">
        <w:rPr>
          <w:lang w:val="fr-FR"/>
        </w:rPr>
        <w:t>’</w:t>
      </w:r>
      <w:r>
        <w:rPr>
          <w:lang w:val="fr-FR"/>
        </w:rPr>
        <w:t>air comprimé. ».</w:t>
      </w:r>
    </w:p>
    <w:p w:rsidR="00031EC2" w:rsidRPr="00C668E0" w:rsidRDefault="00031EC2" w:rsidP="00AF65DE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  <w:t>La proposition d</w:t>
      </w:r>
      <w:r w:rsidR="005C3886">
        <w:rPr>
          <w:lang w:val="fr-FR"/>
        </w:rPr>
        <w:t>’</w:t>
      </w:r>
      <w:r>
        <w:rPr>
          <w:lang w:val="fr-FR"/>
        </w:rPr>
        <w:t>ajout du paragraphe 9.3</w:t>
      </w:r>
      <w:r w:rsidR="002B1057">
        <w:rPr>
          <w:lang w:val="fr-FR"/>
        </w:rPr>
        <w:t>.X.</w:t>
      </w:r>
      <w:r>
        <w:rPr>
          <w:lang w:val="fr-FR"/>
        </w:rPr>
        <w:t>25.10, qui précisait que la timonerie était un local que les gaz ne devaient pas atteindre, avait été adoptée (voi</w:t>
      </w:r>
      <w:r w:rsidR="005C3886">
        <w:rPr>
          <w:lang w:val="fr-FR"/>
        </w:rPr>
        <w:t>r ECE/TRANS/</w:t>
      </w:r>
      <w:r w:rsidR="007D368E">
        <w:rPr>
          <w:lang w:val="fr-FR"/>
        </w:rPr>
        <w:t xml:space="preserve"> </w:t>
      </w:r>
      <w:r w:rsidR="005C3886">
        <w:rPr>
          <w:lang w:val="fr-FR"/>
        </w:rPr>
        <w:t>WP.15/AC.2/58, par. </w:t>
      </w:r>
      <w:r>
        <w:rPr>
          <w:lang w:val="fr-FR"/>
        </w:rPr>
        <w:t>53). Une modifi</w:t>
      </w:r>
      <w:r w:rsidR="007D368E">
        <w:rPr>
          <w:lang w:val="fr-FR"/>
        </w:rPr>
        <w:t>cation corollaire du paragraphe </w:t>
      </w:r>
      <w:r>
        <w:rPr>
          <w:lang w:val="fr-FR"/>
        </w:rPr>
        <w:t>9.3</w:t>
      </w:r>
      <w:r w:rsidR="002B1057">
        <w:rPr>
          <w:lang w:val="fr-FR"/>
        </w:rPr>
        <w:t>.X.</w:t>
      </w:r>
      <w:r>
        <w:rPr>
          <w:lang w:val="fr-FR"/>
        </w:rPr>
        <w:t>40.1 avait également été approuvée.</w:t>
      </w:r>
    </w:p>
    <w:p w:rsidR="00031EC2" w:rsidRPr="00C668E0" w:rsidRDefault="00031EC2" w:rsidP="00FA51BC">
      <w:pPr>
        <w:pStyle w:val="SingleTxtG"/>
        <w:keepNext/>
      </w:pPr>
      <w:r>
        <w:rPr>
          <w:lang w:val="fr-FR"/>
        </w:rPr>
        <w:lastRenderedPageBreak/>
        <w:t>3.</w:t>
      </w:r>
      <w:r>
        <w:rPr>
          <w:lang w:val="fr-FR"/>
        </w:rPr>
        <w:tab/>
        <w:t>Le « projet d</w:t>
      </w:r>
      <w:r w:rsidR="005C3886">
        <w:rPr>
          <w:lang w:val="fr-FR"/>
        </w:rPr>
        <w:t>’</w:t>
      </w:r>
      <w:r>
        <w:rPr>
          <w:lang w:val="fr-FR"/>
        </w:rPr>
        <w:t>amendements au Règlement annexé à l</w:t>
      </w:r>
      <w:r w:rsidR="005C3886">
        <w:rPr>
          <w:lang w:val="fr-FR"/>
        </w:rPr>
        <w:t>’</w:t>
      </w:r>
      <w:r>
        <w:rPr>
          <w:lang w:val="fr-FR"/>
        </w:rPr>
        <w:t>AD</w:t>
      </w:r>
      <w:r w:rsidR="00AF65DE">
        <w:rPr>
          <w:lang w:val="fr-FR"/>
        </w:rPr>
        <w:t xml:space="preserve">N pour </w:t>
      </w:r>
      <w:proofErr w:type="spellStart"/>
      <w:r w:rsidR="00AF65DE">
        <w:rPr>
          <w:lang w:val="fr-FR"/>
        </w:rPr>
        <w:t>entrée</w:t>
      </w:r>
      <w:proofErr w:type="spellEnd"/>
      <w:r w:rsidR="00AF65DE">
        <w:rPr>
          <w:lang w:val="fr-FR"/>
        </w:rPr>
        <w:t xml:space="preserve"> en vigueur le 1</w:t>
      </w:r>
      <w:r w:rsidR="00AF65DE" w:rsidRPr="00AF65DE">
        <w:rPr>
          <w:vertAlign w:val="superscript"/>
          <w:lang w:val="fr-FR"/>
        </w:rPr>
        <w:t>er</w:t>
      </w:r>
      <w:r w:rsidR="0080108B">
        <w:rPr>
          <w:vertAlign w:val="superscript"/>
          <w:lang w:val="fr-FR"/>
        </w:rPr>
        <w:t> </w:t>
      </w:r>
      <w:r>
        <w:rPr>
          <w:lang w:val="fr-FR"/>
        </w:rPr>
        <w:t>janvier 2017 » (voir document ECE/TRANS/WP.15/AC.2/58/Add.1) prévoyait les modifications suivantes :</w:t>
      </w:r>
    </w:p>
    <w:p w:rsidR="00031EC2" w:rsidRPr="00C668E0" w:rsidRDefault="00031EC2" w:rsidP="00A24EE4">
      <w:pPr>
        <w:pStyle w:val="SingleTxtG"/>
        <w:keepNext/>
        <w:kinsoku/>
        <w:overflowPunct/>
        <w:autoSpaceDE/>
        <w:autoSpaceDN/>
        <w:adjustRightInd/>
        <w:snapToGrid/>
        <w:ind w:firstLine="567"/>
      </w:pPr>
      <w:r>
        <w:rPr>
          <w:lang w:val="fr-FR"/>
        </w:rPr>
        <w:t>a)</w:t>
      </w:r>
      <w:r>
        <w:rPr>
          <w:lang w:val="fr-FR"/>
        </w:rPr>
        <w:tab/>
        <w:t>Ajout d</w:t>
      </w:r>
      <w:r w:rsidR="005C3886">
        <w:rPr>
          <w:lang w:val="fr-FR"/>
        </w:rPr>
        <w:t>’</w:t>
      </w:r>
      <w:r>
        <w:rPr>
          <w:lang w:val="fr-FR"/>
        </w:rPr>
        <w:t>un nouveau paragraphe libellé comme suit :</w:t>
      </w:r>
    </w:p>
    <w:p w:rsidR="00031EC2" w:rsidRPr="00C668E0" w:rsidRDefault="00031EC2" w:rsidP="0017505A">
      <w:pPr>
        <w:pStyle w:val="SingleTxtG"/>
        <w:kinsoku/>
        <w:overflowPunct/>
        <w:autoSpaceDE/>
        <w:autoSpaceDN/>
        <w:adjustRightInd/>
        <w:snapToGrid/>
        <w:ind w:firstLine="567"/>
      </w:pPr>
      <w:r>
        <w:rPr>
          <w:lang w:val="fr-FR"/>
        </w:rPr>
        <w:t>« 9.3</w:t>
      </w:r>
      <w:r w:rsidR="002B1057">
        <w:rPr>
          <w:lang w:val="fr-FR"/>
        </w:rPr>
        <w:t>.X.</w:t>
      </w:r>
      <w:r>
        <w:rPr>
          <w:lang w:val="fr-FR"/>
        </w:rPr>
        <w:t>25.10 De l</w:t>
      </w:r>
      <w:r w:rsidR="005C3886">
        <w:rPr>
          <w:lang w:val="fr-FR"/>
        </w:rPr>
        <w:t>’</w:t>
      </w:r>
      <w:r>
        <w:rPr>
          <w:lang w:val="fr-FR"/>
        </w:rPr>
        <w:t>air comprimé produit à l</w:t>
      </w:r>
      <w:r w:rsidR="005C3886">
        <w:rPr>
          <w:lang w:val="fr-FR"/>
        </w:rPr>
        <w:t>’</w:t>
      </w:r>
      <w:r>
        <w:rPr>
          <w:lang w:val="fr-FR"/>
        </w:rPr>
        <w:t xml:space="preserve">extérieur de la zone de cargaison </w:t>
      </w:r>
      <w:r w:rsidRPr="0079072D">
        <w:rPr>
          <w:b/>
          <w:lang w:val="fr-FR"/>
        </w:rPr>
        <w:t>ou de la timonerie</w:t>
      </w:r>
      <w:r>
        <w:rPr>
          <w:lang w:val="fr-FR"/>
        </w:rPr>
        <w:t xml:space="preserve"> peut être utilisé dans la zone de cargaison à condition qu</w:t>
      </w:r>
      <w:r w:rsidR="005C3886">
        <w:rPr>
          <w:lang w:val="fr-FR"/>
        </w:rPr>
        <w:t>’</w:t>
      </w:r>
      <w:r>
        <w:rPr>
          <w:lang w:val="fr-FR"/>
        </w:rPr>
        <w:t>il soit installé un clapet antiretour à ressort qui empêche que des gaz puissent s</w:t>
      </w:r>
      <w:r w:rsidR="005C3886">
        <w:rPr>
          <w:lang w:val="fr-FR"/>
        </w:rPr>
        <w:t>’</w:t>
      </w:r>
      <w:r>
        <w:rPr>
          <w:lang w:val="fr-FR"/>
        </w:rPr>
        <w:t>échapper de la zone de cargaison et atteindre les logements et locaux de service en passant par le circuit d</w:t>
      </w:r>
      <w:r w:rsidR="005C3886">
        <w:rPr>
          <w:lang w:val="fr-FR"/>
        </w:rPr>
        <w:t>’</w:t>
      </w:r>
      <w:r>
        <w:rPr>
          <w:lang w:val="fr-FR"/>
        </w:rPr>
        <w:t>air comprimé. »</w:t>
      </w:r>
      <w:r w:rsidR="00141AD9">
        <w:rPr>
          <w:lang w:val="fr-FR"/>
        </w:rPr>
        <w:t xml:space="preserve"> ;</w:t>
      </w:r>
      <w:r>
        <w:rPr>
          <w:lang w:val="fr-FR"/>
        </w:rPr>
        <w:t xml:space="preserve"> et</w:t>
      </w:r>
    </w:p>
    <w:p w:rsidR="00031EC2" w:rsidRPr="007E3DBA" w:rsidRDefault="00031EC2" w:rsidP="0017505A">
      <w:pPr>
        <w:pStyle w:val="SingleTxtG"/>
        <w:kinsoku/>
        <w:overflowPunct/>
        <w:autoSpaceDE/>
        <w:autoSpaceDN/>
        <w:adjustRightInd/>
        <w:snapToGrid/>
        <w:ind w:firstLine="567"/>
        <w:rPr>
          <w:rFonts w:cs="Calibri"/>
          <w:sz w:val="24"/>
          <w:szCs w:val="24"/>
        </w:rPr>
      </w:pPr>
      <w:r>
        <w:rPr>
          <w:lang w:val="fr-FR"/>
        </w:rPr>
        <w:t>b)</w:t>
      </w:r>
      <w:r>
        <w:rPr>
          <w:lang w:val="fr-FR"/>
        </w:rPr>
        <w:tab/>
        <w:t>Ajout au 9.3.3.40.1, deuxième alinéa du deuxième paragraphe, de « ou de la timonerie » après « zone de cargaison ».</w:t>
      </w:r>
    </w:p>
    <w:p w:rsidR="00031EC2" w:rsidRPr="00C668E0" w:rsidRDefault="00031EC2" w:rsidP="00AF65DE">
      <w:pPr>
        <w:pStyle w:val="SingleTxtG"/>
      </w:pPr>
      <w:r>
        <w:rPr>
          <w:lang w:val="fr-FR"/>
        </w:rPr>
        <w:t>4.</w:t>
      </w:r>
      <w:r>
        <w:rPr>
          <w:lang w:val="fr-FR"/>
        </w:rPr>
        <w:tab/>
        <w:t>Dans le texte final du projet d</w:t>
      </w:r>
      <w:r w:rsidR="005C3886">
        <w:rPr>
          <w:lang w:val="fr-FR"/>
        </w:rPr>
        <w:t>’</w:t>
      </w:r>
      <w:r>
        <w:rPr>
          <w:lang w:val="fr-FR"/>
        </w:rPr>
        <w:t>amendements (ECE/ADN/36), l</w:t>
      </w:r>
      <w:r w:rsidR="005C3886">
        <w:rPr>
          <w:lang w:val="fr-FR"/>
        </w:rPr>
        <w:t>’</w:t>
      </w:r>
      <w:r>
        <w:rPr>
          <w:lang w:val="fr-FR"/>
        </w:rPr>
        <w:t>amendement indiqué au point b) ci-dessus avait été également reproduit au paragraphe 9.</w:t>
      </w:r>
      <w:proofErr w:type="gramStart"/>
      <w:r>
        <w:rPr>
          <w:lang w:val="fr-FR"/>
        </w:rPr>
        <w:t>3</w:t>
      </w:r>
      <w:r w:rsidR="002B1057">
        <w:rPr>
          <w:lang w:val="fr-FR"/>
        </w:rPr>
        <w:t>.X.</w:t>
      </w:r>
      <w:proofErr w:type="gramEnd"/>
      <w:r>
        <w:rPr>
          <w:lang w:val="fr-FR"/>
        </w:rPr>
        <w:t>40.1.</w:t>
      </w:r>
    </w:p>
    <w:p w:rsidR="00031EC2" w:rsidRPr="00C668E0" w:rsidRDefault="00031EC2" w:rsidP="00AF65DE">
      <w:pPr>
        <w:pStyle w:val="SingleTxtG"/>
      </w:pPr>
      <w:r>
        <w:rPr>
          <w:lang w:val="fr-FR"/>
        </w:rPr>
        <w:t>5.</w:t>
      </w:r>
      <w:r>
        <w:rPr>
          <w:lang w:val="fr-FR"/>
        </w:rPr>
        <w:tab/>
        <w:t>Malheureusement, les amendements en question, tels qu</w:t>
      </w:r>
      <w:r w:rsidR="005C3886">
        <w:rPr>
          <w:lang w:val="fr-FR"/>
        </w:rPr>
        <w:t>’</w:t>
      </w:r>
      <w:r>
        <w:rPr>
          <w:lang w:val="fr-FR"/>
        </w:rPr>
        <w:t>ils avaient été rédigés, n</w:t>
      </w:r>
      <w:r w:rsidR="005C3886">
        <w:rPr>
          <w:lang w:val="fr-FR"/>
        </w:rPr>
        <w:t>’</w:t>
      </w:r>
      <w:r>
        <w:rPr>
          <w:lang w:val="fr-FR"/>
        </w:rPr>
        <w:t>étaient pas corrects. En effet, la référence à la timonerie n</w:t>
      </w:r>
      <w:r w:rsidR="005C3886">
        <w:rPr>
          <w:lang w:val="fr-FR"/>
        </w:rPr>
        <w:t>’</w:t>
      </w:r>
      <w:r>
        <w:rPr>
          <w:lang w:val="fr-FR"/>
        </w:rPr>
        <w:t>apparaissait pas au bon endroit, probablement parce que le terme « zone de cargaison » était mentionné à plusieurs reprises dans le texte. Les amendements auraient dû refléter l</w:t>
      </w:r>
      <w:r w:rsidR="005C3886">
        <w:rPr>
          <w:lang w:val="fr-FR"/>
        </w:rPr>
        <w:t>’</w:t>
      </w:r>
      <w:r>
        <w:rPr>
          <w:lang w:val="fr-FR"/>
        </w:rPr>
        <w:t>idée selon laquelle le gaz ne devait pas s</w:t>
      </w:r>
      <w:r w:rsidR="005C3886">
        <w:rPr>
          <w:lang w:val="fr-FR"/>
        </w:rPr>
        <w:t>’</w:t>
      </w:r>
      <w:r>
        <w:rPr>
          <w:lang w:val="fr-FR"/>
        </w:rPr>
        <w:t>échapper dans la timonerie, ce qui n</w:t>
      </w:r>
      <w:r w:rsidR="005C3886">
        <w:rPr>
          <w:lang w:val="fr-FR"/>
        </w:rPr>
        <w:t>’</w:t>
      </w:r>
      <w:r>
        <w:rPr>
          <w:lang w:val="fr-FR"/>
        </w:rPr>
        <w:t>est pas le cas pour les textes figurant dans l</w:t>
      </w:r>
      <w:r w:rsidR="005C3886">
        <w:rPr>
          <w:lang w:val="fr-FR"/>
        </w:rPr>
        <w:t>’</w:t>
      </w:r>
      <w:r>
        <w:rPr>
          <w:lang w:val="fr-FR"/>
        </w:rPr>
        <w:t>ADN 2017.</w:t>
      </w:r>
      <w:r w:rsidR="00141AD9">
        <w:rPr>
          <w:lang w:val="fr-FR"/>
        </w:rPr>
        <w:t xml:space="preserve"> </w:t>
      </w:r>
      <w:r>
        <w:rPr>
          <w:lang w:val="fr-FR"/>
        </w:rPr>
        <w:t>Il est donc proposé d</w:t>
      </w:r>
      <w:r w:rsidR="005C3886">
        <w:rPr>
          <w:lang w:val="fr-FR"/>
        </w:rPr>
        <w:t>’</w:t>
      </w:r>
      <w:r>
        <w:rPr>
          <w:lang w:val="fr-FR"/>
        </w:rPr>
        <w:t>apporter</w:t>
      </w:r>
      <w:r w:rsidR="00141AD9">
        <w:rPr>
          <w:lang w:val="fr-FR"/>
        </w:rPr>
        <w:t xml:space="preserve"> </w:t>
      </w:r>
      <w:r>
        <w:rPr>
          <w:lang w:val="fr-FR"/>
        </w:rPr>
        <w:t>les modifications suivantes aux paragraphes en question :</w:t>
      </w:r>
    </w:p>
    <w:p w:rsidR="00031EC2" w:rsidRPr="00C668E0" w:rsidRDefault="00031EC2" w:rsidP="0017505A">
      <w:pPr>
        <w:pStyle w:val="SingleTxtG"/>
        <w:kinsoku/>
        <w:overflowPunct/>
        <w:autoSpaceDE/>
        <w:autoSpaceDN/>
        <w:adjustRightInd/>
        <w:snapToGrid/>
        <w:ind w:firstLine="567"/>
      </w:pPr>
      <w:r>
        <w:rPr>
          <w:lang w:val="fr-FR"/>
        </w:rPr>
        <w:t xml:space="preserve">« 9.3.X.25.10 </w:t>
      </w:r>
    </w:p>
    <w:p w:rsidR="00031EC2" w:rsidRPr="00C668E0" w:rsidRDefault="00031EC2" w:rsidP="005C3886">
      <w:pPr>
        <w:pStyle w:val="SingleTxtG"/>
        <w:kinsoku/>
        <w:overflowPunct/>
        <w:autoSpaceDE/>
        <w:autoSpaceDN/>
        <w:adjustRightInd/>
        <w:snapToGrid/>
        <w:ind w:firstLine="567"/>
      </w:pPr>
      <w:r>
        <w:rPr>
          <w:lang w:val="fr-FR"/>
        </w:rPr>
        <w:t>De l</w:t>
      </w:r>
      <w:r w:rsidR="005C3886">
        <w:rPr>
          <w:lang w:val="fr-FR"/>
        </w:rPr>
        <w:t>’</w:t>
      </w:r>
      <w:r>
        <w:rPr>
          <w:lang w:val="fr-FR"/>
        </w:rPr>
        <w:t>air comprimé produit à l</w:t>
      </w:r>
      <w:r w:rsidR="005C3886">
        <w:rPr>
          <w:lang w:val="fr-FR"/>
        </w:rPr>
        <w:t>’</w:t>
      </w:r>
      <w:r>
        <w:rPr>
          <w:lang w:val="fr-FR"/>
        </w:rPr>
        <w:t xml:space="preserve">extérieur de la zone de cargaison </w:t>
      </w:r>
      <w:r w:rsidRPr="0079072D">
        <w:rPr>
          <w:b/>
          <w:strike/>
          <w:lang w:val="fr-FR"/>
        </w:rPr>
        <w:t>ou de la timonerie</w:t>
      </w:r>
      <w:r>
        <w:rPr>
          <w:lang w:val="fr-FR"/>
        </w:rPr>
        <w:t xml:space="preserve"> peut être utilisé dans la zone de cargaison à condition qu</w:t>
      </w:r>
      <w:r w:rsidR="005C3886">
        <w:rPr>
          <w:lang w:val="fr-FR"/>
        </w:rPr>
        <w:t>’</w:t>
      </w:r>
      <w:r>
        <w:rPr>
          <w:lang w:val="fr-FR"/>
        </w:rPr>
        <w:t>il soit installé un clapet antiretour à ressort qui empêche que des gaz puissent s</w:t>
      </w:r>
      <w:r w:rsidR="005C3886">
        <w:rPr>
          <w:lang w:val="fr-FR"/>
        </w:rPr>
        <w:t>’</w:t>
      </w:r>
      <w:r>
        <w:rPr>
          <w:lang w:val="fr-FR"/>
        </w:rPr>
        <w:t>échapper de la zone de cargaison et atteindre les logements</w:t>
      </w:r>
      <w:r w:rsidRPr="0079072D">
        <w:rPr>
          <w:b/>
          <w:u w:val="single"/>
          <w:lang w:val="fr-FR"/>
        </w:rPr>
        <w:t>, la timonerie</w:t>
      </w:r>
      <w:r>
        <w:rPr>
          <w:lang w:val="fr-FR"/>
        </w:rPr>
        <w:t xml:space="preserve"> et locaux de service en passant par le circuit d</w:t>
      </w:r>
      <w:r w:rsidR="005C3886">
        <w:rPr>
          <w:lang w:val="fr-FR"/>
        </w:rPr>
        <w:t>’</w:t>
      </w:r>
      <w:r>
        <w:rPr>
          <w:lang w:val="fr-FR"/>
        </w:rPr>
        <w:t>air comprimé</w:t>
      </w:r>
      <w:r w:rsidR="00F11743">
        <w:rPr>
          <w:lang w:val="fr-FR"/>
        </w:rPr>
        <w:t>.</w:t>
      </w:r>
      <w:r>
        <w:rPr>
          <w:lang w:val="fr-FR"/>
        </w:rPr>
        <w:t xml:space="preserve"> »</w:t>
      </w:r>
      <w:r w:rsidR="00F11743">
        <w:rPr>
          <w:lang w:val="fr-FR"/>
        </w:rPr>
        <w:t>.</w:t>
      </w:r>
    </w:p>
    <w:p w:rsidR="00031EC2" w:rsidRPr="00C668E0" w:rsidRDefault="00031EC2" w:rsidP="005C3886">
      <w:pPr>
        <w:pStyle w:val="SingleTxtG"/>
        <w:kinsoku/>
        <w:overflowPunct/>
        <w:autoSpaceDE/>
        <w:autoSpaceDN/>
        <w:adjustRightInd/>
        <w:snapToGrid/>
        <w:ind w:firstLine="567"/>
      </w:pPr>
      <w:r>
        <w:rPr>
          <w:lang w:val="fr-FR"/>
        </w:rPr>
        <w:t>«</w:t>
      </w:r>
      <w:r w:rsidR="00141AD9">
        <w:rPr>
          <w:lang w:val="fr-FR"/>
        </w:rPr>
        <w:t xml:space="preserve"> </w:t>
      </w:r>
      <w:r>
        <w:rPr>
          <w:lang w:val="fr-FR"/>
        </w:rPr>
        <w:t xml:space="preserve">9.3.1.40.1 </w:t>
      </w:r>
      <w:r w:rsidRPr="00C65338">
        <w:rPr>
          <w:u w:val="single"/>
          <w:lang w:val="fr-FR"/>
        </w:rPr>
        <w:t>et</w:t>
      </w:r>
      <w:r>
        <w:rPr>
          <w:lang w:val="fr-FR"/>
        </w:rPr>
        <w:t xml:space="preserve"> 9.3.3.40.1 </w:t>
      </w:r>
    </w:p>
    <w:p w:rsidR="00031EC2" w:rsidRPr="003B4E11" w:rsidRDefault="00031EC2" w:rsidP="005C3886">
      <w:pPr>
        <w:pStyle w:val="SingleTxtG"/>
        <w:kinsoku/>
        <w:overflowPunct/>
        <w:autoSpaceDE/>
        <w:autoSpaceDN/>
        <w:adjustRightInd/>
        <w:snapToGrid/>
        <w:ind w:firstLine="567"/>
      </w:pPr>
      <w:r>
        <w:rPr>
          <w:lang w:val="fr-FR"/>
        </w:rPr>
        <w:t>Le bateau doit être muni d</w:t>
      </w:r>
      <w:r w:rsidR="005C3886">
        <w:rPr>
          <w:lang w:val="fr-FR"/>
        </w:rPr>
        <w:t>’</w:t>
      </w:r>
      <w:r>
        <w:rPr>
          <w:lang w:val="fr-FR"/>
        </w:rPr>
        <w:t>une installation d</w:t>
      </w:r>
      <w:r w:rsidR="005C3886">
        <w:rPr>
          <w:lang w:val="fr-FR"/>
        </w:rPr>
        <w:t>’</w:t>
      </w:r>
      <w:r>
        <w:rPr>
          <w:lang w:val="fr-FR"/>
        </w:rPr>
        <w:t>extinction d</w:t>
      </w:r>
      <w:r w:rsidR="005C3886">
        <w:rPr>
          <w:lang w:val="fr-FR"/>
        </w:rPr>
        <w:t>’</w:t>
      </w:r>
      <w:r>
        <w:rPr>
          <w:lang w:val="fr-FR"/>
        </w:rPr>
        <w:t>incendie. Cette installation doit être conforme aux prescriptions ci-après</w:t>
      </w:r>
      <w:r w:rsidR="00141AD9">
        <w:rPr>
          <w:lang w:val="fr-FR"/>
        </w:rPr>
        <w:t xml:space="preserve"> :</w:t>
      </w:r>
    </w:p>
    <w:p w:rsidR="00BB4E45" w:rsidRPr="00BB4E45" w:rsidRDefault="00031EC2" w:rsidP="0080108B">
      <w:pPr>
        <w:numPr>
          <w:ilvl w:val="0"/>
          <w:numId w:val="15"/>
        </w:numPr>
        <w:spacing w:after="120"/>
        <w:ind w:left="1848" w:right="1134" w:hanging="357"/>
        <w:jc w:val="both"/>
      </w:pPr>
      <w:r w:rsidRPr="00BB4E45">
        <w:rPr>
          <w:lang w:val="fr-FR"/>
        </w:rPr>
        <w:t>Elle doit être alimentée par deux pompes à incendie ou de ballastage indépendantes. L</w:t>
      </w:r>
      <w:r w:rsidR="005C3886" w:rsidRPr="00BB4E45">
        <w:rPr>
          <w:lang w:val="fr-FR"/>
        </w:rPr>
        <w:t>’</w:t>
      </w:r>
      <w:r w:rsidRPr="00BB4E45">
        <w:rPr>
          <w:lang w:val="fr-FR"/>
        </w:rPr>
        <w:t>une d</w:t>
      </w:r>
      <w:r w:rsidR="005C3886" w:rsidRPr="00BB4E45">
        <w:rPr>
          <w:lang w:val="fr-FR"/>
        </w:rPr>
        <w:t>’</w:t>
      </w:r>
      <w:r w:rsidRPr="00BB4E45">
        <w:rPr>
          <w:lang w:val="fr-FR"/>
        </w:rPr>
        <w:t>elles doit être prête à</w:t>
      </w:r>
      <w:r w:rsidR="0080108B">
        <w:rPr>
          <w:lang w:val="fr-FR"/>
        </w:rPr>
        <w:t xml:space="preserve"> fonctionner à tout moment. Ces </w:t>
      </w:r>
      <w:r w:rsidRPr="00BB4E45">
        <w:rPr>
          <w:lang w:val="fr-FR"/>
        </w:rPr>
        <w:t>pompes ainsi que leur propulsion et leur équipement électrique ne doivent pas êt</w:t>
      </w:r>
      <w:r w:rsidR="004F56B5">
        <w:rPr>
          <w:lang w:val="fr-FR"/>
        </w:rPr>
        <w:t>re installés dans le même local ;</w:t>
      </w:r>
    </w:p>
    <w:p w:rsidR="00031EC2" w:rsidRPr="00C668E0" w:rsidRDefault="00031EC2" w:rsidP="0080108B">
      <w:pPr>
        <w:numPr>
          <w:ilvl w:val="0"/>
          <w:numId w:val="15"/>
        </w:numPr>
        <w:spacing w:after="120"/>
        <w:ind w:left="1848" w:right="1134" w:hanging="357"/>
        <w:jc w:val="both"/>
      </w:pPr>
      <w:r w:rsidRPr="00BB4E45">
        <w:rPr>
          <w:lang w:val="fr-FR"/>
        </w:rPr>
        <w:t>Elle doit être équipée d</w:t>
      </w:r>
      <w:r w:rsidR="005C3886" w:rsidRPr="00BB4E45">
        <w:rPr>
          <w:lang w:val="fr-FR"/>
        </w:rPr>
        <w:t>’</w:t>
      </w:r>
      <w:r w:rsidRPr="00BB4E45">
        <w:rPr>
          <w:lang w:val="fr-FR"/>
        </w:rPr>
        <w:t>une conduite d</w:t>
      </w:r>
      <w:r w:rsidR="005C3886" w:rsidRPr="00BB4E45">
        <w:rPr>
          <w:lang w:val="fr-FR"/>
        </w:rPr>
        <w:t>’</w:t>
      </w:r>
      <w:r w:rsidRPr="00BB4E45">
        <w:rPr>
          <w:lang w:val="fr-FR"/>
        </w:rPr>
        <w:t>eau comportant au moins trois bouches dans la zone de cargaison située au-dessus du pont. Trois manches adéquates et suffisamment longues, munies de lances à jet/pulvérisation d</w:t>
      </w:r>
      <w:r w:rsidR="005C3886" w:rsidRPr="00BB4E45">
        <w:rPr>
          <w:lang w:val="fr-FR"/>
        </w:rPr>
        <w:t>’</w:t>
      </w:r>
      <w:r w:rsidR="00B95514">
        <w:rPr>
          <w:lang w:val="fr-FR"/>
        </w:rPr>
        <w:t>un diamètre de 12 </w:t>
      </w:r>
      <w:r w:rsidRPr="00BB4E45">
        <w:rPr>
          <w:lang w:val="fr-FR"/>
        </w:rPr>
        <w:t>mm au moins, doivent être prévues. À défaut, un ou plusieurs de ces tuyaux peuvent être remplacés par des lances à jet/pulvérisation orientables d</w:t>
      </w:r>
      <w:r w:rsidR="005C3886" w:rsidRPr="00BB4E45">
        <w:rPr>
          <w:lang w:val="fr-FR"/>
        </w:rPr>
        <w:t>’</w:t>
      </w:r>
      <w:r w:rsidRPr="00BB4E45">
        <w:rPr>
          <w:lang w:val="fr-FR"/>
        </w:rPr>
        <w:t>un diamètre de 12 mm au moins. On doit pouvoir atteindre tout point du pont dans la zone protégée avec deux jets simultanés d</w:t>
      </w:r>
      <w:r w:rsidR="005C3886" w:rsidRPr="00BB4E45">
        <w:rPr>
          <w:lang w:val="fr-FR"/>
        </w:rPr>
        <w:t>’</w:t>
      </w:r>
      <w:r w:rsidRPr="00BB4E45">
        <w:rPr>
          <w:lang w:val="fr-FR"/>
        </w:rPr>
        <w:t>eau provenant de bouches différentes.</w:t>
      </w:r>
    </w:p>
    <w:p w:rsidR="00031EC2" w:rsidRPr="00C668E0" w:rsidRDefault="00031EC2" w:rsidP="000C20F9">
      <w:pPr>
        <w:pStyle w:val="SingleTxtG"/>
        <w:kinsoku/>
        <w:overflowPunct/>
        <w:autoSpaceDE/>
        <w:autoSpaceDN/>
        <w:adjustRightInd/>
        <w:snapToGrid/>
      </w:pPr>
      <w:r>
        <w:rPr>
          <w:lang w:val="fr-FR"/>
        </w:rPr>
        <w:t>Un clapet anti-retour à ressort doit empêcher que des gaz puissent s</w:t>
      </w:r>
      <w:r w:rsidR="005C3886">
        <w:rPr>
          <w:lang w:val="fr-FR"/>
        </w:rPr>
        <w:t>’</w:t>
      </w:r>
      <w:r>
        <w:rPr>
          <w:lang w:val="fr-FR"/>
        </w:rPr>
        <w:t xml:space="preserve">échapper de la zone de cargaison </w:t>
      </w:r>
      <w:r w:rsidRPr="0079072D">
        <w:rPr>
          <w:b/>
          <w:strike/>
          <w:u w:val="single"/>
          <w:lang w:val="fr-FR"/>
        </w:rPr>
        <w:t>ou de la timonerie</w:t>
      </w:r>
      <w:r>
        <w:rPr>
          <w:lang w:val="fr-FR"/>
        </w:rPr>
        <w:t xml:space="preserve"> et atteindre les logements</w:t>
      </w:r>
      <w:r w:rsidRPr="0079072D">
        <w:rPr>
          <w:b/>
          <w:u w:val="single"/>
          <w:lang w:val="fr-FR"/>
        </w:rPr>
        <w:t xml:space="preserve">, la timonerie </w:t>
      </w:r>
      <w:r>
        <w:rPr>
          <w:lang w:val="fr-FR"/>
        </w:rPr>
        <w:t>et locaux de service en passant par l</w:t>
      </w:r>
      <w:r w:rsidR="005C3886">
        <w:rPr>
          <w:lang w:val="fr-FR"/>
        </w:rPr>
        <w:t>’</w:t>
      </w:r>
      <w:r>
        <w:rPr>
          <w:lang w:val="fr-FR"/>
        </w:rPr>
        <w:t>installation d</w:t>
      </w:r>
      <w:r w:rsidR="005C3886">
        <w:rPr>
          <w:lang w:val="fr-FR"/>
        </w:rPr>
        <w:t>’</w:t>
      </w:r>
      <w:r>
        <w:rPr>
          <w:lang w:val="fr-FR"/>
        </w:rPr>
        <w:t>extinction d</w:t>
      </w:r>
      <w:r w:rsidR="005C3886">
        <w:rPr>
          <w:lang w:val="fr-FR"/>
        </w:rPr>
        <w:t>’</w:t>
      </w:r>
      <w:r>
        <w:rPr>
          <w:lang w:val="fr-FR"/>
        </w:rPr>
        <w:t>incendie</w:t>
      </w:r>
      <w:r w:rsidR="00141AD9">
        <w:rPr>
          <w:lang w:val="fr-FR"/>
        </w:rPr>
        <w:t xml:space="preserve"> ;</w:t>
      </w:r>
      <w:r>
        <w:rPr>
          <w:lang w:val="fr-FR"/>
        </w:rPr>
        <w:t> ».</w:t>
      </w:r>
    </w:p>
    <w:p w:rsidR="00BB4E45" w:rsidRDefault="00B95514" w:rsidP="00BB4E45">
      <w:pPr>
        <w:pStyle w:val="SingleTxtG"/>
        <w:kinsoku/>
        <w:overflowPunct/>
        <w:autoSpaceDE/>
        <w:autoSpaceDN/>
        <w:adjustRightInd/>
        <w:snapToGrid/>
        <w:ind w:firstLine="567"/>
        <w:rPr>
          <w:lang w:val="fr-FR"/>
        </w:rPr>
      </w:pPr>
      <w:r>
        <w:rPr>
          <w:lang w:val="fr-FR"/>
        </w:rPr>
        <w:t>« 9.3.2.40.1</w:t>
      </w:r>
    </w:p>
    <w:p w:rsidR="00031EC2" w:rsidRDefault="00031EC2" w:rsidP="00BB4E45">
      <w:pPr>
        <w:pStyle w:val="SingleTxtG"/>
        <w:kinsoku/>
        <w:overflowPunct/>
        <w:autoSpaceDE/>
        <w:autoSpaceDN/>
        <w:adjustRightInd/>
        <w:snapToGrid/>
        <w:ind w:firstLine="567"/>
      </w:pPr>
      <w:r>
        <w:rPr>
          <w:lang w:val="fr-FR"/>
        </w:rPr>
        <w:t>Le bateau doit être muni d</w:t>
      </w:r>
      <w:r w:rsidR="005C3886">
        <w:rPr>
          <w:lang w:val="fr-FR"/>
        </w:rPr>
        <w:t>’</w:t>
      </w:r>
      <w:r>
        <w:rPr>
          <w:lang w:val="fr-FR"/>
        </w:rPr>
        <w:t>une installation d</w:t>
      </w:r>
      <w:r w:rsidR="005C3886">
        <w:rPr>
          <w:lang w:val="fr-FR"/>
        </w:rPr>
        <w:t>’</w:t>
      </w:r>
      <w:r>
        <w:rPr>
          <w:lang w:val="fr-FR"/>
        </w:rPr>
        <w:t>extinction d</w:t>
      </w:r>
      <w:r w:rsidR="005C3886">
        <w:rPr>
          <w:lang w:val="fr-FR"/>
        </w:rPr>
        <w:t>’</w:t>
      </w:r>
      <w:r>
        <w:rPr>
          <w:lang w:val="fr-FR"/>
        </w:rPr>
        <w:t>incendie. Cette installation doit être conforme aux prescriptions ci-après</w:t>
      </w:r>
      <w:r w:rsidR="00141AD9">
        <w:rPr>
          <w:lang w:val="fr-FR"/>
        </w:rPr>
        <w:t xml:space="preserve"> :</w:t>
      </w:r>
    </w:p>
    <w:p w:rsidR="00BB4E45" w:rsidRPr="0080108B" w:rsidRDefault="00031EC2" w:rsidP="0080108B">
      <w:pPr>
        <w:numPr>
          <w:ilvl w:val="0"/>
          <w:numId w:val="15"/>
        </w:numPr>
        <w:spacing w:after="120"/>
        <w:ind w:left="1848" w:right="1134" w:hanging="357"/>
        <w:jc w:val="both"/>
        <w:rPr>
          <w:lang w:val="fr-FR"/>
        </w:rPr>
      </w:pPr>
      <w:r w:rsidRPr="00BB4E45">
        <w:rPr>
          <w:lang w:val="fr-FR"/>
        </w:rPr>
        <w:t>Elle doit être alimentée par deux pompes à incendie ou de ballastage indépendantes. L</w:t>
      </w:r>
      <w:r w:rsidR="005C3886" w:rsidRPr="00BB4E45">
        <w:rPr>
          <w:lang w:val="fr-FR"/>
        </w:rPr>
        <w:t>’</w:t>
      </w:r>
      <w:r w:rsidRPr="00BB4E45">
        <w:rPr>
          <w:lang w:val="fr-FR"/>
        </w:rPr>
        <w:t>une d</w:t>
      </w:r>
      <w:r w:rsidR="005C3886" w:rsidRPr="00BB4E45">
        <w:rPr>
          <w:lang w:val="fr-FR"/>
        </w:rPr>
        <w:t>’</w:t>
      </w:r>
      <w:r w:rsidRPr="00BB4E45">
        <w:rPr>
          <w:lang w:val="fr-FR"/>
        </w:rPr>
        <w:t>elles doit être prête à</w:t>
      </w:r>
      <w:r w:rsidR="00B95514">
        <w:rPr>
          <w:lang w:val="fr-FR"/>
        </w:rPr>
        <w:t xml:space="preserve"> fonctionner à tout moment. Ces </w:t>
      </w:r>
      <w:r w:rsidRPr="00BB4E45">
        <w:rPr>
          <w:lang w:val="fr-FR"/>
        </w:rPr>
        <w:t>pompes ainsi que leur propulsion et leur équipement électrique ne doivent pas être installés dans le même local</w:t>
      </w:r>
      <w:r w:rsidR="00141AD9">
        <w:rPr>
          <w:lang w:val="fr-FR"/>
        </w:rPr>
        <w:t xml:space="preserve"> ;</w:t>
      </w:r>
    </w:p>
    <w:p w:rsidR="00031EC2" w:rsidRPr="00061581" w:rsidRDefault="00031EC2" w:rsidP="002B1057">
      <w:pPr>
        <w:keepNext/>
        <w:keepLines/>
        <w:numPr>
          <w:ilvl w:val="0"/>
          <w:numId w:val="15"/>
        </w:numPr>
        <w:spacing w:after="120"/>
        <w:ind w:left="1848" w:right="1134" w:hanging="357"/>
        <w:jc w:val="both"/>
      </w:pPr>
      <w:r w:rsidRPr="00BB4E45">
        <w:rPr>
          <w:lang w:val="fr-FR"/>
        </w:rPr>
        <w:lastRenderedPageBreak/>
        <w:t>Elle doit être équipée d</w:t>
      </w:r>
      <w:r w:rsidR="005C3886" w:rsidRPr="00BB4E45">
        <w:rPr>
          <w:lang w:val="fr-FR"/>
        </w:rPr>
        <w:t>’</w:t>
      </w:r>
      <w:r w:rsidRPr="00BB4E45">
        <w:rPr>
          <w:lang w:val="fr-FR"/>
        </w:rPr>
        <w:t>une conduite d</w:t>
      </w:r>
      <w:r w:rsidR="005C3886" w:rsidRPr="00BB4E45">
        <w:rPr>
          <w:lang w:val="fr-FR"/>
        </w:rPr>
        <w:t>’</w:t>
      </w:r>
      <w:r w:rsidRPr="00BB4E45">
        <w:rPr>
          <w:lang w:val="fr-FR"/>
        </w:rPr>
        <w:t xml:space="preserve">eau comportant au moins trois bouches dans la zone de cargaison </w:t>
      </w:r>
      <w:r w:rsidR="00235506" w:rsidRPr="0079072D">
        <w:rPr>
          <w:b/>
          <w:strike/>
          <w:u w:val="single"/>
          <w:lang w:val="fr-FR"/>
        </w:rPr>
        <w:t>ou de la timonerie</w:t>
      </w:r>
      <w:r w:rsidR="00235506">
        <w:rPr>
          <w:lang w:val="fr-FR"/>
        </w:rPr>
        <w:t xml:space="preserve"> </w:t>
      </w:r>
      <w:r w:rsidRPr="00BB4E45">
        <w:rPr>
          <w:lang w:val="fr-FR"/>
        </w:rPr>
        <w:t>située au-dessus du pont. Trois manches adéquates et suffisamment longues, munies de lances à jet/pulvérisation d</w:t>
      </w:r>
      <w:r w:rsidR="005C3886" w:rsidRPr="00BB4E45">
        <w:rPr>
          <w:lang w:val="fr-FR"/>
        </w:rPr>
        <w:t>’</w:t>
      </w:r>
      <w:r w:rsidR="00B95514">
        <w:rPr>
          <w:lang w:val="fr-FR"/>
        </w:rPr>
        <w:t>un diamètre de 12 </w:t>
      </w:r>
      <w:r w:rsidRPr="00BB4E45">
        <w:rPr>
          <w:lang w:val="fr-FR"/>
        </w:rPr>
        <w:t>mm au moins, doivent être prévues. À défaut, un ou plusieurs de ces tuyaux peuvent être remplacés par des lances à jet/pulvérisation orientables d</w:t>
      </w:r>
      <w:r w:rsidR="005C3886" w:rsidRPr="00BB4E45">
        <w:rPr>
          <w:lang w:val="fr-FR"/>
        </w:rPr>
        <w:t>’</w:t>
      </w:r>
      <w:r w:rsidRPr="00BB4E45">
        <w:rPr>
          <w:lang w:val="fr-FR"/>
        </w:rPr>
        <w:t>un diamètre de 12 mm au moins. On doit pouvoir atteindre tout point du pont dans la zone protégée avec deux jets simultanés d</w:t>
      </w:r>
      <w:r w:rsidR="005C3886" w:rsidRPr="00BB4E45">
        <w:rPr>
          <w:lang w:val="fr-FR"/>
        </w:rPr>
        <w:t>’</w:t>
      </w:r>
      <w:r w:rsidRPr="00BB4E45">
        <w:rPr>
          <w:lang w:val="fr-FR"/>
        </w:rPr>
        <w:t>eau provenant de bouches différentes.</w:t>
      </w:r>
    </w:p>
    <w:p w:rsidR="00031EC2" w:rsidRDefault="00031EC2" w:rsidP="00496019">
      <w:pPr>
        <w:pStyle w:val="SingleTxtG"/>
        <w:kinsoku/>
        <w:overflowPunct/>
        <w:autoSpaceDE/>
        <w:autoSpaceDN/>
        <w:adjustRightInd/>
        <w:snapToGrid/>
        <w:rPr>
          <w:lang w:val="fr-FR"/>
        </w:rPr>
      </w:pPr>
      <w:r>
        <w:rPr>
          <w:lang w:val="fr-FR"/>
        </w:rPr>
        <w:t>Un clapet anti-retour à ressort doit empêcher que des gaz puissent s</w:t>
      </w:r>
      <w:r w:rsidR="005C3886">
        <w:rPr>
          <w:lang w:val="fr-FR"/>
        </w:rPr>
        <w:t>’</w:t>
      </w:r>
      <w:r>
        <w:rPr>
          <w:lang w:val="fr-FR"/>
        </w:rPr>
        <w:t>échapper de la zone de cargaison et atteindre les logements</w:t>
      </w:r>
      <w:r w:rsidRPr="00235506">
        <w:rPr>
          <w:b/>
          <w:u w:val="single"/>
          <w:lang w:val="fr-FR"/>
        </w:rPr>
        <w:t>, la timonerie</w:t>
      </w:r>
      <w:r>
        <w:rPr>
          <w:lang w:val="fr-FR"/>
        </w:rPr>
        <w:t xml:space="preserve"> et locaux de service en passant par l</w:t>
      </w:r>
      <w:r w:rsidR="005C3886">
        <w:rPr>
          <w:lang w:val="fr-FR"/>
        </w:rPr>
        <w:t>’</w:t>
      </w:r>
      <w:r>
        <w:rPr>
          <w:lang w:val="fr-FR"/>
        </w:rPr>
        <w:t>installation d</w:t>
      </w:r>
      <w:r w:rsidR="005C3886">
        <w:rPr>
          <w:lang w:val="fr-FR"/>
        </w:rPr>
        <w:t>’</w:t>
      </w:r>
      <w:r>
        <w:rPr>
          <w:lang w:val="fr-FR"/>
        </w:rPr>
        <w:t>extinction d</w:t>
      </w:r>
      <w:r w:rsidR="005C3886">
        <w:rPr>
          <w:lang w:val="fr-FR"/>
        </w:rPr>
        <w:t>’</w:t>
      </w:r>
      <w:r>
        <w:rPr>
          <w:lang w:val="fr-FR"/>
        </w:rPr>
        <w:t>incendie ».</w:t>
      </w:r>
    </w:p>
    <w:p w:rsidR="00BB4E45" w:rsidRPr="00BB4E45" w:rsidRDefault="00BB4E45" w:rsidP="00BB4E4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B4E45" w:rsidRPr="00BB4E45" w:rsidSect="00512C0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221" w:rsidRDefault="00017221" w:rsidP="00F95C08">
      <w:pPr>
        <w:spacing w:line="240" w:lineRule="auto"/>
      </w:pPr>
    </w:p>
  </w:endnote>
  <w:endnote w:type="continuationSeparator" w:id="0">
    <w:p w:rsidR="00017221" w:rsidRPr="00AC3823" w:rsidRDefault="00017221" w:rsidP="00AC3823">
      <w:pPr>
        <w:pStyle w:val="Footer"/>
      </w:pPr>
    </w:p>
  </w:endnote>
  <w:endnote w:type="continuationNotice" w:id="1">
    <w:p w:rsidR="00017221" w:rsidRDefault="0001722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Webding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C08" w:rsidRPr="00512C08" w:rsidRDefault="00512C08" w:rsidP="00512C08">
    <w:pPr>
      <w:pStyle w:val="Footer"/>
      <w:tabs>
        <w:tab w:val="right" w:pos="9638"/>
      </w:tabs>
    </w:pPr>
    <w:r w:rsidRPr="00512C08">
      <w:rPr>
        <w:b/>
        <w:sz w:val="18"/>
      </w:rPr>
      <w:fldChar w:fldCharType="begin"/>
    </w:r>
    <w:r w:rsidRPr="00512C08">
      <w:rPr>
        <w:b/>
        <w:sz w:val="18"/>
      </w:rPr>
      <w:instrText xml:space="preserve"> PAGE  \* MERGEFORMAT </w:instrText>
    </w:r>
    <w:r w:rsidRPr="00512C08">
      <w:rPr>
        <w:b/>
        <w:sz w:val="18"/>
      </w:rPr>
      <w:fldChar w:fldCharType="separate"/>
    </w:r>
    <w:r w:rsidR="00472FE6">
      <w:rPr>
        <w:b/>
        <w:noProof/>
        <w:sz w:val="18"/>
      </w:rPr>
      <w:t>2</w:t>
    </w:r>
    <w:r w:rsidRPr="00512C08">
      <w:rPr>
        <w:b/>
        <w:sz w:val="18"/>
      </w:rPr>
      <w:fldChar w:fldCharType="end"/>
    </w:r>
    <w:r>
      <w:rPr>
        <w:b/>
        <w:sz w:val="18"/>
      </w:rPr>
      <w:tab/>
    </w:r>
    <w:r>
      <w:t>GE.17-09632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C08" w:rsidRPr="00512C08" w:rsidRDefault="00512C08" w:rsidP="00512C08">
    <w:pPr>
      <w:pStyle w:val="Footer"/>
      <w:tabs>
        <w:tab w:val="right" w:pos="9638"/>
      </w:tabs>
      <w:rPr>
        <w:b/>
        <w:sz w:val="18"/>
      </w:rPr>
    </w:pPr>
    <w:r>
      <w:t>GE.17-09632</w:t>
    </w:r>
    <w:r>
      <w:tab/>
    </w:r>
    <w:r w:rsidRPr="00512C08">
      <w:rPr>
        <w:b/>
        <w:sz w:val="18"/>
      </w:rPr>
      <w:fldChar w:fldCharType="begin"/>
    </w:r>
    <w:r w:rsidRPr="00512C08">
      <w:rPr>
        <w:b/>
        <w:sz w:val="18"/>
      </w:rPr>
      <w:instrText xml:space="preserve"> PAGE  \* MERGEFORMAT </w:instrText>
    </w:r>
    <w:r w:rsidRPr="00512C08">
      <w:rPr>
        <w:b/>
        <w:sz w:val="18"/>
      </w:rPr>
      <w:fldChar w:fldCharType="separate"/>
    </w:r>
    <w:r w:rsidR="00472FE6">
      <w:rPr>
        <w:b/>
        <w:noProof/>
        <w:sz w:val="18"/>
      </w:rPr>
      <w:t>3</w:t>
    </w:r>
    <w:r w:rsidRPr="00512C0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512C08" w:rsidRDefault="00512C08" w:rsidP="00512C08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17-09632  (F)    190717    190717</w:t>
    </w:r>
    <w:r>
      <w:rPr>
        <w:sz w:val="20"/>
      </w:rPr>
      <w:br/>
    </w:r>
    <w:r w:rsidRPr="00512C08">
      <w:rPr>
        <w:rFonts w:ascii="C39T30Lfz" w:hAnsi="C39T30Lfz"/>
        <w:sz w:val="56"/>
      </w:rPr>
      <w:t></w:t>
    </w:r>
    <w:r w:rsidRPr="00512C08">
      <w:rPr>
        <w:rFonts w:ascii="C39T30Lfz" w:hAnsi="C39T30Lfz"/>
        <w:sz w:val="56"/>
      </w:rPr>
      <w:t></w:t>
    </w:r>
    <w:r w:rsidRPr="00512C08">
      <w:rPr>
        <w:rFonts w:ascii="C39T30Lfz" w:hAnsi="C39T30Lfz"/>
        <w:sz w:val="56"/>
      </w:rPr>
      <w:t></w:t>
    </w:r>
    <w:r w:rsidRPr="00512C08">
      <w:rPr>
        <w:rFonts w:ascii="C39T30Lfz" w:hAnsi="C39T30Lfz"/>
        <w:sz w:val="56"/>
      </w:rPr>
      <w:t></w:t>
    </w:r>
    <w:r w:rsidRPr="00512C08">
      <w:rPr>
        <w:rFonts w:ascii="C39T30Lfz" w:hAnsi="C39T30Lfz"/>
        <w:sz w:val="56"/>
      </w:rPr>
      <w:t></w:t>
    </w:r>
    <w:r w:rsidRPr="00512C08">
      <w:rPr>
        <w:rFonts w:ascii="C39T30Lfz" w:hAnsi="C39T30Lfz"/>
        <w:sz w:val="56"/>
      </w:rPr>
      <w:t></w:t>
    </w:r>
    <w:r w:rsidRPr="00512C08">
      <w:rPr>
        <w:rFonts w:ascii="C39T30Lfz" w:hAnsi="C39T30Lfz"/>
        <w:sz w:val="56"/>
      </w:rPr>
      <w:t></w:t>
    </w:r>
    <w:r w:rsidRPr="00512C08">
      <w:rPr>
        <w:rFonts w:ascii="C39T30Lfz" w:hAnsi="C39T30Lfz"/>
        <w:sz w:val="56"/>
      </w:rPr>
      <w:t></w:t>
    </w:r>
    <w:r w:rsidRPr="00512C08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2/2017/4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7/4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221" w:rsidRPr="00AC3823" w:rsidRDefault="0001722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17221" w:rsidRPr="00AC3823" w:rsidRDefault="0001722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17221" w:rsidRPr="00AC3823" w:rsidRDefault="00017221">
      <w:pPr>
        <w:spacing w:line="240" w:lineRule="auto"/>
        <w:rPr>
          <w:sz w:val="2"/>
          <w:szCs w:val="2"/>
        </w:rPr>
      </w:pPr>
    </w:p>
  </w:footnote>
  <w:footnote w:id="2">
    <w:p w:rsidR="00031EC2" w:rsidRPr="00C668E0" w:rsidRDefault="00031EC2" w:rsidP="001D014E">
      <w:pPr>
        <w:pStyle w:val="FootnoteText"/>
      </w:pPr>
      <w:r>
        <w:rPr>
          <w:lang w:val="fr-FR"/>
        </w:rPr>
        <w:tab/>
        <w:t>*</w:t>
      </w:r>
      <w:r>
        <w:rPr>
          <w:lang w:val="fr-FR"/>
        </w:rPr>
        <w:tab/>
        <w:t xml:space="preserve">Diffusé en langue allemande par la Commission centrale pour la navigation du Rhin sous la cote </w:t>
      </w:r>
      <w:r w:rsidR="001D014E">
        <w:rPr>
          <w:lang w:val="fr-FR"/>
        </w:rPr>
        <w:t>CCNR-</w:t>
      </w:r>
      <w:r>
        <w:rPr>
          <w:lang w:val="fr-FR"/>
        </w:rPr>
        <w:t>ZKR/ADN/WP.15/AC.2/2017/46.</w:t>
      </w:r>
    </w:p>
  </w:footnote>
  <w:footnote w:id="3">
    <w:p w:rsidR="00031EC2" w:rsidRPr="00C668E0" w:rsidRDefault="00031EC2" w:rsidP="00031EC2">
      <w:pPr>
        <w:pStyle w:val="FootnoteText"/>
      </w:pPr>
      <w:r>
        <w:rPr>
          <w:lang w:val="fr-FR"/>
        </w:rPr>
        <w:tab/>
        <w:t>**</w:t>
      </w:r>
      <w:r>
        <w:rPr>
          <w:lang w:val="fr-FR"/>
        </w:rPr>
        <w:tab/>
        <w:t>Conformément au programme de travail du Comité des transports intérieurs pour 2016-2017 (ECE/TRANS/2016/28/Add.1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C08" w:rsidRPr="00512C08" w:rsidRDefault="00472FE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ECE/TRANS/WP.15/AC.2/2017/46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C08" w:rsidRPr="00512C08" w:rsidRDefault="00472FE6" w:rsidP="00512C0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ECE/TRANS/WP.15/AC.2/2017/46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9F06224"/>
    <w:multiLevelType w:val="hybridMultilevel"/>
    <w:tmpl w:val="90DCF4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62C9C"/>
    <w:multiLevelType w:val="hybridMultilevel"/>
    <w:tmpl w:val="1ACA0E0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21"/>
    <w:rsid w:val="00017221"/>
    <w:rsid w:val="00017F94"/>
    <w:rsid w:val="00023842"/>
    <w:rsid w:val="00031EC2"/>
    <w:rsid w:val="000334F9"/>
    <w:rsid w:val="00045FEB"/>
    <w:rsid w:val="0007796D"/>
    <w:rsid w:val="0008620B"/>
    <w:rsid w:val="000B7790"/>
    <w:rsid w:val="000C20F9"/>
    <w:rsid w:val="00111F2F"/>
    <w:rsid w:val="00141AD9"/>
    <w:rsid w:val="0014365E"/>
    <w:rsid w:val="00143C66"/>
    <w:rsid w:val="0017505A"/>
    <w:rsid w:val="00176178"/>
    <w:rsid w:val="001D014E"/>
    <w:rsid w:val="001E41AA"/>
    <w:rsid w:val="001F525A"/>
    <w:rsid w:val="00223272"/>
    <w:rsid w:val="00235506"/>
    <w:rsid w:val="0024779E"/>
    <w:rsid w:val="00257168"/>
    <w:rsid w:val="002744B8"/>
    <w:rsid w:val="002832AC"/>
    <w:rsid w:val="002B1057"/>
    <w:rsid w:val="002D7C93"/>
    <w:rsid w:val="00305801"/>
    <w:rsid w:val="003916DE"/>
    <w:rsid w:val="00441C3B"/>
    <w:rsid w:val="00446FE5"/>
    <w:rsid w:val="00452396"/>
    <w:rsid w:val="00471D49"/>
    <w:rsid w:val="00472FE6"/>
    <w:rsid w:val="004837D8"/>
    <w:rsid w:val="00496019"/>
    <w:rsid w:val="004E468C"/>
    <w:rsid w:val="004F56B5"/>
    <w:rsid w:val="00512C08"/>
    <w:rsid w:val="005505B7"/>
    <w:rsid w:val="00573BE5"/>
    <w:rsid w:val="00586ED3"/>
    <w:rsid w:val="00596AA9"/>
    <w:rsid w:val="005C3886"/>
    <w:rsid w:val="006525F5"/>
    <w:rsid w:val="0071601D"/>
    <w:rsid w:val="0079072D"/>
    <w:rsid w:val="007A62E6"/>
    <w:rsid w:val="007D368E"/>
    <w:rsid w:val="007F20FA"/>
    <w:rsid w:val="0080108B"/>
    <w:rsid w:val="0080684C"/>
    <w:rsid w:val="00871C75"/>
    <w:rsid w:val="008776DC"/>
    <w:rsid w:val="008C503E"/>
    <w:rsid w:val="009446C0"/>
    <w:rsid w:val="009705C8"/>
    <w:rsid w:val="00991529"/>
    <w:rsid w:val="009C1CF4"/>
    <w:rsid w:val="009F6B74"/>
    <w:rsid w:val="00A24EE4"/>
    <w:rsid w:val="00A30353"/>
    <w:rsid w:val="00AC3823"/>
    <w:rsid w:val="00AE323C"/>
    <w:rsid w:val="00AF0CB5"/>
    <w:rsid w:val="00AF65DE"/>
    <w:rsid w:val="00B00181"/>
    <w:rsid w:val="00B00B0D"/>
    <w:rsid w:val="00B765F7"/>
    <w:rsid w:val="00B95514"/>
    <w:rsid w:val="00BA0CA9"/>
    <w:rsid w:val="00BB4E45"/>
    <w:rsid w:val="00C02897"/>
    <w:rsid w:val="00C97039"/>
    <w:rsid w:val="00CE02D6"/>
    <w:rsid w:val="00D3439C"/>
    <w:rsid w:val="00DB1831"/>
    <w:rsid w:val="00DD3BFD"/>
    <w:rsid w:val="00DF6678"/>
    <w:rsid w:val="00E85C74"/>
    <w:rsid w:val="00EA6547"/>
    <w:rsid w:val="00EF2E22"/>
    <w:rsid w:val="00F11743"/>
    <w:rsid w:val="00F35BAF"/>
    <w:rsid w:val="00F660DF"/>
    <w:rsid w:val="00F94664"/>
    <w:rsid w:val="00F9573C"/>
    <w:rsid w:val="00F95C08"/>
    <w:rsid w:val="00FA51BC"/>
    <w:rsid w:val="00FD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BB0768D-470E-488E-9E94-2C7CFC82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ECE/TRANS/WP.15/AC.2/2017/46</vt:lpstr>
      <vt:lpstr>ECE/TRANS/WP.15/AC.2/2017/46</vt:lpstr>
    </vt:vector>
  </TitlesOfParts>
  <Company>DCM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ECE/TRANS/WP.15/AC.2/2017/46</dc:title>
  <dc:subject/>
  <dc:creator>Sylvie LAMY</dc:creator>
  <cp:keywords/>
  <cp:lastModifiedBy>Marie-Claude Collet</cp:lastModifiedBy>
  <cp:revision>3</cp:revision>
  <cp:lastPrinted>2017-07-20T09:24:00Z</cp:lastPrinted>
  <dcterms:created xsi:type="dcterms:W3CDTF">2017-07-20T09:24:00Z</dcterms:created>
  <dcterms:modified xsi:type="dcterms:W3CDTF">2017-07-20T09:24:00Z</dcterms:modified>
</cp:coreProperties>
</file>