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1A0DBA" w:rsidTr="007B1496">
        <w:trPr>
          <w:cantSplit/>
          <w:trHeight w:hRule="exact" w:val="851"/>
        </w:trPr>
        <w:tc>
          <w:tcPr>
            <w:tcW w:w="1276" w:type="dxa"/>
            <w:tcBorders>
              <w:bottom w:val="single" w:sz="4" w:space="0" w:color="auto"/>
            </w:tcBorders>
            <w:vAlign w:val="bottom"/>
          </w:tcPr>
          <w:p w:rsidR="00717266" w:rsidRDefault="00717266" w:rsidP="007B1496">
            <w:pPr>
              <w:spacing w:after="80"/>
            </w:pPr>
          </w:p>
        </w:tc>
        <w:tc>
          <w:tcPr>
            <w:tcW w:w="2268" w:type="dxa"/>
            <w:tcBorders>
              <w:bottom w:val="single" w:sz="4" w:space="0" w:color="auto"/>
            </w:tcBorders>
            <w:vAlign w:val="bottom"/>
          </w:tcPr>
          <w:p w:rsidR="00717266" w:rsidRPr="001A0DBA" w:rsidRDefault="00717266" w:rsidP="007B1496">
            <w:pPr>
              <w:spacing w:after="80" w:line="300" w:lineRule="exact"/>
              <w:rPr>
                <w:b/>
                <w:sz w:val="24"/>
                <w:szCs w:val="24"/>
              </w:rPr>
            </w:pPr>
            <w:r w:rsidRPr="001A0DBA">
              <w:rPr>
                <w:sz w:val="28"/>
                <w:szCs w:val="28"/>
              </w:rPr>
              <w:t>United Nations</w:t>
            </w:r>
          </w:p>
        </w:tc>
        <w:tc>
          <w:tcPr>
            <w:tcW w:w="6095" w:type="dxa"/>
            <w:gridSpan w:val="2"/>
            <w:tcBorders>
              <w:bottom w:val="single" w:sz="4" w:space="0" w:color="auto"/>
            </w:tcBorders>
            <w:vAlign w:val="bottom"/>
          </w:tcPr>
          <w:p w:rsidR="00717266" w:rsidRPr="001A0DBA" w:rsidRDefault="00C32FBF" w:rsidP="00712531">
            <w:pPr>
              <w:suppressAutoHyphens w:val="0"/>
              <w:spacing w:after="20"/>
              <w:jc w:val="right"/>
            </w:pPr>
            <w:r w:rsidRPr="001A0DBA">
              <w:rPr>
                <w:sz w:val="40"/>
              </w:rPr>
              <w:t>ECE</w:t>
            </w:r>
            <w:r w:rsidRPr="001A0DBA">
              <w:t>/TRANS/WP.15/AC.2/201</w:t>
            </w:r>
            <w:r w:rsidR="00C125CF" w:rsidRPr="001A0DBA">
              <w:t>7</w:t>
            </w:r>
            <w:r w:rsidRPr="001A0DBA">
              <w:t>/</w:t>
            </w:r>
            <w:r w:rsidR="007D308C">
              <w:t>3</w:t>
            </w:r>
            <w:r w:rsidR="00712531">
              <w:t>6</w:t>
            </w:r>
          </w:p>
        </w:tc>
      </w:tr>
      <w:tr w:rsidR="00717266" w:rsidRPr="001A0DBA" w:rsidTr="007B1496">
        <w:trPr>
          <w:cantSplit/>
          <w:trHeight w:hRule="exact" w:val="2835"/>
        </w:trPr>
        <w:tc>
          <w:tcPr>
            <w:tcW w:w="1276" w:type="dxa"/>
            <w:tcBorders>
              <w:top w:val="single" w:sz="4" w:space="0" w:color="auto"/>
              <w:bottom w:val="single" w:sz="12" w:space="0" w:color="auto"/>
            </w:tcBorders>
          </w:tcPr>
          <w:p w:rsidR="00717266" w:rsidRPr="001A0DBA" w:rsidRDefault="00717266" w:rsidP="007B1496">
            <w:pPr>
              <w:spacing w:before="120"/>
            </w:pPr>
            <w:r w:rsidRPr="001A0DBA">
              <w:rPr>
                <w:noProof/>
                <w:lang w:eastAsia="en-GB"/>
              </w:rPr>
              <w:drawing>
                <wp:inline distT="0" distB="0" distL="0" distR="0" wp14:anchorId="2C376BD0" wp14:editId="652FC65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1A0DBA" w:rsidRDefault="00717266" w:rsidP="007B1496">
            <w:pPr>
              <w:spacing w:before="120" w:line="420" w:lineRule="exact"/>
              <w:rPr>
                <w:sz w:val="40"/>
                <w:szCs w:val="40"/>
              </w:rPr>
            </w:pPr>
            <w:r w:rsidRPr="001A0DBA">
              <w:rPr>
                <w:b/>
                <w:sz w:val="40"/>
                <w:szCs w:val="40"/>
              </w:rPr>
              <w:t>Economic and Social Council</w:t>
            </w:r>
          </w:p>
        </w:tc>
        <w:tc>
          <w:tcPr>
            <w:tcW w:w="2835" w:type="dxa"/>
            <w:tcBorders>
              <w:top w:val="single" w:sz="4" w:space="0" w:color="auto"/>
              <w:bottom w:val="single" w:sz="12" w:space="0" w:color="auto"/>
            </w:tcBorders>
          </w:tcPr>
          <w:p w:rsidR="00717266" w:rsidRPr="001A0DBA" w:rsidRDefault="00C32FBF" w:rsidP="00C32FBF">
            <w:pPr>
              <w:suppressAutoHyphens w:val="0"/>
              <w:spacing w:before="240" w:line="240" w:lineRule="exact"/>
            </w:pPr>
            <w:r w:rsidRPr="001A0DBA">
              <w:t>Distr.: General</w:t>
            </w:r>
          </w:p>
          <w:p w:rsidR="00C32FBF" w:rsidRPr="001A0DBA" w:rsidRDefault="003740B2" w:rsidP="00C32FBF">
            <w:pPr>
              <w:suppressAutoHyphens w:val="0"/>
            </w:pPr>
            <w:r>
              <w:t>16</w:t>
            </w:r>
            <w:r w:rsidR="004C189B" w:rsidRPr="004C189B">
              <w:t xml:space="preserve"> June 2017</w:t>
            </w:r>
          </w:p>
          <w:p w:rsidR="00C32FBF" w:rsidRPr="001A0DBA" w:rsidRDefault="00C32FBF" w:rsidP="00C32FBF">
            <w:pPr>
              <w:suppressAutoHyphens w:val="0"/>
            </w:pPr>
          </w:p>
          <w:p w:rsidR="00C32FBF" w:rsidRPr="001A0DBA" w:rsidRDefault="00C32FBF" w:rsidP="00712531">
            <w:pPr>
              <w:suppressAutoHyphens w:val="0"/>
            </w:pPr>
            <w:r w:rsidRPr="001A0DBA">
              <w:t xml:space="preserve">Original: </w:t>
            </w:r>
            <w:r w:rsidR="00C125CF" w:rsidRPr="001A0DBA">
              <w:t xml:space="preserve"> English</w:t>
            </w:r>
            <w:r w:rsidR="00152DB4">
              <w:t xml:space="preserve"> </w:t>
            </w:r>
          </w:p>
        </w:tc>
      </w:tr>
    </w:tbl>
    <w:p w:rsidR="00C32FBF" w:rsidRPr="001A0DBA" w:rsidRDefault="00C32FBF">
      <w:pPr>
        <w:spacing w:before="120"/>
        <w:rPr>
          <w:b/>
          <w:sz w:val="28"/>
          <w:szCs w:val="28"/>
        </w:rPr>
      </w:pPr>
      <w:r w:rsidRPr="001A0DBA">
        <w:rPr>
          <w:b/>
          <w:sz w:val="28"/>
          <w:szCs w:val="28"/>
        </w:rPr>
        <w:t>Economic Commission for Europe</w:t>
      </w:r>
    </w:p>
    <w:p w:rsidR="00C32FBF" w:rsidRPr="001A0DBA" w:rsidRDefault="00C32FBF">
      <w:pPr>
        <w:spacing w:before="120"/>
        <w:rPr>
          <w:sz w:val="28"/>
          <w:szCs w:val="28"/>
        </w:rPr>
      </w:pPr>
      <w:r w:rsidRPr="001A0DBA">
        <w:rPr>
          <w:sz w:val="28"/>
          <w:szCs w:val="28"/>
        </w:rPr>
        <w:t>Inland Transport Committee</w:t>
      </w:r>
    </w:p>
    <w:p w:rsidR="00C32FBF" w:rsidRPr="001A0DBA" w:rsidRDefault="00C32FBF" w:rsidP="00C32FBF">
      <w:pPr>
        <w:spacing w:before="120"/>
        <w:rPr>
          <w:b/>
          <w:sz w:val="24"/>
          <w:szCs w:val="24"/>
        </w:rPr>
      </w:pPr>
      <w:r w:rsidRPr="001A0DBA">
        <w:rPr>
          <w:b/>
          <w:sz w:val="24"/>
          <w:szCs w:val="24"/>
        </w:rPr>
        <w:t>Working Party on the Transport of Dangerous Goods</w:t>
      </w:r>
    </w:p>
    <w:p w:rsidR="00C32FBF" w:rsidRPr="001A0DBA" w:rsidRDefault="00C32FBF" w:rsidP="00C32FBF">
      <w:pPr>
        <w:spacing w:before="120"/>
        <w:rPr>
          <w:b/>
        </w:rPr>
      </w:pPr>
      <w:r w:rsidRPr="001A0DBA">
        <w:rPr>
          <w:b/>
        </w:rPr>
        <w:t>Joint Meeting of Experts on the Regulations annexed to the</w:t>
      </w:r>
    </w:p>
    <w:p w:rsidR="00C32FBF" w:rsidRPr="001A0DBA" w:rsidRDefault="00C32FBF" w:rsidP="00C32FBF">
      <w:pPr>
        <w:rPr>
          <w:b/>
        </w:rPr>
      </w:pPr>
      <w:r w:rsidRPr="001A0DBA">
        <w:rPr>
          <w:b/>
        </w:rPr>
        <w:t xml:space="preserve">European Agreement concerning the International Carriage </w:t>
      </w:r>
    </w:p>
    <w:p w:rsidR="00C32FBF" w:rsidRPr="001A0DBA" w:rsidRDefault="00C32FBF" w:rsidP="00C32FBF">
      <w:pPr>
        <w:rPr>
          <w:b/>
        </w:rPr>
      </w:pPr>
      <w:r w:rsidRPr="001A0DBA">
        <w:rPr>
          <w:b/>
        </w:rPr>
        <w:t>of Dangerous Goods by Inland Waterways (ADN)</w:t>
      </w:r>
    </w:p>
    <w:p w:rsidR="00C32FBF" w:rsidRPr="001A0DBA" w:rsidRDefault="005C7E68" w:rsidP="00C32FBF">
      <w:pPr>
        <w:spacing w:after="120"/>
        <w:rPr>
          <w:b/>
        </w:rPr>
      </w:pPr>
      <w:r>
        <w:rPr>
          <w:b/>
        </w:rPr>
        <w:t>(ADN</w:t>
      </w:r>
      <w:r w:rsidR="00C32FBF" w:rsidRPr="001A0DBA">
        <w:rPr>
          <w:b/>
        </w:rPr>
        <w:t xml:space="preserve"> Safety Committee</w:t>
      </w:r>
      <w:r>
        <w:rPr>
          <w:b/>
        </w:rPr>
        <w:t>)</w:t>
      </w:r>
    </w:p>
    <w:p w:rsidR="007268F9" w:rsidRPr="001A0DBA" w:rsidRDefault="00C125CF" w:rsidP="00FB1744">
      <w:pPr>
        <w:rPr>
          <w:b/>
          <w:bCs/>
        </w:rPr>
      </w:pPr>
      <w:r w:rsidRPr="001A0DBA">
        <w:rPr>
          <w:b/>
          <w:bCs/>
        </w:rPr>
        <w:t>Thirt</w:t>
      </w:r>
      <w:r w:rsidR="00A528B3" w:rsidRPr="001A0DBA">
        <w:rPr>
          <w:b/>
          <w:bCs/>
        </w:rPr>
        <w:t>y-first</w:t>
      </w:r>
      <w:r w:rsidR="00C32FBF" w:rsidRPr="001A0DBA">
        <w:rPr>
          <w:b/>
          <w:bCs/>
        </w:rPr>
        <w:t xml:space="preserve"> session</w:t>
      </w:r>
    </w:p>
    <w:p w:rsidR="00C32FBF" w:rsidRPr="001A0DBA" w:rsidRDefault="001A0DBA" w:rsidP="00FB1744">
      <w:r w:rsidRPr="001A0DBA">
        <w:t>Geneva, 28-31 August 2017</w:t>
      </w:r>
    </w:p>
    <w:p w:rsidR="007D308C" w:rsidRPr="00FB7356" w:rsidRDefault="007D308C" w:rsidP="007D308C">
      <w:r>
        <w:t xml:space="preserve">Item </w:t>
      </w:r>
      <w:r w:rsidRPr="005F05CF">
        <w:t>3 (c)</w:t>
      </w:r>
      <w:r w:rsidRPr="00FB7356">
        <w:t xml:space="preserve"> of the provisional agenda</w:t>
      </w:r>
    </w:p>
    <w:p w:rsidR="007D308C" w:rsidRPr="00BB589D" w:rsidRDefault="007D308C" w:rsidP="007D308C">
      <w:pPr>
        <w:rPr>
          <w:b/>
          <w:bCs/>
          <w:lang w:val="en-US"/>
        </w:rPr>
      </w:pPr>
      <w:r w:rsidRPr="00BB589D">
        <w:rPr>
          <w:b/>
          <w:bCs/>
          <w:lang w:val="en-US"/>
        </w:rPr>
        <w:t xml:space="preserve">Implementation of the European Agreement concerning </w:t>
      </w:r>
      <w:r>
        <w:rPr>
          <w:b/>
          <w:bCs/>
          <w:lang w:val="en-US"/>
        </w:rPr>
        <w:br/>
      </w:r>
      <w:r w:rsidRPr="00BB589D">
        <w:rPr>
          <w:b/>
          <w:bCs/>
          <w:lang w:val="en-US"/>
        </w:rPr>
        <w:t>the International Carriage of Dangerous Goods by Inland Waterways (ADN)</w:t>
      </w:r>
      <w:r>
        <w:rPr>
          <w:b/>
          <w:bCs/>
          <w:lang w:val="en-US"/>
        </w:rPr>
        <w:t>:</w:t>
      </w:r>
    </w:p>
    <w:p w:rsidR="00C32FBF" w:rsidRPr="00631881" w:rsidRDefault="007D308C" w:rsidP="007D308C">
      <w:pPr>
        <w:rPr>
          <w:b/>
          <w:bCs/>
        </w:rPr>
      </w:pPr>
      <w:r>
        <w:rPr>
          <w:b/>
          <w:bCs/>
          <w:lang w:val="en-US"/>
        </w:rPr>
        <w:t>i</w:t>
      </w:r>
      <w:r w:rsidRPr="00BB589D">
        <w:rPr>
          <w:b/>
          <w:bCs/>
          <w:lang w:val="en-US"/>
        </w:rPr>
        <w:t>nterpretation of the Regulations annexed to ADN</w:t>
      </w:r>
    </w:p>
    <w:p w:rsidR="00D2078A" w:rsidRPr="00D2078A" w:rsidRDefault="00D2078A" w:rsidP="00712531">
      <w:pPr>
        <w:pStyle w:val="HChG"/>
      </w:pPr>
      <w:r w:rsidRPr="00D2078A">
        <w:tab/>
      </w:r>
      <w:r w:rsidRPr="00D2078A">
        <w:tab/>
      </w:r>
      <w:r w:rsidR="00045BB8">
        <w:t>Shower and eye/face b</w:t>
      </w:r>
      <w:r w:rsidR="004C189B">
        <w:t>ath</w:t>
      </w:r>
    </w:p>
    <w:p w:rsidR="00D2078A" w:rsidRPr="007E2C3C" w:rsidRDefault="00D2078A" w:rsidP="007E2C3C">
      <w:pPr>
        <w:pStyle w:val="H1G"/>
        <w:spacing w:before="240"/>
        <w:rPr>
          <w:szCs w:val="24"/>
        </w:rPr>
      </w:pPr>
      <w:r w:rsidRPr="007E2C3C">
        <w:rPr>
          <w:szCs w:val="24"/>
        </w:rPr>
        <w:tab/>
      </w:r>
      <w:r w:rsidRPr="007E2C3C">
        <w:rPr>
          <w:szCs w:val="24"/>
        </w:rPr>
        <w:tab/>
      </w:r>
      <w:r w:rsidR="007D308C" w:rsidRPr="00ED1F24">
        <w:t xml:space="preserve">Transmitted by the </w:t>
      </w:r>
      <w:r w:rsidR="007D308C" w:rsidRPr="001847F6">
        <w:rPr>
          <w:lang w:val="en-US"/>
        </w:rPr>
        <w:t>Recommended ADN Classification Societies</w:t>
      </w:r>
      <w:r w:rsidR="00B12066" w:rsidRPr="0018466B">
        <w:rPr>
          <w:rStyle w:val="FootnoteReference"/>
          <w:b w:val="0"/>
          <w:sz w:val="20"/>
          <w:vertAlign w:val="baseline"/>
        </w:rPr>
        <w:footnoteReference w:customMarkFollows="1" w:id="1"/>
        <w:t>*</w:t>
      </w:r>
      <w:r w:rsidR="00D66A38" w:rsidRPr="0018466B">
        <w:rPr>
          <w:b w:val="0"/>
          <w:sz w:val="20"/>
        </w:rPr>
        <w:t>,</w:t>
      </w:r>
      <w:r w:rsidR="00B12066" w:rsidRPr="0018466B">
        <w:rPr>
          <w:rStyle w:val="FootnoteReference"/>
          <w:b w:val="0"/>
          <w:sz w:val="20"/>
          <w:vertAlign w:val="baseline"/>
        </w:rPr>
        <w:footnoteReference w:customMarkFollows="1" w:id="2"/>
        <w:t>**</w:t>
      </w:r>
    </w:p>
    <w:p w:rsidR="00712531" w:rsidRPr="007F78D6" w:rsidRDefault="007D308C" w:rsidP="00712531">
      <w:pPr>
        <w:pStyle w:val="HChG"/>
        <w:rPr>
          <w:sz w:val="24"/>
          <w:szCs w:val="24"/>
        </w:rPr>
      </w:pPr>
      <w:r w:rsidRPr="007F78D6">
        <w:rPr>
          <w:rFonts w:eastAsia="TimesNewRomanPSMT"/>
          <w:sz w:val="24"/>
          <w:szCs w:val="24"/>
        </w:rPr>
        <w:tab/>
      </w:r>
      <w:r w:rsidR="00712531" w:rsidRPr="007F78D6">
        <w:rPr>
          <w:sz w:val="24"/>
          <w:szCs w:val="24"/>
        </w:rPr>
        <w:tab/>
        <w:t>Introduction</w:t>
      </w:r>
    </w:p>
    <w:p w:rsidR="00712531" w:rsidRPr="00367108" w:rsidRDefault="00045BB8" w:rsidP="00367108">
      <w:pPr>
        <w:pStyle w:val="SingleTxtG"/>
      </w:pPr>
      <w:r w:rsidRPr="00367108">
        <w:t>1.</w:t>
      </w:r>
      <w:r w:rsidRPr="00367108">
        <w:tab/>
      </w:r>
      <w:r w:rsidR="009B7D9D">
        <w:t>Document ECE/TRANS/WP</w:t>
      </w:r>
      <w:r w:rsidR="004C189B">
        <w:t>.</w:t>
      </w:r>
      <w:r w:rsidR="009B7D9D">
        <w:t>15/AC</w:t>
      </w:r>
      <w:r w:rsidR="004C189B">
        <w:t>.</w:t>
      </w:r>
      <w:r w:rsidR="009B7D9D">
        <w:t>2/2016/</w:t>
      </w:r>
      <w:r w:rsidR="00712531" w:rsidRPr="00367108">
        <w:t>43</w:t>
      </w:r>
      <w:r w:rsidR="009B7D9D">
        <w:t xml:space="preserve">, submitted by the </w:t>
      </w:r>
      <w:r w:rsidR="00712531" w:rsidRPr="00367108">
        <w:t>Recommend</w:t>
      </w:r>
      <w:r w:rsidR="009B7D9D">
        <w:t>ed ADN Classification Societies</w:t>
      </w:r>
      <w:r w:rsidR="00712531" w:rsidRPr="00367108">
        <w:t xml:space="preserve"> </w:t>
      </w:r>
      <w:r w:rsidR="009B7D9D">
        <w:t>was</w:t>
      </w:r>
      <w:r w:rsidR="00712531" w:rsidRPr="00367108">
        <w:t xml:space="preserve"> discussed at the </w:t>
      </w:r>
      <w:r w:rsidR="0069507A">
        <w:t>August 2016 session of the Safety Committee.</w:t>
      </w:r>
      <w:r w:rsidR="00712531" w:rsidRPr="00367108">
        <w:t xml:space="preserve"> </w:t>
      </w:r>
      <w:r w:rsidR="0069507A">
        <w:t>A</w:t>
      </w:r>
      <w:r w:rsidR="00712531" w:rsidRPr="00367108">
        <w:t xml:space="preserve"> new proposal taking into account the remarks of the </w:t>
      </w:r>
      <w:r w:rsidR="0069507A">
        <w:t xml:space="preserve">Safety </w:t>
      </w:r>
      <w:r w:rsidR="00712531" w:rsidRPr="00367108">
        <w:t xml:space="preserve">Committee is submitted hereafter. </w:t>
      </w:r>
    </w:p>
    <w:p w:rsidR="001662BA" w:rsidRDefault="00045BB8" w:rsidP="00367108">
      <w:pPr>
        <w:pStyle w:val="SingleTxtG"/>
      </w:pPr>
      <w:r w:rsidRPr="00367108">
        <w:t>2.</w:t>
      </w:r>
      <w:r w:rsidRPr="00367108">
        <w:tab/>
      </w:r>
      <w:r w:rsidR="00712531" w:rsidRPr="00367108">
        <w:t xml:space="preserve">The Classification Societies </w:t>
      </w:r>
      <w:r w:rsidR="004C189B">
        <w:t>were</w:t>
      </w:r>
      <w:r w:rsidR="00712531" w:rsidRPr="00367108">
        <w:t xml:space="preserve"> also invited to consider the prescriptions included in the</w:t>
      </w:r>
      <w:r w:rsidR="004C189B">
        <w:t xml:space="preserve"> </w:t>
      </w:r>
      <w:r w:rsidR="001662BA">
        <w:t>following documents:</w:t>
      </w:r>
    </w:p>
    <w:p w:rsidR="001662BA" w:rsidRDefault="004C189B" w:rsidP="001662BA">
      <w:pPr>
        <w:pStyle w:val="SingleTxtG"/>
        <w:numPr>
          <w:ilvl w:val="0"/>
          <w:numId w:val="15"/>
        </w:numPr>
      </w:pPr>
      <w:r>
        <w:t>International Maritime Organisation (IMO)</w:t>
      </w:r>
      <w:r w:rsidR="001662BA">
        <w:t xml:space="preserve"> - </w:t>
      </w:r>
      <w:r>
        <w:t>EmS Guide: Emergency Response Procedures for</w:t>
      </w:r>
      <w:r w:rsidR="001662BA">
        <w:t xml:space="preserve"> Ships Carrying Dangerous Goods; and</w:t>
      </w:r>
    </w:p>
    <w:p w:rsidR="00712531" w:rsidRPr="00367108" w:rsidRDefault="001662BA" w:rsidP="001662BA">
      <w:pPr>
        <w:pStyle w:val="SingleTxtG"/>
        <w:numPr>
          <w:ilvl w:val="0"/>
          <w:numId w:val="15"/>
        </w:numPr>
      </w:pPr>
      <w:r>
        <w:t xml:space="preserve">IMO/WHO/ILO - </w:t>
      </w:r>
      <w:r w:rsidR="004C189B">
        <w:t>Medical First Aid Guide for Use in Accidents Involving Dangerous Goods (MFAG)</w:t>
      </w:r>
      <w:r>
        <w:t>.</w:t>
      </w:r>
    </w:p>
    <w:p w:rsidR="00712531" w:rsidRDefault="00712531" w:rsidP="00712531">
      <w:pPr>
        <w:pStyle w:val="HChG"/>
        <w:rPr>
          <w:sz w:val="24"/>
          <w:szCs w:val="24"/>
        </w:rPr>
      </w:pPr>
      <w:r>
        <w:lastRenderedPageBreak/>
        <w:tab/>
      </w:r>
      <w:r w:rsidR="00045BB8" w:rsidRPr="007F78D6">
        <w:rPr>
          <w:sz w:val="24"/>
          <w:szCs w:val="24"/>
        </w:rPr>
        <w:t>I</w:t>
      </w:r>
      <w:r w:rsidRPr="007F78D6">
        <w:rPr>
          <w:sz w:val="24"/>
          <w:szCs w:val="24"/>
        </w:rPr>
        <w:t>.</w:t>
      </w:r>
      <w:r w:rsidRPr="007F78D6">
        <w:rPr>
          <w:sz w:val="24"/>
          <w:szCs w:val="24"/>
        </w:rPr>
        <w:tab/>
        <w:t>Interpretation of 7.2.4.60 and 9.3.x.60</w:t>
      </w:r>
    </w:p>
    <w:p w:rsidR="004C189B" w:rsidRPr="004C189B" w:rsidRDefault="004C189B" w:rsidP="004C189B">
      <w:pPr>
        <w:pStyle w:val="SingleTxtG"/>
      </w:pPr>
      <w:r>
        <w:t>3.</w:t>
      </w:r>
      <w:r>
        <w:tab/>
        <w:t xml:space="preserve">For the Recommended ADN Classification Societies, the following interpretation should be linked to the application of 7.2.4.60 and 9.3.X.60: </w:t>
      </w:r>
    </w:p>
    <w:p w:rsidR="00712531" w:rsidRPr="00A20801" w:rsidRDefault="00712531" w:rsidP="004C189B">
      <w:pPr>
        <w:pStyle w:val="Bullet1G"/>
      </w:pPr>
      <w:r w:rsidRPr="00A20801">
        <w:t>If water is used, th</w:t>
      </w:r>
      <w:r w:rsidR="004C189B">
        <w:t>e water used has to be drinking water.</w:t>
      </w:r>
    </w:p>
    <w:p w:rsidR="00712531" w:rsidRPr="004C189B" w:rsidRDefault="00712531" w:rsidP="004C189B">
      <w:pPr>
        <w:pStyle w:val="Bullet1G"/>
        <w:rPr>
          <w:b/>
          <w:bCs/>
        </w:rPr>
      </w:pPr>
      <w:bookmarkStart w:id="0" w:name="_GoBack"/>
      <w:bookmarkEnd w:id="0"/>
      <w:r w:rsidRPr="00A20801">
        <w:t xml:space="preserve">A connection of the installation with the area outside the cargo </w:t>
      </w:r>
      <w:r w:rsidR="004C189B">
        <w:t>area</w:t>
      </w:r>
      <w:r w:rsidRPr="00A20801">
        <w:t xml:space="preserve"> is accepted if</w:t>
      </w:r>
      <w:r w:rsidR="004C189B">
        <w:t xml:space="preserve"> </w:t>
      </w:r>
      <w:r w:rsidR="007E7E23">
        <w:t xml:space="preserve">a </w:t>
      </w:r>
      <w:r w:rsidRPr="004C189B">
        <w:rPr>
          <w:rFonts w:eastAsia="TimesNewRomanPSMT"/>
        </w:rPr>
        <w:t xml:space="preserve">spring-loaded non-return valve </w:t>
      </w:r>
      <w:r w:rsidR="004C189B">
        <w:rPr>
          <w:rFonts w:eastAsia="TimesNewRomanPSMT"/>
        </w:rPr>
        <w:t>is</w:t>
      </w:r>
      <w:r w:rsidRPr="004C189B">
        <w:rPr>
          <w:rFonts w:eastAsia="TimesNewRomanPSMT"/>
        </w:rPr>
        <w:t xml:space="preserve"> fitted to ensure that no gases can escape </w:t>
      </w:r>
      <w:r w:rsidRPr="00045BB8">
        <w:t>through the shower and the eye and face bat</w:t>
      </w:r>
      <w:r w:rsidR="00045BB8">
        <w:t>h system outside the cargo area;</w:t>
      </w:r>
    </w:p>
    <w:p w:rsidR="00712531" w:rsidRPr="004C189B" w:rsidRDefault="00712531" w:rsidP="001662BA">
      <w:pPr>
        <w:pStyle w:val="Bullet1G"/>
        <w:rPr>
          <w:rFonts w:eastAsia="TimesNewRomanPSMT"/>
        </w:rPr>
      </w:pPr>
      <w:r w:rsidRPr="004C189B">
        <w:t>To avoid freezing of the product inside the p</w:t>
      </w:r>
      <w:r w:rsidR="00045BB8" w:rsidRPr="004C189B">
        <w:t>iping</w:t>
      </w:r>
      <w:r w:rsidR="005A185F">
        <w:t>,</w:t>
      </w:r>
      <w:r w:rsidR="00045BB8" w:rsidRPr="004C189B">
        <w:t xml:space="preserve"> the tracing is a solution;</w:t>
      </w:r>
    </w:p>
    <w:p w:rsidR="00712531" w:rsidRPr="001662BA" w:rsidRDefault="00712531" w:rsidP="001662BA">
      <w:pPr>
        <w:pStyle w:val="Bullet1G"/>
        <w:rPr>
          <w:b/>
          <w:bCs/>
        </w:rPr>
      </w:pPr>
      <w:r w:rsidRPr="005A185F">
        <w:t>Other means like diphoterine could be used but in addition to the water shower not in place of this.</w:t>
      </w:r>
    </w:p>
    <w:p w:rsidR="00712531" w:rsidRPr="00045BB8" w:rsidRDefault="001662BA" w:rsidP="00367108">
      <w:pPr>
        <w:pStyle w:val="SingleTxtG"/>
        <w:rPr>
          <w:b/>
          <w:i/>
        </w:rPr>
      </w:pPr>
      <w:r>
        <w:t>4</w:t>
      </w:r>
      <w:r w:rsidR="00045BB8">
        <w:t>.</w:t>
      </w:r>
      <w:r w:rsidR="00045BB8">
        <w:tab/>
      </w:r>
      <w:r w:rsidR="00712531" w:rsidRPr="00A20801">
        <w:t xml:space="preserve">Eye/skin chemical splashes are a significant problem. Diphoterine is a compound developed in France as an eye/skin chemical splash water-based decontamination solution. In vitro and in vivo, it actively decontaminates approximately 600 chemicals, including acids, alkalis, oxidizing and reducing agents, irritants, lacrimators, solvents, alkylating agents, and radionuclides. Its chemical bond energy for such agents is greater than that of tissue receptors. Its hypertonicity impedes chemical tissue penetration and may remove some amount of skin/cornea-absorbed toxicants not already bound to tissue receptors. Diphoterine chemical reactions are not exothermic. Diphoterine and its acid/alkali decontamination residues are not irritating to the eyes or skin; it is essentially nontoxic. Diphoterine can prevent eye/skin burns following chemical splashes and results in nearly immediate pain relief.  </w:t>
      </w:r>
      <w:hyperlink r:id="rId9" w:history="1">
        <w:r w:rsidR="00712531" w:rsidRPr="00A20801">
          <w:rPr>
            <w:rStyle w:val="Hyperlink"/>
            <w:color w:val="000000"/>
          </w:rPr>
          <w:t>http://www.levitt-safety.com/shop/diphoterine/</w:t>
        </w:r>
      </w:hyperlink>
      <w:r w:rsidR="00712531" w:rsidRPr="00A20801">
        <w:t>.</w:t>
      </w:r>
    </w:p>
    <w:p w:rsidR="00712531" w:rsidRPr="007F78D6" w:rsidRDefault="00045BB8" w:rsidP="00712531">
      <w:pPr>
        <w:pStyle w:val="HChG"/>
        <w:rPr>
          <w:rFonts w:eastAsia="TimesNewRomanPSMT"/>
          <w:sz w:val="24"/>
          <w:szCs w:val="24"/>
        </w:rPr>
      </w:pPr>
      <w:r>
        <w:rPr>
          <w:rFonts w:eastAsia="TimesNewRomanPSMT"/>
        </w:rPr>
        <w:tab/>
      </w:r>
      <w:r w:rsidRPr="007F78D6">
        <w:rPr>
          <w:rFonts w:eastAsia="TimesNewRomanPSMT"/>
          <w:sz w:val="24"/>
          <w:szCs w:val="24"/>
        </w:rPr>
        <w:t>II</w:t>
      </w:r>
      <w:r w:rsidR="00712531" w:rsidRPr="007F78D6">
        <w:rPr>
          <w:rFonts w:eastAsia="TimesNewRomanPSMT"/>
          <w:sz w:val="24"/>
          <w:szCs w:val="24"/>
        </w:rPr>
        <w:t>.</w:t>
      </w:r>
      <w:r w:rsidR="00712531" w:rsidRPr="007F78D6">
        <w:rPr>
          <w:rFonts w:eastAsia="TimesNewRomanPSMT"/>
          <w:sz w:val="24"/>
          <w:szCs w:val="24"/>
        </w:rPr>
        <w:tab/>
      </w:r>
      <w:r w:rsidRPr="007F78D6">
        <w:rPr>
          <w:rFonts w:eastAsia="TimesNewRomanPSMT"/>
          <w:sz w:val="24"/>
          <w:szCs w:val="24"/>
        </w:rPr>
        <w:t>Proposal</w:t>
      </w:r>
    </w:p>
    <w:p w:rsidR="00712531" w:rsidRPr="00045BB8" w:rsidRDefault="001662BA" w:rsidP="00367108">
      <w:pPr>
        <w:pStyle w:val="SingleTxtG"/>
      </w:pPr>
      <w:r>
        <w:t>5</w:t>
      </w:r>
      <w:r w:rsidR="00045BB8" w:rsidRPr="00045BB8">
        <w:t>.</w:t>
      </w:r>
      <w:r w:rsidR="00045BB8" w:rsidRPr="00045BB8">
        <w:tab/>
      </w:r>
      <w:r w:rsidR="00045BB8">
        <w:t>Amend 9.3.</w:t>
      </w:r>
      <w:r w:rsidR="007F78D6">
        <w:t>x</w:t>
      </w:r>
      <w:r w:rsidR="00045BB8">
        <w:t>.60 to read as follows (new text is underlined):</w:t>
      </w:r>
    </w:p>
    <w:p w:rsidR="00712531" w:rsidRPr="002A608F" w:rsidRDefault="00045BB8" w:rsidP="00367108">
      <w:pPr>
        <w:pStyle w:val="SingleTxtG"/>
        <w:ind w:left="1701"/>
      </w:pPr>
      <w:r>
        <w:t>“</w:t>
      </w:r>
      <w:r w:rsidR="00712531" w:rsidRPr="002A608F">
        <w:t>Special equipment</w:t>
      </w:r>
    </w:p>
    <w:p w:rsidR="00712531" w:rsidRPr="00A20801" w:rsidRDefault="00712531" w:rsidP="00367108">
      <w:pPr>
        <w:pStyle w:val="SingleTxtG"/>
        <w:ind w:left="1701"/>
        <w:rPr>
          <w:rFonts w:eastAsia="TimesNewRomanPSMT"/>
        </w:rPr>
      </w:pPr>
      <w:r w:rsidRPr="00A20801">
        <w:rPr>
          <w:rFonts w:eastAsia="TimesNewRomanPSMT"/>
        </w:rPr>
        <w:t>A shower and an eye and face bath shall be provided on the vessel at a location which is directly accessible from the cargo area.</w:t>
      </w:r>
    </w:p>
    <w:p w:rsidR="00712531" w:rsidRPr="00045BB8" w:rsidRDefault="005A185F" w:rsidP="00367108">
      <w:pPr>
        <w:pStyle w:val="SingleTxtG"/>
        <w:ind w:left="1701"/>
        <w:rPr>
          <w:u w:val="single"/>
        </w:rPr>
      </w:pPr>
      <w:r>
        <w:rPr>
          <w:u w:val="single"/>
        </w:rPr>
        <w:t>The water used has to be drinking water</w:t>
      </w:r>
      <w:r w:rsidR="00712531" w:rsidRPr="00045BB8">
        <w:rPr>
          <w:u w:val="single"/>
        </w:rPr>
        <w:t xml:space="preserve">. </w:t>
      </w:r>
    </w:p>
    <w:p w:rsidR="00712531" w:rsidRPr="00045BB8" w:rsidRDefault="00712531" w:rsidP="00367108">
      <w:pPr>
        <w:pStyle w:val="SingleTxtG"/>
        <w:ind w:left="1701"/>
        <w:rPr>
          <w:u w:val="single"/>
        </w:rPr>
      </w:pPr>
      <w:r w:rsidRPr="00045BB8">
        <w:rPr>
          <w:u w:val="single"/>
        </w:rPr>
        <w:t xml:space="preserve">A connection of this special equipment with the area outside the cargo zone is accepted. </w:t>
      </w:r>
    </w:p>
    <w:p w:rsidR="00712531" w:rsidRPr="00045BB8" w:rsidRDefault="00712531" w:rsidP="00367108">
      <w:pPr>
        <w:pStyle w:val="SingleTxtG"/>
        <w:ind w:left="1701"/>
        <w:rPr>
          <w:color w:val="0070C0"/>
          <w:u w:val="single"/>
        </w:rPr>
      </w:pPr>
      <w:r w:rsidRPr="00045BB8">
        <w:rPr>
          <w:rFonts w:eastAsia="TimesNewRomanPSMT"/>
          <w:u w:val="single"/>
        </w:rPr>
        <w:t>A spring-loaded non-return valve shall be fitted to ensure that no gases can escape</w:t>
      </w:r>
      <w:r w:rsidR="00B07882">
        <w:rPr>
          <w:rFonts w:eastAsia="TimesNewRomanPSMT"/>
          <w:u w:val="single"/>
        </w:rPr>
        <w:t xml:space="preserve"> </w:t>
      </w:r>
      <w:r w:rsidRPr="00045BB8">
        <w:rPr>
          <w:rFonts w:eastAsia="TimesNewRomanPSMT"/>
          <w:u w:val="single"/>
        </w:rPr>
        <w:t>through the shower and the eye and face bath system outside the cargo area.</w:t>
      </w:r>
      <w:r w:rsidR="007F78D6">
        <w:rPr>
          <w:rFonts w:eastAsia="TimesNewRomanPSMT"/>
          <w:u w:val="single"/>
        </w:rPr>
        <w:t>”.</w:t>
      </w:r>
    </w:p>
    <w:p w:rsidR="00712531" w:rsidRPr="007F78D6" w:rsidRDefault="001662BA" w:rsidP="00367108">
      <w:pPr>
        <w:pStyle w:val="SingleTxtG"/>
        <w:rPr>
          <w:u w:val="single"/>
        </w:rPr>
      </w:pPr>
      <w:r>
        <w:t>6</w:t>
      </w:r>
      <w:r w:rsidR="007F78D6" w:rsidRPr="00045BB8">
        <w:t>.</w:t>
      </w:r>
      <w:r w:rsidR="007F78D6" w:rsidRPr="00045BB8">
        <w:tab/>
      </w:r>
      <w:r w:rsidR="007F78D6">
        <w:t>Add a new paragraph 9.3.3.61 to read as follows:</w:t>
      </w:r>
    </w:p>
    <w:p w:rsidR="00712531" w:rsidRDefault="007F78D6" w:rsidP="00367108">
      <w:pPr>
        <w:pStyle w:val="SingleTxtG"/>
        <w:ind w:left="1701"/>
        <w:rPr>
          <w:rFonts w:eastAsia="TimesNewRomanPSMT"/>
          <w:u w:val="single"/>
        </w:rPr>
      </w:pPr>
      <w:r>
        <w:rPr>
          <w:bCs/>
          <w:u w:val="single"/>
        </w:rPr>
        <w:t>“</w:t>
      </w:r>
      <w:r w:rsidR="00712531" w:rsidRPr="007F78D6">
        <w:rPr>
          <w:bCs/>
          <w:u w:val="single"/>
        </w:rPr>
        <w:t>9.3.3.61</w:t>
      </w:r>
      <w:r>
        <w:rPr>
          <w:bCs/>
          <w:u w:val="single"/>
        </w:rPr>
        <w:t xml:space="preserve"> </w:t>
      </w:r>
      <w:r>
        <w:rPr>
          <w:bCs/>
          <w:u w:val="single"/>
        </w:rPr>
        <w:tab/>
      </w:r>
      <w:r w:rsidR="00712531" w:rsidRPr="007F78D6">
        <w:rPr>
          <w:rFonts w:eastAsia="TimesNewRomanPSMT"/>
          <w:u w:val="single"/>
        </w:rPr>
        <w:t>9.3.3.60 above does not apply to oil separator and supply vessels.</w:t>
      </w:r>
      <w:r>
        <w:rPr>
          <w:rFonts w:eastAsia="TimesNewRomanPSMT"/>
          <w:u w:val="single"/>
        </w:rPr>
        <w:t>”.</w:t>
      </w:r>
    </w:p>
    <w:p w:rsidR="005A185F" w:rsidRDefault="001662BA" w:rsidP="005A185F">
      <w:pPr>
        <w:pStyle w:val="SingleTxtG"/>
        <w:rPr>
          <w:bCs/>
        </w:rPr>
      </w:pPr>
      <w:r>
        <w:rPr>
          <w:bCs/>
        </w:rPr>
        <w:t>7</w:t>
      </w:r>
      <w:r w:rsidR="007F78D6" w:rsidRPr="007F78D6">
        <w:rPr>
          <w:bCs/>
        </w:rPr>
        <w:t>.</w:t>
      </w:r>
      <w:r w:rsidR="007F78D6" w:rsidRPr="007F78D6">
        <w:rPr>
          <w:bCs/>
        </w:rPr>
        <w:tab/>
      </w:r>
      <w:r w:rsidR="005A185F">
        <w:rPr>
          <w:bCs/>
        </w:rPr>
        <w:t>Amend paragraph 7.2.4.60 to read:</w:t>
      </w:r>
    </w:p>
    <w:p w:rsidR="005A185F" w:rsidRPr="00367108" w:rsidRDefault="005A185F" w:rsidP="005A185F">
      <w:pPr>
        <w:pStyle w:val="SingleTxtG"/>
        <w:ind w:firstLine="567"/>
        <w:rPr>
          <w:b/>
          <w:bCs/>
          <w:iCs/>
        </w:rPr>
      </w:pPr>
      <w:r>
        <w:rPr>
          <w:b/>
          <w:bCs/>
        </w:rPr>
        <w:t>“</w:t>
      </w:r>
      <w:r w:rsidRPr="00367108">
        <w:rPr>
          <w:b/>
          <w:bCs/>
        </w:rPr>
        <w:t>7.2.4.60</w:t>
      </w:r>
      <w:r>
        <w:rPr>
          <w:b/>
          <w:bCs/>
        </w:rPr>
        <w:tab/>
      </w:r>
      <w:r w:rsidRPr="00367108">
        <w:rPr>
          <w:b/>
          <w:bCs/>
          <w:iCs/>
        </w:rPr>
        <w:t>Special equipment</w:t>
      </w:r>
    </w:p>
    <w:p w:rsidR="005A185F" w:rsidRPr="00367108" w:rsidRDefault="005A185F" w:rsidP="005A185F">
      <w:pPr>
        <w:pStyle w:val="SingleTxtG"/>
        <w:rPr>
          <w:rFonts w:eastAsia="TimesNewRomanPSMT"/>
        </w:rPr>
      </w:pPr>
      <w:r w:rsidRPr="00367108">
        <w:rPr>
          <w:rFonts w:eastAsia="TimesNewRomanPSMT"/>
        </w:rPr>
        <w:t>The shower and the eye and face bath prescribed in the rules for construction shall be kept ready in all weather conditions for use during loading and unloading operations and cargo transfer operations by pumping.</w:t>
      </w:r>
      <w:r>
        <w:rPr>
          <w:rFonts w:eastAsia="TimesNewRomanPSMT"/>
        </w:rPr>
        <w:t>”.</w:t>
      </w:r>
    </w:p>
    <w:p w:rsidR="005A185F" w:rsidRPr="00367108" w:rsidRDefault="005A185F" w:rsidP="005A185F">
      <w:pPr>
        <w:pStyle w:val="SingleTxtG"/>
        <w:rPr>
          <w:rFonts w:eastAsia="TimesNewRomanPSMT"/>
          <w:lang w:val="nl-BE"/>
        </w:rPr>
      </w:pPr>
      <w:r w:rsidRPr="007E7E23">
        <w:rPr>
          <w:b/>
          <w:u w:val="single"/>
        </w:rPr>
        <w:t>Note:</w:t>
      </w:r>
      <w:r w:rsidRPr="00367108">
        <w:t xml:space="preserve"> </w:t>
      </w:r>
      <w:r>
        <w:t xml:space="preserve">As the French text of </w:t>
      </w:r>
      <w:r w:rsidRPr="00367108">
        <w:t>7.2.4.60 is not fully identic</w:t>
      </w:r>
      <w:r>
        <w:t>al</w:t>
      </w:r>
      <w:r w:rsidRPr="00367108">
        <w:t xml:space="preserve"> to </w:t>
      </w:r>
      <w:r>
        <w:t>the English and German versions,</w:t>
      </w:r>
      <w:r w:rsidRPr="00367108">
        <w:t xml:space="preserve"> </w:t>
      </w:r>
      <w:r>
        <w:t xml:space="preserve">we have introduced a correction. </w:t>
      </w:r>
      <w:r w:rsidRPr="003740B2">
        <w:rPr>
          <w:lang w:val="fr-CH"/>
        </w:rPr>
        <w:t>The French text should read:</w:t>
      </w:r>
    </w:p>
    <w:p w:rsidR="005A185F" w:rsidRPr="004C189B" w:rsidRDefault="001662BA" w:rsidP="005A185F">
      <w:pPr>
        <w:pStyle w:val="SingleTxtG"/>
        <w:keepNext/>
        <w:rPr>
          <w:b/>
          <w:bCs/>
          <w:iCs/>
          <w:lang w:val="fr-CH"/>
        </w:rPr>
      </w:pPr>
      <w:r>
        <w:rPr>
          <w:b/>
          <w:bCs/>
          <w:lang w:val="fr-CH"/>
        </w:rPr>
        <w:lastRenderedPageBreak/>
        <w:t>« </w:t>
      </w:r>
      <w:r w:rsidR="005A185F" w:rsidRPr="004C189B">
        <w:rPr>
          <w:b/>
          <w:bCs/>
          <w:lang w:val="fr-CH"/>
        </w:rPr>
        <w:t>7.2.4.60</w:t>
      </w:r>
      <w:r w:rsidR="005A185F" w:rsidRPr="004C189B">
        <w:rPr>
          <w:b/>
          <w:bCs/>
          <w:lang w:val="fr-CH"/>
        </w:rPr>
        <w:tab/>
      </w:r>
      <w:r w:rsidR="005A185F" w:rsidRPr="004C189B">
        <w:rPr>
          <w:b/>
          <w:bCs/>
          <w:iCs/>
          <w:lang w:val="fr-CH"/>
        </w:rPr>
        <w:t>Équipement spécial</w:t>
      </w:r>
    </w:p>
    <w:p w:rsidR="005A185F" w:rsidRPr="00367108" w:rsidRDefault="005A185F" w:rsidP="005A185F">
      <w:pPr>
        <w:pStyle w:val="SingleTxtG"/>
        <w:keepNext/>
        <w:rPr>
          <w:lang w:val="fr-CH"/>
        </w:rPr>
      </w:pPr>
      <w:r w:rsidRPr="00367108">
        <w:rPr>
          <w:strike/>
          <w:lang w:val="fr-CH"/>
        </w:rPr>
        <w:t>La douche et le dispositif de lavage à grande eau du visage et des yeux</w:t>
      </w:r>
      <w:r w:rsidRPr="00367108">
        <w:rPr>
          <w:lang w:val="fr-CH"/>
        </w:rPr>
        <w:t xml:space="preserve"> </w:t>
      </w:r>
      <w:r w:rsidRPr="00367108">
        <w:rPr>
          <w:b/>
          <w:u w:val="single"/>
          <w:lang w:val="fr-CH"/>
        </w:rPr>
        <w:t>La douche et l’ installation pour le rinçage des yeux et du visage</w:t>
      </w:r>
      <w:r w:rsidRPr="00367108">
        <w:rPr>
          <w:lang w:val="fr-CH"/>
        </w:rPr>
        <w:t xml:space="preserve"> prescrits dans les règles de construction doivent être tenus prêts à l'utilisation quelles que soient les conditions météorologiques pendant les opérations de chargement et de déchargement et de transfert de la cargaison par pompage.</w:t>
      </w:r>
      <w:r w:rsidR="001662BA">
        <w:rPr>
          <w:lang w:val="fr-CH"/>
        </w:rPr>
        <w:t> ».</w:t>
      </w:r>
    </w:p>
    <w:p w:rsidR="00712531" w:rsidRPr="00367108" w:rsidRDefault="002A608F" w:rsidP="00367108">
      <w:pPr>
        <w:pStyle w:val="HChG"/>
        <w:rPr>
          <w:rFonts w:eastAsia="TimesNewRomanPSMT"/>
          <w:sz w:val="24"/>
          <w:szCs w:val="24"/>
        </w:rPr>
      </w:pPr>
      <w:r w:rsidRPr="005A185F">
        <w:rPr>
          <w:bCs/>
          <w:color w:val="000000"/>
          <w:kern w:val="36"/>
          <w:sz w:val="24"/>
          <w:szCs w:val="24"/>
          <w:lang w:val="fr-CH"/>
        </w:rPr>
        <w:tab/>
      </w:r>
      <w:r w:rsidR="00367108">
        <w:rPr>
          <w:rFonts w:eastAsia="TimesNewRomanPSMT"/>
          <w:sz w:val="24"/>
          <w:szCs w:val="24"/>
        </w:rPr>
        <w:t>III</w:t>
      </w:r>
      <w:r w:rsidRPr="00367108">
        <w:rPr>
          <w:rFonts w:eastAsia="TimesNewRomanPSMT"/>
          <w:sz w:val="24"/>
          <w:szCs w:val="24"/>
        </w:rPr>
        <w:t>.</w:t>
      </w:r>
      <w:r w:rsidRPr="00367108">
        <w:rPr>
          <w:rFonts w:eastAsia="TimesNewRomanPSMT"/>
          <w:sz w:val="24"/>
          <w:szCs w:val="24"/>
        </w:rPr>
        <w:tab/>
      </w:r>
      <w:r w:rsidR="00712531" w:rsidRPr="00367108">
        <w:rPr>
          <w:rFonts w:eastAsia="TimesNewRomanPSMT"/>
          <w:sz w:val="24"/>
          <w:szCs w:val="24"/>
        </w:rPr>
        <w:t>E</w:t>
      </w:r>
      <w:r w:rsidR="001662BA">
        <w:rPr>
          <w:rFonts w:eastAsia="TimesNewRomanPSMT"/>
          <w:sz w:val="24"/>
          <w:szCs w:val="24"/>
        </w:rPr>
        <w:t>m</w:t>
      </w:r>
      <w:r w:rsidR="00712531" w:rsidRPr="00367108">
        <w:rPr>
          <w:rFonts w:eastAsia="TimesNewRomanPSMT"/>
          <w:sz w:val="24"/>
          <w:szCs w:val="24"/>
        </w:rPr>
        <w:t>S and MFAG</w:t>
      </w:r>
    </w:p>
    <w:p w:rsidR="00712531" w:rsidRPr="00A20801" w:rsidRDefault="001662BA" w:rsidP="002A608F">
      <w:pPr>
        <w:pStyle w:val="SingleTxtG"/>
      </w:pPr>
      <w:r>
        <w:t>8</w:t>
      </w:r>
      <w:r w:rsidR="00367108">
        <w:t>.</w:t>
      </w:r>
      <w:r w:rsidR="00367108">
        <w:tab/>
      </w:r>
      <w:r w:rsidR="00712531" w:rsidRPr="00A20801">
        <w:t>The Safety Committee has also asked to the Cla</w:t>
      </w:r>
      <w:r w:rsidR="005A185F">
        <w:t>ssification Societies to look at</w:t>
      </w:r>
      <w:r w:rsidR="00712531" w:rsidRPr="00A20801">
        <w:t xml:space="preserve"> the IMO </w:t>
      </w:r>
      <w:r w:rsidR="005A185F">
        <w:t xml:space="preserve">EmS Guide </w:t>
      </w:r>
      <w:r w:rsidR="00712531" w:rsidRPr="00A20801">
        <w:t xml:space="preserve">and MFAG and to examine if some </w:t>
      </w:r>
      <w:r w:rsidR="005A185F">
        <w:t>provisions of those g</w:t>
      </w:r>
      <w:r w:rsidR="00712531" w:rsidRPr="00A20801">
        <w:t xml:space="preserve">uides could be included in the ADN </w:t>
      </w:r>
      <w:r w:rsidR="0069507A">
        <w:t>provisions</w:t>
      </w:r>
      <w:r w:rsidR="00712531" w:rsidRPr="00A20801">
        <w:t xml:space="preserve">. </w:t>
      </w:r>
    </w:p>
    <w:p w:rsidR="00712531" w:rsidRPr="0069507A" w:rsidRDefault="001662BA" w:rsidP="002A608F">
      <w:pPr>
        <w:pStyle w:val="SingleTxtG"/>
      </w:pPr>
      <w:r>
        <w:t>9</w:t>
      </w:r>
      <w:r w:rsidR="00367108">
        <w:t>.</w:t>
      </w:r>
      <w:r w:rsidR="00367108">
        <w:tab/>
      </w:r>
      <w:r w:rsidR="00712531" w:rsidRPr="00A20801">
        <w:t xml:space="preserve">The </w:t>
      </w:r>
      <w:r w:rsidR="0069507A">
        <w:t>informal group</w:t>
      </w:r>
      <w:r w:rsidR="00712531" w:rsidRPr="00A20801">
        <w:t xml:space="preserve"> of Recommended Classification Societies </w:t>
      </w:r>
      <w:r w:rsidR="005A185F">
        <w:t xml:space="preserve">considers that it </w:t>
      </w:r>
      <w:r w:rsidR="00712531" w:rsidRPr="00A20801">
        <w:t xml:space="preserve">is not in </w:t>
      </w:r>
      <w:r w:rsidR="005A185F">
        <w:t xml:space="preserve">a </w:t>
      </w:r>
      <w:r w:rsidR="00712531" w:rsidRPr="00A20801">
        <w:t xml:space="preserve">position to analyse </w:t>
      </w:r>
      <w:r w:rsidR="005A185F">
        <w:t>such g</w:t>
      </w:r>
      <w:r w:rsidR="00712531" w:rsidRPr="00A20801">
        <w:t>uides.</w:t>
      </w:r>
      <w:r w:rsidR="0069507A">
        <w:t xml:space="preserve"> The </w:t>
      </w:r>
      <w:r w:rsidR="005A185F">
        <w:t>two guides may be summarized as follows:</w:t>
      </w:r>
    </w:p>
    <w:p w:rsidR="00712531" w:rsidRPr="0069507A" w:rsidRDefault="005A185F" w:rsidP="005A185F">
      <w:pPr>
        <w:pStyle w:val="SingleTxtG"/>
      </w:pPr>
      <w:r>
        <w:t>(</w:t>
      </w:r>
      <w:r w:rsidR="00712531" w:rsidRPr="0069507A">
        <w:t>a</w:t>
      </w:r>
      <w:r>
        <w:t>)</w:t>
      </w:r>
      <w:r w:rsidR="002A608F" w:rsidRPr="0069507A">
        <w:tab/>
      </w:r>
      <w:r w:rsidR="007D44EA">
        <w:t xml:space="preserve">EmS Guide: </w:t>
      </w:r>
      <w:r w:rsidR="00712531" w:rsidRPr="0069507A">
        <w:t xml:space="preserve">Emergency Response Procedures for Ships Carrying Dangerous Goods </w:t>
      </w:r>
    </w:p>
    <w:tbl>
      <w:tblPr>
        <w:tblW w:w="5000" w:type="pct"/>
        <w:tblCellSpacing w:w="0" w:type="dxa"/>
        <w:tblCellMar>
          <w:top w:w="90" w:type="dxa"/>
          <w:left w:w="90" w:type="dxa"/>
          <w:bottom w:w="90" w:type="dxa"/>
          <w:right w:w="90" w:type="dxa"/>
        </w:tblCellMar>
        <w:tblLook w:val="04A0" w:firstRow="1" w:lastRow="0" w:firstColumn="1" w:lastColumn="0" w:noHBand="0" w:noVBand="1"/>
      </w:tblPr>
      <w:tblGrid>
        <w:gridCol w:w="9819"/>
      </w:tblGrid>
      <w:tr w:rsidR="00712531" w:rsidRPr="00A20801" w:rsidTr="00686201">
        <w:trPr>
          <w:tblCellSpacing w:w="0" w:type="dxa"/>
        </w:trPr>
        <w:tc>
          <w:tcPr>
            <w:tcW w:w="5000" w:type="pct"/>
            <w:hideMark/>
          </w:tcPr>
          <w:p w:rsidR="00712531" w:rsidRPr="00367108" w:rsidRDefault="00712531" w:rsidP="00367108">
            <w:pPr>
              <w:pStyle w:val="SingleTxtG"/>
            </w:pPr>
            <w:r w:rsidRPr="00367108">
              <w:t>In November 1997, the IMO Assembly adopted resolution A.852 (20) on Guidelines for a structure of an integrated system of contingency planning for shipboard emergencies. This Guide should be integrated into Module IV on Response actions, as contained in paragraph 3.2.4.6 of the aforementioned resolution, for cargo-related incidents.</w:t>
            </w:r>
          </w:p>
          <w:p w:rsidR="00712531" w:rsidRPr="00367108" w:rsidRDefault="00712531" w:rsidP="00367108">
            <w:pPr>
              <w:pStyle w:val="SingleTxtG"/>
            </w:pPr>
            <w:r w:rsidRPr="00367108">
              <w:t>This EmS Guide contains guidance on Emergency Response Procedures for Ships Carrying Dangerous Goods including the Emergency Schedules (EmS) to be followed in case of incidents involving dangerous substances, materials or articles, or harmful substances (marine pollutants), regulated under the International Maritime Dangerous Goods Code (IMDG Code).</w:t>
            </w:r>
          </w:p>
          <w:p w:rsidR="00712531" w:rsidRPr="00367108" w:rsidRDefault="00712531" w:rsidP="00367108">
            <w:pPr>
              <w:pStyle w:val="SingleTxtG"/>
            </w:pPr>
            <w:r w:rsidRPr="00367108">
              <w:t>The purpose of this Guide is to provide guidance for dealing with fires and spillages (leakages) on board ships involving the dangerous goods listed in the International Maritime Dangerous Goods Code (IMDG Code).</w:t>
            </w:r>
          </w:p>
          <w:p w:rsidR="00712531" w:rsidRPr="00367108" w:rsidRDefault="00712531" w:rsidP="00367108">
            <w:pPr>
              <w:pStyle w:val="SingleTxtG"/>
            </w:pPr>
            <w:r w:rsidRPr="00367108">
              <w:t>In accordance with the International Safety Management (ISM) Code, all ships, and the companies responsible for their operation, are required to maintain a Safety Management System (SMS). Within the SMS, procedures for responding to potential shipboard emergencies are required. This Guide is intended to assist shipowners, ship operators and other parties concerned with developing such emergency response procedures, which should be integrated into the ship’s contingency plan.</w:t>
            </w:r>
          </w:p>
          <w:p w:rsidR="00712531" w:rsidRPr="00367108" w:rsidRDefault="00712531" w:rsidP="00367108">
            <w:pPr>
              <w:pStyle w:val="SingleTxtG"/>
            </w:pPr>
            <w:r w:rsidRPr="00367108">
              <w:t>In the event of a fire or spillage incident, initial actions should be carried out in accordance with the shipboard emergency plan. Where dangerous goods are involved, the responses in the emergency plan should be based on this Guide for specific dangerous goods having regard to, inter alia, the type of ship, the quantity and type of packaging of the dangerous goods and whether the goods are stowed on or under deck.</w:t>
            </w:r>
          </w:p>
          <w:p w:rsidR="00712531" w:rsidRPr="00A20801" w:rsidRDefault="00712531" w:rsidP="007D44EA">
            <w:pPr>
              <w:pStyle w:val="SingleTxtG"/>
            </w:pPr>
            <w:r w:rsidRPr="00367108">
              <w:t xml:space="preserve">The EmS Guide </w:t>
            </w:r>
            <w:r w:rsidR="007D44EA">
              <w:t>may</w:t>
            </w:r>
            <w:r w:rsidRPr="00367108">
              <w:t xml:space="preserve"> be amended by </w:t>
            </w:r>
            <w:r w:rsidR="007D44EA">
              <w:t xml:space="preserve">the IMO Editorial and Technical Group </w:t>
            </w:r>
            <w:r w:rsidRPr="00367108">
              <w:t>as and when necessary to reflect amendments made to the IMDG Code.</w:t>
            </w:r>
          </w:p>
        </w:tc>
      </w:tr>
    </w:tbl>
    <w:p w:rsidR="00712531" w:rsidRPr="0069507A" w:rsidRDefault="007D44EA" w:rsidP="007D44EA">
      <w:pPr>
        <w:pStyle w:val="SingleTxtG"/>
      </w:pPr>
      <w:r>
        <w:t>(</w:t>
      </w:r>
      <w:r w:rsidR="00712531" w:rsidRPr="0069507A">
        <w:t>b</w:t>
      </w:r>
      <w:r>
        <w:t>)</w:t>
      </w:r>
      <w:r w:rsidR="002A608F" w:rsidRPr="0069507A">
        <w:tab/>
      </w:r>
      <w:r w:rsidR="00712531" w:rsidRPr="0069507A">
        <w:t xml:space="preserve">Medical First Aid Guide for Use in Accidents Involving Dangerous Goods (MFAG) </w:t>
      </w:r>
    </w:p>
    <w:tbl>
      <w:tblPr>
        <w:tblW w:w="5000" w:type="pct"/>
        <w:tblCellSpacing w:w="0" w:type="dxa"/>
        <w:tblCellMar>
          <w:top w:w="90" w:type="dxa"/>
          <w:left w:w="90" w:type="dxa"/>
          <w:bottom w:w="90" w:type="dxa"/>
          <w:right w:w="90" w:type="dxa"/>
        </w:tblCellMar>
        <w:tblLook w:val="04A0" w:firstRow="1" w:lastRow="0" w:firstColumn="1" w:lastColumn="0" w:noHBand="0" w:noVBand="1"/>
      </w:tblPr>
      <w:tblGrid>
        <w:gridCol w:w="9819"/>
      </w:tblGrid>
      <w:tr w:rsidR="00712531" w:rsidRPr="00A20801" w:rsidTr="00686201">
        <w:trPr>
          <w:tblCellSpacing w:w="0" w:type="dxa"/>
        </w:trPr>
        <w:tc>
          <w:tcPr>
            <w:tcW w:w="5000" w:type="pct"/>
            <w:hideMark/>
          </w:tcPr>
          <w:p w:rsidR="00CA74B3" w:rsidRPr="00CA74B3" w:rsidRDefault="00712531" w:rsidP="00CA74B3">
            <w:pPr>
              <w:pStyle w:val="SingleTxtG"/>
              <w:rPr>
                <w:u w:val="single"/>
              </w:rPr>
            </w:pPr>
            <w:r w:rsidRPr="00A20801">
              <w:rPr>
                <w:rStyle w:val="ms-rtethemefontface-1"/>
                <w:color w:val="333333"/>
              </w:rPr>
              <w:t xml:space="preserve">Information on medical first aid is provided in the IMO/WHO/ILO Medical First </w:t>
            </w:r>
            <w:r w:rsidR="007D44EA">
              <w:rPr>
                <w:rStyle w:val="ms-rtethemefontface-1"/>
                <w:color w:val="333333"/>
              </w:rPr>
              <w:t>Aid Guide for use in accidents i</w:t>
            </w:r>
            <w:r w:rsidRPr="00A20801">
              <w:rPr>
                <w:rStyle w:val="ms-rtethemefontface-1"/>
                <w:color w:val="333333"/>
              </w:rPr>
              <w:t>nvolving dangerous Goods (MFAG), which is the chemicals supplemen</w:t>
            </w:r>
            <w:r w:rsidR="007D44EA">
              <w:rPr>
                <w:rStyle w:val="ms-rtethemefontface-1"/>
                <w:color w:val="333333"/>
              </w:rPr>
              <w:t>t to the International Medical Guide for S</w:t>
            </w:r>
            <w:r w:rsidRPr="00A20801">
              <w:rPr>
                <w:rStyle w:val="ms-rtethemefontface-1"/>
                <w:color w:val="333333"/>
              </w:rPr>
              <w:t>hips (IMGS) which is published by the World Health Organization (WHO), Geneva.</w:t>
            </w:r>
            <w:r w:rsidRPr="00A20801">
              <w:t> </w:t>
            </w:r>
            <w:r w:rsidRPr="00A20801">
              <w:rPr>
                <w:rStyle w:val="ms-rtethemefontface-1"/>
                <w:color w:val="333333"/>
              </w:rPr>
              <w:t xml:space="preserve">The revised text of the Guide was adopted by </w:t>
            </w:r>
            <w:r w:rsidRPr="00A20801">
              <w:rPr>
                <w:rStyle w:val="ms-rtethemefontface-1"/>
                <w:color w:val="333333"/>
              </w:rPr>
              <w:lastRenderedPageBreak/>
              <w:t>the Maritime Safety Committee in May 1998, for use in association with the IMDG Code, and will be further amended as and when necessary.</w:t>
            </w:r>
          </w:p>
        </w:tc>
      </w:tr>
    </w:tbl>
    <w:p w:rsidR="0069507A" w:rsidRPr="003740B2" w:rsidRDefault="0069507A" w:rsidP="0069507A">
      <w:pPr>
        <w:pStyle w:val="SingleTxtG"/>
        <w:spacing w:before="240" w:after="0"/>
        <w:jc w:val="center"/>
        <w:rPr>
          <w:u w:val="single"/>
        </w:rPr>
      </w:pPr>
      <w:r w:rsidRPr="003740B2">
        <w:rPr>
          <w:u w:val="single"/>
        </w:rPr>
        <w:lastRenderedPageBreak/>
        <w:tab/>
      </w:r>
      <w:r w:rsidRPr="003740B2">
        <w:rPr>
          <w:u w:val="single"/>
        </w:rPr>
        <w:tab/>
      </w:r>
      <w:r w:rsidRPr="003740B2">
        <w:rPr>
          <w:u w:val="single"/>
        </w:rPr>
        <w:tab/>
      </w:r>
    </w:p>
    <w:sectPr w:rsidR="0069507A" w:rsidRPr="003740B2" w:rsidSect="00C32FBF">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710" w:rsidRPr="00FB1744" w:rsidRDefault="00D04710" w:rsidP="00FB1744">
      <w:pPr>
        <w:pStyle w:val="Footer"/>
      </w:pPr>
    </w:p>
  </w:endnote>
  <w:endnote w:type="continuationSeparator" w:id="0">
    <w:p w:rsidR="00D04710" w:rsidRPr="00FB1744" w:rsidRDefault="00D0471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BF" w:rsidRPr="00C32FBF" w:rsidRDefault="00C32FBF" w:rsidP="00C32FBF">
    <w:pPr>
      <w:pStyle w:val="Footer"/>
      <w:tabs>
        <w:tab w:val="right" w:pos="9598"/>
      </w:tabs>
    </w:pPr>
    <w:r w:rsidRPr="00C32FBF">
      <w:rPr>
        <w:b/>
        <w:sz w:val="18"/>
      </w:rPr>
      <w:fldChar w:fldCharType="begin"/>
    </w:r>
    <w:r w:rsidRPr="00C32FBF">
      <w:rPr>
        <w:b/>
        <w:sz w:val="18"/>
      </w:rPr>
      <w:instrText xml:space="preserve"> PAGE  \* MERGEFORMAT </w:instrText>
    </w:r>
    <w:r w:rsidRPr="00C32FBF">
      <w:rPr>
        <w:b/>
        <w:sz w:val="18"/>
      </w:rPr>
      <w:fldChar w:fldCharType="separate"/>
    </w:r>
    <w:r w:rsidR="003740B2">
      <w:rPr>
        <w:b/>
        <w:noProof/>
        <w:sz w:val="18"/>
      </w:rPr>
      <w:t>2</w:t>
    </w:r>
    <w:r w:rsidRPr="00C32FB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BF" w:rsidRPr="00C32FBF" w:rsidRDefault="00C32FBF" w:rsidP="00C32FBF">
    <w:pPr>
      <w:pStyle w:val="Footer"/>
      <w:tabs>
        <w:tab w:val="right" w:pos="9598"/>
      </w:tabs>
      <w:rPr>
        <w:b/>
        <w:sz w:val="18"/>
      </w:rPr>
    </w:pPr>
    <w:r>
      <w:tab/>
    </w:r>
    <w:r w:rsidRPr="00C32FBF">
      <w:rPr>
        <w:b/>
        <w:sz w:val="18"/>
      </w:rPr>
      <w:fldChar w:fldCharType="begin"/>
    </w:r>
    <w:r w:rsidRPr="00C32FBF">
      <w:rPr>
        <w:b/>
        <w:sz w:val="18"/>
      </w:rPr>
      <w:instrText xml:space="preserve"> PAGE  \* MERGEFORMAT </w:instrText>
    </w:r>
    <w:r w:rsidRPr="00C32FBF">
      <w:rPr>
        <w:b/>
        <w:sz w:val="18"/>
      </w:rPr>
      <w:fldChar w:fldCharType="separate"/>
    </w:r>
    <w:r w:rsidR="003740B2">
      <w:rPr>
        <w:b/>
        <w:noProof/>
        <w:sz w:val="18"/>
      </w:rPr>
      <w:t>3</w:t>
    </w:r>
    <w:r w:rsidRPr="00C32FB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BF" w:rsidRPr="00D2078A" w:rsidRDefault="00C32FBF" w:rsidP="00C32FBF">
    <w:pPr>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710" w:rsidRPr="00FB1744" w:rsidRDefault="00D04710" w:rsidP="00FB1744">
      <w:pPr>
        <w:tabs>
          <w:tab w:val="right" w:pos="2155"/>
        </w:tabs>
        <w:spacing w:after="80" w:line="240" w:lineRule="auto"/>
        <w:ind w:left="680"/>
      </w:pPr>
      <w:r>
        <w:rPr>
          <w:u w:val="single"/>
        </w:rPr>
        <w:tab/>
      </w:r>
    </w:p>
  </w:footnote>
  <w:footnote w:type="continuationSeparator" w:id="0">
    <w:p w:rsidR="00D04710" w:rsidRPr="00FB1744" w:rsidRDefault="00D04710" w:rsidP="00FB1744">
      <w:pPr>
        <w:tabs>
          <w:tab w:val="right" w:pos="2155"/>
        </w:tabs>
        <w:spacing w:after="80" w:line="240" w:lineRule="auto"/>
        <w:ind w:left="680"/>
      </w:pPr>
      <w:r>
        <w:rPr>
          <w:u w:val="single"/>
        </w:rPr>
        <w:tab/>
      </w:r>
    </w:p>
  </w:footnote>
  <w:footnote w:id="1">
    <w:p w:rsidR="00B12066" w:rsidRPr="001A0DBA" w:rsidRDefault="00B12066" w:rsidP="00B12066">
      <w:pPr>
        <w:pStyle w:val="FootnoteText"/>
        <w:widowControl w:val="0"/>
        <w:rPr>
          <w:lang w:val="en-US"/>
        </w:rPr>
      </w:pPr>
      <w:r>
        <w:tab/>
      </w:r>
      <w:r w:rsidRPr="005924BE">
        <w:rPr>
          <w:rStyle w:val="FootnoteReference"/>
          <w:szCs w:val="18"/>
          <w:vertAlign w:val="baseline"/>
        </w:rPr>
        <w:t>*</w:t>
      </w:r>
      <w:r w:rsidRPr="005924BE">
        <w:rPr>
          <w:b/>
          <w:szCs w:val="18"/>
        </w:rPr>
        <w:t xml:space="preserve"> </w:t>
      </w:r>
      <w:r w:rsidRPr="001A0DBA">
        <w:tab/>
      </w:r>
      <w:r w:rsidRPr="001A0DBA">
        <w:rPr>
          <w:lang w:val="en-US"/>
        </w:rPr>
        <w:t>Distributed in German by the Central Commission for the Navigation of the Rhine under the symbol CCNR-ZKR/ADN/WP.15/AC.2/2017/</w:t>
      </w:r>
      <w:r w:rsidR="00712531">
        <w:rPr>
          <w:lang w:val="en-US"/>
        </w:rPr>
        <w:t>36</w:t>
      </w:r>
      <w:r w:rsidRPr="001A0DBA">
        <w:rPr>
          <w:lang w:val="en-US"/>
        </w:rPr>
        <w:t>.</w:t>
      </w:r>
    </w:p>
  </w:footnote>
  <w:footnote w:id="2">
    <w:p w:rsidR="00B12066" w:rsidRPr="001E4033" w:rsidRDefault="00B12066">
      <w:pPr>
        <w:pStyle w:val="FootnoteText"/>
      </w:pPr>
      <w:r w:rsidRPr="001A0DBA">
        <w:tab/>
      </w:r>
      <w:r w:rsidRPr="005924BE">
        <w:rPr>
          <w:rStyle w:val="FootnoteReference"/>
          <w:szCs w:val="18"/>
          <w:vertAlign w:val="baseline"/>
        </w:rPr>
        <w:t>**</w:t>
      </w:r>
      <w:r w:rsidRPr="0018466B">
        <w:rPr>
          <w:sz w:val="20"/>
        </w:rPr>
        <w:t xml:space="preserve"> </w:t>
      </w:r>
      <w:r w:rsidRPr="001A0DBA">
        <w:tab/>
      </w:r>
      <w:r w:rsidRPr="001A0DBA">
        <w:rPr>
          <w:lang w:val="en-US"/>
        </w:rPr>
        <w:t xml:space="preserve">In accordance with the programme of work of the Inland Transport Committee for 2016–2017 </w:t>
      </w:r>
      <w:r w:rsidRPr="001A0DBA">
        <w:t>(ECE/TRANS/2016/28/Add.1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BF" w:rsidRPr="00C32FBF" w:rsidRDefault="00351F22" w:rsidP="00C32FBF">
    <w:pPr>
      <w:pStyle w:val="Header"/>
    </w:pPr>
    <w:r>
      <w:t>ECE/TRANS/WP.15/AC.2/2017/</w:t>
    </w:r>
    <w:r w:rsidR="00712531">
      <w:t>36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BF" w:rsidRPr="00C32FBF" w:rsidRDefault="00CA74B3" w:rsidP="00C32FBF">
    <w:pPr>
      <w:pStyle w:val="Header"/>
      <w:jc w:val="right"/>
    </w:pPr>
    <w:r>
      <w:t>ECE/TRANS/WP.15/AC.2/2017</w:t>
    </w:r>
    <w:r w:rsidR="00712531">
      <w:t>/36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132607"/>
    <w:multiLevelType w:val="hybridMultilevel"/>
    <w:tmpl w:val="4288B3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455681"/>
    <w:multiLevelType w:val="hybridMultilevel"/>
    <w:tmpl w:val="9E860C2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FD3FBA"/>
    <w:multiLevelType w:val="hybridMultilevel"/>
    <w:tmpl w:val="FAC649F0"/>
    <w:lvl w:ilvl="0" w:tplc="5FD86E5A">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3E306556"/>
    <w:multiLevelType w:val="hybridMultilevel"/>
    <w:tmpl w:val="CC1E550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47345671"/>
    <w:multiLevelType w:val="hybridMultilevel"/>
    <w:tmpl w:val="F1308474"/>
    <w:lvl w:ilvl="0" w:tplc="5FD86E5A">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56485FDB"/>
    <w:multiLevelType w:val="hybridMultilevel"/>
    <w:tmpl w:val="6B761194"/>
    <w:lvl w:ilvl="0" w:tplc="C982076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0" w15:restartNumberingAfterBreak="0">
    <w:nsid w:val="57E41127"/>
    <w:multiLevelType w:val="hybridMultilevel"/>
    <w:tmpl w:val="3ADEB9F4"/>
    <w:lvl w:ilvl="0" w:tplc="1CAC5C3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0"/>
  </w:num>
  <w:num w:numId="4">
    <w:abstractNumId w:val="11"/>
  </w:num>
  <w:num w:numId="5">
    <w:abstractNumId w:val="12"/>
  </w:num>
  <w:num w:numId="6">
    <w:abstractNumId w:val="13"/>
  </w:num>
  <w:num w:numId="7">
    <w:abstractNumId w:val="2"/>
  </w:num>
  <w:num w:numId="8">
    <w:abstractNumId w:val="5"/>
  </w:num>
  <w:num w:numId="9">
    <w:abstractNumId w:val="9"/>
  </w:num>
  <w:num w:numId="10">
    <w:abstractNumId w:val="10"/>
  </w:num>
  <w:num w:numId="11">
    <w:abstractNumId w:val="8"/>
  </w:num>
  <w:num w:numId="12">
    <w:abstractNumId w:val="7"/>
  </w:num>
  <w:num w:numId="13">
    <w:abstractNumId w:val="6"/>
  </w:num>
  <w:num w:numId="14">
    <w:abstractNumId w:val="1"/>
  </w:num>
  <w:num w:numId="15">
    <w:abstractNumId w:val="4"/>
  </w:num>
  <w:num w:numId="16">
    <w:abstractNumId w:val="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567"/>
  <w:evenAndOddHeaders/>
  <w:characterSpacingControl w:val="doNotCompress"/>
  <w:hdrShapeDefaults>
    <o:shapedefaults v:ext="edit" spidmax="532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10"/>
    <w:rsid w:val="00041D9D"/>
    <w:rsid w:val="00045BB8"/>
    <w:rsid w:val="00046E92"/>
    <w:rsid w:val="00100536"/>
    <w:rsid w:val="001170DC"/>
    <w:rsid w:val="00152DB4"/>
    <w:rsid w:val="001662BA"/>
    <w:rsid w:val="00183A83"/>
    <w:rsid w:val="0018466B"/>
    <w:rsid w:val="00184C4F"/>
    <w:rsid w:val="001A0DBA"/>
    <w:rsid w:val="001B17A0"/>
    <w:rsid w:val="001E4033"/>
    <w:rsid w:val="00247E2C"/>
    <w:rsid w:val="002A608F"/>
    <w:rsid w:val="002D6C53"/>
    <w:rsid w:val="002F5595"/>
    <w:rsid w:val="00334F6A"/>
    <w:rsid w:val="00342AC8"/>
    <w:rsid w:val="00351F22"/>
    <w:rsid w:val="00361808"/>
    <w:rsid w:val="00367108"/>
    <w:rsid w:val="003740B2"/>
    <w:rsid w:val="00374746"/>
    <w:rsid w:val="003B4550"/>
    <w:rsid w:val="00461253"/>
    <w:rsid w:val="0048487C"/>
    <w:rsid w:val="004C189B"/>
    <w:rsid w:val="005042C2"/>
    <w:rsid w:val="005115D6"/>
    <w:rsid w:val="005924BE"/>
    <w:rsid w:val="005A185F"/>
    <w:rsid w:val="005C7E68"/>
    <w:rsid w:val="005F3F8A"/>
    <w:rsid w:val="00620277"/>
    <w:rsid w:val="00631881"/>
    <w:rsid w:val="00671529"/>
    <w:rsid w:val="0069507A"/>
    <w:rsid w:val="006A10A0"/>
    <w:rsid w:val="006C324A"/>
    <w:rsid w:val="006D119C"/>
    <w:rsid w:val="006E38E5"/>
    <w:rsid w:val="006E7377"/>
    <w:rsid w:val="006E7FA5"/>
    <w:rsid w:val="006F7DDB"/>
    <w:rsid w:val="00712531"/>
    <w:rsid w:val="00717266"/>
    <w:rsid w:val="00726130"/>
    <w:rsid w:val="007268F9"/>
    <w:rsid w:val="00783693"/>
    <w:rsid w:val="007C52B0"/>
    <w:rsid w:val="007D308C"/>
    <w:rsid w:val="007D44EA"/>
    <w:rsid w:val="007D7ABE"/>
    <w:rsid w:val="007E2C3C"/>
    <w:rsid w:val="007E7E23"/>
    <w:rsid w:val="007F64B4"/>
    <w:rsid w:val="007F78D6"/>
    <w:rsid w:val="009411B4"/>
    <w:rsid w:val="009B7D9D"/>
    <w:rsid w:val="009D0139"/>
    <w:rsid w:val="009F5CDC"/>
    <w:rsid w:val="00A301F6"/>
    <w:rsid w:val="00A528B3"/>
    <w:rsid w:val="00A775CF"/>
    <w:rsid w:val="00A81985"/>
    <w:rsid w:val="00AB3C7E"/>
    <w:rsid w:val="00AE4C38"/>
    <w:rsid w:val="00AF44D0"/>
    <w:rsid w:val="00B06045"/>
    <w:rsid w:val="00B07882"/>
    <w:rsid w:val="00B12066"/>
    <w:rsid w:val="00B64A2E"/>
    <w:rsid w:val="00B86C71"/>
    <w:rsid w:val="00B9337D"/>
    <w:rsid w:val="00C04418"/>
    <w:rsid w:val="00C125CF"/>
    <w:rsid w:val="00C32FBF"/>
    <w:rsid w:val="00C35A27"/>
    <w:rsid w:val="00C57AFC"/>
    <w:rsid w:val="00CA28B0"/>
    <w:rsid w:val="00CA74B3"/>
    <w:rsid w:val="00CB2FFE"/>
    <w:rsid w:val="00CC0016"/>
    <w:rsid w:val="00D04710"/>
    <w:rsid w:val="00D2078A"/>
    <w:rsid w:val="00D66A38"/>
    <w:rsid w:val="00D979B3"/>
    <w:rsid w:val="00E02C2B"/>
    <w:rsid w:val="00E86C42"/>
    <w:rsid w:val="00ED6C48"/>
    <w:rsid w:val="00F500B8"/>
    <w:rsid w:val="00F65F5D"/>
    <w:rsid w:val="00F7753F"/>
    <w:rsid w:val="00F86A3A"/>
    <w:rsid w:val="00FB17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1531784"/>
  <w15:docId w15:val="{C402BE5F-CD92-42C7-ADD4-257970752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styleId="Strong">
    <w:name w:val="Strong"/>
    <w:basedOn w:val="DefaultParagraphFont"/>
    <w:uiPriority w:val="22"/>
    <w:qFormat/>
    <w:rsid w:val="00374746"/>
    <w:rPr>
      <w:b/>
      <w:bCs/>
    </w:rPr>
  </w:style>
  <w:style w:type="character" w:customStyle="1" w:styleId="apple-converted-space">
    <w:name w:val="apple-converted-space"/>
    <w:basedOn w:val="DefaultParagraphFont"/>
    <w:rsid w:val="00374746"/>
  </w:style>
  <w:style w:type="paragraph" w:customStyle="1" w:styleId="hd-ti">
    <w:name w:val="hd-ti"/>
    <w:basedOn w:val="Normal"/>
    <w:rsid w:val="00374746"/>
    <w:pPr>
      <w:suppressAutoHyphens w:val="0"/>
      <w:spacing w:before="100" w:beforeAutospacing="1" w:after="100" w:afterAutospacing="1" w:line="240" w:lineRule="auto"/>
    </w:pPr>
    <w:rPr>
      <w:sz w:val="24"/>
      <w:szCs w:val="24"/>
      <w:lang w:eastAsia="en-GB"/>
    </w:rPr>
  </w:style>
  <w:style w:type="paragraph" w:customStyle="1" w:styleId="hd-oj">
    <w:name w:val="hd-oj"/>
    <w:basedOn w:val="Normal"/>
    <w:rsid w:val="00374746"/>
    <w:pPr>
      <w:suppressAutoHyphens w:val="0"/>
      <w:spacing w:before="100" w:beforeAutospacing="1" w:after="100" w:afterAutospacing="1" w:line="240" w:lineRule="auto"/>
    </w:pPr>
    <w:rPr>
      <w:sz w:val="24"/>
      <w:szCs w:val="24"/>
      <w:lang w:eastAsia="en-GB"/>
    </w:rPr>
  </w:style>
  <w:style w:type="paragraph" w:styleId="HTMLPreformatted">
    <w:name w:val="HTML Preformatted"/>
    <w:basedOn w:val="Normal"/>
    <w:link w:val="HTMLPreformattedChar"/>
    <w:uiPriority w:val="99"/>
    <w:semiHidden/>
    <w:unhideWhenUsed/>
    <w:rsid w:val="00484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semiHidden/>
    <w:rsid w:val="0048487C"/>
    <w:rPr>
      <w:rFonts w:ascii="Courier New" w:eastAsia="Times New Roman" w:hAnsi="Courier New" w:cs="Courier New"/>
      <w:sz w:val="20"/>
      <w:szCs w:val="20"/>
      <w:lang w:eastAsia="en-GB"/>
    </w:rPr>
  </w:style>
  <w:style w:type="paragraph" w:styleId="ListParagraph">
    <w:name w:val="List Paragraph"/>
    <w:basedOn w:val="Normal"/>
    <w:uiPriority w:val="34"/>
    <w:rsid w:val="007D308C"/>
    <w:pPr>
      <w:ind w:left="720"/>
      <w:contextualSpacing/>
    </w:pPr>
  </w:style>
  <w:style w:type="character" w:styleId="Hyperlink">
    <w:name w:val="Hyperlink"/>
    <w:uiPriority w:val="99"/>
    <w:unhideWhenUsed/>
    <w:rsid w:val="00712531"/>
    <w:rPr>
      <w:color w:val="0000FF"/>
      <w:u w:val="single"/>
    </w:rPr>
  </w:style>
  <w:style w:type="paragraph" w:customStyle="1" w:styleId="Default">
    <w:name w:val="Default"/>
    <w:rsid w:val="00712531"/>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character" w:customStyle="1" w:styleId="SingleTxtGChar">
    <w:name w:val="_ Single Txt_G Char"/>
    <w:link w:val="SingleTxtG"/>
    <w:rsid w:val="00712531"/>
    <w:rPr>
      <w:rFonts w:ascii="Times New Roman" w:hAnsi="Times New Roman" w:cs="Times New Roman"/>
      <w:sz w:val="20"/>
      <w:szCs w:val="20"/>
    </w:rPr>
  </w:style>
  <w:style w:type="character" w:customStyle="1" w:styleId="ms-rtethemefontface-1">
    <w:name w:val="ms-rtethemefontface-1"/>
    <w:rsid w:val="00712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12891">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29223716">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vitt-safety.com/shop/diphoterine/"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087E6-C904-4901-935D-00504801E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1147</Words>
  <Characters>6392</Characters>
  <Application>Microsoft Office Word</Application>
  <DocSecurity>0</DocSecurity>
  <Lines>122</Lines>
  <Paragraphs>69</Paragraphs>
  <ScaleCrop>false</ScaleCrop>
  <HeadingPairs>
    <vt:vector size="2" baseType="variant">
      <vt:variant>
        <vt:lpstr>Title</vt:lpstr>
      </vt:variant>
      <vt:variant>
        <vt:i4>1</vt:i4>
      </vt:variant>
    </vt:vector>
  </HeadingPairs>
  <TitlesOfParts>
    <vt:vector size="1" baseType="lpstr">
      <vt:lpstr>1608944</vt:lpstr>
    </vt:vector>
  </TitlesOfParts>
  <Company>DCM</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1608944</dc:title>
  <dc:subject>ECE/TRANS/WP.15/AC.2/2016/32</dc:subject>
  <dc:creator>Giltsoff</dc:creator>
  <dc:description>Final</dc:description>
  <cp:lastModifiedBy>Marie-Claude Collet</cp:lastModifiedBy>
  <cp:revision>18</cp:revision>
  <cp:lastPrinted>2017-06-14T12:49:00Z</cp:lastPrinted>
  <dcterms:created xsi:type="dcterms:W3CDTF">2017-06-02T09:06:00Z</dcterms:created>
  <dcterms:modified xsi:type="dcterms:W3CDTF">2017-06-16T12:28:00Z</dcterms:modified>
</cp:coreProperties>
</file>