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CE3" w:rsidRPr="00EA5C18" w:rsidRDefault="001E5CE3" w:rsidP="001E5CE3">
      <w:pPr>
        <w:widowControl/>
        <w:overflowPunct/>
        <w:autoSpaceDE/>
        <w:autoSpaceDN/>
        <w:adjustRightInd/>
        <w:snapToGrid w:val="0"/>
        <w:ind w:left="5387" w:right="-286" w:firstLine="0"/>
        <w:jc w:val="left"/>
        <w:textAlignment w:val="auto"/>
        <w:outlineLvl w:val="0"/>
        <w:rPr>
          <w:rFonts w:ascii="Arial" w:eastAsia="Arial" w:hAnsi="Arial" w:cs="Arial"/>
          <w:bCs/>
          <w:szCs w:val="24"/>
          <w:lang w:val="en-US" w:eastAsia="de-DE"/>
        </w:rPr>
      </w:pPr>
      <w:bookmarkStart w:id="0" w:name="_GoBack"/>
      <w:bookmarkEnd w:id="0"/>
      <w:r w:rsidRPr="00EA5C18">
        <w:rPr>
          <w:rFonts w:ascii="Arial" w:eastAsia="Arial" w:hAnsi="Arial" w:cs="Arial"/>
          <w:bCs/>
          <w:noProof/>
          <w:szCs w:val="24"/>
          <w:lang w:val="en-GB" w:eastAsia="en-GB"/>
        </w:rPr>
        <w:drawing>
          <wp:anchor distT="0" distB="0" distL="114300" distR="114300" simplePos="0" relativeHeight="251662336" behindDoc="0" locked="0" layoutInCell="1" allowOverlap="1" wp14:anchorId="5678DAE2" wp14:editId="75720630">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EA5C18">
        <w:rPr>
          <w:rFonts w:ascii="Arial" w:eastAsia="Arial" w:hAnsi="Arial" w:cs="Arial"/>
          <w:bCs/>
          <w:szCs w:val="24"/>
          <w:lang w:val="en-US" w:eastAsia="de-DE"/>
        </w:rPr>
        <w:t>CCNR-ZKR/ADN/WP.15/AC.2/2018/</w:t>
      </w:r>
      <w:r w:rsidR="003D623E" w:rsidRPr="00EA5C18">
        <w:rPr>
          <w:rFonts w:ascii="Arial" w:eastAsia="Arial" w:hAnsi="Arial" w:cs="Arial"/>
          <w:bCs/>
          <w:szCs w:val="24"/>
          <w:lang w:val="en-US" w:eastAsia="de-DE"/>
        </w:rPr>
        <w:t>23</w:t>
      </w:r>
    </w:p>
    <w:p w:rsidR="001E5CE3" w:rsidRPr="00EA5C18" w:rsidRDefault="001E5CE3" w:rsidP="001E5CE3">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EA5C18">
        <w:rPr>
          <w:rFonts w:ascii="Arial" w:hAnsi="Arial" w:cs="Arial"/>
          <w:sz w:val="16"/>
          <w:szCs w:val="24"/>
          <w:lang w:eastAsia="de-DE"/>
        </w:rPr>
        <w:t>Allgemeine Verteilung</w:t>
      </w:r>
    </w:p>
    <w:p w:rsidR="001E5CE3" w:rsidRPr="00EA5C18" w:rsidRDefault="003D623E" w:rsidP="001E5CE3">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EA5C18">
        <w:rPr>
          <w:rFonts w:ascii="Arial" w:eastAsia="Arial" w:hAnsi="Arial" w:cs="Arial"/>
          <w:szCs w:val="24"/>
          <w:lang w:eastAsia="de-DE"/>
        </w:rPr>
        <w:t>9</w:t>
      </w:r>
      <w:r w:rsidR="001E5CE3" w:rsidRPr="00EA5C18">
        <w:rPr>
          <w:rFonts w:ascii="Arial" w:eastAsia="Arial" w:hAnsi="Arial" w:cs="Arial"/>
          <w:szCs w:val="24"/>
          <w:lang w:eastAsia="de-DE"/>
        </w:rPr>
        <w:t xml:space="preserve">. </w:t>
      </w:r>
      <w:r w:rsidR="003F3A77" w:rsidRPr="00EA5C18">
        <w:rPr>
          <w:rFonts w:ascii="Arial" w:eastAsia="Arial" w:hAnsi="Arial" w:cs="Arial"/>
          <w:szCs w:val="24"/>
          <w:lang w:eastAsia="de-DE"/>
        </w:rPr>
        <w:t>November</w:t>
      </w:r>
      <w:r w:rsidR="001E5CE3" w:rsidRPr="00EA5C18">
        <w:rPr>
          <w:rFonts w:ascii="Arial" w:eastAsia="Arial" w:hAnsi="Arial" w:cs="Arial"/>
          <w:szCs w:val="24"/>
          <w:lang w:eastAsia="de-DE"/>
        </w:rPr>
        <w:t xml:space="preserve"> 2017</w:t>
      </w:r>
    </w:p>
    <w:p w:rsidR="001E5CE3" w:rsidRPr="00EA5C18" w:rsidRDefault="001E5CE3" w:rsidP="001E5CE3">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EA5C18">
        <w:rPr>
          <w:rFonts w:ascii="Arial" w:eastAsia="Arial" w:hAnsi="Arial" w:cs="Arial"/>
          <w:sz w:val="16"/>
          <w:szCs w:val="24"/>
          <w:lang w:eastAsia="de-DE"/>
        </w:rPr>
        <w:t>Or</w:t>
      </w:r>
      <w:proofErr w:type="spellEnd"/>
      <w:r w:rsidRPr="00EA5C18">
        <w:rPr>
          <w:rFonts w:ascii="Arial" w:eastAsia="Arial" w:hAnsi="Arial" w:cs="Arial"/>
          <w:sz w:val="16"/>
          <w:szCs w:val="24"/>
          <w:lang w:eastAsia="de-DE"/>
        </w:rPr>
        <w:t xml:space="preserve">. </w:t>
      </w:r>
      <w:r w:rsidR="003D623E" w:rsidRPr="00EA5C18">
        <w:rPr>
          <w:rFonts w:ascii="Arial" w:eastAsia="Arial" w:hAnsi="Arial" w:cs="Arial"/>
          <w:sz w:val="16"/>
          <w:szCs w:val="24"/>
          <w:lang w:eastAsia="de-DE"/>
        </w:rPr>
        <w:t>RUSSISCH</w:t>
      </w:r>
    </w:p>
    <w:p w:rsidR="001E5CE3" w:rsidRPr="00EA5C18" w:rsidRDefault="001E5CE3" w:rsidP="001E5CE3">
      <w:pPr>
        <w:widowControl/>
        <w:overflowPunct/>
        <w:autoSpaceDE/>
        <w:autoSpaceDN/>
        <w:adjustRightInd/>
        <w:snapToGrid w:val="0"/>
        <w:ind w:left="0" w:firstLine="0"/>
        <w:jc w:val="left"/>
        <w:textAlignment w:val="auto"/>
        <w:rPr>
          <w:rFonts w:ascii="Arial" w:hAnsi="Arial" w:cs="Arial"/>
          <w:sz w:val="16"/>
          <w:szCs w:val="24"/>
          <w:lang w:eastAsia="de-DE"/>
        </w:rPr>
      </w:pPr>
    </w:p>
    <w:p w:rsidR="001E5CE3" w:rsidRPr="00EA5C18" w:rsidRDefault="001E5CE3" w:rsidP="001E5CE3">
      <w:pPr>
        <w:widowControl/>
        <w:overflowPunct/>
        <w:autoSpaceDE/>
        <w:autoSpaceDN/>
        <w:adjustRightInd/>
        <w:snapToGrid w:val="0"/>
        <w:ind w:left="0" w:firstLine="0"/>
        <w:jc w:val="left"/>
        <w:textAlignment w:val="auto"/>
        <w:rPr>
          <w:rFonts w:ascii="Arial" w:hAnsi="Arial" w:cs="Arial"/>
          <w:sz w:val="16"/>
          <w:szCs w:val="24"/>
          <w:lang w:eastAsia="de-DE"/>
        </w:rPr>
      </w:pPr>
    </w:p>
    <w:p w:rsidR="001E5CE3" w:rsidRPr="00EA5C18" w:rsidRDefault="001E5CE3" w:rsidP="001E5CE3">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EA5C18">
        <w:rPr>
          <w:rFonts w:ascii="Arial" w:hAnsi="Arial"/>
          <w:noProof/>
          <w:sz w:val="16"/>
          <w:szCs w:val="24"/>
        </w:rPr>
        <w:t>GEMEINSAME EXPERTENTAGUNG FÜR DIE DEM</w:t>
      </w:r>
    </w:p>
    <w:p w:rsidR="001E5CE3" w:rsidRPr="00EA5C18" w:rsidRDefault="001E5CE3" w:rsidP="001E5CE3">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EA5C18">
        <w:rPr>
          <w:rFonts w:ascii="Arial" w:hAnsi="Arial"/>
          <w:noProof/>
          <w:sz w:val="16"/>
          <w:szCs w:val="24"/>
        </w:rPr>
        <w:t>ÜBEREINKOMMEN ÜBER DIE INTERNATIONALE BEFÖRDERUNG</w:t>
      </w:r>
    </w:p>
    <w:p w:rsidR="001E5CE3" w:rsidRPr="00EA5C18" w:rsidRDefault="001E5CE3" w:rsidP="001E5CE3">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EA5C18">
        <w:rPr>
          <w:rFonts w:ascii="Arial" w:hAnsi="Arial"/>
          <w:noProof/>
          <w:sz w:val="16"/>
          <w:szCs w:val="24"/>
        </w:rPr>
        <w:t>VON GEFÄHRLICHEN GÜTERN AUF BINNENWASSERSTRASSEN</w:t>
      </w:r>
    </w:p>
    <w:p w:rsidR="001E5CE3" w:rsidRPr="00EA5C18" w:rsidRDefault="001E5CE3" w:rsidP="001E5CE3">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EA5C18">
        <w:rPr>
          <w:rFonts w:ascii="Arial" w:hAnsi="Arial"/>
          <w:noProof/>
          <w:sz w:val="16"/>
          <w:szCs w:val="24"/>
        </w:rPr>
        <w:t>BEIGEFÜGTE VERORDNUNG (ADN)</w:t>
      </w:r>
    </w:p>
    <w:p w:rsidR="001E5CE3" w:rsidRPr="00EA5C18" w:rsidRDefault="001E5CE3" w:rsidP="001E5CE3">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EA5C18">
        <w:rPr>
          <w:rFonts w:ascii="Arial" w:hAnsi="Arial"/>
          <w:noProof/>
          <w:sz w:val="16"/>
          <w:szCs w:val="24"/>
        </w:rPr>
        <w:t>(SICHERHEITSAUSSCHUSS)</w:t>
      </w:r>
    </w:p>
    <w:p w:rsidR="001E5CE3" w:rsidRPr="00EA5C18" w:rsidRDefault="001E5CE3" w:rsidP="001E5CE3">
      <w:pPr>
        <w:widowControl/>
        <w:tabs>
          <w:tab w:val="left" w:pos="2977"/>
        </w:tabs>
        <w:overflowPunct/>
        <w:autoSpaceDE/>
        <w:autoSpaceDN/>
        <w:adjustRightInd/>
        <w:snapToGrid w:val="0"/>
        <w:ind w:left="3960" w:firstLine="0"/>
        <w:jc w:val="left"/>
        <w:textAlignment w:val="auto"/>
        <w:rPr>
          <w:rFonts w:ascii="Arial" w:hAnsi="Arial"/>
          <w:sz w:val="16"/>
          <w:szCs w:val="24"/>
        </w:rPr>
      </w:pPr>
      <w:r w:rsidRPr="00EA5C18">
        <w:rPr>
          <w:rFonts w:ascii="Arial" w:hAnsi="Arial"/>
          <w:sz w:val="16"/>
          <w:szCs w:val="24"/>
        </w:rPr>
        <w:t>(32. Tagung, Genf, 22. bis 26. Januar 2018)</w:t>
      </w:r>
    </w:p>
    <w:p w:rsidR="001E5CE3" w:rsidRPr="00EA5C18" w:rsidRDefault="001E5CE3" w:rsidP="001E5CE3">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EA5C18">
        <w:rPr>
          <w:rFonts w:ascii="Arial" w:hAnsi="Arial" w:cs="Arial"/>
          <w:sz w:val="16"/>
          <w:szCs w:val="16"/>
          <w:lang w:eastAsia="en-US"/>
        </w:rPr>
        <w:t xml:space="preserve">Punkt </w:t>
      </w:r>
      <w:r w:rsidR="003F3A77" w:rsidRPr="00EA5C18">
        <w:rPr>
          <w:rFonts w:ascii="Arial" w:hAnsi="Arial" w:cs="Arial"/>
          <w:sz w:val="16"/>
          <w:szCs w:val="16"/>
          <w:lang w:eastAsia="en-US"/>
        </w:rPr>
        <w:t xml:space="preserve"> </w:t>
      </w:r>
      <w:r w:rsidR="00EA5C18">
        <w:rPr>
          <w:rFonts w:ascii="Arial" w:hAnsi="Arial" w:cs="Arial"/>
          <w:sz w:val="16"/>
          <w:szCs w:val="16"/>
          <w:lang w:eastAsia="en-US"/>
        </w:rPr>
        <w:t xml:space="preserve">4 </w:t>
      </w:r>
      <w:r w:rsidR="003D623E" w:rsidRPr="00EA5C18">
        <w:rPr>
          <w:rFonts w:ascii="Arial" w:hAnsi="Arial" w:cs="Arial"/>
          <w:sz w:val="16"/>
          <w:szCs w:val="16"/>
          <w:lang w:eastAsia="en-US"/>
        </w:rPr>
        <w:t>c</w:t>
      </w:r>
      <w:r w:rsidR="003F3A77" w:rsidRPr="00EA5C18">
        <w:rPr>
          <w:rFonts w:ascii="Arial" w:hAnsi="Arial" w:cs="Arial"/>
          <w:sz w:val="16"/>
          <w:szCs w:val="16"/>
          <w:lang w:eastAsia="en-US"/>
        </w:rPr>
        <w:t>)</w:t>
      </w:r>
      <w:r w:rsidRPr="00EA5C18">
        <w:rPr>
          <w:rFonts w:ascii="Arial" w:hAnsi="Arial" w:cs="Arial"/>
          <w:sz w:val="16"/>
          <w:szCs w:val="16"/>
          <w:lang w:eastAsia="en-US"/>
        </w:rPr>
        <w:t xml:space="preserve"> zur vorläufigen Tagesordnung</w:t>
      </w:r>
    </w:p>
    <w:p w:rsidR="001E5CE3" w:rsidRPr="00EA5C18" w:rsidRDefault="001E5CE3" w:rsidP="00524CA2">
      <w:pPr>
        <w:widowControl/>
        <w:tabs>
          <w:tab w:val="left" w:pos="2977"/>
        </w:tabs>
        <w:overflowPunct/>
        <w:autoSpaceDE/>
        <w:autoSpaceDN/>
        <w:adjustRightInd/>
        <w:snapToGrid w:val="0"/>
        <w:ind w:left="3960" w:firstLine="0"/>
        <w:textAlignment w:val="auto"/>
        <w:rPr>
          <w:rFonts w:ascii="Arial" w:hAnsi="Arial" w:cs="Arial"/>
          <w:b/>
          <w:sz w:val="16"/>
          <w:szCs w:val="16"/>
          <w:lang w:eastAsia="en-US"/>
        </w:rPr>
      </w:pPr>
      <w:r w:rsidRPr="00EA5C18">
        <w:rPr>
          <w:rFonts w:ascii="Arial" w:hAnsi="Arial" w:cs="Arial"/>
          <w:b/>
          <w:sz w:val="16"/>
          <w:szCs w:val="16"/>
          <w:lang w:eastAsia="en-US"/>
        </w:rPr>
        <w:t xml:space="preserve">Durchführung des Europäischen Übereinkommens über die internationale Beförderung von gefährlichen Gütern auf Binnenwasserstraßen (ADN): </w:t>
      </w:r>
      <w:r w:rsidR="003D623E" w:rsidRPr="00EA5C18">
        <w:rPr>
          <w:rFonts w:ascii="Arial" w:hAnsi="Arial" w:cs="Arial"/>
          <w:b/>
          <w:sz w:val="16"/>
          <w:szCs w:val="16"/>
          <w:lang w:eastAsia="en-US"/>
        </w:rPr>
        <w:t>Auslegung der dem ADN beigefügten Verordnung</w:t>
      </w:r>
    </w:p>
    <w:p w:rsidR="003D623E" w:rsidRPr="00EA5C18" w:rsidRDefault="007A0EB5" w:rsidP="00EF44C6">
      <w:pPr>
        <w:keepNext/>
        <w:keepLines/>
        <w:widowControl/>
        <w:tabs>
          <w:tab w:val="right" w:pos="851"/>
        </w:tabs>
        <w:suppressAutoHyphens/>
        <w:kinsoku w:val="0"/>
        <w:snapToGrid w:val="0"/>
        <w:spacing w:before="360" w:after="240" w:line="240" w:lineRule="atLeast"/>
        <w:ind w:right="1134"/>
        <w:jc w:val="left"/>
        <w:textAlignment w:val="auto"/>
        <w:rPr>
          <w:rFonts w:eastAsia="Calibri"/>
          <w:b/>
          <w:spacing w:val="-4"/>
          <w:sz w:val="28"/>
          <w:lang w:eastAsia="en-US"/>
        </w:rPr>
      </w:pPr>
      <w:r w:rsidRPr="00EA5C18">
        <w:rPr>
          <w:rFonts w:eastAsia="Calibri"/>
          <w:b/>
          <w:spacing w:val="-4"/>
          <w:sz w:val="28"/>
          <w:lang w:eastAsia="en-US"/>
        </w:rPr>
        <w:tab/>
      </w:r>
      <w:r w:rsidRPr="00EA5C18">
        <w:rPr>
          <w:rFonts w:eastAsia="Calibri"/>
          <w:b/>
          <w:spacing w:val="-4"/>
          <w:sz w:val="28"/>
          <w:lang w:eastAsia="en-US"/>
        </w:rPr>
        <w:tab/>
      </w:r>
      <w:r w:rsidR="001D0042" w:rsidRPr="00EA5C18">
        <w:rPr>
          <w:rFonts w:eastAsia="Calibri"/>
          <w:b/>
          <w:spacing w:val="-4"/>
          <w:sz w:val="28"/>
          <w:lang w:eastAsia="en-US"/>
        </w:rPr>
        <w:t>S</w:t>
      </w:r>
      <w:r w:rsidR="00EF44C6" w:rsidRPr="00EA5C18">
        <w:rPr>
          <w:rFonts w:eastAsia="Calibri"/>
          <w:b/>
          <w:spacing w:val="-4"/>
          <w:sz w:val="28"/>
          <w:lang w:eastAsia="en-US"/>
        </w:rPr>
        <w:t>ysteme für die S</w:t>
      </w:r>
      <w:r w:rsidR="001D0042" w:rsidRPr="00EA5C18">
        <w:rPr>
          <w:rFonts w:eastAsia="Calibri"/>
          <w:b/>
          <w:spacing w:val="-4"/>
          <w:sz w:val="28"/>
          <w:lang w:eastAsia="en-US"/>
        </w:rPr>
        <w:t>icherheit</w:t>
      </w:r>
      <w:r w:rsidR="00EF44C6" w:rsidRPr="00EA5C18">
        <w:rPr>
          <w:rFonts w:eastAsia="Calibri"/>
          <w:b/>
          <w:spacing w:val="-4"/>
          <w:sz w:val="28"/>
          <w:lang w:eastAsia="en-US"/>
        </w:rPr>
        <w:t xml:space="preserve"> auf</w:t>
      </w:r>
      <w:r w:rsidR="001C2952" w:rsidRPr="00EA5C18">
        <w:rPr>
          <w:rFonts w:eastAsia="Calibri"/>
          <w:b/>
          <w:spacing w:val="-4"/>
          <w:sz w:val="28"/>
          <w:lang w:eastAsia="en-US"/>
        </w:rPr>
        <w:t xml:space="preserve"> Binnenwasserstraßen und ADN</w:t>
      </w:r>
    </w:p>
    <w:p w:rsidR="003D623E" w:rsidRPr="00EA5C18" w:rsidRDefault="003D623E" w:rsidP="003F20A5">
      <w:pPr>
        <w:widowControl/>
        <w:tabs>
          <w:tab w:val="left" w:pos="1701"/>
        </w:tabs>
        <w:suppressAutoHyphens/>
        <w:kinsoku w:val="0"/>
        <w:snapToGrid w:val="0"/>
        <w:spacing w:after="120" w:line="240" w:lineRule="atLeast"/>
        <w:ind w:right="1134" w:firstLine="0"/>
        <w:textAlignment w:val="auto"/>
        <w:rPr>
          <w:rFonts w:eastAsia="Calibri"/>
          <w:lang w:eastAsia="en-US"/>
        </w:rPr>
      </w:pPr>
      <w:r w:rsidRPr="00EA5C18">
        <w:rPr>
          <w:rFonts w:eastAsia="Calibri"/>
          <w:lang w:eastAsia="en-US"/>
        </w:rPr>
        <w:t>1.</w:t>
      </w:r>
      <w:r w:rsidRPr="00EA5C18">
        <w:rPr>
          <w:rFonts w:eastAsia="Calibri"/>
          <w:lang w:eastAsia="en-US"/>
        </w:rPr>
        <w:tab/>
      </w:r>
      <w:r w:rsidR="00EF44C6" w:rsidRPr="00EA5C18">
        <w:rPr>
          <w:rFonts w:eastAsia="Calibri"/>
          <w:lang w:eastAsia="en-US"/>
        </w:rPr>
        <w:t>Kapitel 1.10 („Vorschriften für die Sicherung“) des Europäischen Übereinkommens über die internationale Beförderung von gefährlichen Gütern auf Binnenwasserstraßen (ADN) behandelt Maßnahmen oder „</w:t>
      </w:r>
      <w:r w:rsidR="00EF44C6" w:rsidRPr="00EA5C18">
        <w:rPr>
          <w:rFonts w:eastAsia="Calibri"/>
          <w:u w:val="single"/>
          <w:lang w:eastAsia="en-US"/>
        </w:rPr>
        <w:t>Vorkehrungen</w:t>
      </w:r>
      <w:r w:rsidR="002B2DCC" w:rsidRPr="00EA5C18">
        <w:rPr>
          <w:rFonts w:eastAsia="Calibri"/>
          <w:sz w:val="18"/>
          <w:vertAlign w:val="superscript"/>
          <w:lang w:eastAsia="en-US"/>
        </w:rPr>
        <w:footnoteReference w:id="1"/>
      </w:r>
      <w:r w:rsidR="00EF44C6" w:rsidRPr="00EA5C18">
        <w:rPr>
          <w:rFonts w:eastAsia="Calibri"/>
          <w:lang w:eastAsia="en-US"/>
        </w:rPr>
        <w:t xml:space="preserve">“, die für die Sicherheit der Beförderung </w:t>
      </w:r>
      <w:r w:rsidR="003F20A5" w:rsidRPr="00EA5C18">
        <w:rPr>
          <w:rFonts w:eastAsia="Calibri"/>
          <w:lang w:eastAsia="en-US"/>
        </w:rPr>
        <w:t xml:space="preserve">von </w:t>
      </w:r>
      <w:r w:rsidR="00EF44C6" w:rsidRPr="00EA5C18">
        <w:rPr>
          <w:rFonts w:eastAsia="Calibri"/>
          <w:lang w:eastAsia="en-US"/>
        </w:rPr>
        <w:t>gefährliche</w:t>
      </w:r>
      <w:r w:rsidR="003F20A5" w:rsidRPr="00EA5C18">
        <w:rPr>
          <w:rFonts w:eastAsia="Calibri"/>
          <w:lang w:eastAsia="en-US"/>
        </w:rPr>
        <w:t>n</w:t>
      </w:r>
      <w:r w:rsidR="00EF44C6" w:rsidRPr="00EA5C18">
        <w:rPr>
          <w:rFonts w:eastAsia="Calibri"/>
          <w:lang w:eastAsia="en-US"/>
        </w:rPr>
        <w:t xml:space="preserve"> Güter</w:t>
      </w:r>
      <w:r w:rsidR="003F20A5" w:rsidRPr="00EA5C18">
        <w:rPr>
          <w:rFonts w:eastAsia="Calibri"/>
          <w:lang w:eastAsia="en-US"/>
        </w:rPr>
        <w:t>n</w:t>
      </w:r>
      <w:r w:rsidR="00EF44C6" w:rsidRPr="00EA5C18">
        <w:rPr>
          <w:rFonts w:eastAsia="Calibri"/>
          <w:lang w:eastAsia="en-US"/>
        </w:rPr>
        <w:t xml:space="preserve"> </w:t>
      </w:r>
      <w:r w:rsidR="00C4483F" w:rsidRPr="00EA5C18">
        <w:rPr>
          <w:rFonts w:eastAsia="Calibri"/>
          <w:lang w:eastAsia="en-US"/>
        </w:rPr>
        <w:t>zu treffen sind.</w:t>
      </w:r>
    </w:p>
    <w:p w:rsidR="003D623E" w:rsidRPr="00EA5C18" w:rsidRDefault="003D623E" w:rsidP="003F20A5">
      <w:pPr>
        <w:keepNext/>
        <w:keepLines/>
        <w:widowControl/>
        <w:suppressAutoHyphens/>
        <w:kinsoku w:val="0"/>
        <w:snapToGrid w:val="0"/>
        <w:spacing w:before="360" w:after="240" w:line="240" w:lineRule="atLeast"/>
        <w:ind w:right="1134"/>
        <w:textAlignment w:val="auto"/>
        <w:rPr>
          <w:rFonts w:eastAsia="Calibri"/>
          <w:b/>
          <w:i/>
          <w:caps/>
          <w:sz w:val="24"/>
          <w:lang w:eastAsia="en-US"/>
        </w:rPr>
      </w:pPr>
      <w:r w:rsidRPr="00EA5C18">
        <w:rPr>
          <w:rFonts w:eastAsia="Calibri"/>
          <w:b/>
          <w:sz w:val="24"/>
          <w:lang w:eastAsia="en-US"/>
        </w:rPr>
        <w:tab/>
      </w:r>
      <w:r w:rsidR="009F08A6" w:rsidRPr="00EA5C18">
        <w:rPr>
          <w:rFonts w:eastAsia="Calibri"/>
          <w:b/>
          <w:sz w:val="24"/>
          <w:lang w:eastAsia="en-US"/>
        </w:rPr>
        <w:t>In der Bemerkung zu Unterabschnitt 1.10.3.2 ADN heißt es ferner:</w:t>
      </w:r>
    </w:p>
    <w:p w:rsidR="007A0EB5" w:rsidRPr="00EA5C18" w:rsidRDefault="007A0EB5" w:rsidP="003F20A5">
      <w:pPr>
        <w:widowControl/>
        <w:suppressAutoHyphens/>
        <w:kinsoku w:val="0"/>
        <w:snapToGrid w:val="0"/>
        <w:spacing w:after="120" w:line="240" w:lineRule="atLeast"/>
        <w:ind w:right="1134" w:firstLine="0"/>
        <w:textAlignment w:val="auto"/>
        <w:rPr>
          <w:rFonts w:eastAsia="Calibri"/>
          <w:lang w:eastAsia="en-US"/>
        </w:rPr>
      </w:pPr>
      <w:r w:rsidRPr="00EA5C18">
        <w:rPr>
          <w:rFonts w:eastAsia="Calibri"/>
          <w:lang w:eastAsia="en-US"/>
        </w:rPr>
        <w:t>„Beförderer, Absender und Empfänger sollten untereinander und mit den zuständigen Behörden zusammenarbeiten, um Hinweise über eventuelle Bedrohungen auszutauschen, geeignete Sicherungsmaßnahmen zu treffen und auf Zwischenfälle, welche die Sicherung gefährden, zu reagieren.“</w:t>
      </w:r>
    </w:p>
    <w:p w:rsidR="003D623E" w:rsidRPr="00EA5C18" w:rsidRDefault="003D623E" w:rsidP="003F20A5">
      <w:pPr>
        <w:widowControl/>
        <w:tabs>
          <w:tab w:val="left" w:pos="1701"/>
        </w:tabs>
        <w:suppressAutoHyphens/>
        <w:kinsoku w:val="0"/>
        <w:snapToGrid w:val="0"/>
        <w:spacing w:after="120" w:line="240" w:lineRule="atLeast"/>
        <w:ind w:right="1134" w:firstLine="0"/>
        <w:textAlignment w:val="auto"/>
        <w:rPr>
          <w:rFonts w:eastAsia="Calibri"/>
          <w:lang w:eastAsia="en-US"/>
        </w:rPr>
      </w:pPr>
      <w:r w:rsidRPr="00EA5C18">
        <w:rPr>
          <w:rFonts w:eastAsia="Calibri"/>
          <w:lang w:eastAsia="en-US"/>
        </w:rPr>
        <w:t>2.</w:t>
      </w:r>
      <w:r w:rsidRPr="00EA5C18">
        <w:rPr>
          <w:rFonts w:eastAsia="Calibri"/>
          <w:lang w:eastAsia="en-US"/>
        </w:rPr>
        <w:tab/>
      </w:r>
      <w:r w:rsidR="009F08A6" w:rsidRPr="00EA5C18">
        <w:rPr>
          <w:rFonts w:eastAsia="Calibri"/>
          <w:lang w:eastAsia="en-US"/>
        </w:rPr>
        <w:t>Die an der Beförderung beteiligten Parteien haben ihre Sicherheitsverpflichtungen auf eigene Kosten und in eigener Verantwortung zu erfüllen.</w:t>
      </w:r>
    </w:p>
    <w:p w:rsidR="003D623E" w:rsidRPr="00EA5C18" w:rsidRDefault="003D623E" w:rsidP="003F20A5">
      <w:pPr>
        <w:widowControl/>
        <w:tabs>
          <w:tab w:val="left" w:pos="1701"/>
        </w:tabs>
        <w:suppressAutoHyphens/>
        <w:kinsoku w:val="0"/>
        <w:snapToGrid w:val="0"/>
        <w:spacing w:line="240" w:lineRule="atLeast"/>
        <w:ind w:right="1134" w:firstLine="0"/>
        <w:textAlignment w:val="auto"/>
        <w:rPr>
          <w:rFonts w:eastAsia="Calibri"/>
          <w:i/>
          <w:caps/>
          <w:lang w:val="fr-FR" w:eastAsia="en-US"/>
        </w:rPr>
      </w:pPr>
      <w:r w:rsidRPr="00EA5C18">
        <w:rPr>
          <w:rFonts w:eastAsia="Calibri"/>
          <w:lang w:val="fr-FR" w:eastAsia="en-US"/>
        </w:rPr>
        <w:t>3.</w:t>
      </w:r>
      <w:r w:rsidRPr="00EA5C18">
        <w:rPr>
          <w:rFonts w:eastAsia="Calibri"/>
          <w:lang w:val="fr-FR" w:eastAsia="en-US"/>
        </w:rPr>
        <w:tab/>
      </w:r>
      <w:r w:rsidR="009F08A6" w:rsidRPr="00EA5C18">
        <w:rPr>
          <w:rFonts w:eastAsia="Calibri"/>
          <w:lang w:eastAsia="en-US"/>
        </w:rPr>
        <w:t xml:space="preserve">Kapitel 1.10 ADN sieht das Vorhandensein </w:t>
      </w:r>
    </w:p>
    <w:p w:rsidR="003D623E" w:rsidRPr="00EA5C18" w:rsidRDefault="009F08A6" w:rsidP="003F20A5">
      <w:pPr>
        <w:pStyle w:val="ListParagraph"/>
        <w:widowControl/>
        <w:numPr>
          <w:ilvl w:val="0"/>
          <w:numId w:val="2"/>
        </w:numPr>
        <w:suppressAutoHyphens/>
        <w:kinsoku w:val="0"/>
        <w:snapToGrid w:val="0"/>
        <w:spacing w:before="60" w:after="60" w:line="240" w:lineRule="atLeast"/>
        <w:ind w:left="1985" w:right="1134" w:hanging="284"/>
        <w:textAlignment w:val="auto"/>
        <w:rPr>
          <w:rFonts w:eastAsia="Calibri"/>
          <w:lang w:eastAsia="en-US"/>
        </w:rPr>
      </w:pPr>
      <w:r w:rsidRPr="00EA5C18">
        <w:rPr>
          <w:rFonts w:eastAsia="Calibri"/>
          <w:lang w:eastAsia="en-US"/>
        </w:rPr>
        <w:t>von Sicherheitsplänen für die Beförderung und den Umschlag von gefährlichen Gütern mit hohem Gefahrenpotenzial;</w:t>
      </w:r>
    </w:p>
    <w:p w:rsidR="003D623E" w:rsidRPr="00EA5C18" w:rsidRDefault="009F08A6" w:rsidP="003F20A5">
      <w:pPr>
        <w:pStyle w:val="ListParagraph"/>
        <w:keepNext/>
        <w:widowControl/>
        <w:numPr>
          <w:ilvl w:val="0"/>
          <w:numId w:val="2"/>
        </w:numPr>
        <w:suppressAutoHyphens/>
        <w:kinsoku w:val="0"/>
        <w:snapToGrid w:val="0"/>
        <w:spacing w:before="60" w:after="60" w:line="240" w:lineRule="atLeast"/>
        <w:ind w:left="1985" w:right="1134" w:hanging="284"/>
        <w:textAlignment w:val="auto"/>
        <w:rPr>
          <w:rFonts w:eastAsia="Calibri"/>
          <w:lang w:eastAsia="en-US"/>
        </w:rPr>
      </w:pPr>
      <w:r w:rsidRPr="00EA5C18">
        <w:rPr>
          <w:rFonts w:eastAsia="Calibri"/>
          <w:lang w:eastAsia="en-US"/>
        </w:rPr>
        <w:t xml:space="preserve">eines Verfahrens zur Gewährleistung der Sicherheit </w:t>
      </w:r>
      <w:r w:rsidR="00717163" w:rsidRPr="00EA5C18">
        <w:rPr>
          <w:rFonts w:eastAsia="Calibri"/>
          <w:lang w:eastAsia="en-US"/>
        </w:rPr>
        <w:t>von Schiffen und Häfen;</w:t>
      </w:r>
    </w:p>
    <w:p w:rsidR="00F41C29" w:rsidRPr="00EA5C18" w:rsidRDefault="00717163" w:rsidP="003F20A5">
      <w:pPr>
        <w:pStyle w:val="ListParagraph"/>
        <w:widowControl/>
        <w:numPr>
          <w:ilvl w:val="0"/>
          <w:numId w:val="2"/>
        </w:numPr>
        <w:suppressAutoHyphens/>
        <w:kinsoku w:val="0"/>
        <w:snapToGrid w:val="0"/>
        <w:spacing w:before="60" w:after="60" w:line="240" w:lineRule="atLeast"/>
        <w:ind w:left="1985" w:right="1134" w:hanging="284"/>
        <w:textAlignment w:val="auto"/>
        <w:rPr>
          <w:rFonts w:eastAsia="Calibri"/>
          <w:lang w:val="fr-FR" w:eastAsia="en-US"/>
        </w:rPr>
      </w:pPr>
      <w:r w:rsidRPr="00EA5C18">
        <w:rPr>
          <w:rFonts w:eastAsia="Calibri"/>
          <w:lang w:eastAsia="en-US"/>
        </w:rPr>
        <w:t>von Informationen über Gefahren</w:t>
      </w:r>
      <w:r w:rsidR="003F20A5" w:rsidRPr="00EA5C18">
        <w:rPr>
          <w:rFonts w:eastAsia="Calibri"/>
          <w:lang w:eastAsia="en-US"/>
        </w:rPr>
        <w:t xml:space="preserve"> </w:t>
      </w:r>
    </w:p>
    <w:p w:rsidR="003D623E" w:rsidRPr="00EA5C18" w:rsidRDefault="003F20A5" w:rsidP="00F41C29">
      <w:pPr>
        <w:widowControl/>
        <w:suppressAutoHyphens/>
        <w:kinsoku w:val="0"/>
        <w:snapToGrid w:val="0"/>
        <w:spacing w:before="60" w:after="60" w:line="240" w:lineRule="atLeast"/>
        <w:ind w:left="1701" w:right="1134" w:firstLine="0"/>
        <w:textAlignment w:val="auto"/>
        <w:rPr>
          <w:rFonts w:eastAsia="Calibri"/>
          <w:lang w:val="fr-FR" w:eastAsia="en-US"/>
        </w:rPr>
      </w:pPr>
      <w:r w:rsidRPr="00EA5C18">
        <w:rPr>
          <w:rFonts w:eastAsia="Calibri"/>
          <w:lang w:eastAsia="en-US"/>
        </w:rPr>
        <w:t>vor</w:t>
      </w:r>
      <w:r w:rsidR="00717163" w:rsidRPr="00EA5C18">
        <w:rPr>
          <w:rFonts w:eastAsia="Calibri"/>
          <w:lang w:eastAsia="en-US"/>
        </w:rPr>
        <w:t>.</w:t>
      </w:r>
    </w:p>
    <w:p w:rsidR="001E5CE3" w:rsidRPr="00EA5C18" w:rsidRDefault="00717163" w:rsidP="003F20A5">
      <w:pPr>
        <w:widowControl/>
        <w:suppressAutoHyphens/>
        <w:kinsoku w:val="0"/>
        <w:snapToGrid w:val="0"/>
        <w:spacing w:before="120" w:after="120" w:line="240" w:lineRule="atLeast"/>
        <w:ind w:right="1134" w:firstLine="0"/>
        <w:textAlignment w:val="auto"/>
      </w:pPr>
      <w:r w:rsidRPr="00EA5C18">
        <w:rPr>
          <w:rFonts w:eastAsia="Calibri"/>
          <w:b/>
          <w:lang w:eastAsia="en-US"/>
        </w:rPr>
        <w:t xml:space="preserve">Schlussfolgerung auf der Grundlage von Absatz 3.1: </w:t>
      </w:r>
      <w:r w:rsidRPr="00EA5C18">
        <w:rPr>
          <w:rFonts w:eastAsia="Calibri"/>
          <w:lang w:eastAsia="en-US"/>
        </w:rPr>
        <w:t>Die Anforderungen des Kapitels 1.10 ADN entsprechen weitgehend den Zielen eines Sicherheitssystems für die Binnenschifffahrt.</w:t>
      </w:r>
      <w:r w:rsidR="003D623E" w:rsidRPr="00EA5C18">
        <w:rPr>
          <w:rFonts w:eastAsia="Calibri"/>
          <w:lang w:eastAsia="en-US"/>
        </w:rPr>
        <w:t xml:space="preserve"> </w:t>
      </w:r>
      <w:r w:rsidR="003F20A5" w:rsidRPr="00EA5C18">
        <w:rPr>
          <w:rFonts w:eastAsia="Calibri"/>
          <w:lang w:eastAsia="en-US"/>
        </w:rPr>
        <w:t>Es ist daher</w:t>
      </w:r>
      <w:r w:rsidR="005921E0" w:rsidRPr="00EA5C18">
        <w:rPr>
          <w:rFonts w:eastAsia="Calibri"/>
          <w:lang w:eastAsia="en-US"/>
        </w:rPr>
        <w:t xml:space="preserve"> notwendig, sie in einem solchen System anzuwenden</w:t>
      </w:r>
      <w:r w:rsidR="003F20A5" w:rsidRPr="00EA5C18">
        <w:rPr>
          <w:rFonts w:eastAsia="Calibri"/>
          <w:lang w:eastAsia="en-US"/>
        </w:rPr>
        <w:t>.</w:t>
      </w:r>
    </w:p>
    <w:p w:rsidR="00EA5C18" w:rsidRDefault="001E5CE3" w:rsidP="001E5CE3">
      <w:pPr>
        <w:tabs>
          <w:tab w:val="left" w:pos="567"/>
          <w:tab w:val="left" w:pos="1418"/>
        </w:tabs>
        <w:spacing w:line="240" w:lineRule="atLeast"/>
        <w:ind w:left="0" w:firstLine="0"/>
        <w:jc w:val="center"/>
      </w:pPr>
      <w:r w:rsidRPr="00EA5C18">
        <w:t>***</w:t>
      </w:r>
    </w:p>
    <w:p w:rsidR="00751575" w:rsidRPr="001E5CE3" w:rsidRDefault="00751575" w:rsidP="001E5CE3">
      <w:pPr>
        <w:tabs>
          <w:tab w:val="left" w:pos="567"/>
          <w:tab w:val="left" w:pos="1418"/>
        </w:tabs>
        <w:spacing w:line="240" w:lineRule="atLeast"/>
        <w:ind w:left="0" w:firstLine="0"/>
        <w:jc w:val="center"/>
      </w:pPr>
    </w:p>
    <w:sectPr w:rsidR="00751575" w:rsidRPr="001E5CE3" w:rsidSect="00596953">
      <w:headerReference w:type="even" r:id="rId9"/>
      <w:headerReference w:type="default" r:id="rId10"/>
      <w:footerReference w:type="even" r:id="rId11"/>
      <w:footerReference w:type="default" r:id="rId12"/>
      <w:footerReference w:type="first" r:id="rId13"/>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7DD" w:rsidRDefault="009D47DD" w:rsidP="0011702A">
      <w:r>
        <w:separator/>
      </w:r>
    </w:p>
  </w:endnote>
  <w:endnote w:type="continuationSeparator" w:id="0">
    <w:p w:rsidR="009D47DD" w:rsidRDefault="009D47DD"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A" w:rsidRPr="001E5CE3" w:rsidRDefault="00D4056A" w:rsidP="001E5CE3">
    <w:pPr>
      <w:widowControl/>
      <w:suppressAutoHyphens/>
      <w:overflowPunct/>
      <w:autoSpaceDE/>
      <w:autoSpaceDN/>
      <w:adjustRightInd/>
      <w:ind w:left="0" w:firstLine="0"/>
      <w:jc w:val="right"/>
      <w:textAlignment w:val="auto"/>
      <w:rPr>
        <w:rFonts w:ascii="Arial" w:hAnsi="Arial"/>
        <w:noProof/>
        <w:snapToGrid w:val="0"/>
        <w:sz w:val="12"/>
        <w:szCs w:val="24"/>
        <w:lang w:val="en-US"/>
      </w:rPr>
    </w:pPr>
    <w:r w:rsidRPr="001E5CE3">
      <w:rPr>
        <w:rFonts w:ascii="Arial" w:hAnsi="Arial"/>
        <w:noProof/>
        <w:snapToGrid w:val="0"/>
        <w:sz w:val="12"/>
        <w:szCs w:val="24"/>
        <w:lang w:val="en-US"/>
      </w:rPr>
      <w:t>mm/adn_wp15_ac2_201</w:t>
    </w:r>
    <w:r w:rsidR="006C6E00" w:rsidRPr="001E5CE3">
      <w:rPr>
        <w:rFonts w:ascii="Arial" w:hAnsi="Arial"/>
        <w:noProof/>
        <w:snapToGrid w:val="0"/>
        <w:sz w:val="12"/>
        <w:szCs w:val="24"/>
        <w:lang w:val="en-US"/>
      </w:rPr>
      <w:t>8</w:t>
    </w:r>
    <w:r w:rsidRPr="001E5CE3">
      <w:rPr>
        <w:rFonts w:ascii="Arial" w:hAnsi="Arial"/>
        <w:noProof/>
        <w:snapToGrid w:val="0"/>
        <w:sz w:val="12"/>
        <w:szCs w:val="24"/>
        <w:lang w:val="en-US"/>
      </w:rPr>
      <w:t>_</w:t>
    </w:r>
    <w:r w:rsidR="003F3A77">
      <w:rPr>
        <w:rFonts w:ascii="Arial" w:hAnsi="Arial"/>
        <w:noProof/>
        <w:snapToGrid w:val="0"/>
        <w:sz w:val="12"/>
        <w:szCs w:val="24"/>
        <w:lang w:val="en-US"/>
      </w:rPr>
      <w:t>12</w:t>
    </w:r>
    <w:r w:rsidRPr="001E5CE3">
      <w:rPr>
        <w:rFonts w:ascii="Arial" w:hAnsi="Arial"/>
        <w:noProof/>
        <w:snapToGrid w:val="0"/>
        <w:sz w:val="12"/>
        <w:szCs w:val="24"/>
        <w:lang w:val="en-US"/>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A" w:rsidRPr="001E5CE3" w:rsidRDefault="00D4056A" w:rsidP="001E5CE3">
    <w:pPr>
      <w:widowControl/>
      <w:suppressAutoHyphens/>
      <w:overflowPunct/>
      <w:autoSpaceDE/>
      <w:autoSpaceDN/>
      <w:adjustRightInd/>
      <w:ind w:left="0" w:firstLine="0"/>
      <w:jc w:val="right"/>
      <w:textAlignment w:val="auto"/>
      <w:rPr>
        <w:rFonts w:ascii="Arial" w:hAnsi="Arial"/>
        <w:noProof/>
        <w:snapToGrid w:val="0"/>
        <w:sz w:val="12"/>
        <w:szCs w:val="24"/>
        <w:lang w:val="en-US"/>
      </w:rPr>
    </w:pPr>
    <w:r w:rsidRPr="001E5CE3">
      <w:rPr>
        <w:rFonts w:ascii="Arial" w:hAnsi="Arial"/>
        <w:noProof/>
        <w:snapToGrid w:val="0"/>
        <w:sz w:val="12"/>
        <w:szCs w:val="24"/>
        <w:lang w:val="en-US"/>
      </w:rPr>
      <w:t>mm/adn_wp15_ac2_201</w:t>
    </w:r>
    <w:r w:rsidR="006C6E00" w:rsidRPr="001E5CE3">
      <w:rPr>
        <w:rFonts w:ascii="Arial" w:hAnsi="Arial"/>
        <w:noProof/>
        <w:snapToGrid w:val="0"/>
        <w:sz w:val="12"/>
        <w:szCs w:val="24"/>
        <w:lang w:val="en-US"/>
      </w:rPr>
      <w:t>8</w:t>
    </w:r>
    <w:r w:rsidRPr="001E5CE3">
      <w:rPr>
        <w:rFonts w:ascii="Arial" w:hAnsi="Arial"/>
        <w:noProof/>
        <w:snapToGrid w:val="0"/>
        <w:sz w:val="12"/>
        <w:szCs w:val="24"/>
        <w:lang w:val="en-US"/>
      </w:rPr>
      <w:t>_</w:t>
    </w:r>
    <w:r w:rsidR="003F3A77">
      <w:rPr>
        <w:rFonts w:ascii="Arial" w:hAnsi="Arial"/>
        <w:noProof/>
        <w:snapToGrid w:val="0"/>
        <w:sz w:val="12"/>
        <w:szCs w:val="24"/>
        <w:lang w:val="en-US"/>
      </w:rPr>
      <w:t>12</w:t>
    </w:r>
    <w:r w:rsidRPr="001E5CE3">
      <w:rPr>
        <w:rFonts w:ascii="Arial" w:hAnsi="Arial"/>
        <w:noProof/>
        <w:snapToGrid w:val="0"/>
        <w:sz w:val="12"/>
        <w:szCs w:val="24"/>
        <w:lang w:val="en-US"/>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18" w:rsidRPr="00EA5C18" w:rsidRDefault="00EA5C18" w:rsidP="00EA5C18">
    <w:pPr>
      <w:widowControl/>
      <w:suppressAutoHyphens/>
      <w:overflowPunct/>
      <w:autoSpaceDE/>
      <w:autoSpaceDN/>
      <w:adjustRightInd/>
      <w:ind w:left="0" w:firstLine="0"/>
      <w:jc w:val="right"/>
      <w:textAlignment w:val="auto"/>
      <w:rPr>
        <w:rFonts w:ascii="Arial" w:hAnsi="Arial"/>
        <w:noProof/>
        <w:snapToGrid w:val="0"/>
        <w:sz w:val="12"/>
        <w:szCs w:val="24"/>
        <w:lang w:val="fr-FR"/>
      </w:rPr>
    </w:pPr>
    <w:r w:rsidRPr="00EA5C18">
      <w:rPr>
        <w:rFonts w:ascii="Arial" w:hAnsi="Arial"/>
        <w:noProof/>
        <w:snapToGrid w:val="0"/>
        <w:sz w:val="12"/>
        <w:szCs w:val="24"/>
        <w:lang w:val="fr-FR"/>
      </w:rPr>
      <w:t>mm/adn_wp15_ac2_2018_23de</w:t>
    </w:r>
  </w:p>
  <w:p w:rsidR="00EA5C18" w:rsidRPr="00EA5C18" w:rsidRDefault="00EA5C1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7DD" w:rsidRDefault="009D47DD" w:rsidP="0011702A">
      <w:r>
        <w:separator/>
      </w:r>
    </w:p>
  </w:footnote>
  <w:footnote w:type="continuationSeparator" w:id="0">
    <w:p w:rsidR="009D47DD" w:rsidRDefault="009D47DD" w:rsidP="0011702A">
      <w:r>
        <w:continuationSeparator/>
      </w:r>
    </w:p>
  </w:footnote>
  <w:footnote w:id="1">
    <w:p w:rsidR="002B2DCC" w:rsidRPr="00EA5C18" w:rsidRDefault="002B2DCC" w:rsidP="00B82655">
      <w:pPr>
        <w:pStyle w:val="FootnoteText"/>
        <w:ind w:left="993" w:hanging="425"/>
        <w:rPr>
          <w:sz w:val="16"/>
          <w:szCs w:val="16"/>
        </w:rPr>
      </w:pPr>
      <w:r w:rsidRPr="00823968">
        <w:rPr>
          <w:rStyle w:val="FootnoteReference"/>
        </w:rPr>
        <w:footnoteRef/>
      </w:r>
      <w:r w:rsidRPr="00EA5C18">
        <w:t xml:space="preserve"> </w:t>
      </w:r>
      <w:r w:rsidRPr="00EA5C18">
        <w:tab/>
      </w:r>
      <w:r w:rsidR="009F08A6">
        <w:rPr>
          <w:sz w:val="16"/>
          <w:szCs w:val="16"/>
        </w:rPr>
        <w:t>Be</w:t>
      </w:r>
      <w:r w:rsidRPr="002B2DCC">
        <w:rPr>
          <w:sz w:val="16"/>
          <w:szCs w:val="16"/>
        </w:rPr>
        <w:t>merkung zu Kapitel 1.10 des ADN:</w:t>
      </w:r>
      <w:r w:rsidRPr="00EA5C18">
        <w:rPr>
          <w:sz w:val="16"/>
          <w:szCs w:val="16"/>
        </w:rPr>
        <w:t xml:space="preserve"> </w:t>
      </w:r>
      <w:r w:rsidR="006B0A49" w:rsidRPr="00B82655">
        <w:rPr>
          <w:sz w:val="16"/>
          <w:szCs w:val="16"/>
        </w:rPr>
        <w:t>Für Zwecke dieses Kapitels versteht man unter „Sicherung“ die Maßnahmen oder Vorkehrungen, die zu treffen sind, um den Diebstahl oder den Missbrauch gefährlicher Güter, durch den Personen, Güter oder die Umwelt gefährdet werden können, zu minimieren</w:t>
      </w:r>
      <w:r w:rsidRPr="00B82655">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A" w:rsidRPr="001E5CE3" w:rsidRDefault="00D4056A" w:rsidP="001E5CE3">
    <w:pPr>
      <w:widowControl/>
      <w:suppressAutoHyphens/>
      <w:overflowPunct/>
      <w:autoSpaceDE/>
      <w:autoSpaceDN/>
      <w:adjustRightInd/>
      <w:ind w:left="0" w:firstLine="0"/>
      <w:jc w:val="left"/>
      <w:textAlignment w:val="auto"/>
      <w:rPr>
        <w:rFonts w:ascii="Arial" w:hAnsi="Arial"/>
        <w:snapToGrid w:val="0"/>
        <w:sz w:val="16"/>
        <w:szCs w:val="16"/>
        <w:lang w:val="en-US"/>
      </w:rPr>
    </w:pPr>
    <w:r w:rsidRPr="001E5CE3">
      <w:rPr>
        <w:rFonts w:ascii="Arial" w:hAnsi="Arial"/>
        <w:snapToGrid w:val="0"/>
        <w:sz w:val="16"/>
        <w:szCs w:val="16"/>
        <w:lang w:val="en-US"/>
      </w:rPr>
      <w:t>CCNR-ZKR/ADN/WP.15/AC.2/201</w:t>
    </w:r>
    <w:r w:rsidR="006C6E00" w:rsidRPr="001E5CE3">
      <w:rPr>
        <w:rFonts w:ascii="Arial" w:hAnsi="Arial"/>
        <w:snapToGrid w:val="0"/>
        <w:sz w:val="16"/>
        <w:szCs w:val="16"/>
        <w:lang w:val="en-US"/>
      </w:rPr>
      <w:t>8</w:t>
    </w:r>
    <w:r w:rsidRPr="001E5CE3">
      <w:rPr>
        <w:rFonts w:ascii="Arial" w:hAnsi="Arial"/>
        <w:snapToGrid w:val="0"/>
        <w:sz w:val="16"/>
        <w:szCs w:val="16"/>
        <w:lang w:val="en-US"/>
      </w:rPr>
      <w:t>/</w:t>
    </w:r>
    <w:r w:rsidR="003F3A77">
      <w:rPr>
        <w:rFonts w:ascii="Arial" w:hAnsi="Arial"/>
        <w:snapToGrid w:val="0"/>
        <w:sz w:val="16"/>
        <w:szCs w:val="16"/>
        <w:lang w:val="en-US"/>
      </w:rPr>
      <w:t>12</w:t>
    </w:r>
  </w:p>
  <w:p w:rsidR="00D4056A" w:rsidRPr="001E5CE3" w:rsidRDefault="00D4056A" w:rsidP="001E5CE3">
    <w:pPr>
      <w:widowControl/>
      <w:suppressAutoHyphens/>
      <w:overflowPunct/>
      <w:autoSpaceDE/>
      <w:autoSpaceDN/>
      <w:adjustRightInd/>
      <w:ind w:left="0" w:firstLine="0"/>
      <w:jc w:val="left"/>
      <w:textAlignment w:val="auto"/>
      <w:rPr>
        <w:rFonts w:ascii="Arial" w:hAnsi="Arial"/>
        <w:snapToGrid w:val="0"/>
        <w:sz w:val="16"/>
        <w:szCs w:val="16"/>
      </w:rPr>
    </w:pPr>
    <w:r w:rsidRPr="001E5CE3">
      <w:rPr>
        <w:rFonts w:ascii="Arial" w:hAnsi="Arial"/>
        <w:snapToGrid w:val="0"/>
        <w:sz w:val="16"/>
        <w:szCs w:val="16"/>
      </w:rPr>
      <w:t xml:space="preserve">Seite </w:t>
    </w:r>
    <w:r w:rsidRPr="001E5CE3">
      <w:rPr>
        <w:rFonts w:ascii="Arial" w:hAnsi="Arial"/>
        <w:snapToGrid w:val="0"/>
        <w:sz w:val="16"/>
        <w:szCs w:val="16"/>
      </w:rPr>
      <w:fldChar w:fldCharType="begin"/>
    </w:r>
    <w:r w:rsidRPr="001E5CE3">
      <w:rPr>
        <w:rFonts w:ascii="Arial" w:hAnsi="Arial"/>
        <w:snapToGrid w:val="0"/>
        <w:sz w:val="16"/>
        <w:szCs w:val="16"/>
      </w:rPr>
      <w:instrText xml:space="preserve"> PAGE  \* MERGEFORMAT </w:instrText>
    </w:r>
    <w:r w:rsidRPr="001E5CE3">
      <w:rPr>
        <w:rFonts w:ascii="Arial" w:hAnsi="Arial"/>
        <w:snapToGrid w:val="0"/>
        <w:sz w:val="16"/>
        <w:szCs w:val="16"/>
      </w:rPr>
      <w:fldChar w:fldCharType="separate"/>
    </w:r>
    <w:r w:rsidR="00EA5C18">
      <w:rPr>
        <w:rFonts w:ascii="Arial" w:hAnsi="Arial"/>
        <w:noProof/>
        <w:snapToGrid w:val="0"/>
        <w:sz w:val="16"/>
        <w:szCs w:val="16"/>
      </w:rPr>
      <w:t>2</w:t>
    </w:r>
    <w:r w:rsidRPr="001E5CE3">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A" w:rsidRPr="001E5CE3" w:rsidRDefault="00D4056A" w:rsidP="001E5CE3">
    <w:pPr>
      <w:widowControl/>
      <w:suppressAutoHyphens/>
      <w:overflowPunct/>
      <w:autoSpaceDE/>
      <w:autoSpaceDN/>
      <w:adjustRightInd/>
      <w:ind w:left="0" w:firstLine="0"/>
      <w:jc w:val="right"/>
      <w:textAlignment w:val="auto"/>
      <w:rPr>
        <w:rFonts w:ascii="Arial" w:hAnsi="Arial"/>
        <w:snapToGrid w:val="0"/>
        <w:sz w:val="16"/>
        <w:szCs w:val="16"/>
        <w:lang w:val="en-US"/>
      </w:rPr>
    </w:pPr>
    <w:r w:rsidRPr="001E5CE3">
      <w:rPr>
        <w:rFonts w:ascii="Arial" w:hAnsi="Arial"/>
        <w:snapToGrid w:val="0"/>
        <w:sz w:val="16"/>
        <w:szCs w:val="16"/>
        <w:lang w:val="en-US"/>
      </w:rPr>
      <w:t>CCNR-ZKR/ADN/WP.15/AC.2/201</w:t>
    </w:r>
    <w:r w:rsidR="006C6E00" w:rsidRPr="001E5CE3">
      <w:rPr>
        <w:rFonts w:ascii="Arial" w:hAnsi="Arial"/>
        <w:snapToGrid w:val="0"/>
        <w:sz w:val="16"/>
        <w:szCs w:val="16"/>
        <w:lang w:val="en-US"/>
      </w:rPr>
      <w:t>8</w:t>
    </w:r>
    <w:r w:rsidRPr="001E5CE3">
      <w:rPr>
        <w:rFonts w:ascii="Arial" w:hAnsi="Arial"/>
        <w:snapToGrid w:val="0"/>
        <w:sz w:val="16"/>
        <w:szCs w:val="16"/>
        <w:lang w:val="en-US"/>
      </w:rPr>
      <w:t>/</w:t>
    </w:r>
    <w:r w:rsidR="003F3A77">
      <w:rPr>
        <w:rFonts w:ascii="Arial" w:hAnsi="Arial"/>
        <w:snapToGrid w:val="0"/>
        <w:sz w:val="16"/>
        <w:szCs w:val="16"/>
        <w:lang w:val="en-US"/>
      </w:rPr>
      <w:t>12</w:t>
    </w:r>
  </w:p>
  <w:p w:rsidR="00D4056A" w:rsidRPr="001E5CE3" w:rsidRDefault="00D4056A" w:rsidP="001E5CE3">
    <w:pPr>
      <w:widowControl/>
      <w:suppressAutoHyphens/>
      <w:overflowPunct/>
      <w:autoSpaceDE/>
      <w:autoSpaceDN/>
      <w:adjustRightInd/>
      <w:ind w:left="0" w:firstLine="0"/>
      <w:jc w:val="right"/>
      <w:textAlignment w:val="auto"/>
      <w:rPr>
        <w:rFonts w:ascii="Arial" w:hAnsi="Arial"/>
        <w:snapToGrid w:val="0"/>
        <w:sz w:val="16"/>
        <w:szCs w:val="16"/>
      </w:rPr>
    </w:pPr>
    <w:r w:rsidRPr="001E5CE3">
      <w:rPr>
        <w:rFonts w:ascii="Arial" w:hAnsi="Arial"/>
        <w:snapToGrid w:val="0"/>
        <w:sz w:val="16"/>
        <w:szCs w:val="16"/>
      </w:rPr>
      <w:t xml:space="preserve">Seite </w:t>
    </w:r>
    <w:r w:rsidRPr="001E5CE3">
      <w:rPr>
        <w:rFonts w:ascii="Arial" w:hAnsi="Arial"/>
        <w:snapToGrid w:val="0"/>
        <w:sz w:val="16"/>
        <w:szCs w:val="16"/>
      </w:rPr>
      <w:fldChar w:fldCharType="begin"/>
    </w:r>
    <w:r w:rsidRPr="001E5CE3">
      <w:rPr>
        <w:rFonts w:ascii="Arial" w:hAnsi="Arial"/>
        <w:snapToGrid w:val="0"/>
        <w:sz w:val="16"/>
        <w:szCs w:val="16"/>
      </w:rPr>
      <w:instrText xml:space="preserve"> PAGE  \* MERGEFORMAT </w:instrText>
    </w:r>
    <w:r w:rsidRPr="001E5CE3">
      <w:rPr>
        <w:rFonts w:ascii="Arial" w:hAnsi="Arial"/>
        <w:snapToGrid w:val="0"/>
        <w:sz w:val="16"/>
        <w:szCs w:val="16"/>
      </w:rPr>
      <w:fldChar w:fldCharType="separate"/>
    </w:r>
    <w:r w:rsidR="003D623E">
      <w:rPr>
        <w:rFonts w:ascii="Arial" w:hAnsi="Arial"/>
        <w:noProof/>
        <w:snapToGrid w:val="0"/>
        <w:sz w:val="16"/>
        <w:szCs w:val="16"/>
      </w:rPr>
      <w:t>13</w:t>
    </w:r>
    <w:r w:rsidRPr="001E5CE3">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D72033"/>
    <w:multiLevelType w:val="hybridMultilevel"/>
    <w:tmpl w:val="0BD079B8"/>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DE"/>
    <w:rsid w:val="000049F5"/>
    <w:rsid w:val="00006820"/>
    <w:rsid w:val="000143A3"/>
    <w:rsid w:val="00014D4F"/>
    <w:rsid w:val="00016593"/>
    <w:rsid w:val="00026176"/>
    <w:rsid w:val="0003284B"/>
    <w:rsid w:val="00034828"/>
    <w:rsid w:val="0004134B"/>
    <w:rsid w:val="00047E84"/>
    <w:rsid w:val="00052E7E"/>
    <w:rsid w:val="000563D5"/>
    <w:rsid w:val="00056B10"/>
    <w:rsid w:val="00076F9A"/>
    <w:rsid w:val="00080275"/>
    <w:rsid w:val="00080F60"/>
    <w:rsid w:val="00090A58"/>
    <w:rsid w:val="0009215A"/>
    <w:rsid w:val="00097410"/>
    <w:rsid w:val="000A1A85"/>
    <w:rsid w:val="000A324C"/>
    <w:rsid w:val="000B3573"/>
    <w:rsid w:val="000B77DB"/>
    <w:rsid w:val="000C108A"/>
    <w:rsid w:val="000C2D63"/>
    <w:rsid w:val="000C6E63"/>
    <w:rsid w:val="000C72ED"/>
    <w:rsid w:val="000C754F"/>
    <w:rsid w:val="000C795B"/>
    <w:rsid w:val="000D3D4C"/>
    <w:rsid w:val="000D4406"/>
    <w:rsid w:val="000D5D27"/>
    <w:rsid w:val="000D66AD"/>
    <w:rsid w:val="000D7FD6"/>
    <w:rsid w:val="000E4620"/>
    <w:rsid w:val="000E6786"/>
    <w:rsid w:val="000F6242"/>
    <w:rsid w:val="000F79CA"/>
    <w:rsid w:val="000F79E4"/>
    <w:rsid w:val="001013D7"/>
    <w:rsid w:val="00101A1A"/>
    <w:rsid w:val="00106FC3"/>
    <w:rsid w:val="00113A60"/>
    <w:rsid w:val="00114102"/>
    <w:rsid w:val="0011702A"/>
    <w:rsid w:val="0012236C"/>
    <w:rsid w:val="001228C5"/>
    <w:rsid w:val="00126AA9"/>
    <w:rsid w:val="00131CD7"/>
    <w:rsid w:val="00143354"/>
    <w:rsid w:val="00156782"/>
    <w:rsid w:val="00156903"/>
    <w:rsid w:val="00156ACE"/>
    <w:rsid w:val="001573DB"/>
    <w:rsid w:val="0016790C"/>
    <w:rsid w:val="001729A2"/>
    <w:rsid w:val="001739E9"/>
    <w:rsid w:val="00176072"/>
    <w:rsid w:val="0017767A"/>
    <w:rsid w:val="001878DE"/>
    <w:rsid w:val="00190390"/>
    <w:rsid w:val="001A078E"/>
    <w:rsid w:val="001A17AD"/>
    <w:rsid w:val="001A3A50"/>
    <w:rsid w:val="001B4F22"/>
    <w:rsid w:val="001B7B3E"/>
    <w:rsid w:val="001C0E5C"/>
    <w:rsid w:val="001C1D1B"/>
    <w:rsid w:val="001C2952"/>
    <w:rsid w:val="001C4ED8"/>
    <w:rsid w:val="001D0042"/>
    <w:rsid w:val="001D1B0A"/>
    <w:rsid w:val="001D3A85"/>
    <w:rsid w:val="001E4D07"/>
    <w:rsid w:val="001E5CE3"/>
    <w:rsid w:val="0020240A"/>
    <w:rsid w:val="00202E6D"/>
    <w:rsid w:val="00205465"/>
    <w:rsid w:val="002132D2"/>
    <w:rsid w:val="00223DF9"/>
    <w:rsid w:val="00235B56"/>
    <w:rsid w:val="00240203"/>
    <w:rsid w:val="002431F2"/>
    <w:rsid w:val="00250FDB"/>
    <w:rsid w:val="00255192"/>
    <w:rsid w:val="0027414F"/>
    <w:rsid w:val="00283323"/>
    <w:rsid w:val="00291CB3"/>
    <w:rsid w:val="002A337E"/>
    <w:rsid w:val="002A53A6"/>
    <w:rsid w:val="002B2DCC"/>
    <w:rsid w:val="002C0469"/>
    <w:rsid w:val="002D1BFB"/>
    <w:rsid w:val="002E3745"/>
    <w:rsid w:val="002E6A16"/>
    <w:rsid w:val="002E7227"/>
    <w:rsid w:val="002F4FC6"/>
    <w:rsid w:val="00303122"/>
    <w:rsid w:val="003033DD"/>
    <w:rsid w:val="00316D5A"/>
    <w:rsid w:val="0032045B"/>
    <w:rsid w:val="003233C8"/>
    <w:rsid w:val="00325D76"/>
    <w:rsid w:val="00326B14"/>
    <w:rsid w:val="00336976"/>
    <w:rsid w:val="00337284"/>
    <w:rsid w:val="00344C19"/>
    <w:rsid w:val="00357412"/>
    <w:rsid w:val="00361725"/>
    <w:rsid w:val="00364E68"/>
    <w:rsid w:val="003702C7"/>
    <w:rsid w:val="0038428F"/>
    <w:rsid w:val="00387545"/>
    <w:rsid w:val="003944C5"/>
    <w:rsid w:val="00397E52"/>
    <w:rsid w:val="003A2337"/>
    <w:rsid w:val="003B23DA"/>
    <w:rsid w:val="003C61C4"/>
    <w:rsid w:val="003D3605"/>
    <w:rsid w:val="003D4F73"/>
    <w:rsid w:val="003D623E"/>
    <w:rsid w:val="003E6E61"/>
    <w:rsid w:val="003F20A5"/>
    <w:rsid w:val="003F3A77"/>
    <w:rsid w:val="00400ADD"/>
    <w:rsid w:val="00401179"/>
    <w:rsid w:val="00406965"/>
    <w:rsid w:val="00410285"/>
    <w:rsid w:val="004176F9"/>
    <w:rsid w:val="00427609"/>
    <w:rsid w:val="00427804"/>
    <w:rsid w:val="00430CD0"/>
    <w:rsid w:val="00432779"/>
    <w:rsid w:val="00446085"/>
    <w:rsid w:val="00466FB5"/>
    <w:rsid w:val="00472198"/>
    <w:rsid w:val="004819A4"/>
    <w:rsid w:val="0048292C"/>
    <w:rsid w:val="004847DC"/>
    <w:rsid w:val="00492FA6"/>
    <w:rsid w:val="004A3FE7"/>
    <w:rsid w:val="004A46B8"/>
    <w:rsid w:val="004B0D93"/>
    <w:rsid w:val="004B7EA6"/>
    <w:rsid w:val="004C18DE"/>
    <w:rsid w:val="004D6911"/>
    <w:rsid w:val="004E622A"/>
    <w:rsid w:val="004F4DE3"/>
    <w:rsid w:val="004F5608"/>
    <w:rsid w:val="004F6AE1"/>
    <w:rsid w:val="0051476B"/>
    <w:rsid w:val="00524CA2"/>
    <w:rsid w:val="00534340"/>
    <w:rsid w:val="00540683"/>
    <w:rsid w:val="005533B4"/>
    <w:rsid w:val="00561447"/>
    <w:rsid w:val="0056514B"/>
    <w:rsid w:val="0056605A"/>
    <w:rsid w:val="00573D3E"/>
    <w:rsid w:val="0057786D"/>
    <w:rsid w:val="00583496"/>
    <w:rsid w:val="00585999"/>
    <w:rsid w:val="00586819"/>
    <w:rsid w:val="00591A7D"/>
    <w:rsid w:val="005921E0"/>
    <w:rsid w:val="00593E26"/>
    <w:rsid w:val="00595C5C"/>
    <w:rsid w:val="00596953"/>
    <w:rsid w:val="005A1A44"/>
    <w:rsid w:val="005B6280"/>
    <w:rsid w:val="005C558D"/>
    <w:rsid w:val="005C7246"/>
    <w:rsid w:val="005E1804"/>
    <w:rsid w:val="005E5EF7"/>
    <w:rsid w:val="005F26AD"/>
    <w:rsid w:val="005F58DF"/>
    <w:rsid w:val="0060269E"/>
    <w:rsid w:val="006047AC"/>
    <w:rsid w:val="00607B11"/>
    <w:rsid w:val="00611C20"/>
    <w:rsid w:val="006151C9"/>
    <w:rsid w:val="00620982"/>
    <w:rsid w:val="006256AF"/>
    <w:rsid w:val="00626C86"/>
    <w:rsid w:val="00630422"/>
    <w:rsid w:val="00642215"/>
    <w:rsid w:val="00643AEA"/>
    <w:rsid w:val="00651386"/>
    <w:rsid w:val="0066312D"/>
    <w:rsid w:val="00666284"/>
    <w:rsid w:val="00670028"/>
    <w:rsid w:val="0069164E"/>
    <w:rsid w:val="006924C5"/>
    <w:rsid w:val="006970A1"/>
    <w:rsid w:val="006A0959"/>
    <w:rsid w:val="006A507B"/>
    <w:rsid w:val="006A73AD"/>
    <w:rsid w:val="006A7F94"/>
    <w:rsid w:val="006B0A49"/>
    <w:rsid w:val="006B57B7"/>
    <w:rsid w:val="006B7C55"/>
    <w:rsid w:val="006C6E00"/>
    <w:rsid w:val="006E1F73"/>
    <w:rsid w:val="006F3C42"/>
    <w:rsid w:val="00702BE6"/>
    <w:rsid w:val="00706883"/>
    <w:rsid w:val="00717163"/>
    <w:rsid w:val="007225A1"/>
    <w:rsid w:val="0073241C"/>
    <w:rsid w:val="00742BD3"/>
    <w:rsid w:val="007506B6"/>
    <w:rsid w:val="00751575"/>
    <w:rsid w:val="00760FB2"/>
    <w:rsid w:val="007705CB"/>
    <w:rsid w:val="00773B7E"/>
    <w:rsid w:val="007815CA"/>
    <w:rsid w:val="0079124E"/>
    <w:rsid w:val="00792E94"/>
    <w:rsid w:val="007A0EB5"/>
    <w:rsid w:val="007A19A7"/>
    <w:rsid w:val="007A584D"/>
    <w:rsid w:val="007B5D5A"/>
    <w:rsid w:val="007C1AA7"/>
    <w:rsid w:val="007D1EF9"/>
    <w:rsid w:val="007D2FA0"/>
    <w:rsid w:val="007D6265"/>
    <w:rsid w:val="007E7F2A"/>
    <w:rsid w:val="007F388E"/>
    <w:rsid w:val="007F3C58"/>
    <w:rsid w:val="00805AEB"/>
    <w:rsid w:val="00810504"/>
    <w:rsid w:val="00810C3B"/>
    <w:rsid w:val="0081450F"/>
    <w:rsid w:val="00826787"/>
    <w:rsid w:val="00834438"/>
    <w:rsid w:val="00835551"/>
    <w:rsid w:val="00837FB8"/>
    <w:rsid w:val="00841328"/>
    <w:rsid w:val="00854209"/>
    <w:rsid w:val="0086477D"/>
    <w:rsid w:val="00876F50"/>
    <w:rsid w:val="00894221"/>
    <w:rsid w:val="00896081"/>
    <w:rsid w:val="008967B7"/>
    <w:rsid w:val="008B3106"/>
    <w:rsid w:val="008B7C4B"/>
    <w:rsid w:val="008D3CEC"/>
    <w:rsid w:val="008F48F1"/>
    <w:rsid w:val="008F4B57"/>
    <w:rsid w:val="009008E4"/>
    <w:rsid w:val="00902A5E"/>
    <w:rsid w:val="00903D48"/>
    <w:rsid w:val="0090748A"/>
    <w:rsid w:val="00912A46"/>
    <w:rsid w:val="009422FA"/>
    <w:rsid w:val="009502ED"/>
    <w:rsid w:val="00953866"/>
    <w:rsid w:val="00962E31"/>
    <w:rsid w:val="00965DC5"/>
    <w:rsid w:val="00966CE6"/>
    <w:rsid w:val="00975B09"/>
    <w:rsid w:val="009771C0"/>
    <w:rsid w:val="009777E8"/>
    <w:rsid w:val="0098158C"/>
    <w:rsid w:val="0099031A"/>
    <w:rsid w:val="00991BA0"/>
    <w:rsid w:val="009A4FC8"/>
    <w:rsid w:val="009B0421"/>
    <w:rsid w:val="009C79C4"/>
    <w:rsid w:val="009D47DD"/>
    <w:rsid w:val="009E281C"/>
    <w:rsid w:val="009E3EBD"/>
    <w:rsid w:val="009E795B"/>
    <w:rsid w:val="009F08A6"/>
    <w:rsid w:val="009F2DD9"/>
    <w:rsid w:val="00A005D6"/>
    <w:rsid w:val="00A0723D"/>
    <w:rsid w:val="00A1389E"/>
    <w:rsid w:val="00A21A7D"/>
    <w:rsid w:val="00A2645D"/>
    <w:rsid w:val="00A27409"/>
    <w:rsid w:val="00A57CE8"/>
    <w:rsid w:val="00A62126"/>
    <w:rsid w:val="00A71FAE"/>
    <w:rsid w:val="00A77993"/>
    <w:rsid w:val="00A77C4E"/>
    <w:rsid w:val="00A81D2D"/>
    <w:rsid w:val="00A94B80"/>
    <w:rsid w:val="00AB23F2"/>
    <w:rsid w:val="00AB6055"/>
    <w:rsid w:val="00AC1577"/>
    <w:rsid w:val="00AC3059"/>
    <w:rsid w:val="00AD68F2"/>
    <w:rsid w:val="00AD69C2"/>
    <w:rsid w:val="00AE50D2"/>
    <w:rsid w:val="00AE73A7"/>
    <w:rsid w:val="00AE7E9E"/>
    <w:rsid w:val="00B01778"/>
    <w:rsid w:val="00B02145"/>
    <w:rsid w:val="00B041A6"/>
    <w:rsid w:val="00B17A75"/>
    <w:rsid w:val="00B2269A"/>
    <w:rsid w:val="00B26810"/>
    <w:rsid w:val="00B30626"/>
    <w:rsid w:val="00B40836"/>
    <w:rsid w:val="00B45122"/>
    <w:rsid w:val="00B4533C"/>
    <w:rsid w:val="00B50567"/>
    <w:rsid w:val="00B56B78"/>
    <w:rsid w:val="00B71545"/>
    <w:rsid w:val="00B737F6"/>
    <w:rsid w:val="00B82655"/>
    <w:rsid w:val="00B87AB9"/>
    <w:rsid w:val="00B92BF7"/>
    <w:rsid w:val="00B9368D"/>
    <w:rsid w:val="00B940F8"/>
    <w:rsid w:val="00BA6693"/>
    <w:rsid w:val="00BC224B"/>
    <w:rsid w:val="00BD6076"/>
    <w:rsid w:val="00BD77CE"/>
    <w:rsid w:val="00BE1D30"/>
    <w:rsid w:val="00BF6A72"/>
    <w:rsid w:val="00BF7D16"/>
    <w:rsid w:val="00C01D3D"/>
    <w:rsid w:val="00C05CED"/>
    <w:rsid w:val="00C06F7F"/>
    <w:rsid w:val="00C161A1"/>
    <w:rsid w:val="00C16233"/>
    <w:rsid w:val="00C24FA8"/>
    <w:rsid w:val="00C27690"/>
    <w:rsid w:val="00C4483F"/>
    <w:rsid w:val="00C4703A"/>
    <w:rsid w:val="00C509C1"/>
    <w:rsid w:val="00C532C5"/>
    <w:rsid w:val="00C552F1"/>
    <w:rsid w:val="00C64A71"/>
    <w:rsid w:val="00C7003A"/>
    <w:rsid w:val="00C72A39"/>
    <w:rsid w:val="00C82985"/>
    <w:rsid w:val="00C90787"/>
    <w:rsid w:val="00C93A09"/>
    <w:rsid w:val="00C945EC"/>
    <w:rsid w:val="00CA2B03"/>
    <w:rsid w:val="00CA71CC"/>
    <w:rsid w:val="00CB17EE"/>
    <w:rsid w:val="00CB257D"/>
    <w:rsid w:val="00CC62F9"/>
    <w:rsid w:val="00CD7A4F"/>
    <w:rsid w:val="00CE1F32"/>
    <w:rsid w:val="00CE77BC"/>
    <w:rsid w:val="00CF2359"/>
    <w:rsid w:val="00CF3E33"/>
    <w:rsid w:val="00CF645B"/>
    <w:rsid w:val="00D03FC5"/>
    <w:rsid w:val="00D04647"/>
    <w:rsid w:val="00D064E0"/>
    <w:rsid w:val="00D12EA3"/>
    <w:rsid w:val="00D16A29"/>
    <w:rsid w:val="00D2514D"/>
    <w:rsid w:val="00D33B77"/>
    <w:rsid w:val="00D35074"/>
    <w:rsid w:val="00D4056A"/>
    <w:rsid w:val="00D52AF0"/>
    <w:rsid w:val="00D52F95"/>
    <w:rsid w:val="00D6320C"/>
    <w:rsid w:val="00D65991"/>
    <w:rsid w:val="00D7150D"/>
    <w:rsid w:val="00D80CB1"/>
    <w:rsid w:val="00D8467E"/>
    <w:rsid w:val="00D92E0F"/>
    <w:rsid w:val="00D97C9F"/>
    <w:rsid w:val="00DA041C"/>
    <w:rsid w:val="00DA1F54"/>
    <w:rsid w:val="00DA28E2"/>
    <w:rsid w:val="00DA3AF6"/>
    <w:rsid w:val="00DB57E7"/>
    <w:rsid w:val="00DC66D9"/>
    <w:rsid w:val="00DD4706"/>
    <w:rsid w:val="00DF426C"/>
    <w:rsid w:val="00E14568"/>
    <w:rsid w:val="00E22556"/>
    <w:rsid w:val="00E236E5"/>
    <w:rsid w:val="00E240AE"/>
    <w:rsid w:val="00E27B5A"/>
    <w:rsid w:val="00E30C9D"/>
    <w:rsid w:val="00E40062"/>
    <w:rsid w:val="00E45BA1"/>
    <w:rsid w:val="00E521C8"/>
    <w:rsid w:val="00E619C6"/>
    <w:rsid w:val="00E626D1"/>
    <w:rsid w:val="00E66171"/>
    <w:rsid w:val="00E7259C"/>
    <w:rsid w:val="00E82CF7"/>
    <w:rsid w:val="00E8770E"/>
    <w:rsid w:val="00E93819"/>
    <w:rsid w:val="00EA0422"/>
    <w:rsid w:val="00EA2C25"/>
    <w:rsid w:val="00EA5C18"/>
    <w:rsid w:val="00EA7A70"/>
    <w:rsid w:val="00EB4ADF"/>
    <w:rsid w:val="00EB4D3D"/>
    <w:rsid w:val="00ED49D7"/>
    <w:rsid w:val="00ED557F"/>
    <w:rsid w:val="00EE4226"/>
    <w:rsid w:val="00EE457F"/>
    <w:rsid w:val="00EE5CAB"/>
    <w:rsid w:val="00EF00ED"/>
    <w:rsid w:val="00EF44C6"/>
    <w:rsid w:val="00EF7231"/>
    <w:rsid w:val="00F07812"/>
    <w:rsid w:val="00F10D47"/>
    <w:rsid w:val="00F12E99"/>
    <w:rsid w:val="00F31FEF"/>
    <w:rsid w:val="00F330E1"/>
    <w:rsid w:val="00F41C29"/>
    <w:rsid w:val="00F42DC0"/>
    <w:rsid w:val="00F4792F"/>
    <w:rsid w:val="00F524CA"/>
    <w:rsid w:val="00F52E19"/>
    <w:rsid w:val="00F54B5E"/>
    <w:rsid w:val="00F55DD3"/>
    <w:rsid w:val="00F607DC"/>
    <w:rsid w:val="00F70B1D"/>
    <w:rsid w:val="00F70D98"/>
    <w:rsid w:val="00F736DE"/>
    <w:rsid w:val="00F74646"/>
    <w:rsid w:val="00F77074"/>
    <w:rsid w:val="00F801E0"/>
    <w:rsid w:val="00F8608C"/>
    <w:rsid w:val="00F87B83"/>
    <w:rsid w:val="00F92BF9"/>
    <w:rsid w:val="00F93402"/>
    <w:rsid w:val="00FA712F"/>
    <w:rsid w:val="00FB305A"/>
    <w:rsid w:val="00FC032F"/>
    <w:rsid w:val="00FC6D25"/>
    <w:rsid w:val="00FD17D7"/>
    <w:rsid w:val="00FD4BC8"/>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5:docId w15:val="{212E0DFD-B41A-4151-9701-BDB8C25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C18"/>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FE15-4C67-4D08-8692-96C597C3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2017-12-18T14:02:00Z</cp:lastPrinted>
  <dcterms:created xsi:type="dcterms:W3CDTF">2017-12-18T14:04:00Z</dcterms:created>
  <dcterms:modified xsi:type="dcterms:W3CDTF">2017-12-18T14:04:00Z</dcterms:modified>
</cp:coreProperties>
</file>