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73" w:rsidRDefault="00B3602D">
      <w:pPr>
        <w:spacing w:before="120"/>
        <w:rPr>
          <w:b/>
          <w:sz w:val="28"/>
          <w:szCs w:val="28"/>
        </w:rPr>
      </w:pPr>
      <w:r>
        <w:rPr>
          <w:b/>
          <w:sz w:val="28"/>
          <w:szCs w:val="28"/>
        </w:rPr>
        <w:t>Economic Commission for Europe</w:t>
      </w:r>
    </w:p>
    <w:p w:rsidR="00152473" w:rsidRDefault="00B3602D">
      <w:pPr>
        <w:spacing w:before="120"/>
        <w:rPr>
          <w:sz w:val="28"/>
          <w:szCs w:val="28"/>
        </w:rPr>
      </w:pPr>
      <w:r>
        <w:rPr>
          <w:sz w:val="28"/>
          <w:szCs w:val="28"/>
        </w:rPr>
        <w:t>Inland Transport Committee</w:t>
      </w:r>
    </w:p>
    <w:p w:rsidR="00152473" w:rsidRDefault="00B3602D">
      <w:pPr>
        <w:spacing w:before="120" w:after="120"/>
        <w:rPr>
          <w:b/>
          <w:sz w:val="24"/>
          <w:szCs w:val="24"/>
        </w:rPr>
      </w:pPr>
      <w:r>
        <w:rPr>
          <w:b/>
          <w:sz w:val="24"/>
          <w:szCs w:val="24"/>
        </w:rPr>
        <w:t>Working Party on the Transport of Dangerous Goods</w:t>
      </w:r>
    </w:p>
    <w:p w:rsidR="00152473" w:rsidRDefault="00B3602D">
      <w:pPr>
        <w:rPr>
          <w:b/>
        </w:rPr>
      </w:pPr>
      <w:r>
        <w:rPr>
          <w:b/>
        </w:rPr>
        <w:t>Joint Meeting of the RID Committee of Experts and the</w:t>
      </w:r>
    </w:p>
    <w:p w:rsidR="00152473" w:rsidRDefault="00B3602D">
      <w:pPr>
        <w:rPr>
          <w:b/>
        </w:rPr>
      </w:pPr>
      <w:r>
        <w:rPr>
          <w:b/>
        </w:rPr>
        <w:t>Working Party on the Transport of Dangerous Goods</w:t>
      </w:r>
      <w:r>
        <w:rPr>
          <w:b/>
        </w:rPr>
        <w:tab/>
      </w:r>
      <w:r>
        <w:rPr>
          <w:b/>
        </w:rPr>
        <w:tab/>
      </w:r>
      <w:r>
        <w:rPr>
          <w:b/>
        </w:rPr>
        <w:tab/>
      </w:r>
      <w:r>
        <w:rPr>
          <w:b/>
        </w:rPr>
        <w:tab/>
      </w:r>
      <w:r>
        <w:rPr>
          <w:b/>
        </w:rPr>
        <w:tab/>
      </w:r>
      <w:r w:rsidR="00BC1B31">
        <w:rPr>
          <w:b/>
        </w:rPr>
        <w:t>11</w:t>
      </w:r>
      <w:r w:rsidR="00B33B1C">
        <w:rPr>
          <w:b/>
        </w:rPr>
        <w:t xml:space="preserve"> September</w:t>
      </w:r>
      <w:r>
        <w:rPr>
          <w:b/>
        </w:rPr>
        <w:t xml:space="preserve"> 2017</w:t>
      </w:r>
    </w:p>
    <w:p w:rsidR="00152473" w:rsidRDefault="00B3602D">
      <w:r>
        <w:t>Geneva, 19–29 September 2017</w:t>
      </w:r>
    </w:p>
    <w:p w:rsidR="00152473" w:rsidRDefault="00B3602D">
      <w:r>
        <w:t xml:space="preserve">Item </w:t>
      </w:r>
      <w:proofErr w:type="gramStart"/>
      <w:r w:rsidR="00BC1B31">
        <w:t>4</w:t>
      </w:r>
      <w:proofErr w:type="gramEnd"/>
      <w:r>
        <w:t xml:space="preserve"> of the provisional agenda</w:t>
      </w:r>
    </w:p>
    <w:p w:rsidR="00BC1B31" w:rsidRPr="0004670F" w:rsidRDefault="00BC1B31" w:rsidP="00BC1B31">
      <w:pPr>
        <w:pStyle w:val="SingleTxtG"/>
        <w:spacing w:after="0" w:line="216" w:lineRule="auto"/>
        <w:ind w:left="0"/>
        <w:jc w:val="left"/>
        <w:rPr>
          <w:b/>
        </w:rPr>
      </w:pPr>
      <w:r w:rsidRPr="0004670F">
        <w:rPr>
          <w:b/>
        </w:rPr>
        <w:t xml:space="preserve">Harmonization with the United Nations </w:t>
      </w:r>
    </w:p>
    <w:p w:rsidR="00152473" w:rsidRPr="00E610C2" w:rsidRDefault="00BC1B31" w:rsidP="00BC1B31">
      <w:pPr>
        <w:rPr>
          <w:b/>
        </w:rPr>
      </w:pPr>
      <w:r w:rsidRPr="0004670F">
        <w:rPr>
          <w:b/>
        </w:rPr>
        <w:t>Recommendations on t</w:t>
      </w:r>
      <w:r>
        <w:rPr>
          <w:b/>
        </w:rPr>
        <w:t>he Transport of Dangerous Goods</w:t>
      </w:r>
    </w:p>
    <w:p w:rsidR="001E44B6" w:rsidRDefault="00B3602D" w:rsidP="001E44B6">
      <w:pPr>
        <w:pStyle w:val="HChG"/>
        <w:rPr>
          <w:sz w:val="32"/>
        </w:rPr>
      </w:pPr>
      <w:r>
        <w:tab/>
      </w:r>
      <w:r>
        <w:tab/>
      </w:r>
      <w:r w:rsidR="00BC1B31" w:rsidRPr="005622C0">
        <w:rPr>
          <w:sz w:val="32"/>
        </w:rPr>
        <w:t>Amendment of provision 2.2.51.2.2 for fertilizers</w:t>
      </w:r>
    </w:p>
    <w:p w:rsidR="0008054D" w:rsidRPr="0008054D" w:rsidRDefault="0008054D" w:rsidP="0008054D">
      <w:pPr>
        <w:pStyle w:val="H1G"/>
      </w:pPr>
      <w:r>
        <w:tab/>
      </w:r>
      <w:r>
        <w:tab/>
      </w:r>
      <w:r w:rsidR="00123082" w:rsidRPr="005622C0">
        <w:t xml:space="preserve">Transmitted by </w:t>
      </w:r>
      <w:r w:rsidR="00123082">
        <w:t>Fertilizers Europe</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75"/>
      </w:tblGrid>
      <w:tr w:rsidR="00BC1B31" w:rsidRPr="008137C6" w:rsidTr="00BC1B31">
        <w:trPr>
          <w:jc w:val="center"/>
        </w:trPr>
        <w:tc>
          <w:tcPr>
            <w:tcW w:w="9075" w:type="dxa"/>
            <w:shd w:val="clear" w:color="auto" w:fill="auto"/>
          </w:tcPr>
          <w:p w:rsidR="00BC1B31" w:rsidRPr="008137C6" w:rsidRDefault="00BC1B31" w:rsidP="00B05A43">
            <w:pPr>
              <w:spacing w:before="240" w:after="120"/>
              <w:ind w:left="255"/>
              <w:rPr>
                <w:i/>
                <w:sz w:val="24"/>
              </w:rPr>
            </w:pPr>
            <w:r w:rsidRPr="008137C6">
              <w:rPr>
                <w:i/>
                <w:sz w:val="24"/>
              </w:rPr>
              <w:t>Summary</w:t>
            </w:r>
          </w:p>
        </w:tc>
      </w:tr>
      <w:tr w:rsidR="00BC1B31" w:rsidRPr="008137C6" w:rsidTr="00BC1B31">
        <w:trPr>
          <w:jc w:val="center"/>
        </w:trPr>
        <w:tc>
          <w:tcPr>
            <w:tcW w:w="9075" w:type="dxa"/>
            <w:shd w:val="clear" w:color="auto" w:fill="auto"/>
          </w:tcPr>
          <w:p w:rsidR="00BC1B31" w:rsidRPr="008137C6" w:rsidRDefault="00BC1B31" w:rsidP="00B05A43">
            <w:pPr>
              <w:tabs>
                <w:tab w:val="left" w:pos="3260"/>
              </w:tabs>
              <w:spacing w:after="120"/>
              <w:ind w:left="3260" w:right="1134" w:hanging="2126"/>
              <w:jc w:val="both"/>
            </w:pPr>
            <w:r w:rsidRPr="008137C6">
              <w:rPr>
                <w:b/>
              </w:rPr>
              <w:t>Executive summary:</w:t>
            </w:r>
            <w:r w:rsidRPr="008137C6">
              <w:tab/>
            </w:r>
            <w:r>
              <w:t>Add further provisions to the a</w:t>
            </w:r>
            <w:r w:rsidRPr="005622C0">
              <w:t>mend</w:t>
            </w:r>
            <w:r>
              <w:t>ments proposed by Sweden concerning</w:t>
            </w:r>
            <w:r w:rsidRPr="005622C0">
              <w:t xml:space="preserve"> provision 2.2.51.2.2, thirteenth indent, to align with the </w:t>
            </w:r>
            <w:r>
              <w:t xml:space="preserve">United Nations </w:t>
            </w:r>
            <w:r w:rsidRPr="005622C0">
              <w:t>Model Regulations while keeping the current level of safety.</w:t>
            </w:r>
          </w:p>
        </w:tc>
      </w:tr>
      <w:tr w:rsidR="00BC1B31" w:rsidRPr="008137C6" w:rsidTr="00BC1B31">
        <w:trPr>
          <w:jc w:val="center"/>
        </w:trPr>
        <w:tc>
          <w:tcPr>
            <w:tcW w:w="9075" w:type="dxa"/>
            <w:shd w:val="clear" w:color="auto" w:fill="auto"/>
          </w:tcPr>
          <w:p w:rsidR="00BC1B31" w:rsidRPr="008137C6" w:rsidRDefault="00BC1B31" w:rsidP="00B05A43">
            <w:pPr>
              <w:tabs>
                <w:tab w:val="left" w:pos="3260"/>
              </w:tabs>
              <w:spacing w:after="120"/>
              <w:ind w:left="3260" w:right="1134" w:hanging="2126"/>
              <w:jc w:val="both"/>
              <w:rPr>
                <w:b/>
              </w:rPr>
            </w:pPr>
            <w:r w:rsidRPr="0098588F">
              <w:rPr>
                <w:b/>
              </w:rPr>
              <w:t>Related documents:</w:t>
            </w:r>
            <w:r w:rsidRPr="008137C6">
              <w:rPr>
                <w:b/>
                <w:sz w:val="18"/>
                <w:szCs w:val="18"/>
              </w:rPr>
              <w:tab/>
            </w:r>
            <w:r w:rsidRPr="00172BB2">
              <w:rPr>
                <w:sz w:val="18"/>
                <w:szCs w:val="18"/>
              </w:rPr>
              <w:t>ECE/TRANS/WP.15/AC.1/2017/</w:t>
            </w:r>
            <w:r>
              <w:rPr>
                <w:sz w:val="18"/>
                <w:szCs w:val="18"/>
              </w:rPr>
              <w:t xml:space="preserve">35, </w:t>
            </w:r>
            <w:r w:rsidRPr="003713DB">
              <w:rPr>
                <w:sz w:val="18"/>
                <w:szCs w:val="18"/>
              </w:rPr>
              <w:t>INF.12</w:t>
            </w:r>
            <w:r>
              <w:rPr>
                <w:sz w:val="18"/>
                <w:szCs w:val="18"/>
              </w:rPr>
              <w:t xml:space="preserve"> and </w:t>
            </w:r>
            <w:r w:rsidRPr="005622C0">
              <w:t>ECE/T</w:t>
            </w:r>
            <w:r>
              <w:t>RANS/WP.15/AC.1/2017/26/Add.1, r</w:t>
            </w:r>
            <w:r w:rsidRPr="005622C0">
              <w:t>eport of the Ad Hoc Working Group on the Harmonization of RID/ADR/ADN with the United Nations Recommendations on the Transport of Dangerous Goods.</w:t>
            </w:r>
          </w:p>
        </w:tc>
      </w:tr>
      <w:tr w:rsidR="00BC1B31" w:rsidRPr="008137C6" w:rsidTr="00BC1B31">
        <w:trPr>
          <w:trHeight w:val="63"/>
          <w:jc w:val="center"/>
        </w:trPr>
        <w:tc>
          <w:tcPr>
            <w:tcW w:w="9075" w:type="dxa"/>
            <w:shd w:val="clear" w:color="auto" w:fill="auto"/>
          </w:tcPr>
          <w:p w:rsidR="00BC1B31" w:rsidRPr="008137C6" w:rsidRDefault="00BC1B31" w:rsidP="00B05A43"/>
        </w:tc>
      </w:tr>
      <w:tr w:rsidR="00BC1B31" w:rsidRPr="008137C6" w:rsidTr="00BC1B31">
        <w:trPr>
          <w:trHeight w:val="63"/>
          <w:jc w:val="center"/>
        </w:trPr>
        <w:tc>
          <w:tcPr>
            <w:tcW w:w="9075" w:type="dxa"/>
            <w:shd w:val="clear" w:color="auto" w:fill="auto"/>
          </w:tcPr>
          <w:p w:rsidR="00BC1B31" w:rsidRPr="008137C6" w:rsidRDefault="00BC1B31" w:rsidP="00B05A43"/>
        </w:tc>
      </w:tr>
      <w:tr w:rsidR="00BC1B31" w:rsidRPr="008137C6" w:rsidTr="00BC1B31">
        <w:trPr>
          <w:trHeight w:val="63"/>
          <w:jc w:val="center"/>
        </w:trPr>
        <w:tc>
          <w:tcPr>
            <w:tcW w:w="9075" w:type="dxa"/>
            <w:shd w:val="clear" w:color="auto" w:fill="auto"/>
          </w:tcPr>
          <w:p w:rsidR="00BC1B31" w:rsidRPr="008137C6" w:rsidRDefault="00BC1B31" w:rsidP="00B05A43"/>
        </w:tc>
      </w:tr>
    </w:tbl>
    <w:p w:rsidR="00BC1B31" w:rsidRDefault="00E610C2" w:rsidP="00BC1B31">
      <w:pPr>
        <w:pStyle w:val="HChG"/>
        <w:keepNext w:val="0"/>
        <w:keepLines w:val="0"/>
      </w:pPr>
      <w:r>
        <w:tab/>
      </w:r>
      <w:r>
        <w:tab/>
      </w:r>
      <w:r w:rsidR="00BC1B31" w:rsidRPr="005622C0">
        <w:t>Background</w:t>
      </w:r>
    </w:p>
    <w:p w:rsidR="00BC1B31" w:rsidRPr="00AF7C58" w:rsidRDefault="00BC1B31" w:rsidP="00BC1B31">
      <w:pPr>
        <w:pStyle w:val="SingleTxtG"/>
        <w:rPr>
          <w:rStyle w:val="SingleTxtGChar"/>
        </w:rPr>
      </w:pPr>
      <w:r w:rsidRPr="005622C0">
        <w:t>1</w:t>
      </w:r>
      <w:r w:rsidRPr="00AF7C58">
        <w:rPr>
          <w:rStyle w:val="SingleTxtGChar"/>
        </w:rPr>
        <w:t>.</w:t>
      </w:r>
      <w:r w:rsidRPr="00AF7C58">
        <w:rPr>
          <w:rStyle w:val="SingleTxtGChar"/>
        </w:rPr>
        <w:tab/>
      </w:r>
      <w:r>
        <w:rPr>
          <w:rStyle w:val="SingleTxtGChar"/>
        </w:rPr>
        <w:t>The twentieth</w:t>
      </w:r>
      <w:r w:rsidRPr="00AF7C58">
        <w:rPr>
          <w:rStyle w:val="SingleTxtGChar"/>
        </w:rPr>
        <w:t xml:space="preserve"> edition of the </w:t>
      </w:r>
      <w:r>
        <w:rPr>
          <w:rStyle w:val="SingleTxtGChar"/>
        </w:rPr>
        <w:t xml:space="preserve">United Nations Recommendations on the Transport of Dangerous Goods, </w:t>
      </w:r>
      <w:r w:rsidRPr="00AF7C58">
        <w:rPr>
          <w:rStyle w:val="SingleTxtGChar"/>
        </w:rPr>
        <w:t xml:space="preserve">Model Regulations </w:t>
      </w:r>
      <w:r>
        <w:rPr>
          <w:rStyle w:val="SingleTxtGChar"/>
        </w:rPr>
        <w:t>contains</w:t>
      </w:r>
      <w:r w:rsidRPr="00AF7C58">
        <w:rPr>
          <w:rStyle w:val="SingleTxtGChar"/>
        </w:rPr>
        <w:t xml:space="preserve"> major changes to the provisions relating to ammonium nitrate (AN) based fertilizers. </w:t>
      </w:r>
      <w:r>
        <w:rPr>
          <w:rStyle w:val="SingleTxtGChar"/>
        </w:rPr>
        <w:t>T</w:t>
      </w:r>
      <w:r w:rsidRPr="00AF7C58">
        <w:rPr>
          <w:rStyle w:val="SingleTxtGChar"/>
        </w:rPr>
        <w:t>he</w:t>
      </w:r>
      <w:r>
        <w:rPr>
          <w:rStyle w:val="SingleTxtGChar"/>
        </w:rPr>
        <w:t>se</w:t>
      </w:r>
      <w:r w:rsidRPr="00AF7C58">
        <w:rPr>
          <w:rStyle w:val="SingleTxtGChar"/>
        </w:rPr>
        <w:t xml:space="preserve"> changes </w:t>
      </w:r>
      <w:r>
        <w:rPr>
          <w:rStyle w:val="SingleTxtGChar"/>
        </w:rPr>
        <w:t xml:space="preserve">mainly </w:t>
      </w:r>
      <w:r w:rsidRPr="00AF7C58">
        <w:rPr>
          <w:rStyle w:val="SingleTxtGChar"/>
        </w:rPr>
        <w:t>comprise a move of the current composition requirements for classification of AN-based fertilizers as UN number 2067 or 2071 from Special Provision</w:t>
      </w:r>
      <w:r>
        <w:rPr>
          <w:rStyle w:val="SingleTxtGChar"/>
        </w:rPr>
        <w:t>s</w:t>
      </w:r>
      <w:r w:rsidRPr="00AF7C58">
        <w:rPr>
          <w:rStyle w:val="SingleTxtGChar"/>
        </w:rPr>
        <w:t xml:space="preserve"> (SP) 307 and 193 to a flowchart in a new Section 39 of the </w:t>
      </w:r>
      <w:r>
        <w:rPr>
          <w:rStyle w:val="SingleTxtGChar"/>
        </w:rPr>
        <w:t xml:space="preserve">UN </w:t>
      </w:r>
      <w:r w:rsidRPr="00AF7C58">
        <w:rPr>
          <w:rStyle w:val="SingleTxtGChar"/>
        </w:rPr>
        <w:t>Manual</w:t>
      </w:r>
      <w:r>
        <w:rPr>
          <w:rStyle w:val="SingleTxtGChar"/>
        </w:rPr>
        <w:t xml:space="preserve"> of Tests and Criteria</w:t>
      </w:r>
      <w:r w:rsidRPr="00AF7C58">
        <w:rPr>
          <w:rStyle w:val="SingleTxtGChar"/>
        </w:rPr>
        <w:t xml:space="preserve">. </w:t>
      </w:r>
      <w:r>
        <w:rPr>
          <w:rStyle w:val="SingleTxtGChar"/>
        </w:rPr>
        <w:t xml:space="preserve">As the expert from Sweden has commented in </w:t>
      </w:r>
      <w:r w:rsidRPr="00BA40FF">
        <w:rPr>
          <w:rStyle w:val="SingleTxtGChar"/>
        </w:rPr>
        <w:t>his</w:t>
      </w:r>
      <w:r>
        <w:rPr>
          <w:rStyle w:val="SingleTxtGChar"/>
        </w:rPr>
        <w:t xml:space="preserve"> paper, </w:t>
      </w:r>
      <w:r w:rsidRPr="00AF7C58">
        <w:rPr>
          <w:rStyle w:val="SingleTxtGChar"/>
        </w:rPr>
        <w:t>the majority of these changes are rather straightforward to incorporate into the RID/ADR/</w:t>
      </w:r>
      <w:r w:rsidRPr="00BA40FF">
        <w:rPr>
          <w:rStyle w:val="SingleTxtGChar"/>
        </w:rPr>
        <w:t>ADN</w:t>
      </w:r>
      <w:r>
        <w:rPr>
          <w:rStyle w:val="SingleTxtGChar"/>
        </w:rPr>
        <w:t xml:space="preserve"> transport modes; however, </w:t>
      </w:r>
      <w:r w:rsidRPr="00AF7C58">
        <w:rPr>
          <w:rStyle w:val="SingleTxtGChar"/>
        </w:rPr>
        <w:t>one important consequential amendment deserves special attention.</w:t>
      </w:r>
    </w:p>
    <w:p w:rsidR="00BC1B31" w:rsidRDefault="00BC1B31" w:rsidP="00BC1B31">
      <w:pPr>
        <w:pStyle w:val="SingleTxtG"/>
      </w:pPr>
      <w:r w:rsidRPr="005622C0">
        <w:t>2.</w:t>
      </w:r>
      <w:r w:rsidRPr="005622C0">
        <w:tab/>
        <w:t>Provision 2.2.51.2.2 of the RID/ADR/ADN</w:t>
      </w:r>
      <w:r w:rsidRPr="005622C0" w:rsidDel="00093C79">
        <w:t xml:space="preserve"> </w:t>
      </w:r>
      <w:r w:rsidRPr="005622C0">
        <w:t>lists substances that are not accepted for carriage in Class 5.1</w:t>
      </w:r>
      <w:r>
        <w:t xml:space="preserve"> and its</w:t>
      </w:r>
      <w:r w:rsidRPr="005622C0">
        <w:t xml:space="preserve"> thirteenth indent specifie</w:t>
      </w:r>
      <w:r>
        <w:t>s</w:t>
      </w:r>
      <w:r w:rsidRPr="005622C0">
        <w:t xml:space="preserve"> that certain fertilizers </w:t>
      </w:r>
      <w:proofErr w:type="gramStart"/>
      <w:r w:rsidRPr="005622C0">
        <w:t>are</w:t>
      </w:r>
      <w:proofErr w:type="gramEnd"/>
      <w:r w:rsidRPr="005622C0">
        <w:t xml:space="preserve"> not accepted for carriage in this class, except under certain conditions.</w:t>
      </w:r>
      <w:r w:rsidRPr="00E926A6">
        <w:t xml:space="preserve"> </w:t>
      </w:r>
      <w:r>
        <w:t xml:space="preserve">With the changes made to SP 307 in the 20th edition of the United Nations Recommendations, the ”values” referred to in provision 2.2.51.2.2 no longer exist. They </w:t>
      </w:r>
      <w:proofErr w:type="gramStart"/>
      <w:r>
        <w:t>are instead found</w:t>
      </w:r>
      <w:proofErr w:type="gramEnd"/>
      <w:r>
        <w:t xml:space="preserve"> in various boxes in the new </w:t>
      </w:r>
      <w:r>
        <w:lastRenderedPageBreak/>
        <w:t>flowchart in Section 39 of the Manual of Tests and Criteria, to which SP 307 of the Model Regulations now refers as follows:</w:t>
      </w:r>
    </w:p>
    <w:p w:rsidR="00BC1B31" w:rsidRPr="005622C0" w:rsidRDefault="00BC1B31" w:rsidP="00BC1B31">
      <w:pPr>
        <w:pStyle w:val="SingleTxtG"/>
        <w:rPr>
          <w:i/>
        </w:rPr>
      </w:pPr>
      <w:r w:rsidRPr="005622C0">
        <w:rPr>
          <w:i/>
        </w:rPr>
        <w:t xml:space="preserve">”This entry </w:t>
      </w:r>
      <w:proofErr w:type="gramStart"/>
      <w:r w:rsidRPr="005622C0">
        <w:rPr>
          <w:i/>
        </w:rPr>
        <w:t>may only be used</w:t>
      </w:r>
      <w:proofErr w:type="gramEnd"/>
      <w:r w:rsidRPr="005622C0">
        <w:rPr>
          <w:i/>
        </w:rPr>
        <w:t xml:space="preserve"> for ammonium nitrate based fertilizers. They shall be classified in accordance with the procedure as set out in the Manual of Tests and Criteria, Part III, Section 39.”</w:t>
      </w:r>
    </w:p>
    <w:p w:rsidR="00BC1B31" w:rsidRDefault="00BC1B31" w:rsidP="00BC1B31">
      <w:pPr>
        <w:pStyle w:val="SingleTxtG"/>
      </w:pPr>
      <w:r>
        <w:t>3.</w:t>
      </w:r>
      <w:r>
        <w:tab/>
        <w:t xml:space="preserve">Sweden has proposed a solution to this issue in </w:t>
      </w:r>
      <w:r w:rsidRPr="0070682B">
        <w:t>ECE/TRANS/WP.15/AC.1/2017/35</w:t>
      </w:r>
      <w:r>
        <w:t xml:space="preserve"> and </w:t>
      </w:r>
      <w:r w:rsidRPr="003713DB">
        <w:t>INF</w:t>
      </w:r>
      <w:r>
        <w:t xml:space="preserve"> 12.  Fertilizers Europe is much appreciative of Sweden’s initiative and efforts in this regard.</w:t>
      </w:r>
    </w:p>
    <w:p w:rsidR="00BC1B31" w:rsidRPr="005622C0" w:rsidRDefault="00BC1B31" w:rsidP="00BC1B31">
      <w:pPr>
        <w:pStyle w:val="HChG"/>
      </w:pPr>
      <w:r>
        <w:tab/>
      </w:r>
      <w:r>
        <w:tab/>
      </w:r>
      <w:r w:rsidRPr="005622C0">
        <w:t>Problem</w:t>
      </w:r>
    </w:p>
    <w:p w:rsidR="00BC1B31" w:rsidRDefault="00BC1B31" w:rsidP="00BC1B31">
      <w:pPr>
        <w:pStyle w:val="SingleTxtG"/>
      </w:pPr>
      <w:r w:rsidRPr="005622C0">
        <w:t>4.</w:t>
      </w:r>
      <w:r w:rsidRPr="005622C0">
        <w:tab/>
      </w:r>
      <w:r>
        <w:t xml:space="preserve">Fertilizers Europe has identified </w:t>
      </w:r>
      <w:r w:rsidRPr="00BA40FF">
        <w:t>an area</w:t>
      </w:r>
      <w:r>
        <w:t xml:space="preserve"> of concern based on the industry’s practical experience. </w:t>
      </w:r>
    </w:p>
    <w:p w:rsidR="00BC1B31" w:rsidRDefault="00BC1B31" w:rsidP="00BC1B31">
      <w:pPr>
        <w:pStyle w:val="SingleTxtG"/>
      </w:pPr>
      <w:r>
        <w:t>5.</w:t>
      </w:r>
      <w:r>
        <w:tab/>
        <w:t xml:space="preserve">The concern is with regard to the likely effects of </w:t>
      </w:r>
      <w:r w:rsidRPr="00BA40FF">
        <w:t>unplanned incidents or transport accidents</w:t>
      </w:r>
      <w:r>
        <w:t xml:space="preserve">. Millions of tonnes of these fertilizers </w:t>
      </w:r>
      <w:proofErr w:type="gramStart"/>
      <w:r>
        <w:t>are transported</w:t>
      </w:r>
      <w:proofErr w:type="gramEnd"/>
      <w:r>
        <w:t xml:space="preserve"> by road annually and on rare occasions </w:t>
      </w:r>
      <w:r w:rsidRPr="00BA40FF">
        <w:t>incidents</w:t>
      </w:r>
      <w:r>
        <w:t xml:space="preserve"> happen, some of which result in contamination of a portion of the load. If the contaminant is spilled oil or some other organic, the current provision will require the load to be </w:t>
      </w:r>
      <w:proofErr w:type="gramStart"/>
      <w:r>
        <w:t>treated</w:t>
      </w:r>
      <w:proofErr w:type="gramEnd"/>
      <w:r>
        <w:t xml:space="preserve"> as an explosive and </w:t>
      </w:r>
      <w:r w:rsidRPr="00BA40FF">
        <w:t>transported</w:t>
      </w:r>
      <w:r>
        <w:t xml:space="preserve"> under Class 1 provisions.  The industry is of the opinion that in such circumstances it would be prudent to </w:t>
      </w:r>
      <w:proofErr w:type="gramStart"/>
      <w:r>
        <w:t>make an assessment of</w:t>
      </w:r>
      <w:proofErr w:type="gramEnd"/>
      <w:r>
        <w:t xml:space="preserve"> the situation involving the competent authority and have the flexibility to transport it under its original class e.g. 5.1 with appropriate controls. To achieve this Fertilizers Europe wishes </w:t>
      </w:r>
      <w:r w:rsidRPr="00BA40FF">
        <w:t>to suggest incorporation of additional text as shown in italics below:</w:t>
      </w:r>
      <w:r>
        <w:t xml:space="preserve">  </w:t>
      </w:r>
    </w:p>
    <w:p w:rsidR="00BC1B31" w:rsidRPr="00B945D3" w:rsidRDefault="00BC1B31" w:rsidP="00BC1B31">
      <w:pPr>
        <w:suppressAutoHyphens w:val="0"/>
        <w:spacing w:before="100" w:beforeAutospacing="1" w:after="200" w:line="276" w:lineRule="auto"/>
        <w:ind w:left="1134" w:right="1134"/>
        <w:jc w:val="both"/>
        <w:rPr>
          <w:rFonts w:eastAsia="Calibri"/>
          <w:i/>
          <w:lang w:eastAsia="en-GB"/>
        </w:rPr>
      </w:pPr>
      <w:r>
        <w:rPr>
          <w:rFonts w:eastAsia="Calibri"/>
          <w:lang w:eastAsia="en-GB"/>
        </w:rPr>
        <w:tab/>
      </w:r>
      <w:r>
        <w:rPr>
          <w:rFonts w:eastAsia="Calibri"/>
          <w:lang w:eastAsia="en-GB"/>
        </w:rPr>
        <w:tab/>
        <w:t>-</w:t>
      </w:r>
      <w:r>
        <w:rPr>
          <w:rFonts w:eastAsia="Calibri"/>
          <w:lang w:eastAsia="en-GB"/>
        </w:rPr>
        <w:tab/>
      </w:r>
      <w:r w:rsidRPr="007A05F4">
        <w:rPr>
          <w:rFonts w:eastAsia="Calibri"/>
          <w:lang w:eastAsia="en-GB"/>
        </w:rPr>
        <w:t xml:space="preserve">ammonium nitrate based fertilizers with compositions that lead to exit boxes 4, 6, 8, 15, 31, or 33 of the flowchart of paragraph 39.5.1 of the Manual of Tests and Criteria, Part III, Section 39, unless they have been assigned a suitable UN number in Class 1.  </w:t>
      </w:r>
      <w:r w:rsidRPr="00B945D3">
        <w:rPr>
          <w:rFonts w:eastAsia="Calibri"/>
          <w:i/>
          <w:lang w:eastAsia="en-GB"/>
        </w:rPr>
        <w:t xml:space="preserve">As an exception, in situations where due to </w:t>
      </w:r>
      <w:r w:rsidRPr="00BA40FF">
        <w:rPr>
          <w:rFonts w:eastAsia="Calibri"/>
          <w:i/>
          <w:lang w:eastAsia="en-GB"/>
        </w:rPr>
        <w:t>an incident</w:t>
      </w:r>
      <w:r w:rsidRPr="00B945D3">
        <w:rPr>
          <w:rFonts w:eastAsia="Calibri"/>
          <w:i/>
          <w:lang w:eastAsia="en-GB"/>
        </w:rPr>
        <w:t xml:space="preserve"> product gets contaminated resulting in the </w:t>
      </w:r>
      <w:proofErr w:type="gramStart"/>
      <w:r w:rsidRPr="00B945D3">
        <w:rPr>
          <w:rFonts w:eastAsia="Calibri"/>
          <w:i/>
          <w:lang w:eastAsia="en-GB"/>
        </w:rPr>
        <w:t>above mentioned</w:t>
      </w:r>
      <w:proofErr w:type="gramEnd"/>
      <w:r w:rsidRPr="00B945D3">
        <w:rPr>
          <w:rFonts w:eastAsia="Calibri"/>
          <w:i/>
          <w:lang w:eastAsia="en-GB"/>
        </w:rPr>
        <w:t xml:space="preserve"> compositions, the contaminated fertilizer can be assigned a suitable UN number in Class 5, Division 5.1, provided that the suitability for transport is demonstrated and this is approved by the competent authority. </w:t>
      </w:r>
    </w:p>
    <w:p w:rsidR="00BC1B31" w:rsidRPr="005622C0" w:rsidRDefault="00BC1B31" w:rsidP="00BC1B31">
      <w:pPr>
        <w:pStyle w:val="HChG"/>
      </w:pPr>
      <w:r>
        <w:tab/>
      </w:r>
      <w:r>
        <w:tab/>
      </w:r>
      <w:r w:rsidRPr="005622C0">
        <w:t>Concluding remark</w:t>
      </w:r>
    </w:p>
    <w:p w:rsidR="006E2338" w:rsidRDefault="00BC1B31" w:rsidP="00BC1B31">
      <w:pPr>
        <w:pStyle w:val="SingleTxtG"/>
      </w:pPr>
      <w:r>
        <w:t>6</w:t>
      </w:r>
      <w:r w:rsidRPr="005622C0">
        <w:t>.</w:t>
      </w:r>
      <w:r w:rsidRPr="005622C0">
        <w:tab/>
      </w:r>
      <w:r>
        <w:t>Remediating t</w:t>
      </w:r>
      <w:r w:rsidRPr="005622C0">
        <w:t>h</w:t>
      </w:r>
      <w:r>
        <w:t>e</w:t>
      </w:r>
      <w:r w:rsidRPr="005622C0">
        <w:t xml:space="preserve"> deviation </w:t>
      </w:r>
      <w:r>
        <w:t xml:space="preserve">that exists between </w:t>
      </w:r>
      <w:r w:rsidRPr="005622C0">
        <w:t xml:space="preserve">the </w:t>
      </w:r>
      <w:r>
        <w:rPr>
          <w:rStyle w:val="SingleTxtGChar"/>
        </w:rPr>
        <w:t>twentieth</w:t>
      </w:r>
      <w:r w:rsidRPr="00AF7C58">
        <w:rPr>
          <w:rStyle w:val="SingleTxtGChar"/>
        </w:rPr>
        <w:t xml:space="preserve"> </w:t>
      </w:r>
      <w:r w:rsidRPr="005622C0">
        <w:t xml:space="preserve">edition of the Model Regulations </w:t>
      </w:r>
      <w:r>
        <w:t xml:space="preserve">and </w:t>
      </w:r>
      <w:r w:rsidRPr="005622C0">
        <w:t>the RID/ADR/ADN 2017</w:t>
      </w:r>
      <w:r>
        <w:t xml:space="preserve"> </w:t>
      </w:r>
      <w:r w:rsidRPr="005622C0">
        <w:t xml:space="preserve">in not allowing certain fertilizer compositions to </w:t>
      </w:r>
      <w:proofErr w:type="gramStart"/>
      <w:r w:rsidRPr="005622C0">
        <w:t>be carried</w:t>
      </w:r>
      <w:proofErr w:type="gramEnd"/>
      <w:r w:rsidRPr="005622C0">
        <w:t xml:space="preserve"> in Class 5.1</w:t>
      </w:r>
      <w:r>
        <w:t xml:space="preserve"> should take into consideration the industry’s on-going practices and concerns as described in this paper, when undertaking the next revision.</w:t>
      </w:r>
    </w:p>
    <w:p w:rsidR="00BC1B31" w:rsidRPr="00BC1B31" w:rsidRDefault="00BC1B31" w:rsidP="00BC1B31">
      <w:pPr>
        <w:pStyle w:val="SingleTxtG"/>
        <w:spacing w:before="240" w:after="0"/>
        <w:jc w:val="center"/>
        <w:rPr>
          <w:u w:val="single"/>
          <w:lang w:val="en-US"/>
        </w:rPr>
      </w:pPr>
      <w:r>
        <w:rPr>
          <w:u w:val="single"/>
        </w:rPr>
        <w:tab/>
      </w:r>
      <w:r>
        <w:rPr>
          <w:u w:val="single"/>
        </w:rPr>
        <w:tab/>
      </w:r>
      <w:r>
        <w:rPr>
          <w:u w:val="single"/>
        </w:rPr>
        <w:tab/>
      </w:r>
    </w:p>
    <w:p w:rsidR="00BC1B31" w:rsidRPr="00BC1B31" w:rsidRDefault="00BC1B31" w:rsidP="00BC1B31">
      <w:pPr>
        <w:rPr>
          <w:lang w:val="en-US"/>
        </w:rPr>
      </w:pPr>
    </w:p>
    <w:sectPr w:rsidR="00BC1B31" w:rsidRPr="00BC1B31" w:rsidSect="00E023B1">
      <w:headerReference w:type="even" r:id="rId8"/>
      <w:headerReference w:type="default" r:id="rId9"/>
      <w:footerReference w:type="even" r:id="rId10"/>
      <w:footerReference w:type="default" r:id="rId11"/>
      <w:headerReference w:type="first" r:id="rId12"/>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16" w:rsidRDefault="00B3602D">
      <w:pPr>
        <w:spacing w:line="240" w:lineRule="auto"/>
      </w:pPr>
      <w:r>
        <w:separator/>
      </w:r>
    </w:p>
  </w:endnote>
  <w:endnote w:type="continuationSeparator" w:id="0">
    <w:p w:rsidR="00677416" w:rsidRDefault="00B36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3226947"/>
      <w:docPartObj>
        <w:docPartGallery w:val="Page Numbers (Bottom of Page)"/>
        <w:docPartUnique/>
      </w:docPartObj>
    </w:sdtPr>
    <w:sdtEndPr>
      <w:rPr>
        <w:noProof/>
      </w:rPr>
    </w:sdtEndPr>
    <w:sdtContent>
      <w:p w:rsidR="00E023B1" w:rsidRPr="00E023B1" w:rsidRDefault="00E023B1">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08054D">
          <w:rPr>
            <w:b/>
            <w:noProof/>
            <w:sz w:val="18"/>
            <w:szCs w:val="18"/>
          </w:rPr>
          <w:t>2</w:t>
        </w:r>
        <w:r w:rsidRPr="00BE3581">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64359956"/>
      <w:docPartObj>
        <w:docPartGallery w:val="Page Numbers (Bottom of Page)"/>
        <w:docPartUnique/>
      </w:docPartObj>
    </w:sdtPr>
    <w:sdtEndPr>
      <w:rPr>
        <w:noProof/>
      </w:rPr>
    </w:sdtEndPr>
    <w:sdtContent>
      <w:p w:rsidR="00E023B1" w:rsidRPr="00E023B1" w:rsidRDefault="00E023B1">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BC1B31">
          <w:rPr>
            <w:b/>
            <w:noProof/>
            <w:sz w:val="18"/>
            <w:szCs w:val="18"/>
          </w:rPr>
          <w:t>3</w:t>
        </w:r>
        <w:r w:rsidRPr="00E023B1">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73" w:rsidRDefault="00B3602D">
      <w:r>
        <w:separator/>
      </w:r>
    </w:p>
  </w:footnote>
  <w:footnote w:type="continuationSeparator" w:id="0">
    <w:p w:rsidR="00152473" w:rsidRDefault="00B3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BC1B31" w:rsidP="00E023B1">
    <w:pPr>
      <w:pStyle w:val="Header"/>
      <w:pBdr>
        <w:bottom w:val="single" w:sz="4" w:space="1" w:color="auto"/>
      </w:pBdr>
      <w:rPr>
        <w:b/>
        <w:sz w:val="18"/>
        <w:szCs w:val="18"/>
      </w:rPr>
    </w:pPr>
    <w:r>
      <w:rPr>
        <w:b/>
        <w:sz w:val="18"/>
        <w:szCs w:val="18"/>
      </w:rPr>
      <w:t>INF.22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1E44B6" w:rsidP="00E023B1">
    <w:pPr>
      <w:pStyle w:val="Header"/>
      <w:pBdr>
        <w:bottom w:val="single" w:sz="4" w:space="1" w:color="auto"/>
      </w:pBdr>
      <w:jc w:val="right"/>
      <w:rPr>
        <w:sz w:val="18"/>
        <w:szCs w:val="18"/>
      </w:rPr>
    </w:pPr>
    <w:r>
      <w:rPr>
        <w:b/>
        <w:sz w:val="18"/>
        <w:szCs w:val="18"/>
      </w:rPr>
      <w:t>INF.1</w:t>
    </w:r>
    <w:r w:rsidR="006E2338">
      <w:rPr>
        <w:b/>
        <w:sz w:val="18"/>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E023B1" w:rsidP="00E023B1">
    <w:pPr>
      <w:pStyle w:val="Header"/>
      <w:pBdr>
        <w:bottom w:val="single" w:sz="4" w:space="1" w:color="auto"/>
      </w:pBdr>
      <w:jc w:val="right"/>
      <w:rPr>
        <w:b/>
        <w:sz w:val="28"/>
        <w:szCs w:val="28"/>
      </w:rPr>
    </w:pPr>
    <w:r w:rsidRPr="00E023B1">
      <w:rPr>
        <w:b/>
        <w:sz w:val="28"/>
        <w:szCs w:val="28"/>
      </w:rPr>
      <w:t>INF.</w:t>
    </w:r>
    <w:r w:rsidR="00BC1B31">
      <w:rPr>
        <w:b/>
        <w:sz w:val="28"/>
        <w:szCs w:val="28"/>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57CF"/>
    <w:multiLevelType w:val="hybridMultilevel"/>
    <w:tmpl w:val="7DD4B26C"/>
    <w:lvl w:ilvl="0" w:tplc="8EAA985C">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 w15:restartNumberingAfterBreak="0">
    <w:nsid w:val="4BEA235A"/>
    <w:multiLevelType w:val="hybridMultilevel"/>
    <w:tmpl w:val="6D2A6824"/>
    <w:lvl w:ilvl="0" w:tplc="C50AA696">
      <w:start w:val="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4E2F2F7D"/>
    <w:multiLevelType w:val="hybridMultilevel"/>
    <w:tmpl w:val="846CA6F2"/>
    <w:lvl w:ilvl="0" w:tplc="42621E80">
      <w:start w:val="1"/>
      <w:numFmt w:val="decimal"/>
      <w:lvlText w:val="%1."/>
      <w:lvlJc w:val="left"/>
      <w:pPr>
        <w:ind w:left="1853" w:hanging="576"/>
      </w:pPr>
      <w:rPr>
        <w:rFonts w:hint="default"/>
      </w:rPr>
    </w:lvl>
    <w:lvl w:ilvl="1" w:tplc="100C0019" w:tentative="1">
      <w:start w:val="1"/>
      <w:numFmt w:val="lowerLetter"/>
      <w:lvlText w:val="%2."/>
      <w:lvlJc w:val="left"/>
      <w:pPr>
        <w:ind w:left="2357" w:hanging="360"/>
      </w:pPr>
    </w:lvl>
    <w:lvl w:ilvl="2" w:tplc="100C001B" w:tentative="1">
      <w:start w:val="1"/>
      <w:numFmt w:val="lowerRoman"/>
      <w:lvlText w:val="%3."/>
      <w:lvlJc w:val="right"/>
      <w:pPr>
        <w:ind w:left="3077" w:hanging="180"/>
      </w:pPr>
    </w:lvl>
    <w:lvl w:ilvl="3" w:tplc="100C000F" w:tentative="1">
      <w:start w:val="1"/>
      <w:numFmt w:val="decimal"/>
      <w:lvlText w:val="%4."/>
      <w:lvlJc w:val="left"/>
      <w:pPr>
        <w:ind w:left="3797" w:hanging="360"/>
      </w:pPr>
    </w:lvl>
    <w:lvl w:ilvl="4" w:tplc="100C0019" w:tentative="1">
      <w:start w:val="1"/>
      <w:numFmt w:val="lowerLetter"/>
      <w:lvlText w:val="%5."/>
      <w:lvlJc w:val="left"/>
      <w:pPr>
        <w:ind w:left="4517" w:hanging="360"/>
      </w:pPr>
    </w:lvl>
    <w:lvl w:ilvl="5" w:tplc="100C001B" w:tentative="1">
      <w:start w:val="1"/>
      <w:numFmt w:val="lowerRoman"/>
      <w:lvlText w:val="%6."/>
      <w:lvlJc w:val="right"/>
      <w:pPr>
        <w:ind w:left="5237" w:hanging="180"/>
      </w:pPr>
    </w:lvl>
    <w:lvl w:ilvl="6" w:tplc="100C000F" w:tentative="1">
      <w:start w:val="1"/>
      <w:numFmt w:val="decimal"/>
      <w:lvlText w:val="%7."/>
      <w:lvlJc w:val="left"/>
      <w:pPr>
        <w:ind w:left="5957" w:hanging="360"/>
      </w:pPr>
    </w:lvl>
    <w:lvl w:ilvl="7" w:tplc="100C0019" w:tentative="1">
      <w:start w:val="1"/>
      <w:numFmt w:val="lowerLetter"/>
      <w:lvlText w:val="%8."/>
      <w:lvlJc w:val="left"/>
      <w:pPr>
        <w:ind w:left="6677" w:hanging="360"/>
      </w:pPr>
    </w:lvl>
    <w:lvl w:ilvl="8" w:tplc="100C001B" w:tentative="1">
      <w:start w:val="1"/>
      <w:numFmt w:val="lowerRoman"/>
      <w:lvlText w:val="%9."/>
      <w:lvlJc w:val="right"/>
      <w:pPr>
        <w:ind w:left="7397" w:hanging="180"/>
      </w:pPr>
    </w:lvl>
  </w:abstractNum>
  <w:abstractNum w:abstractNumId="3"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08054D"/>
    <w:rsid w:val="00121296"/>
    <w:rsid w:val="00123082"/>
    <w:rsid w:val="00152473"/>
    <w:rsid w:val="001E44B6"/>
    <w:rsid w:val="00361661"/>
    <w:rsid w:val="004C4BF9"/>
    <w:rsid w:val="00582C34"/>
    <w:rsid w:val="005A249B"/>
    <w:rsid w:val="00677416"/>
    <w:rsid w:val="006E2338"/>
    <w:rsid w:val="007701AF"/>
    <w:rsid w:val="007C735B"/>
    <w:rsid w:val="007D7C22"/>
    <w:rsid w:val="00877F4B"/>
    <w:rsid w:val="008A49FA"/>
    <w:rsid w:val="008B1779"/>
    <w:rsid w:val="008C640D"/>
    <w:rsid w:val="0092028E"/>
    <w:rsid w:val="009E188F"/>
    <w:rsid w:val="009F0BA5"/>
    <w:rsid w:val="00A0681F"/>
    <w:rsid w:val="00B33B1C"/>
    <w:rsid w:val="00B3602D"/>
    <w:rsid w:val="00BC1B31"/>
    <w:rsid w:val="00BE3581"/>
    <w:rsid w:val="00D924DC"/>
    <w:rsid w:val="00DC1883"/>
    <w:rsid w:val="00E023B1"/>
    <w:rsid w:val="00E610C2"/>
    <w:rsid w:val="00F255C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ED9859"/>
  <w15:docId w15:val="{C04DCD38-F5C8-4F02-95C9-A2743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qFormat/>
    <w:rsid w:val="00ED7A2A"/>
    <w:pPr>
      <w:widowControl w:val="0"/>
      <w:outlineLvl w:val="0"/>
    </w:pPr>
  </w:style>
  <w:style w:type="paragraph" w:customStyle="1" w:styleId="Titre2">
    <w:name w:val="Titre 2"/>
    <w:basedOn w:val="Normal"/>
    <w:next w:val="Normal"/>
    <w:qFormat/>
    <w:pPr>
      <w:spacing w:line="240" w:lineRule="auto"/>
      <w:outlineLvl w:val="1"/>
    </w:pPr>
  </w:style>
  <w:style w:type="paragraph" w:customStyle="1" w:styleId="Titre3">
    <w:name w:val="Titre 3"/>
    <w:basedOn w:val="Normal"/>
    <w:next w:val="Normal"/>
    <w:qFormat/>
    <w:pPr>
      <w:spacing w:line="240" w:lineRule="auto"/>
      <w:outlineLvl w:val="2"/>
    </w:pPr>
  </w:style>
  <w:style w:type="paragraph" w:customStyle="1" w:styleId="Titre4">
    <w:name w:val="Titre 4"/>
    <w:basedOn w:val="Normal"/>
    <w:next w:val="Normal"/>
    <w:qFormat/>
    <w:pPr>
      <w:spacing w:line="240" w:lineRule="auto"/>
      <w:outlineLvl w:val="3"/>
    </w:pPr>
  </w:style>
  <w:style w:type="paragraph" w:customStyle="1" w:styleId="Titre5">
    <w:name w:val="Titre 5"/>
    <w:basedOn w:val="Normal"/>
    <w:next w:val="Normal"/>
    <w:qFormat/>
    <w:pPr>
      <w:spacing w:line="240" w:lineRule="auto"/>
      <w:outlineLvl w:val="4"/>
    </w:pPr>
  </w:style>
  <w:style w:type="paragraph" w:customStyle="1" w:styleId="Titre6">
    <w:name w:val="Titre 6"/>
    <w:basedOn w:val="Normal"/>
    <w:next w:val="Normal"/>
    <w:qFormat/>
    <w:pPr>
      <w:spacing w:line="240" w:lineRule="auto"/>
      <w:outlineLvl w:val="5"/>
    </w:pPr>
  </w:style>
  <w:style w:type="paragraph" w:customStyle="1" w:styleId="Titre7">
    <w:name w:val="Titre 7"/>
    <w:basedOn w:val="Normal"/>
    <w:next w:val="Normal"/>
    <w:qFormat/>
    <w:pPr>
      <w:spacing w:line="240" w:lineRule="auto"/>
      <w:outlineLvl w:val="6"/>
    </w:pPr>
  </w:style>
  <w:style w:type="paragraph" w:customStyle="1" w:styleId="Titre8">
    <w:name w:val="Titre 8"/>
    <w:basedOn w:val="Normal"/>
    <w:next w:val="Normal"/>
    <w:qFormat/>
    <w:pPr>
      <w:spacing w:line="240" w:lineRule="auto"/>
      <w:outlineLvl w:val="7"/>
    </w:pPr>
  </w:style>
  <w:style w:type="paragraph" w:customStyle="1" w:styleId="Titre9">
    <w:name w:val="Titre 9"/>
    <w:basedOn w:val="Normal"/>
    <w:next w:val="Normal"/>
    <w:qFormat/>
    <w:pPr>
      <w:spacing w:line="240" w:lineRule="auto"/>
      <w:outlineLvl w:val="8"/>
    </w:pPr>
  </w:style>
  <w:style w:type="character" w:styleId="PageNumber">
    <w:name w:val="page number"/>
    <w:qFormat/>
    <w:rsid w:val="008979B1"/>
    <w:rPr>
      <w:rFonts w:ascii="Times New Roman" w:hAnsi="Times New Roman"/>
      <w:b/>
      <w:sz w:val="18"/>
    </w:rPr>
  </w:style>
  <w:style w:type="character" w:styleId="EndnoteReference">
    <w:name w:val="endnote reference"/>
    <w:qFormat/>
    <w:rsid w:val="007B6BA5"/>
    <w:rPr>
      <w:rFonts w:ascii="Times New Roman" w:hAnsi="Times New Roman"/>
      <w:sz w:val="18"/>
      <w:vertAlign w:val="superscript"/>
    </w:rPr>
  </w:style>
  <w:style w:type="character" w:styleId="FootnoteReference">
    <w:name w:val="footnote reference"/>
    <w:uiPriority w:val="99"/>
    <w:qFormat/>
    <w:rsid w:val="007B6BA5"/>
    <w:rPr>
      <w:rFonts w:ascii="Times New Roman" w:hAnsi="Times New Roman"/>
      <w:sz w:val="18"/>
      <w:vertAlign w:val="superscript"/>
    </w:rPr>
  </w:style>
  <w:style w:type="character" w:styleId="CommentReference">
    <w:name w:val="annotation reference"/>
    <w:semiHidden/>
    <w:qFormat/>
    <w:rPr>
      <w:sz w:val="6"/>
    </w:rPr>
  </w:style>
  <w:style w:type="character" w:styleId="LineNumber">
    <w:name w:val="line number"/>
    <w:semiHidden/>
    <w:qFormat/>
    <w:rPr>
      <w:sz w:val="14"/>
    </w:rPr>
  </w:style>
  <w:style w:type="character" w:customStyle="1" w:styleId="Accentuation">
    <w:name w:val="Accentuation"/>
    <w:qFormat/>
    <w:rsid w:val="008A6C4F"/>
    <w:rPr>
      <w:i/>
      <w:iCs/>
    </w:rPr>
  </w:style>
  <w:style w:type="character" w:styleId="FollowedHyperlink">
    <w:name w:val="FollowedHyperlink"/>
    <w:semiHidden/>
    <w:qFormat/>
    <w:rsid w:val="008A6C4F"/>
    <w:rPr>
      <w:color w:val="800080"/>
      <w:u w:val="singl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semiHidden/>
    <w:rsid w:val="008A6C4F"/>
    <w:rPr>
      <w:color w:val="0000FF"/>
      <w:u w:val="single"/>
    </w:rPr>
  </w:style>
  <w:style w:type="character" w:styleId="Strong">
    <w:name w:val="Strong"/>
    <w:qFormat/>
    <w:rsid w:val="008A6C4F"/>
    <w:rPr>
      <w:b/>
      <w:bCs/>
    </w:rPr>
  </w:style>
  <w:style w:type="character" w:customStyle="1" w:styleId="H1GChar">
    <w:name w:val="_ H_1_G Char"/>
    <w:link w:val="H1G"/>
    <w:qFormat/>
    <w:rsid w:val="001F7435"/>
    <w:rPr>
      <w:b/>
      <w:sz w:val="24"/>
      <w:lang w:val="en-GB" w:eastAsia="en-US" w:bidi="ar-SA"/>
    </w:rPr>
  </w:style>
  <w:style w:type="character" w:customStyle="1" w:styleId="BalloonTextChar">
    <w:name w:val="Balloon Text Char"/>
    <w:link w:val="BalloonText"/>
    <w:qForma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HeaderChar">
    <w:name w:val="Header Char"/>
    <w:link w:val="En-tte"/>
    <w:uiPriority w:val="99"/>
    <w:qFormat/>
    <w:rsid w:val="0022321E"/>
    <w:rPr>
      <w:b/>
      <w:sz w:val="18"/>
      <w:lang w:eastAsia="en-US"/>
    </w:rPr>
  </w:style>
  <w:style w:type="character" w:customStyle="1" w:styleId="FootnoteTextChar">
    <w:name w:val="Footnote Text Char"/>
    <w:link w:val="FootnoteText"/>
    <w:uiPriority w:val="99"/>
    <w:qFormat/>
    <w:rsid w:val="00A12E50"/>
    <w:rPr>
      <w:sz w:val="18"/>
      <w:lang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b w:val="0"/>
      <w:i w:val="0"/>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i w:val="0"/>
      <w:sz w:val="20"/>
      <w:szCs w:val="20"/>
    </w:rPr>
  </w:style>
  <w:style w:type="character" w:customStyle="1" w:styleId="ListLabel20">
    <w:name w:val="ListLabel 20"/>
    <w:qFormat/>
    <w:rPr>
      <w:b w:val="0"/>
      <w:i w:val="0"/>
      <w:sz w:val="24"/>
      <w:szCs w:val="24"/>
    </w:rPr>
  </w:style>
  <w:style w:type="character" w:customStyle="1" w:styleId="ListLabel21">
    <w:name w:val="ListLabel 21"/>
    <w:qFormat/>
    <w:rPr>
      <w:b w:val="0"/>
      <w:i w:val="0"/>
      <w:sz w:val="24"/>
      <w:szCs w:val="24"/>
    </w:rPr>
  </w:style>
  <w:style w:type="character" w:customStyle="1" w:styleId="ListLabel22">
    <w:name w:val="ListLabel 22"/>
    <w:qFormat/>
    <w:rPr>
      <w:rFonts w:cs="Times New Roman"/>
      <w:b w:val="0"/>
      <w:i w:val="0"/>
      <w:sz w:val="20"/>
    </w:rPr>
  </w:style>
  <w:style w:type="character" w:customStyle="1" w:styleId="ListLabel23">
    <w:name w:val="ListLabel 23"/>
    <w:qFormat/>
    <w:rPr>
      <w:rFonts w:cs="Times New Roman"/>
      <w:b w:val="0"/>
      <w:i w:val="0"/>
      <w:sz w:val="20"/>
    </w:rPr>
  </w:style>
  <w:style w:type="character" w:customStyle="1" w:styleId="ListLabel24">
    <w:name w:val="ListLabel 24"/>
    <w:qFormat/>
    <w:rPr>
      <w:rFonts w:cs="Times New Roman"/>
      <w:b w:val="0"/>
      <w:i w:val="0"/>
      <w:sz w:val="20"/>
    </w:rPr>
  </w:style>
  <w:style w:type="character" w:customStyle="1" w:styleId="ListLabel25">
    <w:name w:val="ListLabel 25"/>
    <w:qFormat/>
    <w:rPr>
      <w:rFonts w:cs="Times New Roman"/>
      <w:b w:val="0"/>
      <w:i w:val="0"/>
      <w:sz w:val="20"/>
    </w:rPr>
  </w:style>
  <w:style w:type="character" w:customStyle="1" w:styleId="ListLabel26">
    <w:name w:val="ListLabel 26"/>
    <w:qFormat/>
    <w:rPr>
      <w:rFonts w:cs="Times New Roman"/>
      <w:b w:val="0"/>
      <w:i w:val="0"/>
      <w:sz w:val="20"/>
    </w:rPr>
  </w:style>
  <w:style w:type="character" w:customStyle="1" w:styleId="ListLabel27">
    <w:name w:val="ListLabel 27"/>
    <w:qFormat/>
    <w:rPr>
      <w:rFonts w:cs="Times New Roman"/>
      <w:b w:val="0"/>
      <w:i w:val="0"/>
      <w:sz w:val="20"/>
    </w:rPr>
  </w:style>
  <w:style w:type="character" w:customStyle="1" w:styleId="ListLabel28">
    <w:name w:val="ListLabel 28"/>
    <w:qFormat/>
    <w:rPr>
      <w:rFonts w:cs="Times New Roman"/>
      <w:b w:val="0"/>
      <w:i w:val="0"/>
      <w:sz w:val="20"/>
    </w:rPr>
  </w:style>
  <w:style w:type="character" w:customStyle="1" w:styleId="ListLabel29">
    <w:name w:val="ListLabel 29"/>
    <w:qFormat/>
    <w:rPr>
      <w:rFonts w:cs="Times New Roman"/>
      <w:b w:val="0"/>
      <w:i w:val="0"/>
      <w:sz w:val="20"/>
    </w:rPr>
  </w:style>
  <w:style w:type="character" w:customStyle="1" w:styleId="ListLabel30">
    <w:name w:val="ListLabel 30"/>
    <w:qFormat/>
    <w:rPr>
      <w:rFonts w:cs="Times New Roman"/>
      <w:b w:val="0"/>
      <w:i w:val="0"/>
      <w:sz w:val="20"/>
    </w:rPr>
  </w:style>
  <w:style w:type="character" w:customStyle="1" w:styleId="ListLabel31">
    <w:name w:val="ListLabel 31"/>
    <w:qFormat/>
    <w:rPr>
      <w:rFonts w:cs="Times New Roman"/>
      <w:b w:val="0"/>
      <w:i w:val="0"/>
      <w:sz w:val="20"/>
    </w:rPr>
  </w:style>
  <w:style w:type="character" w:customStyle="1" w:styleId="ListLabel32">
    <w:name w:val="ListLabel 32"/>
    <w:qFormat/>
    <w:rPr>
      <w:rFonts w:cs="Times New Roman"/>
      <w:b w:val="0"/>
      <w:i w:val="0"/>
      <w:sz w:val="20"/>
    </w:rPr>
  </w:style>
  <w:style w:type="character" w:customStyle="1" w:styleId="ListLabel33">
    <w:name w:val="ListLabel 33"/>
    <w:qFormat/>
    <w:rPr>
      <w:rFonts w:cs="Times New Roman"/>
      <w:b w:val="0"/>
      <w:i w:val="0"/>
      <w:sz w:val="20"/>
    </w:rPr>
  </w:style>
  <w:style w:type="character" w:customStyle="1" w:styleId="ListLabel34">
    <w:name w:val="ListLabel 34"/>
    <w:qFormat/>
    <w:rPr>
      <w:rFonts w:cs="Times New Roman"/>
      <w:b w:val="0"/>
      <w:i w:val="0"/>
      <w:sz w:val="20"/>
    </w:rPr>
  </w:style>
  <w:style w:type="character" w:customStyle="1" w:styleId="ListLabel35">
    <w:name w:val="ListLabel 35"/>
    <w:qFormat/>
    <w:rPr>
      <w:rFonts w:cs="Times New Roman"/>
      <w:b w:val="0"/>
      <w:i w:val="0"/>
      <w:sz w:val="20"/>
    </w:rPr>
  </w:style>
  <w:style w:type="character" w:customStyle="1" w:styleId="ListLabel36">
    <w:name w:val="ListLabel 36"/>
    <w:qFormat/>
    <w:rPr>
      <w:rFonts w:cs="Times New Roman"/>
      <w:b w:val="0"/>
      <w:i w:val="0"/>
      <w:sz w:val="20"/>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sz w:val="16"/>
      <w:szCs w:val="16"/>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Caractresdenotedefin">
    <w:name w:val="Caractères de note de fin"/>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semiHidden/>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qFormat/>
    <w:pPr>
      <w:widowControl w:val="0"/>
    </w:p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semiHidden/>
    <w:qFormat/>
    <w:rPr>
      <w:rFonts w:cs="Courier New"/>
    </w:rPr>
  </w:style>
  <w:style w:type="paragraph" w:customStyle="1" w:styleId="Retraitdecorpsdetexte">
    <w:name w:val="Retrait de corps de texte"/>
    <w:basedOn w:val="Normal"/>
    <w:semiHidden/>
    <w:pPr>
      <w:spacing w:after="120"/>
      <w:ind w:left="283"/>
    </w:pPr>
  </w:style>
  <w:style w:type="paragraph" w:styleId="BlockText">
    <w:name w:val="Block Text"/>
    <w:basedOn w:val="Normal"/>
    <w:semiHidden/>
    <w:qFormat/>
    <w:pPr>
      <w:ind w:left="1440" w:right="1440"/>
    </w:p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FootnoteText">
    <w:name w:val="footnote text"/>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spacing w:after="120"/>
      <w:ind w:right="1134"/>
      <w:jc w:val="both"/>
    </w:pPr>
  </w:style>
  <w:style w:type="paragraph" w:styleId="EndnoteText">
    <w:name w:val="endnote text"/>
    <w:basedOn w:val="FootnoteText"/>
    <w:qFormat/>
    <w:rsid w:val="007B6BA5"/>
  </w:style>
  <w:style w:type="paragraph" w:styleId="CommentText">
    <w:name w:val="annotation text"/>
    <w:basedOn w:val="Normal"/>
    <w:semiHidden/>
    <w:qFormat/>
  </w:style>
  <w:style w:type="paragraph" w:customStyle="1" w:styleId="Bullet2G">
    <w:name w:val="_Bullet 2_G"/>
    <w:basedOn w:val="Normal"/>
    <w:qFormat/>
    <w:rsid w:val="003C2CC4"/>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Indent">
    <w:name w:val="Body Text Indent"/>
    <w:basedOn w:val="Corpsdetexte"/>
    <w:semiHidden/>
    <w:qFormat/>
    <w:rsid w:val="008A6C4F"/>
    <w:pPr>
      <w:spacing w:after="120"/>
      <w:ind w:firstLine="210"/>
    </w:pPr>
  </w:style>
  <w:style w:type="paragraph" w:styleId="BodyTextFirstIndent2">
    <w:name w:val="Body Text First Indent 2"/>
    <w:basedOn w:val="Retraitdecorpsdetexte"/>
    <w:semiHidden/>
    <w:qFormat/>
    <w:rsid w:val="008A6C4F"/>
    <w:pPr>
      <w:ind w:firstLine="210"/>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semiHidden/>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rsid w:val="008878DE"/>
    <w:pPr>
      <w:spacing w:line="240" w:lineRule="auto"/>
    </w:pPr>
    <w:rPr>
      <w:sz w:val="16"/>
    </w:rPr>
  </w:style>
  <w:style w:type="paragraph" w:customStyle="1" w:styleId="En-tte">
    <w:name w:val="En-tête"/>
    <w:basedOn w:val="Normal"/>
    <w:link w:val="HeaderChar"/>
    <w:uiPriority w:val="99"/>
    <w:rsid w:val="00050F6B"/>
    <w:pPr>
      <w:pBdr>
        <w:bottom w:val="single" w:sz="4" w:space="4" w:color="00000A"/>
      </w:pBdr>
      <w:spacing w:line="240" w:lineRule="auto"/>
    </w:pPr>
    <w:rPr>
      <w:b/>
      <w:sz w:val="18"/>
    </w:rPr>
  </w:style>
  <w:style w:type="paragraph" w:styleId="BalloonText">
    <w:name w:val="Balloon Text"/>
    <w:basedOn w:val="Normal"/>
    <w:link w:val="BalloonTextChar"/>
    <w:qFormat/>
    <w:rsid w:val="00D550D4"/>
    <w:pPr>
      <w:spacing w:line="240" w:lineRule="auto"/>
    </w:pPr>
    <w:rPr>
      <w:rFonts w:ascii="Tahoma" w:hAnsi="Tahoma" w:cs="Tahoma"/>
      <w:sz w:val="16"/>
      <w:szCs w:val="16"/>
    </w:rPr>
  </w:style>
  <w:style w:type="paragraph" w:customStyle="1" w:styleId="Tabletitle">
    <w:name w:val="Table title"/>
    <w:basedOn w:val="Normal"/>
    <w:next w:val="Normal"/>
    <w:qFormat/>
    <w:rsid w:val="0022321E"/>
    <w:pPr>
      <w:keepNext/>
      <w:spacing w:before="120" w:after="120" w:line="230" w:lineRule="exact"/>
      <w:jc w:val="center"/>
    </w:pPr>
    <w:rPr>
      <w:rFonts w:ascii="Arial" w:eastAsia="MS Mincho" w:hAnsi="Arial"/>
      <w:b/>
      <w:lang w:eastAsia="fr-FR"/>
    </w:rPr>
  </w:style>
  <w:style w:type="paragraph" w:styleId="ListParagraph">
    <w:name w:val="List Paragraph"/>
    <w:basedOn w:val="Normal"/>
    <w:qFormat/>
    <w:rsid w:val="00236A96"/>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qFormat/>
    <w:rsid w:val="00016E63"/>
    <w:rPr>
      <w:color w:val="000000"/>
      <w:sz w:val="24"/>
      <w:szCs w:val="24"/>
    </w:rPr>
  </w:style>
  <w:style w:type="paragraph" w:customStyle="1" w:styleId="Notedebasdepage">
    <w:name w:val="Note de bas de page"/>
    <w:basedOn w:val="Normal"/>
  </w:style>
  <w:style w:type="paragraph" w:customStyle="1" w:styleId="Contenudecadre">
    <w:name w:val="Contenu de cadre"/>
    <w:basedOn w:val="Normal"/>
    <w:qFormat/>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1"/>
    <w:uiPriority w:val="99"/>
    <w:unhideWhenUsed/>
    <w:rsid w:val="008B1779"/>
    <w:pPr>
      <w:tabs>
        <w:tab w:val="center" w:pos="4680"/>
        <w:tab w:val="right" w:pos="9360"/>
      </w:tabs>
      <w:spacing w:line="240" w:lineRule="auto"/>
    </w:pPr>
  </w:style>
  <w:style w:type="character" w:customStyle="1" w:styleId="HeaderChar1">
    <w:name w:val="Header Char1"/>
    <w:basedOn w:val="DefaultParagraphFont"/>
    <w:link w:val="Header"/>
    <w:uiPriority w:val="99"/>
    <w:rsid w:val="008B1779"/>
    <w:rPr>
      <w:lang w:eastAsia="en-US"/>
    </w:rPr>
  </w:style>
  <w:style w:type="paragraph" w:styleId="Footer">
    <w:name w:val="footer"/>
    <w:basedOn w:val="Normal"/>
    <w:link w:val="FooterChar"/>
    <w:uiPriority w:val="99"/>
    <w:unhideWhenUsed/>
    <w:rsid w:val="008B1779"/>
    <w:pPr>
      <w:tabs>
        <w:tab w:val="center" w:pos="4680"/>
        <w:tab w:val="right" w:pos="9360"/>
      </w:tabs>
      <w:spacing w:line="240" w:lineRule="auto"/>
    </w:pPr>
  </w:style>
  <w:style w:type="character" w:customStyle="1" w:styleId="FooterChar">
    <w:name w:val="Footer Char"/>
    <w:basedOn w:val="DefaultParagraphFont"/>
    <w:link w:val="Footer"/>
    <w:uiPriority w:val="99"/>
    <w:rsid w:val="008B1779"/>
    <w:rPr>
      <w:lang w:eastAsia="en-US"/>
    </w:rPr>
  </w:style>
  <w:style w:type="paragraph" w:styleId="NoSpacing">
    <w:name w:val="No Spacing"/>
    <w:uiPriority w:val="1"/>
    <w:qFormat/>
    <w:rsid w:val="00E610C2"/>
    <w:rPr>
      <w:rFonts w:asciiTheme="minorHAnsi" w:eastAsiaTheme="minorEastAsia" w:hAnsiTheme="minorHAnsi" w:cstheme="minorBidi"/>
      <w:sz w:val="22"/>
      <w:szCs w:val="22"/>
      <w:lang w:val="fr-FR" w:eastAsia="fr-FR"/>
    </w:rPr>
  </w:style>
  <w:style w:type="character" w:styleId="Hyperlink">
    <w:name w:val="Hyperlink"/>
    <w:uiPriority w:val="99"/>
    <w:semiHidden/>
    <w:rsid w:val="001E44B6"/>
    <w:rPr>
      <w:rFonts w:cs="Times New Roman"/>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B0D3-75B0-4874-9093-70852B8B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2017-09-06T08:07:00Z</cp:lastPrinted>
  <dcterms:created xsi:type="dcterms:W3CDTF">2017-09-11T07:57:00Z</dcterms:created>
  <dcterms:modified xsi:type="dcterms:W3CDTF">2017-09-11T09:45:00Z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