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8A69CD">
            <w:pPr>
              <w:suppressAutoHyphens w:val="0"/>
              <w:spacing w:after="20"/>
              <w:jc w:val="right"/>
            </w:pPr>
            <w:r w:rsidRPr="00B11BB4">
              <w:rPr>
                <w:sz w:val="40"/>
              </w:rPr>
              <w:t>ECE</w:t>
            </w:r>
            <w:r>
              <w:t>/TRANS/WP.15/AC.1/201</w:t>
            </w:r>
            <w:r w:rsidR="000509A7">
              <w:t>7</w:t>
            </w:r>
            <w:r>
              <w:t>/</w:t>
            </w:r>
            <w:r w:rsidR="008A69CD">
              <w:t>9</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912AA4" w:rsidP="00B11BB4">
            <w:pPr>
              <w:suppressAutoHyphens w:val="0"/>
            </w:pPr>
            <w:r>
              <w:t>21</w:t>
            </w:r>
            <w:r w:rsidR="00B42658">
              <w:t xml:space="preserve"> </w:t>
            </w:r>
            <w:r w:rsidR="005A575C">
              <w:t>December</w:t>
            </w:r>
            <w:r w:rsidR="001B13A5">
              <w:t xml:space="preserve"> 201</w:t>
            </w:r>
            <w:r w:rsidR="000509A7">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B175D8" w:rsidRDefault="00B175D8" w:rsidP="00B175D8">
      <w:r>
        <w:t xml:space="preserve">Item </w:t>
      </w:r>
      <w:r w:rsidR="001E33C9">
        <w:t>5 (a)</w:t>
      </w:r>
      <w:r>
        <w:t xml:space="preserve"> of the provisional agenda</w:t>
      </w:r>
    </w:p>
    <w:p w:rsidR="00BB7CD1" w:rsidRDefault="001E33C9" w:rsidP="00B175D8">
      <w:pPr>
        <w:rPr>
          <w:b/>
        </w:rPr>
      </w:pPr>
      <w:r w:rsidRPr="001E33C9">
        <w:rPr>
          <w:b/>
        </w:rPr>
        <w:t>Proposals for amendments to RID/ADR/</w:t>
      </w:r>
      <w:r>
        <w:rPr>
          <w:b/>
        </w:rPr>
        <w:t>ADN:</w:t>
      </w:r>
    </w:p>
    <w:p w:rsidR="001E33C9" w:rsidRPr="001E33C9" w:rsidRDefault="001E33C9" w:rsidP="00B175D8">
      <w:pPr>
        <w:rPr>
          <w:b/>
        </w:rPr>
      </w:pPr>
      <w:proofErr w:type="gramStart"/>
      <w:r>
        <w:rPr>
          <w:b/>
        </w:rPr>
        <w:t>pending</w:t>
      </w:r>
      <w:proofErr w:type="gramEnd"/>
      <w:r>
        <w:rPr>
          <w:b/>
        </w:rPr>
        <w:t xml:space="preserve"> issues</w:t>
      </w:r>
    </w:p>
    <w:p w:rsidR="00094DA7" w:rsidRPr="008860EE" w:rsidRDefault="009B1518" w:rsidP="00115296">
      <w:pPr>
        <w:pStyle w:val="HChG"/>
      </w:pPr>
      <w:r>
        <w:tab/>
      </w:r>
      <w:r>
        <w:tab/>
      </w:r>
      <w:r w:rsidR="00094DA7">
        <w:t xml:space="preserve">FEAD </w:t>
      </w:r>
      <w:r w:rsidR="001E33C9">
        <w:t>R</w:t>
      </w:r>
      <w:r w:rsidR="00094DA7">
        <w:t xml:space="preserve">ecommendations on </w:t>
      </w:r>
      <w:r w:rsidR="001E33C9">
        <w:t xml:space="preserve">transport of low pressure TL </w:t>
      </w:r>
      <w:r w:rsidR="00094DA7">
        <w:t>lamps under ADR regime</w:t>
      </w:r>
    </w:p>
    <w:p w:rsidR="00801CA5" w:rsidRDefault="00801CA5" w:rsidP="00801CA5">
      <w:pPr>
        <w:pStyle w:val="H1G"/>
        <w:rPr>
          <w:b w:val="0"/>
          <w:sz w:val="20"/>
        </w:rPr>
      </w:pPr>
      <w:r>
        <w:tab/>
      </w:r>
      <w:r>
        <w:tab/>
      </w:r>
      <w:r w:rsidR="00A53AED" w:rsidRPr="006848E9">
        <w:t xml:space="preserve">Transmitted by the </w:t>
      </w:r>
      <w:r w:rsidR="00094DA7">
        <w:t>European Federation of Waste Management and Environmental</w:t>
      </w:r>
      <w:r w:rsidR="00115296">
        <w:t xml:space="preserve"> Services (FEAD)</w:t>
      </w:r>
      <w:r w:rsidRPr="00801CA5">
        <w:rPr>
          <w:rStyle w:val="Appelnotedebasdep"/>
          <w:b w:val="0"/>
          <w:sz w:val="20"/>
        </w:rPr>
        <w:footnoteReference w:id="2"/>
      </w:r>
      <w:r w:rsidRPr="00801CA5">
        <w:rPr>
          <w:b w:val="0"/>
          <w:sz w:val="20"/>
          <w:vertAlign w:val="superscript"/>
        </w:rPr>
        <w:t>,</w:t>
      </w:r>
      <w:r>
        <w:rPr>
          <w:b w:val="0"/>
          <w:sz w:val="20"/>
          <w:vertAlign w:val="superscript"/>
        </w:rPr>
        <w:t xml:space="preserve"> </w:t>
      </w:r>
      <w:r w:rsidRPr="00801CA5">
        <w:rPr>
          <w:rStyle w:val="Appelnotedebasdep"/>
          <w:b w:val="0"/>
          <w:sz w:val="20"/>
        </w:rPr>
        <w:footnoteReference w:customMarkFollows="1" w:id="3"/>
        <w:t>**</w:t>
      </w:r>
    </w:p>
    <w:p w:rsidR="00115296" w:rsidRPr="00965CD5" w:rsidRDefault="001E33C9" w:rsidP="001E33C9">
      <w:pPr>
        <w:pStyle w:val="SingleTxtG"/>
        <w:rPr>
          <w:rFonts w:eastAsia="Calibri"/>
        </w:rPr>
      </w:pPr>
      <w:r>
        <w:t>1.</w:t>
      </w:r>
      <w:r>
        <w:tab/>
        <w:t xml:space="preserve">The following provisions may be found in </w:t>
      </w:r>
      <w:r w:rsidR="00115296" w:rsidRPr="00965CD5">
        <w:rPr>
          <w:rFonts w:eastAsia="Calibri"/>
        </w:rPr>
        <w:t>ADR 2015</w:t>
      </w:r>
      <w:r>
        <w:rPr>
          <w:rFonts w:eastAsia="Calibri"/>
        </w:rPr>
        <w:t>:</w:t>
      </w:r>
    </w:p>
    <w:p w:rsidR="00115296" w:rsidRPr="00965CD5" w:rsidRDefault="001E33C9" w:rsidP="00115296">
      <w:pPr>
        <w:pStyle w:val="SingleTxtG"/>
        <w:rPr>
          <w:rFonts w:eastAsia="Calibri"/>
        </w:rPr>
      </w:pPr>
      <w:r>
        <w:rPr>
          <w:rFonts w:eastAsia="Calibri"/>
        </w:rPr>
        <w:t>“</w:t>
      </w:r>
      <w:r w:rsidR="00115296" w:rsidRPr="00965CD5">
        <w:rPr>
          <w:rFonts w:eastAsia="Calibri"/>
        </w:rPr>
        <w:t>1.1.3.10</w:t>
      </w:r>
      <w:r w:rsidR="00115296" w:rsidRPr="00965CD5">
        <w:rPr>
          <w:rFonts w:eastAsia="Calibri"/>
        </w:rPr>
        <w:tab/>
        <w:t>Exemptions related to the carriage of lamps containing dangerous goods</w:t>
      </w:r>
    </w:p>
    <w:p w:rsidR="00115296" w:rsidRPr="00965CD5" w:rsidRDefault="00115296" w:rsidP="00115296">
      <w:pPr>
        <w:pStyle w:val="SingleTxtG"/>
        <w:ind w:left="2268"/>
        <w:rPr>
          <w:rFonts w:eastAsia="Calibri"/>
        </w:rPr>
      </w:pPr>
      <w:r w:rsidRPr="00965CD5">
        <w:rPr>
          <w:rFonts w:eastAsia="Calibri"/>
        </w:rPr>
        <w:t>The following lamps are not subject to ADR provided that they do not contain radioactive material and do not contain mercury in quantities above those specified in special provision 366 of Chapter 3.3:</w:t>
      </w:r>
    </w:p>
    <w:p w:rsidR="00115296" w:rsidRPr="008D372B" w:rsidRDefault="00115296" w:rsidP="00115296">
      <w:pPr>
        <w:pStyle w:val="SingleTxtG"/>
        <w:rPr>
          <w:rFonts w:eastAsia="Calibri"/>
          <w:i/>
        </w:rPr>
      </w:pPr>
      <w:r>
        <w:rPr>
          <w:rFonts w:eastAsia="Calibri"/>
        </w:rPr>
        <w:tab/>
      </w:r>
      <w:r>
        <w:rPr>
          <w:rFonts w:eastAsia="Calibri"/>
        </w:rPr>
        <w:tab/>
        <w:t>(a)</w:t>
      </w:r>
      <w:r>
        <w:rPr>
          <w:rFonts w:eastAsia="Calibri"/>
        </w:rPr>
        <w:tab/>
      </w:r>
      <w:r w:rsidRPr="00965CD5">
        <w:rPr>
          <w:rFonts w:eastAsia="Calibri"/>
        </w:rPr>
        <w:t>Lamps that are collected directly from individuals and households when carried to a collection or recycling facility;</w:t>
      </w:r>
    </w:p>
    <w:p w:rsidR="00115296" w:rsidRPr="00115296" w:rsidRDefault="00115296" w:rsidP="00115296">
      <w:pPr>
        <w:pStyle w:val="SingleTxtG"/>
        <w:rPr>
          <w:rFonts w:eastAsia="Calibri"/>
          <w:i/>
        </w:rPr>
      </w:pPr>
      <w:r w:rsidRPr="00115296">
        <w:rPr>
          <w:rFonts w:eastAsia="Calibri"/>
          <w:b/>
          <w:i/>
        </w:rPr>
        <w:t>N</w:t>
      </w:r>
      <w:r>
        <w:rPr>
          <w:rFonts w:eastAsia="Calibri"/>
          <w:b/>
          <w:i/>
        </w:rPr>
        <w:t>OTE</w:t>
      </w:r>
      <w:r w:rsidRPr="00115296">
        <w:rPr>
          <w:rFonts w:eastAsia="Calibri"/>
          <w:i/>
        </w:rPr>
        <w:t>: This also includes lamps brought by individuals to a first collection point, and then carried to another collection point, intermediate processing or recycling facility.</w:t>
      </w:r>
    </w:p>
    <w:p w:rsidR="00115296" w:rsidRPr="00965CD5" w:rsidRDefault="00115296" w:rsidP="00115296">
      <w:pPr>
        <w:pStyle w:val="SingleTxtG"/>
        <w:rPr>
          <w:rFonts w:eastAsia="Calibri"/>
        </w:rPr>
      </w:pPr>
      <w:r>
        <w:rPr>
          <w:rFonts w:eastAsia="Calibri"/>
        </w:rPr>
        <w:tab/>
      </w:r>
      <w:r>
        <w:rPr>
          <w:rFonts w:eastAsia="Calibri"/>
        </w:rPr>
        <w:tab/>
        <w:t>(b)</w:t>
      </w:r>
      <w:r>
        <w:rPr>
          <w:rFonts w:eastAsia="Calibri"/>
        </w:rPr>
        <w:tab/>
      </w:r>
      <w:r w:rsidRPr="00965CD5">
        <w:rPr>
          <w:rFonts w:eastAsia="Calibri"/>
        </w:rPr>
        <w:t>Lamps each containing not more than 1 g of dangerous goods and packaged so that there is not more than 30 g of dangerous goods per package provided that:</w:t>
      </w:r>
    </w:p>
    <w:p w:rsidR="00115296" w:rsidRPr="00965CD5" w:rsidRDefault="00115296" w:rsidP="00115296">
      <w:pPr>
        <w:pStyle w:val="SingleTxtG"/>
        <w:ind w:left="2268"/>
        <w:rPr>
          <w:rFonts w:eastAsia="Calibri"/>
        </w:rPr>
      </w:pPr>
      <w:r>
        <w:rPr>
          <w:rFonts w:eastAsia="Calibri"/>
        </w:rPr>
        <w:tab/>
        <w:t>(</w:t>
      </w:r>
      <w:proofErr w:type="spellStart"/>
      <w:r>
        <w:rPr>
          <w:rFonts w:eastAsia="Calibri"/>
        </w:rPr>
        <w:t>i</w:t>
      </w:r>
      <w:proofErr w:type="spellEnd"/>
      <w:r>
        <w:rPr>
          <w:rFonts w:eastAsia="Calibri"/>
        </w:rPr>
        <w:t>)</w:t>
      </w:r>
      <w:r>
        <w:rPr>
          <w:rFonts w:eastAsia="Calibri"/>
        </w:rPr>
        <w:tab/>
      </w:r>
      <w:r w:rsidRPr="00965CD5">
        <w:rPr>
          <w:rFonts w:eastAsia="Calibri"/>
        </w:rPr>
        <w:t>The lamps are manufactured according to a certified quality management system;</w:t>
      </w:r>
    </w:p>
    <w:p w:rsidR="00115296" w:rsidRPr="00115296" w:rsidRDefault="00115296" w:rsidP="00115296">
      <w:pPr>
        <w:pStyle w:val="SingleTxtG"/>
        <w:rPr>
          <w:rFonts w:eastAsia="Calibri"/>
          <w:i/>
        </w:rPr>
      </w:pPr>
      <w:r w:rsidRPr="00115296">
        <w:rPr>
          <w:rFonts w:eastAsia="Calibri"/>
          <w:b/>
          <w:i/>
        </w:rPr>
        <w:lastRenderedPageBreak/>
        <w:t>NOTE:</w:t>
      </w:r>
      <w:r w:rsidRPr="00115296">
        <w:rPr>
          <w:rFonts w:eastAsia="Calibri"/>
          <w:i/>
        </w:rPr>
        <w:t xml:space="preserve"> ISO 9001:2008 may be used for this purpose</w:t>
      </w:r>
    </w:p>
    <w:p w:rsidR="00115296" w:rsidRPr="00965CD5" w:rsidRDefault="00115296" w:rsidP="00115296">
      <w:pPr>
        <w:pStyle w:val="SingleTxtG"/>
        <w:rPr>
          <w:rFonts w:eastAsia="Calibri"/>
        </w:rPr>
      </w:pPr>
      <w:r>
        <w:rPr>
          <w:rFonts w:eastAsia="Calibri"/>
          <w:b/>
        </w:rPr>
        <w:tab/>
      </w:r>
      <w:r>
        <w:rPr>
          <w:rFonts w:eastAsia="Calibri"/>
          <w:b/>
        </w:rPr>
        <w:tab/>
      </w:r>
      <w:proofErr w:type="gramStart"/>
      <w:r w:rsidRPr="00965CD5">
        <w:rPr>
          <w:rFonts w:eastAsia="Calibri"/>
        </w:rPr>
        <w:t>and</w:t>
      </w:r>
      <w:proofErr w:type="gramEnd"/>
    </w:p>
    <w:p w:rsidR="00115296" w:rsidRPr="00965CD5" w:rsidRDefault="00115296" w:rsidP="00115296">
      <w:pPr>
        <w:pStyle w:val="SingleTxtG"/>
        <w:ind w:left="2268"/>
        <w:rPr>
          <w:rFonts w:eastAsia="Calibri"/>
        </w:rPr>
      </w:pPr>
      <w:r>
        <w:rPr>
          <w:rFonts w:eastAsia="Calibri"/>
        </w:rPr>
        <w:tab/>
        <w:t>(ii)</w:t>
      </w:r>
      <w:r>
        <w:rPr>
          <w:rFonts w:eastAsia="Calibri"/>
        </w:rPr>
        <w:tab/>
      </w:r>
      <w:r w:rsidRPr="00965CD5">
        <w:rPr>
          <w:rFonts w:eastAsia="Calibri"/>
        </w:rPr>
        <w:t xml:space="preserve">Each lamp is either individually packed in inner </w:t>
      </w:r>
      <w:proofErr w:type="spellStart"/>
      <w:r w:rsidRPr="00965CD5">
        <w:rPr>
          <w:rFonts w:eastAsia="Calibri"/>
        </w:rPr>
        <w:t>packagings</w:t>
      </w:r>
      <w:proofErr w:type="spellEnd"/>
      <w:r w:rsidRPr="00965CD5">
        <w:rPr>
          <w:rFonts w:eastAsia="Calibri"/>
        </w:rPr>
        <w:t xml:space="preserve"> separated by dividers, or surrounded with cushioning material to protect the lamps and packed into strong outer </w:t>
      </w:r>
      <w:proofErr w:type="spellStart"/>
      <w:r w:rsidRPr="00965CD5">
        <w:rPr>
          <w:rFonts w:eastAsia="Calibri"/>
        </w:rPr>
        <w:t>packagings</w:t>
      </w:r>
      <w:proofErr w:type="spellEnd"/>
      <w:r w:rsidRPr="00965CD5">
        <w:rPr>
          <w:rFonts w:eastAsia="Calibri"/>
        </w:rPr>
        <w:t xml:space="preserve"> meeting the general provisions of 4.1.1.1 and capable of passing a 1.2 m drop test;</w:t>
      </w:r>
    </w:p>
    <w:p w:rsidR="00115296" w:rsidRPr="00965CD5" w:rsidRDefault="00115296" w:rsidP="00115296">
      <w:pPr>
        <w:pStyle w:val="SingleTxtG"/>
        <w:rPr>
          <w:rFonts w:eastAsia="Calibri"/>
        </w:rPr>
      </w:pPr>
      <w:r>
        <w:rPr>
          <w:rFonts w:eastAsia="Calibri"/>
        </w:rPr>
        <w:tab/>
      </w:r>
      <w:r>
        <w:rPr>
          <w:rFonts w:eastAsia="Calibri"/>
        </w:rPr>
        <w:tab/>
        <w:t>(c)</w:t>
      </w:r>
      <w:r>
        <w:rPr>
          <w:rFonts w:eastAsia="Calibri"/>
        </w:rPr>
        <w:tab/>
      </w:r>
      <w:r w:rsidRPr="00965CD5">
        <w:rPr>
          <w:rFonts w:eastAsia="Calibri"/>
        </w:rPr>
        <w:t xml:space="preserve">Used damaged or defective lamps each containing not more than 1 g of dangerous goods with not more than 30 g of dangerous goods per package when carried from a collection or recycling facility. The lamps shall be packed in strong outer </w:t>
      </w:r>
      <w:proofErr w:type="spellStart"/>
      <w:r w:rsidRPr="00965CD5">
        <w:rPr>
          <w:rFonts w:eastAsia="Calibri"/>
        </w:rPr>
        <w:t>packagings</w:t>
      </w:r>
      <w:proofErr w:type="spellEnd"/>
      <w:r w:rsidRPr="00965CD5">
        <w:rPr>
          <w:rFonts w:eastAsia="Calibri"/>
        </w:rPr>
        <w:t xml:space="preserve"> sufficient for preventing release of the contents under normal conditions of carriage meeting the general provisions of 4.1.1.1. </w:t>
      </w:r>
      <w:proofErr w:type="gramStart"/>
      <w:r w:rsidRPr="00965CD5">
        <w:rPr>
          <w:rFonts w:eastAsia="Calibri"/>
        </w:rPr>
        <w:t>and</w:t>
      </w:r>
      <w:proofErr w:type="gramEnd"/>
      <w:r w:rsidRPr="00965CD5">
        <w:rPr>
          <w:rFonts w:eastAsia="Calibri"/>
        </w:rPr>
        <w:t xml:space="preserve"> that are capable of passing a drop test of not less than 1.2 m;</w:t>
      </w:r>
    </w:p>
    <w:p w:rsidR="00115296" w:rsidRPr="00965CD5" w:rsidRDefault="001A5C52" w:rsidP="00115296">
      <w:pPr>
        <w:pStyle w:val="SingleTxtG"/>
        <w:rPr>
          <w:rFonts w:eastAsia="Calibri"/>
        </w:rPr>
      </w:pPr>
      <w:r>
        <w:rPr>
          <w:rFonts w:eastAsia="Calibri"/>
        </w:rPr>
        <w:tab/>
      </w:r>
      <w:r>
        <w:rPr>
          <w:rFonts w:eastAsia="Calibri"/>
        </w:rPr>
        <w:tab/>
        <w:t>(d)</w:t>
      </w:r>
      <w:r>
        <w:rPr>
          <w:rFonts w:eastAsia="Calibri"/>
        </w:rPr>
        <w:tab/>
      </w:r>
      <w:r w:rsidR="00115296" w:rsidRPr="00965CD5">
        <w:rPr>
          <w:rFonts w:eastAsia="Calibri"/>
        </w:rPr>
        <w:t>Lamps containing only gases of Groups A and O (according to 2.2.2.1) provided they are packaged so that the projectile effects of any rupture of the lamp will be contained within the package.</w:t>
      </w:r>
    </w:p>
    <w:p w:rsidR="00115296" w:rsidRPr="001A5C52" w:rsidRDefault="00115296" w:rsidP="00115296">
      <w:pPr>
        <w:pStyle w:val="SingleTxtG"/>
        <w:rPr>
          <w:rFonts w:eastAsia="Calibri"/>
          <w:i/>
        </w:rPr>
      </w:pPr>
      <w:r w:rsidRPr="001A5C52">
        <w:rPr>
          <w:rFonts w:eastAsia="Calibri"/>
          <w:b/>
          <w:i/>
        </w:rPr>
        <w:t xml:space="preserve">NOTE: </w:t>
      </w:r>
      <w:r w:rsidRPr="001A5C52">
        <w:rPr>
          <w:rFonts w:eastAsia="Calibri"/>
          <w:i/>
        </w:rPr>
        <w:t>Lamps containing radioactive material are addressed in 2.2.7.2.2.2(b).</w:t>
      </w:r>
    </w:p>
    <w:p w:rsidR="00115296" w:rsidRPr="00965CD5" w:rsidRDefault="001A5C52" w:rsidP="001A5C52">
      <w:pPr>
        <w:pStyle w:val="H1G"/>
        <w:rPr>
          <w:rFonts w:eastAsia="Calibri"/>
        </w:rPr>
      </w:pPr>
      <w:r>
        <w:rPr>
          <w:rFonts w:eastAsia="Calibri"/>
        </w:rPr>
        <w:tab/>
      </w:r>
      <w:r>
        <w:rPr>
          <w:rFonts w:eastAsia="Calibri"/>
        </w:rPr>
        <w:tab/>
      </w:r>
      <w:r w:rsidR="00115296" w:rsidRPr="00965CD5">
        <w:rPr>
          <w:rFonts w:eastAsia="Calibri"/>
        </w:rPr>
        <w:t xml:space="preserve">Special Provisions </w:t>
      </w:r>
      <w:r w:rsidR="001E33C9">
        <w:rPr>
          <w:rFonts w:eastAsia="Calibri"/>
        </w:rPr>
        <w:t>(chapter 3.3)</w:t>
      </w:r>
    </w:p>
    <w:p w:rsidR="00115296" w:rsidRPr="00965CD5" w:rsidRDefault="00115296" w:rsidP="00115296">
      <w:pPr>
        <w:pStyle w:val="SingleTxtG"/>
        <w:rPr>
          <w:rFonts w:eastAsia="Calibri"/>
        </w:rPr>
      </w:pPr>
      <w:r w:rsidRPr="00965CD5">
        <w:rPr>
          <w:rFonts w:eastAsia="Calibri"/>
        </w:rPr>
        <w:t>366</w:t>
      </w:r>
      <w:r w:rsidRPr="00965CD5">
        <w:rPr>
          <w:rFonts w:eastAsia="Calibri"/>
        </w:rPr>
        <w:tab/>
        <w:t>Manufactured instruments and articles containing not more than 1 kg of mercury are not subject to ADR</w:t>
      </w:r>
    </w:p>
    <w:p w:rsidR="00115296" w:rsidRPr="00965CD5" w:rsidRDefault="001A5C52" w:rsidP="001A5C52">
      <w:pPr>
        <w:pStyle w:val="H1G"/>
        <w:rPr>
          <w:rFonts w:eastAsia="Calibri"/>
        </w:rPr>
      </w:pPr>
      <w:r>
        <w:rPr>
          <w:rFonts w:eastAsia="Calibri"/>
        </w:rPr>
        <w:tab/>
      </w:r>
      <w:r>
        <w:rPr>
          <w:rFonts w:eastAsia="Calibri"/>
        </w:rPr>
        <w:tab/>
      </w:r>
      <w:r w:rsidR="00115296" w:rsidRPr="00965CD5">
        <w:rPr>
          <w:rFonts w:eastAsia="Calibri"/>
        </w:rPr>
        <w:t>General Provisions</w:t>
      </w:r>
      <w:r w:rsidR="001E33C9">
        <w:rPr>
          <w:rFonts w:eastAsia="Calibri"/>
        </w:rPr>
        <w:t xml:space="preserve"> (chapter 4.1)</w:t>
      </w:r>
    </w:p>
    <w:p w:rsidR="00115296" w:rsidRPr="00965CD5" w:rsidRDefault="00115296" w:rsidP="001A5C52">
      <w:pPr>
        <w:pStyle w:val="SingleTxtG"/>
        <w:ind w:left="2268" w:hanging="1134"/>
        <w:rPr>
          <w:rFonts w:eastAsia="Calibri"/>
        </w:rPr>
      </w:pPr>
      <w:r w:rsidRPr="00965CD5">
        <w:rPr>
          <w:rFonts w:eastAsia="Calibri"/>
        </w:rPr>
        <w:t>4.1.1.1</w:t>
      </w:r>
      <w:r w:rsidRPr="00965CD5">
        <w:rPr>
          <w:rFonts w:eastAsia="Calibri"/>
        </w:rPr>
        <w:tab/>
      </w:r>
      <w:r w:rsidR="001A5C52">
        <w:rPr>
          <w:rFonts w:eastAsia="Calibri"/>
        </w:rPr>
        <w:tab/>
      </w:r>
      <w:r w:rsidRPr="00965CD5">
        <w:rPr>
          <w:rFonts w:eastAsia="Calibri"/>
        </w:rPr>
        <w:t xml:space="preserve">Dangerous goods shall be packed in good quality </w:t>
      </w:r>
      <w:proofErr w:type="spellStart"/>
      <w:r w:rsidRPr="00965CD5">
        <w:rPr>
          <w:rFonts w:eastAsia="Calibri"/>
        </w:rPr>
        <w:t>packagings</w:t>
      </w:r>
      <w:proofErr w:type="spellEnd"/>
      <w:r w:rsidRPr="00965CD5">
        <w:rPr>
          <w:rFonts w:eastAsia="Calibri"/>
        </w:rPr>
        <w:t xml:space="preserve">, including IBC’s and large </w:t>
      </w:r>
      <w:proofErr w:type="spellStart"/>
      <w:r w:rsidRPr="00965CD5">
        <w:rPr>
          <w:rFonts w:eastAsia="Calibri"/>
        </w:rPr>
        <w:t>packagings</w:t>
      </w:r>
      <w:proofErr w:type="spellEnd"/>
      <w:r w:rsidRPr="00965CD5">
        <w:rPr>
          <w:rFonts w:eastAsia="Calibri"/>
        </w:rPr>
        <w:t xml:space="preserve">, which shall be strong enough to withstand the shocks and loadings normally encountered during carriage, including trans-shipment between transport units and between transport units and warehouses as well as any removal from a pallet or </w:t>
      </w:r>
      <w:proofErr w:type="spellStart"/>
      <w:r w:rsidRPr="00965CD5">
        <w:rPr>
          <w:rFonts w:eastAsia="Calibri"/>
        </w:rPr>
        <w:t>overpack</w:t>
      </w:r>
      <w:proofErr w:type="spellEnd"/>
      <w:r w:rsidRPr="00965CD5">
        <w:rPr>
          <w:rFonts w:eastAsia="Calibri"/>
        </w:rPr>
        <w:t xml:space="preserve"> for subsequent manual or mechanical handling. </w:t>
      </w:r>
      <w:proofErr w:type="spellStart"/>
      <w:r w:rsidRPr="00965CD5">
        <w:rPr>
          <w:rFonts w:eastAsia="Calibri"/>
        </w:rPr>
        <w:t>Packagings</w:t>
      </w:r>
      <w:proofErr w:type="spellEnd"/>
      <w:r w:rsidRPr="00965CD5">
        <w:rPr>
          <w:rFonts w:eastAsia="Calibri"/>
        </w:rPr>
        <w:t xml:space="preserve">, including IBC’s and large </w:t>
      </w:r>
      <w:proofErr w:type="spellStart"/>
      <w:r w:rsidRPr="00965CD5">
        <w:rPr>
          <w:rFonts w:eastAsia="Calibri"/>
        </w:rPr>
        <w:t>packagings</w:t>
      </w:r>
      <w:proofErr w:type="spellEnd"/>
      <w:r w:rsidRPr="00965CD5">
        <w:rPr>
          <w:rFonts w:eastAsia="Calibri"/>
        </w:rPr>
        <w:t xml:space="preserve"> shall be constructed and closed so as to prevent any loss of contents when prepared for transport which might be caused</w:t>
      </w:r>
      <w:r>
        <w:rPr>
          <w:rFonts w:eastAsia="Calibri"/>
        </w:rPr>
        <w:t>,</w:t>
      </w:r>
      <w:r w:rsidRPr="00965CD5">
        <w:rPr>
          <w:rFonts w:eastAsia="Calibri"/>
        </w:rPr>
        <w:t xml:space="preserve"> under normal conditions of transport, by vibration, or by changes of temperature, humidity or pressure (resulting from altitude, for example). </w:t>
      </w:r>
      <w:proofErr w:type="spellStart"/>
      <w:r w:rsidRPr="00965CD5">
        <w:rPr>
          <w:rFonts w:eastAsia="Calibri"/>
        </w:rPr>
        <w:t>Packagings</w:t>
      </w:r>
      <w:proofErr w:type="spellEnd"/>
      <w:r w:rsidRPr="00965CD5">
        <w:rPr>
          <w:rFonts w:eastAsia="Calibri"/>
        </w:rPr>
        <w:t xml:space="preserve">, including IBC’s and large </w:t>
      </w:r>
      <w:proofErr w:type="spellStart"/>
      <w:r w:rsidRPr="00965CD5">
        <w:rPr>
          <w:rFonts w:eastAsia="Calibri"/>
        </w:rPr>
        <w:t>packagings</w:t>
      </w:r>
      <w:proofErr w:type="spellEnd"/>
      <w:r w:rsidRPr="00965CD5">
        <w:rPr>
          <w:rFonts w:eastAsia="Calibri"/>
        </w:rPr>
        <w:t xml:space="preserve"> shall be closed in accordance with the information provided by the manufacturer. No dangerous residue shall adhere to the outside of the </w:t>
      </w:r>
      <w:proofErr w:type="spellStart"/>
      <w:r w:rsidRPr="00965CD5">
        <w:rPr>
          <w:rFonts w:eastAsia="Calibri"/>
        </w:rPr>
        <w:t>packagings</w:t>
      </w:r>
      <w:proofErr w:type="spellEnd"/>
      <w:r w:rsidRPr="00965CD5">
        <w:rPr>
          <w:rFonts w:eastAsia="Calibri"/>
        </w:rPr>
        <w:t xml:space="preserve">, IBC’s and large </w:t>
      </w:r>
      <w:proofErr w:type="spellStart"/>
      <w:r w:rsidRPr="00965CD5">
        <w:rPr>
          <w:rFonts w:eastAsia="Calibri"/>
        </w:rPr>
        <w:t>packagings</w:t>
      </w:r>
      <w:proofErr w:type="spellEnd"/>
      <w:r w:rsidRPr="00965CD5">
        <w:rPr>
          <w:rFonts w:eastAsia="Calibri"/>
        </w:rPr>
        <w:t xml:space="preserve"> during carriage. These provisions apply, as appropriate, to new, reused, reconditioned or remanufactured </w:t>
      </w:r>
      <w:proofErr w:type="spellStart"/>
      <w:r w:rsidRPr="00965CD5">
        <w:rPr>
          <w:rFonts w:eastAsia="Calibri"/>
        </w:rPr>
        <w:t>packagings</w:t>
      </w:r>
      <w:proofErr w:type="spellEnd"/>
      <w:r w:rsidRPr="00965CD5">
        <w:rPr>
          <w:rFonts w:eastAsia="Calibri"/>
        </w:rPr>
        <w:t xml:space="preserve"> and to new, reused, repaired or remanufactured IBC’s and to new, reused or remanufactured large </w:t>
      </w:r>
      <w:proofErr w:type="spellStart"/>
      <w:r w:rsidRPr="00965CD5">
        <w:rPr>
          <w:rFonts w:eastAsia="Calibri"/>
        </w:rPr>
        <w:t>packagings</w:t>
      </w:r>
      <w:proofErr w:type="spellEnd"/>
      <w:r w:rsidRPr="00965CD5">
        <w:rPr>
          <w:rFonts w:eastAsia="Calibri"/>
        </w:rPr>
        <w:t>.</w:t>
      </w:r>
      <w:proofErr w:type="gramStart"/>
      <w:r w:rsidR="001E33C9">
        <w:rPr>
          <w:rFonts w:eastAsia="Calibri"/>
        </w:rPr>
        <w:t>”.</w:t>
      </w:r>
      <w:proofErr w:type="gramEnd"/>
    </w:p>
    <w:p w:rsidR="00115296" w:rsidRPr="001E33C9" w:rsidRDefault="001E33C9" w:rsidP="001E33C9">
      <w:pPr>
        <w:pStyle w:val="SingleTxtG"/>
        <w:rPr>
          <w:rFonts w:eastAsia="Calibri"/>
        </w:rPr>
      </w:pPr>
      <w:r>
        <w:rPr>
          <w:rFonts w:eastAsia="Calibri"/>
        </w:rPr>
        <w:t>2.</w:t>
      </w:r>
      <w:r>
        <w:rPr>
          <w:rFonts w:eastAsia="Calibri"/>
        </w:rPr>
        <w:tab/>
        <w:t xml:space="preserve">At the autumn session of the </w:t>
      </w:r>
      <w:r w:rsidR="001A5C52" w:rsidRPr="001E33C9">
        <w:rPr>
          <w:rFonts w:eastAsia="Calibri"/>
        </w:rPr>
        <w:t>RID/ADR/ADN</w:t>
      </w:r>
      <w:r w:rsidR="00115296" w:rsidRPr="001E33C9">
        <w:rPr>
          <w:rFonts w:eastAsia="Calibri"/>
        </w:rPr>
        <w:t xml:space="preserve"> Joint </w:t>
      </w:r>
      <w:r>
        <w:rPr>
          <w:rFonts w:eastAsia="Calibri"/>
        </w:rPr>
        <w:t>Meeting</w:t>
      </w:r>
      <w:r w:rsidR="00EF4DE2">
        <w:rPr>
          <w:rFonts w:eastAsia="Calibri"/>
        </w:rPr>
        <w:t>,</w:t>
      </w:r>
      <w:r>
        <w:rPr>
          <w:rFonts w:eastAsia="Calibri"/>
        </w:rPr>
        <w:t xml:space="preserve"> </w:t>
      </w:r>
      <w:r w:rsidR="00115296" w:rsidRPr="001E33C9">
        <w:rPr>
          <w:rFonts w:eastAsia="Calibri"/>
        </w:rPr>
        <w:t>19-23 September</w:t>
      </w:r>
      <w:r>
        <w:rPr>
          <w:rFonts w:eastAsia="Calibri"/>
        </w:rPr>
        <w:t xml:space="preserve"> 2016, FEAD submitted informal document INF.25.</w:t>
      </w:r>
    </w:p>
    <w:p w:rsidR="00115296" w:rsidRDefault="001E33C9" w:rsidP="00115296">
      <w:pPr>
        <w:pStyle w:val="SingleTxtG"/>
        <w:rPr>
          <w:strike/>
        </w:rPr>
      </w:pPr>
      <w:r>
        <w:t>This</w:t>
      </w:r>
      <w:r w:rsidR="00115296" w:rsidRPr="00041BE1">
        <w:t xml:space="preserve"> paper </w:t>
      </w:r>
      <w:r w:rsidR="00115296">
        <w:t>triggered</w:t>
      </w:r>
      <w:r w:rsidR="00115296" w:rsidRPr="00041BE1">
        <w:t xml:space="preserve"> several discussions between the delegations and some delegates supported FEAD </w:t>
      </w:r>
      <w:r w:rsidR="00115296">
        <w:t>recommendations</w:t>
      </w:r>
      <w:r w:rsidR="00115296" w:rsidRPr="00041BE1">
        <w:t xml:space="preserve">. </w:t>
      </w:r>
    </w:p>
    <w:p w:rsidR="00115296" w:rsidRPr="00E32E85" w:rsidRDefault="001E33C9" w:rsidP="00115296">
      <w:pPr>
        <w:pStyle w:val="SingleTxtG"/>
      </w:pPr>
      <w:r>
        <w:t>3.</w:t>
      </w:r>
      <w:r>
        <w:tab/>
      </w:r>
      <w:r w:rsidR="00115296" w:rsidRPr="00E32E85">
        <w:t xml:space="preserve">The discussion on lamps </w:t>
      </w:r>
      <w:r w:rsidR="00115296">
        <w:t xml:space="preserve">was raised </w:t>
      </w:r>
      <w:r w:rsidR="00115296" w:rsidRPr="00E32E85">
        <w:t xml:space="preserve">in a </w:t>
      </w:r>
      <w:r w:rsidR="00115296">
        <w:t>previous</w:t>
      </w:r>
      <w:r w:rsidR="00115296" w:rsidRPr="00E32E85">
        <w:t xml:space="preserve"> meeting of the </w:t>
      </w:r>
      <w:r>
        <w:t xml:space="preserve">United Nations Sub-Committee </w:t>
      </w:r>
      <w:r w:rsidR="00115296" w:rsidRPr="00E32E85">
        <w:t xml:space="preserve">of experts on the transport of dangerous goods (2015), </w:t>
      </w:r>
      <w:r>
        <w:t xml:space="preserve">(ST/SG/AC.10/C.3/2015/19). The </w:t>
      </w:r>
      <w:r w:rsidR="00B92C2B">
        <w:t xml:space="preserve">position of the Sub-Committee was reflected in the report </w:t>
      </w:r>
      <w:r>
        <w:t>(ST/SG/AC.10/C.3/94, para.74</w:t>
      </w:r>
      <w:r w:rsidRPr="00E32E85">
        <w:t xml:space="preserve"> </w:t>
      </w:r>
      <w:r w:rsidR="00115296" w:rsidRPr="00E32E85">
        <w:t xml:space="preserve">on a proposal of Switzerland. </w:t>
      </w:r>
      <w:r w:rsidR="00115296">
        <w:t xml:space="preserve">In view of the next </w:t>
      </w:r>
      <w:r>
        <w:lastRenderedPageBreak/>
        <w:t>session of the Joint Meeting</w:t>
      </w:r>
      <w:r w:rsidR="00115296">
        <w:t>, the</w:t>
      </w:r>
      <w:r w:rsidR="00115296" w:rsidRPr="00E32E85">
        <w:t xml:space="preserve"> problem</w:t>
      </w:r>
      <w:r w:rsidR="00115296">
        <w:t xml:space="preserve"> could be solved</w:t>
      </w:r>
      <w:r w:rsidR="00115296" w:rsidRPr="00E32E85">
        <w:t xml:space="preserve"> by inserting a note in the ADR mentioning that:</w:t>
      </w:r>
    </w:p>
    <w:p w:rsidR="00115296" w:rsidRPr="001A5C52" w:rsidRDefault="001A5C52" w:rsidP="00115296">
      <w:pPr>
        <w:pStyle w:val="SingleTxtG"/>
        <w:rPr>
          <w:i/>
          <w:iCs/>
          <w:color w:val="1F497D"/>
        </w:rPr>
      </w:pPr>
      <w:r>
        <w:rPr>
          <w:i/>
          <w:iCs/>
        </w:rPr>
        <w:t>“</w:t>
      </w:r>
      <w:r w:rsidR="00B92C2B">
        <w:rPr>
          <w:i/>
          <w:iCs/>
        </w:rPr>
        <w:t>I</w:t>
      </w:r>
      <w:r w:rsidR="00115296" w:rsidRPr="001A5C52">
        <w:rPr>
          <w:i/>
          <w:iCs/>
        </w:rPr>
        <w:t>n accordance with special provision 366, lamps containing not more than 1 kg of mercury are not subject to land and sea dangerous goods transport regulations and those containing not more than 15 g mercury are not subject to air dangero</w:t>
      </w:r>
      <w:r>
        <w:rPr>
          <w:i/>
          <w:iCs/>
        </w:rPr>
        <w:t>us goods transport regulations.”</w:t>
      </w:r>
    </w:p>
    <w:p w:rsidR="00115296" w:rsidRDefault="001A5C52" w:rsidP="001A5C52">
      <w:pPr>
        <w:pStyle w:val="H1G"/>
        <w:rPr>
          <w:rFonts w:eastAsia="Calibri"/>
        </w:rPr>
      </w:pPr>
      <w:r>
        <w:rPr>
          <w:rFonts w:eastAsia="Calibri"/>
        </w:rPr>
        <w:tab/>
      </w:r>
      <w:r>
        <w:rPr>
          <w:rFonts w:eastAsia="Calibri"/>
        </w:rPr>
        <w:tab/>
      </w:r>
      <w:r w:rsidR="00115296" w:rsidRPr="00965CD5">
        <w:rPr>
          <w:rFonts w:eastAsia="Calibri"/>
        </w:rPr>
        <w:t>FEAD proposal</w:t>
      </w:r>
      <w:r w:rsidR="00115296">
        <w:rPr>
          <w:rFonts w:eastAsia="Calibri"/>
        </w:rPr>
        <w:t xml:space="preserve"> of </w:t>
      </w:r>
      <w:r w:rsidR="00115296" w:rsidRPr="00965CD5">
        <w:rPr>
          <w:rFonts w:eastAsia="Calibri"/>
        </w:rPr>
        <w:t>modification of the ADR:</w:t>
      </w:r>
    </w:p>
    <w:p w:rsidR="00115296" w:rsidRPr="00EF3930" w:rsidRDefault="00B92C2B" w:rsidP="00115296">
      <w:pPr>
        <w:pStyle w:val="SingleTxtG"/>
        <w:rPr>
          <w:rFonts w:eastAsia="Calibri"/>
        </w:rPr>
      </w:pPr>
      <w:r>
        <w:rPr>
          <w:rFonts w:eastAsia="Calibri"/>
        </w:rPr>
        <w:t>4.</w:t>
      </w:r>
      <w:r>
        <w:rPr>
          <w:rFonts w:eastAsia="Calibri"/>
        </w:rPr>
        <w:tab/>
      </w:r>
      <w:r w:rsidR="00115296" w:rsidRPr="00EF3930">
        <w:rPr>
          <w:rFonts w:eastAsia="Calibri"/>
        </w:rPr>
        <w:t>In order to avoid any diverging interpretation</w:t>
      </w:r>
      <w:r>
        <w:rPr>
          <w:rFonts w:eastAsia="Calibri"/>
        </w:rPr>
        <w:t>,</w:t>
      </w:r>
      <w:r w:rsidR="00115296" w:rsidRPr="00EF3930">
        <w:rPr>
          <w:rFonts w:eastAsia="Calibri"/>
        </w:rPr>
        <w:t xml:space="preserve"> FEAD proposes the </w:t>
      </w:r>
      <w:r>
        <w:rPr>
          <w:rFonts w:eastAsia="Calibri"/>
        </w:rPr>
        <w:t>below modification of the ADR:</w:t>
      </w:r>
    </w:p>
    <w:p w:rsidR="00115296" w:rsidRPr="00B92C2B" w:rsidRDefault="00B92C2B" w:rsidP="00115296">
      <w:pPr>
        <w:pStyle w:val="SingleTxtG"/>
        <w:rPr>
          <w:rFonts w:eastAsia="Calibri"/>
        </w:rPr>
      </w:pPr>
      <w:r w:rsidRPr="00B92C2B">
        <w:rPr>
          <w:rFonts w:eastAsia="Calibri"/>
        </w:rPr>
        <w:t>Include</w:t>
      </w:r>
      <w:r w:rsidR="00115296" w:rsidRPr="00B92C2B">
        <w:rPr>
          <w:rFonts w:eastAsia="Calibri"/>
        </w:rPr>
        <w:t xml:space="preserve"> the following note at the end of 1.1.3.10 after the note on radioactive lamps:</w:t>
      </w:r>
    </w:p>
    <w:p w:rsidR="00115296" w:rsidRPr="001A5C52" w:rsidRDefault="001A5C52" w:rsidP="00115296">
      <w:pPr>
        <w:pStyle w:val="SingleTxtG"/>
        <w:rPr>
          <w:i/>
        </w:rPr>
      </w:pPr>
      <w:r>
        <w:rPr>
          <w:rFonts w:eastAsia="Calibri"/>
          <w:i/>
        </w:rPr>
        <w:t>NOTE</w:t>
      </w:r>
      <w:r w:rsidR="00115296" w:rsidRPr="001A5C52">
        <w:rPr>
          <w:rFonts w:eastAsia="Calibri"/>
          <w:i/>
        </w:rPr>
        <w:t xml:space="preserve">: </w:t>
      </w:r>
      <w:r w:rsidR="00B92C2B">
        <w:rPr>
          <w:rFonts w:eastAsia="Calibri"/>
          <w:i/>
        </w:rPr>
        <w:t xml:space="preserve">Low pressure mercury TL </w:t>
      </w:r>
      <w:r w:rsidR="00115296" w:rsidRPr="001A5C52">
        <w:rPr>
          <w:rFonts w:eastAsia="Calibri"/>
          <w:i/>
        </w:rPr>
        <w:t>lamps, containing no other hazardous substances are not subject to ADR.</w:t>
      </w:r>
      <w:proofErr w:type="gramStart"/>
      <w:r w:rsidR="00B92C2B">
        <w:rPr>
          <w:rFonts w:eastAsia="Calibri"/>
          <w:i/>
        </w:rPr>
        <w:t>”.</w:t>
      </w:r>
      <w:proofErr w:type="gramEnd"/>
    </w:p>
    <w:p w:rsidR="00B42658" w:rsidRPr="00B42658" w:rsidRDefault="00B42658" w:rsidP="00B42658">
      <w:pPr>
        <w:pStyle w:val="SingleTxtG"/>
        <w:spacing w:before="240" w:after="0"/>
        <w:jc w:val="center"/>
        <w:rPr>
          <w:u w:val="single"/>
        </w:rPr>
      </w:pPr>
      <w:r>
        <w:rPr>
          <w:u w:val="single"/>
        </w:rPr>
        <w:tab/>
      </w:r>
      <w:r>
        <w:rPr>
          <w:u w:val="single"/>
        </w:rPr>
        <w:tab/>
      </w:r>
      <w:r>
        <w:rPr>
          <w:u w:val="single"/>
        </w:rPr>
        <w:tab/>
      </w:r>
    </w:p>
    <w:sectPr w:rsidR="00B42658" w:rsidRPr="00B42658"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C9" w:rsidRDefault="001E33C9"/>
  </w:endnote>
  <w:endnote w:type="continuationSeparator" w:id="0">
    <w:p w:rsidR="001E33C9" w:rsidRDefault="001E33C9"/>
  </w:endnote>
  <w:endnote w:type="continuationNotice" w:id="1">
    <w:p w:rsidR="001E33C9" w:rsidRDefault="001E3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C9" w:rsidRPr="009D2A5B" w:rsidRDefault="001E33C9" w:rsidP="009D2A5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241E4">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C9" w:rsidRPr="009D2A5B" w:rsidRDefault="001E33C9"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241E4">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C9" w:rsidRPr="000B175B" w:rsidRDefault="001E33C9" w:rsidP="000B175B">
      <w:pPr>
        <w:tabs>
          <w:tab w:val="right" w:pos="2155"/>
        </w:tabs>
        <w:spacing w:after="80"/>
        <w:ind w:left="680"/>
        <w:rPr>
          <w:u w:val="single"/>
        </w:rPr>
      </w:pPr>
      <w:r>
        <w:rPr>
          <w:u w:val="single"/>
        </w:rPr>
        <w:tab/>
      </w:r>
    </w:p>
  </w:footnote>
  <w:footnote w:type="continuationSeparator" w:id="0">
    <w:p w:rsidR="001E33C9" w:rsidRPr="00FC68B7" w:rsidRDefault="001E33C9" w:rsidP="00FC68B7">
      <w:pPr>
        <w:tabs>
          <w:tab w:val="left" w:pos="2155"/>
        </w:tabs>
        <w:spacing w:after="80"/>
        <w:ind w:left="680"/>
        <w:rPr>
          <w:u w:val="single"/>
        </w:rPr>
      </w:pPr>
      <w:r>
        <w:rPr>
          <w:u w:val="single"/>
        </w:rPr>
        <w:tab/>
      </w:r>
    </w:p>
  </w:footnote>
  <w:footnote w:type="continuationNotice" w:id="1">
    <w:p w:rsidR="001E33C9" w:rsidRDefault="001E33C9"/>
  </w:footnote>
  <w:footnote w:id="2">
    <w:p w:rsidR="001E33C9" w:rsidRPr="00801CA5" w:rsidRDefault="001E33C9">
      <w:pPr>
        <w:pStyle w:val="Notedebasdepage"/>
        <w:rPr>
          <w:lang w:val="fr-CH"/>
        </w:rPr>
      </w:pPr>
      <w:r>
        <w:tab/>
      </w:r>
      <w:r w:rsidRPr="00EC3EE6">
        <w:rPr>
          <w:rStyle w:val="Appelnotedebasdep"/>
          <w:sz w:val="20"/>
        </w:rPr>
        <w:footnoteRef/>
      </w:r>
      <w:r>
        <w:tab/>
      </w:r>
      <w:r w:rsidRPr="00DE1D53">
        <w:t xml:space="preserve">In accordance with the </w:t>
      </w:r>
      <w:bookmarkStart w:id="0" w:name="_GoBack"/>
      <w:bookmarkEnd w:id="0"/>
      <w:r w:rsidRPr="00DE1D53">
        <w:t>programme of work of the Inland Transport Committee for 201</w:t>
      </w:r>
      <w:r w:rsidR="00D241E4">
        <w:t>6-2017, (ECE/TRANS/</w:t>
      </w:r>
      <w:r w:rsidR="00D241E4">
        <w:t xml:space="preserve">2016/28/Add.1 </w:t>
      </w:r>
      <w:r w:rsidRPr="00DE1D53">
        <w:t xml:space="preserve"> (9.2)).</w:t>
      </w:r>
    </w:p>
  </w:footnote>
  <w:footnote w:id="3">
    <w:p w:rsidR="001E33C9" w:rsidRPr="00801CA5" w:rsidRDefault="001E33C9">
      <w:pPr>
        <w:pStyle w:val="Notedebasdepage"/>
        <w:rPr>
          <w:lang w:val="fr-CH"/>
        </w:rPr>
      </w:pPr>
      <w:r>
        <w:tab/>
      </w:r>
      <w:r w:rsidRPr="00EC3EE6">
        <w:rPr>
          <w:rStyle w:val="Appelnotedebasdep"/>
          <w:sz w:val="20"/>
        </w:rPr>
        <w:t>**</w:t>
      </w:r>
      <w:r>
        <w:tab/>
      </w:r>
      <w:proofErr w:type="gramStart"/>
      <w:r w:rsidRPr="00DE1D53">
        <w:t>Circulated by the Intergovernmental Organisation for International Carriage by Rail (OTIF) und</w:t>
      </w:r>
      <w:r>
        <w:t>er the symbol OTIF/RID/RC/2017/9</w:t>
      </w:r>
      <w:r w:rsidRPr="00DE1D53">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C9" w:rsidRPr="009D2A5B" w:rsidRDefault="001E33C9" w:rsidP="009D2A5B">
    <w:pPr>
      <w:pStyle w:val="En-tte"/>
    </w:pPr>
    <w:r w:rsidRPr="009D2A5B">
      <w:t>ECE/TRANS/WP.15/AC.1/201</w:t>
    </w:r>
    <w:r>
      <w:t>7</w:t>
    </w:r>
    <w:r w:rsidRPr="009D2A5B">
      <w:t>/</w:t>
    </w:r>
    <w: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C9" w:rsidRPr="009D2A5B" w:rsidRDefault="001E33C9" w:rsidP="009D2A5B">
    <w:pPr>
      <w:pStyle w:val="En-tte"/>
      <w:jc w:val="right"/>
    </w:pPr>
    <w:r w:rsidRPr="009D2A5B">
      <w:t>ECE/TRANS/WP.15/AC.1/201</w:t>
    </w:r>
    <w:r>
      <w:t>7</w:t>
    </w:r>
    <w:r w:rsidRPr="009D2A5B">
      <w:t>/</w:t>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33631E"/>
    <w:multiLevelType w:val="hybridMultilevel"/>
    <w:tmpl w:val="39D89F26"/>
    <w:lvl w:ilvl="0" w:tplc="DE0C0F2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9F65E79"/>
    <w:multiLevelType w:val="hybridMultilevel"/>
    <w:tmpl w:val="8320FE94"/>
    <w:lvl w:ilvl="0" w:tplc="13505146">
      <w:start w:val="1"/>
      <w:numFmt w:val="decimal"/>
      <w:lvlText w:val="%1."/>
      <w:lvlJc w:val="left"/>
      <w:pPr>
        <w:ind w:left="1689" w:hanging="555"/>
      </w:pPr>
      <w:rPr>
        <w:rFonts w:ascii="Times New Roman" w:hAnsi="Times New Roman" w:cs="Times New Roman" w:hint="default"/>
        <w:i w:val="0"/>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9">
    <w:nsid w:val="774018C9"/>
    <w:multiLevelType w:val="hybridMultilevel"/>
    <w:tmpl w:val="8B1C2D38"/>
    <w:lvl w:ilvl="0" w:tplc="B130038A">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3"/>
  </w:num>
  <w:num w:numId="16">
    <w:abstractNumId w:val="12"/>
  </w:num>
  <w:num w:numId="17">
    <w:abstractNumId w:val="16"/>
  </w:num>
  <w:num w:numId="18">
    <w:abstractNumId w:val="18"/>
  </w:num>
  <w:num w:numId="19">
    <w:abstractNumId w:val="19"/>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17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94DA7"/>
    <w:rsid w:val="000B0595"/>
    <w:rsid w:val="000B1333"/>
    <w:rsid w:val="000B175B"/>
    <w:rsid w:val="000B3A0F"/>
    <w:rsid w:val="000B4EF7"/>
    <w:rsid w:val="000C2C03"/>
    <w:rsid w:val="000C2D2E"/>
    <w:rsid w:val="000C4D51"/>
    <w:rsid w:val="000E0415"/>
    <w:rsid w:val="001103AA"/>
    <w:rsid w:val="00115296"/>
    <w:rsid w:val="0011666B"/>
    <w:rsid w:val="00155068"/>
    <w:rsid w:val="00165F3A"/>
    <w:rsid w:val="001A5C52"/>
    <w:rsid w:val="001B13A5"/>
    <w:rsid w:val="001B4B04"/>
    <w:rsid w:val="001C6663"/>
    <w:rsid w:val="001C7895"/>
    <w:rsid w:val="001D0C8C"/>
    <w:rsid w:val="001D1419"/>
    <w:rsid w:val="001D26DF"/>
    <w:rsid w:val="001D3A03"/>
    <w:rsid w:val="001D7F46"/>
    <w:rsid w:val="001E0B9E"/>
    <w:rsid w:val="001E33C9"/>
    <w:rsid w:val="001E7B67"/>
    <w:rsid w:val="001F7435"/>
    <w:rsid w:val="00202DA8"/>
    <w:rsid w:val="0021157B"/>
    <w:rsid w:val="00211E0B"/>
    <w:rsid w:val="00267F5F"/>
    <w:rsid w:val="00277C12"/>
    <w:rsid w:val="00284F70"/>
    <w:rsid w:val="00286B4D"/>
    <w:rsid w:val="002A603B"/>
    <w:rsid w:val="002B41A9"/>
    <w:rsid w:val="002D4643"/>
    <w:rsid w:val="002D4B6C"/>
    <w:rsid w:val="002F175C"/>
    <w:rsid w:val="00302E18"/>
    <w:rsid w:val="003229D8"/>
    <w:rsid w:val="00352709"/>
    <w:rsid w:val="00371178"/>
    <w:rsid w:val="00381475"/>
    <w:rsid w:val="003A6810"/>
    <w:rsid w:val="003C2CC4"/>
    <w:rsid w:val="003C6D94"/>
    <w:rsid w:val="003D4B23"/>
    <w:rsid w:val="004059B4"/>
    <w:rsid w:val="00410C89"/>
    <w:rsid w:val="00422E03"/>
    <w:rsid w:val="00426B9B"/>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76FB"/>
    <w:rsid w:val="00640B26"/>
    <w:rsid w:val="00652D0A"/>
    <w:rsid w:val="00654D30"/>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01CA5"/>
    <w:rsid w:val="00811920"/>
    <w:rsid w:val="00815AD0"/>
    <w:rsid w:val="008242D7"/>
    <w:rsid w:val="008257B1"/>
    <w:rsid w:val="00843767"/>
    <w:rsid w:val="008521A5"/>
    <w:rsid w:val="008679D9"/>
    <w:rsid w:val="00871389"/>
    <w:rsid w:val="00874CB6"/>
    <w:rsid w:val="00883999"/>
    <w:rsid w:val="008878DE"/>
    <w:rsid w:val="008979B1"/>
    <w:rsid w:val="008A69CD"/>
    <w:rsid w:val="008A6B25"/>
    <w:rsid w:val="008A6C4F"/>
    <w:rsid w:val="008B2335"/>
    <w:rsid w:val="008B717B"/>
    <w:rsid w:val="008E0678"/>
    <w:rsid w:val="00901B81"/>
    <w:rsid w:val="00912AA4"/>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53AED"/>
    <w:rsid w:val="00A72F22"/>
    <w:rsid w:val="00A7360F"/>
    <w:rsid w:val="00A748A6"/>
    <w:rsid w:val="00A769F4"/>
    <w:rsid w:val="00A776B4"/>
    <w:rsid w:val="00A81407"/>
    <w:rsid w:val="00A9093D"/>
    <w:rsid w:val="00A94361"/>
    <w:rsid w:val="00AA293C"/>
    <w:rsid w:val="00AE08DA"/>
    <w:rsid w:val="00AF3993"/>
    <w:rsid w:val="00B11BB4"/>
    <w:rsid w:val="00B175D8"/>
    <w:rsid w:val="00B22BC2"/>
    <w:rsid w:val="00B30179"/>
    <w:rsid w:val="00B421C1"/>
    <w:rsid w:val="00B42658"/>
    <w:rsid w:val="00B55C71"/>
    <w:rsid w:val="00B56E4A"/>
    <w:rsid w:val="00B56E9C"/>
    <w:rsid w:val="00B61320"/>
    <w:rsid w:val="00B64B1F"/>
    <w:rsid w:val="00B6553F"/>
    <w:rsid w:val="00B70F1E"/>
    <w:rsid w:val="00B77D05"/>
    <w:rsid w:val="00B81206"/>
    <w:rsid w:val="00B81E12"/>
    <w:rsid w:val="00B857E8"/>
    <w:rsid w:val="00B92C2B"/>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41E4"/>
    <w:rsid w:val="00D25FE2"/>
    <w:rsid w:val="00D43252"/>
    <w:rsid w:val="00D47EEA"/>
    <w:rsid w:val="00D550D4"/>
    <w:rsid w:val="00D773DF"/>
    <w:rsid w:val="00D872AC"/>
    <w:rsid w:val="00D9255F"/>
    <w:rsid w:val="00D95303"/>
    <w:rsid w:val="00D978C6"/>
    <w:rsid w:val="00DA3C1C"/>
    <w:rsid w:val="00DD29BD"/>
    <w:rsid w:val="00DF0F1A"/>
    <w:rsid w:val="00E046DF"/>
    <w:rsid w:val="00E15557"/>
    <w:rsid w:val="00E240D2"/>
    <w:rsid w:val="00E27346"/>
    <w:rsid w:val="00E71610"/>
    <w:rsid w:val="00E71BC8"/>
    <w:rsid w:val="00E7260F"/>
    <w:rsid w:val="00E73F5D"/>
    <w:rsid w:val="00E77E4E"/>
    <w:rsid w:val="00E96630"/>
    <w:rsid w:val="00EA2F3F"/>
    <w:rsid w:val="00EC106A"/>
    <w:rsid w:val="00EC1E8A"/>
    <w:rsid w:val="00EC3EE6"/>
    <w:rsid w:val="00ED7A2A"/>
    <w:rsid w:val="00EE6B3A"/>
    <w:rsid w:val="00EF1D7F"/>
    <w:rsid w:val="00EF4DE2"/>
    <w:rsid w:val="00F31E5F"/>
    <w:rsid w:val="00F32BB7"/>
    <w:rsid w:val="00F47EDC"/>
    <w:rsid w:val="00F6100A"/>
    <w:rsid w:val="00F63C9D"/>
    <w:rsid w:val="00F66565"/>
    <w:rsid w:val="00F75A16"/>
    <w:rsid w:val="00F92A22"/>
    <w:rsid w:val="00F93781"/>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link w:val="Titre1Car"/>
    <w:uiPriority w:val="9"/>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paragraph" w:styleId="Paragraphedeliste">
    <w:name w:val="List Paragraph"/>
    <w:basedOn w:val="Normal"/>
    <w:uiPriority w:val="34"/>
    <w:qFormat/>
    <w:rsid w:val="00801CA5"/>
    <w:pPr>
      <w:suppressAutoHyphens w:val="0"/>
      <w:spacing w:after="160" w:line="259" w:lineRule="auto"/>
      <w:ind w:left="720"/>
      <w:contextualSpacing/>
    </w:pPr>
    <w:rPr>
      <w:rFonts w:ascii="Calibri" w:eastAsia="Calibri" w:hAnsi="Calibri"/>
      <w:sz w:val="22"/>
      <w:szCs w:val="22"/>
    </w:rPr>
  </w:style>
  <w:style w:type="character" w:customStyle="1" w:styleId="Titre1Car">
    <w:name w:val="Titre 1 Car"/>
    <w:aliases w:val="Table_G Car"/>
    <w:basedOn w:val="Policepardfaut"/>
    <w:link w:val="Titre1"/>
    <w:uiPriority w:val="9"/>
    <w:rsid w:val="00094DA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link w:val="Titre1Car"/>
    <w:uiPriority w:val="9"/>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paragraph" w:styleId="Paragraphedeliste">
    <w:name w:val="List Paragraph"/>
    <w:basedOn w:val="Normal"/>
    <w:uiPriority w:val="34"/>
    <w:qFormat/>
    <w:rsid w:val="00801CA5"/>
    <w:pPr>
      <w:suppressAutoHyphens w:val="0"/>
      <w:spacing w:after="160" w:line="259" w:lineRule="auto"/>
      <w:ind w:left="720"/>
      <w:contextualSpacing/>
    </w:pPr>
    <w:rPr>
      <w:rFonts w:ascii="Calibri" w:eastAsia="Calibri" w:hAnsi="Calibri"/>
      <w:sz w:val="22"/>
      <w:szCs w:val="22"/>
    </w:rPr>
  </w:style>
  <w:style w:type="character" w:customStyle="1" w:styleId="Titre1Car">
    <w:name w:val="Titre 1 Car"/>
    <w:aliases w:val="Table_G Car"/>
    <w:basedOn w:val="Policepardfaut"/>
    <w:link w:val="Titre1"/>
    <w:uiPriority w:val="9"/>
    <w:rsid w:val="00094D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3D7D-7CCD-4CD1-8A8F-CE9B338C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773</Words>
  <Characters>4408</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2015-12-21T09:44:00Z</cp:lastPrinted>
  <dcterms:created xsi:type="dcterms:W3CDTF">2016-12-16T14:08:00Z</dcterms:created>
  <dcterms:modified xsi:type="dcterms:W3CDTF">2016-12-21T13:48:00Z</dcterms:modified>
</cp:coreProperties>
</file>