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749C2">
        <w:trPr>
          <w:trHeight w:hRule="exact" w:val="851"/>
        </w:trPr>
        <w:tc>
          <w:tcPr>
            <w:tcW w:w="1277" w:type="dxa"/>
            <w:tcBorders>
              <w:bottom w:val="single" w:sz="4" w:space="0" w:color="auto"/>
            </w:tcBorders>
          </w:tcPr>
          <w:p w:rsidR="003749C2" w:rsidRDefault="003749C2"/>
        </w:tc>
        <w:tc>
          <w:tcPr>
            <w:tcW w:w="2268" w:type="dxa"/>
            <w:tcBorders>
              <w:bottom w:val="single" w:sz="4" w:space="0" w:color="auto"/>
            </w:tcBorders>
            <w:vAlign w:val="bottom"/>
          </w:tcPr>
          <w:p w:rsidR="003749C2" w:rsidRDefault="003641EC">
            <w:pPr>
              <w:spacing w:after="80" w:line="300" w:lineRule="exact"/>
              <w:rPr>
                <w:sz w:val="28"/>
              </w:rPr>
            </w:pPr>
            <w:r>
              <w:rPr>
                <w:sz w:val="28"/>
              </w:rPr>
              <w:t>Nations Unies</w:t>
            </w:r>
          </w:p>
        </w:tc>
        <w:tc>
          <w:tcPr>
            <w:tcW w:w="6094" w:type="dxa"/>
            <w:gridSpan w:val="2"/>
            <w:tcBorders>
              <w:bottom w:val="single" w:sz="4" w:space="0" w:color="auto"/>
            </w:tcBorders>
            <w:vAlign w:val="bottom"/>
          </w:tcPr>
          <w:p w:rsidR="003749C2" w:rsidRDefault="003641EC" w:rsidP="00B41A49">
            <w:pPr>
              <w:jc w:val="right"/>
            </w:pPr>
            <w:r>
              <w:rPr>
                <w:sz w:val="40"/>
              </w:rPr>
              <w:t>ECE</w:t>
            </w:r>
            <w:r w:rsidR="001E334E">
              <w:t>/TRANS/WP.15/AC.1/2017</w:t>
            </w:r>
            <w:r w:rsidR="00B669F8">
              <w:t>/</w:t>
            </w:r>
            <w:r w:rsidR="00B41A49">
              <w:t>42</w:t>
            </w:r>
          </w:p>
        </w:tc>
      </w:tr>
      <w:tr w:rsidR="003749C2">
        <w:trPr>
          <w:trHeight w:hRule="exact" w:val="2835"/>
        </w:trPr>
        <w:tc>
          <w:tcPr>
            <w:tcW w:w="1276" w:type="dxa"/>
            <w:tcBorders>
              <w:top w:val="single" w:sz="4" w:space="0" w:color="auto"/>
              <w:bottom w:val="single" w:sz="12" w:space="0" w:color="auto"/>
            </w:tcBorders>
          </w:tcPr>
          <w:p w:rsidR="003749C2" w:rsidRDefault="003641EC">
            <w:pPr>
              <w:spacing w:before="120"/>
              <w:jc w:val="center"/>
            </w:pPr>
            <w:r>
              <w:rPr>
                <w:noProof/>
                <w:lang w:val="en-US"/>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749C2" w:rsidRDefault="003641EC">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3749C2" w:rsidRDefault="003641EC">
            <w:pPr>
              <w:spacing w:before="240"/>
            </w:pPr>
            <w:r>
              <w:t>Distr. générale</w:t>
            </w:r>
          </w:p>
          <w:p w:rsidR="003749C2" w:rsidRDefault="002445A1">
            <w:pPr>
              <w:spacing w:line="240" w:lineRule="exact"/>
            </w:pPr>
            <w:r>
              <w:t>3 juillet</w:t>
            </w:r>
            <w:r w:rsidR="00B669F8">
              <w:t xml:space="preserve"> 201</w:t>
            </w:r>
            <w:r w:rsidR="001E334E">
              <w:t>7</w:t>
            </w:r>
          </w:p>
          <w:p w:rsidR="003749C2" w:rsidRDefault="003749C2">
            <w:pPr>
              <w:spacing w:line="240" w:lineRule="exact"/>
            </w:pPr>
          </w:p>
          <w:p w:rsidR="003749C2" w:rsidRDefault="003641EC">
            <w:pPr>
              <w:spacing w:line="240" w:lineRule="exact"/>
            </w:pPr>
            <w:r>
              <w:t>Original: français</w:t>
            </w:r>
          </w:p>
        </w:tc>
      </w:tr>
    </w:tbl>
    <w:p w:rsidR="003749C2" w:rsidRDefault="003641EC">
      <w:pPr>
        <w:spacing w:before="120"/>
        <w:rPr>
          <w:b/>
          <w:sz w:val="28"/>
          <w:szCs w:val="28"/>
        </w:rPr>
      </w:pPr>
      <w:r>
        <w:rPr>
          <w:b/>
          <w:sz w:val="28"/>
          <w:szCs w:val="28"/>
        </w:rPr>
        <w:t>Commission économique pour l’Europe</w:t>
      </w:r>
    </w:p>
    <w:p w:rsidR="003749C2" w:rsidRDefault="003641EC">
      <w:pPr>
        <w:spacing w:before="120"/>
        <w:rPr>
          <w:sz w:val="28"/>
          <w:szCs w:val="28"/>
        </w:rPr>
      </w:pPr>
      <w:r>
        <w:rPr>
          <w:sz w:val="28"/>
          <w:szCs w:val="28"/>
        </w:rPr>
        <w:t>Comité des transports intérieurs</w:t>
      </w:r>
    </w:p>
    <w:p w:rsidR="003749C2" w:rsidRDefault="003641EC">
      <w:pPr>
        <w:spacing w:before="120"/>
        <w:rPr>
          <w:b/>
          <w:sz w:val="24"/>
          <w:szCs w:val="24"/>
        </w:rPr>
      </w:pPr>
      <w:r>
        <w:rPr>
          <w:b/>
          <w:sz w:val="24"/>
          <w:szCs w:val="24"/>
        </w:rPr>
        <w:t>Groupe de travail des transports de marchandises dangereuses</w:t>
      </w:r>
    </w:p>
    <w:p w:rsidR="003749C2" w:rsidRDefault="003641EC">
      <w:pPr>
        <w:spacing w:before="120"/>
        <w:rPr>
          <w:b/>
        </w:rPr>
      </w:pPr>
      <w:r>
        <w:rPr>
          <w:b/>
        </w:rPr>
        <w:t>Réunion commune de la Commission d’experts du RID et</w:t>
      </w:r>
      <w:r>
        <w:rPr>
          <w:b/>
        </w:rPr>
        <w:br/>
        <w:t>du Groupe de travail des transports de marchandises dangereuses</w:t>
      </w:r>
    </w:p>
    <w:p w:rsidR="003749C2" w:rsidRDefault="00A572B7">
      <w:pPr>
        <w:suppressAutoHyphens w:val="0"/>
        <w:spacing w:line="240" w:lineRule="auto"/>
        <w:rPr>
          <w:lang w:eastAsia="fr-CH"/>
        </w:rPr>
      </w:pPr>
      <w:r>
        <w:t>Genève</w:t>
      </w:r>
      <w:r w:rsidR="003641EC">
        <w:t>, 1</w:t>
      </w:r>
      <w:r w:rsidR="00AC4D63">
        <w:t>9</w:t>
      </w:r>
      <w:r w:rsidR="003641EC">
        <w:t>-</w:t>
      </w:r>
      <w:r w:rsidR="00AC4D63">
        <w:t>29</w:t>
      </w:r>
      <w:r w:rsidR="003641EC">
        <w:t xml:space="preserve"> </w:t>
      </w:r>
      <w:r w:rsidR="00AC4D63">
        <w:t>septembre</w:t>
      </w:r>
      <w:r w:rsidR="003641EC">
        <w:t xml:space="preserve"> 201</w:t>
      </w:r>
      <w:r w:rsidR="00AC4D63">
        <w:t>7</w:t>
      </w:r>
    </w:p>
    <w:p w:rsidR="00A572B7" w:rsidRDefault="00A572B7" w:rsidP="00A572B7">
      <w:pPr>
        <w:rPr>
          <w:lang w:eastAsia="fr-CH"/>
        </w:rPr>
      </w:pPr>
      <w:r>
        <w:rPr>
          <w:lang w:eastAsia="fr-CH"/>
        </w:rPr>
        <w:t>Point 7 de l'ordre du jour provisoire</w:t>
      </w:r>
    </w:p>
    <w:p w:rsidR="003749C2" w:rsidRPr="00B669F8" w:rsidRDefault="00A572B7" w:rsidP="00A572B7">
      <w:pPr>
        <w:rPr>
          <w:b/>
        </w:rPr>
      </w:pPr>
      <w:r>
        <w:rPr>
          <w:b/>
          <w:lang w:eastAsia="fr-CH"/>
        </w:rPr>
        <w:t>Rapports des groupes de travail informels</w:t>
      </w:r>
    </w:p>
    <w:p w:rsidR="003749C2" w:rsidRDefault="004D25D6">
      <w:pPr>
        <w:pStyle w:val="HChG"/>
        <w:rPr>
          <w:rFonts w:eastAsia="Arial"/>
        </w:rPr>
      </w:pPr>
      <w:r>
        <w:tab/>
      </w:r>
      <w:r>
        <w:tab/>
      </w:r>
      <w:r w:rsidR="00393C35">
        <w:rPr>
          <w:lang w:val="fr-FR"/>
        </w:rPr>
        <w:t>Suivi des travaux du groupe de travail informel sur la réduction du risque de BLEVE</w:t>
      </w:r>
      <w:r w:rsidR="00B41A49">
        <w:rPr>
          <w:lang w:val="fr-FR"/>
        </w:rPr>
        <w:t xml:space="preserve"> – simulations du comportement des citernes exposées au feu</w:t>
      </w:r>
    </w:p>
    <w:p w:rsidR="003749C2" w:rsidRPr="00613CA5" w:rsidRDefault="003641EC">
      <w:pPr>
        <w:pStyle w:val="H1G"/>
        <w:rPr>
          <w:rFonts w:eastAsia="Arial"/>
          <w:b w:val="0"/>
          <w:vertAlign w:val="superscript"/>
        </w:rPr>
      </w:pPr>
      <w:r>
        <w:rPr>
          <w:rFonts w:eastAsia="Arial"/>
          <w:lang w:val="fr-FR"/>
        </w:rPr>
        <w:tab/>
      </w:r>
      <w:r>
        <w:rPr>
          <w:rFonts w:eastAsia="Arial"/>
          <w:lang w:val="fr-FR"/>
        </w:rPr>
        <w:tab/>
        <w:t xml:space="preserve">Communication du Gouvernement de la </w:t>
      </w:r>
      <w:r w:rsidR="00B41A49">
        <w:rPr>
          <w:rFonts w:eastAsia="Arial"/>
          <w:lang w:val="fr-FR"/>
        </w:rPr>
        <w:t>France</w:t>
      </w:r>
      <w:r w:rsidR="00613CA5" w:rsidRPr="00393C35">
        <w:rPr>
          <w:rStyle w:val="FootnoteReference"/>
          <w:rFonts w:eastAsia="Arial"/>
          <w:sz w:val="20"/>
        </w:rPr>
        <w:footnoteReference w:id="2"/>
      </w:r>
      <w:r w:rsidR="00613CA5" w:rsidRPr="00393C35">
        <w:rPr>
          <w:rFonts w:eastAsia="Arial"/>
          <w:b w:val="0"/>
          <w:sz w:val="20"/>
          <w:vertAlign w:val="superscript"/>
          <w:lang w:val="fr-FR"/>
        </w:rPr>
        <w:t xml:space="preserve">, </w:t>
      </w:r>
      <w:r w:rsidR="00613CA5" w:rsidRPr="00393C35">
        <w:rPr>
          <w:rStyle w:val="FootnoteReference"/>
          <w:rFonts w:eastAsia="Arial"/>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749C2">
        <w:trPr>
          <w:jc w:val="center"/>
        </w:trPr>
        <w:tc>
          <w:tcPr>
            <w:tcW w:w="9637" w:type="dxa"/>
            <w:shd w:val="clear" w:color="auto" w:fill="auto"/>
          </w:tcPr>
          <w:p w:rsidR="003749C2" w:rsidRDefault="003641EC">
            <w:pPr>
              <w:spacing w:before="240" w:after="120"/>
              <w:ind w:left="255"/>
              <w:rPr>
                <w:i/>
                <w:sz w:val="24"/>
              </w:rPr>
            </w:pPr>
            <w:r>
              <w:rPr>
                <w:i/>
                <w:sz w:val="24"/>
              </w:rPr>
              <w:t>Résumé</w:t>
            </w:r>
          </w:p>
        </w:tc>
      </w:tr>
      <w:tr w:rsidR="003749C2">
        <w:trPr>
          <w:jc w:val="center"/>
        </w:trPr>
        <w:tc>
          <w:tcPr>
            <w:tcW w:w="9637" w:type="dxa"/>
            <w:shd w:val="clear" w:color="auto" w:fill="auto"/>
          </w:tcPr>
          <w:p w:rsidR="003749C2" w:rsidRDefault="003641EC" w:rsidP="00393C35">
            <w:pPr>
              <w:pStyle w:val="SingleTxtG"/>
              <w:tabs>
                <w:tab w:val="left" w:pos="3260"/>
              </w:tabs>
              <w:ind w:left="3260" w:hanging="2126"/>
            </w:pPr>
            <w:r>
              <w:rPr>
                <w:b/>
              </w:rPr>
              <w:t>Résumé analytique:</w:t>
            </w:r>
            <w:r>
              <w:rPr>
                <w:b/>
              </w:rPr>
              <w:tab/>
            </w:r>
            <w:r w:rsidR="00B41A49">
              <w:t xml:space="preserve">Informer la </w:t>
            </w:r>
            <w:r w:rsidR="00393C35">
              <w:t>R</w:t>
            </w:r>
            <w:r w:rsidR="00B41A49">
              <w:t>éunion commune de l’avancement des calculs effectués par l’INERIS pour évaluer l’efficacité des systèmes de protection des citernes et leur comportement dans un feu.</w:t>
            </w:r>
          </w:p>
        </w:tc>
      </w:tr>
      <w:tr w:rsidR="003749C2">
        <w:trPr>
          <w:jc w:val="center"/>
        </w:trPr>
        <w:tc>
          <w:tcPr>
            <w:tcW w:w="9637" w:type="dxa"/>
            <w:shd w:val="clear" w:color="auto" w:fill="auto"/>
          </w:tcPr>
          <w:p w:rsidR="003749C2" w:rsidRDefault="003641EC" w:rsidP="004D25D6">
            <w:pPr>
              <w:pStyle w:val="SingleTxtG"/>
              <w:tabs>
                <w:tab w:val="left" w:pos="3260"/>
              </w:tabs>
              <w:ind w:left="3260" w:hanging="2126"/>
            </w:pPr>
            <w:r>
              <w:rPr>
                <w:b/>
              </w:rPr>
              <w:t>Mesures à prendre:</w:t>
            </w:r>
            <w:r>
              <w:rPr>
                <w:b/>
              </w:rPr>
              <w:tab/>
            </w:r>
            <w:r w:rsidR="00B41A49" w:rsidRPr="00B41A49">
              <w:t>Rapport de la Réunion commune de la Commission d'experts du RID et du Groupe de travail des transports de marchandises dangereuses sur sa session de printemps 2017 ECE/TRANS/WP.15/AC.1/146</w:t>
            </w:r>
            <w:r w:rsidR="00393C35">
              <w:t>,</w:t>
            </w:r>
            <w:r w:rsidR="00B41A49" w:rsidRPr="00B41A49">
              <w:t xml:space="preserve"> paragraphes 43 à 47</w:t>
            </w:r>
            <w:r w:rsidR="00AC4D63">
              <w:t>.</w:t>
            </w:r>
          </w:p>
        </w:tc>
      </w:tr>
      <w:tr w:rsidR="003749C2">
        <w:trPr>
          <w:jc w:val="center"/>
        </w:trPr>
        <w:tc>
          <w:tcPr>
            <w:tcW w:w="9637" w:type="dxa"/>
            <w:shd w:val="clear" w:color="auto" w:fill="auto"/>
          </w:tcPr>
          <w:p w:rsidR="003749C2" w:rsidRDefault="003749C2" w:rsidP="004D25D6">
            <w:pPr>
              <w:pStyle w:val="SingleTxtG"/>
              <w:tabs>
                <w:tab w:val="left" w:pos="3260"/>
              </w:tabs>
              <w:ind w:left="3260" w:hanging="2126"/>
            </w:pPr>
          </w:p>
        </w:tc>
      </w:tr>
      <w:tr w:rsidR="003749C2">
        <w:trPr>
          <w:jc w:val="center"/>
        </w:trPr>
        <w:tc>
          <w:tcPr>
            <w:tcW w:w="9637" w:type="dxa"/>
            <w:shd w:val="clear" w:color="auto" w:fill="auto"/>
          </w:tcPr>
          <w:p w:rsidR="003749C2" w:rsidRDefault="003749C2"/>
        </w:tc>
      </w:tr>
    </w:tbl>
    <w:p w:rsidR="00A46F65" w:rsidRDefault="00566F6F" w:rsidP="00DD0BC6">
      <w:pPr>
        <w:pStyle w:val="HChG"/>
      </w:pPr>
      <w:r>
        <w:lastRenderedPageBreak/>
        <w:tab/>
      </w:r>
      <w:r>
        <w:tab/>
      </w:r>
      <w:r w:rsidR="00A46F65">
        <w:rPr>
          <w:lang w:val="fr-FR"/>
        </w:rPr>
        <w:t>Introduction</w:t>
      </w:r>
    </w:p>
    <w:p w:rsidR="00A46F65" w:rsidRDefault="00DD0BC6" w:rsidP="00DD0BC6">
      <w:pPr>
        <w:pStyle w:val="SingleTxtG"/>
      </w:pPr>
      <w:r>
        <w:t>1.</w:t>
      </w:r>
      <w:r>
        <w:tab/>
      </w:r>
      <w:r w:rsidR="00A46F65">
        <w:t>Lors</w:t>
      </w:r>
      <w:r w:rsidR="008D029D">
        <w:t xml:space="preserve"> de la dernière session de la R</w:t>
      </w:r>
      <w:r w:rsidR="00A46F65">
        <w:t>éunion comm</w:t>
      </w:r>
      <w:r w:rsidR="008D029D">
        <w:t>une, l’INERIS, à la demande du G</w:t>
      </w:r>
      <w:r w:rsidR="00A46F65">
        <w:t xml:space="preserve">ouvernement de la France a présenté un outil de modélisation permettant d’estimer le comportement d’une citerne de gaz ou de liquide </w:t>
      </w:r>
      <w:r w:rsidR="00204995">
        <w:t>inflammable soumise</w:t>
      </w:r>
      <w:r w:rsidR="00A46F65">
        <w:t xml:space="preserve"> à un incendie. </w:t>
      </w:r>
    </w:p>
    <w:p w:rsidR="00A46F65" w:rsidRDefault="00DD0BC6" w:rsidP="00DD0BC6">
      <w:pPr>
        <w:pStyle w:val="SingleTxtG"/>
      </w:pPr>
      <w:r>
        <w:t>2.</w:t>
      </w:r>
      <w:r>
        <w:tab/>
      </w:r>
      <w:r w:rsidR="00A46F65">
        <w:t xml:space="preserve">A la suite de cette présentation, la délégation française avait invité les </w:t>
      </w:r>
      <w:r w:rsidR="008563BF">
        <w:t xml:space="preserve">autres </w:t>
      </w:r>
      <w:r w:rsidR="00A46F65">
        <w:t xml:space="preserve">délégations à lui transmettre les cas d’études qu’ils souhaitaient voir étudier. Il peut s’agir de données expérimentales ou post accidentelles visant à enrichir le modèle développé par l’INERIS ou bien de demandes de calculs précis afin d’alimenter la réflexion menée sur la mitigation du phénomène de BLEVE. </w:t>
      </w:r>
    </w:p>
    <w:p w:rsidR="00A46F65" w:rsidRDefault="00DD0BC6" w:rsidP="00DD0BC6">
      <w:pPr>
        <w:pStyle w:val="SingleTxtG"/>
      </w:pPr>
      <w:r>
        <w:t>3.</w:t>
      </w:r>
      <w:r>
        <w:tab/>
      </w:r>
      <w:r w:rsidR="00A46F65">
        <w:t>La France tient à remercier les délégations ayant transmis de premiers éléments lui permettant ainsi de procéder à de nouveaux calculs</w:t>
      </w:r>
    </w:p>
    <w:p w:rsidR="00A46F65" w:rsidRDefault="00DD0BC6" w:rsidP="00DD0BC6">
      <w:pPr>
        <w:pStyle w:val="SingleTxtG"/>
      </w:pPr>
      <w:r>
        <w:t>4.</w:t>
      </w:r>
      <w:r>
        <w:tab/>
      </w:r>
      <w:r w:rsidR="00A46F65">
        <w:t>Cependant compte tenu de délais de transmissions un programme complet de simulation n’a pas pu être réalisé dans des délais compatibles avec la transmission d’un document officiel à la réunion commune.</w:t>
      </w:r>
    </w:p>
    <w:p w:rsidR="00A46F65" w:rsidRDefault="00DD0BC6" w:rsidP="00DD0BC6">
      <w:pPr>
        <w:pStyle w:val="SingleTxtG"/>
      </w:pPr>
      <w:r>
        <w:t>5.</w:t>
      </w:r>
      <w:r>
        <w:tab/>
      </w:r>
      <w:r w:rsidR="00A46F65">
        <w:t>Ce document vise à donner quelques résultats déjà obtenus et à annoncer un programme de calculs plus complet</w:t>
      </w:r>
    </w:p>
    <w:p w:rsidR="00A46F65" w:rsidRDefault="00DD0BC6" w:rsidP="00DD0BC6">
      <w:pPr>
        <w:pStyle w:val="SingleTxtG"/>
      </w:pPr>
      <w:r>
        <w:t>6.</w:t>
      </w:r>
      <w:r>
        <w:tab/>
      </w:r>
      <w:r w:rsidR="00A46F65">
        <w:t>Par ailleurs, les délégations qui le souhaitent peuvent encore transmettre les données qui seraient e</w:t>
      </w:r>
      <w:r w:rsidR="008563BF">
        <w:t>n</w:t>
      </w:r>
      <w:r w:rsidR="00A46F65">
        <w:t xml:space="preserve"> leur possession afin d’être intégrées à la démarche.</w:t>
      </w:r>
    </w:p>
    <w:p w:rsidR="00A46F65" w:rsidRDefault="008563BF" w:rsidP="008563BF">
      <w:pPr>
        <w:pStyle w:val="HChG"/>
      </w:pPr>
      <w:r>
        <w:rPr>
          <w:lang w:val="fr-FR"/>
        </w:rPr>
        <w:tab/>
      </w:r>
      <w:r>
        <w:rPr>
          <w:lang w:val="fr-FR"/>
        </w:rPr>
        <w:tab/>
      </w:r>
      <w:r w:rsidR="00A46F65">
        <w:rPr>
          <w:lang w:val="fr-FR"/>
        </w:rPr>
        <w:t>Éléments transmis par diverses délégations</w:t>
      </w:r>
    </w:p>
    <w:p w:rsidR="00A46F65" w:rsidRPr="00204995" w:rsidRDefault="008563BF" w:rsidP="00204995">
      <w:pPr>
        <w:pStyle w:val="SingleTxtG"/>
      </w:pPr>
      <w:r w:rsidRPr="00204995">
        <w:t>7.</w:t>
      </w:r>
      <w:r w:rsidRPr="00204995">
        <w:tab/>
        <w:t>Les Pays-B</w:t>
      </w:r>
      <w:r w:rsidR="00A46F65" w:rsidRPr="00204995">
        <w:t>as et l’AEGPL ont transmis des éléments</w:t>
      </w:r>
    </w:p>
    <w:p w:rsidR="00A46F65" w:rsidRPr="00204995" w:rsidRDefault="008563BF" w:rsidP="00204995">
      <w:pPr>
        <w:pStyle w:val="SingleTxtG"/>
      </w:pPr>
      <w:r w:rsidRPr="00204995">
        <w:t>8.</w:t>
      </w:r>
      <w:r w:rsidRPr="00204995">
        <w:tab/>
      </w:r>
      <w:r w:rsidR="00A46F65" w:rsidRPr="00204995">
        <w:t>La délégation des Pays Bas a transmis les quatre résultats d’essais suivants.</w:t>
      </w:r>
    </w:p>
    <w:p w:rsidR="008563BF" w:rsidRPr="008563BF" w:rsidRDefault="008563BF" w:rsidP="00E2668C">
      <w:pPr>
        <w:pStyle w:val="SingleTxtG"/>
        <w:jc w:val="center"/>
        <w:rPr>
          <w:b/>
        </w:rPr>
      </w:pPr>
      <w:r w:rsidRPr="008563BF">
        <w:rPr>
          <w:b/>
        </w:rPr>
        <w:t xml:space="preserve">Tableau </w:t>
      </w:r>
      <w:r w:rsidRPr="008563BF">
        <w:rPr>
          <w:b/>
        </w:rPr>
        <w:fldChar w:fldCharType="begin"/>
      </w:r>
      <w:r w:rsidRPr="008563BF">
        <w:rPr>
          <w:b/>
        </w:rPr>
        <w:instrText>SEQ Tableau \* ARABIC</w:instrText>
      </w:r>
      <w:r w:rsidRPr="008563BF">
        <w:rPr>
          <w:b/>
        </w:rPr>
        <w:fldChar w:fldCharType="separate"/>
      </w:r>
      <w:r w:rsidRPr="008563BF">
        <w:rPr>
          <w:b/>
        </w:rPr>
        <w:t>1</w:t>
      </w:r>
      <w:r w:rsidRPr="008563BF">
        <w:rPr>
          <w:b/>
        </w:rPr>
        <w:fldChar w:fldCharType="end"/>
      </w:r>
      <w:r w:rsidRPr="008563BF">
        <w:rPr>
          <w:b/>
        </w:rPr>
        <w:t> : Configurations envo</w:t>
      </w:r>
      <w:r>
        <w:rPr>
          <w:b/>
        </w:rPr>
        <w:t>yées par la délégation des Pays-</w:t>
      </w:r>
      <w:r w:rsidRPr="008563BF">
        <w:rPr>
          <w:b/>
        </w:rPr>
        <w:t>Bas à l’INERIS</w:t>
      </w:r>
    </w:p>
    <w:tbl>
      <w:tblPr>
        <w:tblStyle w:val="TableGrid"/>
        <w:tblW w:w="5000" w:type="pct"/>
        <w:tblCellMar>
          <w:left w:w="108" w:type="dxa"/>
          <w:right w:w="108" w:type="dxa"/>
        </w:tblCellMar>
        <w:tblLook w:val="04A0" w:firstRow="1" w:lastRow="0" w:firstColumn="1" w:lastColumn="0" w:noHBand="0" w:noVBand="1"/>
      </w:tblPr>
      <w:tblGrid>
        <w:gridCol w:w="1818"/>
        <w:gridCol w:w="1939"/>
        <w:gridCol w:w="1967"/>
        <w:gridCol w:w="1939"/>
        <w:gridCol w:w="1966"/>
      </w:tblGrid>
      <w:tr w:rsidR="00A46F65" w:rsidRPr="00204995" w:rsidTr="008563BF">
        <w:tc>
          <w:tcPr>
            <w:tcW w:w="1818" w:type="dxa"/>
            <w:shd w:val="clear" w:color="auto" w:fill="auto"/>
            <w:tcMar>
              <w:left w:w="108" w:type="dxa"/>
            </w:tcMar>
            <w:vAlign w:val="center"/>
          </w:tcPr>
          <w:p w:rsidR="00A46F65" w:rsidRPr="00204995" w:rsidRDefault="00A46F65" w:rsidP="00204995">
            <w:pPr>
              <w:spacing w:before="60" w:after="60" w:line="240" w:lineRule="auto"/>
              <w:jc w:val="center"/>
            </w:pPr>
          </w:p>
        </w:tc>
        <w:tc>
          <w:tcPr>
            <w:tcW w:w="3906" w:type="dxa"/>
            <w:gridSpan w:val="2"/>
            <w:shd w:val="clear" w:color="auto" w:fill="auto"/>
            <w:tcMar>
              <w:left w:w="108" w:type="dxa"/>
            </w:tcMar>
            <w:vAlign w:val="center"/>
          </w:tcPr>
          <w:p w:rsidR="00A46F65" w:rsidRPr="00204995" w:rsidRDefault="00A46F65" w:rsidP="00204995">
            <w:pPr>
              <w:spacing w:before="60" w:after="60" w:line="240" w:lineRule="auto"/>
              <w:jc w:val="center"/>
            </w:pPr>
            <w:r w:rsidRPr="00204995">
              <w:rPr>
                <w:b/>
              </w:rPr>
              <w:t>Bonfire Test</w:t>
            </w:r>
          </w:p>
        </w:tc>
        <w:tc>
          <w:tcPr>
            <w:tcW w:w="3905" w:type="dxa"/>
            <w:gridSpan w:val="2"/>
            <w:shd w:val="clear" w:color="auto" w:fill="auto"/>
            <w:tcMar>
              <w:left w:w="108" w:type="dxa"/>
            </w:tcMar>
            <w:vAlign w:val="center"/>
          </w:tcPr>
          <w:p w:rsidR="00A46F65" w:rsidRPr="00204995" w:rsidRDefault="00A46F65" w:rsidP="00204995">
            <w:pPr>
              <w:spacing w:before="60" w:after="60" w:line="240" w:lineRule="auto"/>
              <w:jc w:val="center"/>
            </w:pPr>
            <w:r w:rsidRPr="00204995">
              <w:rPr>
                <w:b/>
              </w:rPr>
              <w:t>Essai 3m</w:t>
            </w:r>
            <w:r w:rsidRPr="00204995">
              <w:rPr>
                <w:b/>
                <w:vertAlign w:val="superscript"/>
              </w:rPr>
              <w:t>3</w:t>
            </w:r>
            <w:r w:rsidRPr="00204995">
              <w:rPr>
                <w:b/>
              </w:rPr>
              <w:t xml:space="preserve"> LPG</w:t>
            </w:r>
          </w:p>
        </w:tc>
      </w:tr>
      <w:tr w:rsidR="00A46F65" w:rsidRPr="00204995" w:rsidTr="008563BF">
        <w:tc>
          <w:tcPr>
            <w:tcW w:w="1818" w:type="dxa"/>
            <w:shd w:val="clear" w:color="auto" w:fill="auto"/>
            <w:tcMar>
              <w:left w:w="108" w:type="dxa"/>
            </w:tcMar>
            <w:vAlign w:val="center"/>
          </w:tcPr>
          <w:p w:rsidR="00A46F65" w:rsidRPr="00204995" w:rsidRDefault="00A46F65" w:rsidP="00204995">
            <w:pPr>
              <w:spacing w:before="60" w:after="60" w:line="240" w:lineRule="auto"/>
              <w:jc w:val="center"/>
            </w:pPr>
            <w:r w:rsidRPr="00204995">
              <w:rPr>
                <w:b/>
              </w:rPr>
              <w:t>Dimension de la citerne</w:t>
            </w:r>
          </w:p>
        </w:tc>
        <w:tc>
          <w:tcPr>
            <w:tcW w:w="3906" w:type="dxa"/>
            <w:gridSpan w:val="2"/>
            <w:shd w:val="clear" w:color="auto" w:fill="auto"/>
            <w:tcMar>
              <w:left w:w="108" w:type="dxa"/>
            </w:tcMar>
            <w:vAlign w:val="center"/>
          </w:tcPr>
          <w:p w:rsidR="00A46F65" w:rsidRPr="00204995" w:rsidRDefault="00A46F65" w:rsidP="00204995">
            <w:pPr>
              <w:spacing w:before="60" w:after="60" w:line="240" w:lineRule="auto"/>
              <w:jc w:val="center"/>
            </w:pPr>
            <w:r w:rsidRPr="00204995">
              <w:t>Longueur : 2,6 m</w:t>
            </w:r>
          </w:p>
          <w:p w:rsidR="00A46F65" w:rsidRPr="00204995" w:rsidRDefault="00A46F65" w:rsidP="00204995">
            <w:pPr>
              <w:spacing w:before="60" w:after="60" w:line="240" w:lineRule="auto"/>
              <w:jc w:val="center"/>
            </w:pPr>
            <w:r w:rsidRPr="00204995">
              <w:t>Diamètre : 1,25 m</w:t>
            </w:r>
          </w:p>
          <w:p w:rsidR="00A46F65" w:rsidRPr="00204995" w:rsidRDefault="00A46F65" w:rsidP="00204995">
            <w:pPr>
              <w:spacing w:before="60" w:after="60" w:line="240" w:lineRule="auto"/>
              <w:jc w:val="center"/>
            </w:pPr>
            <w:r w:rsidRPr="00204995">
              <w:t>Epaisseur 5,1 mm</w:t>
            </w:r>
          </w:p>
        </w:tc>
        <w:tc>
          <w:tcPr>
            <w:tcW w:w="3905" w:type="dxa"/>
            <w:gridSpan w:val="2"/>
            <w:shd w:val="clear" w:color="auto" w:fill="auto"/>
            <w:tcMar>
              <w:left w:w="108" w:type="dxa"/>
            </w:tcMar>
            <w:vAlign w:val="center"/>
          </w:tcPr>
          <w:p w:rsidR="00A46F65" w:rsidRPr="00204995" w:rsidRDefault="00A46F65" w:rsidP="00204995">
            <w:pPr>
              <w:spacing w:before="60" w:after="60" w:line="240" w:lineRule="auto"/>
              <w:jc w:val="center"/>
            </w:pPr>
            <w:r w:rsidRPr="00204995">
              <w:t>Longueur : 2,68 m</w:t>
            </w:r>
          </w:p>
          <w:p w:rsidR="00A46F65" w:rsidRPr="00204995" w:rsidRDefault="00A46F65" w:rsidP="00204995">
            <w:pPr>
              <w:spacing w:before="60" w:after="60" w:line="240" w:lineRule="auto"/>
              <w:jc w:val="center"/>
            </w:pPr>
            <w:r w:rsidRPr="00204995">
              <w:t>Diamètre : 1,25 m</w:t>
            </w:r>
          </w:p>
          <w:p w:rsidR="00A46F65" w:rsidRPr="00204995" w:rsidRDefault="00A46F65" w:rsidP="00204995">
            <w:pPr>
              <w:spacing w:before="60" w:after="60" w:line="240" w:lineRule="auto"/>
              <w:jc w:val="center"/>
            </w:pPr>
            <w:r w:rsidRPr="00204995">
              <w:t>Epaisseur 5,1 mm</w:t>
            </w:r>
          </w:p>
        </w:tc>
      </w:tr>
      <w:tr w:rsidR="00A46F65" w:rsidRPr="00204995" w:rsidTr="008563BF">
        <w:tc>
          <w:tcPr>
            <w:tcW w:w="1818" w:type="dxa"/>
            <w:shd w:val="clear" w:color="auto" w:fill="auto"/>
            <w:tcMar>
              <w:left w:w="108" w:type="dxa"/>
            </w:tcMar>
            <w:vAlign w:val="center"/>
          </w:tcPr>
          <w:p w:rsidR="00A46F65" w:rsidRPr="00204995" w:rsidRDefault="00A46F65" w:rsidP="00204995">
            <w:pPr>
              <w:spacing w:before="60" w:after="60" w:line="240" w:lineRule="auto"/>
              <w:jc w:val="center"/>
            </w:pPr>
            <w:r w:rsidRPr="00204995">
              <w:rPr>
                <w:b/>
              </w:rPr>
              <w:t>Taux de remplissage</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80% LPG</w:t>
            </w:r>
          </w:p>
        </w:tc>
        <w:tc>
          <w:tcPr>
            <w:tcW w:w="1967" w:type="dxa"/>
            <w:shd w:val="clear" w:color="auto" w:fill="auto"/>
            <w:tcMar>
              <w:left w:w="108" w:type="dxa"/>
            </w:tcMar>
            <w:vAlign w:val="center"/>
          </w:tcPr>
          <w:p w:rsidR="00A46F65" w:rsidRPr="00204995" w:rsidRDefault="00A46F65" w:rsidP="00204995">
            <w:pPr>
              <w:spacing w:before="60" w:after="60" w:line="240" w:lineRule="auto"/>
              <w:jc w:val="center"/>
            </w:pPr>
            <w:r w:rsidRPr="00204995">
              <w:t>50% LPG</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80%</w:t>
            </w:r>
          </w:p>
        </w:tc>
        <w:tc>
          <w:tcPr>
            <w:tcW w:w="1966" w:type="dxa"/>
            <w:shd w:val="clear" w:color="auto" w:fill="auto"/>
            <w:tcMar>
              <w:left w:w="108" w:type="dxa"/>
            </w:tcMar>
            <w:vAlign w:val="center"/>
          </w:tcPr>
          <w:p w:rsidR="00A46F65" w:rsidRPr="00204995" w:rsidRDefault="00A46F65" w:rsidP="00204995">
            <w:pPr>
              <w:spacing w:before="60" w:after="60" w:line="240" w:lineRule="auto"/>
              <w:jc w:val="center"/>
            </w:pPr>
            <w:r w:rsidRPr="00204995">
              <w:t>50%</w:t>
            </w:r>
          </w:p>
        </w:tc>
      </w:tr>
      <w:tr w:rsidR="00A46F65" w:rsidRPr="00204995" w:rsidTr="008563BF">
        <w:tc>
          <w:tcPr>
            <w:tcW w:w="1818" w:type="dxa"/>
            <w:shd w:val="clear" w:color="auto" w:fill="auto"/>
            <w:tcMar>
              <w:left w:w="108" w:type="dxa"/>
            </w:tcMar>
            <w:vAlign w:val="center"/>
          </w:tcPr>
          <w:p w:rsidR="00A46F65" w:rsidRPr="00204995" w:rsidRDefault="00A46F65" w:rsidP="00204995">
            <w:pPr>
              <w:spacing w:before="60" w:after="60" w:line="240" w:lineRule="auto"/>
              <w:jc w:val="center"/>
            </w:pPr>
            <w:r w:rsidRPr="00204995">
              <w:rPr>
                <w:b/>
              </w:rPr>
              <w:t>Soupape</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c>
          <w:tcPr>
            <w:tcW w:w="1967"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c>
          <w:tcPr>
            <w:tcW w:w="1966"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r>
      <w:tr w:rsidR="00A46F65" w:rsidRPr="00204995" w:rsidTr="008563BF">
        <w:tc>
          <w:tcPr>
            <w:tcW w:w="1818" w:type="dxa"/>
            <w:shd w:val="clear" w:color="auto" w:fill="auto"/>
            <w:tcMar>
              <w:left w:w="108" w:type="dxa"/>
            </w:tcMar>
            <w:vAlign w:val="center"/>
          </w:tcPr>
          <w:p w:rsidR="00A46F65" w:rsidRPr="00204995" w:rsidRDefault="00A46F65" w:rsidP="00204995">
            <w:pPr>
              <w:spacing w:before="60" w:after="60" w:line="240" w:lineRule="auto"/>
              <w:jc w:val="center"/>
            </w:pPr>
            <w:r w:rsidRPr="00204995">
              <w:rPr>
                <w:b/>
              </w:rPr>
              <w:t>Revêtement thermique</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c>
          <w:tcPr>
            <w:tcW w:w="1967"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c>
          <w:tcPr>
            <w:tcW w:w="1966" w:type="dxa"/>
            <w:shd w:val="clear" w:color="auto" w:fill="auto"/>
            <w:tcMar>
              <w:left w:w="108" w:type="dxa"/>
            </w:tcMar>
            <w:vAlign w:val="center"/>
          </w:tcPr>
          <w:p w:rsidR="00A46F65" w:rsidRPr="00204995" w:rsidRDefault="00A46F65" w:rsidP="00204995">
            <w:pPr>
              <w:spacing w:before="60" w:after="60" w:line="240" w:lineRule="auto"/>
              <w:jc w:val="center"/>
            </w:pPr>
            <w:r w:rsidRPr="00204995">
              <w:t>Oui</w:t>
            </w:r>
          </w:p>
        </w:tc>
      </w:tr>
      <w:tr w:rsidR="00A46F65" w:rsidRPr="00204995" w:rsidTr="008563BF">
        <w:tc>
          <w:tcPr>
            <w:tcW w:w="1818" w:type="dxa"/>
            <w:shd w:val="clear" w:color="auto" w:fill="auto"/>
            <w:tcMar>
              <w:left w:w="108" w:type="dxa"/>
            </w:tcMar>
            <w:vAlign w:val="center"/>
          </w:tcPr>
          <w:p w:rsidR="00A46F65" w:rsidRPr="00204995" w:rsidRDefault="00A46F65" w:rsidP="00204995">
            <w:pPr>
              <w:spacing w:before="60" w:after="60" w:line="240" w:lineRule="auto"/>
              <w:jc w:val="center"/>
            </w:pPr>
            <w:r w:rsidRPr="00204995">
              <w:rPr>
                <w:b/>
              </w:rPr>
              <w:t>Résultats de l’essai</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Ouvertures multiples de la soupape</w:t>
            </w:r>
          </w:p>
          <w:p w:rsidR="00A46F65" w:rsidRPr="00204995" w:rsidRDefault="00A46F65" w:rsidP="00204995">
            <w:pPr>
              <w:spacing w:before="60" w:after="60" w:line="240" w:lineRule="auto"/>
              <w:jc w:val="center"/>
            </w:pPr>
            <w:r w:rsidRPr="00204995">
              <w:t>Pas d’explosion dans les 98 min de l’essai</w:t>
            </w:r>
          </w:p>
        </w:tc>
        <w:tc>
          <w:tcPr>
            <w:tcW w:w="1967" w:type="dxa"/>
            <w:shd w:val="clear" w:color="auto" w:fill="auto"/>
            <w:tcMar>
              <w:left w:w="108" w:type="dxa"/>
            </w:tcMar>
            <w:vAlign w:val="center"/>
          </w:tcPr>
          <w:p w:rsidR="00A46F65" w:rsidRPr="00204995" w:rsidRDefault="00A46F65" w:rsidP="00204995">
            <w:pPr>
              <w:spacing w:before="60" w:after="60" w:line="240" w:lineRule="auto"/>
              <w:jc w:val="center"/>
            </w:pPr>
            <w:r w:rsidRPr="00204995">
              <w:t>Ouvertures multiples de la soupape</w:t>
            </w:r>
          </w:p>
          <w:p w:rsidR="00A46F65" w:rsidRPr="00204995" w:rsidRDefault="00A46F65" w:rsidP="00204995">
            <w:pPr>
              <w:spacing w:before="60" w:after="60" w:line="240" w:lineRule="auto"/>
              <w:jc w:val="center"/>
            </w:pPr>
            <w:r w:rsidRPr="00204995">
              <w:t>Pas d’explosion dans les 112 min de l’essai</w:t>
            </w:r>
          </w:p>
        </w:tc>
        <w:tc>
          <w:tcPr>
            <w:tcW w:w="1939" w:type="dxa"/>
            <w:shd w:val="clear" w:color="auto" w:fill="auto"/>
            <w:tcMar>
              <w:left w:w="108" w:type="dxa"/>
            </w:tcMar>
            <w:vAlign w:val="center"/>
          </w:tcPr>
          <w:p w:rsidR="00A46F65" w:rsidRPr="00204995" w:rsidRDefault="00A46F65" w:rsidP="00204995">
            <w:pPr>
              <w:spacing w:before="60" w:after="60" w:line="240" w:lineRule="auto"/>
              <w:jc w:val="center"/>
            </w:pPr>
            <w:r w:rsidRPr="00204995">
              <w:t>Ouvertures multiples de la soupape</w:t>
            </w:r>
          </w:p>
          <w:p w:rsidR="00A46F65" w:rsidRPr="00204995" w:rsidRDefault="00A46F65" w:rsidP="00204995">
            <w:pPr>
              <w:spacing w:before="60" w:after="60" w:line="240" w:lineRule="auto"/>
              <w:jc w:val="center"/>
            </w:pPr>
            <w:r w:rsidRPr="00204995">
              <w:t>Pas d’explosion dans les 98 min de l’essai</w:t>
            </w:r>
          </w:p>
        </w:tc>
        <w:tc>
          <w:tcPr>
            <w:tcW w:w="1966" w:type="dxa"/>
            <w:shd w:val="clear" w:color="auto" w:fill="auto"/>
            <w:tcMar>
              <w:left w:w="108" w:type="dxa"/>
            </w:tcMar>
            <w:vAlign w:val="center"/>
          </w:tcPr>
          <w:p w:rsidR="00A46F65" w:rsidRPr="00204995" w:rsidRDefault="00A46F65" w:rsidP="00204995">
            <w:pPr>
              <w:spacing w:before="60" w:after="60" w:line="240" w:lineRule="auto"/>
              <w:jc w:val="center"/>
            </w:pPr>
            <w:r w:rsidRPr="00204995">
              <w:t>Ouvertures multiples de la soupape</w:t>
            </w:r>
          </w:p>
          <w:p w:rsidR="00A46F65" w:rsidRPr="00204995" w:rsidRDefault="00A46F65" w:rsidP="00204995">
            <w:pPr>
              <w:spacing w:before="60" w:after="60" w:line="240" w:lineRule="auto"/>
              <w:jc w:val="center"/>
            </w:pPr>
            <w:r w:rsidRPr="00204995">
              <w:t>Pas d’explosion dans les 112 min de l’essai</w:t>
            </w:r>
          </w:p>
        </w:tc>
      </w:tr>
    </w:tbl>
    <w:p w:rsidR="00A46F65" w:rsidRDefault="00A46F65" w:rsidP="00A46F65">
      <w:pPr>
        <w:jc w:val="both"/>
        <w:rPr>
          <w:sz w:val="22"/>
          <w:szCs w:val="22"/>
        </w:rPr>
      </w:pPr>
    </w:p>
    <w:p w:rsidR="00064ABB" w:rsidRDefault="00064ABB" w:rsidP="00A46F65">
      <w:pPr>
        <w:jc w:val="both"/>
        <w:rPr>
          <w:sz w:val="22"/>
          <w:szCs w:val="22"/>
        </w:rPr>
      </w:pPr>
    </w:p>
    <w:p w:rsidR="00064ABB" w:rsidRDefault="00064ABB" w:rsidP="00A46F65">
      <w:pPr>
        <w:jc w:val="both"/>
        <w:rPr>
          <w:sz w:val="22"/>
          <w:szCs w:val="22"/>
        </w:rPr>
      </w:pPr>
    </w:p>
    <w:p w:rsidR="00064ABB" w:rsidRDefault="00064ABB" w:rsidP="00A46F65">
      <w:pPr>
        <w:jc w:val="both"/>
        <w:rPr>
          <w:sz w:val="22"/>
          <w:szCs w:val="22"/>
        </w:rPr>
      </w:pPr>
    </w:p>
    <w:p w:rsidR="00064ABB" w:rsidRDefault="00064ABB" w:rsidP="00A46F65">
      <w:pPr>
        <w:jc w:val="both"/>
        <w:rPr>
          <w:sz w:val="22"/>
          <w:szCs w:val="22"/>
        </w:rPr>
      </w:pPr>
    </w:p>
    <w:p w:rsidR="00064ABB" w:rsidRDefault="00064ABB" w:rsidP="00A46F65">
      <w:pPr>
        <w:jc w:val="both"/>
        <w:rPr>
          <w:sz w:val="22"/>
          <w:szCs w:val="22"/>
        </w:rPr>
      </w:pPr>
    </w:p>
    <w:p w:rsidR="00064ABB" w:rsidRPr="00064ABB" w:rsidRDefault="00064ABB" w:rsidP="00064ABB">
      <w:pPr>
        <w:pStyle w:val="SingleTxtG"/>
        <w:jc w:val="center"/>
        <w:rPr>
          <w:b/>
        </w:rPr>
      </w:pPr>
      <w:r w:rsidRPr="00064ABB">
        <w:rPr>
          <w:b/>
          <w:lang w:val="fr-FR"/>
        </w:rPr>
        <w:lastRenderedPageBreak/>
        <w:t xml:space="preserve">Figure </w:t>
      </w:r>
      <w:r w:rsidRPr="00064ABB">
        <w:rPr>
          <w:b/>
          <w:lang w:val="fr-FR"/>
        </w:rPr>
        <w:fldChar w:fldCharType="begin"/>
      </w:r>
      <w:r w:rsidRPr="00064ABB">
        <w:rPr>
          <w:b/>
        </w:rPr>
        <w:instrText>SEQ Figure \* ARABIC</w:instrText>
      </w:r>
      <w:r w:rsidRPr="00064ABB">
        <w:rPr>
          <w:b/>
        </w:rPr>
        <w:fldChar w:fldCharType="separate"/>
      </w:r>
      <w:r w:rsidRPr="00064ABB">
        <w:rPr>
          <w:b/>
        </w:rPr>
        <w:t>1</w:t>
      </w:r>
      <w:r w:rsidRPr="00064ABB">
        <w:rPr>
          <w:b/>
        </w:rPr>
        <w:fldChar w:fldCharType="end"/>
      </w:r>
      <w:r w:rsidRPr="00064ABB">
        <w:rPr>
          <w:b/>
          <w:lang w:val="fr-FR"/>
        </w:rPr>
        <w:t> : Essai 3m3 LPG tran</w:t>
      </w:r>
      <w:r>
        <w:rPr>
          <w:b/>
          <w:lang w:val="fr-FR"/>
        </w:rPr>
        <w:t>smis par la délégation des Pays-</w:t>
      </w:r>
      <w:r w:rsidRPr="00064ABB">
        <w:rPr>
          <w:b/>
          <w:lang w:val="fr-FR"/>
        </w:rPr>
        <w:t>Bas</w:t>
      </w:r>
    </w:p>
    <w:p w:rsidR="00064ABB" w:rsidRDefault="00064ABB" w:rsidP="00A46F65">
      <w:pPr>
        <w:jc w:val="both"/>
        <w:rPr>
          <w:sz w:val="22"/>
          <w:szCs w:val="22"/>
        </w:rPr>
      </w:pPr>
      <w:r>
        <w:rPr>
          <w:noProof/>
          <w:sz w:val="22"/>
          <w:szCs w:val="22"/>
          <w:lang w:val="en-US"/>
        </w:rPr>
        <w:drawing>
          <wp:inline distT="0" distB="0" distL="0" distR="0" wp14:anchorId="7A66EBB4" wp14:editId="596D6089">
            <wp:extent cx="5105400" cy="2057400"/>
            <wp:effectExtent l="0" t="0" r="0" b="0"/>
            <wp:docPr id="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pic:cNvPicPr>
                      <a:picLocks noChangeAspect="1" noChangeArrowheads="1"/>
                    </pic:cNvPicPr>
                  </pic:nvPicPr>
                  <pic:blipFill>
                    <a:blip r:embed="rId10"/>
                    <a:stretch>
                      <a:fillRect/>
                    </a:stretch>
                  </pic:blipFill>
                  <pic:spPr bwMode="auto">
                    <a:xfrm>
                      <a:off x="0" y="0"/>
                      <a:ext cx="5105400" cy="2057400"/>
                    </a:xfrm>
                    <a:prstGeom prst="rect">
                      <a:avLst/>
                    </a:prstGeom>
                  </pic:spPr>
                </pic:pic>
              </a:graphicData>
            </a:graphic>
          </wp:inline>
        </w:drawing>
      </w:r>
    </w:p>
    <w:p w:rsidR="00A46F65" w:rsidRDefault="00064ABB" w:rsidP="00064ABB">
      <w:pPr>
        <w:pStyle w:val="SingleTxtG"/>
      </w:pPr>
      <w:r>
        <w:rPr>
          <w:lang w:val="fr-FR"/>
        </w:rPr>
        <w:t>Ceux-</w:t>
      </w:r>
      <w:r w:rsidR="00A46F65">
        <w:rPr>
          <w:lang w:val="fr-FR"/>
        </w:rPr>
        <w:t>ci confirment les résultats des autres essais notamment ceux effectués au BAM</w:t>
      </w:r>
      <w:r w:rsidR="00E2668C">
        <w:rPr>
          <w:lang w:val="fr-FR"/>
        </w:rPr>
        <w:t>.</w:t>
      </w:r>
    </w:p>
    <w:p w:rsidR="00A46F65" w:rsidRDefault="00064ABB" w:rsidP="00064ABB">
      <w:pPr>
        <w:pStyle w:val="SingleTxtG"/>
      </w:pPr>
      <w:r>
        <w:t>9.</w:t>
      </w:r>
      <w:r>
        <w:tab/>
      </w:r>
      <w:r w:rsidR="00A46F65">
        <w:t>L’AEGPL a transmis deux scénarios d’accidents ayant eu lieu au Royaume-Uni.</w:t>
      </w:r>
    </w:p>
    <w:p w:rsidR="00064ABB" w:rsidRPr="00064ABB" w:rsidRDefault="00064ABB" w:rsidP="00064ABB">
      <w:pPr>
        <w:pStyle w:val="SingleTxtG"/>
        <w:jc w:val="center"/>
        <w:rPr>
          <w:b/>
        </w:rPr>
      </w:pPr>
      <w:r w:rsidRPr="00064ABB">
        <w:rPr>
          <w:b/>
        </w:rPr>
        <w:t xml:space="preserve">Tableau </w:t>
      </w:r>
      <w:r w:rsidRPr="00064ABB">
        <w:rPr>
          <w:b/>
        </w:rPr>
        <w:fldChar w:fldCharType="begin"/>
      </w:r>
      <w:r w:rsidRPr="00064ABB">
        <w:rPr>
          <w:b/>
        </w:rPr>
        <w:instrText>SEQ Tableau \* ARABIC</w:instrText>
      </w:r>
      <w:r w:rsidRPr="00064ABB">
        <w:rPr>
          <w:b/>
        </w:rPr>
        <w:fldChar w:fldCharType="separate"/>
      </w:r>
      <w:r w:rsidRPr="00064ABB">
        <w:rPr>
          <w:b/>
        </w:rPr>
        <w:t>2</w:t>
      </w:r>
      <w:r w:rsidRPr="00064ABB">
        <w:rPr>
          <w:b/>
        </w:rPr>
        <w:fldChar w:fldCharType="end"/>
      </w:r>
      <w:r>
        <w:rPr>
          <w:b/>
        </w:rPr>
        <w:t> : Donnée</w:t>
      </w:r>
      <w:r w:rsidRPr="00064ABB">
        <w:rPr>
          <w:b/>
        </w:rPr>
        <w:t>s transmises par l’AEGPL à l’INERIS</w:t>
      </w:r>
    </w:p>
    <w:tbl>
      <w:tblPr>
        <w:tblStyle w:val="TableGrid"/>
        <w:tblW w:w="9000" w:type="dxa"/>
        <w:tblCellMar>
          <w:left w:w="108" w:type="dxa"/>
          <w:right w:w="108" w:type="dxa"/>
        </w:tblCellMar>
        <w:tblLook w:val="04A0" w:firstRow="1" w:lastRow="0" w:firstColumn="1" w:lastColumn="0" w:noHBand="0" w:noVBand="1"/>
      </w:tblPr>
      <w:tblGrid>
        <w:gridCol w:w="2376"/>
        <w:gridCol w:w="3640"/>
        <w:gridCol w:w="2984"/>
      </w:tblGrid>
      <w:tr w:rsidR="00A46F65" w:rsidRPr="00064ABB" w:rsidTr="006F6554">
        <w:tc>
          <w:tcPr>
            <w:tcW w:w="2376" w:type="dxa"/>
            <w:shd w:val="clear" w:color="auto" w:fill="auto"/>
            <w:tcMar>
              <w:left w:w="108" w:type="dxa"/>
            </w:tcMar>
          </w:tcPr>
          <w:p w:rsidR="00A46F65" w:rsidRPr="00064ABB" w:rsidRDefault="00A46F65" w:rsidP="00064ABB">
            <w:pPr>
              <w:spacing w:before="60" w:after="60" w:line="240" w:lineRule="auto"/>
              <w:jc w:val="center"/>
            </w:pPr>
          </w:p>
        </w:tc>
        <w:tc>
          <w:tcPr>
            <w:tcW w:w="3640" w:type="dxa"/>
            <w:shd w:val="clear" w:color="auto" w:fill="auto"/>
            <w:tcMar>
              <w:left w:w="108" w:type="dxa"/>
            </w:tcMar>
          </w:tcPr>
          <w:p w:rsidR="00A46F65" w:rsidRPr="00064ABB" w:rsidRDefault="00A46F65" w:rsidP="00064ABB">
            <w:pPr>
              <w:spacing w:before="60" w:after="60" w:line="240" w:lineRule="auto"/>
              <w:jc w:val="center"/>
            </w:pPr>
            <w:r w:rsidRPr="00064ABB">
              <w:rPr>
                <w:b/>
              </w:rPr>
              <w:t>Cas d’accident n° 1</w:t>
            </w:r>
          </w:p>
        </w:tc>
        <w:tc>
          <w:tcPr>
            <w:tcW w:w="2984" w:type="dxa"/>
            <w:shd w:val="clear" w:color="auto" w:fill="auto"/>
            <w:tcMar>
              <w:left w:w="108" w:type="dxa"/>
            </w:tcMar>
          </w:tcPr>
          <w:p w:rsidR="00A46F65" w:rsidRPr="00064ABB" w:rsidRDefault="00A46F65" w:rsidP="00064ABB">
            <w:pPr>
              <w:spacing w:before="60" w:after="60" w:line="240" w:lineRule="auto"/>
              <w:jc w:val="center"/>
            </w:pPr>
            <w:r w:rsidRPr="00064ABB">
              <w:rPr>
                <w:b/>
              </w:rPr>
              <w:t>Cas d’accident n°2</w:t>
            </w:r>
          </w:p>
        </w:tc>
      </w:tr>
      <w:tr w:rsidR="00A46F65" w:rsidRPr="00064ABB" w:rsidTr="006F6554">
        <w:tc>
          <w:tcPr>
            <w:tcW w:w="2376" w:type="dxa"/>
            <w:shd w:val="clear" w:color="auto" w:fill="auto"/>
            <w:tcMar>
              <w:left w:w="108" w:type="dxa"/>
            </w:tcMar>
            <w:vAlign w:val="center"/>
          </w:tcPr>
          <w:p w:rsidR="00A46F65" w:rsidRPr="00064ABB" w:rsidRDefault="00A46F65" w:rsidP="00064ABB">
            <w:pPr>
              <w:spacing w:before="60" w:after="60" w:line="240" w:lineRule="auto"/>
              <w:jc w:val="center"/>
            </w:pPr>
            <w:r w:rsidRPr="00064ABB">
              <w:rPr>
                <w:b/>
              </w:rPr>
              <w:t>Dimension de la citerne</w:t>
            </w:r>
          </w:p>
        </w:tc>
        <w:tc>
          <w:tcPr>
            <w:tcW w:w="3640" w:type="dxa"/>
            <w:shd w:val="clear" w:color="auto" w:fill="auto"/>
            <w:tcMar>
              <w:left w:w="108" w:type="dxa"/>
            </w:tcMar>
            <w:vAlign w:val="center"/>
          </w:tcPr>
          <w:p w:rsidR="00A46F65" w:rsidRPr="00064ABB" w:rsidRDefault="00A46F65" w:rsidP="00064ABB">
            <w:pPr>
              <w:spacing w:before="60" w:after="60" w:line="240" w:lineRule="auto"/>
              <w:jc w:val="center"/>
            </w:pPr>
            <w:r w:rsidRPr="00064ABB">
              <w:t>Longueur : 5,345 m</w:t>
            </w:r>
          </w:p>
          <w:p w:rsidR="00A46F65" w:rsidRPr="00064ABB" w:rsidRDefault="00A46F65" w:rsidP="00064ABB">
            <w:pPr>
              <w:spacing w:before="60" w:after="60" w:line="240" w:lineRule="auto"/>
              <w:jc w:val="center"/>
            </w:pPr>
            <w:r w:rsidRPr="00064ABB">
              <w:t>Diamètre extérieur : 2,077 m</w:t>
            </w:r>
          </w:p>
          <w:p w:rsidR="00A46F65" w:rsidRPr="00064ABB" w:rsidRDefault="00A46F65" w:rsidP="00064ABB">
            <w:pPr>
              <w:spacing w:before="60" w:after="60" w:line="240" w:lineRule="auto"/>
              <w:jc w:val="center"/>
            </w:pPr>
            <w:r w:rsidRPr="00064ABB">
              <w:t>Fond bombé d’épaisseur 8,3 mm</w:t>
            </w:r>
          </w:p>
          <w:p w:rsidR="00A46F65" w:rsidRPr="00064ABB" w:rsidRDefault="00A46F65" w:rsidP="00064ABB">
            <w:pPr>
              <w:spacing w:before="60" w:after="60" w:line="240" w:lineRule="auto"/>
              <w:jc w:val="center"/>
            </w:pPr>
          </w:p>
        </w:tc>
        <w:tc>
          <w:tcPr>
            <w:tcW w:w="2984" w:type="dxa"/>
            <w:shd w:val="clear" w:color="auto" w:fill="auto"/>
            <w:tcMar>
              <w:left w:w="108" w:type="dxa"/>
            </w:tcMar>
            <w:vAlign w:val="center"/>
          </w:tcPr>
          <w:p w:rsidR="00A46F65" w:rsidRPr="00064ABB" w:rsidRDefault="00A46F65" w:rsidP="00064ABB">
            <w:pPr>
              <w:spacing w:before="60" w:after="60" w:line="240" w:lineRule="auto"/>
              <w:jc w:val="center"/>
            </w:pPr>
            <w:r w:rsidRPr="00064ABB">
              <w:t>Longueur : 5,36 m</w:t>
            </w:r>
          </w:p>
          <w:p w:rsidR="00A46F65" w:rsidRPr="00064ABB" w:rsidRDefault="00A46F65" w:rsidP="00064ABB">
            <w:pPr>
              <w:spacing w:before="60" w:after="60" w:line="240" w:lineRule="auto"/>
              <w:jc w:val="center"/>
            </w:pPr>
            <w:r w:rsidRPr="00064ABB">
              <w:t>Diamètre extérieur : 2,22 m</w:t>
            </w:r>
          </w:p>
          <w:p w:rsidR="00A46F65" w:rsidRPr="00064ABB" w:rsidRDefault="00A46F65" w:rsidP="00064ABB">
            <w:pPr>
              <w:spacing w:before="60" w:after="60" w:line="240" w:lineRule="auto"/>
              <w:jc w:val="center"/>
            </w:pPr>
            <w:r w:rsidRPr="00064ABB">
              <w:t>Fond bombé d’épaisseur 8 mm</w:t>
            </w:r>
          </w:p>
        </w:tc>
      </w:tr>
      <w:tr w:rsidR="00A46F65" w:rsidRPr="00064ABB" w:rsidTr="006F6554">
        <w:tc>
          <w:tcPr>
            <w:tcW w:w="2376" w:type="dxa"/>
            <w:shd w:val="clear" w:color="auto" w:fill="auto"/>
            <w:tcMar>
              <w:left w:w="108" w:type="dxa"/>
            </w:tcMar>
            <w:vAlign w:val="center"/>
          </w:tcPr>
          <w:p w:rsidR="00A46F65" w:rsidRPr="00064ABB" w:rsidRDefault="00A46F65" w:rsidP="00064ABB">
            <w:pPr>
              <w:spacing w:before="60" w:after="60" w:line="240" w:lineRule="auto"/>
              <w:jc w:val="center"/>
            </w:pPr>
            <w:r w:rsidRPr="00064ABB">
              <w:rPr>
                <w:b/>
              </w:rPr>
              <w:t>Taux de remplissage</w:t>
            </w:r>
          </w:p>
        </w:tc>
        <w:tc>
          <w:tcPr>
            <w:tcW w:w="3640" w:type="dxa"/>
            <w:shd w:val="clear" w:color="auto" w:fill="auto"/>
            <w:tcMar>
              <w:left w:w="108" w:type="dxa"/>
            </w:tcMar>
            <w:vAlign w:val="center"/>
          </w:tcPr>
          <w:p w:rsidR="00A46F65" w:rsidRPr="00064ABB" w:rsidRDefault="00A46F65" w:rsidP="00064ABB">
            <w:pPr>
              <w:spacing w:before="60" w:after="60" w:line="240" w:lineRule="auto"/>
              <w:jc w:val="center"/>
            </w:pPr>
            <w:r w:rsidRPr="00064ABB">
              <w:t>85% propane</w:t>
            </w:r>
          </w:p>
        </w:tc>
        <w:tc>
          <w:tcPr>
            <w:tcW w:w="2984" w:type="dxa"/>
            <w:shd w:val="clear" w:color="auto" w:fill="auto"/>
            <w:tcMar>
              <w:left w:w="108" w:type="dxa"/>
            </w:tcMar>
            <w:vAlign w:val="center"/>
          </w:tcPr>
          <w:p w:rsidR="00A46F65" w:rsidRPr="00064ABB" w:rsidRDefault="00A46F65" w:rsidP="00064ABB">
            <w:pPr>
              <w:spacing w:before="60" w:after="60" w:line="240" w:lineRule="auto"/>
              <w:jc w:val="center"/>
            </w:pPr>
            <w:r w:rsidRPr="00064ABB">
              <w:t>85% propane</w:t>
            </w:r>
          </w:p>
        </w:tc>
      </w:tr>
      <w:tr w:rsidR="00A46F65" w:rsidRPr="00064ABB" w:rsidTr="006F6554">
        <w:tc>
          <w:tcPr>
            <w:tcW w:w="2376" w:type="dxa"/>
            <w:shd w:val="clear" w:color="auto" w:fill="auto"/>
            <w:tcMar>
              <w:left w:w="108" w:type="dxa"/>
            </w:tcMar>
            <w:vAlign w:val="center"/>
          </w:tcPr>
          <w:p w:rsidR="00A46F65" w:rsidRPr="00064ABB" w:rsidRDefault="00A46F65" w:rsidP="00064ABB">
            <w:pPr>
              <w:spacing w:before="60" w:after="60" w:line="240" w:lineRule="auto"/>
              <w:jc w:val="center"/>
            </w:pPr>
            <w:r w:rsidRPr="00064ABB">
              <w:rPr>
                <w:b/>
              </w:rPr>
              <w:t>Soupape</w:t>
            </w:r>
          </w:p>
        </w:tc>
        <w:tc>
          <w:tcPr>
            <w:tcW w:w="3640" w:type="dxa"/>
            <w:shd w:val="clear" w:color="auto" w:fill="auto"/>
            <w:tcMar>
              <w:left w:w="108" w:type="dxa"/>
            </w:tcMar>
            <w:vAlign w:val="center"/>
          </w:tcPr>
          <w:p w:rsidR="00A46F65" w:rsidRPr="00064ABB" w:rsidRDefault="00A46F65" w:rsidP="00064ABB">
            <w:pPr>
              <w:spacing w:before="60" w:after="60" w:line="240" w:lineRule="auto"/>
              <w:jc w:val="center"/>
            </w:pPr>
            <w:r w:rsidRPr="00064ABB">
              <w:t>Oui</w:t>
            </w:r>
          </w:p>
        </w:tc>
        <w:tc>
          <w:tcPr>
            <w:tcW w:w="2984" w:type="dxa"/>
            <w:shd w:val="clear" w:color="auto" w:fill="auto"/>
            <w:tcMar>
              <w:left w:w="108" w:type="dxa"/>
            </w:tcMar>
            <w:vAlign w:val="center"/>
          </w:tcPr>
          <w:p w:rsidR="00A46F65" w:rsidRPr="00064ABB" w:rsidRDefault="00A46F65" w:rsidP="00064ABB">
            <w:pPr>
              <w:spacing w:before="60" w:after="60" w:line="240" w:lineRule="auto"/>
              <w:jc w:val="center"/>
            </w:pPr>
            <w:r w:rsidRPr="00064ABB">
              <w:t>Oui</w:t>
            </w:r>
          </w:p>
        </w:tc>
      </w:tr>
      <w:tr w:rsidR="00A46F65" w:rsidRPr="00064ABB" w:rsidTr="006F6554">
        <w:tc>
          <w:tcPr>
            <w:tcW w:w="2376" w:type="dxa"/>
            <w:shd w:val="clear" w:color="auto" w:fill="auto"/>
            <w:tcMar>
              <w:left w:w="108" w:type="dxa"/>
            </w:tcMar>
            <w:vAlign w:val="center"/>
          </w:tcPr>
          <w:p w:rsidR="00A46F65" w:rsidRPr="00064ABB" w:rsidRDefault="00A46F65" w:rsidP="00064ABB">
            <w:pPr>
              <w:spacing w:before="60" w:after="60" w:line="240" w:lineRule="auto"/>
              <w:jc w:val="center"/>
            </w:pPr>
            <w:r w:rsidRPr="00064ABB">
              <w:rPr>
                <w:b/>
              </w:rPr>
              <w:t>Revêtement thermique</w:t>
            </w:r>
          </w:p>
        </w:tc>
        <w:tc>
          <w:tcPr>
            <w:tcW w:w="3640" w:type="dxa"/>
            <w:shd w:val="clear" w:color="auto" w:fill="auto"/>
            <w:tcMar>
              <w:left w:w="108" w:type="dxa"/>
            </w:tcMar>
            <w:vAlign w:val="center"/>
          </w:tcPr>
          <w:p w:rsidR="00A46F65" w:rsidRPr="00064ABB" w:rsidRDefault="00A46F65" w:rsidP="00064ABB">
            <w:pPr>
              <w:spacing w:before="60" w:after="60" w:line="240" w:lineRule="auto"/>
              <w:jc w:val="center"/>
            </w:pPr>
            <w:r w:rsidRPr="00064ABB">
              <w:t>Pas de revêtement thermique</w:t>
            </w:r>
          </w:p>
        </w:tc>
        <w:tc>
          <w:tcPr>
            <w:tcW w:w="2984" w:type="dxa"/>
            <w:shd w:val="clear" w:color="auto" w:fill="auto"/>
            <w:tcMar>
              <w:left w:w="108" w:type="dxa"/>
            </w:tcMar>
            <w:vAlign w:val="center"/>
          </w:tcPr>
          <w:p w:rsidR="00A46F65" w:rsidRPr="00064ABB" w:rsidRDefault="00A46F65" w:rsidP="00064ABB">
            <w:pPr>
              <w:spacing w:before="60" w:after="60" w:line="240" w:lineRule="auto"/>
              <w:jc w:val="center"/>
            </w:pPr>
            <w:r w:rsidRPr="00064ABB">
              <w:t>Pas de revêtement thermique</w:t>
            </w:r>
          </w:p>
        </w:tc>
      </w:tr>
      <w:tr w:rsidR="00A46F65" w:rsidRPr="00064ABB" w:rsidTr="006F6554">
        <w:tc>
          <w:tcPr>
            <w:tcW w:w="2376" w:type="dxa"/>
            <w:shd w:val="clear" w:color="auto" w:fill="auto"/>
            <w:tcMar>
              <w:left w:w="108" w:type="dxa"/>
            </w:tcMar>
            <w:vAlign w:val="center"/>
          </w:tcPr>
          <w:p w:rsidR="00A46F65" w:rsidRPr="00064ABB" w:rsidRDefault="00A46F65" w:rsidP="00064ABB">
            <w:pPr>
              <w:spacing w:before="60" w:after="60" w:line="240" w:lineRule="auto"/>
              <w:jc w:val="center"/>
            </w:pPr>
            <w:r w:rsidRPr="00064ABB">
              <w:rPr>
                <w:b/>
              </w:rPr>
              <w:t>Conséquences de l’accident</w:t>
            </w:r>
          </w:p>
        </w:tc>
        <w:tc>
          <w:tcPr>
            <w:tcW w:w="3640" w:type="dxa"/>
            <w:shd w:val="clear" w:color="auto" w:fill="auto"/>
            <w:tcMar>
              <w:left w:w="108" w:type="dxa"/>
            </w:tcMar>
            <w:vAlign w:val="center"/>
          </w:tcPr>
          <w:p w:rsidR="00A46F65" w:rsidRPr="00064ABB" w:rsidRDefault="00A46F65" w:rsidP="00064ABB">
            <w:pPr>
              <w:spacing w:before="60" w:after="60" w:line="240" w:lineRule="auto"/>
              <w:jc w:val="center"/>
            </w:pPr>
            <w:r w:rsidRPr="00064ABB">
              <w:t>Ouverture de la soupape après 30 min</w:t>
            </w:r>
          </w:p>
          <w:p w:rsidR="00A46F65" w:rsidRPr="00064ABB" w:rsidRDefault="00A46F65" w:rsidP="00064ABB">
            <w:pPr>
              <w:spacing w:before="60" w:after="60" w:line="240" w:lineRule="auto"/>
              <w:jc w:val="center"/>
            </w:pPr>
            <w:r w:rsidRPr="00064ABB">
              <w:t>Pas d’explosion</w:t>
            </w:r>
          </w:p>
        </w:tc>
        <w:tc>
          <w:tcPr>
            <w:tcW w:w="2984" w:type="dxa"/>
            <w:shd w:val="clear" w:color="auto" w:fill="auto"/>
            <w:tcMar>
              <w:left w:w="108" w:type="dxa"/>
            </w:tcMar>
            <w:vAlign w:val="center"/>
          </w:tcPr>
          <w:p w:rsidR="00A46F65" w:rsidRPr="00064ABB" w:rsidRDefault="00A46F65" w:rsidP="00064ABB">
            <w:pPr>
              <w:spacing w:before="60" w:after="60" w:line="240" w:lineRule="auto"/>
              <w:jc w:val="center"/>
            </w:pPr>
            <w:r w:rsidRPr="00064ABB">
              <w:t>Ouverture de la soupape</w:t>
            </w:r>
          </w:p>
          <w:p w:rsidR="00A46F65" w:rsidRPr="00064ABB" w:rsidRDefault="00A46F65" w:rsidP="00064ABB">
            <w:pPr>
              <w:spacing w:before="60" w:after="60" w:line="240" w:lineRule="auto"/>
              <w:jc w:val="center"/>
            </w:pPr>
            <w:r w:rsidRPr="00064ABB">
              <w:t>Pas d’explosion</w:t>
            </w:r>
          </w:p>
        </w:tc>
      </w:tr>
    </w:tbl>
    <w:p w:rsidR="00E2668C" w:rsidRDefault="00E2668C" w:rsidP="00064ABB">
      <w:pPr>
        <w:pStyle w:val="SingleTxtG"/>
        <w:spacing w:before="120"/>
        <w:jc w:val="center"/>
        <w:rPr>
          <w:b/>
        </w:rPr>
      </w:pPr>
    </w:p>
    <w:p w:rsidR="00064ABB" w:rsidRPr="00064ABB" w:rsidRDefault="00064ABB" w:rsidP="00064ABB">
      <w:pPr>
        <w:pStyle w:val="SingleTxtG"/>
        <w:spacing w:before="120"/>
        <w:jc w:val="center"/>
        <w:rPr>
          <w:b/>
        </w:rPr>
      </w:pPr>
      <w:r w:rsidRPr="00064ABB">
        <w:rPr>
          <w:b/>
        </w:rPr>
        <w:t xml:space="preserve">Figure </w:t>
      </w:r>
      <w:r w:rsidRPr="00064ABB">
        <w:rPr>
          <w:b/>
        </w:rPr>
        <w:fldChar w:fldCharType="begin"/>
      </w:r>
      <w:r w:rsidRPr="00064ABB">
        <w:rPr>
          <w:b/>
        </w:rPr>
        <w:instrText>SEQ Figure \* ARABIC</w:instrText>
      </w:r>
      <w:r w:rsidRPr="00064ABB">
        <w:rPr>
          <w:b/>
        </w:rPr>
        <w:fldChar w:fldCharType="separate"/>
      </w:r>
      <w:r w:rsidRPr="00064ABB">
        <w:rPr>
          <w:b/>
        </w:rPr>
        <w:t>2</w:t>
      </w:r>
      <w:r w:rsidRPr="00064ABB">
        <w:rPr>
          <w:b/>
        </w:rPr>
        <w:fldChar w:fldCharType="end"/>
      </w:r>
      <w:r w:rsidRPr="00064ABB">
        <w:rPr>
          <w:b/>
        </w:rPr>
        <w:t> : Photo prise lors de l’accident n°2 envoyé par l’AEGPL</w:t>
      </w:r>
    </w:p>
    <w:p w:rsidR="00A46F65" w:rsidRDefault="00A46F65" w:rsidP="00A46F65">
      <w:pPr>
        <w:jc w:val="center"/>
        <w:rPr>
          <w:sz w:val="22"/>
          <w:szCs w:val="22"/>
        </w:rPr>
      </w:pPr>
      <w:r>
        <w:rPr>
          <w:noProof/>
          <w:sz w:val="22"/>
          <w:szCs w:val="22"/>
          <w:lang w:val="en-US"/>
        </w:rPr>
        <w:drawing>
          <wp:inline distT="0" distB="0" distL="0" distR="0" wp14:anchorId="4F8CF00C" wp14:editId="6CE1E99A">
            <wp:extent cx="3554095" cy="2239010"/>
            <wp:effectExtent l="0" t="0" r="0" b="0"/>
            <wp:docPr id="5" name="Image 5" descr="cid:part2.00050400.00000304@developpement-durable.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id:part2.00050400.00000304@developpement-durable.gouv.fr"/>
                    <pic:cNvPicPr>
                      <a:picLocks noChangeAspect="1" noChangeArrowheads="1"/>
                    </pic:cNvPicPr>
                  </pic:nvPicPr>
                  <pic:blipFill>
                    <a:blip r:embed="rId11"/>
                    <a:stretch>
                      <a:fillRect/>
                    </a:stretch>
                  </pic:blipFill>
                  <pic:spPr bwMode="auto">
                    <a:xfrm>
                      <a:off x="0" y="0"/>
                      <a:ext cx="3554095" cy="2239010"/>
                    </a:xfrm>
                    <a:prstGeom prst="rect">
                      <a:avLst/>
                    </a:prstGeom>
                  </pic:spPr>
                </pic:pic>
              </a:graphicData>
            </a:graphic>
          </wp:inline>
        </w:drawing>
      </w:r>
    </w:p>
    <w:p w:rsidR="00A46F65" w:rsidRDefault="00A46F65" w:rsidP="00A46F65">
      <w:pPr>
        <w:spacing w:line="240" w:lineRule="auto"/>
        <w:jc w:val="both"/>
        <w:rPr>
          <w:sz w:val="22"/>
          <w:szCs w:val="22"/>
        </w:rPr>
      </w:pPr>
    </w:p>
    <w:p w:rsidR="00A46F65" w:rsidRDefault="00064ABB" w:rsidP="00064ABB">
      <w:pPr>
        <w:pStyle w:val="HChG"/>
      </w:pPr>
      <w:r>
        <w:lastRenderedPageBreak/>
        <w:tab/>
      </w:r>
      <w:r>
        <w:tab/>
      </w:r>
      <w:r w:rsidR="00A46F65">
        <w:t>Configurations à étudier pour alimenter la réflexion sur la mitigation du phénomène de BLEVE</w:t>
      </w:r>
    </w:p>
    <w:p w:rsidR="00A46F65" w:rsidRPr="00E2668C" w:rsidRDefault="00E2668C" w:rsidP="00E2668C">
      <w:pPr>
        <w:pStyle w:val="SingleTxtG"/>
      </w:pPr>
      <w:r>
        <w:t>10.</w:t>
      </w:r>
      <w:r>
        <w:tab/>
      </w:r>
      <w:r w:rsidR="00A46F65" w:rsidRPr="00E2668C">
        <w:t>Les premiers résultats de modélisation présentés lors de la session de mars 2017 ont permis de montrer que pour un certain nombre de configurations, les soupapes seules ne permettent pas d’assurer une protection au feu de la citerne pendant une durée de 60 minutes (ex : citerne de 30 m3 soumise à un feu enveloppant ,…).</w:t>
      </w:r>
    </w:p>
    <w:p w:rsidR="00A46F65" w:rsidRPr="00E2668C" w:rsidRDefault="00A46F65" w:rsidP="00E2668C">
      <w:pPr>
        <w:pStyle w:val="SingleTxtG"/>
      </w:pPr>
      <w:r w:rsidRPr="00E2668C">
        <w:t xml:space="preserve">En revanche pour des cas bien précis, tels que celui du feu en face inférieure associée à un taux de remplissage de plus de 50%, les calculs ont montré que la soupape peut permettre de ralentir voire annihiler le phénomène de BLEVE. </w:t>
      </w:r>
    </w:p>
    <w:p w:rsidR="00A46F65" w:rsidRPr="00E2668C" w:rsidRDefault="00E2668C" w:rsidP="00E2668C">
      <w:pPr>
        <w:pStyle w:val="SingleTxtG"/>
      </w:pPr>
      <w:r>
        <w:t>11.</w:t>
      </w:r>
      <w:r>
        <w:tab/>
      </w:r>
      <w:r w:rsidR="00A46F65" w:rsidRPr="00E2668C">
        <w:t>L’INERIS étudie actuellement la tenue au feu d’un certain nombre de configurations de citernes en croisant l’ensemble des éléments listés ci-dessous afin de pouvoir enrichir ces premières conclusions :</w:t>
      </w:r>
    </w:p>
    <w:p w:rsidR="00A46F65" w:rsidRPr="00E2668C" w:rsidRDefault="00A46F65" w:rsidP="00E2668C">
      <w:pPr>
        <w:pStyle w:val="Bullet1G"/>
      </w:pPr>
      <w:r w:rsidRPr="00E2668C">
        <w:t>Des citernes de différentes dimensions (30 m3 et 6</w:t>
      </w:r>
      <w:r w:rsidR="00204995">
        <w:t xml:space="preserve"> </w:t>
      </w:r>
      <w:r w:rsidRPr="00E2668C">
        <w:t>0m3);</w:t>
      </w:r>
    </w:p>
    <w:p w:rsidR="00A46F65" w:rsidRPr="00E2668C" w:rsidRDefault="00A46F65" w:rsidP="00E2668C">
      <w:pPr>
        <w:pStyle w:val="Bullet1G"/>
      </w:pPr>
      <w:r w:rsidRPr="00E2668C">
        <w:t>Des caractéristiques de feux différentes : feu englobant la citerne, feu uniquement en partie inférieure de la citerne, feu torche impactant à la fois la partie supérieure et inférieure de la citerne;</w:t>
      </w:r>
    </w:p>
    <w:p w:rsidR="00A46F65" w:rsidRPr="00E2668C" w:rsidRDefault="00A46F65" w:rsidP="00E2668C">
      <w:pPr>
        <w:pStyle w:val="Bullet1G"/>
      </w:pPr>
      <w:r w:rsidRPr="00E2668C">
        <w:t>Des taux de remplissage différents (50% et 85%);</w:t>
      </w:r>
    </w:p>
    <w:p w:rsidR="00A46F65" w:rsidRPr="00E2668C" w:rsidRDefault="00A46F65" w:rsidP="00E2668C">
      <w:pPr>
        <w:pStyle w:val="Bullet1G"/>
      </w:pPr>
      <w:r w:rsidRPr="00E2668C">
        <w:t>Des typologies de soupape différentes (soupape tarées en pression et en température);</w:t>
      </w:r>
    </w:p>
    <w:p w:rsidR="00A46F65" w:rsidRPr="00E2668C" w:rsidRDefault="00A46F65" w:rsidP="00E2668C">
      <w:pPr>
        <w:pStyle w:val="Bullet1G"/>
      </w:pPr>
      <w:r w:rsidRPr="00E2668C">
        <w:t xml:space="preserve">La présence ou l’absence d’un </w:t>
      </w:r>
      <w:r w:rsidR="00204995" w:rsidRPr="00E2668C">
        <w:t>revêtement d’isolation</w:t>
      </w:r>
      <w:r w:rsidRPr="00E2668C">
        <w:t xml:space="preserve"> thermique</w:t>
      </w:r>
      <w:r w:rsidR="00204995">
        <w:t>;</w:t>
      </w:r>
      <w:r w:rsidRPr="00E2668C">
        <w:t xml:space="preserve"> </w:t>
      </w:r>
    </w:p>
    <w:p w:rsidR="00A46F65" w:rsidRPr="00E2668C" w:rsidRDefault="00A46F65" w:rsidP="00E2668C">
      <w:pPr>
        <w:pStyle w:val="Bullet1G"/>
      </w:pPr>
      <w:r w:rsidRPr="00E2668C">
        <w:t>Le fait que le revêtement d’isolation ne recouvre pas la totalité de la citerne (cas de revêtement ayant perdu son intégrité).</w:t>
      </w:r>
    </w:p>
    <w:p w:rsidR="00A46F65" w:rsidRPr="00E2668C" w:rsidRDefault="00E2668C" w:rsidP="00E2668C">
      <w:pPr>
        <w:pStyle w:val="SingleTxtG"/>
      </w:pPr>
      <w:r>
        <w:t>12.</w:t>
      </w:r>
      <w:r>
        <w:tab/>
      </w:r>
      <w:r w:rsidR="00A46F65" w:rsidRPr="00E2668C">
        <w:t>La grande majorité des configurations présentées ci-dessus se</w:t>
      </w:r>
      <w:r>
        <w:t>ront traitées d’ici le mois de s</w:t>
      </w:r>
      <w:r w:rsidR="00A46F65" w:rsidRPr="00E2668C">
        <w:t>eptembre et feront l’objet d’un rapport plus complet dans le cadre d’un document d’information.</w:t>
      </w:r>
    </w:p>
    <w:p w:rsidR="00A46F65" w:rsidRPr="00E2668C" w:rsidRDefault="00E2668C" w:rsidP="00E2668C">
      <w:pPr>
        <w:pStyle w:val="SingleTxtG"/>
      </w:pPr>
      <w:r>
        <w:t>13.</w:t>
      </w:r>
      <w:r>
        <w:tab/>
      </w:r>
      <w:r w:rsidR="00A46F65" w:rsidRPr="00E2668C">
        <w:t xml:space="preserve">Les calculs devraient permettre de déterminer quels systèmes de protection sont efficaces, mais </w:t>
      </w:r>
      <w:r w:rsidR="00204995" w:rsidRPr="00E2668C">
        <w:t>aussi leur</w:t>
      </w:r>
      <w:r w:rsidR="00A46F65" w:rsidRPr="00E2668C">
        <w:t xml:space="preserve"> degré d’efficac</w:t>
      </w:r>
      <w:r w:rsidR="00064ABB" w:rsidRPr="00E2668C">
        <w:t>ité. Les exemples mentionnés ci-</w:t>
      </w:r>
      <w:r w:rsidR="00A46F65" w:rsidRPr="00E2668C">
        <w:t>après illustrent par exemple qu’une soupape n’est pas forcément efficace dans tous les cas de feu notamment les plus violents mais peu dans certains cas empêcher une explosion, comme cela est démontré par les scénarios d’accidents transmis par l’AEGPL</w:t>
      </w:r>
      <w:r w:rsidR="00204995">
        <w:t>.</w:t>
      </w:r>
    </w:p>
    <w:p w:rsidR="00A46F65" w:rsidRPr="00E2668C" w:rsidRDefault="00E2668C" w:rsidP="00E2668C">
      <w:pPr>
        <w:pStyle w:val="SingleTxtG"/>
      </w:pPr>
      <w:r>
        <w:t>14.</w:t>
      </w:r>
      <w:r>
        <w:tab/>
      </w:r>
      <w:r w:rsidR="00A46F65" w:rsidRPr="00E2668C">
        <w:t>Le croisement du niveau d’efficacité des dispositifs et des différents scénarios permettra de donner à la réunion commune des critères de décision.</w:t>
      </w:r>
    </w:p>
    <w:p w:rsidR="00A46F65" w:rsidRDefault="00064ABB" w:rsidP="00064ABB">
      <w:pPr>
        <w:pStyle w:val="HChG"/>
      </w:pPr>
      <w:r>
        <w:tab/>
      </w:r>
      <w:r>
        <w:tab/>
      </w:r>
      <w:r w:rsidR="00A46F65">
        <w:t>Deu</w:t>
      </w:r>
      <w:r w:rsidR="006B537A">
        <w:t>x e</w:t>
      </w:r>
      <w:r w:rsidR="00A46F65">
        <w:t>xemples de résultats de calculs déjà effectués par l’INERIS</w:t>
      </w:r>
    </w:p>
    <w:p w:rsidR="00A46F65" w:rsidRDefault="00A46F65" w:rsidP="00064ABB">
      <w:pPr>
        <w:pStyle w:val="SingleTxtG"/>
        <w:rPr>
          <w:sz w:val="22"/>
          <w:szCs w:val="22"/>
        </w:rPr>
      </w:pPr>
      <w:r w:rsidRPr="00064ABB">
        <w:rPr>
          <w:rStyle w:val="SingleTxtGChar"/>
        </w:rPr>
        <w:t>A titre d’exemple, l’INERIS a traité deux cas d’application dont les résultats sont exposés ci-après par une courbe comparant l’évolution dans le temps de la résistance de l’acier de la citerne (contrainte limite en bleu) avec la</w:t>
      </w:r>
      <w:r>
        <w:rPr>
          <w:sz w:val="22"/>
          <w:szCs w:val="22"/>
        </w:rPr>
        <w:t xml:space="preserve"> contrainte effectivement appliquée ‘en rouge):</w:t>
      </w:r>
    </w:p>
    <w:p w:rsidR="00A46F65" w:rsidRDefault="00064ABB" w:rsidP="00064ABB">
      <w:pPr>
        <w:pStyle w:val="H1G"/>
      </w:pPr>
      <w:r>
        <w:tab/>
      </w:r>
      <w:r>
        <w:tab/>
      </w:r>
      <w:r w:rsidR="00A46F65">
        <w:t>1</w:t>
      </w:r>
      <w:r w:rsidR="00A46F65">
        <w:rPr>
          <w:vertAlign w:val="superscript"/>
        </w:rPr>
        <w:t>er</w:t>
      </w:r>
      <w:r w:rsidR="00A46F65">
        <w:t xml:space="preserve"> cas</w:t>
      </w:r>
    </w:p>
    <w:p w:rsidR="00A46F65" w:rsidRDefault="00A46F65" w:rsidP="00064ABB">
      <w:pPr>
        <w:pStyle w:val="SingleTxtG"/>
      </w:pPr>
      <w:r>
        <w:t xml:space="preserve">Le premier cas porte sur une citerne de 30 m3 remplie à 50% et protégée par un dispositif de soupape tarée à 17 bar quel que soit la température de l’acier et à 9 bars si la température d’acier est supérieure à 150°C. </w:t>
      </w:r>
    </w:p>
    <w:p w:rsidR="00A46F65" w:rsidRDefault="00A46F65" w:rsidP="00064ABB">
      <w:pPr>
        <w:pStyle w:val="SingleTxtG"/>
      </w:pPr>
      <w:r>
        <w:lastRenderedPageBreak/>
        <w:t>Cette soupape fictive a été imaginée pour répondre au problème mis en évidence lors de la dernière session que dans certains cas il y avait rupture de la citerne avant mêm</w:t>
      </w:r>
      <w:r w:rsidR="00E2668C">
        <w:t>e</w:t>
      </w:r>
      <w:r>
        <w:t xml:space="preserve"> que la soupape ne s’ouvre du fait d’une pression de tarage trop élevée.</w:t>
      </w:r>
    </w:p>
    <w:p w:rsidR="00885095" w:rsidRDefault="00885095" w:rsidP="00885095">
      <w:pPr>
        <w:pStyle w:val="SingleTxtG"/>
      </w:pPr>
      <w:r>
        <w:t>Pour cette modélisation la citerne est totalement immergée dans le feu. Les résultats montrent que la soupape permet de stabiliser le niveau de pression induit dans l’enveloppe de la citerne. Néanmoins, la diminution des caractéristiques matériaux de l’acier engendre une rupture de l’enveloppe. L’ouverture de la soupape n’a pas pour effet de limiter la hausse de température de l’acier.</w:t>
      </w:r>
    </w:p>
    <w:p w:rsidR="006B537A" w:rsidRPr="006B537A" w:rsidRDefault="006B537A" w:rsidP="006B537A">
      <w:pPr>
        <w:pStyle w:val="SingleTxtG"/>
        <w:jc w:val="center"/>
        <w:rPr>
          <w:b/>
        </w:rPr>
      </w:pPr>
      <w:r w:rsidRPr="006B537A">
        <w:rPr>
          <w:b/>
        </w:rPr>
        <w:t xml:space="preserve">Figure </w:t>
      </w:r>
      <w:r w:rsidRPr="006B537A">
        <w:rPr>
          <w:b/>
        </w:rPr>
        <w:fldChar w:fldCharType="begin"/>
      </w:r>
      <w:r w:rsidRPr="006B537A">
        <w:rPr>
          <w:b/>
        </w:rPr>
        <w:instrText>SEQ Figure \* ARABIC</w:instrText>
      </w:r>
      <w:r w:rsidRPr="006B537A">
        <w:rPr>
          <w:b/>
        </w:rPr>
        <w:fldChar w:fldCharType="separate"/>
      </w:r>
      <w:r w:rsidRPr="006B537A">
        <w:rPr>
          <w:b/>
        </w:rPr>
        <w:t>3</w:t>
      </w:r>
      <w:r w:rsidRPr="006B537A">
        <w:rPr>
          <w:b/>
        </w:rPr>
        <w:fldChar w:fldCharType="end"/>
      </w:r>
      <w:r w:rsidRPr="006B537A">
        <w:rPr>
          <w:b/>
        </w:rPr>
        <w:t> : Evolution de la contrainte appliquée par l’augmentation de pression (courbe rouge) et de la contrainte limite de l’acier de la citerne (courbe bleue)</w:t>
      </w:r>
    </w:p>
    <w:p w:rsidR="00A46F65" w:rsidRDefault="00A46F65" w:rsidP="00A46F65">
      <w:pPr>
        <w:jc w:val="both"/>
        <w:rPr>
          <w:sz w:val="22"/>
          <w:szCs w:val="22"/>
        </w:rPr>
      </w:pPr>
      <w:r>
        <w:rPr>
          <w:noProof/>
          <w:sz w:val="22"/>
          <w:szCs w:val="22"/>
          <w:lang w:val="en-US"/>
        </w:rPr>
        <w:drawing>
          <wp:inline distT="0" distB="0" distL="0" distR="0" wp14:anchorId="643BD46F" wp14:editId="665185EE">
            <wp:extent cx="5753735" cy="332994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pic:cNvPicPr>
                      <a:picLocks noChangeAspect="1" noChangeArrowheads="1"/>
                    </pic:cNvPicPr>
                  </pic:nvPicPr>
                  <pic:blipFill>
                    <a:blip r:embed="rId12"/>
                    <a:stretch>
                      <a:fillRect/>
                    </a:stretch>
                  </pic:blipFill>
                  <pic:spPr bwMode="auto">
                    <a:xfrm>
                      <a:off x="0" y="0"/>
                      <a:ext cx="5753735" cy="3329940"/>
                    </a:xfrm>
                    <a:prstGeom prst="rect">
                      <a:avLst/>
                    </a:prstGeom>
                  </pic:spPr>
                </pic:pic>
              </a:graphicData>
            </a:graphic>
          </wp:inline>
        </w:drawing>
      </w:r>
    </w:p>
    <w:p w:rsidR="00A46F65" w:rsidRDefault="00064ABB" w:rsidP="006B537A">
      <w:pPr>
        <w:pStyle w:val="H1G"/>
        <w:spacing w:before="0" w:after="120"/>
      </w:pPr>
      <w:r>
        <w:tab/>
      </w:r>
      <w:r>
        <w:tab/>
      </w:r>
      <w:r w:rsidR="00A46F65">
        <w:t>2</w:t>
      </w:r>
      <w:r w:rsidR="00A46F65" w:rsidRPr="00204995">
        <w:rPr>
          <w:vertAlign w:val="superscript"/>
        </w:rPr>
        <w:t>e</w:t>
      </w:r>
      <w:r w:rsidR="00A46F65">
        <w:t xml:space="preserve"> cas:</w:t>
      </w:r>
    </w:p>
    <w:p w:rsidR="00A46F65" w:rsidRDefault="00A46F65" w:rsidP="00064ABB">
      <w:pPr>
        <w:pStyle w:val="SingleTxtG"/>
      </w:pPr>
      <w:r>
        <w:t>Le second cas porte sur une citerne de 30 m3 remplie à 85 %, protégée par un dispositif de soupape tarée à 17 bar quel que soit la température de l’acier. Cette citerne est soumise à un feu de nappe impactant uniquement sa face inférieure.</w:t>
      </w:r>
    </w:p>
    <w:p w:rsidR="006B537A" w:rsidRPr="006B537A" w:rsidRDefault="006B537A" w:rsidP="006B537A">
      <w:pPr>
        <w:pStyle w:val="SingleTxtG"/>
        <w:jc w:val="center"/>
        <w:rPr>
          <w:b/>
        </w:rPr>
      </w:pPr>
      <w:r w:rsidRPr="006B537A">
        <w:rPr>
          <w:b/>
        </w:rPr>
        <w:t xml:space="preserve">Figure </w:t>
      </w:r>
      <w:r w:rsidRPr="006B537A">
        <w:rPr>
          <w:b/>
        </w:rPr>
        <w:fldChar w:fldCharType="begin"/>
      </w:r>
      <w:r w:rsidRPr="006B537A">
        <w:rPr>
          <w:b/>
        </w:rPr>
        <w:instrText>SEQ Figure \* ARABIC</w:instrText>
      </w:r>
      <w:r w:rsidRPr="006B537A">
        <w:rPr>
          <w:b/>
        </w:rPr>
        <w:fldChar w:fldCharType="separate"/>
      </w:r>
      <w:r w:rsidRPr="006B537A">
        <w:rPr>
          <w:b/>
        </w:rPr>
        <w:t>4</w:t>
      </w:r>
      <w:r w:rsidRPr="006B537A">
        <w:rPr>
          <w:b/>
        </w:rPr>
        <w:fldChar w:fldCharType="end"/>
      </w:r>
      <w:r w:rsidRPr="006B537A">
        <w:rPr>
          <w:b/>
        </w:rPr>
        <w:t> : Illustration de d’incendie pour le second cas d’étude</w:t>
      </w:r>
    </w:p>
    <w:p w:rsidR="00A46F65" w:rsidRDefault="00A46F65" w:rsidP="00A46F65">
      <w:pPr>
        <w:jc w:val="center"/>
        <w:rPr>
          <w:sz w:val="22"/>
          <w:szCs w:val="22"/>
        </w:rPr>
      </w:pPr>
      <w:r>
        <w:rPr>
          <w:noProof/>
          <w:sz w:val="22"/>
          <w:szCs w:val="22"/>
          <w:lang w:val="en-US"/>
        </w:rPr>
        <w:drawing>
          <wp:inline distT="0" distB="0" distL="0" distR="0" wp14:anchorId="608BF2F8" wp14:editId="73F5096E">
            <wp:extent cx="2190750" cy="176784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3"/>
                    <a:stretch>
                      <a:fillRect/>
                    </a:stretch>
                  </pic:blipFill>
                  <pic:spPr bwMode="auto">
                    <a:xfrm>
                      <a:off x="0" y="0"/>
                      <a:ext cx="2190750" cy="1767840"/>
                    </a:xfrm>
                    <a:prstGeom prst="rect">
                      <a:avLst/>
                    </a:prstGeom>
                  </pic:spPr>
                </pic:pic>
              </a:graphicData>
            </a:graphic>
          </wp:inline>
        </w:drawing>
      </w:r>
    </w:p>
    <w:p w:rsidR="00A46F65" w:rsidRPr="006B537A" w:rsidRDefault="00A46F65" w:rsidP="006B537A">
      <w:pPr>
        <w:pStyle w:val="SingleTxtG"/>
        <w:spacing w:before="120"/>
      </w:pPr>
      <w:r w:rsidRPr="006B537A">
        <w:lastRenderedPageBreak/>
        <w:t>Les résultats montrent que la citerne est en mesure de résister à un incendie de durée supérieure à 60 minutes. Cela s’explique par le double phénomène suivant : l’ouverture de la soupape permet de limiter la montée en pression dès lors que l’on atteint 16 bars. Par ailleurs, la température maximale atteinte sur l’enveloppe externe est très limitée (&lt;170°C) dans la mesure ou la zone de l’enveloppe qui n’est pas en contact avec le gaz n’est pas directement impactée par la flamme (taux de remplissage de 85% associé un feu en partie inférieure uniquement).</w:t>
      </w:r>
    </w:p>
    <w:p w:rsidR="00E2668C" w:rsidRPr="00E2668C" w:rsidRDefault="00E2668C" w:rsidP="00E2668C">
      <w:pPr>
        <w:pStyle w:val="SingleTxtG"/>
        <w:jc w:val="center"/>
        <w:rPr>
          <w:b/>
        </w:rPr>
      </w:pPr>
      <w:r w:rsidRPr="00E2668C">
        <w:rPr>
          <w:b/>
        </w:rPr>
        <w:t xml:space="preserve">Figure </w:t>
      </w:r>
      <w:bookmarkStart w:id="0" w:name="_GoBack1"/>
      <w:bookmarkEnd w:id="0"/>
      <w:r w:rsidRPr="00E2668C">
        <w:rPr>
          <w:b/>
        </w:rPr>
        <w:fldChar w:fldCharType="begin"/>
      </w:r>
      <w:r w:rsidRPr="00E2668C">
        <w:rPr>
          <w:b/>
        </w:rPr>
        <w:instrText>SEQ Figure \* ARABIC</w:instrText>
      </w:r>
      <w:r w:rsidRPr="00E2668C">
        <w:rPr>
          <w:b/>
        </w:rPr>
        <w:fldChar w:fldCharType="separate"/>
      </w:r>
      <w:r w:rsidRPr="00E2668C">
        <w:rPr>
          <w:b/>
        </w:rPr>
        <w:t>5</w:t>
      </w:r>
      <w:r w:rsidRPr="00E2668C">
        <w:rPr>
          <w:b/>
        </w:rPr>
        <w:fldChar w:fldCharType="end"/>
      </w:r>
      <w:r w:rsidRPr="00E2668C">
        <w:rPr>
          <w:b/>
        </w:rPr>
        <w:t> : Evolution de la contrainte appliquée par l’augmentation de pression (courbe rouge) et de la contrainte limite de l’acier de la citerne (courbe bleue)</w:t>
      </w:r>
    </w:p>
    <w:p w:rsidR="00A46F65" w:rsidRDefault="00A46F65" w:rsidP="00A46F65">
      <w:pPr>
        <w:pStyle w:val="NoSpacing"/>
        <w:rPr>
          <w:sz w:val="22"/>
          <w:szCs w:val="22"/>
        </w:rPr>
      </w:pPr>
      <w:r>
        <w:rPr>
          <w:noProof/>
          <w:sz w:val="22"/>
          <w:szCs w:val="22"/>
          <w:lang w:val="en-US" w:eastAsia="en-US"/>
        </w:rPr>
        <w:drawing>
          <wp:inline distT="0" distB="0" distL="0" distR="0" wp14:anchorId="1A77AC09" wp14:editId="7C0F9E79">
            <wp:extent cx="5748655" cy="3307715"/>
            <wp:effectExtent l="0" t="0" r="0" b="0"/>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14"/>
                    <a:stretch>
                      <a:fillRect/>
                    </a:stretch>
                  </pic:blipFill>
                  <pic:spPr bwMode="auto">
                    <a:xfrm>
                      <a:off x="0" y="0"/>
                      <a:ext cx="5748655" cy="3307715"/>
                    </a:xfrm>
                    <a:prstGeom prst="rect">
                      <a:avLst/>
                    </a:prstGeom>
                  </pic:spPr>
                </pic:pic>
              </a:graphicData>
            </a:graphic>
          </wp:inline>
        </w:drawing>
      </w:r>
    </w:p>
    <w:p w:rsidR="000D47CE" w:rsidRPr="000D47CE" w:rsidRDefault="000D47CE" w:rsidP="000D47CE">
      <w:pPr>
        <w:pStyle w:val="NoSpacing"/>
        <w:suppressAutoHyphens/>
        <w:spacing w:before="240" w:line="240" w:lineRule="atLeast"/>
        <w:ind w:left="1134" w:right="1134"/>
        <w:jc w:val="center"/>
        <w:rPr>
          <w:sz w:val="22"/>
          <w:szCs w:val="22"/>
          <w:u w:val="single"/>
        </w:rPr>
      </w:pPr>
      <w:r>
        <w:rPr>
          <w:sz w:val="22"/>
          <w:szCs w:val="22"/>
          <w:u w:val="single"/>
        </w:rPr>
        <w:tab/>
      </w:r>
      <w:r>
        <w:rPr>
          <w:sz w:val="22"/>
          <w:szCs w:val="22"/>
          <w:u w:val="single"/>
        </w:rPr>
        <w:tab/>
      </w:r>
      <w:r>
        <w:rPr>
          <w:sz w:val="22"/>
          <w:szCs w:val="22"/>
          <w:u w:val="single"/>
        </w:rPr>
        <w:tab/>
      </w:r>
      <w:bookmarkStart w:id="1" w:name="_GoBack"/>
      <w:bookmarkEnd w:id="1"/>
    </w:p>
    <w:sectPr w:rsidR="000D47CE" w:rsidRPr="000D47CE" w:rsidSect="00DD0BC6">
      <w:headerReference w:type="even" r:id="rId15"/>
      <w:headerReference w:type="default" r:id="rId16"/>
      <w:footerReference w:type="even" r:id="rId17"/>
      <w:footerReference w:type="default" r:id="rId18"/>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F5" w:rsidRDefault="004E7FF5"/>
  </w:endnote>
  <w:endnote w:type="continuationSeparator" w:id="0">
    <w:p w:rsidR="004E7FF5" w:rsidRDefault="004E7FF5"/>
  </w:endnote>
  <w:endnote w:type="continuationNotice" w:id="1">
    <w:p w:rsidR="004E7FF5" w:rsidRDefault="004E7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4E7FF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0D47CE">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4E7FF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D47CE">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F5" w:rsidRDefault="004E7FF5">
      <w:pPr>
        <w:tabs>
          <w:tab w:val="right" w:pos="2155"/>
        </w:tabs>
        <w:spacing w:after="80"/>
        <w:ind w:left="680"/>
        <w:rPr>
          <w:u w:val="single"/>
        </w:rPr>
      </w:pPr>
      <w:r>
        <w:rPr>
          <w:u w:val="single"/>
        </w:rPr>
        <w:tab/>
      </w:r>
    </w:p>
  </w:footnote>
  <w:footnote w:type="continuationSeparator" w:id="0">
    <w:p w:rsidR="004E7FF5" w:rsidRDefault="004E7FF5">
      <w:pPr>
        <w:tabs>
          <w:tab w:val="right" w:pos="2155"/>
        </w:tabs>
        <w:spacing w:after="80"/>
        <w:ind w:left="680"/>
        <w:rPr>
          <w:u w:val="single"/>
        </w:rPr>
      </w:pPr>
      <w:r>
        <w:rPr>
          <w:u w:val="single"/>
        </w:rPr>
        <w:tab/>
      </w:r>
    </w:p>
  </w:footnote>
  <w:footnote w:type="continuationNotice" w:id="1">
    <w:p w:rsidR="004E7FF5" w:rsidRDefault="004E7FF5"/>
  </w:footnote>
  <w:footnote w:id="2">
    <w:p w:rsidR="00613CA5" w:rsidRPr="00613CA5" w:rsidRDefault="00613CA5">
      <w:pPr>
        <w:pStyle w:val="FootnoteText"/>
        <w:rPr>
          <w:sz w:val="20"/>
        </w:rPr>
      </w:pPr>
      <w:r>
        <w:rPr>
          <w:sz w:val="20"/>
        </w:rPr>
        <w:tab/>
      </w:r>
      <w:r w:rsidRPr="00613CA5">
        <w:rPr>
          <w:rStyle w:val="FootnoteReference"/>
          <w:sz w:val="20"/>
        </w:rPr>
        <w:footnoteRef/>
      </w:r>
      <w:r>
        <w:rPr>
          <w:sz w:val="20"/>
        </w:rPr>
        <w:tab/>
      </w:r>
      <w:r w:rsidRPr="00811D4D">
        <w:t>Conformément au programme de travail du Comité des transports intérieurs pour 2016-2017 (ECE/TRANS/2016/28/Add.1 (9.2)).</w:t>
      </w:r>
    </w:p>
  </w:footnote>
  <w:footnote w:id="3">
    <w:p w:rsidR="00613CA5" w:rsidRPr="00613CA5" w:rsidRDefault="00613CA5">
      <w:pPr>
        <w:pStyle w:val="FootnoteText"/>
        <w:rPr>
          <w:sz w:val="20"/>
        </w:rPr>
      </w:pPr>
      <w:r>
        <w:tab/>
      </w:r>
      <w:r w:rsidRPr="00613CA5">
        <w:rPr>
          <w:rStyle w:val="FootnoteReference"/>
          <w:sz w:val="20"/>
        </w:rPr>
        <w:t>**</w:t>
      </w:r>
      <w:r>
        <w:rPr>
          <w:sz w:val="20"/>
        </w:rPr>
        <w:tab/>
      </w:r>
      <w:r w:rsidRPr="00811D4D">
        <w:t>Distribuée par l</w:t>
      </w:r>
      <w:r>
        <w:t>’</w:t>
      </w:r>
      <w:r w:rsidRPr="00811D4D">
        <w:t xml:space="preserve">Organisation intergouvernementale pour les transports internationaux ferroviaires (OTIF) </w:t>
      </w:r>
      <w:r w:rsidR="00B41A49">
        <w:t>sous la cote OTIF/RID/RC/2017/42</w:t>
      </w:r>
      <w:r w:rsidRPr="00811D4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B41A49">
    <w:pPr>
      <w:pStyle w:val="Header"/>
    </w:pPr>
    <w:r>
      <w:t>ECE/TRANS/WP.15/AC.1/2017/42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8563BF">
    <w:pPr>
      <w:pStyle w:val="Header"/>
      <w:jc w:val="right"/>
    </w:pPr>
    <w:r>
      <w:t>ECE/TRANS/WP.15/AC.1/2017/42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8E69E7"/>
    <w:multiLevelType w:val="hybridMultilevel"/>
    <w:tmpl w:val="2F28A252"/>
    <w:lvl w:ilvl="0" w:tplc="0409000F">
      <w:start w:val="1"/>
      <w:numFmt w:val="decimal"/>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2" w15:restartNumberingAfterBreak="0">
    <w:nsid w:val="1AB54FEE"/>
    <w:multiLevelType w:val="hybridMultilevel"/>
    <w:tmpl w:val="2D929E3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BC60ECF"/>
    <w:multiLevelType w:val="hybridMultilevel"/>
    <w:tmpl w:val="A1886658"/>
    <w:lvl w:ilvl="0" w:tplc="04090019">
      <w:start w:val="1"/>
      <w:numFmt w:val="lowerLetter"/>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40E50"/>
    <w:multiLevelType w:val="hybridMultilevel"/>
    <w:tmpl w:val="9C0ACA72"/>
    <w:lvl w:ilvl="0" w:tplc="0D50022E">
      <w:start w:val="5"/>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AC35B49"/>
    <w:multiLevelType w:val="hybridMultilevel"/>
    <w:tmpl w:val="F7AC1D3C"/>
    <w:lvl w:ilvl="0" w:tplc="04C2C94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46D47"/>
    <w:multiLevelType w:val="hybridMultilevel"/>
    <w:tmpl w:val="E6168740"/>
    <w:lvl w:ilvl="0" w:tplc="36A4983C">
      <w:start w:val="5"/>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62FA4BD4"/>
    <w:multiLevelType w:val="hybridMultilevel"/>
    <w:tmpl w:val="A80419C8"/>
    <w:lvl w:ilvl="0" w:tplc="5D585758">
      <w:start w:val="1"/>
      <w:numFmt w:val="bullet"/>
      <w:lvlText w:val="•"/>
      <w:lvlJc w:val="left"/>
      <w:pPr>
        <w:tabs>
          <w:tab w:val="num" w:pos="1854"/>
        </w:tabs>
        <w:ind w:left="1854" w:hanging="360"/>
      </w:pPr>
      <w:rPr>
        <w:rFonts w:ascii="Times New Roman" w:hAnsi="Times New Roman"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47C7B9D"/>
    <w:multiLevelType w:val="hybridMultilevel"/>
    <w:tmpl w:val="30CEAA36"/>
    <w:lvl w:ilvl="0" w:tplc="2AFECE70">
      <w:start w:val="1"/>
      <w:numFmt w:val="bullet"/>
      <w:lvlText w:val=""/>
      <w:lvlJc w:val="left"/>
      <w:pPr>
        <w:tabs>
          <w:tab w:val="num" w:pos="1486"/>
        </w:tabs>
        <w:ind w:left="1486" w:hanging="172"/>
      </w:pPr>
      <w:rPr>
        <w:rFonts w:ascii="Symbol" w:hAnsi="Symbol" w:hint="default"/>
        <w:sz w:val="16"/>
        <w:szCs w:val="16"/>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89E15AC"/>
    <w:multiLevelType w:val="multilevel"/>
    <w:tmpl w:val="54DAA8F8"/>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cs="Wingdings" w:hint="default"/>
      </w:rPr>
    </w:lvl>
    <w:lvl w:ilvl="3">
      <w:start w:val="1"/>
      <w:numFmt w:val="bullet"/>
      <w:lvlText w:val=""/>
      <w:lvlJc w:val="left"/>
      <w:pPr>
        <w:tabs>
          <w:tab w:val="num" w:pos="4581"/>
        </w:tabs>
        <w:ind w:left="4581" w:hanging="360"/>
      </w:pPr>
      <w:rPr>
        <w:rFonts w:ascii="Symbol" w:hAnsi="Symbol" w:cs="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cs="Wingdings" w:hint="default"/>
      </w:rPr>
    </w:lvl>
    <w:lvl w:ilvl="6">
      <w:start w:val="1"/>
      <w:numFmt w:val="bullet"/>
      <w:lvlText w:val=""/>
      <w:lvlJc w:val="left"/>
      <w:pPr>
        <w:tabs>
          <w:tab w:val="num" w:pos="6741"/>
        </w:tabs>
        <w:ind w:left="6741" w:hanging="360"/>
      </w:pPr>
      <w:rPr>
        <w:rFonts w:ascii="Symbol" w:hAnsi="Symbol" w:cs="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cs="Wingdings" w:hint="default"/>
      </w:rPr>
    </w:lvl>
  </w:abstractNum>
  <w:num w:numId="1">
    <w:abstractNumId w:val="11"/>
  </w:num>
  <w:num w:numId="2">
    <w:abstractNumId w:val="5"/>
  </w:num>
  <w:num w:numId="3">
    <w:abstractNumId w:val="12"/>
  </w:num>
  <w:num w:numId="4">
    <w:abstractNumId w:val="11"/>
  </w:num>
  <w:num w:numId="5">
    <w:abstractNumId w:val="11"/>
  </w:num>
  <w:num w:numId="6">
    <w:abstractNumId w:val="11"/>
  </w:num>
  <w:num w:numId="7">
    <w:abstractNumId w:val="11"/>
  </w:num>
  <w:num w:numId="8">
    <w:abstractNumId w:val="3"/>
  </w:num>
  <w:num w:numId="9">
    <w:abstractNumId w:val="10"/>
  </w:num>
  <w:num w:numId="10">
    <w:abstractNumId w:val="1"/>
  </w:num>
  <w:num w:numId="11">
    <w:abstractNumId w:val="4"/>
  </w:num>
  <w:num w:numId="12">
    <w:abstractNumId w:val="8"/>
  </w:num>
  <w:num w:numId="13">
    <w:abstractNumId w:val="9"/>
  </w:num>
  <w:num w:numId="14">
    <w:abstractNumId w:val="0"/>
  </w:num>
  <w:num w:numId="15">
    <w:abstractNumId w:val="7"/>
  </w:num>
  <w:num w:numId="16">
    <w:abstractNumId w:val="2"/>
  </w:num>
  <w:num w:numId="17">
    <w:abstractNumId w:val="6"/>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C2"/>
    <w:rsid w:val="00043508"/>
    <w:rsid w:val="00064ABB"/>
    <w:rsid w:val="000B4376"/>
    <w:rsid w:val="000D345C"/>
    <w:rsid w:val="000D47CE"/>
    <w:rsid w:val="00143484"/>
    <w:rsid w:val="001A22D1"/>
    <w:rsid w:val="001A61AD"/>
    <w:rsid w:val="001A7A61"/>
    <w:rsid w:val="001E334E"/>
    <w:rsid w:val="00204995"/>
    <w:rsid w:val="00241778"/>
    <w:rsid w:val="002445A1"/>
    <w:rsid w:val="002B4C81"/>
    <w:rsid w:val="002C5C7C"/>
    <w:rsid w:val="002E420F"/>
    <w:rsid w:val="00333DE2"/>
    <w:rsid w:val="003641EC"/>
    <w:rsid w:val="003749C2"/>
    <w:rsid w:val="00393C35"/>
    <w:rsid w:val="003C3E07"/>
    <w:rsid w:val="003F6E22"/>
    <w:rsid w:val="0045132A"/>
    <w:rsid w:val="004821F4"/>
    <w:rsid w:val="004D25D6"/>
    <w:rsid w:val="004E7FF5"/>
    <w:rsid w:val="004F05E6"/>
    <w:rsid w:val="0052576A"/>
    <w:rsid w:val="00532504"/>
    <w:rsid w:val="00566F6F"/>
    <w:rsid w:val="00604CC6"/>
    <w:rsid w:val="00613CA5"/>
    <w:rsid w:val="00643924"/>
    <w:rsid w:val="00680C09"/>
    <w:rsid w:val="006B537A"/>
    <w:rsid w:val="00770CEA"/>
    <w:rsid w:val="007F4832"/>
    <w:rsid w:val="008563BF"/>
    <w:rsid w:val="008574FC"/>
    <w:rsid w:val="00885095"/>
    <w:rsid w:val="008D029D"/>
    <w:rsid w:val="00941473"/>
    <w:rsid w:val="00976FB0"/>
    <w:rsid w:val="00977C4A"/>
    <w:rsid w:val="00A02A89"/>
    <w:rsid w:val="00A12279"/>
    <w:rsid w:val="00A2268E"/>
    <w:rsid w:val="00A46F65"/>
    <w:rsid w:val="00A572B7"/>
    <w:rsid w:val="00AC4D63"/>
    <w:rsid w:val="00AC6C7E"/>
    <w:rsid w:val="00B25953"/>
    <w:rsid w:val="00B41A49"/>
    <w:rsid w:val="00B669F8"/>
    <w:rsid w:val="00B83424"/>
    <w:rsid w:val="00BB0391"/>
    <w:rsid w:val="00BB599C"/>
    <w:rsid w:val="00C909A6"/>
    <w:rsid w:val="00CC56BB"/>
    <w:rsid w:val="00CC585D"/>
    <w:rsid w:val="00CF371D"/>
    <w:rsid w:val="00D13C49"/>
    <w:rsid w:val="00D25F90"/>
    <w:rsid w:val="00D27797"/>
    <w:rsid w:val="00D93357"/>
    <w:rsid w:val="00DC39BF"/>
    <w:rsid w:val="00DD0BC6"/>
    <w:rsid w:val="00DD4392"/>
    <w:rsid w:val="00E12F8E"/>
    <w:rsid w:val="00E2668C"/>
    <w:rsid w:val="00E52003"/>
    <w:rsid w:val="00E532CC"/>
    <w:rsid w:val="00E70C03"/>
    <w:rsid w:val="00E71C2B"/>
    <w:rsid w:val="00E733B2"/>
    <w:rsid w:val="00E942B1"/>
    <w:rsid w:val="00F057E3"/>
    <w:rsid w:val="00F3251A"/>
    <w:rsid w:val="00F54671"/>
    <w:rsid w:val="00F802F9"/>
    <w:rsid w:val="00FB593E"/>
    <w:rsid w:val="00FF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628B7ACD"/>
  <w15:docId w15:val="{E6097F13-18EA-44C1-8471-CF43C99B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qFormat/>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link w:val="HeaderChar"/>
    <w:uiPriority w:val="99"/>
    <w:pPr>
      <w:pBdr>
        <w:bottom w:val="single" w:sz="4" w:space="4" w:color="auto"/>
      </w:pBdr>
      <w:spacing w:line="240" w:lineRule="auto"/>
    </w:pPr>
    <w:rPr>
      <w:b/>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link w:val="FooterChar"/>
    <w:uiPriority w:val="99"/>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Pr>
      <w:lang w:val="fr-CH" w:eastAsia="en-US"/>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 w:type="character" w:customStyle="1" w:styleId="FootnoteTextChar">
    <w:name w:val="Footnote Text Char"/>
    <w:aliases w:val="5_G Char"/>
    <w:link w:val="FootnoteText"/>
    <w:rPr>
      <w:sz w:val="18"/>
      <w:lang w:val="fr-CH" w:eastAsia="en-US"/>
    </w:rPr>
  </w:style>
  <w:style w:type="paragraph" w:customStyle="1" w:styleId="ParNoG">
    <w:name w:val="_ParNo_G"/>
    <w:basedOn w:val="SingleTxtG"/>
    <w:link w:val="ParNoGCar"/>
    <w:pPr>
      <w:numPr>
        <w:numId w:val="14"/>
      </w:numPr>
    </w:pPr>
  </w:style>
  <w:style w:type="character" w:customStyle="1" w:styleId="ParNoGCar">
    <w:name w:val="_ParNo_G Car"/>
    <w:link w:val="ParNoG"/>
    <w:rPr>
      <w:lang w:val="fr-CH" w:eastAsia="en-US"/>
    </w:rPr>
  </w:style>
  <w:style w:type="character" w:customStyle="1" w:styleId="HChGChar">
    <w:name w:val="_ H _Ch_G Char"/>
    <w:link w:val="HChG"/>
    <w:qFormat/>
    <w:locked/>
    <w:rsid w:val="00A46F65"/>
    <w:rPr>
      <w:b/>
      <w:sz w:val="28"/>
      <w:lang w:val="fr-CH" w:eastAsia="en-US"/>
    </w:rPr>
  </w:style>
  <w:style w:type="paragraph" w:styleId="Caption">
    <w:name w:val="caption"/>
    <w:basedOn w:val="Normal"/>
    <w:next w:val="Normal"/>
    <w:qFormat/>
    <w:rsid w:val="00A46F65"/>
    <w:pPr>
      <w:snapToGrid w:val="0"/>
      <w:spacing w:line="240" w:lineRule="auto"/>
    </w:pPr>
    <w:rPr>
      <w:i/>
      <w:iCs/>
      <w:color w:val="1F497D" w:themeColor="text2"/>
      <w:sz w:val="18"/>
      <w:szCs w:val="18"/>
    </w:rPr>
  </w:style>
  <w:style w:type="paragraph" w:styleId="ListParagraph">
    <w:name w:val="List Paragraph"/>
    <w:basedOn w:val="Normal"/>
    <w:uiPriority w:val="99"/>
    <w:qFormat/>
    <w:rsid w:val="00A46F65"/>
    <w:pPr>
      <w:overflowPunct w:val="0"/>
      <w:spacing w:after="160" w:line="254" w:lineRule="auto"/>
      <w:ind w:left="720"/>
      <w:contextualSpacing/>
    </w:pPr>
    <w:rPr>
      <w:rFonts w:ascii="Calibri" w:hAnsi="Calibri" w:cs="Calibri"/>
      <w:sz w:val="22"/>
      <w:szCs w:val="22"/>
      <w:lang w:val="fr-FR"/>
    </w:rPr>
  </w:style>
  <w:style w:type="character" w:customStyle="1" w:styleId="PieddepageCar">
    <w:name w:val="Pied de page Car"/>
    <w:link w:val="Pieddepage"/>
    <w:uiPriority w:val="99"/>
    <w:qFormat/>
    <w:locked/>
    <w:rsid w:val="00A46F65"/>
    <w:rPr>
      <w:lang w:eastAsia="en-US"/>
    </w:rPr>
  </w:style>
  <w:style w:type="paragraph" w:customStyle="1" w:styleId="En-tte">
    <w:name w:val="En-tête"/>
    <w:basedOn w:val="Normal"/>
    <w:next w:val="Normal"/>
    <w:uiPriority w:val="99"/>
    <w:rsid w:val="00A46F65"/>
    <w:pPr>
      <w:pBdr>
        <w:bottom w:val="single" w:sz="4" w:space="4" w:color="00000A"/>
      </w:pBdr>
      <w:snapToGrid w:val="0"/>
      <w:spacing w:line="240" w:lineRule="auto"/>
    </w:pPr>
    <w:rPr>
      <w:b/>
      <w:sz w:val="18"/>
      <w:lang w:val="fr-FR"/>
    </w:rPr>
  </w:style>
  <w:style w:type="paragraph" w:customStyle="1" w:styleId="Pieddepage">
    <w:name w:val="Pied de page"/>
    <w:basedOn w:val="Normal"/>
    <w:next w:val="Normal"/>
    <w:link w:val="PieddepageCar"/>
    <w:uiPriority w:val="99"/>
    <w:rsid w:val="00A46F65"/>
    <w:pPr>
      <w:snapToGrid w:val="0"/>
      <w:spacing w:line="240" w:lineRule="auto"/>
    </w:pPr>
    <w:rPr>
      <w:lang w:val="en-GB"/>
    </w:rPr>
  </w:style>
  <w:style w:type="paragraph" w:styleId="NoSpacing">
    <w:name w:val="No Spacing"/>
    <w:qFormat/>
    <w:rsid w:val="00A46F65"/>
    <w:rPr>
      <w:rFonts w:ascii="Calibri" w:hAnsi="Calibri" w:cs="Arial"/>
    </w:rPr>
  </w:style>
  <w:style w:type="character" w:customStyle="1" w:styleId="FooterChar">
    <w:name w:val="Footer Char"/>
    <w:basedOn w:val="DefaultParagraphFont"/>
    <w:link w:val="Footer"/>
    <w:uiPriority w:val="99"/>
    <w:rsid w:val="002445A1"/>
    <w:rPr>
      <w:sz w:val="16"/>
      <w:lang w:val="fr-CH" w:eastAsia="en-US"/>
    </w:rPr>
  </w:style>
  <w:style w:type="character" w:customStyle="1" w:styleId="HeaderChar">
    <w:name w:val="Header Char"/>
    <w:basedOn w:val="DefaultParagraphFont"/>
    <w:link w:val="Header"/>
    <w:uiPriority w:val="99"/>
    <w:rsid w:val="002445A1"/>
    <w:rPr>
      <w:b/>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3834">
      <w:bodyDiv w:val="1"/>
      <w:marLeft w:val="0"/>
      <w:marRight w:val="0"/>
      <w:marTop w:val="0"/>
      <w:marBottom w:val="0"/>
      <w:divBdr>
        <w:top w:val="none" w:sz="0" w:space="0" w:color="auto"/>
        <w:left w:val="none" w:sz="0" w:space="0" w:color="auto"/>
        <w:bottom w:val="none" w:sz="0" w:space="0" w:color="auto"/>
        <w:right w:val="none" w:sz="0" w:space="0" w:color="auto"/>
      </w:divBdr>
      <w:divsChild>
        <w:div w:id="444273445">
          <w:marLeft w:val="547"/>
          <w:marRight w:val="0"/>
          <w:marTop w:val="101"/>
          <w:marBottom w:val="0"/>
          <w:divBdr>
            <w:top w:val="none" w:sz="0" w:space="0" w:color="auto"/>
            <w:left w:val="none" w:sz="0" w:space="0" w:color="auto"/>
            <w:bottom w:val="none" w:sz="0" w:space="0" w:color="auto"/>
            <w:right w:val="none" w:sz="0" w:space="0" w:color="auto"/>
          </w:divBdr>
        </w:div>
        <w:div w:id="463890542">
          <w:marLeft w:val="547"/>
          <w:marRight w:val="0"/>
          <w:marTop w:val="101"/>
          <w:marBottom w:val="0"/>
          <w:divBdr>
            <w:top w:val="none" w:sz="0" w:space="0" w:color="auto"/>
            <w:left w:val="none" w:sz="0" w:space="0" w:color="auto"/>
            <w:bottom w:val="none" w:sz="0" w:space="0" w:color="auto"/>
            <w:right w:val="none" w:sz="0" w:space="0" w:color="auto"/>
          </w:divBdr>
        </w:div>
        <w:div w:id="1911577287">
          <w:marLeft w:val="547"/>
          <w:marRight w:val="0"/>
          <w:marTop w:val="101"/>
          <w:marBottom w:val="0"/>
          <w:divBdr>
            <w:top w:val="none" w:sz="0" w:space="0" w:color="auto"/>
            <w:left w:val="none" w:sz="0" w:space="0" w:color="auto"/>
            <w:bottom w:val="none" w:sz="0" w:space="0" w:color="auto"/>
            <w:right w:val="none" w:sz="0" w:space="0" w:color="auto"/>
          </w:divBdr>
        </w:div>
        <w:div w:id="1948807503">
          <w:marLeft w:val="547"/>
          <w:marRight w:val="0"/>
          <w:marTop w:val="101"/>
          <w:marBottom w:val="0"/>
          <w:divBdr>
            <w:top w:val="none" w:sz="0" w:space="0" w:color="auto"/>
            <w:left w:val="none" w:sz="0" w:space="0" w:color="auto"/>
            <w:bottom w:val="none" w:sz="0" w:space="0" w:color="auto"/>
            <w:right w:val="none" w:sz="0" w:space="0" w:color="auto"/>
          </w:divBdr>
        </w:div>
      </w:divsChild>
    </w:div>
    <w:div w:id="484931983">
      <w:bodyDiv w:val="1"/>
      <w:marLeft w:val="0"/>
      <w:marRight w:val="0"/>
      <w:marTop w:val="0"/>
      <w:marBottom w:val="0"/>
      <w:divBdr>
        <w:top w:val="none" w:sz="0" w:space="0" w:color="auto"/>
        <w:left w:val="none" w:sz="0" w:space="0" w:color="auto"/>
        <w:bottom w:val="none" w:sz="0" w:space="0" w:color="auto"/>
        <w:right w:val="none" w:sz="0" w:space="0" w:color="auto"/>
      </w:divBdr>
    </w:div>
    <w:div w:id="1923223814">
      <w:bodyDiv w:val="1"/>
      <w:marLeft w:val="0"/>
      <w:marRight w:val="0"/>
      <w:marTop w:val="0"/>
      <w:marBottom w:val="0"/>
      <w:divBdr>
        <w:top w:val="none" w:sz="0" w:space="0" w:color="auto"/>
        <w:left w:val="none" w:sz="0" w:space="0" w:color="auto"/>
        <w:bottom w:val="none" w:sz="0" w:space="0" w:color="auto"/>
        <w:right w:val="none" w:sz="0" w:space="0" w:color="auto"/>
      </w:divBdr>
    </w:div>
    <w:div w:id="20777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S666 Commentaires OFT"/>
    <f:field ref="objsubject" par="" edit="true" text=""/>
    <f:field ref="objcreatedby" par="" text="Blanchard Bakx, Valérie (BAV - blv)"/>
    <f:field ref="objcreatedat" par="" text="21.12.2015 15:11:08"/>
    <f:field ref="objchangedby" par="" text="Bonnet, Colin (BAV - boc)"/>
    <f:field ref="objmodifiedat" par="" text="22.12.2015 17:44:50"/>
    <f:field ref="doc_FSCFOLIO_1_1001_FieldDocumentNumber" par="" text=""/>
    <f:field ref="doc_FSCFOLIO_1_1001_FieldSubject" par="" edit="true" text=""/>
    <f:field ref="FSCFOLIO_1_1001_FieldCurrentUser" par="" text="Valérie Blanchard Bakx"/>
    <f:field ref="CCAPRECONFIG_15_1001_Objektname" par="" edit="true" text="DS666 Commentaires OFT"/>
    <f:field ref="CHPRECONFIG_1_1001_Objektname" par="" edit="true" text="DS666 Commentaires OF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Anrede" text="Formule d'appel"/>
    <f:field ref="CHPRECONFIG_1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CAPRECONFIG_15_1001_Ort" text="Localité"/>
    <f:field ref="CHPRECONFIG_1_1001_Ort" text="Localité"/>
    <f:field ref="BAVCFG_15_1700_Nachname_AP" text="Nachname_AP"/>
    <f:field ref="CHPRECONFIG_1_1001_Nachname" text="Nom"/>
    <f:field ref="CCAPRECONFIG_15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HPRECONFIG_1_1001_Vorname" text="Prénom"/>
    <f:field ref="CCAPRECONFIG_15_1001_Vorname" text="Prénom"/>
    <f:field ref="CCAPRECONFIG_15_1001_Rechtsform" text="Rechtsform"/>
    <f:field ref="CCAPRECONFIG_15_1001_Abschriftsbemerkung" text="Remarque de l'expéditeur"/>
    <f:field ref="CCAPRECONFIG_15_1001_Strasse" text="Rue"/>
    <f:field ref="CHPRECONFIG_1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HPRECONFIG_1_1001_Titel" text="Titre"/>
    <f:field ref="CCAPRECONFIG_15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fields>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93F9B1-34B3-45C0-B3A0-EB559B20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ECE/TRANS/WP.15/AC.1/2010/40</vt:lpstr>
      <vt:lpstr>ECE/TRANS/WP.15/AC.1/2010/40</vt:lpstr>
    </vt:vector>
  </TitlesOfParts>
  <Company>CSD</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ECE/TRANS/WP.15/AC.1/2010/40</dc:title>
  <dc:subject>final</dc:subject>
  <dc:creator>ROBERT</dc:creator>
  <cp:lastModifiedBy>Christine Barrio-Champeau</cp:lastModifiedBy>
  <cp:revision>10</cp:revision>
  <cp:lastPrinted>2017-06-02T11:51:00Z</cp:lastPrinted>
  <dcterms:created xsi:type="dcterms:W3CDTF">2017-06-30T14:40:00Z</dcterms:created>
  <dcterms:modified xsi:type="dcterms:W3CDTF">2017-07-03T12:03:00Z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COO.2125.100.2.8222107</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DS666 Commentaires OFT</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21.12.2015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*COO.2125.100.2.8222107*</vt:lpwstr>
  </property>
  <property fmtid="{D5CDD505-2E9C-101B-9397-08002B2CF9AE}" pid="91" name="FSC#COOELAK@1.1001:RefBarCode">
    <vt:lpwstr>*COO.2125.100.2.8222108*</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DS666f</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BAV-510.42-00002/00001/00009</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COO.2125.100.2.8222107</vt:lpwstr>
  </property>
  <property fmtid="{D5CDD505-2E9C-101B-9397-08002B2CF9AE}" pid="161" name="FSC#FSCFOLIO@1.1001:docpropproject">
    <vt:lpwstr/>
  </property>
</Properties>
</file>