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5213E8"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5213E8" w:rsidRDefault="00A658DB" w:rsidP="005213E8">
            <w:pPr>
              <w:jc w:val="right"/>
              <w:rPr>
                <w:lang w:val="en-US"/>
              </w:rPr>
            </w:pPr>
            <w:r w:rsidRPr="009D6B18">
              <w:rPr>
                <w:sz w:val="40"/>
                <w:szCs w:val="40"/>
                <w:lang w:val="en-US"/>
              </w:rPr>
              <w:t>ECE</w:t>
            </w:r>
            <w:r w:rsidRPr="005213E8">
              <w:rPr>
                <w:lang w:val="en-US"/>
              </w:rPr>
              <w:t>/</w:t>
            </w:r>
            <w:r w:rsidR="00415659" w:rsidRPr="005213E8">
              <w:rPr>
                <w:lang w:val="en-US"/>
              </w:rPr>
              <w:t>TRANS/WP.</w:t>
            </w:r>
            <w:r w:rsidR="005213E8" w:rsidRPr="005213E8">
              <w:rPr>
                <w:lang w:val="en-US"/>
              </w:rPr>
              <w:t>15</w:t>
            </w:r>
            <w:r w:rsidR="00415659" w:rsidRPr="005213E8">
              <w:rPr>
                <w:lang w:val="en-US"/>
              </w:rPr>
              <w:t>/</w:t>
            </w:r>
            <w:r w:rsidR="005213E8" w:rsidRPr="005213E8">
              <w:rPr>
                <w:lang w:val="en-US"/>
              </w:rPr>
              <w:t>AC.1</w:t>
            </w:r>
            <w:r w:rsidR="00415659" w:rsidRPr="005213E8">
              <w:rPr>
                <w:lang w:val="en-US"/>
              </w:rPr>
              <w:t>/2017/</w:t>
            </w:r>
            <w:r w:rsidR="005213E8">
              <w:rPr>
                <w:lang w:val="en-US"/>
              </w:rPr>
              <w:t>1</w:t>
            </w:r>
            <w:r w:rsidR="00DE3BF9">
              <w:rPr>
                <w:lang w:val="en-US"/>
              </w:rPr>
              <w:t xml:space="preserve">    </w:t>
            </w:r>
            <w:r w:rsidR="009451DA" w:rsidRPr="005213E8">
              <w:rPr>
                <w:lang w:val="en-US"/>
              </w:rPr>
              <w:t xml:space="preserve"> </w:t>
            </w:r>
          </w:p>
        </w:tc>
      </w:tr>
      <w:tr w:rsidR="00A658DB" w:rsidRPr="00CD0BAE"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58C7B7E3" wp14:editId="00E663F3">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CD0BAE" w:rsidRDefault="00A658DB" w:rsidP="007B199D">
            <w:pPr>
              <w:spacing w:before="240"/>
              <w:rPr>
                <w:lang w:val="en-US"/>
              </w:rPr>
            </w:pPr>
            <w:r w:rsidRPr="00CD0BAE">
              <w:rPr>
                <w:lang w:val="en-US"/>
              </w:rPr>
              <w:t xml:space="preserve">Distr.: </w:t>
            </w:r>
            <w:bookmarkStart w:id="0" w:name="ПолеСоСписком1"/>
            <w:r w:rsidRPr="00245892">
              <w:fldChar w:fldCharType="begin">
                <w:ffData>
                  <w:name w:val="ПолеСоСписком1"/>
                  <w:enabled/>
                  <w:calcOnExit w:val="0"/>
                  <w:ddList>
                    <w:listEntry w:val="General"/>
                    <w:listEntry w:val="Limited"/>
                    <w:listEntry w:val="Restricted"/>
                  </w:ddList>
                </w:ffData>
              </w:fldChar>
            </w:r>
            <w:r w:rsidRPr="00CD0BAE">
              <w:rPr>
                <w:lang w:val="en-US"/>
              </w:rPr>
              <w:instrText xml:space="preserve"> FORMDROPDOWN </w:instrText>
            </w:r>
            <w:r w:rsidRPr="00245892">
              <w:fldChar w:fldCharType="end"/>
            </w:r>
            <w:bookmarkEnd w:id="0"/>
          </w:p>
          <w:p w:rsidR="00A658DB" w:rsidRPr="00CD0BAE" w:rsidRDefault="005B6811" w:rsidP="007B199D">
            <w:pPr>
              <w:rPr>
                <w:lang w:val="en-US"/>
              </w:rPr>
            </w:pPr>
            <w:r>
              <w:fldChar w:fldCharType="begin"/>
            </w:r>
            <w:r w:rsidRPr="00CD0BAE">
              <w:rPr>
                <w:lang w:val="en-US"/>
              </w:rPr>
              <w:instrText xml:space="preserve"> FILLIN  "</w:instrText>
            </w:r>
            <w:r>
              <w:instrText>Введите</w:instrText>
            </w:r>
            <w:r w:rsidRPr="00CD0BAE">
              <w:rPr>
                <w:lang w:val="en-US"/>
              </w:rPr>
              <w:instrText xml:space="preserve"> </w:instrText>
            </w:r>
            <w:r>
              <w:instrText>дату</w:instrText>
            </w:r>
            <w:r w:rsidRPr="00CD0BAE">
              <w:rPr>
                <w:lang w:val="en-US"/>
              </w:rPr>
              <w:instrText xml:space="preserve"> </w:instrText>
            </w:r>
            <w:r>
              <w:instrText>документа</w:instrText>
            </w:r>
            <w:r w:rsidRPr="00CD0BAE">
              <w:rPr>
                <w:lang w:val="en-US"/>
              </w:rPr>
              <w:instrText xml:space="preserve">" \* MERGEFORMAT </w:instrText>
            </w:r>
            <w:r>
              <w:fldChar w:fldCharType="separate"/>
            </w:r>
            <w:r w:rsidR="00CD0BAE" w:rsidRPr="00CD0BAE">
              <w:rPr>
                <w:lang w:val="en-US"/>
              </w:rPr>
              <w:t>21</w:t>
            </w:r>
            <w:r w:rsidR="00415659">
              <w:rPr>
                <w:lang w:val="en-US"/>
              </w:rPr>
              <w:t xml:space="preserve"> </w:t>
            </w:r>
            <w:r w:rsidR="00CD0BAE">
              <w:rPr>
                <w:lang w:val="en-US"/>
              </w:rPr>
              <w:t>December</w:t>
            </w:r>
            <w:r w:rsidR="00BD2942" w:rsidRPr="00CD0BAE">
              <w:rPr>
                <w:lang w:val="en-US"/>
              </w:rPr>
              <w:t xml:space="preserve"> 2016</w:t>
            </w:r>
            <w:r>
              <w:fldChar w:fldCharType="end"/>
            </w:r>
          </w:p>
          <w:p w:rsidR="00A658DB" w:rsidRPr="00CD0BAE" w:rsidRDefault="00A658DB" w:rsidP="007B199D">
            <w:pPr>
              <w:rPr>
                <w:lang w:val="en-US"/>
              </w:rPr>
            </w:pPr>
            <w:r w:rsidRPr="00CD0BAE">
              <w:rPr>
                <w:lang w:val="en-US"/>
              </w:rPr>
              <w:t>Russian</w:t>
            </w:r>
          </w:p>
          <w:p w:rsidR="00A658DB" w:rsidRPr="00CD0BAE" w:rsidRDefault="00A658DB" w:rsidP="007B199D">
            <w:pPr>
              <w:rPr>
                <w:lang w:val="en-US"/>
              </w:rPr>
            </w:pPr>
            <w:r w:rsidRPr="00CD0BAE">
              <w:rPr>
                <w:lang w:val="en-US"/>
              </w:rPr>
              <w:t xml:space="preserve">Original: </w:t>
            </w:r>
            <w:bookmarkStart w:id="1"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D0BAE">
              <w:rPr>
                <w:lang w:val="en-US"/>
              </w:rPr>
              <w:instrText xml:space="preserve"> FORMDROPDOWN </w:instrText>
            </w:r>
            <w:r w:rsidRPr="00245892">
              <w:fldChar w:fldCharType="end"/>
            </w:r>
            <w:bookmarkEnd w:id="1"/>
            <w:r w:rsidR="00CD0BAE">
              <w:rPr>
                <w:lang w:val="en-US"/>
              </w:rPr>
              <w:t xml:space="preserve"> and French</w:t>
            </w:r>
          </w:p>
          <w:p w:rsidR="00A658DB" w:rsidRPr="00CD0BAE" w:rsidRDefault="00A658DB" w:rsidP="007B199D">
            <w:pPr>
              <w:rPr>
                <w:lang w:val="en-US"/>
              </w:rPr>
            </w:pPr>
          </w:p>
        </w:tc>
      </w:tr>
    </w:tbl>
    <w:p w:rsidR="00A658DB" w:rsidRDefault="00A658DB" w:rsidP="00BD2942">
      <w:pPr>
        <w:spacing w:before="120"/>
        <w:rPr>
          <w:b/>
          <w:sz w:val="28"/>
          <w:szCs w:val="28"/>
        </w:rPr>
      </w:pPr>
      <w:r w:rsidRPr="00245892">
        <w:rPr>
          <w:b/>
          <w:sz w:val="28"/>
          <w:szCs w:val="28"/>
        </w:rPr>
        <w:t>Европейская экономическая комиссия</w:t>
      </w:r>
    </w:p>
    <w:p w:rsidR="00007B7D" w:rsidRPr="005A387F" w:rsidRDefault="005A387F" w:rsidP="008512C1">
      <w:pPr>
        <w:spacing w:before="120" w:after="120"/>
        <w:rPr>
          <w:sz w:val="28"/>
          <w:szCs w:val="28"/>
          <w:lang w:val="en-US"/>
        </w:rPr>
      </w:pPr>
      <w:r w:rsidRPr="005A387F">
        <w:rPr>
          <w:sz w:val="28"/>
          <w:szCs w:val="28"/>
        </w:rPr>
        <w:t>Комитет по внутреннему транспорту</w:t>
      </w:r>
    </w:p>
    <w:p w:rsidR="002C1EE7" w:rsidRPr="003749EF" w:rsidRDefault="003F6450" w:rsidP="002C1EE7">
      <w:pPr>
        <w:spacing w:after="120"/>
        <w:rPr>
          <w:b/>
          <w:sz w:val="24"/>
          <w:szCs w:val="24"/>
        </w:rPr>
      </w:pPr>
      <w:r w:rsidRPr="003749EF">
        <w:rPr>
          <w:b/>
          <w:sz w:val="24"/>
          <w:szCs w:val="24"/>
        </w:rPr>
        <w:t xml:space="preserve">Рабочая группа по </w:t>
      </w:r>
      <w:r w:rsidR="003749EF" w:rsidRPr="003749EF">
        <w:rPr>
          <w:b/>
          <w:sz w:val="24"/>
          <w:szCs w:val="24"/>
        </w:rPr>
        <w:t>перевозкам опасных грузов</w:t>
      </w:r>
    </w:p>
    <w:p w:rsidR="003749EF" w:rsidRPr="003749EF" w:rsidRDefault="003749EF" w:rsidP="003749EF">
      <w:pPr>
        <w:rPr>
          <w:b/>
        </w:rPr>
      </w:pPr>
      <w:r w:rsidRPr="003749EF">
        <w:rPr>
          <w:b/>
        </w:rPr>
        <w:t xml:space="preserve">Совместное совещание Комиссии экспертов МПОГ </w:t>
      </w:r>
    </w:p>
    <w:p w:rsidR="003749EF" w:rsidRPr="003749EF" w:rsidRDefault="00D82EDC" w:rsidP="003749EF">
      <w:pPr>
        <w:rPr>
          <w:b/>
        </w:rPr>
      </w:pPr>
      <w:r w:rsidRPr="003749EF">
        <w:rPr>
          <w:b/>
        </w:rPr>
        <w:t xml:space="preserve">и </w:t>
      </w:r>
      <w:r w:rsidR="003749EF" w:rsidRPr="003749EF">
        <w:rPr>
          <w:b/>
        </w:rPr>
        <w:t>Рабочей группы по перевозкам опасных грузов</w:t>
      </w:r>
    </w:p>
    <w:p w:rsidR="003749EF" w:rsidRPr="007F1B69" w:rsidRDefault="003749EF" w:rsidP="003749EF">
      <w:r>
        <w:t>Берн, 13–17 марта 2017 года</w:t>
      </w:r>
    </w:p>
    <w:p w:rsidR="003749EF" w:rsidRPr="007F1B69" w:rsidRDefault="003749EF" w:rsidP="003749EF">
      <w:r>
        <w:t>Пункт 5 b) предварительной повестки дня</w:t>
      </w:r>
    </w:p>
    <w:p w:rsidR="003749EF" w:rsidRPr="00D82EDC" w:rsidRDefault="003749EF" w:rsidP="003749EF">
      <w:pPr>
        <w:rPr>
          <w:b/>
        </w:rPr>
      </w:pPr>
      <w:r w:rsidRPr="003749EF">
        <w:rPr>
          <w:b/>
        </w:rPr>
        <w:t xml:space="preserve">Предложения о внесении поправок </w:t>
      </w:r>
      <w:r w:rsidR="00D82EDC" w:rsidRPr="00D82EDC">
        <w:rPr>
          <w:b/>
        </w:rPr>
        <w:br/>
      </w:r>
      <w:r w:rsidRPr="003749EF">
        <w:rPr>
          <w:b/>
        </w:rPr>
        <w:t>в МПОГ/ДОПОГ/ВОПОГ:</w:t>
      </w:r>
      <w:r w:rsidR="00D82EDC" w:rsidRPr="00D82EDC">
        <w:rPr>
          <w:b/>
        </w:rPr>
        <w:t xml:space="preserve"> </w:t>
      </w:r>
      <w:r w:rsidR="00D82EDC">
        <w:rPr>
          <w:b/>
        </w:rPr>
        <w:t>новые предложения</w:t>
      </w:r>
    </w:p>
    <w:p w:rsidR="003749EF" w:rsidRPr="003749EF" w:rsidRDefault="003749EF" w:rsidP="00882916">
      <w:pPr>
        <w:pStyle w:val="HChGR"/>
      </w:pPr>
      <w:r w:rsidRPr="003749EF">
        <w:tab/>
      </w:r>
      <w:r w:rsidRPr="003749EF">
        <w:tab/>
        <w:t>Распространение сферы применения положений главы 5.2, касающихся стойкости к воздействию погодных условий, на информационные табло, таблички оранжевого цвета и маркировочные знаки</w:t>
      </w:r>
    </w:p>
    <w:p w:rsidR="003749EF" w:rsidRPr="003749EF" w:rsidRDefault="003749EF" w:rsidP="00882916">
      <w:pPr>
        <w:pStyle w:val="H1GR"/>
      </w:pPr>
      <w:r w:rsidRPr="003749EF">
        <w:tab/>
      </w:r>
      <w:r w:rsidRPr="003749EF">
        <w:tab/>
        <w:t xml:space="preserve">Передано Международным союзом железных </w:t>
      </w:r>
      <w:r w:rsidR="00882916">
        <w:br/>
      </w:r>
      <w:r w:rsidRPr="003749EF">
        <w:t>дорог (МСЖД)</w:t>
      </w:r>
      <w:r w:rsidR="00882916" w:rsidRPr="00882916">
        <w:rPr>
          <w:rStyle w:val="Appelnotedebasdep"/>
          <w:b w:val="0"/>
          <w:sz w:val="20"/>
          <w:vertAlign w:val="baseline"/>
          <w:lang w:eastAsia="en-US"/>
        </w:rPr>
        <w:footnoteReference w:customMarkFollows="1" w:id="1"/>
        <w:t xml:space="preserve">* </w:t>
      </w:r>
      <w:r w:rsidR="00882916" w:rsidRPr="00882916">
        <w:rPr>
          <w:rStyle w:val="Appelnotedebasdep"/>
          <w:b w:val="0"/>
          <w:sz w:val="20"/>
          <w:vertAlign w:val="baseline"/>
          <w:lang w:eastAsia="en-US"/>
        </w:rPr>
        <w:footnoteReference w:customMarkFollows="1" w:id="2"/>
        <w:t xml:space="preserve">** </w:t>
      </w:r>
    </w:p>
    <w:p w:rsidR="003749EF" w:rsidRPr="003749EF" w:rsidRDefault="003749EF" w:rsidP="00882916">
      <w:pPr>
        <w:pStyle w:val="HChGR"/>
      </w:pPr>
      <w:r w:rsidRPr="003749EF">
        <w:tab/>
      </w:r>
      <w:r w:rsidRPr="003749EF">
        <w:tab/>
        <w:t>Введение</w:t>
      </w:r>
    </w:p>
    <w:p w:rsidR="003749EF" w:rsidRPr="003749EF" w:rsidRDefault="003749EF" w:rsidP="003749EF">
      <w:pPr>
        <w:pStyle w:val="SingleTxtGR"/>
      </w:pPr>
      <w:r w:rsidRPr="003749EF">
        <w:t>1.</w:t>
      </w:r>
      <w:r w:rsidRPr="003749EF">
        <w:tab/>
      </w:r>
      <w:proofErr w:type="gramStart"/>
      <w:r w:rsidRPr="003749EF">
        <w:t>При комбинированных перевозках неблагоприятные погодные условия и другие факторы, такие как холод, влага, встречный ветер, а в некоторых случ</w:t>
      </w:r>
      <w:r w:rsidRPr="003749EF">
        <w:t>а</w:t>
      </w:r>
      <w:r w:rsidRPr="003749EF">
        <w:t>ях и перемещение на большие расстояния (например</w:t>
      </w:r>
      <w:r w:rsidR="0025586D">
        <w:t>,</w:t>
      </w:r>
      <w:r w:rsidRPr="003749EF">
        <w:t xml:space="preserve"> в случае морского тран</w:t>
      </w:r>
      <w:r w:rsidRPr="003749EF">
        <w:t>с</w:t>
      </w:r>
      <w:r w:rsidRPr="003749EF">
        <w:t>порта), часто являются причиной того, что информационные табло, таблички оранжевого цвета и маркировочные знаки, размещенные погрузчиками, отве</w:t>
      </w:r>
      <w:r w:rsidRPr="003749EF">
        <w:t>т</w:t>
      </w:r>
      <w:r w:rsidRPr="003749EF">
        <w:t>ственными за наполнение или другими участниками в форме самоклеящихся этикеток в отправном пункте транспортной цепочки, в</w:t>
      </w:r>
      <w:proofErr w:type="gramEnd"/>
      <w:r w:rsidRPr="003749EF">
        <w:t xml:space="preserve"> пути следования оказ</w:t>
      </w:r>
      <w:r w:rsidRPr="003749EF">
        <w:t>ы</w:t>
      </w:r>
      <w:r w:rsidRPr="003749EF">
        <w:t>ваются полностью или частично оторванными от поверхности, к которой они были прикреплены; к числу наиболее часто затрагиваемых транспортных ед</w:t>
      </w:r>
      <w:r w:rsidRPr="003749EF">
        <w:t>и</w:t>
      </w:r>
      <w:r w:rsidRPr="003749EF">
        <w:lastRenderedPageBreak/>
        <w:t>ниц относятся большие контейнеры, МЭГК, контейнеры-цистерны, переносные цистерны, съемные кузова и дорожные транспортные средства.</w:t>
      </w:r>
    </w:p>
    <w:p w:rsidR="003749EF" w:rsidRPr="003749EF" w:rsidRDefault="003749EF" w:rsidP="003749EF">
      <w:pPr>
        <w:pStyle w:val="SingleTxtGR"/>
      </w:pPr>
      <w:r w:rsidRPr="003749EF">
        <w:t>2.</w:t>
      </w:r>
      <w:r w:rsidRPr="003749EF">
        <w:tab/>
        <w:t>Это явление может создавать трудности с точки зрения борьбы с факт</w:t>
      </w:r>
      <w:r w:rsidRPr="003749EF">
        <w:t>о</w:t>
      </w:r>
      <w:r w:rsidRPr="003749EF">
        <w:t xml:space="preserve">рами риска и возникновения задержек в ходе перевозки из-за необходимости обновлять маркировку, в </w:t>
      </w:r>
      <w:proofErr w:type="gramStart"/>
      <w:r w:rsidRPr="003749EF">
        <w:t>связи</w:t>
      </w:r>
      <w:proofErr w:type="gramEnd"/>
      <w:r w:rsidRPr="003749EF">
        <w:t xml:space="preserve"> с чем его следует избегать, насколько это во</w:t>
      </w:r>
      <w:r w:rsidRPr="003749EF">
        <w:t>з</w:t>
      </w:r>
      <w:r w:rsidRPr="003749EF">
        <w:t>можно.</w:t>
      </w:r>
    </w:p>
    <w:p w:rsidR="003749EF" w:rsidRPr="003749EF" w:rsidRDefault="003749EF" w:rsidP="003749EF">
      <w:pPr>
        <w:pStyle w:val="SingleTxtGR"/>
      </w:pPr>
      <w:r w:rsidRPr="003749EF">
        <w:t>3.</w:t>
      </w:r>
      <w:r w:rsidRPr="003749EF">
        <w:tab/>
        <w:t>В настоящее время в главе 5.2 содержатся положения, касающиеся</w:t>
      </w:r>
      <w:r w:rsidR="00DE3BF9" w:rsidRPr="00DE3BF9">
        <w:t xml:space="preserve"> </w:t>
      </w:r>
      <w:r w:rsidRPr="003749EF">
        <w:t>усто</w:t>
      </w:r>
      <w:r w:rsidRPr="003749EF">
        <w:t>й</w:t>
      </w:r>
      <w:r w:rsidRPr="003749EF">
        <w:t>чивости к воздействию погодных условий</w:t>
      </w:r>
      <w:r w:rsidR="00DE3BF9">
        <w:t xml:space="preserve"> </w:t>
      </w:r>
      <w:r w:rsidRPr="003749EF">
        <w:t>для</w:t>
      </w:r>
      <w:r w:rsidR="00DE3BF9">
        <w:t xml:space="preserve"> </w:t>
      </w:r>
      <w:r w:rsidRPr="003749EF">
        <w:t>маркировочных знаков и знаков опасности (см. подраздел 5.2.1.2 и пункт 5.2.2.2.1.7).</w:t>
      </w:r>
    </w:p>
    <w:p w:rsidR="003749EF" w:rsidRPr="003749EF" w:rsidRDefault="003749EF" w:rsidP="003749EF">
      <w:pPr>
        <w:pStyle w:val="SingleTxtGR"/>
      </w:pPr>
      <w:r w:rsidRPr="003749EF">
        <w:t>4.</w:t>
      </w:r>
      <w:r w:rsidRPr="003749EF">
        <w:tab/>
        <w:t xml:space="preserve">Кроме того, в подразделе 5.3.2.2 содержатся положения, касающиеся </w:t>
      </w:r>
      <w:r w:rsidR="00194F2B" w:rsidRPr="00194F2B">
        <w:br/>
      </w:r>
      <w:proofErr w:type="spellStart"/>
      <w:r w:rsidRPr="003749EF">
        <w:t>атмосферостойкости</w:t>
      </w:r>
      <w:proofErr w:type="spellEnd"/>
      <w:r w:rsidR="00DE3BF9">
        <w:t xml:space="preserve"> </w:t>
      </w:r>
      <w:r w:rsidRPr="003749EF">
        <w:t>и долговечности маркировки для табличек оранжевого цвета.</w:t>
      </w:r>
    </w:p>
    <w:p w:rsidR="003749EF" w:rsidRPr="003749EF" w:rsidRDefault="003749EF" w:rsidP="003749EF">
      <w:pPr>
        <w:pStyle w:val="SingleTxtGR"/>
      </w:pPr>
      <w:r w:rsidRPr="003749EF">
        <w:t>5.</w:t>
      </w:r>
      <w:r w:rsidRPr="003749EF">
        <w:tab/>
        <w:t>В связи с этим МСЖД хотел бы предложить ликвидировать существу</w:t>
      </w:r>
      <w:r w:rsidRPr="003749EF">
        <w:t>ю</w:t>
      </w:r>
      <w:r w:rsidRPr="003749EF">
        <w:t>щее в настоящее время различие между информационными табло и маркир</w:t>
      </w:r>
      <w:r w:rsidRPr="003749EF">
        <w:t>о</w:t>
      </w:r>
      <w:r w:rsidRPr="003749EF">
        <w:t>вочными знаками путем расширения сферы применения положений, касающи</w:t>
      </w:r>
      <w:r w:rsidRPr="003749EF">
        <w:t>х</w:t>
      </w:r>
      <w:r w:rsidRPr="003749EF">
        <w:t>ся устойчивости к воздействию погодных условий и долговечности маркиро</w:t>
      </w:r>
      <w:r w:rsidRPr="003749EF">
        <w:t>в</w:t>
      </w:r>
      <w:r w:rsidRPr="003749EF">
        <w:t>ки,</w:t>
      </w:r>
      <w:r w:rsidR="00DE3BF9">
        <w:t xml:space="preserve"> </w:t>
      </w:r>
      <w:r w:rsidRPr="003749EF">
        <w:t xml:space="preserve">которые в настоящее время касаются непосредственно табличек оранжевого цвета, с </w:t>
      </w:r>
      <w:proofErr w:type="gramStart"/>
      <w:r w:rsidRPr="003749EF">
        <w:t>тем</w:t>
      </w:r>
      <w:proofErr w:type="gramEnd"/>
      <w:r w:rsidRPr="003749EF">
        <w:t xml:space="preserve"> чтобы распространить их также и на информационные табло и маркировочные знаки. Кроме того, дополнительные положения относительно подходящих методов маркировки следует включить в соответствии с разд</w:t>
      </w:r>
      <w:r w:rsidRPr="003749EF">
        <w:t>е</w:t>
      </w:r>
      <w:r w:rsidRPr="003749EF">
        <w:t>лом</w:t>
      </w:r>
      <w:r w:rsidR="00194F2B">
        <w:rPr>
          <w:lang w:val="en-US"/>
        </w:rPr>
        <w:t> </w:t>
      </w:r>
      <w:r w:rsidRPr="003749EF">
        <w:t>5.3.1.1.1.2 МКМПОГ.</w:t>
      </w:r>
    </w:p>
    <w:p w:rsidR="003749EF" w:rsidRPr="003749EF" w:rsidRDefault="003749EF" w:rsidP="0025586D">
      <w:pPr>
        <w:pStyle w:val="HChGR"/>
      </w:pPr>
      <w:r w:rsidRPr="003749EF">
        <w:tab/>
      </w:r>
      <w:r w:rsidRPr="003749EF">
        <w:tab/>
        <w:t>Предложение 1</w:t>
      </w:r>
    </w:p>
    <w:p w:rsidR="003749EF" w:rsidRPr="003749EF" w:rsidRDefault="003749EF" w:rsidP="003749EF">
      <w:pPr>
        <w:pStyle w:val="SingleTxtGR"/>
      </w:pPr>
      <w:r w:rsidRPr="003749EF">
        <w:t>6.</w:t>
      </w:r>
      <w:r w:rsidRPr="003749EF">
        <w:tab/>
        <w:t>Добавить в пункт 5.3.1.1.1 следующий текст:</w:t>
      </w:r>
    </w:p>
    <w:p w:rsidR="003749EF" w:rsidRPr="003749EF" w:rsidRDefault="0025586D" w:rsidP="003749EF">
      <w:pPr>
        <w:pStyle w:val="SingleTxtGR"/>
      </w:pPr>
      <w:r>
        <w:t>«</w:t>
      </w:r>
      <w:r w:rsidR="003749EF" w:rsidRPr="003749EF">
        <w:t>Информационные табло должны быть устойчивыми к воздействию погодных условий и обеспечивать долговечность маркировки. Необходимо использовать соответствующие методы маркировки для обеспечения того, чтобы информац</w:t>
      </w:r>
      <w:r w:rsidR="003749EF" w:rsidRPr="003749EF">
        <w:t>и</w:t>
      </w:r>
      <w:r w:rsidR="003749EF" w:rsidRPr="003749EF">
        <w:t>онные табло оставались ясно видимым на протяжении всего рейса. При ра</w:t>
      </w:r>
      <w:r w:rsidR="003749EF" w:rsidRPr="003749EF">
        <w:t>с</w:t>
      </w:r>
      <w:r w:rsidR="003749EF" w:rsidRPr="003749EF">
        <w:t>смотрении подходящих методов маркировки необходимо принимать во вним</w:t>
      </w:r>
      <w:r w:rsidR="003749EF" w:rsidRPr="003749EF">
        <w:t>а</w:t>
      </w:r>
      <w:r w:rsidR="003749EF" w:rsidRPr="003749EF">
        <w:t>ние простоту нанесения маркировки на соответствующие поверхности груз</w:t>
      </w:r>
      <w:r w:rsidR="003749EF" w:rsidRPr="003749EF">
        <w:t>о</w:t>
      </w:r>
      <w:r w:rsidR="003749EF" w:rsidRPr="003749EF">
        <w:t>вых транспортных единиц</w:t>
      </w:r>
      <w:r>
        <w:t>»</w:t>
      </w:r>
      <w:r w:rsidR="003749EF" w:rsidRPr="003749EF">
        <w:t>.</w:t>
      </w:r>
    </w:p>
    <w:p w:rsidR="003749EF" w:rsidRPr="003749EF" w:rsidRDefault="003749EF" w:rsidP="0025586D">
      <w:pPr>
        <w:pStyle w:val="HChGR"/>
      </w:pPr>
      <w:r w:rsidRPr="003749EF">
        <w:tab/>
      </w:r>
      <w:r w:rsidRPr="003749EF">
        <w:tab/>
        <w:t>Предложение 2</w:t>
      </w:r>
    </w:p>
    <w:p w:rsidR="003749EF" w:rsidRPr="003749EF" w:rsidRDefault="003749EF" w:rsidP="003749EF">
      <w:pPr>
        <w:pStyle w:val="SingleTxtGR"/>
      </w:pPr>
      <w:r w:rsidRPr="003749EF">
        <w:t>7.</w:t>
      </w:r>
      <w:r w:rsidRPr="003749EF">
        <w:tab/>
        <w:t>Добавить в пункт 5.3.2.2.1 следующий текст:</w:t>
      </w:r>
    </w:p>
    <w:p w:rsidR="003749EF" w:rsidRPr="003749EF" w:rsidRDefault="0025586D" w:rsidP="003749EF">
      <w:pPr>
        <w:pStyle w:val="SingleTxtGR"/>
      </w:pPr>
      <w:r>
        <w:t>«</w:t>
      </w:r>
      <w:r w:rsidR="003749EF" w:rsidRPr="003749EF">
        <w:t>Необходимо использовать соответствующие методы маркировки для обесп</w:t>
      </w:r>
      <w:r w:rsidR="003749EF" w:rsidRPr="003749EF">
        <w:t>е</w:t>
      </w:r>
      <w:r w:rsidR="003749EF" w:rsidRPr="003749EF">
        <w:t>чения того, чтобы таблички оранжевого цвета оставались ясно видимым на протяжении всего рейса. При рассмотрении подходящих методов маркировки необходимо принимать во внимание простоту нанесения маркировки на соо</w:t>
      </w:r>
      <w:r w:rsidR="003749EF" w:rsidRPr="003749EF">
        <w:t>т</w:t>
      </w:r>
      <w:r w:rsidR="003749EF" w:rsidRPr="003749EF">
        <w:t>ветствующие поверхности грузовых транспортных единиц</w:t>
      </w:r>
      <w:r>
        <w:t>»</w:t>
      </w:r>
      <w:r w:rsidR="003749EF" w:rsidRPr="003749EF">
        <w:t>.</w:t>
      </w:r>
    </w:p>
    <w:p w:rsidR="003749EF" w:rsidRPr="003749EF" w:rsidRDefault="003749EF" w:rsidP="0025586D">
      <w:pPr>
        <w:pStyle w:val="HChGR"/>
      </w:pPr>
      <w:r w:rsidRPr="003749EF">
        <w:tab/>
      </w:r>
      <w:r w:rsidRPr="003749EF">
        <w:tab/>
        <w:t>Предложение 3, вариант 1</w:t>
      </w:r>
    </w:p>
    <w:p w:rsidR="003749EF" w:rsidRPr="003749EF" w:rsidRDefault="003749EF" w:rsidP="003749EF">
      <w:pPr>
        <w:pStyle w:val="SingleTxtGR"/>
      </w:pPr>
      <w:r w:rsidRPr="003749EF">
        <w:t>8.</w:t>
      </w:r>
      <w:r w:rsidRPr="003749EF">
        <w:tab/>
        <w:t>Добавить в раздел 5.3.3 следующий текст:</w:t>
      </w:r>
    </w:p>
    <w:p w:rsidR="003749EF" w:rsidRPr="003749EF" w:rsidRDefault="0025586D" w:rsidP="003749EF">
      <w:pPr>
        <w:pStyle w:val="SingleTxtGR"/>
      </w:pPr>
      <w:r>
        <w:t>«</w:t>
      </w:r>
      <w:r w:rsidR="003749EF" w:rsidRPr="003749EF">
        <w:t>Маркировочный знак должен быть устойчивым к воздействию погодных усл</w:t>
      </w:r>
      <w:r w:rsidR="003749EF" w:rsidRPr="003749EF">
        <w:t>о</w:t>
      </w:r>
      <w:r w:rsidR="003749EF" w:rsidRPr="003749EF">
        <w:t>вий и обеспечивать долговечность маркировки. Необходимо использовать соо</w:t>
      </w:r>
      <w:r w:rsidR="003749EF" w:rsidRPr="003749EF">
        <w:t>т</w:t>
      </w:r>
      <w:r w:rsidR="003749EF" w:rsidRPr="003749EF">
        <w:lastRenderedPageBreak/>
        <w:t>ветствующие методы маркировки для обеспечения того, чтобы маркировочный знак оставался ясно видимым на протяжении всего рейса. При рассмотрении подходящих методов маркировки необходимо принимать во внимание простоту нанесения маркировки на соответствующие поверхности грузовых транспор</w:t>
      </w:r>
      <w:r w:rsidR="003749EF" w:rsidRPr="003749EF">
        <w:t>т</w:t>
      </w:r>
      <w:r w:rsidR="003749EF" w:rsidRPr="003749EF">
        <w:t>ных единиц</w:t>
      </w:r>
      <w:r>
        <w:t>»</w:t>
      </w:r>
      <w:r w:rsidR="003749EF" w:rsidRPr="003749EF">
        <w:t>.</w:t>
      </w:r>
    </w:p>
    <w:p w:rsidR="003749EF" w:rsidRPr="003749EF" w:rsidRDefault="003749EF" w:rsidP="0025586D">
      <w:pPr>
        <w:pStyle w:val="HChGR"/>
      </w:pPr>
      <w:r w:rsidRPr="003749EF">
        <w:tab/>
      </w:r>
      <w:r w:rsidRPr="003749EF">
        <w:tab/>
        <w:t>Предложение 3, вариант 2</w:t>
      </w:r>
    </w:p>
    <w:p w:rsidR="003749EF" w:rsidRPr="003749EF" w:rsidRDefault="003749EF" w:rsidP="003749EF">
      <w:pPr>
        <w:pStyle w:val="SingleTxtGR"/>
      </w:pPr>
      <w:r w:rsidRPr="003749EF">
        <w:t>9.</w:t>
      </w:r>
      <w:r w:rsidRPr="003749EF">
        <w:tab/>
        <w:t>Добавить в раздел 5.3.3 следующий текст:</w:t>
      </w:r>
    </w:p>
    <w:p w:rsidR="003749EF" w:rsidRPr="003749EF" w:rsidRDefault="0025586D" w:rsidP="003749EF">
      <w:pPr>
        <w:pStyle w:val="SingleTxtGR"/>
      </w:pPr>
      <w:r>
        <w:t>«</w:t>
      </w:r>
      <w:r w:rsidR="003749EF" w:rsidRPr="003749EF">
        <w:t>Другие положения раздела 5.3.1, касающиеся информационных табло, должны применяться к этому знаку с соответствующими изменениями</w:t>
      </w:r>
      <w:r>
        <w:t>»</w:t>
      </w:r>
      <w:r w:rsidR="003749EF" w:rsidRPr="003749EF">
        <w:t>.</w:t>
      </w:r>
    </w:p>
    <w:p w:rsidR="003749EF" w:rsidRPr="005B6811" w:rsidRDefault="003749EF" w:rsidP="003749EF">
      <w:pPr>
        <w:pStyle w:val="SingleTxtGR"/>
        <w:rPr>
          <w:i/>
        </w:rPr>
      </w:pPr>
      <w:r w:rsidRPr="005B6811">
        <w:rPr>
          <w:i/>
        </w:rPr>
        <w:t>(Нет необходимости изменять положения, касающиеся маркировки веществ, опасных для окружающей среды, поскольку в отношении этих маркировочных знаков применяются соответственно другие положения раздела 5.3.1, каса</w:t>
      </w:r>
      <w:r w:rsidRPr="005B6811">
        <w:rPr>
          <w:i/>
        </w:rPr>
        <w:t>ю</w:t>
      </w:r>
      <w:r w:rsidRPr="005B6811">
        <w:rPr>
          <w:i/>
        </w:rPr>
        <w:t>щиеся информационных табло (см. последнее предложение пункта 5.3.6.2)).</w:t>
      </w:r>
    </w:p>
    <w:p w:rsidR="003749EF" w:rsidRPr="003749EF" w:rsidRDefault="003749EF" w:rsidP="0025586D">
      <w:pPr>
        <w:pStyle w:val="HChGR"/>
      </w:pPr>
      <w:r w:rsidRPr="003749EF">
        <w:tab/>
      </w:r>
      <w:r w:rsidRPr="003749EF">
        <w:tab/>
        <w:t>Осуществимость</w:t>
      </w:r>
    </w:p>
    <w:p w:rsidR="00007B7D" w:rsidRDefault="003749EF" w:rsidP="003749EF">
      <w:pPr>
        <w:pStyle w:val="SingleTxtGR"/>
      </w:pPr>
      <w:r w:rsidRPr="003749EF">
        <w:t>10.</w:t>
      </w:r>
      <w:r w:rsidRPr="003749EF">
        <w:tab/>
        <w:t>МСЖД считает, что предлагаемые меры будут способствовать укрепл</w:t>
      </w:r>
      <w:r w:rsidRPr="003749EF">
        <w:t>е</w:t>
      </w:r>
      <w:r w:rsidRPr="003749EF">
        <w:t>нию безопасности и что они могут быть осуществлены практически без каких-либо дополнительных расходов. Погрузчики, ответственные за наполнение</w:t>
      </w:r>
      <w:r w:rsidR="005B6811">
        <w:t>,</w:t>
      </w:r>
      <w:r w:rsidRPr="003749EF">
        <w:t xml:space="preserve"> и другие лица, на которых возлагается обязанность устанавливать информацио</w:t>
      </w:r>
      <w:r w:rsidRPr="003749EF">
        <w:t>н</w:t>
      </w:r>
      <w:r w:rsidRPr="003749EF">
        <w:t>ные табло и маркировочные знаки, будут дополнительно уведомлены о необх</w:t>
      </w:r>
      <w:r w:rsidRPr="003749EF">
        <w:t>о</w:t>
      </w:r>
      <w:r w:rsidRPr="003749EF">
        <w:t>димости проявлять большую осторожность при нанесении маркировки. Усто</w:t>
      </w:r>
      <w:r w:rsidRPr="003749EF">
        <w:t>й</w:t>
      </w:r>
      <w:r w:rsidRPr="003749EF">
        <w:t>чивая к погодным условиям и долговечная маркировка будет способствовать не только предотвращению нарушений в плане борьбы с факторами риска,</w:t>
      </w:r>
      <w:r w:rsidR="00DE3BF9">
        <w:t xml:space="preserve"> </w:t>
      </w:r>
      <w:r w:rsidRPr="003749EF">
        <w:t>но и предотвращению задержек во время перевозки.</w:t>
      </w:r>
    </w:p>
    <w:p w:rsidR="002C1EE7" w:rsidRPr="0025586D" w:rsidRDefault="0025586D" w:rsidP="0025586D">
      <w:pPr>
        <w:spacing w:before="240"/>
        <w:jc w:val="center"/>
        <w:rPr>
          <w:u w:val="single"/>
        </w:rPr>
      </w:pPr>
      <w:r>
        <w:rPr>
          <w:u w:val="single"/>
        </w:rPr>
        <w:tab/>
      </w:r>
      <w:r>
        <w:rPr>
          <w:u w:val="single"/>
        </w:rPr>
        <w:tab/>
      </w:r>
      <w:r>
        <w:rPr>
          <w:u w:val="single"/>
        </w:rPr>
        <w:tab/>
      </w:r>
    </w:p>
    <w:sectPr w:rsidR="002C1EE7" w:rsidRPr="0025586D"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AA" w:rsidRDefault="004907AA" w:rsidP="00B471C5">
      <w:r>
        <w:separator/>
      </w:r>
    </w:p>
  </w:endnote>
  <w:endnote w:type="continuationSeparator" w:id="0">
    <w:p w:rsidR="004907AA" w:rsidRDefault="004907AA"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20B1F">
      <w:rPr>
        <w:b/>
        <w:noProof/>
        <w:sz w:val="18"/>
        <w:szCs w:val="18"/>
      </w:rPr>
      <w:t>2</w:t>
    </w:r>
    <w:r w:rsidRPr="00BA2D2B">
      <w:rPr>
        <w:b/>
        <w:sz w:val="18"/>
        <w:szCs w:val="18"/>
      </w:rPr>
      <w:fldChar w:fldCharType="end"/>
    </w:r>
    <w:r>
      <w:rPr>
        <w:b/>
        <w:sz w:val="18"/>
        <w:szCs w:val="18"/>
      </w:rPr>
      <w:tab/>
    </w:r>
    <w:r>
      <w:rPr>
        <w:lang w:val="en-US"/>
      </w:rPr>
      <w:t>GE.16-</w:t>
    </w:r>
    <w:r w:rsidR="002F0539">
      <w:rPr>
        <w:lang w:val="en-US"/>
      </w:rPr>
      <w:t>22406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Pieddepage"/>
      <w:rPr>
        <w:lang w:val="en-US"/>
      </w:rPr>
    </w:pPr>
    <w:r>
      <w:rPr>
        <w:lang w:val="en-US"/>
      </w:rPr>
      <w:t>GE.16-</w:t>
    </w:r>
    <w:r w:rsidR="002F0539">
      <w:rPr>
        <w:lang w:val="en-US"/>
      </w:rPr>
      <w:t>22406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20B1F">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5213E8">
          <w:pPr>
            <w:spacing w:after="40"/>
            <w:rPr>
              <w:rFonts w:ascii="C39T30Lfz" w:hAnsi="C39T30Lfz"/>
              <w:spacing w:val="0"/>
              <w:w w:val="100"/>
              <w:kern w:val="0"/>
              <w:lang w:val="en-US" w:eastAsia="ru-RU"/>
            </w:rPr>
          </w:pPr>
          <w:r w:rsidRPr="001C3ABC">
            <w:rPr>
              <w:lang w:val="en-US"/>
            </w:rPr>
            <w:t>GE.16-</w:t>
          </w:r>
          <w:r w:rsidR="005213E8">
            <w:rPr>
              <w:lang w:val="en-US"/>
            </w:rPr>
            <w:t>22406</w:t>
          </w:r>
          <w:r w:rsidRPr="001C3ABC">
            <w:rPr>
              <w:lang w:val="en-US"/>
            </w:rPr>
            <w:t xml:space="preserve"> (R)</w:t>
          </w:r>
          <w:r w:rsidR="00BD2942">
            <w:rPr>
              <w:lang w:val="en-US"/>
            </w:rPr>
            <w:t xml:space="preserve">  </w:t>
          </w:r>
          <w:r w:rsidR="005213E8">
            <w:rPr>
              <w:lang w:val="en-US"/>
            </w:rPr>
            <w:t>050117  050117</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054DC9F" wp14:editId="22A08645">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5213E8" w:rsidP="007B199D">
          <w:pPr>
            <w:jc w:val="right"/>
          </w:pPr>
          <w:r>
            <w:rPr>
              <w:noProof/>
              <w:lang w:val="en-GB" w:eastAsia="en-GB"/>
            </w:rPr>
            <w:drawing>
              <wp:anchor distT="0" distB="0" distL="114300" distR="114300" simplePos="0" relativeHeight="251659264" behindDoc="0" locked="0" layoutInCell="1" allowOverlap="1" wp14:anchorId="727ADD90" wp14:editId="6E92E30F">
                <wp:simplePos x="0" y="0"/>
                <wp:positionH relativeFrom="margin">
                  <wp:posOffset>-35560</wp:posOffset>
                </wp:positionH>
                <wp:positionV relativeFrom="margin">
                  <wp:posOffset>20320</wp:posOffset>
                </wp:positionV>
                <wp:extent cx="636905" cy="636905"/>
                <wp:effectExtent l="0" t="0" r="0" b="0"/>
                <wp:wrapNone/>
                <wp:docPr id="3" name="Image 1" descr="http://undocs.org/m2/QRCode.ashx?DS=ECE/TRANS/WP.15/AC.1/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606E" w:rsidRPr="00797A78" w:rsidTr="007B199D">
      <w:trPr>
        <w:trHeight w:hRule="exact" w:val="564"/>
      </w:trPr>
      <w:tc>
        <w:tcPr>
          <w:tcW w:w="3648" w:type="dxa"/>
          <w:tcMar>
            <w:left w:w="57" w:type="dxa"/>
            <w:right w:w="57" w:type="dxa"/>
          </w:tcMar>
          <w:vAlign w:val="bottom"/>
        </w:tcPr>
        <w:p w:rsidR="00A9606E" w:rsidRPr="00415659" w:rsidRDefault="005213E8" w:rsidP="007B199D">
          <w:pPr>
            <w:spacing w:after="40"/>
            <w:rPr>
              <w:rFonts w:ascii="C39T30Lfz" w:hAnsi="C39T30Lfz"/>
              <w:spacing w:val="0"/>
              <w:w w:val="100"/>
              <w:kern w:val="0"/>
              <w:sz w:val="56"/>
              <w:szCs w:val="56"/>
              <w:lang w:val="en-US" w:eastAsia="ru-RU"/>
            </w:rPr>
          </w:pPr>
          <w:r w:rsidRPr="000B6E3B">
            <w:rPr>
              <w:rFonts w:ascii="C39T30Lfz" w:hAnsi="C39T30Lfz"/>
              <w:sz w:val="56"/>
            </w:rPr>
            <w:t></w:t>
          </w:r>
          <w:r w:rsidRPr="000B6E3B">
            <w:rPr>
              <w:rFonts w:ascii="C39T30Lfz" w:hAnsi="C39T30Lfz"/>
              <w:sz w:val="56"/>
            </w:rPr>
            <w:t></w:t>
          </w:r>
          <w:r w:rsidRPr="000B6E3B">
            <w:rPr>
              <w:rFonts w:ascii="C39T30Lfz" w:hAnsi="C39T30Lfz"/>
              <w:sz w:val="56"/>
            </w:rPr>
            <w:t></w:t>
          </w:r>
          <w:r w:rsidRPr="000B6E3B">
            <w:rPr>
              <w:rFonts w:ascii="C39T30Lfz" w:hAnsi="C39T30Lfz"/>
              <w:sz w:val="56"/>
            </w:rPr>
            <w:t></w:t>
          </w:r>
          <w:r w:rsidRPr="000B6E3B">
            <w:rPr>
              <w:rFonts w:ascii="C39T30Lfz" w:hAnsi="C39T30Lfz"/>
              <w:sz w:val="56"/>
            </w:rPr>
            <w:t></w:t>
          </w:r>
          <w:r w:rsidRPr="000B6E3B">
            <w:rPr>
              <w:rFonts w:ascii="C39T30Lfz" w:hAnsi="C39T30Lfz"/>
              <w:sz w:val="56"/>
            </w:rPr>
            <w:t></w:t>
          </w:r>
          <w:r w:rsidRPr="000B6E3B">
            <w:rPr>
              <w:rFonts w:ascii="C39T30Lfz" w:hAnsi="C39T30Lfz"/>
              <w:sz w:val="56"/>
            </w:rPr>
            <w:t></w:t>
          </w:r>
          <w:r w:rsidRPr="000B6E3B">
            <w:rPr>
              <w:rFonts w:ascii="C39T30Lfz" w:hAnsi="C39T30Lfz"/>
              <w:sz w:val="56"/>
            </w:rPr>
            <w:t></w:t>
          </w:r>
          <w:r w:rsidRPr="000B6E3B">
            <w:rPr>
              <w:rFonts w:ascii="C39T30Lfz" w:hAnsi="C39T30Lfz"/>
              <w:sz w:val="56"/>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AA" w:rsidRPr="009141DC" w:rsidRDefault="004907AA" w:rsidP="00D1261C">
      <w:pPr>
        <w:tabs>
          <w:tab w:val="left" w:pos="2268"/>
        </w:tabs>
        <w:spacing w:after="80"/>
        <w:ind w:left="680"/>
        <w:rPr>
          <w:u w:val="single"/>
          <w:lang w:val="en-US"/>
        </w:rPr>
      </w:pPr>
      <w:r>
        <w:rPr>
          <w:u w:val="single"/>
          <w:lang w:val="en-US"/>
        </w:rPr>
        <w:tab/>
      </w:r>
    </w:p>
  </w:footnote>
  <w:footnote w:type="continuationSeparator" w:id="0">
    <w:p w:rsidR="004907AA" w:rsidRPr="00D1261C" w:rsidRDefault="004907AA" w:rsidP="00D1261C">
      <w:pPr>
        <w:tabs>
          <w:tab w:val="left" w:pos="2268"/>
        </w:tabs>
        <w:spacing w:after="80"/>
        <w:rPr>
          <w:u w:val="single"/>
          <w:lang w:val="en-US"/>
        </w:rPr>
      </w:pPr>
      <w:r>
        <w:rPr>
          <w:u w:val="single"/>
          <w:lang w:val="en-US"/>
        </w:rPr>
        <w:tab/>
      </w:r>
    </w:p>
  </w:footnote>
  <w:footnote w:id="1">
    <w:p w:rsidR="00882916" w:rsidRPr="00882916" w:rsidRDefault="00882916">
      <w:pPr>
        <w:pStyle w:val="Notedebasdepage"/>
        <w:rPr>
          <w:lang w:val="ru-RU"/>
        </w:rPr>
      </w:pPr>
      <w:r>
        <w:tab/>
      </w:r>
      <w:r w:rsidRPr="0025586D">
        <w:rPr>
          <w:rStyle w:val="Appelnotedebasdep"/>
          <w:sz w:val="20"/>
          <w:vertAlign w:val="baseline"/>
          <w:lang w:val="ru-RU"/>
        </w:rPr>
        <w:t>*</w:t>
      </w:r>
      <w:r w:rsidRPr="00882916">
        <w:rPr>
          <w:lang w:val="ru-RU"/>
        </w:rPr>
        <w:t xml:space="preserve"> </w:t>
      </w:r>
      <w:r w:rsidRPr="00882916">
        <w:rPr>
          <w:lang w:val="ru-RU"/>
        </w:rPr>
        <w:tab/>
      </w:r>
      <w:r w:rsidR="00720B1F" w:rsidRPr="004F6660">
        <w:rPr>
          <w:lang w:val="ru-RU"/>
        </w:rPr>
        <w:t xml:space="preserve">В соответствии с программой работы Комитета по внутреннему транспорту </w:t>
      </w:r>
      <w:r w:rsidR="00720B1F" w:rsidRPr="004F6660">
        <w:rPr>
          <w:lang w:val="ru-RU"/>
        </w:rPr>
        <w:br/>
        <w:t>на 2016−2017 годы (</w:t>
      </w:r>
      <w:r w:rsidR="00720B1F" w:rsidRPr="00EC2D48">
        <w:t>ECE</w:t>
      </w:r>
      <w:r w:rsidR="00720B1F" w:rsidRPr="004F6660">
        <w:rPr>
          <w:lang w:val="ru-RU"/>
        </w:rPr>
        <w:t>/</w:t>
      </w:r>
      <w:r w:rsidR="00720B1F" w:rsidRPr="00EC2D48">
        <w:t>TRANS</w:t>
      </w:r>
      <w:r w:rsidR="00720B1F" w:rsidRPr="004F6660">
        <w:rPr>
          <w:lang w:val="ru-RU"/>
        </w:rPr>
        <w:t>/2016/28/</w:t>
      </w:r>
      <w:r w:rsidR="00720B1F" w:rsidRPr="004F6660">
        <w:rPr>
          <w:lang w:val="en-US"/>
        </w:rPr>
        <w:t>Add</w:t>
      </w:r>
      <w:r w:rsidR="00720B1F" w:rsidRPr="004F6660">
        <w:rPr>
          <w:lang w:val="ru-RU"/>
        </w:rPr>
        <w:t>.1, пункт 9.2).</w:t>
      </w:r>
      <w:bookmarkStart w:id="2" w:name="_GoBack"/>
      <w:bookmarkEnd w:id="2"/>
    </w:p>
  </w:footnote>
  <w:footnote w:id="2">
    <w:p w:rsidR="00882916" w:rsidRPr="00882916" w:rsidRDefault="00882916">
      <w:pPr>
        <w:pStyle w:val="Notedebasdepage"/>
        <w:rPr>
          <w:lang w:val="ru-RU"/>
        </w:rPr>
      </w:pPr>
      <w:r w:rsidRPr="00882916">
        <w:rPr>
          <w:lang w:val="ru-RU"/>
        </w:rPr>
        <w:tab/>
      </w:r>
      <w:r w:rsidRPr="0025586D">
        <w:rPr>
          <w:rStyle w:val="Appelnotedebasdep"/>
          <w:sz w:val="20"/>
          <w:vertAlign w:val="baseline"/>
          <w:lang w:val="ru-RU"/>
        </w:rPr>
        <w:t>**</w:t>
      </w:r>
      <w:r w:rsidRPr="00882916">
        <w:rPr>
          <w:lang w:val="ru-RU"/>
        </w:rPr>
        <w:t xml:space="preserve"> </w:t>
      </w:r>
      <w:r w:rsidRPr="00882916">
        <w:rPr>
          <w:lang w:val="ru-RU"/>
        </w:rPr>
        <w:tab/>
      </w:r>
      <w:r>
        <w:rPr>
          <w:lang w:val="ru-RU"/>
        </w:rPr>
        <w:t>Распространено Межправительственной организацией по международным железнодорожным перевозкам (ОТИФ) в качестве документа OTIF/RID/RC/2017/1.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7005EE" w:rsidRDefault="007005EE">
    <w:pPr>
      <w:pStyle w:val="En-tte"/>
      <w:rPr>
        <w:lang w:val="en-US"/>
      </w:rPr>
    </w:pPr>
    <w:r>
      <w:rPr>
        <w:lang w:val="en-US"/>
      </w:rPr>
      <w:t>ECE/</w:t>
    </w:r>
    <w:r w:rsidR="00415659" w:rsidRPr="00A77EEF">
      <w:rPr>
        <w:lang w:val="fr-FR"/>
      </w:rPr>
      <w:t>TRANS/</w:t>
    </w:r>
    <w:r w:rsidR="005213E8">
      <w:t>WP.15/AC.1/2017/1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4D639B" w:rsidRDefault="004D639B" w:rsidP="007005EE">
    <w:pPr>
      <w:pStyle w:val="En-tte"/>
      <w:jc w:val="right"/>
      <w:rPr>
        <w:lang w:val="en-US"/>
      </w:rPr>
    </w:pPr>
    <w:r>
      <w:rPr>
        <w:lang w:val="en-US"/>
      </w:rPr>
      <w:t>ECE/</w:t>
    </w:r>
    <w:r w:rsidR="005A387F" w:rsidRPr="00A77EEF">
      <w:rPr>
        <w:lang w:val="fr-FR"/>
      </w:rPr>
      <w:t>TRANS/</w:t>
    </w:r>
    <w:r w:rsidR="002F0539">
      <w:t>WP.15/AC.1/2017/1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proofState w:spelling="clean" w:grammar="clean"/>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42"/>
    <w:rsid w:val="00007B7D"/>
    <w:rsid w:val="000450D1"/>
    <w:rsid w:val="00060B0C"/>
    <w:rsid w:val="000B1FD5"/>
    <w:rsid w:val="000F2A4F"/>
    <w:rsid w:val="00112CA2"/>
    <w:rsid w:val="00193116"/>
    <w:rsid w:val="00194F2B"/>
    <w:rsid w:val="001B5F6B"/>
    <w:rsid w:val="001F6963"/>
    <w:rsid w:val="00203F84"/>
    <w:rsid w:val="0025586D"/>
    <w:rsid w:val="00275188"/>
    <w:rsid w:val="0028687D"/>
    <w:rsid w:val="002B091C"/>
    <w:rsid w:val="002B3702"/>
    <w:rsid w:val="002B3D40"/>
    <w:rsid w:val="002C1EE7"/>
    <w:rsid w:val="002D0CCB"/>
    <w:rsid w:val="002F0539"/>
    <w:rsid w:val="003034DB"/>
    <w:rsid w:val="00345C79"/>
    <w:rsid w:val="00366A39"/>
    <w:rsid w:val="003749EF"/>
    <w:rsid w:val="003A2DC1"/>
    <w:rsid w:val="003F6450"/>
    <w:rsid w:val="00415659"/>
    <w:rsid w:val="0048005C"/>
    <w:rsid w:val="004907AA"/>
    <w:rsid w:val="004D639B"/>
    <w:rsid w:val="004E242B"/>
    <w:rsid w:val="005213E8"/>
    <w:rsid w:val="00544379"/>
    <w:rsid w:val="00566944"/>
    <w:rsid w:val="005A387F"/>
    <w:rsid w:val="005B6811"/>
    <w:rsid w:val="005D56BF"/>
    <w:rsid w:val="0062027E"/>
    <w:rsid w:val="00643644"/>
    <w:rsid w:val="00665D8D"/>
    <w:rsid w:val="006A7A3B"/>
    <w:rsid w:val="006B3E33"/>
    <w:rsid w:val="006B6B57"/>
    <w:rsid w:val="006F49F1"/>
    <w:rsid w:val="007005EE"/>
    <w:rsid w:val="00705394"/>
    <w:rsid w:val="00720B1F"/>
    <w:rsid w:val="00743F62"/>
    <w:rsid w:val="00760D3A"/>
    <w:rsid w:val="00773BA8"/>
    <w:rsid w:val="007A1F42"/>
    <w:rsid w:val="007B0BBE"/>
    <w:rsid w:val="007D76DD"/>
    <w:rsid w:val="007E17E5"/>
    <w:rsid w:val="008325ED"/>
    <w:rsid w:val="008512C1"/>
    <w:rsid w:val="008717E8"/>
    <w:rsid w:val="00882916"/>
    <w:rsid w:val="008B1AD6"/>
    <w:rsid w:val="008D01AE"/>
    <w:rsid w:val="008E0423"/>
    <w:rsid w:val="009141DC"/>
    <w:rsid w:val="009174A1"/>
    <w:rsid w:val="0092370A"/>
    <w:rsid w:val="009451DA"/>
    <w:rsid w:val="00980B8A"/>
    <w:rsid w:val="0098674D"/>
    <w:rsid w:val="00997ACA"/>
    <w:rsid w:val="00A03FB7"/>
    <w:rsid w:val="00A55C56"/>
    <w:rsid w:val="00A658DB"/>
    <w:rsid w:val="00A75A11"/>
    <w:rsid w:val="00A9606E"/>
    <w:rsid w:val="00AD7EAD"/>
    <w:rsid w:val="00B35A32"/>
    <w:rsid w:val="00B432C6"/>
    <w:rsid w:val="00B471C5"/>
    <w:rsid w:val="00B6474A"/>
    <w:rsid w:val="00B84990"/>
    <w:rsid w:val="00BD2942"/>
    <w:rsid w:val="00BE1742"/>
    <w:rsid w:val="00BF2F5A"/>
    <w:rsid w:val="00C42BF7"/>
    <w:rsid w:val="00C968B2"/>
    <w:rsid w:val="00CD0BAE"/>
    <w:rsid w:val="00D1261C"/>
    <w:rsid w:val="00D26030"/>
    <w:rsid w:val="00D75DCE"/>
    <w:rsid w:val="00D82EDC"/>
    <w:rsid w:val="00DD35AC"/>
    <w:rsid w:val="00DD479F"/>
    <w:rsid w:val="00DE3BF9"/>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clear" w:pos="1491"/>
        <w:tab w:val="left" w:pos="567"/>
        <w:tab w:val="num" w:pos="926"/>
      </w:tabs>
      <w:spacing w:after="120"/>
      <w:ind w:left="926" w:right="1134" w:hanging="360"/>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42BF7"/>
    <w:rPr>
      <w:color w:val="0000FF" w:themeColor="hyperlink"/>
      <w:u w:val="single"/>
    </w:rPr>
  </w:style>
  <w:style w:type="paragraph" w:styleId="Corpsdetexte">
    <w:name w:val="Body Text"/>
    <w:basedOn w:val="Normal"/>
    <w:link w:val="CorpsdetexteCar"/>
    <w:uiPriority w:val="99"/>
    <w:semiHidden/>
    <w:unhideWhenUsed/>
    <w:rsid w:val="003749EF"/>
    <w:pPr>
      <w:spacing w:after="120"/>
    </w:pPr>
  </w:style>
  <w:style w:type="character" w:customStyle="1" w:styleId="CorpsdetexteCar">
    <w:name w:val="Corps de texte Car"/>
    <w:basedOn w:val="Policepardfaut"/>
    <w:link w:val="Corpsdetexte"/>
    <w:uiPriority w:val="99"/>
    <w:semiHidden/>
    <w:rsid w:val="003749EF"/>
    <w:rPr>
      <w:rFonts w:ascii="Times New Roman" w:eastAsia="Times New Roman" w:hAnsi="Times New Roman" w:cs="Times New Roman"/>
      <w:spacing w:val="4"/>
      <w:w w:val="103"/>
      <w:kern w:val="14"/>
      <w:sz w:val="20"/>
      <w:szCs w:val="20"/>
    </w:rPr>
  </w:style>
  <w:style w:type="paragraph" w:styleId="Textedebulles">
    <w:name w:val="Balloon Text"/>
    <w:basedOn w:val="Normal"/>
    <w:link w:val="TextedebullesCar"/>
    <w:uiPriority w:val="99"/>
    <w:semiHidden/>
    <w:unhideWhenUsed/>
    <w:rsid w:val="00D82E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EDC"/>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clear" w:pos="1491"/>
        <w:tab w:val="left" w:pos="567"/>
        <w:tab w:val="num" w:pos="926"/>
      </w:tabs>
      <w:spacing w:after="120"/>
      <w:ind w:left="926" w:right="1134" w:hanging="360"/>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42BF7"/>
    <w:rPr>
      <w:color w:val="0000FF" w:themeColor="hyperlink"/>
      <w:u w:val="single"/>
    </w:rPr>
  </w:style>
  <w:style w:type="paragraph" w:styleId="Corpsdetexte">
    <w:name w:val="Body Text"/>
    <w:basedOn w:val="Normal"/>
    <w:link w:val="CorpsdetexteCar"/>
    <w:uiPriority w:val="99"/>
    <w:semiHidden/>
    <w:unhideWhenUsed/>
    <w:rsid w:val="003749EF"/>
    <w:pPr>
      <w:spacing w:after="120"/>
    </w:pPr>
  </w:style>
  <w:style w:type="character" w:customStyle="1" w:styleId="CorpsdetexteCar">
    <w:name w:val="Corps de texte Car"/>
    <w:basedOn w:val="Policepardfaut"/>
    <w:link w:val="Corpsdetexte"/>
    <w:uiPriority w:val="99"/>
    <w:semiHidden/>
    <w:rsid w:val="003749EF"/>
    <w:rPr>
      <w:rFonts w:ascii="Times New Roman" w:eastAsia="Times New Roman" w:hAnsi="Times New Roman" w:cs="Times New Roman"/>
      <w:spacing w:val="4"/>
      <w:w w:val="103"/>
      <w:kern w:val="14"/>
      <w:sz w:val="20"/>
      <w:szCs w:val="20"/>
    </w:rPr>
  </w:style>
  <w:style w:type="paragraph" w:styleId="Textedebulles">
    <w:name w:val="Balloon Text"/>
    <w:basedOn w:val="Normal"/>
    <w:link w:val="TextedebullesCar"/>
    <w:uiPriority w:val="99"/>
    <w:semiHidden/>
    <w:unhideWhenUsed/>
    <w:rsid w:val="00D82E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EDC"/>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C8A0-5AF2-4206-BA3E-0364417A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Office Word</Application>
  <DocSecurity>0</DocSecurity>
  <Lines>37</Lines>
  <Paragraphs>10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barrio-champeau</cp:lastModifiedBy>
  <cp:revision>3</cp:revision>
  <dcterms:created xsi:type="dcterms:W3CDTF">2017-01-06T08:26:00Z</dcterms:created>
  <dcterms:modified xsi:type="dcterms:W3CDTF">2017-01-06T08:30:00Z</dcterms:modified>
</cp:coreProperties>
</file>