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3908" w:rsidTr="00BF69D2">
        <w:trPr>
          <w:trHeight w:hRule="exact" w:val="851"/>
        </w:trPr>
        <w:tc>
          <w:tcPr>
            <w:tcW w:w="1276" w:type="dxa"/>
            <w:tcBorders>
              <w:bottom w:val="single" w:sz="4" w:space="0" w:color="auto"/>
            </w:tcBorders>
          </w:tcPr>
          <w:p w:rsidR="003D1DF3" w:rsidRPr="004106DE" w:rsidRDefault="003D1DF3" w:rsidP="00F01516">
            <w:pPr>
              <w:rPr>
                <w:lang w:val="fr-FR"/>
              </w:rPr>
            </w:pPr>
          </w:p>
        </w:tc>
        <w:tc>
          <w:tcPr>
            <w:tcW w:w="2268" w:type="dxa"/>
            <w:tcBorders>
              <w:bottom w:val="single" w:sz="4" w:space="0" w:color="auto"/>
            </w:tcBorders>
            <w:vAlign w:val="bottom"/>
          </w:tcPr>
          <w:p w:rsidR="003D1DF3" w:rsidRPr="004106DE" w:rsidRDefault="003D1DF3" w:rsidP="00F01516">
            <w:pPr>
              <w:spacing w:after="80" w:line="300" w:lineRule="exact"/>
              <w:rPr>
                <w:sz w:val="28"/>
                <w:lang w:val="fr-FR"/>
              </w:rPr>
            </w:pPr>
            <w:r w:rsidRPr="004106DE">
              <w:rPr>
                <w:sz w:val="28"/>
                <w:lang w:val="fr-FR"/>
              </w:rPr>
              <w:t>Nations Unies</w:t>
            </w:r>
          </w:p>
        </w:tc>
        <w:tc>
          <w:tcPr>
            <w:tcW w:w="6095" w:type="dxa"/>
            <w:gridSpan w:val="2"/>
            <w:tcBorders>
              <w:bottom w:val="single" w:sz="4" w:space="0" w:color="auto"/>
            </w:tcBorders>
            <w:vAlign w:val="bottom"/>
          </w:tcPr>
          <w:p w:rsidR="003D1DF3" w:rsidRPr="00DC0722" w:rsidRDefault="00763762" w:rsidP="001A3E63">
            <w:pPr>
              <w:jc w:val="right"/>
              <w:rPr>
                <w:lang w:val="en-GB"/>
              </w:rPr>
            </w:pPr>
            <w:r w:rsidRPr="00DC0722">
              <w:rPr>
                <w:sz w:val="40"/>
                <w:lang w:val="en-GB"/>
              </w:rPr>
              <w:t>ECE</w:t>
            </w:r>
            <w:r w:rsidRPr="00DC0722">
              <w:rPr>
                <w:lang w:val="en-GB"/>
              </w:rPr>
              <w:t>/TRANS/WP.15/AC.1/</w:t>
            </w:r>
            <w:r w:rsidR="00556031">
              <w:rPr>
                <w:lang w:val="en-GB"/>
              </w:rPr>
              <w:t>14</w:t>
            </w:r>
            <w:r w:rsidR="001A3E63">
              <w:rPr>
                <w:lang w:val="en-GB"/>
              </w:rPr>
              <w:t>5</w:t>
            </w:r>
            <w:r w:rsidRPr="00DC0722">
              <w:rPr>
                <w:lang w:val="en-GB"/>
              </w:rPr>
              <w:t>/Add.1</w:t>
            </w:r>
          </w:p>
        </w:tc>
      </w:tr>
      <w:tr w:rsidR="003D1DF3" w:rsidRPr="004106DE" w:rsidTr="00F01516">
        <w:trPr>
          <w:trHeight w:hRule="exact" w:val="2835"/>
        </w:trPr>
        <w:tc>
          <w:tcPr>
            <w:tcW w:w="1276" w:type="dxa"/>
            <w:tcBorders>
              <w:top w:val="single" w:sz="4" w:space="0" w:color="auto"/>
              <w:bottom w:val="single" w:sz="12" w:space="0" w:color="auto"/>
            </w:tcBorders>
          </w:tcPr>
          <w:p w:rsidR="003D1DF3" w:rsidRPr="004106DE" w:rsidRDefault="00733777" w:rsidP="00F01516">
            <w:pPr>
              <w:spacing w:before="120"/>
              <w:jc w:val="center"/>
              <w:rPr>
                <w:lang w:val="fr-FR"/>
              </w:rPr>
            </w:pPr>
            <w:r>
              <w:rPr>
                <w:noProof/>
                <w:lang w:val="en-GB"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4106DE" w:rsidRDefault="003D1DF3" w:rsidP="00F01516">
            <w:pPr>
              <w:spacing w:before="120" w:line="420" w:lineRule="exact"/>
              <w:rPr>
                <w:b/>
                <w:sz w:val="40"/>
                <w:szCs w:val="40"/>
                <w:lang w:val="fr-FR"/>
              </w:rPr>
            </w:pPr>
            <w:r w:rsidRPr="004106DE">
              <w:rPr>
                <w:b/>
                <w:sz w:val="40"/>
                <w:szCs w:val="40"/>
                <w:lang w:val="fr-FR"/>
              </w:rPr>
              <w:t>Conseil économique et social</w:t>
            </w:r>
          </w:p>
        </w:tc>
        <w:tc>
          <w:tcPr>
            <w:tcW w:w="2835" w:type="dxa"/>
            <w:tcBorders>
              <w:top w:val="single" w:sz="4" w:space="0" w:color="auto"/>
              <w:bottom w:val="single" w:sz="12" w:space="0" w:color="auto"/>
            </w:tcBorders>
          </w:tcPr>
          <w:p w:rsidR="003D1DF3" w:rsidRPr="004106DE" w:rsidRDefault="00763762" w:rsidP="00763762">
            <w:pPr>
              <w:spacing w:before="240" w:line="240" w:lineRule="exact"/>
              <w:rPr>
                <w:lang w:val="fr-FR"/>
              </w:rPr>
            </w:pPr>
            <w:r w:rsidRPr="004106DE">
              <w:rPr>
                <w:lang w:val="fr-FR"/>
              </w:rPr>
              <w:t>Distr. générale</w:t>
            </w:r>
          </w:p>
          <w:p w:rsidR="00763762" w:rsidRPr="004106DE" w:rsidRDefault="007A038D" w:rsidP="00763762">
            <w:pPr>
              <w:spacing w:line="240" w:lineRule="exact"/>
              <w:rPr>
                <w:lang w:val="fr-FR"/>
              </w:rPr>
            </w:pPr>
            <w:r>
              <w:rPr>
                <w:lang w:val="fr-FR"/>
              </w:rPr>
              <w:t>28</w:t>
            </w:r>
            <w:r w:rsidR="008C3908">
              <w:rPr>
                <w:lang w:val="fr-FR"/>
              </w:rPr>
              <w:t xml:space="preserve"> décembre 201</w:t>
            </w:r>
            <w:r w:rsidR="001A3E63">
              <w:rPr>
                <w:lang w:val="fr-FR"/>
              </w:rPr>
              <w:t>6</w:t>
            </w:r>
          </w:p>
          <w:p w:rsidR="00763762" w:rsidRPr="004106DE" w:rsidRDefault="008A579D" w:rsidP="00763762">
            <w:pPr>
              <w:spacing w:line="240" w:lineRule="exact"/>
              <w:rPr>
                <w:lang w:val="fr-FR"/>
              </w:rPr>
            </w:pPr>
            <w:r>
              <w:rPr>
                <w:lang w:val="fr-FR"/>
              </w:rPr>
              <w:t>Français</w:t>
            </w:r>
          </w:p>
          <w:p w:rsidR="00763762" w:rsidRPr="004106DE" w:rsidRDefault="00763762" w:rsidP="007A038D">
            <w:pPr>
              <w:spacing w:line="240" w:lineRule="exact"/>
              <w:rPr>
                <w:lang w:val="fr-FR"/>
              </w:rPr>
            </w:pPr>
            <w:r w:rsidRPr="004106DE">
              <w:rPr>
                <w:lang w:val="fr-FR"/>
              </w:rPr>
              <w:t xml:space="preserve">Original: </w:t>
            </w:r>
            <w:r w:rsidR="007A038D">
              <w:rPr>
                <w:lang w:val="fr-FR"/>
              </w:rPr>
              <w:t xml:space="preserve">anglais et </w:t>
            </w:r>
            <w:r w:rsidRPr="004106DE">
              <w:rPr>
                <w:lang w:val="fr-FR"/>
              </w:rPr>
              <w:t xml:space="preserve">français </w:t>
            </w:r>
          </w:p>
        </w:tc>
      </w:tr>
    </w:tbl>
    <w:p w:rsidR="00BF69D2" w:rsidRPr="004106DE" w:rsidRDefault="00BF69D2" w:rsidP="00BF69D2">
      <w:pPr>
        <w:spacing w:before="120"/>
        <w:rPr>
          <w:b/>
          <w:sz w:val="28"/>
          <w:szCs w:val="28"/>
          <w:lang w:val="fr-FR"/>
        </w:rPr>
      </w:pPr>
      <w:r w:rsidRPr="004106DE">
        <w:rPr>
          <w:b/>
          <w:sz w:val="28"/>
          <w:szCs w:val="28"/>
          <w:lang w:val="fr-FR"/>
        </w:rPr>
        <w:t>Commission économique pour l’Europe</w:t>
      </w:r>
    </w:p>
    <w:p w:rsidR="00BF69D2" w:rsidRPr="004106DE" w:rsidRDefault="00BF69D2" w:rsidP="00BF69D2">
      <w:pPr>
        <w:spacing w:before="120"/>
        <w:rPr>
          <w:sz w:val="28"/>
          <w:szCs w:val="28"/>
          <w:lang w:val="fr-FR"/>
        </w:rPr>
      </w:pPr>
      <w:r w:rsidRPr="004106DE">
        <w:rPr>
          <w:sz w:val="28"/>
          <w:szCs w:val="28"/>
          <w:lang w:val="fr-FR"/>
        </w:rPr>
        <w:t>Comité des transports intérieurs</w:t>
      </w:r>
    </w:p>
    <w:p w:rsidR="00BF69D2" w:rsidRPr="004106DE" w:rsidRDefault="00BF69D2" w:rsidP="00BF69D2">
      <w:pPr>
        <w:spacing w:before="120"/>
        <w:rPr>
          <w:b/>
          <w:sz w:val="24"/>
          <w:szCs w:val="24"/>
          <w:lang w:val="fr-FR"/>
        </w:rPr>
      </w:pPr>
      <w:r w:rsidRPr="004106DE">
        <w:rPr>
          <w:b/>
          <w:sz w:val="24"/>
          <w:szCs w:val="24"/>
          <w:lang w:val="fr-FR"/>
        </w:rPr>
        <w:t>Groupe de travail des transports de marchandises dangereuses</w:t>
      </w:r>
    </w:p>
    <w:p w:rsidR="00BF69D2" w:rsidRPr="004106DE" w:rsidRDefault="00BF69D2" w:rsidP="00BF69D2">
      <w:pPr>
        <w:spacing w:before="120"/>
        <w:rPr>
          <w:b/>
          <w:lang w:val="fr-FR"/>
        </w:rPr>
      </w:pPr>
      <w:r w:rsidRPr="004106DE">
        <w:rPr>
          <w:b/>
          <w:lang w:val="fr-FR"/>
        </w:rPr>
        <w:t>Réunion commune de la Commission d’experts du RID et du Groupe de travail</w:t>
      </w:r>
      <w:r w:rsidRPr="004106DE">
        <w:rPr>
          <w:b/>
          <w:lang w:val="fr-FR"/>
        </w:rPr>
        <w:br/>
        <w:t>des transports de marchandises dangereuses</w:t>
      </w:r>
    </w:p>
    <w:p w:rsidR="00BF69D2" w:rsidRPr="004106DE" w:rsidRDefault="00BF69D2" w:rsidP="00BF69D2">
      <w:pPr>
        <w:rPr>
          <w:lang w:val="fr-FR"/>
        </w:rPr>
      </w:pPr>
      <w:r w:rsidRPr="004106DE">
        <w:rPr>
          <w:lang w:val="fr-FR"/>
        </w:rPr>
        <w:t xml:space="preserve">Berne, </w:t>
      </w:r>
      <w:r w:rsidR="00556031">
        <w:rPr>
          <w:lang w:val="fr-FR"/>
        </w:rPr>
        <w:t>1</w:t>
      </w:r>
      <w:r w:rsidR="001A3E63">
        <w:rPr>
          <w:lang w:val="fr-FR"/>
        </w:rPr>
        <w:t>3</w:t>
      </w:r>
      <w:r w:rsidR="00556031">
        <w:rPr>
          <w:lang w:val="fr-FR"/>
        </w:rPr>
        <w:t>-1</w:t>
      </w:r>
      <w:r w:rsidR="001A3E63">
        <w:rPr>
          <w:lang w:val="fr-FR"/>
        </w:rPr>
        <w:t>7</w:t>
      </w:r>
      <w:r w:rsidRPr="004106DE">
        <w:rPr>
          <w:lang w:val="fr-FR"/>
        </w:rPr>
        <w:t xml:space="preserve"> mars </w:t>
      </w:r>
      <w:r w:rsidR="00556031">
        <w:rPr>
          <w:lang w:val="fr-FR"/>
        </w:rPr>
        <w:t>201</w:t>
      </w:r>
      <w:r w:rsidR="001A3E63">
        <w:rPr>
          <w:lang w:val="fr-FR"/>
        </w:rPr>
        <w:t>7</w:t>
      </w:r>
    </w:p>
    <w:p w:rsidR="00BF69D2" w:rsidRPr="004106DE" w:rsidRDefault="00BF69D2" w:rsidP="00BF69D2">
      <w:pPr>
        <w:rPr>
          <w:lang w:val="fr-FR"/>
        </w:rPr>
      </w:pPr>
      <w:r w:rsidRPr="004106DE">
        <w:rPr>
          <w:lang w:val="fr-FR"/>
        </w:rPr>
        <w:t>Point 1 de l’ordre du jour provisoire</w:t>
      </w:r>
    </w:p>
    <w:p w:rsidR="00BF69D2" w:rsidRPr="004106DE" w:rsidRDefault="00BF69D2" w:rsidP="00BF69D2">
      <w:pPr>
        <w:rPr>
          <w:b/>
          <w:lang w:val="fr-FR"/>
        </w:rPr>
      </w:pPr>
      <w:r w:rsidRPr="004106DE">
        <w:rPr>
          <w:b/>
          <w:lang w:val="fr-FR"/>
        </w:rPr>
        <w:t>Adoption de l'ordre du jour</w:t>
      </w:r>
    </w:p>
    <w:p w:rsidR="00BF69D2" w:rsidRPr="004106DE" w:rsidRDefault="00BF69D2" w:rsidP="00BF69D2">
      <w:pPr>
        <w:keepNext/>
        <w:keepLines/>
        <w:tabs>
          <w:tab w:val="right" w:pos="851"/>
        </w:tabs>
        <w:spacing w:before="360" w:after="240" w:line="300" w:lineRule="exact"/>
        <w:ind w:left="1134" w:right="1134" w:hanging="1134"/>
        <w:rPr>
          <w:b/>
          <w:sz w:val="28"/>
          <w:lang w:val="fr-FR"/>
        </w:rPr>
      </w:pPr>
      <w:r w:rsidRPr="004106DE">
        <w:rPr>
          <w:b/>
          <w:sz w:val="28"/>
          <w:lang w:val="fr-FR"/>
        </w:rPr>
        <w:tab/>
      </w:r>
      <w:r w:rsidRPr="004106DE">
        <w:rPr>
          <w:b/>
          <w:sz w:val="28"/>
          <w:lang w:val="fr-FR"/>
        </w:rPr>
        <w:tab/>
        <w:t xml:space="preserve">Ordre du jour provisoire de la session de printemps </w:t>
      </w:r>
      <w:r w:rsidR="00556031">
        <w:rPr>
          <w:b/>
          <w:sz w:val="28"/>
          <w:lang w:val="fr-FR"/>
        </w:rPr>
        <w:t>201</w:t>
      </w:r>
      <w:r w:rsidR="001A3E63">
        <w:rPr>
          <w:b/>
          <w:sz w:val="28"/>
          <w:lang w:val="fr-FR"/>
        </w:rPr>
        <w:t>7</w:t>
      </w:r>
    </w:p>
    <w:p w:rsidR="00BF69D2" w:rsidRPr="004106DE" w:rsidRDefault="00BF69D2" w:rsidP="00BF69D2">
      <w:pPr>
        <w:keepNext/>
        <w:keepLines/>
        <w:tabs>
          <w:tab w:val="right" w:pos="851"/>
        </w:tabs>
        <w:spacing w:before="240" w:after="120" w:line="240" w:lineRule="exact"/>
        <w:ind w:left="1134" w:right="1134" w:hanging="1134"/>
        <w:rPr>
          <w:b/>
          <w:lang w:val="fr-FR"/>
        </w:rPr>
      </w:pPr>
      <w:r w:rsidRPr="004106DE">
        <w:rPr>
          <w:b/>
          <w:lang w:val="fr-FR"/>
        </w:rPr>
        <w:tab/>
      </w:r>
      <w:r w:rsidRPr="004106DE">
        <w:rPr>
          <w:b/>
          <w:lang w:val="fr-FR"/>
        </w:rPr>
        <w:tab/>
        <w:t>Additif</w:t>
      </w:r>
    </w:p>
    <w:p w:rsidR="00BF69D2" w:rsidRPr="004106DE" w:rsidRDefault="00BF69D2" w:rsidP="00BF69D2">
      <w:pPr>
        <w:keepNext/>
        <w:keepLines/>
        <w:tabs>
          <w:tab w:val="right" w:pos="851"/>
        </w:tabs>
        <w:spacing w:before="360" w:after="240" w:line="270" w:lineRule="exact"/>
        <w:ind w:left="1134" w:right="1134" w:hanging="1134"/>
        <w:rPr>
          <w:b/>
          <w:sz w:val="24"/>
          <w:lang w:val="fr-FR"/>
        </w:rPr>
      </w:pPr>
      <w:r w:rsidRPr="004106DE">
        <w:rPr>
          <w:b/>
          <w:sz w:val="24"/>
          <w:lang w:val="fr-FR"/>
        </w:rPr>
        <w:tab/>
      </w:r>
      <w:r w:rsidRPr="004106DE">
        <w:rPr>
          <w:b/>
          <w:sz w:val="24"/>
          <w:lang w:val="fr-FR"/>
        </w:rPr>
        <w:tab/>
        <w:t>Annotations et liste des documents</w:t>
      </w:r>
    </w:p>
    <w:p w:rsidR="00BF69D2" w:rsidRPr="004106DE" w:rsidRDefault="00BF69D2" w:rsidP="00BF69D2">
      <w:pPr>
        <w:keepNext/>
        <w:keepLines/>
        <w:tabs>
          <w:tab w:val="right" w:pos="851"/>
        </w:tabs>
        <w:spacing w:before="360" w:after="240" w:line="300" w:lineRule="exact"/>
        <w:ind w:left="1134" w:right="1134" w:hanging="1134"/>
        <w:rPr>
          <w:b/>
          <w:sz w:val="28"/>
          <w:lang w:val="fr-FR"/>
        </w:rPr>
      </w:pPr>
      <w:r w:rsidRPr="004106DE">
        <w:rPr>
          <w:b/>
          <w:sz w:val="28"/>
          <w:lang w:val="fr-FR"/>
        </w:rPr>
        <w:tab/>
        <w:t>1.</w:t>
      </w:r>
      <w:r w:rsidRPr="004106DE">
        <w:rPr>
          <w:b/>
          <w:sz w:val="28"/>
          <w:lang w:val="fr-FR"/>
        </w:rPr>
        <w:tab/>
        <w:t>Adoption de l’ordre du jour</w:t>
      </w:r>
    </w:p>
    <w:p w:rsidR="00BF69D2" w:rsidRPr="003357FD" w:rsidRDefault="00BF69D2" w:rsidP="00BF69D2">
      <w:pPr>
        <w:spacing w:after="120"/>
        <w:ind w:left="1134" w:right="1134"/>
        <w:jc w:val="both"/>
        <w:rPr>
          <w:lang w:val="fr-FR"/>
        </w:rPr>
      </w:pPr>
      <w:r w:rsidRPr="009E3C4D">
        <w:rPr>
          <w:color w:val="FF0000"/>
          <w:lang w:val="fr-FR"/>
        </w:rPr>
        <w:tab/>
      </w:r>
      <w:r w:rsidRPr="003357FD">
        <w:rPr>
          <w:lang w:val="fr-FR"/>
        </w:rPr>
        <w:t xml:space="preserve">Le premier point de l’ordre du jour provisoire concerne son adoption. La Réunion commune disposera également du rapport sur sa session d'automne </w:t>
      </w:r>
      <w:r w:rsidR="00556031">
        <w:rPr>
          <w:lang w:val="fr-FR"/>
        </w:rPr>
        <w:t>201</w:t>
      </w:r>
      <w:r w:rsidR="001A3E63">
        <w:rPr>
          <w:lang w:val="fr-FR"/>
        </w:rPr>
        <w:t>6</w:t>
      </w:r>
      <w:r w:rsidRPr="003357FD">
        <w:rPr>
          <w:lang w:val="fr-FR"/>
        </w:rPr>
        <w:t xml:space="preserve"> tenue à Genève du 1</w:t>
      </w:r>
      <w:r w:rsidR="001A3E63">
        <w:rPr>
          <w:lang w:val="fr-FR"/>
        </w:rPr>
        <w:t>9</w:t>
      </w:r>
      <w:r w:rsidRPr="003357FD">
        <w:rPr>
          <w:lang w:val="fr-FR"/>
        </w:rPr>
        <w:t xml:space="preserve"> au </w:t>
      </w:r>
      <w:r w:rsidR="00556031">
        <w:rPr>
          <w:lang w:val="fr-FR"/>
        </w:rPr>
        <w:t>2</w:t>
      </w:r>
      <w:r w:rsidR="001A3E63">
        <w:rPr>
          <w:lang w:val="fr-FR"/>
        </w:rPr>
        <w:t>3</w:t>
      </w:r>
      <w:r w:rsidRPr="003357FD">
        <w:rPr>
          <w:lang w:val="fr-FR"/>
        </w:rPr>
        <w:t xml:space="preserve"> septembre </w:t>
      </w:r>
      <w:r w:rsidR="00556031">
        <w:rPr>
          <w:lang w:val="fr-FR"/>
        </w:rPr>
        <w:t>201</w:t>
      </w:r>
      <w:r w:rsidR="001A3E63">
        <w:rPr>
          <w:lang w:val="fr-FR"/>
        </w:rPr>
        <w:t>6</w:t>
      </w:r>
      <w:r w:rsidRPr="003357FD">
        <w:rPr>
          <w:lang w:val="fr-FR"/>
        </w:rPr>
        <w:t xml:space="preserve"> (ECE/TRANS/WP.15/AC.1/</w:t>
      </w:r>
      <w:r w:rsidR="00556031">
        <w:rPr>
          <w:lang w:val="fr-FR"/>
        </w:rPr>
        <w:t>14</w:t>
      </w:r>
      <w:r w:rsidR="00FC5203">
        <w:rPr>
          <w:lang w:val="fr-FR"/>
        </w:rPr>
        <w:t>4</w:t>
      </w:r>
      <w:bookmarkStart w:id="0" w:name="_GoBack"/>
      <w:bookmarkEnd w:id="0"/>
      <w:r w:rsidRPr="003357FD">
        <w:rPr>
          <w:lang w:val="fr-FR"/>
        </w:rPr>
        <w:t xml:space="preserve"> </w:t>
      </w:r>
      <w:r w:rsidR="008A579D">
        <w:rPr>
          <w:lang w:val="fr-FR"/>
        </w:rPr>
        <w:t xml:space="preserve">et Add.1 </w:t>
      </w:r>
      <w:r w:rsidRPr="003357FD">
        <w:rPr>
          <w:lang w:val="fr-FR"/>
        </w:rPr>
        <w:t>- OTIF/RID/RC/</w:t>
      </w:r>
      <w:r w:rsidR="00556031">
        <w:rPr>
          <w:lang w:val="fr-FR"/>
        </w:rPr>
        <w:t>201</w:t>
      </w:r>
      <w:r w:rsidR="001A3E63">
        <w:rPr>
          <w:lang w:val="fr-FR"/>
        </w:rPr>
        <w:t>6</w:t>
      </w:r>
      <w:r w:rsidRPr="003357FD">
        <w:rPr>
          <w:lang w:val="fr-FR"/>
        </w:rPr>
        <w:t>-B</w:t>
      </w:r>
      <w:r w:rsidR="00DE0CF9">
        <w:rPr>
          <w:lang w:val="fr-FR"/>
        </w:rPr>
        <w:t xml:space="preserve"> et Add.1</w:t>
      </w:r>
      <w:r w:rsidRPr="003357FD">
        <w:rPr>
          <w:lang w:val="fr-FR"/>
        </w:rPr>
        <w:t>).</w:t>
      </w:r>
    </w:p>
    <w:p w:rsidR="00BF69D2" w:rsidRPr="003357FD" w:rsidRDefault="00BF69D2" w:rsidP="00BF69D2">
      <w:pPr>
        <w:spacing w:after="120"/>
        <w:ind w:left="1134" w:right="1134"/>
        <w:jc w:val="both"/>
        <w:rPr>
          <w:lang w:val="fr-FR"/>
        </w:rPr>
      </w:pPr>
      <w:r w:rsidRPr="003357FD">
        <w:rPr>
          <w:lang w:val="fr-FR"/>
        </w:rPr>
        <w:tab/>
        <w:t>Il convient de rappeler les points suivants:</w:t>
      </w:r>
    </w:p>
    <w:p w:rsidR="00BF69D2" w:rsidRPr="003357FD" w:rsidRDefault="00BF69D2" w:rsidP="00BF69D2">
      <w:pPr>
        <w:spacing w:after="120"/>
        <w:ind w:left="1134" w:right="1134"/>
        <w:jc w:val="both"/>
        <w:rPr>
          <w:lang w:val="fr-FR"/>
        </w:rPr>
      </w:pPr>
      <w:r w:rsidRPr="003357FD">
        <w:rPr>
          <w:lang w:val="fr-FR"/>
        </w:rPr>
        <w:tab/>
        <w:t>a)</w:t>
      </w:r>
      <w:r w:rsidRPr="003357FD">
        <w:rPr>
          <w:lang w:val="fr-FR"/>
        </w:rPr>
        <w:tab/>
        <w:t xml:space="preserve">À sa session d'automne </w:t>
      </w:r>
      <w:r w:rsidR="001A3E63">
        <w:rPr>
          <w:lang w:val="fr-FR"/>
        </w:rPr>
        <w:t>2016</w:t>
      </w:r>
      <w:r w:rsidRPr="003357FD">
        <w:rPr>
          <w:lang w:val="fr-FR"/>
        </w:rPr>
        <w:t xml:space="preserve">, la Réunion commune a élu M. C. Pfauvadel (France) et M. H. Rein (Allemagne) respectivement Président et Vice-Président pour </w:t>
      </w:r>
      <w:r w:rsidR="001A3E63">
        <w:rPr>
          <w:lang w:val="fr-FR"/>
        </w:rPr>
        <w:t>2017</w:t>
      </w:r>
      <w:r w:rsidRPr="003357FD">
        <w:rPr>
          <w:lang w:val="fr-FR"/>
        </w:rPr>
        <w:t>;</w:t>
      </w:r>
    </w:p>
    <w:p w:rsidR="00BF69D2" w:rsidRPr="003357FD" w:rsidRDefault="00BF69D2" w:rsidP="00BF69D2">
      <w:pPr>
        <w:spacing w:after="120"/>
        <w:ind w:left="1134" w:right="1134"/>
        <w:jc w:val="both"/>
        <w:rPr>
          <w:lang w:val="fr-FR"/>
        </w:rPr>
      </w:pPr>
      <w:r w:rsidRPr="003357FD">
        <w:rPr>
          <w:lang w:val="fr-FR"/>
        </w:rPr>
        <w:tab/>
        <w:t>b)</w:t>
      </w:r>
      <w:r w:rsidRPr="003357FD">
        <w:rPr>
          <w:lang w:val="fr-FR"/>
        </w:rPr>
        <w:tab/>
        <w:t xml:space="preserve">Les documents de la </w:t>
      </w:r>
      <w:r w:rsidR="00292175" w:rsidRPr="00292175">
        <w:rPr>
          <w:lang w:val="fr-FR"/>
        </w:rPr>
        <w:t xml:space="preserve">Commission économique pour l’Europe </w:t>
      </w:r>
      <w:r w:rsidRPr="003357FD">
        <w:rPr>
          <w:lang w:val="fr-FR"/>
        </w:rPr>
        <w:t>(autres que les ordres du jour ou les rapports) portant la cote ECE/TRANS/WP.15/AC.1/ sont diffusés par l’Organisation intergouvernementale pour les transports internationaux ferroviaires (OTIF) en langue allemande sous la cote OTIF/RID/RC/ suivis du même numéro de document.  Par souci d’économie, les documents ne seront pas disponibles en salle.  Les délégués sont priés de se rendre à la réunion munis de leur exemplaire des documents;</w:t>
      </w:r>
    </w:p>
    <w:p w:rsidR="00BF69D2" w:rsidRPr="003357FD" w:rsidRDefault="00BF69D2" w:rsidP="00BF69D2">
      <w:pPr>
        <w:spacing w:after="120"/>
        <w:ind w:left="1134" w:right="1134"/>
        <w:jc w:val="both"/>
        <w:rPr>
          <w:lang w:val="fr-FR"/>
        </w:rPr>
      </w:pPr>
      <w:r w:rsidRPr="003357FD">
        <w:rPr>
          <w:lang w:val="fr-FR"/>
        </w:rPr>
        <w:tab/>
        <w:t>c)</w:t>
      </w:r>
      <w:r w:rsidRPr="003357FD">
        <w:rPr>
          <w:lang w:val="fr-FR"/>
        </w:rPr>
        <w:tab/>
        <w:t xml:space="preserve">La documentation sera disponible sur le site web de la </w:t>
      </w:r>
      <w:r w:rsidR="00292175" w:rsidRPr="00292175">
        <w:rPr>
          <w:lang w:val="fr-FR"/>
        </w:rPr>
        <w:t xml:space="preserve">Commission économique pour l’Europe </w:t>
      </w:r>
      <w:r w:rsidRPr="003357FD">
        <w:rPr>
          <w:lang w:val="fr-FR"/>
        </w:rPr>
        <w:t>(</w:t>
      </w:r>
      <w:hyperlink r:id="rId10" w:history="1">
        <w:r w:rsidRPr="003357FD">
          <w:rPr>
            <w:lang w:val="fr-FR"/>
          </w:rPr>
          <w:t>www.unece.org/trans/danger/danger.htm</w:t>
        </w:r>
      </w:hyperlink>
      <w:r w:rsidRPr="003357FD">
        <w:rPr>
          <w:lang w:val="fr-FR"/>
        </w:rPr>
        <w:t>) en anglais, français et russe;</w:t>
      </w:r>
    </w:p>
    <w:p w:rsidR="00BF69D2" w:rsidRPr="003357FD" w:rsidRDefault="00BF69D2" w:rsidP="00BF69D2">
      <w:pPr>
        <w:spacing w:after="120"/>
        <w:ind w:left="1134" w:right="1134"/>
        <w:jc w:val="both"/>
        <w:rPr>
          <w:lang w:val="fr-FR"/>
        </w:rPr>
      </w:pPr>
      <w:r w:rsidRPr="003357FD">
        <w:rPr>
          <w:lang w:val="fr-FR"/>
        </w:rPr>
        <w:tab/>
        <w:t>d)</w:t>
      </w:r>
      <w:r w:rsidRPr="003357FD">
        <w:rPr>
          <w:lang w:val="fr-FR"/>
        </w:rPr>
        <w:tab/>
        <w:t xml:space="preserve">La Réunion commune souhaitera éventuellement, si nécessaire, qu’un groupe de travail spécial se réunisse en dehors des heures de session plénière pour examiner les </w:t>
      </w:r>
      <w:r w:rsidRPr="003357FD">
        <w:rPr>
          <w:lang w:val="fr-FR"/>
        </w:rPr>
        <w:lastRenderedPageBreak/>
        <w:t>documents relatifs aux normes (point 3), conformément au mandat que la Réunion commune décidera;</w:t>
      </w:r>
    </w:p>
    <w:p w:rsidR="00BF69D2" w:rsidRPr="007454B1" w:rsidRDefault="00BF69D2" w:rsidP="00BF69D2">
      <w:pPr>
        <w:spacing w:after="120"/>
        <w:ind w:left="1134" w:right="1134"/>
        <w:jc w:val="both"/>
        <w:rPr>
          <w:szCs w:val="24"/>
          <w:lang w:val="fr-FR"/>
        </w:rPr>
      </w:pPr>
      <w:r w:rsidRPr="007454B1">
        <w:rPr>
          <w:szCs w:val="24"/>
          <w:lang w:val="fr-FR"/>
        </w:rPr>
        <w:tab/>
        <w:t>e)</w:t>
      </w:r>
      <w:r w:rsidRPr="007454B1">
        <w:rPr>
          <w:szCs w:val="24"/>
          <w:lang w:val="fr-FR"/>
        </w:rPr>
        <w:tab/>
        <w:t>La Réunion commune souhaitera éventuellement, si nécessaire, qu'un groupe de travail spécial se réunisse en parallèle pour examiner les documents relatifs aux citernes (point 2) après examen de ce point en session plénière;</w:t>
      </w:r>
    </w:p>
    <w:p w:rsidR="00BF69D2" w:rsidRDefault="00BF69D2" w:rsidP="00BF69D2">
      <w:pPr>
        <w:spacing w:after="120"/>
        <w:ind w:left="1134" w:right="1134"/>
        <w:jc w:val="both"/>
        <w:rPr>
          <w:szCs w:val="24"/>
          <w:lang w:val="fr-FR"/>
        </w:rPr>
      </w:pPr>
      <w:r w:rsidRPr="007454B1">
        <w:rPr>
          <w:szCs w:val="24"/>
          <w:lang w:val="fr-FR"/>
        </w:rPr>
        <w:tab/>
        <w:t>f)</w:t>
      </w:r>
      <w:r w:rsidRPr="007454B1">
        <w:rPr>
          <w:szCs w:val="24"/>
          <w:lang w:val="fr-FR"/>
        </w:rPr>
        <w:tab/>
        <w:t xml:space="preserve">La lecture du rapport (point </w:t>
      </w:r>
      <w:r w:rsidR="00556031">
        <w:rPr>
          <w:szCs w:val="24"/>
          <w:lang w:val="fr-FR"/>
        </w:rPr>
        <w:t>10</w:t>
      </w:r>
      <w:r w:rsidRPr="007454B1">
        <w:rPr>
          <w:szCs w:val="24"/>
          <w:lang w:val="fr-FR"/>
        </w:rPr>
        <w:t xml:space="preserve">) devrait avoir lieu le vendredi matin, </w:t>
      </w:r>
      <w:r w:rsidR="001A3E63">
        <w:rPr>
          <w:szCs w:val="24"/>
          <w:lang w:val="fr-FR"/>
        </w:rPr>
        <w:t>17</w:t>
      </w:r>
      <w:r w:rsidRPr="007454B1">
        <w:rPr>
          <w:szCs w:val="24"/>
          <w:lang w:val="fr-FR"/>
        </w:rPr>
        <w:t xml:space="preserve"> mars</w:t>
      </w:r>
      <w:r w:rsidR="001A3E63">
        <w:rPr>
          <w:szCs w:val="24"/>
          <w:lang w:val="fr-FR"/>
        </w:rPr>
        <w:t xml:space="preserve"> 2017</w:t>
      </w:r>
      <w:r w:rsidRPr="007454B1">
        <w:rPr>
          <w:szCs w:val="24"/>
          <w:lang w:val="fr-FR"/>
        </w:rPr>
        <w:t>, sans interprétation</w:t>
      </w:r>
      <w:r w:rsidR="00DE0CF9">
        <w:rPr>
          <w:szCs w:val="24"/>
          <w:lang w:val="fr-FR"/>
        </w:rPr>
        <w:t>;</w:t>
      </w:r>
    </w:p>
    <w:p w:rsidR="00DE0CF9" w:rsidRPr="007829E7" w:rsidRDefault="00DE0CF9" w:rsidP="00BF69D2">
      <w:pPr>
        <w:spacing w:after="120"/>
        <w:ind w:left="1134" w:right="1134"/>
        <w:jc w:val="both"/>
        <w:rPr>
          <w:b/>
          <w:szCs w:val="24"/>
          <w:lang w:val="fr-FR"/>
        </w:rPr>
      </w:pPr>
      <w:r w:rsidRPr="007829E7">
        <w:rPr>
          <w:b/>
          <w:szCs w:val="24"/>
          <w:lang w:val="fr-FR"/>
        </w:rPr>
        <w:tab/>
        <w:t>g)</w:t>
      </w:r>
      <w:r w:rsidRPr="007829E7">
        <w:rPr>
          <w:b/>
          <w:szCs w:val="24"/>
          <w:lang w:val="fr-FR"/>
        </w:rPr>
        <w:tab/>
        <w:t>Les participants sont priés de s</w:t>
      </w:r>
      <w:r w:rsidRPr="007829E7">
        <w:rPr>
          <w:b/>
          <w:lang w:val="fr-FR"/>
        </w:rPr>
        <w:t>'</w:t>
      </w:r>
      <w:r w:rsidRPr="007829E7">
        <w:rPr>
          <w:b/>
          <w:szCs w:val="24"/>
          <w:lang w:val="fr-FR"/>
        </w:rPr>
        <w:t xml:space="preserve">enregistrer avant le </w:t>
      </w:r>
      <w:r w:rsidR="00556031">
        <w:rPr>
          <w:b/>
          <w:szCs w:val="24"/>
          <w:lang w:val="fr-FR"/>
        </w:rPr>
        <w:t>2</w:t>
      </w:r>
      <w:r w:rsidR="001A3E63">
        <w:rPr>
          <w:b/>
          <w:szCs w:val="24"/>
          <w:lang w:val="fr-FR"/>
        </w:rPr>
        <w:t>8</w:t>
      </w:r>
      <w:r w:rsidR="00556031">
        <w:rPr>
          <w:b/>
          <w:szCs w:val="24"/>
          <w:lang w:val="fr-FR"/>
        </w:rPr>
        <w:t xml:space="preserve"> février 201</w:t>
      </w:r>
      <w:r w:rsidR="001A3E63">
        <w:rPr>
          <w:b/>
          <w:szCs w:val="24"/>
          <w:lang w:val="fr-FR"/>
        </w:rPr>
        <w:t>7</w:t>
      </w:r>
      <w:r w:rsidRPr="007829E7">
        <w:rPr>
          <w:b/>
          <w:szCs w:val="24"/>
          <w:lang w:val="fr-FR"/>
        </w:rPr>
        <w:t xml:space="preserve"> </w:t>
      </w:r>
      <w:r w:rsidR="007829E7">
        <w:rPr>
          <w:b/>
          <w:szCs w:val="24"/>
          <w:lang w:val="fr-FR"/>
        </w:rPr>
        <w:t>à</w:t>
      </w:r>
      <w:r w:rsidRPr="007829E7">
        <w:rPr>
          <w:b/>
          <w:szCs w:val="24"/>
          <w:lang w:val="fr-FR"/>
        </w:rPr>
        <w:t xml:space="preserve"> l</w:t>
      </w:r>
      <w:r w:rsidRPr="007829E7">
        <w:rPr>
          <w:b/>
          <w:lang w:val="fr-FR"/>
        </w:rPr>
        <w:t>'</w:t>
      </w:r>
      <w:r w:rsidRPr="007829E7">
        <w:rPr>
          <w:b/>
          <w:szCs w:val="24"/>
          <w:lang w:val="fr-FR"/>
        </w:rPr>
        <w:t>aide d</w:t>
      </w:r>
      <w:r w:rsidR="007829E7">
        <w:rPr>
          <w:b/>
          <w:szCs w:val="24"/>
          <w:lang w:val="fr-FR"/>
        </w:rPr>
        <w:t>u</w:t>
      </w:r>
      <w:r w:rsidRPr="007829E7">
        <w:rPr>
          <w:b/>
          <w:szCs w:val="24"/>
          <w:lang w:val="fr-FR"/>
        </w:rPr>
        <w:t xml:space="preserve"> formulaire figurant dans le document informel INF.3.</w:t>
      </w:r>
    </w:p>
    <w:p w:rsidR="00BF69D2" w:rsidRDefault="00BF69D2" w:rsidP="00BF69D2">
      <w:pPr>
        <w:keepNext/>
        <w:keepLines/>
        <w:tabs>
          <w:tab w:val="right" w:pos="851"/>
        </w:tabs>
        <w:spacing w:before="360" w:after="240" w:line="300" w:lineRule="exact"/>
        <w:ind w:left="1134" w:right="1134" w:hanging="1134"/>
        <w:rPr>
          <w:b/>
          <w:sz w:val="28"/>
          <w:lang w:val="fr-FR"/>
        </w:rPr>
      </w:pPr>
      <w:r w:rsidRPr="00E9147E">
        <w:rPr>
          <w:b/>
          <w:sz w:val="28"/>
          <w:lang w:val="fr-FR"/>
        </w:rPr>
        <w:tab/>
        <w:t>2.</w:t>
      </w:r>
      <w:r w:rsidRPr="00E9147E">
        <w:rPr>
          <w:b/>
          <w:sz w:val="28"/>
          <w:lang w:val="fr-FR"/>
        </w:rPr>
        <w:tab/>
        <w:t>Citernes</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11"/>
        <w:gridCol w:w="4853"/>
      </w:tblGrid>
      <w:tr w:rsidR="004E6F54" w:rsidRPr="00635238" w:rsidTr="003E611E">
        <w:tc>
          <w:tcPr>
            <w:tcW w:w="3652" w:type="dxa"/>
            <w:gridSpan w:val="2"/>
          </w:tcPr>
          <w:p w:rsidR="004E6F54" w:rsidRPr="00635238" w:rsidRDefault="004E6F54" w:rsidP="004E6F54">
            <w:pPr>
              <w:pStyle w:val="SingleTxtG"/>
              <w:tabs>
                <w:tab w:val="left" w:pos="3720"/>
              </w:tabs>
              <w:ind w:left="0" w:right="176"/>
              <w:jc w:val="left"/>
            </w:pPr>
            <w:r>
              <w:t>ECE/TRANS/WP.15/AC.1/2017/3 (Allemagne)</w:t>
            </w:r>
          </w:p>
        </w:tc>
        <w:tc>
          <w:tcPr>
            <w:tcW w:w="4853" w:type="dxa"/>
          </w:tcPr>
          <w:p w:rsidR="004E6F54" w:rsidRPr="00635238" w:rsidRDefault="004E6F54" w:rsidP="004E6F54">
            <w:pPr>
              <w:pStyle w:val="SingleTxtG"/>
              <w:spacing w:after="60"/>
              <w:ind w:left="0"/>
              <w:jc w:val="left"/>
            </w:pPr>
            <w:r>
              <w:t>1.2.1 – Introduction d’une définition de diamètre de réservoir</w:t>
            </w:r>
          </w:p>
        </w:tc>
      </w:tr>
      <w:tr w:rsidR="004E6F54" w:rsidRPr="00635238" w:rsidTr="003E611E">
        <w:tc>
          <w:tcPr>
            <w:tcW w:w="3641" w:type="dxa"/>
          </w:tcPr>
          <w:p w:rsidR="004E6F54" w:rsidRDefault="004E6F54" w:rsidP="003E611E">
            <w:pPr>
              <w:pStyle w:val="SingleTxtG"/>
              <w:spacing w:after="60"/>
              <w:ind w:left="0" w:right="175"/>
              <w:jc w:val="left"/>
            </w:pPr>
            <w:r>
              <w:t>ECE/TRANS/WP.15/AC.1/2017/13 (EIGA)</w:t>
            </w:r>
          </w:p>
        </w:tc>
        <w:tc>
          <w:tcPr>
            <w:tcW w:w="4864" w:type="dxa"/>
            <w:gridSpan w:val="2"/>
          </w:tcPr>
          <w:p w:rsidR="004E6F54" w:rsidRPr="00E86C78" w:rsidRDefault="004E6F54" w:rsidP="004E6F54">
            <w:pPr>
              <w:pStyle w:val="SingleTxtG"/>
              <w:spacing w:after="60"/>
              <w:ind w:left="0"/>
              <w:jc w:val="left"/>
            </w:pPr>
            <w:r w:rsidRPr="006848E9">
              <w:t xml:space="preserve">6.8.3.2.9 </w:t>
            </w:r>
            <w:r>
              <w:t>Equipements-Soupapes de décompression</w:t>
            </w:r>
          </w:p>
        </w:tc>
      </w:tr>
      <w:tr w:rsidR="004E6F54" w:rsidRPr="00A83D17" w:rsidTr="003E611E">
        <w:tc>
          <w:tcPr>
            <w:tcW w:w="3641" w:type="dxa"/>
          </w:tcPr>
          <w:p w:rsidR="004E6F54" w:rsidRPr="00C26C06" w:rsidRDefault="004E6F54" w:rsidP="004E6F54">
            <w:pPr>
              <w:pStyle w:val="SingleTxtG"/>
              <w:spacing w:after="60"/>
              <w:ind w:left="0" w:right="175"/>
              <w:jc w:val="left"/>
            </w:pPr>
            <w:r>
              <w:t>ECE/TRANS/WP.15/AC.1/2017/17 (Pays-Bas)</w:t>
            </w:r>
          </w:p>
        </w:tc>
        <w:tc>
          <w:tcPr>
            <w:tcW w:w="4864" w:type="dxa"/>
            <w:gridSpan w:val="2"/>
          </w:tcPr>
          <w:p w:rsidR="004E6F54" w:rsidRPr="00A83D17" w:rsidRDefault="004E6F54" w:rsidP="003E611E">
            <w:pPr>
              <w:pStyle w:val="SingleTxtG"/>
              <w:spacing w:after="60"/>
              <w:ind w:left="0"/>
              <w:jc w:val="left"/>
            </w:pPr>
            <w:r>
              <w:rPr>
                <w:lang w:val="en-US"/>
              </w:rPr>
              <w:t>Pression d’éclatement des disques de rupture au 6.8.2.2.10</w:t>
            </w:r>
          </w:p>
        </w:tc>
      </w:tr>
      <w:tr w:rsidR="004E6F54" w:rsidRPr="00A83D17" w:rsidTr="003E611E">
        <w:tc>
          <w:tcPr>
            <w:tcW w:w="3641" w:type="dxa"/>
          </w:tcPr>
          <w:p w:rsidR="004E6F54" w:rsidRDefault="004E6F54" w:rsidP="004E6F54">
            <w:pPr>
              <w:pStyle w:val="SingleTxtG"/>
              <w:spacing w:after="60"/>
              <w:ind w:left="0" w:right="175"/>
              <w:jc w:val="left"/>
            </w:pPr>
            <w:r>
              <w:t>ECE/TRANS/WP.15/AC.1/2017/18 (Pays-Bas)</w:t>
            </w:r>
          </w:p>
        </w:tc>
        <w:tc>
          <w:tcPr>
            <w:tcW w:w="4864" w:type="dxa"/>
            <w:gridSpan w:val="2"/>
          </w:tcPr>
          <w:p w:rsidR="004E6F54" w:rsidRPr="00E1002A" w:rsidRDefault="004E6F54" w:rsidP="003E611E">
            <w:pPr>
              <w:pStyle w:val="SingleTxtG"/>
              <w:spacing w:after="60"/>
              <w:ind w:left="0"/>
              <w:jc w:val="left"/>
            </w:pPr>
            <w:r>
              <w:rPr>
                <w:lang w:val="en-US"/>
              </w:rPr>
              <w:t>I</w:t>
            </w:r>
            <w:r w:rsidR="009902D2">
              <w:rPr>
                <w:lang w:val="en-US"/>
              </w:rPr>
              <w:t>ntroducti</w:t>
            </w:r>
            <w:r>
              <w:rPr>
                <w:lang w:val="en-US"/>
              </w:rPr>
              <w:t>on de dispositions relatives aux ar</w:t>
            </w:r>
            <w:r w:rsidR="00A16010">
              <w:rPr>
                <w:lang w:val="en-US"/>
              </w:rPr>
              <w:t>r</w:t>
            </w:r>
            <w:r>
              <w:rPr>
                <w:lang w:val="en-US"/>
              </w:rPr>
              <w:t>ête-flammes pour dispositifs de respiration</w:t>
            </w:r>
          </w:p>
        </w:tc>
      </w:tr>
      <w:tr w:rsidR="004E6F54" w:rsidRPr="00A83D17" w:rsidTr="003E611E">
        <w:tc>
          <w:tcPr>
            <w:tcW w:w="3641" w:type="dxa"/>
          </w:tcPr>
          <w:p w:rsidR="004E6F54" w:rsidRDefault="004E6F54" w:rsidP="004E6F54">
            <w:pPr>
              <w:pStyle w:val="SingleTxtG"/>
              <w:spacing w:after="60"/>
              <w:ind w:left="0" w:right="175"/>
              <w:jc w:val="left"/>
            </w:pPr>
            <w:r>
              <w:t>ECE/TRANS/WP.15/AC.1/2017/19 (Pays-Bas)</w:t>
            </w:r>
          </w:p>
        </w:tc>
        <w:tc>
          <w:tcPr>
            <w:tcW w:w="4864" w:type="dxa"/>
            <w:gridSpan w:val="2"/>
          </w:tcPr>
          <w:p w:rsidR="004E6F54" w:rsidRPr="00E1002A" w:rsidRDefault="009902D2" w:rsidP="003E611E">
            <w:pPr>
              <w:pStyle w:val="SingleTxtG"/>
              <w:spacing w:after="60"/>
              <w:ind w:left="0"/>
              <w:jc w:val="left"/>
            </w:pPr>
            <w:r>
              <w:rPr>
                <w:lang w:val="en-US"/>
              </w:rPr>
              <w:t>Modification du</w:t>
            </w:r>
            <w:r w:rsidR="004E6F54" w:rsidRPr="006A41C6">
              <w:rPr>
                <w:lang w:val="en-US"/>
              </w:rPr>
              <w:t xml:space="preserve"> 6.8.2.1.23</w:t>
            </w:r>
          </w:p>
        </w:tc>
      </w:tr>
      <w:tr w:rsidR="004E6F54" w:rsidRPr="00A83D17" w:rsidTr="003E611E">
        <w:tc>
          <w:tcPr>
            <w:tcW w:w="3641" w:type="dxa"/>
          </w:tcPr>
          <w:p w:rsidR="004E6F54" w:rsidRDefault="004E6F54" w:rsidP="003E611E">
            <w:pPr>
              <w:pStyle w:val="SingleTxtG"/>
              <w:spacing w:after="60"/>
              <w:ind w:left="0" w:right="175"/>
              <w:jc w:val="left"/>
            </w:pPr>
            <w:r>
              <w:t>ECE/TRANS/WP.15/AC.1/2017/20 (France)</w:t>
            </w:r>
          </w:p>
        </w:tc>
        <w:tc>
          <w:tcPr>
            <w:tcW w:w="4864" w:type="dxa"/>
            <w:gridSpan w:val="2"/>
          </w:tcPr>
          <w:p w:rsidR="004E6F54" w:rsidRPr="00E1002A" w:rsidRDefault="009902D2" w:rsidP="003E611E">
            <w:pPr>
              <w:pStyle w:val="SingleTxtG"/>
              <w:spacing w:after="60"/>
              <w:ind w:left="0"/>
              <w:jc w:val="left"/>
            </w:pPr>
            <w:r>
              <w:t xml:space="preserve">Citerne ayant une </w:t>
            </w:r>
            <w:r w:rsidR="00DC76B4">
              <w:t>section</w:t>
            </w:r>
            <w:r>
              <w:t xml:space="preserve"> comportant une partie concave – Interprétation du 6.8.2.1.23</w:t>
            </w:r>
          </w:p>
        </w:tc>
      </w:tr>
      <w:tr w:rsidR="004E6F54" w:rsidRPr="00A83D17" w:rsidTr="003E611E">
        <w:tc>
          <w:tcPr>
            <w:tcW w:w="3641" w:type="dxa"/>
          </w:tcPr>
          <w:p w:rsidR="004E6F54" w:rsidRDefault="004E6F54" w:rsidP="003E611E">
            <w:pPr>
              <w:pStyle w:val="SingleTxtG"/>
              <w:spacing w:after="60"/>
              <w:ind w:left="0" w:right="175"/>
              <w:jc w:val="left"/>
            </w:pPr>
            <w:r>
              <w:t>ECE/TRANS/WP.15/AC.1/2017/21 (France)</w:t>
            </w:r>
          </w:p>
        </w:tc>
        <w:tc>
          <w:tcPr>
            <w:tcW w:w="4864" w:type="dxa"/>
            <w:gridSpan w:val="2"/>
          </w:tcPr>
          <w:p w:rsidR="004E6F54" w:rsidRPr="00E1002A" w:rsidRDefault="009902D2" w:rsidP="003E611E">
            <w:pPr>
              <w:pStyle w:val="SingleTxtG"/>
              <w:spacing w:after="60"/>
              <w:ind w:left="0"/>
              <w:jc w:val="left"/>
            </w:pPr>
            <w:r>
              <w:rPr>
                <w:lang w:val="en-US"/>
              </w:rPr>
              <w:t>Citernes démontables – conteneurs-citernes, interpretation des définitions</w:t>
            </w:r>
          </w:p>
        </w:tc>
      </w:tr>
      <w:tr w:rsidR="004E6F54" w:rsidRPr="00A83D17" w:rsidTr="003E611E">
        <w:tc>
          <w:tcPr>
            <w:tcW w:w="3641" w:type="dxa"/>
          </w:tcPr>
          <w:p w:rsidR="004E6F54" w:rsidRDefault="004E6F54" w:rsidP="00DC76B4">
            <w:pPr>
              <w:pStyle w:val="SingleTxtG"/>
              <w:spacing w:after="60"/>
              <w:ind w:left="0" w:right="175"/>
              <w:jc w:val="left"/>
            </w:pPr>
            <w:r>
              <w:t>ECE/TRANS/WP.15/AC.1/2017/22 (</w:t>
            </w:r>
            <w:r w:rsidR="00DC76B4">
              <w:t>Royaume-Uni</w:t>
            </w:r>
            <w:r>
              <w:t>)</w:t>
            </w:r>
          </w:p>
        </w:tc>
        <w:tc>
          <w:tcPr>
            <w:tcW w:w="4864" w:type="dxa"/>
            <w:gridSpan w:val="2"/>
          </w:tcPr>
          <w:p w:rsidR="004E6F54" w:rsidRDefault="00C372C7" w:rsidP="003E611E">
            <w:pPr>
              <w:pStyle w:val="SingleTxtG"/>
              <w:spacing w:after="60"/>
              <w:ind w:left="0"/>
              <w:jc w:val="left"/>
              <w:rPr>
                <w:lang w:val="en-US"/>
              </w:rPr>
            </w:pPr>
            <w:r>
              <w:t>Citernes : groupe de travail informel sur le contrôle et l’agrément des citernes</w:t>
            </w:r>
          </w:p>
        </w:tc>
      </w:tr>
    </w:tbl>
    <w:p w:rsidR="00BF69D2" w:rsidRDefault="00BF69D2" w:rsidP="00BF69D2">
      <w:pPr>
        <w:keepNext/>
        <w:keepLines/>
        <w:tabs>
          <w:tab w:val="right" w:pos="851"/>
        </w:tabs>
        <w:spacing w:before="360" w:after="240" w:line="300" w:lineRule="exact"/>
        <w:ind w:left="1134" w:right="1134" w:hanging="1134"/>
        <w:rPr>
          <w:b/>
          <w:sz w:val="28"/>
          <w:lang w:val="fr-FR"/>
        </w:rPr>
      </w:pPr>
      <w:r w:rsidRPr="009765D1">
        <w:rPr>
          <w:b/>
          <w:sz w:val="28"/>
        </w:rPr>
        <w:tab/>
      </w:r>
      <w:r w:rsidRPr="003357FD">
        <w:rPr>
          <w:b/>
          <w:sz w:val="28"/>
          <w:lang w:val="fr-FR"/>
        </w:rPr>
        <w:t>3.</w:t>
      </w:r>
      <w:r w:rsidRPr="003357FD">
        <w:rPr>
          <w:b/>
          <w:sz w:val="28"/>
          <w:lang w:val="fr-FR"/>
        </w:rPr>
        <w:tab/>
        <w:t>Normes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4E6F54" w:rsidRPr="001B796A" w:rsidTr="003E611E">
        <w:tc>
          <w:tcPr>
            <w:tcW w:w="3655" w:type="dxa"/>
          </w:tcPr>
          <w:p w:rsidR="004E6F54" w:rsidRPr="00EF2AB7" w:rsidRDefault="004E6F54" w:rsidP="003E611E">
            <w:pPr>
              <w:pStyle w:val="SingleTxtG"/>
              <w:tabs>
                <w:tab w:val="left" w:pos="3720"/>
              </w:tabs>
              <w:spacing w:after="60"/>
              <w:ind w:left="0" w:right="176"/>
              <w:jc w:val="left"/>
            </w:pPr>
            <w:r>
              <w:t>ECE/TRANS/WP.15/AC.1/2017/12 (CEN)</w:t>
            </w:r>
          </w:p>
        </w:tc>
        <w:tc>
          <w:tcPr>
            <w:tcW w:w="4850" w:type="dxa"/>
          </w:tcPr>
          <w:p w:rsidR="004E6F54" w:rsidRPr="001B796A" w:rsidRDefault="004E6F54" w:rsidP="00C372C7">
            <w:pPr>
              <w:pStyle w:val="SingleTxtG"/>
              <w:spacing w:after="60"/>
              <w:ind w:left="0"/>
              <w:jc w:val="left"/>
            </w:pPr>
            <w:r>
              <w:t xml:space="preserve">Information </w:t>
            </w:r>
            <w:r w:rsidR="00C372C7">
              <w:t>sur les travaux en cours au</w:t>
            </w:r>
            <w:r>
              <w:t xml:space="preserve"> CEN</w:t>
            </w:r>
          </w:p>
        </w:tc>
      </w:tr>
    </w:tbl>
    <w:p w:rsidR="00BF69D2" w:rsidRPr="00E9147E" w:rsidRDefault="00BF69D2" w:rsidP="00BF69D2">
      <w:pPr>
        <w:keepNext/>
        <w:keepLines/>
        <w:tabs>
          <w:tab w:val="right" w:pos="851"/>
        </w:tabs>
        <w:spacing w:before="360" w:after="240" w:line="300" w:lineRule="exact"/>
        <w:ind w:left="1134" w:right="1134" w:hanging="1134"/>
        <w:rPr>
          <w:b/>
          <w:sz w:val="28"/>
          <w:lang w:val="fr-FR"/>
        </w:rPr>
      </w:pPr>
      <w:r w:rsidRPr="001B796A">
        <w:rPr>
          <w:b/>
          <w:sz w:val="28"/>
        </w:rPr>
        <w:tab/>
      </w:r>
      <w:r w:rsidRPr="00E9147E">
        <w:rPr>
          <w:b/>
          <w:sz w:val="28"/>
          <w:lang w:val="fr-FR"/>
        </w:rPr>
        <w:t>4.</w:t>
      </w:r>
      <w:r w:rsidRPr="00E9147E">
        <w:rPr>
          <w:b/>
          <w:sz w:val="28"/>
          <w:lang w:val="fr-FR"/>
        </w:rPr>
        <w:tab/>
        <w:t>Interprétation du RID/ADR/ADN</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4E6F54" w:rsidRPr="001B796A" w:rsidTr="003E611E">
        <w:tc>
          <w:tcPr>
            <w:tcW w:w="3655" w:type="dxa"/>
          </w:tcPr>
          <w:p w:rsidR="004E6F54" w:rsidRPr="00EF2AB7" w:rsidRDefault="004E6F54" w:rsidP="00DC76B4">
            <w:pPr>
              <w:pStyle w:val="SingleTxtG"/>
              <w:tabs>
                <w:tab w:val="left" w:pos="3720"/>
              </w:tabs>
              <w:spacing w:after="60"/>
              <w:ind w:left="0" w:right="176"/>
              <w:jc w:val="left"/>
            </w:pPr>
            <w:r>
              <w:t xml:space="preserve">ECE/TRANS/WP.15/AC.1/2017/2 </w:t>
            </w:r>
            <w:r w:rsidR="00DC76B4">
              <w:t>et document informel</w:t>
            </w:r>
            <w:r>
              <w:t xml:space="preserve"> INF.4 (</w:t>
            </w:r>
            <w:r w:rsidR="00DC76B4">
              <w:t>Espagne</w:t>
            </w:r>
            <w:r>
              <w:t xml:space="preserve">) </w:t>
            </w:r>
          </w:p>
        </w:tc>
        <w:tc>
          <w:tcPr>
            <w:tcW w:w="4850" w:type="dxa"/>
          </w:tcPr>
          <w:p w:rsidR="004E6F54" w:rsidRPr="001B796A" w:rsidRDefault="004E6F54" w:rsidP="00C372C7">
            <w:pPr>
              <w:pStyle w:val="SingleTxtG"/>
              <w:spacing w:after="60"/>
              <w:ind w:left="0"/>
              <w:jc w:val="left"/>
            </w:pPr>
            <w:r>
              <w:rPr>
                <w:lang w:val="en-US"/>
              </w:rPr>
              <w:t xml:space="preserve">Interpretation </w:t>
            </w:r>
            <w:r w:rsidR="00C372C7">
              <w:rPr>
                <w:lang w:val="en-US"/>
              </w:rPr>
              <w:t>du</w:t>
            </w:r>
            <w:r>
              <w:rPr>
                <w:lang w:val="en-US"/>
              </w:rPr>
              <w:t xml:space="preserve"> 1.8.3.15: </w:t>
            </w:r>
            <w:r w:rsidR="00C372C7">
              <w:rPr>
                <w:lang w:val="en-US"/>
              </w:rPr>
              <w:t>a</w:t>
            </w:r>
            <w:r w:rsidR="00DC76B4">
              <w:rPr>
                <w:lang w:val="en-US"/>
              </w:rPr>
              <w:t>cceptatio</w:t>
            </w:r>
            <w:r w:rsidR="00C372C7">
              <w:rPr>
                <w:lang w:val="en-US"/>
              </w:rPr>
              <w:t>n des certificats de conseiller à la sécurité</w:t>
            </w:r>
          </w:p>
        </w:tc>
      </w:tr>
      <w:tr w:rsidR="004E6F54" w:rsidRPr="001B796A" w:rsidTr="003E611E">
        <w:tc>
          <w:tcPr>
            <w:tcW w:w="3655" w:type="dxa"/>
          </w:tcPr>
          <w:p w:rsidR="004E6F54" w:rsidRDefault="004E6F54" w:rsidP="003E611E">
            <w:pPr>
              <w:pStyle w:val="SingleTxtG"/>
              <w:tabs>
                <w:tab w:val="left" w:pos="3720"/>
              </w:tabs>
              <w:spacing w:after="60"/>
              <w:ind w:left="0" w:right="176"/>
              <w:jc w:val="left"/>
            </w:pPr>
            <w:r>
              <w:t>ECE/TRANS/WP.15/AC.1/2017/15 (EIGA)</w:t>
            </w:r>
          </w:p>
        </w:tc>
        <w:tc>
          <w:tcPr>
            <w:tcW w:w="4850" w:type="dxa"/>
          </w:tcPr>
          <w:p w:rsidR="004E6F54" w:rsidRDefault="00DC76B4" w:rsidP="00C372C7">
            <w:pPr>
              <w:pStyle w:val="SingleTxtG"/>
              <w:spacing w:after="60"/>
              <w:ind w:left="0"/>
              <w:jc w:val="left"/>
              <w:rPr>
                <w:lang w:val="en-US"/>
              </w:rPr>
            </w:pPr>
            <w:r>
              <w:t>Interprétation</w:t>
            </w:r>
            <w:r w:rsidR="004E6F54">
              <w:t xml:space="preserve"> </w:t>
            </w:r>
            <w:r w:rsidR="00C372C7">
              <w:t>du marquage des cadres de bouteille -</w:t>
            </w:r>
            <w:r w:rsidR="004E6F54">
              <w:t xml:space="preserve"> 6.2.3.9.7</w:t>
            </w:r>
          </w:p>
        </w:tc>
      </w:tr>
    </w:tbl>
    <w:p w:rsidR="00BF69D2" w:rsidRPr="0006515F" w:rsidRDefault="00BF69D2" w:rsidP="0010236A">
      <w:pPr>
        <w:keepNext/>
        <w:tabs>
          <w:tab w:val="right" w:pos="851"/>
        </w:tabs>
        <w:spacing w:before="360" w:after="240" w:line="300" w:lineRule="exact"/>
        <w:ind w:left="1134" w:right="1134" w:hanging="1134"/>
        <w:rPr>
          <w:b/>
          <w:sz w:val="28"/>
          <w:lang w:val="fr-FR"/>
        </w:rPr>
      </w:pPr>
      <w:r w:rsidRPr="008C3908">
        <w:rPr>
          <w:b/>
          <w:sz w:val="28"/>
        </w:rPr>
        <w:lastRenderedPageBreak/>
        <w:tab/>
      </w:r>
      <w:r w:rsidRPr="0006515F">
        <w:rPr>
          <w:b/>
          <w:sz w:val="28"/>
          <w:lang w:val="fr-FR"/>
        </w:rPr>
        <w:t>5.</w:t>
      </w:r>
      <w:r w:rsidRPr="0006515F">
        <w:rPr>
          <w:b/>
          <w:sz w:val="28"/>
          <w:lang w:val="fr-FR"/>
        </w:rPr>
        <w:tab/>
        <w:t>Propositions d’amendements au RID/ADR/ADN</w:t>
      </w:r>
    </w:p>
    <w:p w:rsidR="00BF69D2" w:rsidRDefault="00BF69D2" w:rsidP="0010236A">
      <w:pPr>
        <w:keepNext/>
        <w:tabs>
          <w:tab w:val="right" w:pos="851"/>
        </w:tabs>
        <w:spacing w:before="360" w:after="240" w:line="270" w:lineRule="exact"/>
        <w:ind w:left="1134" w:right="1134" w:hanging="1134"/>
        <w:rPr>
          <w:b/>
          <w:sz w:val="24"/>
          <w:lang w:val="fr-FR"/>
        </w:rPr>
      </w:pPr>
      <w:r w:rsidRPr="0006515F">
        <w:rPr>
          <w:b/>
          <w:sz w:val="24"/>
          <w:lang w:val="fr-FR"/>
        </w:rPr>
        <w:tab/>
        <w:t>a)</w:t>
      </w:r>
      <w:r w:rsidRPr="0006515F">
        <w:rPr>
          <w:b/>
          <w:sz w:val="24"/>
          <w:lang w:val="fr-FR"/>
        </w:rPr>
        <w:tab/>
        <w:t>Questions en suspens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4E6F54" w:rsidRPr="00635238" w:rsidTr="003E611E">
        <w:trPr>
          <w:cantSplit/>
        </w:trPr>
        <w:tc>
          <w:tcPr>
            <w:tcW w:w="3655" w:type="dxa"/>
          </w:tcPr>
          <w:p w:rsidR="004E6F54" w:rsidRPr="0006515F" w:rsidRDefault="004E6F54" w:rsidP="0010236A">
            <w:pPr>
              <w:pStyle w:val="SingleTxtG"/>
              <w:keepNext/>
              <w:tabs>
                <w:tab w:val="left" w:pos="3720"/>
              </w:tabs>
              <w:ind w:left="0" w:right="176"/>
              <w:jc w:val="left"/>
            </w:pPr>
            <w:r>
              <w:t>ECE/TRANS/WP.15/AC.1/2017/9 (FEAD)</w:t>
            </w:r>
          </w:p>
        </w:tc>
        <w:tc>
          <w:tcPr>
            <w:tcW w:w="4850" w:type="dxa"/>
          </w:tcPr>
          <w:p w:rsidR="004E6F54" w:rsidRPr="0006515F" w:rsidRDefault="00DC76B4" w:rsidP="0010236A">
            <w:pPr>
              <w:pStyle w:val="SingleTxtG"/>
              <w:keepNext/>
              <w:spacing w:after="60"/>
              <w:ind w:left="0"/>
              <w:jc w:val="left"/>
            </w:pPr>
            <w:r>
              <w:t>Recommandations</w:t>
            </w:r>
            <w:r w:rsidR="00C372C7">
              <w:t xml:space="preserve"> de la </w:t>
            </w:r>
            <w:r w:rsidR="004E6F54">
              <w:t xml:space="preserve">FEAD </w:t>
            </w:r>
            <w:r w:rsidR="00C372C7">
              <w:t xml:space="preserve">relatives au transport de lampes à décharge </w:t>
            </w:r>
            <w:r>
              <w:t>«</w:t>
            </w:r>
            <w:r w:rsidR="00C372C7">
              <w:t>TL» basse pression sous régime ADR</w:t>
            </w:r>
          </w:p>
        </w:tc>
      </w:tr>
      <w:tr w:rsidR="004E6F54" w:rsidRPr="00EF2AB7" w:rsidTr="003E611E">
        <w:trPr>
          <w:cantSplit/>
        </w:trPr>
        <w:tc>
          <w:tcPr>
            <w:tcW w:w="3655" w:type="dxa"/>
          </w:tcPr>
          <w:p w:rsidR="004E6F54" w:rsidRPr="0082323D" w:rsidRDefault="004E6F54" w:rsidP="003E611E">
            <w:pPr>
              <w:pStyle w:val="SingleTxtG"/>
              <w:tabs>
                <w:tab w:val="left" w:pos="3720"/>
              </w:tabs>
              <w:ind w:left="0" w:right="176"/>
              <w:jc w:val="left"/>
            </w:pPr>
            <w:r>
              <w:t>ECE/TRANS/WP.15/AC.1/2017/10 (FEAD)</w:t>
            </w:r>
          </w:p>
        </w:tc>
        <w:tc>
          <w:tcPr>
            <w:tcW w:w="4850" w:type="dxa"/>
          </w:tcPr>
          <w:p w:rsidR="004E6F54" w:rsidRPr="001B796A" w:rsidRDefault="00C372C7" w:rsidP="003E611E">
            <w:pPr>
              <w:pStyle w:val="SingleTxtG"/>
              <w:spacing w:after="60"/>
              <w:ind w:left="0"/>
              <w:jc w:val="left"/>
            </w:pPr>
            <w:r>
              <w:rPr>
                <w:lang w:val="en"/>
              </w:rPr>
              <w:t>Utilisation de GRV métalliques pour le transport de marchandises dangereuses consistant en déchets emballés</w:t>
            </w:r>
          </w:p>
        </w:tc>
      </w:tr>
    </w:tbl>
    <w:p w:rsidR="00BF69D2" w:rsidRPr="0006515F" w:rsidRDefault="00BF69D2" w:rsidP="00BF69D2">
      <w:pPr>
        <w:keepNext/>
        <w:keepLines/>
        <w:tabs>
          <w:tab w:val="right" w:pos="851"/>
        </w:tabs>
        <w:spacing w:before="360" w:after="240" w:line="270" w:lineRule="exact"/>
        <w:ind w:left="1134" w:right="1134" w:hanging="1134"/>
        <w:rPr>
          <w:b/>
          <w:sz w:val="24"/>
          <w:lang w:val="fr-FR"/>
        </w:rPr>
      </w:pPr>
      <w:r w:rsidRPr="0006515F">
        <w:rPr>
          <w:b/>
          <w:sz w:val="24"/>
          <w:lang w:val="fr-FR"/>
        </w:rPr>
        <w:tab/>
        <w:t>b)</w:t>
      </w:r>
      <w:r w:rsidRPr="0006515F">
        <w:rPr>
          <w:b/>
          <w:sz w:val="24"/>
          <w:lang w:val="fr-FR"/>
        </w:rPr>
        <w:tab/>
        <w:t>Nouvelles propositions</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11"/>
        <w:gridCol w:w="4853"/>
      </w:tblGrid>
      <w:tr w:rsidR="004E6F54" w:rsidRPr="00EF2AB7" w:rsidTr="003E611E">
        <w:trPr>
          <w:cantSplit/>
        </w:trPr>
        <w:tc>
          <w:tcPr>
            <w:tcW w:w="3641" w:type="dxa"/>
          </w:tcPr>
          <w:p w:rsidR="004E6F54" w:rsidRPr="0006515F" w:rsidRDefault="004E6F54" w:rsidP="003E611E">
            <w:pPr>
              <w:pStyle w:val="SingleTxtG"/>
              <w:spacing w:after="60"/>
              <w:ind w:left="0" w:right="175"/>
              <w:jc w:val="left"/>
            </w:pPr>
            <w:r>
              <w:t>ECE/TRANS/WP.15/AC.1/2017/1 (UIC)</w:t>
            </w:r>
          </w:p>
        </w:tc>
        <w:tc>
          <w:tcPr>
            <w:tcW w:w="4864" w:type="dxa"/>
            <w:gridSpan w:val="2"/>
          </w:tcPr>
          <w:p w:rsidR="004E6F54" w:rsidRPr="00E1002A" w:rsidRDefault="00C372C7" w:rsidP="003E611E">
            <w:pPr>
              <w:pStyle w:val="SingleTxtG"/>
              <w:spacing w:after="60"/>
              <w:ind w:left="0"/>
              <w:jc w:val="left"/>
            </w:pPr>
            <w:r>
              <w:t>Extension du champ d’application des dispositions du chapitre 5.2 relatives à la résistance aux intempéries aux plaques-étiquettes, panneaux orange et marques</w:t>
            </w:r>
          </w:p>
        </w:tc>
      </w:tr>
      <w:tr w:rsidR="004E6F54" w:rsidRPr="00635238" w:rsidTr="003E611E">
        <w:trPr>
          <w:cantSplit/>
        </w:trPr>
        <w:tc>
          <w:tcPr>
            <w:tcW w:w="3652" w:type="dxa"/>
            <w:gridSpan w:val="2"/>
          </w:tcPr>
          <w:p w:rsidR="004E6F54" w:rsidRPr="00E1002A" w:rsidRDefault="004E6F54" w:rsidP="00C372C7">
            <w:pPr>
              <w:pStyle w:val="SingleTxtG"/>
              <w:spacing w:after="60"/>
              <w:ind w:left="0" w:right="175"/>
              <w:jc w:val="left"/>
            </w:pPr>
            <w:r>
              <w:t>ECE/TRANS/WP.15/AC.1/2017/4 (Ital</w:t>
            </w:r>
            <w:r w:rsidR="00C372C7">
              <w:t>ie</w:t>
            </w:r>
            <w:r>
              <w:t>)</w:t>
            </w:r>
          </w:p>
        </w:tc>
        <w:tc>
          <w:tcPr>
            <w:tcW w:w="4853" w:type="dxa"/>
          </w:tcPr>
          <w:p w:rsidR="004E6F54" w:rsidRPr="00E1002A" w:rsidRDefault="00C372C7" w:rsidP="003E611E">
            <w:pPr>
              <w:pStyle w:val="SingleTxtG"/>
              <w:spacing w:after="60"/>
              <w:ind w:left="0"/>
              <w:jc w:val="left"/>
            </w:pPr>
            <w:r>
              <w:t>Modification du</w:t>
            </w:r>
            <w:r w:rsidR="004E6F54">
              <w:t xml:space="preserve"> 1.8.3.1.16.2</w:t>
            </w:r>
          </w:p>
        </w:tc>
      </w:tr>
      <w:tr w:rsidR="004E6F54" w:rsidRPr="00635238" w:rsidTr="003E611E">
        <w:trPr>
          <w:cantSplit/>
        </w:trPr>
        <w:tc>
          <w:tcPr>
            <w:tcW w:w="3652" w:type="dxa"/>
            <w:gridSpan w:val="2"/>
          </w:tcPr>
          <w:p w:rsidR="004E6F54" w:rsidRDefault="004E6F54" w:rsidP="003E611E">
            <w:pPr>
              <w:pStyle w:val="SingleTxtG"/>
              <w:spacing w:after="60"/>
              <w:ind w:left="0" w:right="175"/>
              <w:jc w:val="left"/>
            </w:pPr>
            <w:r>
              <w:t>ECE/TRANS/WP.15/AC.1/2017/5 (</w:t>
            </w:r>
            <w:r w:rsidR="00C372C7">
              <w:t>Italie</w:t>
            </w:r>
            <w:r>
              <w:t>)</w:t>
            </w:r>
          </w:p>
        </w:tc>
        <w:tc>
          <w:tcPr>
            <w:tcW w:w="4853" w:type="dxa"/>
          </w:tcPr>
          <w:p w:rsidR="004E6F54" w:rsidRDefault="00C372C7" w:rsidP="00C372C7">
            <w:pPr>
              <w:pStyle w:val="SingleTxtG"/>
              <w:spacing w:after="60"/>
              <w:ind w:left="0"/>
              <w:jc w:val="left"/>
            </w:pPr>
            <w:r>
              <w:rPr>
                <w:lang w:val="en-US"/>
              </w:rPr>
              <w:t>Modification de la</w:t>
            </w:r>
            <w:r w:rsidR="004E6F54">
              <w:rPr>
                <w:lang w:val="en-US"/>
              </w:rPr>
              <w:t xml:space="preserve"> section 1.8.3</w:t>
            </w:r>
          </w:p>
        </w:tc>
      </w:tr>
      <w:tr w:rsidR="004E6F54" w:rsidRPr="00635238" w:rsidTr="003E611E">
        <w:trPr>
          <w:cantSplit/>
        </w:trPr>
        <w:tc>
          <w:tcPr>
            <w:tcW w:w="3652" w:type="dxa"/>
            <w:gridSpan w:val="2"/>
          </w:tcPr>
          <w:p w:rsidR="004E6F54" w:rsidRDefault="004E6F54" w:rsidP="003E611E">
            <w:pPr>
              <w:pStyle w:val="SingleTxtG"/>
              <w:spacing w:after="60"/>
              <w:ind w:left="0" w:right="175"/>
              <w:jc w:val="left"/>
            </w:pPr>
            <w:r>
              <w:t>ECE/TRANS/WP.15/AC.1/2017/6 (</w:t>
            </w:r>
            <w:r w:rsidR="00C372C7">
              <w:t>Italie</w:t>
            </w:r>
            <w:r>
              <w:t>)</w:t>
            </w:r>
          </w:p>
        </w:tc>
        <w:tc>
          <w:tcPr>
            <w:tcW w:w="4853" w:type="dxa"/>
          </w:tcPr>
          <w:p w:rsidR="004E6F54" w:rsidRDefault="00C372C7" w:rsidP="003E611E">
            <w:pPr>
              <w:pStyle w:val="SingleTxtG"/>
              <w:spacing w:after="60"/>
              <w:ind w:left="0"/>
              <w:jc w:val="left"/>
            </w:pPr>
            <w:r>
              <w:rPr>
                <w:lang w:val="en-US"/>
              </w:rPr>
              <w:t>Disposition spéciale</w:t>
            </w:r>
            <w:r w:rsidR="004E6F54">
              <w:rPr>
                <w:lang w:val="en-US"/>
              </w:rPr>
              <w:t xml:space="preserve"> 386</w:t>
            </w:r>
          </w:p>
        </w:tc>
      </w:tr>
      <w:tr w:rsidR="004E6F54" w:rsidRPr="00635238" w:rsidTr="003E611E">
        <w:trPr>
          <w:cantSplit/>
        </w:trPr>
        <w:tc>
          <w:tcPr>
            <w:tcW w:w="3652" w:type="dxa"/>
            <w:gridSpan w:val="2"/>
          </w:tcPr>
          <w:p w:rsidR="004E6F54" w:rsidRDefault="004E6F54" w:rsidP="003E611E">
            <w:pPr>
              <w:pStyle w:val="SingleTxtG"/>
              <w:spacing w:after="60"/>
              <w:ind w:left="0" w:right="175"/>
              <w:jc w:val="left"/>
            </w:pPr>
            <w:r>
              <w:t>ECE/TRANS/WP.15/AC.1/2017/7 (</w:t>
            </w:r>
            <w:r w:rsidR="00C372C7">
              <w:t>Italie</w:t>
            </w:r>
            <w:r>
              <w:t>)</w:t>
            </w:r>
          </w:p>
        </w:tc>
        <w:tc>
          <w:tcPr>
            <w:tcW w:w="4853" w:type="dxa"/>
          </w:tcPr>
          <w:p w:rsidR="004E6F54" w:rsidRDefault="004E6F54" w:rsidP="00C372C7">
            <w:pPr>
              <w:pStyle w:val="SingleTxtG"/>
              <w:spacing w:after="60"/>
              <w:ind w:left="0"/>
              <w:jc w:val="left"/>
              <w:rPr>
                <w:lang w:val="en-US"/>
              </w:rPr>
            </w:pPr>
            <w:r>
              <w:t xml:space="preserve">Section 3.2.1: </w:t>
            </w:r>
            <w:r w:rsidR="00C372C7">
              <w:t>modification de la note explicative pour la colonne</w:t>
            </w:r>
            <w:r>
              <w:t xml:space="preserve"> (9a)</w:t>
            </w:r>
          </w:p>
        </w:tc>
      </w:tr>
      <w:tr w:rsidR="004E6F54" w:rsidRPr="00635238" w:rsidTr="003E611E">
        <w:trPr>
          <w:cantSplit/>
        </w:trPr>
        <w:tc>
          <w:tcPr>
            <w:tcW w:w="3652" w:type="dxa"/>
            <w:gridSpan w:val="2"/>
          </w:tcPr>
          <w:p w:rsidR="004E6F54" w:rsidRDefault="004E6F54" w:rsidP="003E611E">
            <w:pPr>
              <w:pStyle w:val="SingleTxtG"/>
              <w:spacing w:after="60"/>
              <w:ind w:left="0" w:right="175"/>
              <w:jc w:val="left"/>
            </w:pPr>
            <w:r>
              <w:t>ECE/TRANS/WP.15/AC.1/2017/8 (</w:t>
            </w:r>
            <w:r w:rsidR="00C372C7">
              <w:t>Italie</w:t>
            </w:r>
            <w:r>
              <w:t>)</w:t>
            </w:r>
          </w:p>
        </w:tc>
        <w:tc>
          <w:tcPr>
            <w:tcW w:w="4853" w:type="dxa"/>
          </w:tcPr>
          <w:p w:rsidR="004E6F54" w:rsidRDefault="00C372C7" w:rsidP="003E611E">
            <w:pPr>
              <w:pStyle w:val="SingleTxtG"/>
              <w:spacing w:after="60"/>
              <w:ind w:left="0"/>
              <w:jc w:val="left"/>
            </w:pPr>
            <w:r>
              <w:t>Modification du</w:t>
            </w:r>
            <w:r w:rsidR="004E6F54">
              <w:t xml:space="preserve"> 6.6.3.1 (c)</w:t>
            </w:r>
          </w:p>
        </w:tc>
      </w:tr>
    </w:tbl>
    <w:p w:rsidR="00BF69D2" w:rsidRDefault="00BF69D2" w:rsidP="00BF69D2">
      <w:pPr>
        <w:keepNext/>
        <w:keepLines/>
        <w:tabs>
          <w:tab w:val="right" w:pos="851"/>
        </w:tabs>
        <w:spacing w:before="360" w:after="240" w:line="300" w:lineRule="exact"/>
        <w:ind w:left="1134" w:right="1134" w:hanging="1134"/>
        <w:rPr>
          <w:b/>
          <w:sz w:val="28"/>
          <w:lang w:val="fr-FR"/>
        </w:rPr>
      </w:pPr>
      <w:r w:rsidRPr="003357FD">
        <w:rPr>
          <w:b/>
          <w:sz w:val="28"/>
          <w:lang w:val="fr-FR"/>
        </w:rPr>
        <w:tab/>
        <w:t>6.</w:t>
      </w:r>
      <w:r w:rsidRPr="003357FD">
        <w:rPr>
          <w:b/>
          <w:sz w:val="28"/>
          <w:lang w:val="fr-FR"/>
        </w:rPr>
        <w:tab/>
        <w:t>Rapports des groupes de travail informels</w:t>
      </w:r>
    </w:p>
    <w:p w:rsidR="004E6F54" w:rsidRDefault="004E6F54" w:rsidP="004E6F54">
      <w:pPr>
        <w:pStyle w:val="SingleTxtG"/>
        <w:rPr>
          <w:lang w:val="fr-FR"/>
        </w:rPr>
      </w:pPr>
      <w:r>
        <w:rPr>
          <w:lang w:val="fr-FR"/>
        </w:rPr>
        <w:t>Le Gouvernement de la France souhaite informer la Réunion commune, par le biais d’une présentat</w:t>
      </w:r>
      <w:r w:rsidR="00A30267">
        <w:rPr>
          <w:lang w:val="fr-FR"/>
        </w:rPr>
        <w:t>ion, des résultats de recherche</w:t>
      </w:r>
      <w:r>
        <w:rPr>
          <w:lang w:val="fr-FR"/>
        </w:rPr>
        <w:t xml:space="preserve"> complémentaires sur la résistance des citernes dans un feu qui viennent s’ajouter à ceux obtenus lors des essais réalisés dans le cadre des travaux du groupe de travail informel sur la prévention du risque de BLEVE.</w:t>
      </w:r>
    </w:p>
    <w:p w:rsidR="00BF69D2" w:rsidRDefault="00BF69D2" w:rsidP="00BF69D2">
      <w:pPr>
        <w:keepNext/>
        <w:keepLines/>
        <w:tabs>
          <w:tab w:val="right" w:pos="851"/>
        </w:tabs>
        <w:spacing w:before="360" w:after="240" w:line="300" w:lineRule="exact"/>
        <w:ind w:left="1134" w:right="1134" w:hanging="1134"/>
        <w:rPr>
          <w:b/>
          <w:sz w:val="28"/>
          <w:lang w:val="fr-FR"/>
        </w:rPr>
      </w:pPr>
      <w:r w:rsidRPr="001B796A">
        <w:rPr>
          <w:b/>
          <w:sz w:val="28"/>
        </w:rPr>
        <w:tab/>
      </w:r>
      <w:r w:rsidRPr="003357FD">
        <w:rPr>
          <w:b/>
          <w:sz w:val="28"/>
          <w:lang w:val="fr-FR"/>
        </w:rPr>
        <w:t>7.</w:t>
      </w:r>
      <w:r w:rsidRPr="003357FD">
        <w:rPr>
          <w:b/>
          <w:sz w:val="28"/>
          <w:lang w:val="fr-FR"/>
        </w:rPr>
        <w:tab/>
      </w:r>
      <w:r w:rsidR="003357FD">
        <w:rPr>
          <w:b/>
          <w:sz w:val="28"/>
          <w:lang w:val="fr-FR"/>
        </w:rPr>
        <w:t>Accidents et management de risque</w:t>
      </w:r>
    </w:p>
    <w:p w:rsidR="000D32DC" w:rsidRDefault="000D32DC" w:rsidP="000D32DC">
      <w:pPr>
        <w:spacing w:after="120"/>
        <w:ind w:left="1134" w:right="1134" w:firstLine="567"/>
        <w:jc w:val="both"/>
      </w:pPr>
      <w:r>
        <w:t xml:space="preserve">Aucun document n’a été soumis au titre de ce point de l’ordre du jour. </w:t>
      </w:r>
    </w:p>
    <w:p w:rsidR="00BF69D2" w:rsidRDefault="00BF69D2" w:rsidP="00BF69D2">
      <w:pPr>
        <w:keepNext/>
        <w:keepLines/>
        <w:tabs>
          <w:tab w:val="right" w:pos="851"/>
        </w:tabs>
        <w:spacing w:before="360" w:after="240" w:line="300" w:lineRule="exact"/>
        <w:ind w:left="1134" w:right="1134" w:hanging="1134"/>
        <w:rPr>
          <w:b/>
          <w:sz w:val="28"/>
          <w:lang w:val="fr-FR"/>
        </w:rPr>
      </w:pPr>
      <w:r w:rsidRPr="00E9147E">
        <w:rPr>
          <w:b/>
          <w:sz w:val="28"/>
          <w:lang w:val="fr-FR"/>
        </w:rPr>
        <w:tab/>
        <w:t>8.</w:t>
      </w:r>
      <w:r w:rsidRPr="00E9147E">
        <w:rPr>
          <w:b/>
          <w:sz w:val="28"/>
          <w:lang w:val="fr-FR"/>
        </w:rPr>
        <w:tab/>
      </w:r>
      <w:r w:rsidR="00E9147E">
        <w:rPr>
          <w:b/>
          <w:sz w:val="28"/>
          <w:lang w:val="fr-FR"/>
        </w:rPr>
        <w:t>Travaux futurs</w:t>
      </w:r>
      <w:r w:rsidRPr="00E9147E">
        <w:rPr>
          <w:b/>
          <w:sz w:val="28"/>
          <w:lang w:val="fr-FR"/>
        </w:rPr>
        <w:t xml:space="preserve"> </w:t>
      </w:r>
    </w:p>
    <w:p w:rsidR="00DD4D6A" w:rsidRDefault="00DD4D6A" w:rsidP="00DD4D6A">
      <w:pPr>
        <w:spacing w:after="120"/>
        <w:ind w:left="1134" w:right="1134" w:firstLine="567"/>
        <w:jc w:val="both"/>
      </w:pPr>
      <w:r>
        <w:t xml:space="preserve">Aucun document n’a été soumis au titre de ce point de l’ordre du jour. </w:t>
      </w:r>
    </w:p>
    <w:p w:rsidR="00BF69D2" w:rsidRDefault="00BF69D2" w:rsidP="00BF69D2">
      <w:pPr>
        <w:keepNext/>
        <w:keepLines/>
        <w:tabs>
          <w:tab w:val="right" w:pos="851"/>
        </w:tabs>
        <w:spacing w:before="360" w:after="240" w:line="300" w:lineRule="exact"/>
        <w:ind w:left="1134" w:right="1134" w:hanging="1134"/>
        <w:rPr>
          <w:b/>
          <w:sz w:val="28"/>
          <w:lang w:val="fr-FR"/>
        </w:rPr>
      </w:pPr>
      <w:r w:rsidRPr="0027701A">
        <w:rPr>
          <w:b/>
          <w:sz w:val="28"/>
        </w:rPr>
        <w:tab/>
      </w:r>
      <w:r w:rsidRPr="003357FD">
        <w:rPr>
          <w:b/>
          <w:sz w:val="28"/>
          <w:lang w:val="fr-FR"/>
        </w:rPr>
        <w:t>9.</w:t>
      </w:r>
      <w:r w:rsidRPr="003357FD">
        <w:rPr>
          <w:b/>
          <w:sz w:val="28"/>
          <w:lang w:val="fr-FR"/>
        </w:rPr>
        <w:tab/>
      </w:r>
      <w:r w:rsidR="003357FD" w:rsidRPr="003357FD">
        <w:rPr>
          <w:b/>
          <w:sz w:val="28"/>
          <w:lang w:val="fr-FR"/>
        </w:rPr>
        <w:t>Questions diverses</w:t>
      </w:r>
    </w:p>
    <w:tbl>
      <w:tblPr>
        <w:tblW w:w="8505" w:type="dxa"/>
        <w:tblInd w:w="1134" w:type="dxa"/>
        <w:tblLayout w:type="fixed"/>
        <w:tblCellMar>
          <w:left w:w="0" w:type="dxa"/>
          <w:right w:w="0" w:type="dxa"/>
        </w:tblCellMar>
        <w:tblLook w:val="01E0" w:firstRow="1" w:lastRow="1" w:firstColumn="1" w:lastColumn="1" w:noHBand="0" w:noVBand="0"/>
      </w:tblPr>
      <w:tblGrid>
        <w:gridCol w:w="3661"/>
        <w:gridCol w:w="4844"/>
      </w:tblGrid>
      <w:tr w:rsidR="004E6F54" w:rsidRPr="003B4E53" w:rsidTr="003E611E">
        <w:trPr>
          <w:cantSplit/>
        </w:trPr>
        <w:tc>
          <w:tcPr>
            <w:tcW w:w="3661" w:type="dxa"/>
          </w:tcPr>
          <w:p w:rsidR="004E6F54" w:rsidRDefault="004E6F54" w:rsidP="00523140">
            <w:pPr>
              <w:pStyle w:val="SingleTxtG"/>
              <w:spacing w:after="60"/>
              <w:ind w:left="0" w:right="175"/>
              <w:jc w:val="left"/>
            </w:pPr>
            <w:r>
              <w:t xml:space="preserve">ECE/TRANS/WP.15/AC.1/2017/11 (UIC, IRU </w:t>
            </w:r>
            <w:r w:rsidR="00DC76B4">
              <w:t>et</w:t>
            </w:r>
            <w:r>
              <w:t xml:space="preserve"> CEFIC)</w:t>
            </w:r>
          </w:p>
        </w:tc>
        <w:tc>
          <w:tcPr>
            <w:tcW w:w="4844" w:type="dxa"/>
          </w:tcPr>
          <w:p w:rsidR="004E6F54" w:rsidRDefault="00C372C7" w:rsidP="00C372C7">
            <w:pPr>
              <w:pStyle w:val="SingleTxtG"/>
              <w:spacing w:after="60"/>
              <w:ind w:left="0"/>
              <w:jc w:val="left"/>
              <w:rPr>
                <w:lang w:val="en-CA"/>
              </w:rPr>
            </w:pPr>
            <w:r>
              <w:t>Entrée en vigueur d’une législation polonaise requérant la mention du propriétaire des marchandises dangereuses dans les documents prévus au chapitre</w:t>
            </w:r>
            <w:r w:rsidR="004E6F54">
              <w:t xml:space="preserve"> 5.4</w:t>
            </w:r>
          </w:p>
        </w:tc>
      </w:tr>
      <w:tr w:rsidR="004E6F54" w:rsidRPr="003B4E53" w:rsidTr="003E611E">
        <w:trPr>
          <w:cantSplit/>
        </w:trPr>
        <w:tc>
          <w:tcPr>
            <w:tcW w:w="3661" w:type="dxa"/>
          </w:tcPr>
          <w:p w:rsidR="004E6F54" w:rsidRDefault="004E6F54" w:rsidP="003E611E">
            <w:pPr>
              <w:pStyle w:val="SingleTxtG"/>
              <w:spacing w:after="60"/>
              <w:ind w:left="0" w:right="175"/>
              <w:jc w:val="left"/>
            </w:pPr>
            <w:r>
              <w:lastRenderedPageBreak/>
              <w:t>ECE/TRANS/WP.15/AC.1/2017/14 (EIGA)</w:t>
            </w:r>
          </w:p>
        </w:tc>
        <w:tc>
          <w:tcPr>
            <w:tcW w:w="4844" w:type="dxa"/>
          </w:tcPr>
          <w:p w:rsidR="004E6F54" w:rsidRDefault="00C372C7" w:rsidP="003E611E">
            <w:pPr>
              <w:pStyle w:val="SingleTxtG"/>
              <w:spacing w:after="60"/>
              <w:ind w:left="0"/>
              <w:jc w:val="left"/>
              <w:rPr>
                <w:lang w:val="en-CA"/>
              </w:rPr>
            </w:pPr>
            <w:r>
              <w:t>Transport de récipients à pression agréés par le Département des transports des Etats-Unis d’Amérique</w:t>
            </w:r>
            <w:r w:rsidR="004E6F54" w:rsidRPr="00B66DF8">
              <w:t xml:space="preserve"> (DOT)</w:t>
            </w:r>
          </w:p>
        </w:tc>
      </w:tr>
      <w:tr w:rsidR="004E6F54" w:rsidRPr="003B4E53" w:rsidTr="003E611E">
        <w:trPr>
          <w:cantSplit/>
        </w:trPr>
        <w:tc>
          <w:tcPr>
            <w:tcW w:w="3661" w:type="dxa"/>
          </w:tcPr>
          <w:p w:rsidR="004E6F54" w:rsidRPr="007C02B9" w:rsidRDefault="004E6F54" w:rsidP="00523140">
            <w:pPr>
              <w:pStyle w:val="SingleTxtG"/>
              <w:spacing w:after="60"/>
              <w:ind w:left="0" w:right="175"/>
              <w:jc w:val="left"/>
            </w:pPr>
            <w:r>
              <w:t xml:space="preserve">ECE/TRANS/WP.15/AC.1/2017/16 </w:t>
            </w:r>
            <w:r w:rsidR="00523140">
              <w:t xml:space="preserve">et document informel </w:t>
            </w:r>
            <w:r>
              <w:t>INF.5 (</w:t>
            </w:r>
            <w:r w:rsidR="00DC76B4">
              <w:t>Secrétariat</w:t>
            </w:r>
            <w:r>
              <w:t>)</w:t>
            </w:r>
          </w:p>
        </w:tc>
        <w:tc>
          <w:tcPr>
            <w:tcW w:w="4844" w:type="dxa"/>
          </w:tcPr>
          <w:p w:rsidR="004E6F54" w:rsidRPr="00C26C06" w:rsidRDefault="00C372C7" w:rsidP="003E611E">
            <w:pPr>
              <w:pStyle w:val="SingleTxtG"/>
              <w:spacing w:after="60"/>
              <w:ind w:left="0"/>
              <w:jc w:val="left"/>
              <w:rPr>
                <w:bCs/>
              </w:rPr>
            </w:pPr>
            <w:r>
              <w:rPr>
                <w:lang w:val="en-CA"/>
              </w:rPr>
              <w:t>Demande de statut consultative par COSTHA</w:t>
            </w:r>
          </w:p>
        </w:tc>
      </w:tr>
    </w:tbl>
    <w:p w:rsidR="003357FD" w:rsidRPr="003357FD" w:rsidRDefault="003357FD" w:rsidP="00BF69D2">
      <w:pPr>
        <w:keepNext/>
        <w:keepLines/>
        <w:tabs>
          <w:tab w:val="right" w:pos="851"/>
        </w:tabs>
        <w:spacing w:before="360" w:after="240" w:line="300" w:lineRule="exact"/>
        <w:ind w:left="1134" w:right="1134" w:hanging="1134"/>
        <w:rPr>
          <w:b/>
          <w:sz w:val="28"/>
          <w:lang w:val="fr-FR"/>
        </w:rPr>
      </w:pPr>
      <w:r>
        <w:rPr>
          <w:b/>
          <w:sz w:val="28"/>
          <w:lang w:val="fr-FR"/>
        </w:rPr>
        <w:tab/>
        <w:t>10.</w:t>
      </w:r>
      <w:r>
        <w:rPr>
          <w:b/>
          <w:sz w:val="28"/>
          <w:lang w:val="fr-FR"/>
        </w:rPr>
        <w:tab/>
        <w:t>Adoption du rapport</w:t>
      </w:r>
    </w:p>
    <w:p w:rsidR="00BF69D2" w:rsidRPr="009E1285" w:rsidRDefault="00BF69D2" w:rsidP="00BF69D2">
      <w:pPr>
        <w:spacing w:after="120"/>
        <w:ind w:left="1134" w:right="1134" w:firstLine="561"/>
        <w:jc w:val="both"/>
        <w:rPr>
          <w:u w:val="single"/>
          <w:lang w:val="fr-FR"/>
        </w:rPr>
      </w:pPr>
      <w:r w:rsidRPr="009E1285">
        <w:rPr>
          <w:lang w:val="fr-FR"/>
        </w:rPr>
        <w:t>Conformément à l’usage, la Réunion commune adoptera le rapport de sa session sur la base d’un projet établi par le secrétariat.</w:t>
      </w:r>
    </w:p>
    <w:p w:rsidR="00BF06B0" w:rsidRPr="009E1285" w:rsidRDefault="00BF69D2" w:rsidP="00BF69D2">
      <w:pPr>
        <w:spacing w:before="240"/>
        <w:ind w:left="1134" w:right="1134"/>
        <w:jc w:val="center"/>
        <w:rPr>
          <w:u w:val="single"/>
          <w:lang w:val="fr-FR"/>
        </w:rPr>
      </w:pPr>
      <w:r w:rsidRPr="009E1285">
        <w:rPr>
          <w:u w:val="single"/>
          <w:lang w:val="fr-FR"/>
        </w:rPr>
        <w:tab/>
      </w:r>
      <w:r w:rsidRPr="009E1285">
        <w:rPr>
          <w:u w:val="single"/>
          <w:lang w:val="fr-FR"/>
        </w:rPr>
        <w:tab/>
      </w:r>
      <w:r w:rsidRPr="009E1285">
        <w:rPr>
          <w:u w:val="single"/>
          <w:lang w:val="fr-FR"/>
        </w:rPr>
        <w:tab/>
      </w:r>
    </w:p>
    <w:sectPr w:rsidR="00BF06B0" w:rsidRPr="009E1285" w:rsidSect="00763762">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B2" w:rsidRDefault="00631DB2"/>
  </w:endnote>
  <w:endnote w:type="continuationSeparator" w:id="0">
    <w:p w:rsidR="00631DB2" w:rsidRDefault="00631DB2"/>
  </w:endnote>
  <w:endnote w:type="continuationNotice" w:id="1">
    <w:p w:rsidR="00631DB2" w:rsidRDefault="0063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1F" w:rsidRPr="00763762" w:rsidRDefault="0053781F" w:rsidP="00763762">
    <w:pPr>
      <w:pStyle w:val="Pieddepage"/>
      <w:tabs>
        <w:tab w:val="right" w:pos="9638"/>
      </w:tabs>
      <w:rPr>
        <w:sz w:val="18"/>
      </w:rPr>
    </w:pPr>
    <w:r w:rsidRPr="00763762">
      <w:rPr>
        <w:b/>
        <w:sz w:val="18"/>
      </w:rPr>
      <w:fldChar w:fldCharType="begin"/>
    </w:r>
    <w:r w:rsidRPr="00763762">
      <w:rPr>
        <w:b/>
        <w:sz w:val="18"/>
      </w:rPr>
      <w:instrText xml:space="preserve"> PAGE  \* MERGEFORMAT </w:instrText>
    </w:r>
    <w:r w:rsidRPr="00763762">
      <w:rPr>
        <w:b/>
        <w:sz w:val="18"/>
      </w:rPr>
      <w:fldChar w:fldCharType="separate"/>
    </w:r>
    <w:r w:rsidR="00FC5203">
      <w:rPr>
        <w:b/>
        <w:noProof/>
        <w:sz w:val="18"/>
      </w:rPr>
      <w:t>2</w:t>
    </w:r>
    <w:r w:rsidRPr="007637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1F" w:rsidRPr="00763762" w:rsidRDefault="0053781F" w:rsidP="00763762">
    <w:pPr>
      <w:pStyle w:val="Pieddepage"/>
      <w:tabs>
        <w:tab w:val="right" w:pos="9638"/>
      </w:tabs>
      <w:rPr>
        <w:sz w:val="18"/>
      </w:rPr>
    </w:pPr>
    <w:r>
      <w:tab/>
    </w:r>
    <w:r w:rsidRPr="00763762">
      <w:rPr>
        <w:b/>
        <w:sz w:val="18"/>
      </w:rPr>
      <w:fldChar w:fldCharType="begin"/>
    </w:r>
    <w:r w:rsidRPr="00763762">
      <w:rPr>
        <w:b/>
        <w:sz w:val="18"/>
      </w:rPr>
      <w:instrText xml:space="preserve"> PAGE  \* MERGEFORMAT </w:instrText>
    </w:r>
    <w:r w:rsidRPr="00763762">
      <w:rPr>
        <w:b/>
        <w:sz w:val="18"/>
      </w:rPr>
      <w:fldChar w:fldCharType="separate"/>
    </w:r>
    <w:r w:rsidR="00FC5203">
      <w:rPr>
        <w:b/>
        <w:noProof/>
        <w:sz w:val="18"/>
      </w:rPr>
      <w:t>3</w:t>
    </w:r>
    <w:r w:rsidRPr="0076376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B2" w:rsidRPr="00D27D5E" w:rsidRDefault="00631DB2" w:rsidP="00D27D5E">
      <w:pPr>
        <w:tabs>
          <w:tab w:val="right" w:pos="2155"/>
        </w:tabs>
        <w:spacing w:after="80"/>
        <w:ind w:left="680"/>
        <w:rPr>
          <w:u w:val="single"/>
        </w:rPr>
      </w:pPr>
      <w:r>
        <w:rPr>
          <w:u w:val="single"/>
        </w:rPr>
        <w:tab/>
      </w:r>
    </w:p>
  </w:footnote>
  <w:footnote w:type="continuationSeparator" w:id="0">
    <w:p w:rsidR="00631DB2" w:rsidRPr="00A80554" w:rsidRDefault="00631DB2" w:rsidP="00A80554">
      <w:pPr>
        <w:tabs>
          <w:tab w:val="left" w:pos="2155"/>
        </w:tabs>
        <w:spacing w:after="80"/>
        <w:ind w:left="680"/>
        <w:rPr>
          <w:u w:val="single"/>
        </w:rPr>
      </w:pPr>
      <w:r w:rsidRPr="00A80554">
        <w:rPr>
          <w:u w:val="single"/>
        </w:rPr>
        <w:tab/>
      </w:r>
    </w:p>
  </w:footnote>
  <w:footnote w:type="continuationNotice" w:id="1">
    <w:p w:rsidR="00631DB2" w:rsidRDefault="00631D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1F" w:rsidRPr="00DC0722" w:rsidRDefault="0053781F">
    <w:pPr>
      <w:pStyle w:val="En-tte"/>
      <w:rPr>
        <w:lang w:val="en-GB"/>
      </w:rPr>
    </w:pPr>
    <w:r w:rsidRPr="00DC0722">
      <w:rPr>
        <w:lang w:val="en-GB"/>
      </w:rPr>
      <w:t>ECE/TRANS/WP.15/AC.1/</w:t>
    </w:r>
    <w:r w:rsidR="00556031">
      <w:rPr>
        <w:lang w:val="en-GB"/>
      </w:rPr>
      <w:t>14</w:t>
    </w:r>
    <w:r w:rsidR="00DC76B4">
      <w:rPr>
        <w:lang w:val="en-GB"/>
      </w:rPr>
      <w:t>5</w:t>
    </w:r>
    <w:r w:rsidRPr="00DC0722">
      <w:rPr>
        <w:lang w:val="en-GB"/>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1F" w:rsidRPr="00DC0722" w:rsidRDefault="0053781F" w:rsidP="00763762">
    <w:pPr>
      <w:pStyle w:val="En-tte"/>
      <w:jc w:val="right"/>
      <w:rPr>
        <w:lang w:val="en-GB"/>
      </w:rPr>
    </w:pPr>
    <w:r w:rsidRPr="00DC0722">
      <w:rPr>
        <w:lang w:val="en-GB"/>
      </w:rPr>
      <w:t>ECE/TRANS/WP.15/AC.1/</w:t>
    </w:r>
    <w:r w:rsidR="00556031">
      <w:rPr>
        <w:lang w:val="en-GB"/>
      </w:rPr>
      <w:t>14</w:t>
    </w:r>
    <w:r w:rsidR="00DC76B4">
      <w:rPr>
        <w:lang w:val="en-GB"/>
      </w:rPr>
      <w:t>5</w:t>
    </w:r>
    <w:r w:rsidRPr="00DC0722">
      <w:rPr>
        <w:lang w:val="en-GB"/>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62"/>
    <w:rsid w:val="00016AC5"/>
    <w:rsid w:val="00024207"/>
    <w:rsid w:val="00030ADE"/>
    <w:rsid w:val="000312C0"/>
    <w:rsid w:val="0003527A"/>
    <w:rsid w:val="00062597"/>
    <w:rsid w:val="0006515F"/>
    <w:rsid w:val="0008724E"/>
    <w:rsid w:val="0008746F"/>
    <w:rsid w:val="000964C7"/>
    <w:rsid w:val="000B17A6"/>
    <w:rsid w:val="000B34CA"/>
    <w:rsid w:val="000B6B7F"/>
    <w:rsid w:val="000C27E5"/>
    <w:rsid w:val="000C4A1E"/>
    <w:rsid w:val="000D32DC"/>
    <w:rsid w:val="000E46D5"/>
    <w:rsid w:val="000F383B"/>
    <w:rsid w:val="000F41F2"/>
    <w:rsid w:val="0010236A"/>
    <w:rsid w:val="00105BCB"/>
    <w:rsid w:val="00111725"/>
    <w:rsid w:val="00114FDF"/>
    <w:rsid w:val="00132CD4"/>
    <w:rsid w:val="00135C0D"/>
    <w:rsid w:val="00154636"/>
    <w:rsid w:val="00156242"/>
    <w:rsid w:val="00160540"/>
    <w:rsid w:val="0017182C"/>
    <w:rsid w:val="00177007"/>
    <w:rsid w:val="00186EE9"/>
    <w:rsid w:val="00192EEB"/>
    <w:rsid w:val="001A20FB"/>
    <w:rsid w:val="001A3E63"/>
    <w:rsid w:val="001A7900"/>
    <w:rsid w:val="001B1CBF"/>
    <w:rsid w:val="001B5DE9"/>
    <w:rsid w:val="001B6F40"/>
    <w:rsid w:val="001B796A"/>
    <w:rsid w:val="001D1E8E"/>
    <w:rsid w:val="001D7F8A"/>
    <w:rsid w:val="001E1776"/>
    <w:rsid w:val="001E3FEB"/>
    <w:rsid w:val="001E4A02"/>
    <w:rsid w:val="001E5E98"/>
    <w:rsid w:val="0020004D"/>
    <w:rsid w:val="00223B89"/>
    <w:rsid w:val="00225A8C"/>
    <w:rsid w:val="00232C61"/>
    <w:rsid w:val="002659F1"/>
    <w:rsid w:val="00266771"/>
    <w:rsid w:val="00271C7C"/>
    <w:rsid w:val="0027701A"/>
    <w:rsid w:val="00284851"/>
    <w:rsid w:val="00287E79"/>
    <w:rsid w:val="00292175"/>
    <w:rsid w:val="00292681"/>
    <w:rsid w:val="002928F9"/>
    <w:rsid w:val="002A5D07"/>
    <w:rsid w:val="002C054D"/>
    <w:rsid w:val="002C4F5D"/>
    <w:rsid w:val="002E67FA"/>
    <w:rsid w:val="003016B7"/>
    <w:rsid w:val="00330F9C"/>
    <w:rsid w:val="003357FD"/>
    <w:rsid w:val="00340C35"/>
    <w:rsid w:val="003515AA"/>
    <w:rsid w:val="00367E6A"/>
    <w:rsid w:val="00370E0F"/>
    <w:rsid w:val="00374106"/>
    <w:rsid w:val="003976D5"/>
    <w:rsid w:val="003D1DF3"/>
    <w:rsid w:val="003D46A7"/>
    <w:rsid w:val="003D6C68"/>
    <w:rsid w:val="003D76E4"/>
    <w:rsid w:val="004106DE"/>
    <w:rsid w:val="00414425"/>
    <w:rsid w:val="004159D0"/>
    <w:rsid w:val="00416E1E"/>
    <w:rsid w:val="004249E7"/>
    <w:rsid w:val="00426DA1"/>
    <w:rsid w:val="00434168"/>
    <w:rsid w:val="00497A70"/>
    <w:rsid w:val="004A2798"/>
    <w:rsid w:val="004D53B7"/>
    <w:rsid w:val="004E078A"/>
    <w:rsid w:val="004E3E52"/>
    <w:rsid w:val="004E6F54"/>
    <w:rsid w:val="005013A9"/>
    <w:rsid w:val="00523140"/>
    <w:rsid w:val="00537228"/>
    <w:rsid w:val="0053781F"/>
    <w:rsid w:val="00543D5E"/>
    <w:rsid w:val="00550C44"/>
    <w:rsid w:val="00556031"/>
    <w:rsid w:val="00567B10"/>
    <w:rsid w:val="00571F41"/>
    <w:rsid w:val="0059410B"/>
    <w:rsid w:val="00595BE4"/>
    <w:rsid w:val="005A1DAA"/>
    <w:rsid w:val="005B738F"/>
    <w:rsid w:val="005B76A3"/>
    <w:rsid w:val="005E5D1F"/>
    <w:rsid w:val="00603391"/>
    <w:rsid w:val="006049FD"/>
    <w:rsid w:val="00611D43"/>
    <w:rsid w:val="00612D48"/>
    <w:rsid w:val="006133F6"/>
    <w:rsid w:val="0061470D"/>
    <w:rsid w:val="00616B45"/>
    <w:rsid w:val="00630D9B"/>
    <w:rsid w:val="00631953"/>
    <w:rsid w:val="00631DB2"/>
    <w:rsid w:val="006439EC"/>
    <w:rsid w:val="00693B4B"/>
    <w:rsid w:val="0069400C"/>
    <w:rsid w:val="006A047B"/>
    <w:rsid w:val="006B4590"/>
    <w:rsid w:val="006C340C"/>
    <w:rsid w:val="006D6A2C"/>
    <w:rsid w:val="006E5FC7"/>
    <w:rsid w:val="006F6582"/>
    <w:rsid w:val="0070347C"/>
    <w:rsid w:val="007176C1"/>
    <w:rsid w:val="007250F1"/>
    <w:rsid w:val="00733777"/>
    <w:rsid w:val="007454B1"/>
    <w:rsid w:val="00762343"/>
    <w:rsid w:val="00763762"/>
    <w:rsid w:val="007829E7"/>
    <w:rsid w:val="00783F37"/>
    <w:rsid w:val="00790F2F"/>
    <w:rsid w:val="007A038D"/>
    <w:rsid w:val="007A3A31"/>
    <w:rsid w:val="007A6076"/>
    <w:rsid w:val="007E3EA0"/>
    <w:rsid w:val="007F4F16"/>
    <w:rsid w:val="007F55CB"/>
    <w:rsid w:val="00812C1A"/>
    <w:rsid w:val="0082323D"/>
    <w:rsid w:val="008317F6"/>
    <w:rsid w:val="00835804"/>
    <w:rsid w:val="00844750"/>
    <w:rsid w:val="008A579D"/>
    <w:rsid w:val="008B44C4"/>
    <w:rsid w:val="008B7879"/>
    <w:rsid w:val="008C2211"/>
    <w:rsid w:val="008C3908"/>
    <w:rsid w:val="008C5C5D"/>
    <w:rsid w:val="008D249B"/>
    <w:rsid w:val="008D3919"/>
    <w:rsid w:val="008E7FAE"/>
    <w:rsid w:val="00911BF7"/>
    <w:rsid w:val="00925F79"/>
    <w:rsid w:val="00926E87"/>
    <w:rsid w:val="00945745"/>
    <w:rsid w:val="00950F28"/>
    <w:rsid w:val="00952FDB"/>
    <w:rsid w:val="009765D1"/>
    <w:rsid w:val="00977CDA"/>
    <w:rsid w:val="00977EC8"/>
    <w:rsid w:val="009902D2"/>
    <w:rsid w:val="009B18A3"/>
    <w:rsid w:val="009C09C1"/>
    <w:rsid w:val="009D3A8C"/>
    <w:rsid w:val="009E01B8"/>
    <w:rsid w:val="009E1285"/>
    <w:rsid w:val="009E3C4D"/>
    <w:rsid w:val="009E7956"/>
    <w:rsid w:val="00A14436"/>
    <w:rsid w:val="00A1547F"/>
    <w:rsid w:val="00A16010"/>
    <w:rsid w:val="00A2492E"/>
    <w:rsid w:val="00A30267"/>
    <w:rsid w:val="00A31B9C"/>
    <w:rsid w:val="00A31F07"/>
    <w:rsid w:val="00A41235"/>
    <w:rsid w:val="00A446D3"/>
    <w:rsid w:val="00A70163"/>
    <w:rsid w:val="00A772B2"/>
    <w:rsid w:val="00A80554"/>
    <w:rsid w:val="00A82D83"/>
    <w:rsid w:val="00AA72C3"/>
    <w:rsid w:val="00AC67A1"/>
    <w:rsid w:val="00AC7977"/>
    <w:rsid w:val="00AE352C"/>
    <w:rsid w:val="00AE4888"/>
    <w:rsid w:val="00B12A7D"/>
    <w:rsid w:val="00B22DDB"/>
    <w:rsid w:val="00B32E2D"/>
    <w:rsid w:val="00B4466B"/>
    <w:rsid w:val="00B550B7"/>
    <w:rsid w:val="00B6125A"/>
    <w:rsid w:val="00B61990"/>
    <w:rsid w:val="00B6602A"/>
    <w:rsid w:val="00B67077"/>
    <w:rsid w:val="00B85D99"/>
    <w:rsid w:val="00B93E72"/>
    <w:rsid w:val="00B94939"/>
    <w:rsid w:val="00BA1479"/>
    <w:rsid w:val="00BC0D99"/>
    <w:rsid w:val="00BF0556"/>
    <w:rsid w:val="00BF06B0"/>
    <w:rsid w:val="00BF69D2"/>
    <w:rsid w:val="00C124D1"/>
    <w:rsid w:val="00C24B53"/>
    <w:rsid w:val="00C261F8"/>
    <w:rsid w:val="00C33100"/>
    <w:rsid w:val="00C372C7"/>
    <w:rsid w:val="00C50BF6"/>
    <w:rsid w:val="00C940E9"/>
    <w:rsid w:val="00CA7BAD"/>
    <w:rsid w:val="00CB6267"/>
    <w:rsid w:val="00CC3BA9"/>
    <w:rsid w:val="00CD1A71"/>
    <w:rsid w:val="00CD1FBB"/>
    <w:rsid w:val="00D016B5"/>
    <w:rsid w:val="00D034F1"/>
    <w:rsid w:val="00D11B17"/>
    <w:rsid w:val="00D27D5E"/>
    <w:rsid w:val="00D56B3F"/>
    <w:rsid w:val="00D60301"/>
    <w:rsid w:val="00D96BDA"/>
    <w:rsid w:val="00DA15BB"/>
    <w:rsid w:val="00DA57D4"/>
    <w:rsid w:val="00DB4793"/>
    <w:rsid w:val="00DC0722"/>
    <w:rsid w:val="00DC76B4"/>
    <w:rsid w:val="00DD4D6A"/>
    <w:rsid w:val="00DE01E3"/>
    <w:rsid w:val="00DE0CF9"/>
    <w:rsid w:val="00DE6D90"/>
    <w:rsid w:val="00DF002F"/>
    <w:rsid w:val="00E0244D"/>
    <w:rsid w:val="00E55D71"/>
    <w:rsid w:val="00E700F1"/>
    <w:rsid w:val="00E77B99"/>
    <w:rsid w:val="00E81E94"/>
    <w:rsid w:val="00E82607"/>
    <w:rsid w:val="00E86C78"/>
    <w:rsid w:val="00E9147E"/>
    <w:rsid w:val="00EA31C2"/>
    <w:rsid w:val="00EE2EA3"/>
    <w:rsid w:val="00EF35C8"/>
    <w:rsid w:val="00F01516"/>
    <w:rsid w:val="00F03B76"/>
    <w:rsid w:val="00F31631"/>
    <w:rsid w:val="00F424FC"/>
    <w:rsid w:val="00F54430"/>
    <w:rsid w:val="00F57129"/>
    <w:rsid w:val="00FA5A79"/>
    <w:rsid w:val="00FA6422"/>
    <w:rsid w:val="00FB00CB"/>
    <w:rsid w:val="00FB0BFE"/>
    <w:rsid w:val="00FB35EB"/>
    <w:rsid w:val="00FB4C51"/>
    <w:rsid w:val="00FC5203"/>
    <w:rsid w:val="00FD0ED0"/>
    <w:rsid w:val="00FD60CD"/>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qFormat/>
    <w:rsid w:val="000964C7"/>
    <w:pPr>
      <w:keepNext/>
      <w:keepLines/>
      <w:spacing w:after="0" w:line="240" w:lineRule="auto"/>
      <w:ind w:right="0"/>
      <w:jc w:val="left"/>
      <w:outlineLvl w:val="0"/>
    </w:pPr>
  </w:style>
  <w:style w:type="paragraph" w:styleId="Titre2">
    <w:name w:val="heading 2"/>
    <w:basedOn w:val="Normal"/>
    <w:next w:val="Normal"/>
    <w:qFormat/>
    <w:rsid w:val="000964C7"/>
    <w:pPr>
      <w:outlineLvl w:val="1"/>
    </w:pPr>
  </w:style>
  <w:style w:type="paragraph" w:styleId="Titre3">
    <w:name w:val="heading 3"/>
    <w:basedOn w:val="Normal"/>
    <w:next w:val="Normal"/>
    <w:qFormat/>
    <w:rsid w:val="000964C7"/>
    <w:pPr>
      <w:outlineLvl w:val="2"/>
    </w:pPr>
  </w:style>
  <w:style w:type="paragraph" w:styleId="Titre4">
    <w:name w:val="heading 4"/>
    <w:basedOn w:val="Normal"/>
    <w:next w:val="Normal"/>
    <w:qFormat/>
    <w:rsid w:val="000964C7"/>
    <w:pPr>
      <w:outlineLvl w:val="3"/>
    </w:pPr>
  </w:style>
  <w:style w:type="paragraph" w:styleId="Titre5">
    <w:name w:val="heading 5"/>
    <w:basedOn w:val="Normal"/>
    <w:next w:val="Normal"/>
    <w:qFormat/>
    <w:rsid w:val="000964C7"/>
    <w:pPr>
      <w:outlineLvl w:val="4"/>
    </w:pPr>
  </w:style>
  <w:style w:type="paragraph" w:styleId="Titre6">
    <w:name w:val="heading 6"/>
    <w:basedOn w:val="Normal"/>
    <w:next w:val="Normal"/>
    <w:qFormat/>
    <w:rsid w:val="000964C7"/>
    <w:pPr>
      <w:outlineLvl w:val="5"/>
    </w:pPr>
  </w:style>
  <w:style w:type="paragraph" w:styleId="Titre7">
    <w:name w:val="heading 7"/>
    <w:basedOn w:val="Normal"/>
    <w:next w:val="Normal"/>
    <w:qFormat/>
    <w:rsid w:val="000964C7"/>
    <w:pPr>
      <w:outlineLvl w:val="6"/>
    </w:pPr>
  </w:style>
  <w:style w:type="paragraph" w:styleId="Titre8">
    <w:name w:val="heading 8"/>
    <w:basedOn w:val="Normal"/>
    <w:next w:val="Normal"/>
    <w:qFormat/>
    <w:rsid w:val="000964C7"/>
    <w:pPr>
      <w:outlineLvl w:val="7"/>
    </w:pPr>
  </w:style>
  <w:style w:type="paragraph" w:styleId="Titre9">
    <w:name w:val="heading 9"/>
    <w:basedOn w:val="Normal"/>
    <w:next w:val="Normal"/>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rsid w:val="000964C7"/>
    <w:rPr>
      <w:rFonts w:ascii="Times New Roman" w:hAnsi="Times New Roman"/>
      <w:sz w:val="18"/>
      <w:vertAlign w:val="superscript"/>
      <w:lang w:val="fr-CH"/>
    </w:rPr>
  </w:style>
  <w:style w:type="character" w:styleId="Appeldenotedefin">
    <w:name w:val="endnote reference"/>
    <w:aliases w:val="1_G"/>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
    <w:basedOn w:val="Normal"/>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HChGChar">
    <w:name w:val="_ H _Ch_G Char"/>
    <w:link w:val="HChG"/>
    <w:rsid w:val="003357FD"/>
    <w:rPr>
      <w:b/>
      <w:sz w:val="28"/>
      <w:lang w:val="fr-CH" w:eastAsia="en-US"/>
    </w:rPr>
  </w:style>
  <w:style w:type="paragraph" w:styleId="Textedebulles">
    <w:name w:val="Balloon Text"/>
    <w:basedOn w:val="Normal"/>
    <w:link w:val="TextedebullesCar"/>
    <w:rsid w:val="0053781F"/>
    <w:pPr>
      <w:spacing w:line="240" w:lineRule="auto"/>
    </w:pPr>
    <w:rPr>
      <w:rFonts w:ascii="Tahoma" w:hAnsi="Tahoma" w:cs="Tahoma"/>
      <w:sz w:val="16"/>
      <w:szCs w:val="16"/>
    </w:rPr>
  </w:style>
  <w:style w:type="character" w:customStyle="1" w:styleId="TextedebullesCar">
    <w:name w:val="Texte de bulles Car"/>
    <w:link w:val="Textedebulles"/>
    <w:rsid w:val="0053781F"/>
    <w:rPr>
      <w:rFonts w:ascii="Tahoma" w:hAnsi="Tahoma" w:cs="Tahoma"/>
      <w:sz w:val="16"/>
      <w:szCs w:val="16"/>
      <w:lang w:val="fr-CH" w:eastAsia="en-US"/>
    </w:rPr>
  </w:style>
  <w:style w:type="paragraph" w:styleId="PrformatHTML">
    <w:name w:val="HTML Preformatted"/>
    <w:basedOn w:val="Normal"/>
    <w:link w:val="PrformatHTMLCar"/>
    <w:uiPriority w:val="99"/>
    <w:unhideWhenUsed/>
    <w:rsid w:val="00A8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A82D83"/>
    <w:rPr>
      <w:rFonts w:ascii="Courier New" w:hAnsi="Courier New" w:cs="Courier New"/>
    </w:rPr>
  </w:style>
  <w:style w:type="character" w:customStyle="1" w:styleId="SingleTxtGCar">
    <w:name w:val="_ Single Txt_G Car"/>
    <w:link w:val="SingleTxtG"/>
    <w:locked/>
    <w:rsid w:val="00F424F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qFormat/>
    <w:rsid w:val="000964C7"/>
    <w:pPr>
      <w:keepNext/>
      <w:keepLines/>
      <w:spacing w:after="0" w:line="240" w:lineRule="auto"/>
      <w:ind w:right="0"/>
      <w:jc w:val="left"/>
      <w:outlineLvl w:val="0"/>
    </w:pPr>
  </w:style>
  <w:style w:type="paragraph" w:styleId="Titre2">
    <w:name w:val="heading 2"/>
    <w:basedOn w:val="Normal"/>
    <w:next w:val="Normal"/>
    <w:qFormat/>
    <w:rsid w:val="000964C7"/>
    <w:pPr>
      <w:outlineLvl w:val="1"/>
    </w:pPr>
  </w:style>
  <w:style w:type="paragraph" w:styleId="Titre3">
    <w:name w:val="heading 3"/>
    <w:basedOn w:val="Normal"/>
    <w:next w:val="Normal"/>
    <w:qFormat/>
    <w:rsid w:val="000964C7"/>
    <w:pPr>
      <w:outlineLvl w:val="2"/>
    </w:pPr>
  </w:style>
  <w:style w:type="paragraph" w:styleId="Titre4">
    <w:name w:val="heading 4"/>
    <w:basedOn w:val="Normal"/>
    <w:next w:val="Normal"/>
    <w:qFormat/>
    <w:rsid w:val="000964C7"/>
    <w:pPr>
      <w:outlineLvl w:val="3"/>
    </w:pPr>
  </w:style>
  <w:style w:type="paragraph" w:styleId="Titre5">
    <w:name w:val="heading 5"/>
    <w:basedOn w:val="Normal"/>
    <w:next w:val="Normal"/>
    <w:qFormat/>
    <w:rsid w:val="000964C7"/>
    <w:pPr>
      <w:outlineLvl w:val="4"/>
    </w:pPr>
  </w:style>
  <w:style w:type="paragraph" w:styleId="Titre6">
    <w:name w:val="heading 6"/>
    <w:basedOn w:val="Normal"/>
    <w:next w:val="Normal"/>
    <w:qFormat/>
    <w:rsid w:val="000964C7"/>
    <w:pPr>
      <w:outlineLvl w:val="5"/>
    </w:pPr>
  </w:style>
  <w:style w:type="paragraph" w:styleId="Titre7">
    <w:name w:val="heading 7"/>
    <w:basedOn w:val="Normal"/>
    <w:next w:val="Normal"/>
    <w:qFormat/>
    <w:rsid w:val="000964C7"/>
    <w:pPr>
      <w:outlineLvl w:val="6"/>
    </w:pPr>
  </w:style>
  <w:style w:type="paragraph" w:styleId="Titre8">
    <w:name w:val="heading 8"/>
    <w:basedOn w:val="Normal"/>
    <w:next w:val="Normal"/>
    <w:qFormat/>
    <w:rsid w:val="000964C7"/>
    <w:pPr>
      <w:outlineLvl w:val="7"/>
    </w:pPr>
  </w:style>
  <w:style w:type="paragraph" w:styleId="Titre9">
    <w:name w:val="heading 9"/>
    <w:basedOn w:val="Normal"/>
    <w:next w:val="Normal"/>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rsid w:val="000964C7"/>
    <w:rPr>
      <w:rFonts w:ascii="Times New Roman" w:hAnsi="Times New Roman"/>
      <w:sz w:val="18"/>
      <w:vertAlign w:val="superscript"/>
      <w:lang w:val="fr-CH"/>
    </w:rPr>
  </w:style>
  <w:style w:type="character" w:styleId="Appeldenotedefin">
    <w:name w:val="endnote reference"/>
    <w:aliases w:val="1_G"/>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
    <w:basedOn w:val="Normal"/>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HChGChar">
    <w:name w:val="_ H _Ch_G Char"/>
    <w:link w:val="HChG"/>
    <w:rsid w:val="003357FD"/>
    <w:rPr>
      <w:b/>
      <w:sz w:val="28"/>
      <w:lang w:val="fr-CH" w:eastAsia="en-US"/>
    </w:rPr>
  </w:style>
  <w:style w:type="paragraph" w:styleId="Textedebulles">
    <w:name w:val="Balloon Text"/>
    <w:basedOn w:val="Normal"/>
    <w:link w:val="TextedebullesCar"/>
    <w:rsid w:val="0053781F"/>
    <w:pPr>
      <w:spacing w:line="240" w:lineRule="auto"/>
    </w:pPr>
    <w:rPr>
      <w:rFonts w:ascii="Tahoma" w:hAnsi="Tahoma" w:cs="Tahoma"/>
      <w:sz w:val="16"/>
      <w:szCs w:val="16"/>
    </w:rPr>
  </w:style>
  <w:style w:type="character" w:customStyle="1" w:styleId="TextedebullesCar">
    <w:name w:val="Texte de bulles Car"/>
    <w:link w:val="Textedebulles"/>
    <w:rsid w:val="0053781F"/>
    <w:rPr>
      <w:rFonts w:ascii="Tahoma" w:hAnsi="Tahoma" w:cs="Tahoma"/>
      <w:sz w:val="16"/>
      <w:szCs w:val="16"/>
      <w:lang w:val="fr-CH" w:eastAsia="en-US"/>
    </w:rPr>
  </w:style>
  <w:style w:type="paragraph" w:styleId="PrformatHTML">
    <w:name w:val="HTML Preformatted"/>
    <w:basedOn w:val="Normal"/>
    <w:link w:val="PrformatHTMLCar"/>
    <w:uiPriority w:val="99"/>
    <w:unhideWhenUsed/>
    <w:rsid w:val="00A8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A82D83"/>
    <w:rPr>
      <w:rFonts w:ascii="Courier New" w:hAnsi="Courier New" w:cs="Courier New"/>
    </w:rPr>
  </w:style>
  <w:style w:type="character" w:customStyle="1" w:styleId="SingleTxtGCar">
    <w:name w:val="_ Single Txt_G Car"/>
    <w:link w:val="SingleTxtG"/>
    <w:locked/>
    <w:rsid w:val="00F424F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6563">
      <w:bodyDiv w:val="1"/>
      <w:marLeft w:val="0"/>
      <w:marRight w:val="0"/>
      <w:marTop w:val="0"/>
      <w:marBottom w:val="0"/>
      <w:divBdr>
        <w:top w:val="none" w:sz="0" w:space="0" w:color="auto"/>
        <w:left w:val="none" w:sz="0" w:space="0" w:color="auto"/>
        <w:bottom w:val="none" w:sz="0" w:space="0" w:color="auto"/>
        <w:right w:val="none" w:sz="0" w:space="0" w:color="auto"/>
      </w:divBdr>
    </w:div>
    <w:div w:id="424225196">
      <w:bodyDiv w:val="1"/>
      <w:marLeft w:val="0"/>
      <w:marRight w:val="0"/>
      <w:marTop w:val="0"/>
      <w:marBottom w:val="0"/>
      <w:divBdr>
        <w:top w:val="none" w:sz="0" w:space="0" w:color="auto"/>
        <w:left w:val="none" w:sz="0" w:space="0" w:color="auto"/>
        <w:bottom w:val="none" w:sz="0" w:space="0" w:color="auto"/>
        <w:right w:val="none" w:sz="0" w:space="0" w:color="auto"/>
      </w:divBdr>
    </w:div>
    <w:div w:id="955916119">
      <w:bodyDiv w:val="1"/>
      <w:marLeft w:val="0"/>
      <w:marRight w:val="0"/>
      <w:marTop w:val="0"/>
      <w:marBottom w:val="0"/>
      <w:divBdr>
        <w:top w:val="none" w:sz="0" w:space="0" w:color="auto"/>
        <w:left w:val="none" w:sz="0" w:space="0" w:color="auto"/>
        <w:bottom w:val="none" w:sz="0" w:space="0" w:color="auto"/>
        <w:right w:val="none" w:sz="0" w:space="0" w:color="auto"/>
      </w:divBdr>
    </w:div>
    <w:div w:id="1084767843">
      <w:bodyDiv w:val="1"/>
      <w:marLeft w:val="0"/>
      <w:marRight w:val="0"/>
      <w:marTop w:val="0"/>
      <w:marBottom w:val="0"/>
      <w:divBdr>
        <w:top w:val="none" w:sz="0" w:space="0" w:color="auto"/>
        <w:left w:val="none" w:sz="0" w:space="0" w:color="auto"/>
        <w:bottom w:val="none" w:sz="0" w:space="0" w:color="auto"/>
        <w:right w:val="none" w:sz="0" w:space="0" w:color="auto"/>
      </w:divBdr>
    </w:div>
    <w:div w:id="1289749505">
      <w:bodyDiv w:val="1"/>
      <w:marLeft w:val="0"/>
      <w:marRight w:val="0"/>
      <w:marTop w:val="0"/>
      <w:marBottom w:val="0"/>
      <w:divBdr>
        <w:top w:val="none" w:sz="0" w:space="0" w:color="auto"/>
        <w:left w:val="none" w:sz="0" w:space="0" w:color="auto"/>
        <w:bottom w:val="none" w:sz="0" w:space="0" w:color="auto"/>
        <w:right w:val="none" w:sz="0" w:space="0" w:color="auto"/>
      </w:divBdr>
    </w:div>
    <w:div w:id="1323973762">
      <w:bodyDiv w:val="1"/>
      <w:marLeft w:val="0"/>
      <w:marRight w:val="0"/>
      <w:marTop w:val="0"/>
      <w:marBottom w:val="0"/>
      <w:divBdr>
        <w:top w:val="none" w:sz="0" w:space="0" w:color="auto"/>
        <w:left w:val="none" w:sz="0" w:space="0" w:color="auto"/>
        <w:bottom w:val="none" w:sz="0" w:space="0" w:color="auto"/>
        <w:right w:val="none" w:sz="0" w:space="0" w:color="auto"/>
      </w:divBdr>
    </w:div>
    <w:div w:id="1577124771">
      <w:bodyDiv w:val="1"/>
      <w:marLeft w:val="0"/>
      <w:marRight w:val="0"/>
      <w:marTop w:val="0"/>
      <w:marBottom w:val="0"/>
      <w:divBdr>
        <w:top w:val="none" w:sz="0" w:space="0" w:color="auto"/>
        <w:left w:val="none" w:sz="0" w:space="0" w:color="auto"/>
        <w:bottom w:val="none" w:sz="0" w:space="0" w:color="auto"/>
        <w:right w:val="none" w:sz="0" w:space="0" w:color="auto"/>
      </w:divBdr>
    </w:div>
    <w:div w:id="201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danger/danger.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BF61-53BB-4E50-ACB4-D27CB31B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79</TotalTime>
  <Pages>4</Pages>
  <Words>894</Words>
  <Characters>5102</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5985</CharactersWithSpaces>
  <SharedDoc>false</SharedDoc>
  <HLinks>
    <vt:vector size="6" baseType="variant">
      <vt:variant>
        <vt:i4>65628</vt:i4>
      </vt:variant>
      <vt:variant>
        <vt:i4>0</vt:i4>
      </vt:variant>
      <vt:variant>
        <vt:i4>0</vt:i4>
      </vt:variant>
      <vt:variant>
        <vt:i4>5</vt:i4>
      </vt:variant>
      <vt:variant>
        <vt:lpwstr>http://www.unece.org/trans/danger/danger.htm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Sabrina Mansion</dc:creator>
  <cp:lastModifiedBy>barrio-champeau</cp:lastModifiedBy>
  <cp:revision>13</cp:revision>
  <cp:lastPrinted>2015-01-09T16:19:00Z</cp:lastPrinted>
  <dcterms:created xsi:type="dcterms:W3CDTF">2016-12-28T09:42:00Z</dcterms:created>
  <dcterms:modified xsi:type="dcterms:W3CDTF">2016-12-28T15:24:00Z</dcterms:modified>
</cp:coreProperties>
</file>