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C1F9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C1F9F" w:rsidP="006C1F9F">
            <w:pPr>
              <w:jc w:val="right"/>
            </w:pPr>
            <w:r w:rsidRPr="006C1F9F">
              <w:rPr>
                <w:sz w:val="40"/>
              </w:rPr>
              <w:t>ECE</w:t>
            </w:r>
            <w:r>
              <w:t>/TRANS/WP.15/237</w:t>
            </w:r>
          </w:p>
        </w:tc>
      </w:tr>
      <w:tr w:rsidR="002D5AAC" w:rsidRPr="000B1F7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C1F9F" w:rsidP="00387CD4">
            <w:pPr>
              <w:spacing w:before="240"/>
              <w:rPr>
                <w:lang w:val="en-US"/>
              </w:rPr>
            </w:pPr>
            <w:r>
              <w:rPr>
                <w:lang w:val="en-US"/>
              </w:rPr>
              <w:t>Distr.: General</w:t>
            </w:r>
          </w:p>
          <w:p w:rsidR="006C1F9F" w:rsidRDefault="006C1F9F" w:rsidP="006C1F9F">
            <w:pPr>
              <w:spacing w:line="240" w:lineRule="exact"/>
              <w:rPr>
                <w:lang w:val="en-US"/>
              </w:rPr>
            </w:pPr>
            <w:r>
              <w:rPr>
                <w:lang w:val="en-US"/>
              </w:rPr>
              <w:t>2 June 2017</w:t>
            </w:r>
          </w:p>
          <w:p w:rsidR="006C1F9F" w:rsidRDefault="006C1F9F" w:rsidP="006C1F9F">
            <w:pPr>
              <w:spacing w:line="240" w:lineRule="exact"/>
              <w:rPr>
                <w:lang w:val="en-US"/>
              </w:rPr>
            </w:pPr>
            <w:r>
              <w:rPr>
                <w:lang w:val="en-US"/>
              </w:rPr>
              <w:t>Russian</w:t>
            </w:r>
          </w:p>
          <w:p w:rsidR="006C1F9F" w:rsidRPr="008D53B6" w:rsidRDefault="006C1F9F" w:rsidP="006C1F9F">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869BF" w:rsidRPr="002F68AE" w:rsidRDefault="003869BF" w:rsidP="002F68AE">
      <w:pPr>
        <w:spacing w:before="120"/>
        <w:rPr>
          <w:sz w:val="28"/>
          <w:szCs w:val="28"/>
        </w:rPr>
      </w:pPr>
      <w:r w:rsidRPr="002F68AE">
        <w:rPr>
          <w:sz w:val="28"/>
          <w:szCs w:val="28"/>
        </w:rPr>
        <w:t>Комитет по внутреннему транспорту</w:t>
      </w:r>
    </w:p>
    <w:p w:rsidR="003869BF" w:rsidRPr="002F68AE" w:rsidRDefault="003869BF" w:rsidP="002F68AE">
      <w:pPr>
        <w:spacing w:before="120"/>
        <w:rPr>
          <w:b/>
          <w:sz w:val="24"/>
          <w:szCs w:val="24"/>
        </w:rPr>
      </w:pPr>
      <w:r w:rsidRPr="002F68AE">
        <w:rPr>
          <w:b/>
          <w:sz w:val="24"/>
          <w:szCs w:val="24"/>
        </w:rPr>
        <w:t>Рабочая группа по перевозкам опасных грузов</w:t>
      </w:r>
    </w:p>
    <w:p w:rsidR="003869BF" w:rsidRDefault="003869BF" w:rsidP="00A10A6F">
      <w:pPr>
        <w:pStyle w:val="HChGR"/>
      </w:pPr>
      <w:r>
        <w:tab/>
      </w:r>
      <w:r>
        <w:tab/>
        <w:t>Доклад Рабочей группы о работе ее 102-й сессии</w:t>
      </w:r>
      <w:r w:rsidR="00285501">
        <w:t>,</w:t>
      </w:r>
    </w:p>
    <w:p w:rsidR="003869BF" w:rsidRDefault="003869BF" w:rsidP="00A10A6F">
      <w:pPr>
        <w:pStyle w:val="SingleTxtGR"/>
      </w:pPr>
      <w:proofErr w:type="gramStart"/>
      <w:r>
        <w:t>состоявшейся в Женеве 8–11 мая 2017 года</w:t>
      </w:r>
      <w:proofErr w:type="gramEnd"/>
    </w:p>
    <w:p w:rsidR="00A10A6F" w:rsidRDefault="00A10A6F" w:rsidP="001E68A7">
      <w:pPr>
        <w:spacing w:after="120"/>
        <w:rPr>
          <w:sz w:val="28"/>
        </w:rPr>
      </w:pPr>
      <w:r>
        <w:rPr>
          <w:sz w:val="28"/>
        </w:rPr>
        <w:t>Содержание</w:t>
      </w:r>
    </w:p>
    <w:p w:rsidR="00A10A6F" w:rsidRDefault="00A10A6F" w:rsidP="001E68A7">
      <w:pPr>
        <w:tabs>
          <w:tab w:val="right" w:pos="8929"/>
          <w:tab w:val="right" w:pos="9638"/>
        </w:tabs>
        <w:spacing w:after="120"/>
        <w:ind w:left="283"/>
        <w:rPr>
          <w:sz w:val="18"/>
        </w:rPr>
      </w:pPr>
      <w:r>
        <w:rPr>
          <w:i/>
          <w:sz w:val="18"/>
        </w:rPr>
        <w:tab/>
        <w:t>Пункты</w:t>
      </w:r>
      <w:proofErr w:type="gramStart"/>
      <w:r>
        <w:rPr>
          <w:i/>
          <w:sz w:val="18"/>
        </w:rPr>
        <w:tab/>
        <w:t>С</w:t>
      </w:r>
      <w:proofErr w:type="gramEnd"/>
      <w:r>
        <w:rPr>
          <w:i/>
          <w:sz w:val="18"/>
        </w:rPr>
        <w:t>тр.</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t>1–</w:t>
      </w:r>
      <w:r w:rsidR="00CB0D39">
        <w:t>5</w:t>
      </w:r>
      <w:r w:rsidR="00CB0D39">
        <w:tab/>
        <w:t>4</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r>
      <w:r w:rsidR="003869BF">
        <w:t>II.</w:t>
      </w:r>
      <w:r w:rsidR="003869BF">
        <w:tab/>
        <w:t>Утверждение повестки</w:t>
      </w:r>
      <w:r w:rsidR="00CB0D39">
        <w:t xml:space="preserve"> дня (пункт 1 повестки дня)</w:t>
      </w:r>
      <w:r w:rsidR="00CB0D39">
        <w:tab/>
      </w:r>
      <w:r w:rsidR="00CB0D39">
        <w:tab/>
        <w:t>6</w:t>
      </w:r>
      <w:r w:rsidR="00CB0D39">
        <w:tab/>
        <w:t>4</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134" w:hanging="1134"/>
      </w:pPr>
      <w:r>
        <w:tab/>
      </w:r>
      <w:r w:rsidR="003869BF">
        <w:t>III.</w:t>
      </w:r>
      <w:r w:rsidR="003869BF">
        <w:tab/>
        <w:t xml:space="preserve">Семьдесят девятая сессия Комитета по внутреннему транспорту </w:t>
      </w:r>
      <w:r>
        <w:br/>
        <w:t>(пункт 2 повестки дня)</w:t>
      </w:r>
      <w:r>
        <w:tab/>
      </w:r>
      <w:r>
        <w:tab/>
        <w:t>7–</w:t>
      </w:r>
      <w:r w:rsidR="00CB0D39">
        <w:t>13</w:t>
      </w:r>
      <w:r w:rsidR="00CB0D39">
        <w:tab/>
        <w:t>4</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134" w:hanging="1134"/>
      </w:pPr>
      <w:r>
        <w:tab/>
      </w:r>
      <w:r w:rsidR="003869BF">
        <w:t>IV.</w:t>
      </w:r>
      <w:r w:rsidR="003869BF">
        <w:tab/>
        <w:t xml:space="preserve">Состояние Европейского соглашения о международной дорожной </w:t>
      </w:r>
      <w:r>
        <w:br/>
      </w:r>
      <w:r w:rsidR="003869BF">
        <w:t xml:space="preserve">перевозке опасных грузов (ДОПОГ) и связанные с этим вопросы </w:t>
      </w:r>
      <w:r>
        <w:br/>
      </w:r>
      <w:r w:rsidR="003869BF">
        <w:t>(пункт 3 повестки дня)</w:t>
      </w:r>
      <w:r w:rsidR="003869BF">
        <w:tab/>
      </w:r>
      <w:r w:rsidR="003869BF">
        <w:tab/>
        <w:t>14</w:t>
      </w:r>
      <w:r w:rsidRPr="005E1F8E">
        <w:t>–</w:t>
      </w:r>
      <w:r w:rsidR="00CB0D39">
        <w:t>15</w:t>
      </w:r>
      <w:r w:rsidR="00CB0D39">
        <w:tab/>
        <w:t>5</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559" w:hanging="1559"/>
      </w:pPr>
      <w:r>
        <w:tab/>
      </w:r>
      <w:r>
        <w:tab/>
      </w:r>
      <w:r w:rsidR="003869BF">
        <w:t>A.</w:t>
      </w:r>
      <w:r w:rsidR="003869BF">
        <w:tab/>
        <w:t xml:space="preserve">Состояние Соглашения и Протокола о внесении поправок </w:t>
      </w:r>
      <w:r>
        <w:br/>
      </w:r>
      <w:r w:rsidR="00CB0D39">
        <w:t>1993 года</w:t>
      </w:r>
      <w:r w:rsidR="00CB0D39">
        <w:tab/>
      </w:r>
      <w:r w:rsidR="00CB0D39">
        <w:tab/>
        <w:t>14</w:t>
      </w:r>
      <w:r w:rsidR="00CB0D39">
        <w:tab/>
        <w:t>5</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r>
      <w:r>
        <w:tab/>
      </w:r>
      <w:r w:rsidR="003869BF">
        <w:t>B.</w:t>
      </w:r>
      <w:r w:rsidR="003869BF">
        <w:tab/>
        <w:t>Исправления</w:t>
      </w:r>
      <w:r w:rsidR="00CB0D39">
        <w:t xml:space="preserve"> к изданию ДОПОГ 2017 года</w:t>
      </w:r>
      <w:r w:rsidR="00CB0D39">
        <w:tab/>
      </w:r>
      <w:r w:rsidR="00CB0D39">
        <w:tab/>
        <w:t>15</w:t>
      </w:r>
      <w:r w:rsidR="00CB0D39">
        <w:tab/>
        <w:t>5</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134" w:hanging="1134"/>
      </w:pPr>
      <w:r>
        <w:tab/>
        <w:t>V.</w:t>
      </w:r>
      <w:r>
        <w:tab/>
      </w:r>
      <w:r w:rsidR="003869BF">
        <w:t xml:space="preserve">Работа Совместного совещания МПОГ/ДОПОГ/ВОПОГ </w:t>
      </w:r>
      <w:r>
        <w:br/>
      </w:r>
      <w:r w:rsidR="003869BF">
        <w:t>(пункт 4 повестки дня)</w:t>
      </w:r>
      <w:r w:rsidR="003869BF">
        <w:tab/>
      </w:r>
      <w:r w:rsidR="003869BF">
        <w:tab/>
        <w:t>16</w:t>
      </w:r>
      <w:r w:rsidRPr="005E1F8E">
        <w:t>–</w:t>
      </w:r>
      <w:r w:rsidR="00CB0D39">
        <w:t>19</w:t>
      </w:r>
      <w:r w:rsidR="00CB0D39">
        <w:tab/>
        <w:t>6</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559" w:hanging="1559"/>
      </w:pPr>
      <w:r>
        <w:tab/>
      </w:r>
      <w:r>
        <w:tab/>
      </w:r>
      <w:r w:rsidR="003869BF">
        <w:t>A.</w:t>
      </w:r>
      <w:r w:rsidR="003869BF">
        <w:tab/>
        <w:t xml:space="preserve">Поправки, предложенные Совместным совещанием </w:t>
      </w:r>
      <w:r>
        <w:t>на его</w:t>
      </w:r>
      <w:r>
        <w:br/>
      </w:r>
      <w:r w:rsidR="003869BF">
        <w:t>осенней сессии 2016 года и его весенней сессии 2017 года</w:t>
      </w:r>
      <w:r w:rsidR="003869BF">
        <w:tab/>
      </w:r>
      <w:r w:rsidR="003869BF">
        <w:tab/>
        <w:t>16</w:t>
      </w:r>
      <w:r w:rsidRPr="005E1F8E">
        <w:t>–</w:t>
      </w:r>
      <w:r w:rsidR="00CB0D39">
        <w:t>17</w:t>
      </w:r>
      <w:r w:rsidR="00CB0D39">
        <w:tab/>
        <w:t>6</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559" w:hanging="1559"/>
      </w:pPr>
      <w:r>
        <w:tab/>
      </w:r>
      <w:r>
        <w:tab/>
      </w:r>
      <w:r w:rsidR="003869BF">
        <w:t>B.</w:t>
      </w:r>
      <w:r w:rsidR="003869BF">
        <w:tab/>
        <w:t xml:space="preserve">Исправления, предложенные Совместным совещанием на его </w:t>
      </w:r>
      <w:r>
        <w:br/>
        <w:t>весенней сессии 2017 года</w:t>
      </w:r>
      <w:r>
        <w:tab/>
      </w:r>
      <w:r>
        <w:tab/>
        <w:t>18–</w:t>
      </w:r>
      <w:r w:rsidR="00CB0D39">
        <w:t>19</w:t>
      </w:r>
      <w:r w:rsidR="00CB0D39">
        <w:tab/>
        <w:t>6</w:t>
      </w:r>
    </w:p>
    <w:p w:rsidR="003869BF" w:rsidRDefault="005E1F8E" w:rsidP="005E1F8E">
      <w:pPr>
        <w:tabs>
          <w:tab w:val="right" w:pos="850"/>
          <w:tab w:val="left" w:pos="1134"/>
          <w:tab w:val="left" w:pos="1559"/>
          <w:tab w:val="left" w:pos="1984"/>
          <w:tab w:val="left" w:leader="dot" w:pos="7654"/>
          <w:tab w:val="right" w:pos="8929"/>
          <w:tab w:val="right" w:pos="9638"/>
        </w:tabs>
        <w:spacing w:after="120"/>
        <w:ind w:left="1134" w:hanging="1134"/>
      </w:pPr>
      <w:r>
        <w:tab/>
      </w:r>
      <w:r w:rsidR="003869BF">
        <w:t>VI.</w:t>
      </w:r>
      <w:r w:rsidR="003869BF">
        <w:tab/>
        <w:t xml:space="preserve">Предложения о внесении поправок в приложения A и B к ДОПОГ </w:t>
      </w:r>
      <w:r>
        <w:br/>
      </w:r>
      <w:r w:rsidR="003869BF">
        <w:t>(пункт 5 повестки дня)</w:t>
      </w:r>
      <w:r w:rsidR="003869BF">
        <w:tab/>
      </w:r>
      <w:r w:rsidR="003869BF">
        <w:tab/>
        <w:t>20</w:t>
      </w:r>
      <w:r w:rsidRPr="005E1F8E">
        <w:t>–</w:t>
      </w:r>
      <w:r w:rsidR="00CB0D39">
        <w:t>48</w:t>
      </w:r>
      <w:r w:rsidR="00CB0D39">
        <w:tab/>
        <w:t>6</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r>
      <w:r>
        <w:tab/>
      </w:r>
      <w:r w:rsidR="003869BF">
        <w:t>A.</w:t>
      </w:r>
      <w:r w:rsidR="003869BF">
        <w:tab/>
        <w:t>Конструкция и допущение к перевозке транспортных средств</w:t>
      </w:r>
      <w:r w:rsidR="003869BF">
        <w:tab/>
      </w:r>
      <w:r w:rsidR="003869BF">
        <w:tab/>
        <w:t>20</w:t>
      </w:r>
      <w:r w:rsidRPr="005E1F8E">
        <w:t>–</w:t>
      </w:r>
      <w:r w:rsidR="00CB0D39">
        <w:t>30</w:t>
      </w:r>
      <w:r w:rsidR="00CB0D39">
        <w:tab/>
        <w:t>6</w:t>
      </w:r>
    </w:p>
    <w:p w:rsidR="003869BF" w:rsidRDefault="005E1F8E"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rsidR="00DC6C8F">
        <w:tab/>
      </w:r>
      <w:r w:rsidR="003869BF">
        <w:t>1.</w:t>
      </w:r>
      <w:r w:rsidR="003869BF">
        <w:tab/>
        <w:t xml:space="preserve">Толкование требований пункта 9.3.4.2 ДОПОГ </w:t>
      </w:r>
      <w:r>
        <w:br/>
      </w:r>
      <w:r w:rsidR="00DC6C8F">
        <w:t xml:space="preserve">к транспортным </w:t>
      </w:r>
      <w:r w:rsidR="003869BF">
        <w:t>средствам EX/II и EX/III</w:t>
      </w:r>
      <w:r w:rsidR="003869BF">
        <w:tab/>
      </w:r>
      <w:r w:rsidR="003869BF">
        <w:tab/>
        <w:t>20</w:t>
      </w:r>
      <w:r w:rsidRPr="005E1F8E">
        <w:t>–</w:t>
      </w:r>
      <w:r w:rsidR="00CB0D39">
        <w:t>23</w:t>
      </w:r>
      <w:r w:rsidR="00CB0D39">
        <w:tab/>
        <w:t>6</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r>
      <w:r>
        <w:tab/>
      </w:r>
      <w:r w:rsidR="00DC6C8F">
        <w:tab/>
      </w:r>
      <w:r w:rsidR="003869BF">
        <w:t>2.</w:t>
      </w:r>
      <w:r w:rsidR="003869BF">
        <w:tab/>
        <w:t xml:space="preserve">Электрооборудование – </w:t>
      </w:r>
      <w:r>
        <w:t>применение пункта 9.2.2.9.1</w:t>
      </w:r>
      <w:r>
        <w:tab/>
      </w:r>
      <w:r>
        <w:tab/>
        <w:t>24–</w:t>
      </w:r>
      <w:r w:rsidR="00CB0D39">
        <w:t>25</w:t>
      </w:r>
      <w:r w:rsidR="00CB0D39">
        <w:tab/>
        <w:t>7</w:t>
      </w:r>
    </w:p>
    <w:p w:rsidR="003869BF" w:rsidRDefault="005E1F8E" w:rsidP="00A10A6F">
      <w:pPr>
        <w:tabs>
          <w:tab w:val="right" w:pos="850"/>
          <w:tab w:val="left" w:pos="1134"/>
          <w:tab w:val="left" w:pos="1559"/>
          <w:tab w:val="left" w:pos="1984"/>
          <w:tab w:val="left" w:leader="dot" w:pos="7654"/>
          <w:tab w:val="right" w:pos="8929"/>
          <w:tab w:val="right" w:pos="9638"/>
        </w:tabs>
        <w:spacing w:after="120"/>
      </w:pPr>
      <w:r>
        <w:tab/>
      </w:r>
      <w:r>
        <w:tab/>
      </w:r>
      <w:r w:rsidR="00DC6C8F">
        <w:tab/>
      </w:r>
      <w:r w:rsidR="003869BF">
        <w:t>3.</w:t>
      </w:r>
      <w:r w:rsidR="003869BF">
        <w:tab/>
        <w:t>Требования к креплен</w:t>
      </w:r>
      <w:r w:rsidR="00CB0D39">
        <w:t>иям согласно разделу 9.7.3</w:t>
      </w:r>
      <w:r w:rsidR="00CB0D39">
        <w:tab/>
      </w:r>
      <w:r w:rsidR="00CB0D39">
        <w:tab/>
        <w:t>26</w:t>
      </w:r>
      <w:r w:rsidR="00CB0D39">
        <w:tab/>
        <w:t>7</w:t>
      </w:r>
    </w:p>
    <w:p w:rsidR="003869BF" w:rsidRDefault="005E1F8E" w:rsidP="00DC6C8F">
      <w:pPr>
        <w:keepNext/>
        <w:keepLines/>
        <w:tabs>
          <w:tab w:val="right" w:pos="850"/>
          <w:tab w:val="left" w:pos="1134"/>
          <w:tab w:val="left" w:pos="1559"/>
          <w:tab w:val="left" w:pos="1984"/>
          <w:tab w:val="left" w:leader="dot" w:pos="7654"/>
          <w:tab w:val="right" w:pos="8929"/>
          <w:tab w:val="right" w:pos="9638"/>
        </w:tabs>
        <w:spacing w:after="120"/>
        <w:ind w:left="1984" w:hanging="1984"/>
      </w:pPr>
      <w:r>
        <w:lastRenderedPageBreak/>
        <w:tab/>
      </w:r>
      <w:r>
        <w:tab/>
      </w:r>
      <w:r w:rsidR="00DC6C8F">
        <w:tab/>
      </w:r>
      <w:r w:rsidR="003869BF">
        <w:t>4.</w:t>
      </w:r>
      <w:r w:rsidR="003869BF">
        <w:tab/>
        <w:t xml:space="preserve">Освобождение от требования в отношении первого </w:t>
      </w:r>
      <w:r>
        <w:br/>
      </w:r>
      <w:r w:rsidR="00DC6C8F">
        <w:t xml:space="preserve">осмотра </w:t>
      </w:r>
      <w:r w:rsidR="003869BF">
        <w:t>транспортных средств EX/II, EX/III, FL и AT</w:t>
      </w:r>
      <w:r w:rsidR="00DC6C8F">
        <w:br/>
        <w:t xml:space="preserve">и MEMU, </w:t>
      </w:r>
      <w:r w:rsidR="003869BF">
        <w:t xml:space="preserve">тип которых официально утвержден согласно </w:t>
      </w:r>
      <w:r w:rsidR="00DC6C8F">
        <w:br/>
        <w:t>подразделу 9.1.2.2</w:t>
      </w:r>
      <w:r w:rsidR="00285501">
        <w:t xml:space="preserve"> </w:t>
      </w:r>
      <w:r w:rsidR="003869BF">
        <w:t xml:space="preserve">и на которые выдана декларация </w:t>
      </w:r>
      <w:r w:rsidR="00DC6C8F">
        <w:br/>
        <w:t xml:space="preserve">о соответствии требованиям </w:t>
      </w:r>
      <w:r w:rsidR="00CB0D39">
        <w:t>главы 9.2</w:t>
      </w:r>
      <w:r w:rsidR="00CB0D39">
        <w:tab/>
      </w:r>
      <w:r w:rsidR="00CB0D39">
        <w:tab/>
        <w:t>27</w:t>
      </w:r>
      <w:r w:rsidR="00CB0D39">
        <w:tab/>
        <w:t>7</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5.</w:t>
      </w:r>
      <w:r w:rsidR="003869BF">
        <w:tab/>
        <w:t>Поправки к главе 9.2</w:t>
      </w:r>
      <w:r w:rsidR="003869BF">
        <w:tab/>
      </w:r>
      <w:r w:rsidR="003869BF">
        <w:tab/>
        <w:t>28</w:t>
      </w:r>
      <w:r w:rsidRPr="00CB0D39">
        <w:t>–</w:t>
      </w:r>
      <w:r w:rsidR="00CB0D39">
        <w:t>29</w:t>
      </w:r>
      <w:r w:rsidR="00CB0D39">
        <w:tab/>
        <w:t>7</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6.</w:t>
      </w:r>
      <w:r w:rsidR="003869BF">
        <w:tab/>
        <w:t xml:space="preserve">Внесение исправления в Руководящие указания, </w:t>
      </w:r>
      <w:r>
        <w:br/>
        <w:t xml:space="preserve">касающиеся </w:t>
      </w:r>
      <w:r w:rsidR="003869BF">
        <w:t xml:space="preserve">заполнения свидетельства о допущении </w:t>
      </w:r>
      <w:r>
        <w:br/>
        <w:t xml:space="preserve">к перевозке, </w:t>
      </w:r>
      <w:r w:rsidR="003869BF">
        <w:t>предусмотрен</w:t>
      </w:r>
      <w:r w:rsidR="00CB0D39">
        <w:t>ного в разделе 9.1.3 ДОПОГ</w:t>
      </w:r>
      <w:r w:rsidR="00CB0D39">
        <w:tab/>
      </w:r>
      <w:r w:rsidR="00CB0D39">
        <w:tab/>
        <w:t>30</w:t>
      </w:r>
      <w:r w:rsidR="00CB0D39">
        <w:tab/>
        <w:t>7</w:t>
      </w:r>
    </w:p>
    <w:p w:rsidR="003869BF" w:rsidRDefault="00DC6C8F" w:rsidP="00A10A6F">
      <w:pPr>
        <w:tabs>
          <w:tab w:val="right" w:pos="850"/>
          <w:tab w:val="left" w:pos="1134"/>
          <w:tab w:val="left" w:pos="1559"/>
          <w:tab w:val="left" w:pos="1984"/>
          <w:tab w:val="left" w:leader="dot" w:pos="7654"/>
          <w:tab w:val="right" w:pos="8929"/>
          <w:tab w:val="right" w:pos="9638"/>
        </w:tabs>
        <w:spacing w:after="120"/>
      </w:pPr>
      <w:r>
        <w:tab/>
      </w:r>
      <w:r>
        <w:tab/>
        <w:t>B.</w:t>
      </w:r>
      <w:r>
        <w:tab/>
        <w:t>Различные предложения</w:t>
      </w:r>
      <w:r>
        <w:tab/>
      </w:r>
      <w:r>
        <w:tab/>
        <w:t>31–</w:t>
      </w:r>
      <w:r w:rsidR="00CB0D39">
        <w:t>48</w:t>
      </w:r>
      <w:r w:rsidR="00CB0D39">
        <w:tab/>
        <w:t>8</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1.</w:t>
      </w:r>
      <w:r w:rsidR="003869BF">
        <w:tab/>
        <w:t xml:space="preserve">Применение № ООН 3166 и 3171 к транспортным средствам, </w:t>
      </w:r>
      <w:r>
        <w:br/>
      </w:r>
      <w:r w:rsidR="003869BF">
        <w:t xml:space="preserve">перевозимым в качестве груза, и предельные количества </w:t>
      </w:r>
      <w:r>
        <w:br/>
      </w:r>
      <w:r w:rsidR="003869BF">
        <w:t xml:space="preserve">топлива для газожидкостных гибридных двигателей, </w:t>
      </w:r>
      <w:r>
        <w:br/>
      </w:r>
      <w:r w:rsidR="00CB0D39">
        <w:t>перевозимых на прицепах</w:t>
      </w:r>
      <w:r w:rsidR="00CB0D39">
        <w:tab/>
      </w:r>
      <w:r w:rsidR="00CB0D39">
        <w:tab/>
        <w:t>31</w:t>
      </w:r>
      <w:r w:rsidR="00CB0D39">
        <w:tab/>
        <w:t>8</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2.</w:t>
      </w:r>
      <w:r w:rsidR="003869BF">
        <w:tab/>
        <w:t xml:space="preserve">Пункт 5.4.1.1.1 f) и перевозка в соответствии </w:t>
      </w:r>
      <w:r>
        <w:br/>
      </w:r>
      <w:r w:rsidR="00CB0D39">
        <w:t>с подразделом 1.1.3.6</w:t>
      </w:r>
      <w:r w:rsidR="00CB0D39">
        <w:tab/>
      </w:r>
      <w:r w:rsidR="00CB0D39">
        <w:tab/>
        <w:t>32</w:t>
      </w:r>
      <w:r w:rsidR="00CB0D39">
        <w:tab/>
        <w:t>8</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3.</w:t>
      </w:r>
      <w:r w:rsidR="003869BF">
        <w:tab/>
        <w:t xml:space="preserve">Предложение относительно определения перевозки </w:t>
      </w:r>
      <w:r>
        <w:br/>
      </w:r>
      <w:r w:rsidR="003869BF">
        <w:t>частными лицами согласно пункту 1.1.3.1 a)</w:t>
      </w:r>
      <w:r w:rsidR="003869BF">
        <w:tab/>
      </w:r>
      <w:r w:rsidR="003869BF">
        <w:tab/>
        <w:t>33</w:t>
      </w:r>
      <w:r w:rsidRPr="00DC6C8F">
        <w:t>–</w:t>
      </w:r>
      <w:r w:rsidR="00CB0D39">
        <w:t>35</w:t>
      </w:r>
      <w:r w:rsidR="00CB0D39">
        <w:tab/>
        <w:t>8</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4.</w:t>
      </w:r>
      <w:r w:rsidR="003869BF">
        <w:tab/>
        <w:t xml:space="preserve">Ссылка на Кодекс практики ИМО/МОТ/ЕЭК ООН </w:t>
      </w:r>
      <w:r>
        <w:br/>
      </w:r>
      <w:r w:rsidR="003869BF">
        <w:t xml:space="preserve">по укладке грузов в грузовые транспортные единицы </w:t>
      </w:r>
      <w:r>
        <w:br/>
        <w:t>(Кодекс ГТЕ)</w:t>
      </w:r>
      <w:r>
        <w:tab/>
      </w:r>
      <w:r>
        <w:tab/>
        <w:t>36–</w:t>
      </w:r>
      <w:r w:rsidR="00CB0D39">
        <w:t>37</w:t>
      </w:r>
      <w:r w:rsidR="00CB0D39">
        <w:tab/>
        <w:t>8</w:t>
      </w:r>
    </w:p>
    <w:p w:rsidR="003869BF" w:rsidRDefault="00DC6C8F" w:rsidP="00DC6C8F">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5.</w:t>
      </w:r>
      <w:r w:rsidR="003869BF">
        <w:tab/>
        <w:t xml:space="preserve">Увеличение количества взрывчатых веществ </w:t>
      </w:r>
      <w:r>
        <w:br/>
      </w:r>
      <w:r w:rsidR="003869BF">
        <w:t>на транспортную единицу</w:t>
      </w:r>
      <w:r w:rsidR="003869BF">
        <w:tab/>
      </w:r>
      <w:r w:rsidR="003869BF">
        <w:tab/>
        <w:t>38</w:t>
      </w:r>
      <w:r w:rsidRPr="00DC6C8F">
        <w:t>–</w:t>
      </w:r>
      <w:r w:rsidR="00CB0D39">
        <w:t>39</w:t>
      </w:r>
      <w:r w:rsidR="00CB0D39">
        <w:tab/>
        <w:t>9</w:t>
      </w:r>
    </w:p>
    <w:p w:rsidR="003869BF" w:rsidRDefault="00DC6C8F" w:rsidP="000A37C8">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6.</w:t>
      </w:r>
      <w:r w:rsidR="003869BF">
        <w:tab/>
        <w:t xml:space="preserve">Размещение маркировки в виде табличек оранжевого цвета </w:t>
      </w:r>
      <w:r w:rsidR="000A37C8">
        <w:br/>
      </w:r>
      <w:r w:rsidR="003869BF">
        <w:t xml:space="preserve">в случае перевозки в транспортной цепи, включающей </w:t>
      </w:r>
      <w:r w:rsidR="000A37C8">
        <w:br/>
      </w:r>
      <w:r w:rsidR="003869BF">
        <w:t>морс</w:t>
      </w:r>
      <w:r w:rsidR="000A37C8">
        <w:t>кую или воздушную перевозку</w:t>
      </w:r>
      <w:r w:rsidR="000A37C8">
        <w:tab/>
      </w:r>
      <w:r w:rsidR="000A37C8">
        <w:tab/>
        <w:t>40–</w:t>
      </w:r>
      <w:r w:rsidR="00CB0D39">
        <w:t>41</w:t>
      </w:r>
      <w:r w:rsidR="00CB0D39">
        <w:tab/>
        <w:t>9</w:t>
      </w:r>
    </w:p>
    <w:p w:rsidR="003869BF" w:rsidRDefault="00DC6C8F" w:rsidP="000A37C8">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7.</w:t>
      </w:r>
      <w:r w:rsidR="003869BF">
        <w:tab/>
        <w:t xml:space="preserve">Применение ограничений на проезд через туннели </w:t>
      </w:r>
      <w:r w:rsidR="000A37C8">
        <w:br/>
      </w:r>
      <w:r w:rsidR="003869BF">
        <w:t xml:space="preserve">к позициям, предусмотренным для двигателей и машин </w:t>
      </w:r>
      <w:r w:rsidR="000A37C8">
        <w:br/>
        <w:t>под № ООН 3528, 3529 и 3530</w:t>
      </w:r>
      <w:r w:rsidR="000A37C8">
        <w:tab/>
      </w:r>
      <w:r w:rsidR="000A37C8">
        <w:tab/>
        <w:t>42–</w:t>
      </w:r>
      <w:r w:rsidR="00CB0D39">
        <w:t>44</w:t>
      </w:r>
      <w:r w:rsidR="00CB0D39">
        <w:tab/>
        <w:t>9</w:t>
      </w:r>
    </w:p>
    <w:p w:rsidR="003869BF" w:rsidRDefault="00DC6C8F" w:rsidP="000A37C8">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8.</w:t>
      </w:r>
      <w:r w:rsidR="003869BF">
        <w:tab/>
        <w:t>Предложение о поправках к пун</w:t>
      </w:r>
      <w:r w:rsidR="00CB0D39">
        <w:t>ктам 5.3.2.1.4 и 5.3.2.1.6</w:t>
      </w:r>
      <w:r w:rsidR="00CB0D39">
        <w:tab/>
      </w:r>
      <w:r w:rsidR="00CB0D39">
        <w:tab/>
        <w:t>45</w:t>
      </w:r>
      <w:r w:rsidR="00CB0D39">
        <w:tab/>
        <w:t>10</w:t>
      </w:r>
    </w:p>
    <w:p w:rsidR="003869BF" w:rsidRDefault="00DC6C8F" w:rsidP="000A37C8">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9.</w:t>
      </w:r>
      <w:r w:rsidR="003869BF">
        <w:tab/>
        <w:t>По</w:t>
      </w:r>
      <w:r w:rsidR="00CB0D39">
        <w:t>правка к пункту 8.1.2.1 а)</w:t>
      </w:r>
      <w:r w:rsidR="00CB0D39">
        <w:tab/>
      </w:r>
      <w:r w:rsidR="00CB0D39">
        <w:tab/>
        <w:t>46</w:t>
      </w:r>
      <w:r w:rsidR="00CB0D39">
        <w:tab/>
        <w:t>10</w:t>
      </w:r>
    </w:p>
    <w:p w:rsidR="003869BF" w:rsidRDefault="00DC6C8F" w:rsidP="000A37C8">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3869BF">
        <w:t>10.</w:t>
      </w:r>
      <w:r w:rsidR="003869BF">
        <w:tab/>
        <w:t>Исправление к пункту 6.8.2.4.3</w:t>
      </w:r>
      <w:r w:rsidR="003869BF">
        <w:tab/>
      </w:r>
      <w:r w:rsidR="003869BF">
        <w:tab/>
        <w:t>47</w:t>
      </w:r>
      <w:r w:rsidR="000A37C8" w:rsidRPr="00CB0D39">
        <w:t>–</w:t>
      </w:r>
      <w:r w:rsidR="00CB0D39">
        <w:t>48</w:t>
      </w:r>
      <w:r w:rsidR="00CB0D39">
        <w:tab/>
        <w:t>10</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rsidR="003869BF">
        <w:t>VII.</w:t>
      </w:r>
      <w:r w:rsidR="003869BF">
        <w:tab/>
        <w:t>Толкование Д</w:t>
      </w:r>
      <w:r>
        <w:t>ОПОГ (пункт 6 повестки дня)</w:t>
      </w:r>
      <w:r>
        <w:tab/>
      </w:r>
      <w:r>
        <w:tab/>
        <w:t>49–</w:t>
      </w:r>
      <w:r w:rsidR="00CB0D39">
        <w:t>54</w:t>
      </w:r>
      <w:r w:rsidR="00CB0D39">
        <w:tab/>
        <w:t>10</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tab/>
      </w:r>
      <w:r w:rsidR="003869BF">
        <w:t>A.</w:t>
      </w:r>
      <w:r w:rsidR="003869BF">
        <w:tab/>
        <w:t>Информация, указываем</w:t>
      </w:r>
      <w:r>
        <w:t>ая в транспортном документе</w:t>
      </w:r>
      <w:r>
        <w:tab/>
      </w:r>
      <w:r>
        <w:tab/>
        <w:t>49–</w:t>
      </w:r>
      <w:r w:rsidR="00CB0D39">
        <w:t>52</w:t>
      </w:r>
      <w:r w:rsidR="00CB0D39">
        <w:tab/>
        <w:t>10</w:t>
      </w:r>
    </w:p>
    <w:p w:rsidR="003869BF" w:rsidRDefault="000A37C8" w:rsidP="000A37C8">
      <w:pPr>
        <w:tabs>
          <w:tab w:val="right" w:pos="850"/>
          <w:tab w:val="left" w:pos="1134"/>
          <w:tab w:val="left" w:pos="1559"/>
          <w:tab w:val="left" w:pos="1984"/>
          <w:tab w:val="left" w:leader="dot" w:pos="7654"/>
          <w:tab w:val="right" w:pos="8929"/>
          <w:tab w:val="right" w:pos="9638"/>
        </w:tabs>
        <w:spacing w:after="120"/>
        <w:ind w:left="1559" w:hanging="1559"/>
      </w:pPr>
      <w:r>
        <w:tab/>
      </w:r>
      <w:r>
        <w:tab/>
      </w:r>
      <w:r w:rsidR="003869BF">
        <w:t>B.</w:t>
      </w:r>
      <w:r w:rsidR="003869BF">
        <w:tab/>
        <w:t xml:space="preserve">Переходная мера </w:t>
      </w:r>
      <w:r w:rsidR="00593BF6">
        <w:t>«</w:t>
      </w:r>
      <w:r w:rsidR="003869BF">
        <w:t>c</w:t>
      </w:r>
      <w:r w:rsidR="00593BF6">
        <w:t>»</w:t>
      </w:r>
      <w:r w:rsidR="003869BF">
        <w:t xml:space="preserve"> для строки 9.2.2.6, предусмотренная </w:t>
      </w:r>
      <w:r>
        <w:br/>
        <w:t>в таблице в пункте 9.2.1.1</w:t>
      </w:r>
      <w:r>
        <w:tab/>
      </w:r>
      <w:r>
        <w:tab/>
        <w:t>53–</w:t>
      </w:r>
      <w:r w:rsidR="00CB0D39">
        <w:t>54</w:t>
      </w:r>
      <w:r w:rsidR="00CB0D39">
        <w:tab/>
        <w:t>11</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rsidR="003869BF">
        <w:t>VIII.</w:t>
      </w:r>
      <w:r w:rsidR="003869BF">
        <w:tab/>
        <w:t>Программа ра</w:t>
      </w:r>
      <w:r>
        <w:t>боты (пункт 7 повестки дня)</w:t>
      </w:r>
      <w:r>
        <w:tab/>
      </w:r>
      <w:r>
        <w:tab/>
        <w:t>55–</w:t>
      </w:r>
      <w:r w:rsidR="00CB0D39">
        <w:t>62</w:t>
      </w:r>
      <w:r w:rsidR="00CB0D39">
        <w:tab/>
        <w:t>11</w:t>
      </w:r>
    </w:p>
    <w:p w:rsidR="003869BF" w:rsidRDefault="000A37C8" w:rsidP="000A37C8">
      <w:pPr>
        <w:tabs>
          <w:tab w:val="right" w:pos="850"/>
          <w:tab w:val="left" w:pos="1134"/>
          <w:tab w:val="left" w:pos="1559"/>
          <w:tab w:val="left" w:pos="1984"/>
          <w:tab w:val="left" w:leader="dot" w:pos="7654"/>
          <w:tab w:val="right" w:pos="8929"/>
          <w:tab w:val="right" w:pos="9638"/>
        </w:tabs>
        <w:spacing w:after="120"/>
        <w:ind w:left="1559" w:hanging="1559"/>
      </w:pPr>
      <w:r>
        <w:tab/>
      </w:r>
      <w:r>
        <w:tab/>
      </w:r>
      <w:r w:rsidR="00593BF6">
        <w:t>A.</w:t>
      </w:r>
      <w:r w:rsidR="00593BF6">
        <w:tab/>
        <w:t xml:space="preserve">Проект программы работы </w:t>
      </w:r>
      <w:r w:rsidR="003869BF">
        <w:t>и программы со</w:t>
      </w:r>
      <w:r w:rsidR="00CB0D39">
        <w:t xml:space="preserve">вещаний </w:t>
      </w:r>
      <w:r w:rsidR="00593BF6">
        <w:br/>
      </w:r>
      <w:r w:rsidR="00CB0D39">
        <w:t>на</w:t>
      </w:r>
      <w:r w:rsidR="00593BF6" w:rsidRPr="00593BF6">
        <w:t xml:space="preserve"> </w:t>
      </w:r>
      <w:r w:rsidR="00593BF6">
        <w:t>период</w:t>
      </w:r>
      <w:r w:rsidR="00CB0D39">
        <w:t xml:space="preserve"> 2018–2019 год</w:t>
      </w:r>
      <w:r w:rsidR="00593BF6">
        <w:t>ов</w:t>
      </w:r>
      <w:r w:rsidR="00CB0D39">
        <w:tab/>
      </w:r>
      <w:r w:rsidR="00CB0D39">
        <w:tab/>
        <w:t>55</w:t>
      </w:r>
      <w:r w:rsidR="00CB0D39">
        <w:tab/>
        <w:t>11</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tab/>
      </w:r>
      <w:r w:rsidR="003869BF">
        <w:t>B.</w:t>
      </w:r>
      <w:r w:rsidR="003869BF">
        <w:tab/>
        <w:t>103-я сессия</w:t>
      </w:r>
      <w:r w:rsidR="003869BF">
        <w:tab/>
      </w:r>
      <w:r w:rsidR="003869BF">
        <w:tab/>
        <w:t>56</w:t>
      </w:r>
      <w:r w:rsidRPr="00CB0D39">
        <w:t>–</w:t>
      </w:r>
      <w:r w:rsidR="00CB0D39">
        <w:t>59</w:t>
      </w:r>
      <w:r w:rsidR="00CB0D39">
        <w:tab/>
        <w:t>11</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tab/>
        <w:t>C.</w:t>
      </w:r>
      <w:r>
        <w:tab/>
        <w:t>Двухлетние оценки</w:t>
      </w:r>
      <w:r>
        <w:tab/>
      </w:r>
      <w:r>
        <w:tab/>
        <w:t>60–</w:t>
      </w:r>
      <w:r w:rsidR="00CB0D39">
        <w:t>62</w:t>
      </w:r>
      <w:r w:rsidR="00CB0D39">
        <w:tab/>
        <w:t>12</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rsidR="003869BF">
        <w:t>IX.</w:t>
      </w:r>
      <w:r w:rsidR="003869BF">
        <w:tab/>
        <w:t>Прочие</w:t>
      </w:r>
      <w:r w:rsidR="00626F22">
        <w:t xml:space="preserve"> вопросы (пункт 8 повестки дня)</w:t>
      </w:r>
      <w:r w:rsidR="00CB0D39">
        <w:tab/>
      </w:r>
      <w:r w:rsidR="00CB0D39">
        <w:tab/>
        <w:t>63</w:t>
      </w:r>
      <w:r w:rsidR="00CB0D39">
        <w:tab/>
        <w:t>12</w:t>
      </w:r>
    </w:p>
    <w:p w:rsidR="003869BF" w:rsidRDefault="000A37C8" w:rsidP="00A10A6F">
      <w:pPr>
        <w:tabs>
          <w:tab w:val="right" w:pos="850"/>
          <w:tab w:val="left" w:pos="1134"/>
          <w:tab w:val="left" w:pos="1559"/>
          <w:tab w:val="left" w:pos="1984"/>
          <w:tab w:val="left" w:leader="dot" w:pos="7654"/>
          <w:tab w:val="right" w:pos="8929"/>
          <w:tab w:val="right" w:pos="9638"/>
        </w:tabs>
        <w:spacing w:after="120"/>
      </w:pPr>
      <w:r>
        <w:tab/>
      </w:r>
      <w:r w:rsidR="003869BF">
        <w:t>X.</w:t>
      </w:r>
      <w:r w:rsidR="003869BF">
        <w:tab/>
        <w:t>Утверждение доклада (пункт 9 повестки</w:t>
      </w:r>
      <w:r w:rsidR="00CB0D39">
        <w:t xml:space="preserve"> дня)</w:t>
      </w:r>
      <w:r w:rsidR="00CB0D39">
        <w:tab/>
      </w:r>
      <w:r w:rsidR="00CB0D39">
        <w:tab/>
        <w:t>64</w:t>
      </w:r>
      <w:r w:rsidR="00CB0D39">
        <w:tab/>
        <w:t>12</w:t>
      </w:r>
    </w:p>
    <w:p w:rsidR="003869BF" w:rsidRDefault="003869BF" w:rsidP="00626F22">
      <w:pPr>
        <w:pageBreakBefore/>
        <w:tabs>
          <w:tab w:val="right" w:pos="850"/>
          <w:tab w:val="left" w:pos="1134"/>
          <w:tab w:val="left" w:pos="1559"/>
          <w:tab w:val="left" w:pos="1984"/>
          <w:tab w:val="left" w:leader="dot" w:pos="7654"/>
          <w:tab w:val="right" w:pos="8929"/>
          <w:tab w:val="right" w:pos="9638"/>
        </w:tabs>
        <w:spacing w:after="120"/>
      </w:pPr>
      <w:r>
        <w:lastRenderedPageBreak/>
        <w:t>Приложения</w:t>
      </w:r>
    </w:p>
    <w:p w:rsidR="003869BF" w:rsidRDefault="000A37C8" w:rsidP="00626F22">
      <w:pPr>
        <w:tabs>
          <w:tab w:val="right" w:pos="850"/>
          <w:tab w:val="left" w:pos="1134"/>
          <w:tab w:val="left" w:pos="1559"/>
          <w:tab w:val="left" w:pos="1984"/>
          <w:tab w:val="left" w:leader="dot" w:pos="8931"/>
          <w:tab w:val="right" w:pos="9638"/>
        </w:tabs>
        <w:spacing w:after="120"/>
        <w:ind w:left="1134" w:hanging="1134"/>
      </w:pPr>
      <w:r>
        <w:tab/>
      </w:r>
      <w:r w:rsidR="003869BF">
        <w:t>I.</w:t>
      </w:r>
      <w:r w:rsidR="003869BF">
        <w:tab/>
        <w:t>Проекты поправок к приложениям</w:t>
      </w:r>
      <w:proofErr w:type="gramStart"/>
      <w:r w:rsidR="003869BF">
        <w:t xml:space="preserve"> А</w:t>
      </w:r>
      <w:proofErr w:type="gramEnd"/>
      <w:r w:rsidR="003869BF">
        <w:t xml:space="preserve"> и В к ДОПОГ, принятые Рабочей группой </w:t>
      </w:r>
      <w:r w:rsidR="00626F22">
        <w:br/>
      </w:r>
      <w:r w:rsidR="003869BF">
        <w:t>для вступлени</w:t>
      </w:r>
      <w:r w:rsidR="00CB0D39">
        <w:t>я в силу 1 января 2019 года</w:t>
      </w:r>
      <w:r w:rsidR="00CB0D39">
        <w:tab/>
      </w:r>
      <w:r w:rsidR="00CB0D39">
        <w:tab/>
      </w:r>
      <w:r w:rsidR="00CB0D39">
        <w:tab/>
        <w:t>13</w:t>
      </w:r>
    </w:p>
    <w:p w:rsidR="003869BF" w:rsidRPr="00CB0D39" w:rsidRDefault="000A37C8" w:rsidP="00626F22">
      <w:pPr>
        <w:tabs>
          <w:tab w:val="right" w:pos="850"/>
          <w:tab w:val="left" w:pos="1134"/>
          <w:tab w:val="left" w:pos="1559"/>
          <w:tab w:val="left" w:pos="1984"/>
          <w:tab w:val="left" w:leader="dot" w:pos="8931"/>
          <w:tab w:val="right" w:pos="9638"/>
        </w:tabs>
        <w:spacing w:after="120"/>
        <w:ind w:left="1134" w:hanging="1134"/>
      </w:pPr>
      <w:r>
        <w:tab/>
      </w:r>
      <w:r w:rsidR="003869BF">
        <w:t>II.</w:t>
      </w:r>
      <w:r w:rsidR="003869BF">
        <w:tab/>
        <w:t xml:space="preserve">Исправления </w:t>
      </w:r>
      <w:r w:rsidR="00CB0D39">
        <w:t>к приложениям</w:t>
      </w:r>
      <w:proofErr w:type="gramStart"/>
      <w:r w:rsidR="00CB0D39">
        <w:t xml:space="preserve"> А</w:t>
      </w:r>
      <w:proofErr w:type="gramEnd"/>
      <w:r w:rsidR="00CB0D39">
        <w:t xml:space="preserve"> и В к ДОПОГ</w:t>
      </w:r>
      <w:r w:rsidR="00CB0D39">
        <w:tab/>
      </w:r>
      <w:r w:rsidR="00CB0D39">
        <w:tab/>
      </w:r>
      <w:r w:rsidR="00CB0D39">
        <w:tab/>
        <w:t>2</w:t>
      </w:r>
      <w:r w:rsidR="00CB0D39" w:rsidRPr="00CB0D39">
        <w:t>7</w:t>
      </w:r>
    </w:p>
    <w:p w:rsidR="003869BF" w:rsidRDefault="00626F22" w:rsidP="00626F22">
      <w:pPr>
        <w:tabs>
          <w:tab w:val="right" w:pos="850"/>
          <w:tab w:val="left" w:pos="1134"/>
          <w:tab w:val="left" w:pos="1559"/>
          <w:tab w:val="left" w:pos="1984"/>
          <w:tab w:val="left" w:leader="dot" w:pos="8931"/>
          <w:tab w:val="right" w:pos="9638"/>
        </w:tabs>
        <w:spacing w:after="120"/>
        <w:ind w:left="1134" w:hanging="1134"/>
      </w:pPr>
      <w:r>
        <w:tab/>
      </w:r>
      <w:r w:rsidR="003869BF">
        <w:t>III.</w:t>
      </w:r>
      <w:r w:rsidR="003869BF">
        <w:tab/>
        <w:t>Проекты поправок к приложениям</w:t>
      </w:r>
      <w:proofErr w:type="gramStart"/>
      <w:r w:rsidR="003869BF">
        <w:t xml:space="preserve"> А</w:t>
      </w:r>
      <w:proofErr w:type="gramEnd"/>
      <w:r w:rsidR="003869BF">
        <w:t xml:space="preserve"> и В к ДОПОГ, принятые Рабочей группой </w:t>
      </w:r>
      <w:r>
        <w:br/>
      </w:r>
      <w:r w:rsidR="003869BF">
        <w:t>для с</w:t>
      </w:r>
      <w:r w:rsidR="00CB0D39">
        <w:t>корейшего вступления в силу</w:t>
      </w:r>
      <w:r w:rsidR="00CB0D39">
        <w:tab/>
      </w:r>
      <w:r w:rsidR="00CB0D39">
        <w:tab/>
      </w:r>
      <w:r w:rsidR="00CB0D39">
        <w:tab/>
        <w:t>28</w:t>
      </w:r>
    </w:p>
    <w:p w:rsidR="003869BF" w:rsidRDefault="00626F22" w:rsidP="00626F22">
      <w:pPr>
        <w:tabs>
          <w:tab w:val="right" w:pos="850"/>
          <w:tab w:val="left" w:pos="1134"/>
          <w:tab w:val="left" w:pos="1559"/>
          <w:tab w:val="left" w:pos="1984"/>
          <w:tab w:val="left" w:leader="dot" w:pos="8931"/>
          <w:tab w:val="right" w:pos="9638"/>
        </w:tabs>
        <w:spacing w:after="120"/>
        <w:ind w:left="1134" w:hanging="1134"/>
      </w:pPr>
      <w:r>
        <w:tab/>
      </w:r>
      <w:r w:rsidR="003869BF">
        <w:t>IV.</w:t>
      </w:r>
      <w:r w:rsidR="003869BF">
        <w:tab/>
        <w:t xml:space="preserve">Внесение исправлений в Руководящие указания, касающиеся заполнения </w:t>
      </w:r>
      <w:r>
        <w:br/>
      </w:r>
      <w:r w:rsidR="003869BF">
        <w:t>свидетельства о допущении к перевозке, предусмотренного в разделе 9.1.3 ДОПОГ (ECE/TRAN</w:t>
      </w:r>
      <w:r w:rsidR="00CB0D39">
        <w:t>S/WP.15/226, приложение II)</w:t>
      </w:r>
      <w:r w:rsidR="00CB0D39">
        <w:tab/>
      </w:r>
      <w:r w:rsidR="00CB0D39">
        <w:tab/>
      </w:r>
      <w:r w:rsidR="00CB0D39">
        <w:tab/>
        <w:t>30</w:t>
      </w:r>
    </w:p>
    <w:p w:rsidR="003869BF" w:rsidRDefault="00626F22" w:rsidP="00626F22">
      <w:pPr>
        <w:tabs>
          <w:tab w:val="right" w:pos="850"/>
          <w:tab w:val="left" w:pos="1134"/>
          <w:tab w:val="left" w:pos="1559"/>
          <w:tab w:val="left" w:pos="1984"/>
          <w:tab w:val="left" w:leader="dot" w:pos="8931"/>
          <w:tab w:val="right" w:pos="9638"/>
        </w:tabs>
        <w:spacing w:after="120"/>
        <w:ind w:left="1134" w:hanging="1134"/>
      </w:pPr>
      <w:r>
        <w:tab/>
      </w:r>
      <w:r w:rsidR="003869BF">
        <w:t>V.</w:t>
      </w:r>
      <w:r w:rsidR="003869BF">
        <w:tab/>
        <w:t xml:space="preserve">Результаты/виды деятельности для реализации в течение двухгодичного периода </w:t>
      </w:r>
      <w:r>
        <w:br/>
      </w:r>
      <w:r w:rsidR="00CB0D39">
        <w:t>2018–2019 годов</w:t>
      </w:r>
      <w:r w:rsidR="00CB0D39">
        <w:tab/>
      </w:r>
      <w:r w:rsidR="00CB0D39">
        <w:tab/>
      </w:r>
      <w:r w:rsidR="00CB0D39">
        <w:tab/>
        <w:t>31</w:t>
      </w:r>
    </w:p>
    <w:p w:rsidR="003869BF" w:rsidRDefault="00626F22" w:rsidP="00626F22">
      <w:pPr>
        <w:pStyle w:val="HChGR"/>
      </w:pPr>
      <w:r>
        <w:br w:type="page"/>
      </w:r>
      <w:r>
        <w:tab/>
      </w:r>
      <w:r w:rsidR="003869BF">
        <w:t>I.</w:t>
      </w:r>
      <w:r w:rsidR="003869BF">
        <w:tab/>
        <w:t>Участники</w:t>
      </w:r>
    </w:p>
    <w:p w:rsidR="003869BF" w:rsidRDefault="003869BF" w:rsidP="00626F22">
      <w:pPr>
        <w:pStyle w:val="SingleTxtGR"/>
      </w:pPr>
      <w:r>
        <w:t>1.</w:t>
      </w:r>
      <w:r>
        <w:tab/>
        <w:t>Рабочая группа по перевозкам опасных грузов провела свою 102-ю се</w:t>
      </w:r>
      <w:r>
        <w:t>с</w:t>
      </w:r>
      <w:r>
        <w:t>сию 8−11 мая 2017 года под ру</w:t>
      </w:r>
      <w:r w:rsidR="00285501">
        <w:t>ководством Председателя г-на Ж.</w:t>
      </w:r>
      <w:r>
        <w:t xml:space="preserve">А. Франку (Португалия) и заместителя Председателя г-жи А. </w:t>
      </w:r>
      <w:proofErr w:type="spellStart"/>
      <w:r>
        <w:t>Румье</w:t>
      </w:r>
      <w:proofErr w:type="spellEnd"/>
      <w:r>
        <w:t xml:space="preserve"> (Франция).</w:t>
      </w:r>
    </w:p>
    <w:p w:rsidR="003869BF" w:rsidRDefault="003869BF" w:rsidP="00626F22">
      <w:pPr>
        <w:pStyle w:val="SingleTxtGR"/>
      </w:pPr>
      <w:r>
        <w:t>2.</w:t>
      </w:r>
      <w:r>
        <w:tab/>
        <w:t xml:space="preserve">В работе сессии приняли участие представители следующих стран: </w:t>
      </w:r>
      <w:proofErr w:type="gramStart"/>
      <w:r>
        <w:t>А</w:t>
      </w:r>
      <w:r>
        <w:t>в</w:t>
      </w:r>
      <w:r>
        <w:t>стрии, Бельгии, Германии, Дании, Ирландии, Испании, Италии, Латвии, Лю</w:t>
      </w:r>
      <w:r>
        <w:t>к</w:t>
      </w:r>
      <w:r>
        <w:t>сембурга, Мальты, Нидерландов, Норвегии, Польши, Португалии, Российской Федерации, Румынии, Словакии, Соединенного Королевства, Турции, Финля</w:t>
      </w:r>
      <w:r>
        <w:t>н</w:t>
      </w:r>
      <w:r>
        <w:t>дии, Франции, Чешской Республики, Швейцарии и Швеции.</w:t>
      </w:r>
      <w:proofErr w:type="gramEnd"/>
    </w:p>
    <w:p w:rsidR="003869BF" w:rsidRDefault="003869BF" w:rsidP="00626F22">
      <w:pPr>
        <w:pStyle w:val="SingleTxtGR"/>
      </w:pPr>
      <w:r>
        <w:t>3.</w:t>
      </w:r>
      <w:r>
        <w:tab/>
        <w:t>На сессии был представлен Европейский союз.</w:t>
      </w:r>
    </w:p>
    <w:p w:rsidR="003869BF" w:rsidRDefault="003869BF" w:rsidP="00626F22">
      <w:pPr>
        <w:pStyle w:val="SingleTxtGR"/>
      </w:pPr>
      <w:r>
        <w:t>4.</w:t>
      </w:r>
      <w:r>
        <w:tab/>
        <w:t>Была представлена следующая межправительственная организация: Межправительственная организация по международным железнодорожным п</w:t>
      </w:r>
      <w:r>
        <w:t>е</w:t>
      </w:r>
      <w:r>
        <w:t>ревозкам (ОТИФ).</w:t>
      </w:r>
    </w:p>
    <w:p w:rsidR="003869BF" w:rsidRDefault="003869BF" w:rsidP="00626F22">
      <w:pPr>
        <w:pStyle w:val="SingleTxtGR"/>
      </w:pPr>
      <w:r>
        <w:t>5.</w:t>
      </w:r>
      <w:r>
        <w:tab/>
        <w:t>Были представлены следующие неправительственные организации: Е</w:t>
      </w:r>
      <w:r>
        <w:t>в</w:t>
      </w:r>
      <w:r>
        <w:t>ропейская конференция поставщиков топлива (ЕКПТ), Европейский совет х</w:t>
      </w:r>
      <w:r>
        <w:t>и</w:t>
      </w:r>
      <w:r>
        <w:t xml:space="preserve">мической промышленности (ЕСФХП), Международный союз автомобильного транспорта (МСАТ). </w:t>
      </w:r>
    </w:p>
    <w:p w:rsidR="003869BF" w:rsidRDefault="00626F22" w:rsidP="00626F22">
      <w:pPr>
        <w:pStyle w:val="HChGR"/>
      </w:pPr>
      <w:r>
        <w:tab/>
      </w:r>
      <w:r w:rsidR="003869BF">
        <w:t>II.</w:t>
      </w:r>
      <w:r w:rsidR="003869BF">
        <w:tab/>
        <w:t>Утверждение повестки дня (пункт 1 повестки дня)</w:t>
      </w:r>
    </w:p>
    <w:p w:rsidR="003869BF" w:rsidRDefault="003869BF" w:rsidP="00626F22">
      <w:pPr>
        <w:pStyle w:val="SingleTxtGR"/>
      </w:pPr>
      <w:r w:rsidRPr="00A36D80">
        <w:rPr>
          <w:i/>
        </w:rPr>
        <w:t>Документы:</w:t>
      </w:r>
      <w:r>
        <w:tab/>
      </w:r>
      <w:r w:rsidR="00A36D80">
        <w:tab/>
      </w:r>
      <w:r w:rsidR="00A36D80">
        <w:tab/>
      </w:r>
      <w:r w:rsidR="00A36D80">
        <w:tab/>
      </w:r>
      <w:r>
        <w:t>ECE/TRANS/WP.15/236 и Add.1 (секретариат)</w:t>
      </w:r>
    </w:p>
    <w:p w:rsidR="003869BF" w:rsidRDefault="003869BF" w:rsidP="00626F22">
      <w:pPr>
        <w:pStyle w:val="SingleTxtGR"/>
      </w:pPr>
      <w:r w:rsidRPr="00A36D80">
        <w:rPr>
          <w:i/>
        </w:rPr>
        <w:t>Неофициальные документы:</w:t>
      </w:r>
      <w:r>
        <w:tab/>
        <w:t>INF.1, INF.2 и INF.10 (секретариат)</w:t>
      </w:r>
    </w:p>
    <w:p w:rsidR="003869BF" w:rsidRDefault="003869BF" w:rsidP="00626F22">
      <w:pPr>
        <w:pStyle w:val="SingleTxtGR"/>
      </w:pPr>
      <w:r>
        <w:t>6.</w:t>
      </w:r>
      <w:r>
        <w:tab/>
        <w:t>Рабочая группа утвердила подготовленную секретариатом предварител</w:t>
      </w:r>
      <w:r>
        <w:t>ь</w:t>
      </w:r>
      <w:r>
        <w:t>ную повестку дня, измененную в соответствии с неофициальным документом INF.2 с целью учета документов ECE/TRANS/WP.15/2017/11 и ECE/TRANS/</w:t>
      </w:r>
      <w:r w:rsidR="00A36D80">
        <w:br/>
      </w:r>
      <w:r>
        <w:t>WP.15/2017/12 и неофициальных документов INF.1−INF.22.</w:t>
      </w:r>
    </w:p>
    <w:p w:rsidR="003869BF" w:rsidRDefault="00A36D80" w:rsidP="00A36D80">
      <w:pPr>
        <w:pStyle w:val="HChGR"/>
      </w:pPr>
      <w:r>
        <w:tab/>
      </w:r>
      <w:r w:rsidR="003869BF">
        <w:t>III.</w:t>
      </w:r>
      <w:r w:rsidR="003869BF">
        <w:tab/>
        <w:t>Семьдесят девятая сессия Комитета по внутреннему транспорту (пункт 2 повестки дня)</w:t>
      </w:r>
    </w:p>
    <w:p w:rsidR="003869BF" w:rsidRDefault="003869BF" w:rsidP="00626F22">
      <w:pPr>
        <w:pStyle w:val="SingleTxtGR"/>
      </w:pPr>
      <w:r w:rsidRPr="00A36D80">
        <w:rPr>
          <w:i/>
        </w:rPr>
        <w:t>Неофициальные документы:</w:t>
      </w:r>
      <w:r>
        <w:tab/>
        <w:t>INF.9 и INF.22 (секретариат)</w:t>
      </w:r>
    </w:p>
    <w:p w:rsidR="003869BF" w:rsidRDefault="003869BF" w:rsidP="00626F22">
      <w:pPr>
        <w:pStyle w:val="SingleTxtGR"/>
      </w:pPr>
      <w:r>
        <w:t>7.</w:t>
      </w:r>
      <w:r>
        <w:tab/>
        <w:t>Г-жа</w:t>
      </w:r>
      <w:proofErr w:type="gramStart"/>
      <w:r>
        <w:t xml:space="preserve"> Э</w:t>
      </w:r>
      <w:proofErr w:type="gramEnd"/>
      <w:r>
        <w:t xml:space="preserve">ва </w:t>
      </w:r>
      <w:proofErr w:type="spellStart"/>
      <w:r>
        <w:t>Мольнар</w:t>
      </w:r>
      <w:proofErr w:type="spellEnd"/>
      <w:r>
        <w:t>, директор Отдела устойчивого транспорта Европе</w:t>
      </w:r>
      <w:r>
        <w:t>й</w:t>
      </w:r>
      <w:r>
        <w:t>ской экономической комиссии (ЕЭК ООН), представила Рабочей группе проект стратегии Комитета по внутреннему транспорту. Она напомнила о том, что К</w:t>
      </w:r>
      <w:r>
        <w:t>о</w:t>
      </w:r>
      <w:r>
        <w:t>митет предложил рабочим группам передать свои замечания и рекоменд</w:t>
      </w:r>
      <w:r w:rsidR="00A36D80">
        <w:t>ации, с </w:t>
      </w:r>
      <w:proofErr w:type="gramStart"/>
      <w:r>
        <w:t>тем</w:t>
      </w:r>
      <w:proofErr w:type="gramEnd"/>
      <w:r>
        <w:t xml:space="preserve"> чтобы опубликовать пересмотренный вариант, который будет рассматр</w:t>
      </w:r>
      <w:r>
        <w:t>и</w:t>
      </w:r>
      <w:r>
        <w:t xml:space="preserve">ваться Комитетом на его сессии в 2018 году. </w:t>
      </w:r>
    </w:p>
    <w:p w:rsidR="003869BF" w:rsidRDefault="003869BF" w:rsidP="00626F22">
      <w:pPr>
        <w:pStyle w:val="SingleTxtGR"/>
      </w:pPr>
      <w:r>
        <w:t>8.</w:t>
      </w:r>
      <w:r>
        <w:tab/>
        <w:t>В частности, Комитет предложил рабочим группам проанализировать в</w:t>
      </w:r>
      <w:r>
        <w:t>о</w:t>
      </w:r>
      <w:r>
        <w:t>просы, сформулированные в пункте 46 проекта стратегии. Что касается де</w:t>
      </w:r>
      <w:r>
        <w:t>я</w:t>
      </w:r>
      <w:r>
        <w:t>тельности Рабочей группы по перевозкам опасных грузов, то в этой связи могут быть поставлены следующие вопросы:</w:t>
      </w:r>
    </w:p>
    <w:p w:rsidR="003869BF" w:rsidRDefault="003869BF" w:rsidP="00A36D80">
      <w:pPr>
        <w:pStyle w:val="Bullet1GR"/>
      </w:pPr>
      <w:r>
        <w:t>Каким образом содействовать достижению соответствующих целей О</w:t>
      </w:r>
      <w:r>
        <w:t>р</w:t>
      </w:r>
      <w:r>
        <w:t>ганизации Объединенных Наций в области устойчивого развития прим</w:t>
      </w:r>
      <w:r>
        <w:t>е</w:t>
      </w:r>
      <w:r>
        <w:t>нительно к деятельности Рабочей группы?</w:t>
      </w:r>
    </w:p>
    <w:p w:rsidR="003869BF" w:rsidRDefault="003869BF" w:rsidP="00A36D80">
      <w:pPr>
        <w:pStyle w:val="Bullet1GR"/>
      </w:pPr>
      <w:r>
        <w:t>Каким образом содействовать применению ДОПОГ и присоединению к нему?</w:t>
      </w:r>
    </w:p>
    <w:p w:rsidR="003869BF" w:rsidRDefault="003869BF" w:rsidP="00A36D80">
      <w:pPr>
        <w:pStyle w:val="Bullet1GR"/>
      </w:pPr>
      <w:r>
        <w:t>Какие изменения можно ожидать в области перевозок опасных грузов к 2030 году, например в плане географической сферы охвата ДОПОГ, пр</w:t>
      </w:r>
      <w:r>
        <w:t>и</w:t>
      </w:r>
      <w:r>
        <w:t xml:space="preserve">менения </w:t>
      </w:r>
      <w:proofErr w:type="spellStart"/>
      <w:r>
        <w:t>телематики</w:t>
      </w:r>
      <w:proofErr w:type="spellEnd"/>
      <w:r>
        <w:t xml:space="preserve"> и борьбы с выбросами парниковых газов? Каким о</w:t>
      </w:r>
      <w:r>
        <w:t>б</w:t>
      </w:r>
      <w:r>
        <w:t>разом ДОПОГ и деятельность Рабочей группы могли бы предвосхитить эти изменения и адаптироваться к ним?</w:t>
      </w:r>
    </w:p>
    <w:p w:rsidR="003869BF" w:rsidRDefault="003869BF" w:rsidP="00626F22">
      <w:pPr>
        <w:pStyle w:val="SingleTxtGR"/>
      </w:pPr>
      <w:r>
        <w:t>9.</w:t>
      </w:r>
      <w:r>
        <w:tab/>
        <w:t xml:space="preserve">Ряд делегаций напомнили о том, что Рабочая группа обычно адаптирует свою программу работы с целью учета достижений технического прогресса, например в области использования альтернативных видов топлива, </w:t>
      </w:r>
      <w:proofErr w:type="spellStart"/>
      <w:r>
        <w:t>телематики</w:t>
      </w:r>
      <w:proofErr w:type="spellEnd"/>
      <w:r>
        <w:t xml:space="preserve"> и т.д.</w:t>
      </w:r>
    </w:p>
    <w:p w:rsidR="003869BF" w:rsidRDefault="003869BF" w:rsidP="00626F22">
      <w:pPr>
        <w:pStyle w:val="SingleTxtGR"/>
      </w:pPr>
      <w:r>
        <w:t>10.</w:t>
      </w:r>
      <w:r>
        <w:tab/>
        <w:t>Г-жа</w:t>
      </w:r>
      <w:proofErr w:type="gramStart"/>
      <w:r>
        <w:t xml:space="preserve"> Э</w:t>
      </w:r>
      <w:proofErr w:type="gramEnd"/>
      <w:r>
        <w:t xml:space="preserve">ва </w:t>
      </w:r>
      <w:proofErr w:type="spellStart"/>
      <w:r>
        <w:t>Мольнар</w:t>
      </w:r>
      <w:proofErr w:type="spellEnd"/>
      <w:r>
        <w:t xml:space="preserve"> предложила делегациям, желающим сделать это, пер</w:t>
      </w:r>
      <w:r>
        <w:t>е</w:t>
      </w:r>
      <w:r>
        <w:t>дать ей свои замечания в кратчайшие сроки и по возможности до следующего совещания Бюро Комитета (13 июня 2017 года).</w:t>
      </w:r>
    </w:p>
    <w:p w:rsidR="003869BF" w:rsidRDefault="003869BF" w:rsidP="00626F22">
      <w:pPr>
        <w:pStyle w:val="SingleTxtGR"/>
      </w:pPr>
      <w:r>
        <w:t>11.</w:t>
      </w:r>
      <w:r>
        <w:tab/>
        <w:t xml:space="preserve"> </w:t>
      </w:r>
      <w:proofErr w:type="gramStart"/>
      <w:r>
        <w:t>Рабочая группа приняла к сведению относящиеся к ее работе основные решения, принятые Комитетом на его семьдесят девятой сессии, в частности решение 44 относительно Протокола о внесении поправок в стат</w:t>
      </w:r>
      <w:r w:rsidR="00A36D80">
        <w:t>ьи 1 a), 14 1) и </w:t>
      </w:r>
      <w:r>
        <w:t>14 3) b) ДОПОГ и решение 45, в котором Рабочей группе предлагается вновь рассмотреть возможность изменения названия ДОПОГ (ECE/TRANS/2010/2, пункт 1).</w:t>
      </w:r>
      <w:proofErr w:type="gramEnd"/>
    </w:p>
    <w:p w:rsidR="003869BF" w:rsidRDefault="003869BF" w:rsidP="00626F22">
      <w:pPr>
        <w:pStyle w:val="SingleTxtGR"/>
      </w:pPr>
      <w:r>
        <w:t>12.</w:t>
      </w:r>
      <w:r>
        <w:tab/>
        <w:t>Ряд делегаций выразили готовность вернуться к обсуждению последнего из этих вопросов. Одна делегация указала, что ей хотелось бы, чтобы такое р</w:t>
      </w:r>
      <w:r>
        <w:t>е</w:t>
      </w:r>
      <w:r>
        <w:t>шение сопровождалось мерами, направленными на обеспечение того, чтобы все договаривающиеся стороны выполняли свои обязательства в отношении и</w:t>
      </w:r>
      <w:r>
        <w:t>н</w:t>
      </w:r>
      <w:r>
        <w:t>формации и уведомлений, которые должны доводиться до сведения других д</w:t>
      </w:r>
      <w:r>
        <w:t>о</w:t>
      </w:r>
      <w:r>
        <w:t>говаривающихся сторон.</w:t>
      </w:r>
    </w:p>
    <w:p w:rsidR="003869BF" w:rsidRDefault="003869BF" w:rsidP="00626F22">
      <w:pPr>
        <w:pStyle w:val="SingleTxtGR"/>
      </w:pPr>
      <w:r>
        <w:t>13.</w:t>
      </w:r>
      <w:r>
        <w:tab/>
        <w:t>Касаясь решения 6 Комитета по внутреннему транспорту, Рабочая группа отметила, что она уже приняла необходимые меры в целях оптимизации эффе</w:t>
      </w:r>
      <w:r>
        <w:t>к</w:t>
      </w:r>
      <w:r>
        <w:t>тивности своей работы и что она в состоянии сбалансировать деятельность в рамках своей программы работы без последствий в плане ресурсов, необход</w:t>
      </w:r>
      <w:r>
        <w:t>и</w:t>
      </w:r>
      <w:r>
        <w:t>мых для ее осуществления.</w:t>
      </w:r>
    </w:p>
    <w:p w:rsidR="003869BF" w:rsidRDefault="00A36D80" w:rsidP="00A36D80">
      <w:pPr>
        <w:pStyle w:val="HChGR"/>
      </w:pPr>
      <w:r>
        <w:tab/>
      </w:r>
      <w:r w:rsidR="003869BF">
        <w:t>IV.</w:t>
      </w:r>
      <w:r w:rsidR="003869BF">
        <w:tab/>
        <w:t>Сост</w:t>
      </w:r>
      <w:r>
        <w:t>ояние Европейского соглашения о </w:t>
      </w:r>
      <w:r w:rsidR="003869BF">
        <w:t xml:space="preserve">международной дорожной перевозке опасных </w:t>
      </w:r>
      <w:r>
        <w:br/>
      </w:r>
      <w:r w:rsidR="003869BF">
        <w:t xml:space="preserve">грузов (ДОПОГ) и связанные с этим вопросы </w:t>
      </w:r>
      <w:r>
        <w:br/>
      </w:r>
      <w:r w:rsidR="003869BF">
        <w:t>(пункт 3 повестки дня)</w:t>
      </w:r>
    </w:p>
    <w:p w:rsidR="003869BF" w:rsidRDefault="00A36D80" w:rsidP="00A36D80">
      <w:pPr>
        <w:pStyle w:val="H1GR"/>
      </w:pPr>
      <w:r>
        <w:tab/>
      </w:r>
      <w:r w:rsidR="003869BF">
        <w:t>A.</w:t>
      </w:r>
      <w:r w:rsidR="003869BF">
        <w:tab/>
        <w:t>Состояние Соглашения и Про</w:t>
      </w:r>
      <w:r>
        <w:t>токола о внесении поправок 1993 </w:t>
      </w:r>
      <w:r w:rsidR="003869BF">
        <w:t>года</w:t>
      </w:r>
    </w:p>
    <w:p w:rsidR="003869BF" w:rsidRDefault="003869BF" w:rsidP="00626F22">
      <w:pPr>
        <w:pStyle w:val="SingleTxtGR"/>
      </w:pPr>
      <w:r w:rsidRPr="00A36D80">
        <w:rPr>
          <w:i/>
        </w:rPr>
        <w:t>Неофициальный документ:</w:t>
      </w:r>
      <w:r>
        <w:tab/>
        <w:t>INF.15 (секретариат)</w:t>
      </w:r>
    </w:p>
    <w:p w:rsidR="003869BF" w:rsidRDefault="003869BF" w:rsidP="00626F22">
      <w:pPr>
        <w:pStyle w:val="SingleTxtGR"/>
      </w:pPr>
      <w:r>
        <w:t>14.</w:t>
      </w:r>
      <w:r>
        <w:tab/>
        <w:t xml:space="preserve">Рабочая группа отметила, что новые договаривающиеся стороны к ДОПОГ не присоединялись. </w:t>
      </w:r>
      <w:proofErr w:type="gramStart"/>
      <w:r>
        <w:t>Рабочая группа с удовлетворением отметила, что Украина присоединилась к Протоколу о внесении поправок в статьи 1 a), 14 1) и 14 3) b) ДОПОГ, и призвала 13 стран, которые еще не сдали на хранение соо</w:t>
      </w:r>
      <w:r>
        <w:t>т</w:t>
      </w:r>
      <w:r>
        <w:t>ветствующий юридический документ, необходимый для вступления Протокола в силу (Азербайджан, Беларусь, Босния и Герцеговина, бывшая югославская Республика Македония, Грузия, Исландия, Казахстан, Мальта, Марокко, Т</w:t>
      </w:r>
      <w:r>
        <w:t>а</w:t>
      </w:r>
      <w:r>
        <w:t>джикистан, Тунис, Хорватия</w:t>
      </w:r>
      <w:proofErr w:type="gramEnd"/>
      <w:r>
        <w:t xml:space="preserve"> и Черногория), принять необходимые меры с ц</w:t>
      </w:r>
      <w:r>
        <w:t>е</w:t>
      </w:r>
      <w:r>
        <w:t xml:space="preserve">лью ратификации Протокола или присоединения к нему, с </w:t>
      </w:r>
      <w:proofErr w:type="gramStart"/>
      <w:r>
        <w:t>тем</w:t>
      </w:r>
      <w:proofErr w:type="gramEnd"/>
      <w:r>
        <w:t xml:space="preserve"> чтобы он мог вступить в силу.</w:t>
      </w:r>
    </w:p>
    <w:p w:rsidR="003869BF" w:rsidRDefault="00A36D80" w:rsidP="00A36D80">
      <w:pPr>
        <w:pStyle w:val="H1GR"/>
      </w:pPr>
      <w:r>
        <w:tab/>
      </w:r>
      <w:r w:rsidR="003869BF">
        <w:t>B.</w:t>
      </w:r>
      <w:r w:rsidR="003869BF">
        <w:tab/>
        <w:t>Исправления к изданию ДОПОГ 2017 года</w:t>
      </w:r>
    </w:p>
    <w:p w:rsidR="003869BF" w:rsidRDefault="003869BF" w:rsidP="00626F22">
      <w:pPr>
        <w:pStyle w:val="SingleTxtGR"/>
      </w:pPr>
      <w:r>
        <w:t>15.</w:t>
      </w:r>
      <w:r>
        <w:tab/>
      </w:r>
      <w:proofErr w:type="gramStart"/>
      <w:r>
        <w:t>Рабочая группа отметила, что исправления к ДОПОГ, утвержденные на 101-й сессии, сочтены принятыми (уведомления депозитария C.N.891.2016.</w:t>
      </w:r>
      <w:proofErr w:type="gramEnd"/>
      <w:r w:rsidR="00A36D80">
        <w:br/>
      </w:r>
      <w:proofErr w:type="gramStart"/>
      <w:r>
        <w:t>TREATIES от 7 декабря 2016 года и C.N.120</w:t>
      </w:r>
      <w:r w:rsidR="00A36D80">
        <w:t>.2017.TREATIES от 20 марта 2017 </w:t>
      </w:r>
      <w:r>
        <w:t>года) (см. также ECE/TRANS/WP.15/235, пункты 16 и 17 и приложение II).</w:t>
      </w:r>
      <w:proofErr w:type="gramEnd"/>
    </w:p>
    <w:p w:rsidR="003869BF" w:rsidRDefault="00A36D80" w:rsidP="00A36D80">
      <w:pPr>
        <w:pStyle w:val="HChGR"/>
      </w:pPr>
      <w:r>
        <w:tab/>
      </w:r>
      <w:r w:rsidR="003869BF">
        <w:t>V.</w:t>
      </w:r>
      <w:r w:rsidR="003869BF">
        <w:tab/>
        <w:t>Работа Совместного совещания МПОГ/ДОПОГ/ВОПОГ (пункт 4 повестки дня)</w:t>
      </w:r>
    </w:p>
    <w:p w:rsidR="003869BF" w:rsidRDefault="00A36D80" w:rsidP="00A36D80">
      <w:pPr>
        <w:pStyle w:val="H1GR"/>
      </w:pPr>
      <w:r>
        <w:tab/>
      </w:r>
      <w:r w:rsidR="003869BF">
        <w:t>A.</w:t>
      </w:r>
      <w:r w:rsidR="003869BF">
        <w:tab/>
        <w:t>Поправки, предложенные Совместным совещанием на его осенней сессии 2016 года и его весенней сессии 2017 года</w:t>
      </w:r>
    </w:p>
    <w:p w:rsidR="003869BF" w:rsidRDefault="003869BF" w:rsidP="00A61088">
      <w:pPr>
        <w:pStyle w:val="SingleTxtGR"/>
        <w:ind w:left="3402" w:hanging="2268"/>
        <w:jc w:val="left"/>
      </w:pPr>
      <w:r w:rsidRPr="00A61088">
        <w:rPr>
          <w:i/>
        </w:rPr>
        <w:t>Документы:</w:t>
      </w:r>
      <w:r>
        <w:tab/>
      </w:r>
      <w:r w:rsidR="00A61088">
        <w:tab/>
      </w:r>
      <w:r w:rsidR="00A61088">
        <w:tab/>
      </w:r>
      <w:r w:rsidR="00A61088">
        <w:tab/>
      </w:r>
      <w:r>
        <w:t xml:space="preserve">ECE/TRANS/WP.15/AC.1/144, приложение II </w:t>
      </w:r>
      <w:r>
        <w:tab/>
        <w:t>ECE/TRANS/WP.15/AC.1/146, приложение II</w:t>
      </w:r>
    </w:p>
    <w:p w:rsidR="003869BF" w:rsidRDefault="003869BF" w:rsidP="00626F22">
      <w:pPr>
        <w:pStyle w:val="SingleTxtGR"/>
      </w:pPr>
      <w:r>
        <w:t>16.</w:t>
      </w:r>
      <w:r>
        <w:tab/>
        <w:t>Поправки, содержащиеся в приложении II к документу ECE/TRANS/WP.15/AC.1/144, с изменениями, содержащимися в приложении II к документу ECE/TRANS/WP.15/AC.1/146, были приняты с некоторыми изм</w:t>
      </w:r>
      <w:r>
        <w:t>е</w:t>
      </w:r>
      <w:r>
        <w:t>нениями для вступления в силу 1 января 2019 года (см. приложение I).</w:t>
      </w:r>
    </w:p>
    <w:p w:rsidR="003869BF" w:rsidRDefault="003869BF" w:rsidP="00626F22">
      <w:pPr>
        <w:pStyle w:val="SingleTxtGR"/>
      </w:pPr>
      <w:r>
        <w:t>17.</w:t>
      </w:r>
      <w:r>
        <w:tab/>
        <w:t>Поправки к пунктам 6.8.2.2.3, 6.8.2.2.10 и 6.8.2.3.1 и соответствующие переходные меры, изложенные в приложении II к документу ECE/TRANS/WP.15/AC.1/146, будут рассмотрены после подтверждения Со</w:t>
      </w:r>
      <w:r>
        <w:t>в</w:t>
      </w:r>
      <w:r>
        <w:t>местным совещанием на его следующей сессии. Остальные поправки, соде</w:t>
      </w:r>
      <w:r>
        <w:t>р</w:t>
      </w:r>
      <w:r>
        <w:t>жащиеся в приложении II к документу ECE/TRANS/WP.15/AC.1/146, были пр</w:t>
      </w:r>
      <w:r>
        <w:t>и</w:t>
      </w:r>
      <w:r>
        <w:t>няты с некоторыми изменениями для вступления</w:t>
      </w:r>
      <w:r w:rsidR="00A61088">
        <w:t xml:space="preserve"> в силу 1 января 2019 года (см. </w:t>
      </w:r>
      <w:r>
        <w:t>приложение I).</w:t>
      </w:r>
    </w:p>
    <w:p w:rsidR="003869BF" w:rsidRDefault="00A61088" w:rsidP="00A61088">
      <w:pPr>
        <w:pStyle w:val="H1GR"/>
      </w:pPr>
      <w:r>
        <w:tab/>
      </w:r>
      <w:r w:rsidR="003869BF">
        <w:t>B.</w:t>
      </w:r>
      <w:r w:rsidR="003869BF">
        <w:tab/>
        <w:t xml:space="preserve">Исправления, предложенные Совместным совещанием </w:t>
      </w:r>
      <w:r>
        <w:br/>
      </w:r>
      <w:r w:rsidR="003869BF">
        <w:t>на его весенней сессии 2017 года</w:t>
      </w:r>
    </w:p>
    <w:p w:rsidR="003869BF" w:rsidRDefault="003869BF" w:rsidP="00626F22">
      <w:pPr>
        <w:pStyle w:val="SingleTxtGR"/>
      </w:pPr>
      <w:r w:rsidRPr="00A61088">
        <w:rPr>
          <w:i/>
        </w:rPr>
        <w:t>Документ:</w:t>
      </w:r>
      <w:r>
        <w:tab/>
      </w:r>
      <w:r w:rsidR="00A61088">
        <w:tab/>
      </w:r>
      <w:r w:rsidR="00A61088">
        <w:tab/>
      </w:r>
      <w:r w:rsidR="00A61088">
        <w:tab/>
      </w:r>
      <w:r>
        <w:t>ECE/TRANS/WP.15/AC.1/146, приложение III</w:t>
      </w:r>
    </w:p>
    <w:p w:rsidR="003869BF" w:rsidRDefault="003869BF" w:rsidP="00626F22">
      <w:pPr>
        <w:pStyle w:val="SingleTxtGR"/>
      </w:pPr>
      <w:r>
        <w:t>18.</w:t>
      </w:r>
      <w:r>
        <w:tab/>
        <w:t>Рабочая группа подтвердила, что исправления, предложенные Совмес</w:t>
      </w:r>
      <w:r>
        <w:t>т</w:t>
      </w:r>
      <w:r>
        <w:t>ным совещанием на его весенней сессии 2017 года, носят чисто технический характер и направлены на то, чтобы устранить несогласованность между те</w:t>
      </w:r>
      <w:r>
        <w:t>к</w:t>
      </w:r>
      <w:r>
        <w:t>стами на английском и русском языках и подлинным текстом на французском языке либо исправить опечатки, ошибки в нумерации или перекрестные ссы</w:t>
      </w:r>
      <w:r>
        <w:t>л</w:t>
      </w:r>
      <w:r>
        <w:t>ки.</w:t>
      </w:r>
    </w:p>
    <w:p w:rsidR="003869BF" w:rsidRDefault="003869BF" w:rsidP="00626F22">
      <w:pPr>
        <w:pStyle w:val="SingleTxtGR"/>
      </w:pPr>
      <w:r>
        <w:t>19.</w:t>
      </w:r>
      <w:r>
        <w:tab/>
        <w:t>Учитывая то, что данные исправления не изменяют содержание полож</w:t>
      </w:r>
      <w:r>
        <w:t>е</w:t>
      </w:r>
      <w:r>
        <w:t>ний ДОПОГ, Рабочая группа приняла исправления, предложенные Совместным совещанием, и просила секретариат сделать все необходимое для того, чтобы как можно скорее опубликовать их в виде документа «исправление» (см. пр</w:t>
      </w:r>
      <w:r>
        <w:t>и</w:t>
      </w:r>
      <w:r>
        <w:t>ложения II и III).</w:t>
      </w:r>
    </w:p>
    <w:p w:rsidR="003869BF" w:rsidRDefault="00A61088" w:rsidP="00A61088">
      <w:pPr>
        <w:pStyle w:val="HChGR"/>
      </w:pPr>
      <w:r>
        <w:tab/>
      </w:r>
      <w:r w:rsidR="003869BF">
        <w:t>VI.</w:t>
      </w:r>
      <w:r w:rsidR="003869BF">
        <w:tab/>
        <w:t>Предложения о вне</w:t>
      </w:r>
      <w:r>
        <w:t>сении поправок в приложения A и </w:t>
      </w:r>
      <w:r w:rsidR="003869BF">
        <w:t>B к ДОПОГ (пункт 5 повестки дня)</w:t>
      </w:r>
    </w:p>
    <w:p w:rsidR="003869BF" w:rsidRDefault="00A61088" w:rsidP="00A61088">
      <w:pPr>
        <w:pStyle w:val="H1GR"/>
      </w:pPr>
      <w:r>
        <w:tab/>
      </w:r>
      <w:r w:rsidR="003869BF">
        <w:t>A.</w:t>
      </w:r>
      <w:r w:rsidR="003869BF">
        <w:tab/>
        <w:t>Конструкция и допущение к перевозке транспортных средств</w:t>
      </w:r>
    </w:p>
    <w:p w:rsidR="003869BF" w:rsidRDefault="00A61088" w:rsidP="00A61088">
      <w:pPr>
        <w:pStyle w:val="H23GR"/>
      </w:pPr>
      <w:r>
        <w:tab/>
      </w:r>
      <w:r w:rsidR="003869BF">
        <w:t>1.</w:t>
      </w:r>
      <w:r w:rsidR="003869BF">
        <w:tab/>
        <w:t xml:space="preserve">Толкование требований пункта 9.3.4.2 ДОПОГ к транспортным </w:t>
      </w:r>
      <w:r>
        <w:br/>
      </w:r>
      <w:r w:rsidR="003869BF">
        <w:t>средствам EX/II и EX/III</w:t>
      </w:r>
    </w:p>
    <w:p w:rsidR="003869BF" w:rsidRDefault="003869BF" w:rsidP="00626F22">
      <w:pPr>
        <w:pStyle w:val="SingleTxtGR"/>
      </w:pPr>
      <w:r w:rsidRPr="00A61088">
        <w:rPr>
          <w:i/>
        </w:rPr>
        <w:t>Неофициальный документ:</w:t>
      </w:r>
      <w:r>
        <w:tab/>
        <w:t>INF.6 (Германия)</w:t>
      </w:r>
    </w:p>
    <w:p w:rsidR="003869BF" w:rsidRDefault="003869BF" w:rsidP="00626F22">
      <w:pPr>
        <w:pStyle w:val="SingleTxtGR"/>
      </w:pPr>
      <w:r>
        <w:t>20.</w:t>
      </w:r>
      <w:r>
        <w:tab/>
        <w:t>Рабочая группа уже приняла решени</w:t>
      </w:r>
      <w:r w:rsidR="00A61088">
        <w:t>я, касающиеся толкования пун</w:t>
      </w:r>
      <w:r w:rsidR="00A61088">
        <w:t>к</w:t>
      </w:r>
      <w:r w:rsidR="00A61088">
        <w:t>та </w:t>
      </w:r>
      <w:r>
        <w:t>9.</w:t>
      </w:r>
      <w:r w:rsidR="00285501">
        <w:t>3</w:t>
      </w:r>
      <w:r>
        <w:t>.4.</w:t>
      </w:r>
      <w:r w:rsidR="00285501">
        <w:t>2</w:t>
      </w:r>
      <w:r>
        <w:t xml:space="preserve"> в отношении материалов, которые могут быть использованы для ц</w:t>
      </w:r>
      <w:r>
        <w:t>е</w:t>
      </w:r>
      <w:r>
        <w:t>лей конструкции и изоляции кузовов транспортных средств EX/III (см., в час</w:t>
      </w:r>
      <w:r>
        <w:t>т</w:t>
      </w:r>
      <w:r>
        <w:t>ности, документ ECE/TRANS/WP.15/230, пункты 12–15).</w:t>
      </w:r>
    </w:p>
    <w:p w:rsidR="003869BF" w:rsidRDefault="003869BF" w:rsidP="00626F22">
      <w:pPr>
        <w:pStyle w:val="SingleTxtGR"/>
      </w:pPr>
      <w:r>
        <w:t>21.</w:t>
      </w:r>
      <w:r>
        <w:tab/>
        <w:t>По поводу просьбы Германии следует отметить, что консенсус в отнош</w:t>
      </w:r>
      <w:r>
        <w:t>е</w:t>
      </w:r>
      <w:r>
        <w:t xml:space="preserve">нии возможности использования сэндвич-панелей </w:t>
      </w:r>
      <w:proofErr w:type="gramStart"/>
      <w:r>
        <w:t>достигнут</w:t>
      </w:r>
      <w:proofErr w:type="gramEnd"/>
      <w:r>
        <w:t xml:space="preserve"> не был. По мн</w:t>
      </w:r>
      <w:r>
        <w:t>е</w:t>
      </w:r>
      <w:r>
        <w:t xml:space="preserve">нию некоторых делегаций, этот вариант представляется возможным, однако необходимы дополнительные испытания, с </w:t>
      </w:r>
      <w:proofErr w:type="gramStart"/>
      <w:r>
        <w:t>тем</w:t>
      </w:r>
      <w:proofErr w:type="gramEnd"/>
      <w:r>
        <w:t xml:space="preserve"> чтобы принять соответствующее решение.</w:t>
      </w:r>
    </w:p>
    <w:p w:rsidR="003869BF" w:rsidRDefault="003869BF" w:rsidP="00626F22">
      <w:pPr>
        <w:pStyle w:val="SingleTxtGR"/>
      </w:pPr>
      <w:r>
        <w:t>22.</w:t>
      </w:r>
      <w:r>
        <w:tab/>
        <w:t>Рабочая группа признала важность обновления и уточнения технических требований, касающихся конструкции транспо</w:t>
      </w:r>
      <w:r w:rsidR="00A61088">
        <w:t>ртных средств EX/II и EX/III, с </w:t>
      </w:r>
      <w:r>
        <w:t>учетом технического прогресса.</w:t>
      </w:r>
    </w:p>
    <w:p w:rsidR="003869BF" w:rsidRDefault="003869BF" w:rsidP="00626F22">
      <w:pPr>
        <w:pStyle w:val="SingleTxtGR"/>
      </w:pPr>
      <w:r>
        <w:t>23.</w:t>
      </w:r>
      <w:r>
        <w:tab/>
        <w:t>Представитель Германи</w:t>
      </w:r>
      <w:r w:rsidR="00285501">
        <w:t>и</w:t>
      </w:r>
      <w:r>
        <w:t xml:space="preserve"> вызвалась подготовить предложение по этому вопросу для следующей сессии и предложила делегациям, желающим внести свой вклад, передать ей замечания и технич</w:t>
      </w:r>
      <w:r w:rsidR="00A61088">
        <w:t>еские данные до конца июля 2017 </w:t>
      </w:r>
      <w:r>
        <w:t>года.</w:t>
      </w:r>
    </w:p>
    <w:p w:rsidR="003869BF" w:rsidRDefault="00A61088" w:rsidP="00A61088">
      <w:pPr>
        <w:pStyle w:val="H23GR"/>
      </w:pPr>
      <w:r>
        <w:tab/>
      </w:r>
      <w:r w:rsidR="003869BF">
        <w:t>2.</w:t>
      </w:r>
      <w:r w:rsidR="003869BF">
        <w:tab/>
        <w:t>Электрооборудование – применение пункта 9.2.2.9.1</w:t>
      </w:r>
    </w:p>
    <w:p w:rsidR="003869BF" w:rsidRDefault="003869BF" w:rsidP="00626F22">
      <w:pPr>
        <w:pStyle w:val="SingleTxtGR"/>
      </w:pPr>
      <w:r w:rsidRPr="00A61088">
        <w:rPr>
          <w:i/>
        </w:rPr>
        <w:t>Документ:</w:t>
      </w:r>
      <w:r>
        <w:tab/>
      </w:r>
      <w:r w:rsidR="00A61088">
        <w:tab/>
      </w:r>
      <w:r w:rsidR="00A61088">
        <w:tab/>
      </w:r>
      <w:r w:rsidR="00A61088">
        <w:tab/>
      </w:r>
      <w:r>
        <w:t>ECE/TRANS/WP.15/2017/6 (Франция)</w:t>
      </w:r>
    </w:p>
    <w:p w:rsidR="003869BF" w:rsidRDefault="003869BF" w:rsidP="00626F22">
      <w:pPr>
        <w:pStyle w:val="SingleTxtGR"/>
      </w:pPr>
      <w:r>
        <w:t>24.</w:t>
      </w:r>
      <w:r>
        <w:tab/>
        <w:t>Предложение Франции включить ссылку на части 26 и 28 стандарта IEC 60079 в пункты 9.2.2.9.1 и 9.7.8.2 было принято (см. приложение I).</w:t>
      </w:r>
    </w:p>
    <w:p w:rsidR="003869BF" w:rsidRDefault="003869BF" w:rsidP="00626F22">
      <w:pPr>
        <w:pStyle w:val="SingleTxtGR"/>
      </w:pPr>
      <w:r>
        <w:t>25.</w:t>
      </w:r>
      <w:r>
        <w:tab/>
        <w:t>Рабочая группа подтвердила, что электрическое оборудование, устано</w:t>
      </w:r>
      <w:r>
        <w:t>в</w:t>
      </w:r>
      <w:r>
        <w:t>ленное на транспортных средствах в соответствии с пунктами 9.2.2.9.1 и 9.7.8.2, до вступления в силу настоящей поправки может по-прежнему эксплу</w:t>
      </w:r>
      <w:r>
        <w:t>а</w:t>
      </w:r>
      <w:r>
        <w:t>тироваться.</w:t>
      </w:r>
    </w:p>
    <w:p w:rsidR="003869BF" w:rsidRDefault="00A61088" w:rsidP="00A61088">
      <w:pPr>
        <w:pStyle w:val="H23GR"/>
      </w:pPr>
      <w:r>
        <w:tab/>
      </w:r>
      <w:r w:rsidR="003869BF">
        <w:t>3.</w:t>
      </w:r>
      <w:r w:rsidR="003869BF">
        <w:tab/>
        <w:t>Требования к креплениям согласно разделу 9.7.3</w:t>
      </w:r>
    </w:p>
    <w:p w:rsidR="003869BF" w:rsidRDefault="003869BF" w:rsidP="00626F22">
      <w:pPr>
        <w:pStyle w:val="SingleTxtGR"/>
      </w:pPr>
      <w:r w:rsidRPr="00A61088">
        <w:rPr>
          <w:i/>
        </w:rPr>
        <w:t>Документ:</w:t>
      </w:r>
      <w:r>
        <w:tab/>
      </w:r>
      <w:r w:rsidR="00A61088">
        <w:tab/>
      </w:r>
      <w:r w:rsidR="00A61088">
        <w:tab/>
      </w:r>
      <w:r w:rsidR="00A61088">
        <w:tab/>
      </w:r>
      <w:r>
        <w:t>ECE/TRANS/WP.15/2017/7 (Норвегия)</w:t>
      </w:r>
    </w:p>
    <w:p w:rsidR="003869BF" w:rsidRDefault="003869BF" w:rsidP="00626F22">
      <w:pPr>
        <w:pStyle w:val="SingleTxtGR"/>
      </w:pPr>
      <w:r>
        <w:t>26.</w:t>
      </w:r>
      <w:r>
        <w:tab/>
        <w:t>В результате голосования предложения 1, 2а, 2с и 3 были приняты с нек</w:t>
      </w:r>
      <w:r>
        <w:t>о</w:t>
      </w:r>
      <w:r>
        <w:t>торыми изменениями (см. приложение I). Предложение 2b было отклонено.</w:t>
      </w:r>
    </w:p>
    <w:p w:rsidR="003869BF" w:rsidRDefault="00A61088" w:rsidP="00A61088">
      <w:pPr>
        <w:pStyle w:val="H23GR"/>
      </w:pPr>
      <w:r>
        <w:tab/>
      </w:r>
      <w:r w:rsidR="003869BF">
        <w:t>4.</w:t>
      </w:r>
      <w:r w:rsidR="003869BF">
        <w:tab/>
        <w:t>Освобождение от требования в отношении первого осмотра транспортных средств EX/II, EX/III, FL и AT и MEMU, тип которых официально утвержден согласно подразделу 9.1.2.2 и</w:t>
      </w:r>
      <w:r>
        <w:t xml:space="preserve"> на которые выдана декларация о </w:t>
      </w:r>
      <w:r w:rsidR="003869BF">
        <w:t>соответствии требованиям главы 9.2</w:t>
      </w:r>
    </w:p>
    <w:p w:rsidR="003869BF" w:rsidRDefault="003869BF" w:rsidP="00A61088">
      <w:pPr>
        <w:pStyle w:val="SingleTxtGR"/>
        <w:ind w:left="3969" w:hanging="2835"/>
        <w:jc w:val="left"/>
      </w:pPr>
      <w:r w:rsidRPr="00A61088">
        <w:rPr>
          <w:i/>
        </w:rPr>
        <w:t>Документ:</w:t>
      </w:r>
      <w:r>
        <w:tab/>
      </w:r>
      <w:r w:rsidR="00A61088">
        <w:tab/>
      </w:r>
      <w:r w:rsidR="00A61088">
        <w:tab/>
      </w:r>
      <w:r w:rsidR="00A61088">
        <w:tab/>
      </w:r>
      <w:r>
        <w:t xml:space="preserve">ECE/TRANS/WP.15/2017/11 </w:t>
      </w:r>
      <w:r w:rsidR="00A61088">
        <w:br/>
      </w:r>
      <w:r>
        <w:t>(Соединенное Королевство)</w:t>
      </w:r>
    </w:p>
    <w:p w:rsidR="003869BF" w:rsidRDefault="003869BF" w:rsidP="00626F22">
      <w:pPr>
        <w:pStyle w:val="SingleTxtGR"/>
      </w:pPr>
      <w:r>
        <w:t>27.</w:t>
      </w:r>
      <w:r>
        <w:tab/>
        <w:t>После предварительного обсуждения на этой сессии данный документ был сохранен в повестке дня следующей сессии.</w:t>
      </w:r>
    </w:p>
    <w:p w:rsidR="003869BF" w:rsidRDefault="00A61088" w:rsidP="00A61088">
      <w:pPr>
        <w:pStyle w:val="H23GR"/>
      </w:pPr>
      <w:r>
        <w:tab/>
      </w:r>
      <w:r w:rsidR="003869BF">
        <w:t>5.</w:t>
      </w:r>
      <w:r w:rsidR="003869BF">
        <w:tab/>
        <w:t>Поправки к главе 9.2</w:t>
      </w:r>
    </w:p>
    <w:p w:rsidR="003869BF" w:rsidRDefault="003869BF" w:rsidP="00626F22">
      <w:pPr>
        <w:pStyle w:val="SingleTxtGR"/>
      </w:pPr>
      <w:r w:rsidRPr="00A61088">
        <w:rPr>
          <w:i/>
        </w:rPr>
        <w:t>Неофициальный документ:</w:t>
      </w:r>
      <w:r>
        <w:tab/>
        <w:t>INF.12 (Румыния)</w:t>
      </w:r>
    </w:p>
    <w:p w:rsidR="003869BF" w:rsidRDefault="003869BF" w:rsidP="00626F22">
      <w:pPr>
        <w:pStyle w:val="SingleTxtGR"/>
      </w:pPr>
      <w:r>
        <w:t>28.</w:t>
      </w:r>
      <w:r>
        <w:tab/>
        <w:t>Рабочая группа подтвердила, что поправки, предложенные представит</w:t>
      </w:r>
      <w:r>
        <w:t>е</w:t>
      </w:r>
      <w:r>
        <w:t>лем Румынии, носят чисто технический характер и касаются вопросов нумер</w:t>
      </w:r>
      <w:r>
        <w:t>а</w:t>
      </w:r>
      <w:r>
        <w:t>ции или перекрестных ссылок.</w:t>
      </w:r>
    </w:p>
    <w:p w:rsidR="003869BF" w:rsidRDefault="003869BF" w:rsidP="00626F22">
      <w:pPr>
        <w:pStyle w:val="SingleTxtGR"/>
      </w:pPr>
      <w:r>
        <w:t>29.</w:t>
      </w:r>
      <w:r>
        <w:tab/>
        <w:t>Учитывая то, что данные исправления не изменяют содержание полож</w:t>
      </w:r>
      <w:r>
        <w:t>е</w:t>
      </w:r>
      <w:r>
        <w:t>ний ДОПОГ, Рабочая группа их приняла и просила секретариат сделать все н</w:t>
      </w:r>
      <w:r>
        <w:t>е</w:t>
      </w:r>
      <w:r>
        <w:t>обходимое для того, чтобы как можно скорее опубликовать их в виде документа «исправление» (см. приложения II и III).</w:t>
      </w:r>
    </w:p>
    <w:p w:rsidR="003869BF" w:rsidRDefault="00A61088" w:rsidP="00A61088">
      <w:pPr>
        <w:pStyle w:val="H23GR"/>
      </w:pPr>
      <w:r>
        <w:tab/>
      </w:r>
      <w:r w:rsidR="003869BF">
        <w:t>6.</w:t>
      </w:r>
      <w:r w:rsidR="003869BF">
        <w:tab/>
        <w:t>Внесение исправления в Руководящие указания, касающиеся заполнения свидетельства о допущении к перевозке, предусмотренного в разделе 9.1.3 ДОПОГ</w:t>
      </w:r>
    </w:p>
    <w:p w:rsidR="003869BF" w:rsidRDefault="003869BF" w:rsidP="00626F22">
      <w:pPr>
        <w:pStyle w:val="SingleTxtGR"/>
      </w:pPr>
      <w:r w:rsidRPr="00A61088">
        <w:rPr>
          <w:i/>
        </w:rPr>
        <w:t>Неофициальный документ:</w:t>
      </w:r>
      <w:r>
        <w:tab/>
        <w:t>INF.18 (Швеция)</w:t>
      </w:r>
    </w:p>
    <w:p w:rsidR="003869BF" w:rsidRDefault="003869BF" w:rsidP="00626F22">
      <w:pPr>
        <w:pStyle w:val="SingleTxtGR"/>
      </w:pPr>
      <w:r>
        <w:t>30.</w:t>
      </w:r>
      <w:r>
        <w:tab/>
      </w:r>
      <w:proofErr w:type="gramStart"/>
      <w:r>
        <w:t>Рабочая группа подтвердила предлагаемое исправление к Руководящим указаниям, касающимся заполнения свидетельства о допущении к перевозке, предусмотренного в разделе 9.1.3 ДОПОГ, принятое Рабочей группой на ее д</w:t>
      </w:r>
      <w:r>
        <w:t>е</w:t>
      </w:r>
      <w:r>
        <w:t>вяносто седьмой сессии (см. документ ECE/TRANS/WP.15/226, приложение II), и просила секретариат обновить варианты, размещенные на веб-сайте секрет</w:t>
      </w:r>
      <w:r>
        <w:t>а</w:t>
      </w:r>
      <w:r>
        <w:t>риата Европейской экономической комиссии Организации Объединенных Наций (см. приложение IV).</w:t>
      </w:r>
      <w:proofErr w:type="gramEnd"/>
    </w:p>
    <w:p w:rsidR="003869BF" w:rsidRDefault="00A61088" w:rsidP="00A61088">
      <w:pPr>
        <w:pStyle w:val="H1GR"/>
      </w:pPr>
      <w:r>
        <w:tab/>
      </w:r>
      <w:r w:rsidR="003869BF">
        <w:t>B.</w:t>
      </w:r>
      <w:r w:rsidR="003869BF">
        <w:tab/>
        <w:t>Различные предложения</w:t>
      </w:r>
    </w:p>
    <w:p w:rsidR="003869BF" w:rsidRDefault="00A61088" w:rsidP="00A61088">
      <w:pPr>
        <w:pStyle w:val="H23GR"/>
      </w:pPr>
      <w:r>
        <w:tab/>
      </w:r>
      <w:r w:rsidR="003869BF">
        <w:t>1.</w:t>
      </w:r>
      <w:r w:rsidR="003869BF">
        <w:tab/>
        <w:t>Применение № ООН 3166 и 3171 к транспортным средствам, перевозимым в качестве груза, и предельные количества топлива для газожидкостных гибридных двигателей, перевозимых на прицепах</w:t>
      </w:r>
    </w:p>
    <w:p w:rsidR="003869BF" w:rsidRDefault="003869BF" w:rsidP="00626F22">
      <w:pPr>
        <w:pStyle w:val="SingleTxtGR"/>
      </w:pPr>
      <w:r w:rsidRPr="00A61088">
        <w:rPr>
          <w:i/>
        </w:rPr>
        <w:t>Документ:</w:t>
      </w:r>
      <w:r>
        <w:tab/>
      </w:r>
      <w:r w:rsidR="00A61088">
        <w:tab/>
      </w:r>
      <w:r w:rsidR="00A61088">
        <w:tab/>
      </w:r>
      <w:r w:rsidR="00A61088">
        <w:tab/>
      </w:r>
      <w:r>
        <w:t>ECE/TRANS/WP.15/2017/4 (Швейцария)</w:t>
      </w:r>
    </w:p>
    <w:p w:rsidR="003869BF" w:rsidRDefault="003869BF" w:rsidP="00626F22">
      <w:pPr>
        <w:pStyle w:val="SingleTxtGR"/>
      </w:pPr>
      <w:r>
        <w:t>31.</w:t>
      </w:r>
      <w:r>
        <w:tab/>
        <w:t>Ряд делегаций сочли, что предложения Швейцарии касаются также транспортных средств и вагонов, перевозимых в качестве груза в вагонах или на судах. После обсуждения Рабочая группа предложила представителю Шве</w:t>
      </w:r>
      <w:r>
        <w:t>й</w:t>
      </w:r>
      <w:r>
        <w:t xml:space="preserve">царии передать свое предложение Совместному совещанию. </w:t>
      </w:r>
    </w:p>
    <w:p w:rsidR="003869BF" w:rsidRDefault="00A61088" w:rsidP="00A61088">
      <w:pPr>
        <w:pStyle w:val="H23GR"/>
      </w:pPr>
      <w:r>
        <w:tab/>
      </w:r>
      <w:r w:rsidR="003869BF">
        <w:t>2.</w:t>
      </w:r>
      <w:r w:rsidR="003869BF">
        <w:tab/>
        <w:t>Пункт 5.4.1.1.1 f) и перевозка в соответствии с подразделом 1.1.3.6</w:t>
      </w:r>
    </w:p>
    <w:p w:rsidR="003869BF" w:rsidRDefault="003869BF" w:rsidP="00626F22">
      <w:pPr>
        <w:pStyle w:val="SingleTxtGR"/>
      </w:pPr>
      <w:r w:rsidRPr="00A61088">
        <w:rPr>
          <w:i/>
        </w:rPr>
        <w:t>Документ:</w:t>
      </w:r>
      <w:r>
        <w:tab/>
      </w:r>
      <w:r w:rsidR="00A61088">
        <w:tab/>
      </w:r>
      <w:r w:rsidR="00A61088">
        <w:tab/>
      </w:r>
      <w:r w:rsidR="00A61088">
        <w:tab/>
      </w:r>
      <w:r>
        <w:t>ECE/TRANS/WP.15/2017/5 (Швеция и МСАТ)</w:t>
      </w:r>
    </w:p>
    <w:p w:rsidR="003869BF" w:rsidRDefault="003869BF" w:rsidP="00626F22">
      <w:pPr>
        <w:pStyle w:val="SingleTxtGR"/>
      </w:pPr>
      <w:r w:rsidRPr="00A61088">
        <w:rPr>
          <w:i/>
        </w:rPr>
        <w:t>Неофициальный документ:</w:t>
      </w:r>
      <w:r>
        <w:tab/>
        <w:t>INF.16 (МСАТ)</w:t>
      </w:r>
    </w:p>
    <w:p w:rsidR="003869BF" w:rsidRDefault="003869BF" w:rsidP="00626F22">
      <w:pPr>
        <w:pStyle w:val="SingleTxtGR"/>
      </w:pPr>
      <w:r>
        <w:t>32.</w:t>
      </w:r>
      <w:r>
        <w:tab/>
        <w:t>В результате проведенного голосования был</w:t>
      </w:r>
      <w:r w:rsidR="00593BF6">
        <w:t>и</w:t>
      </w:r>
      <w:r>
        <w:t xml:space="preserve"> принят</w:t>
      </w:r>
      <w:r w:rsidR="00593BF6">
        <w:t>ы три предложения с некоторыми изменениями</w:t>
      </w:r>
      <w:r>
        <w:t xml:space="preserve"> для вступления в силу 1 января 2019 года (см. пр</w:t>
      </w:r>
      <w:r>
        <w:t>и</w:t>
      </w:r>
      <w:r>
        <w:t>ложение I).</w:t>
      </w:r>
    </w:p>
    <w:p w:rsidR="003869BF" w:rsidRDefault="00A61088" w:rsidP="00A61088">
      <w:pPr>
        <w:pStyle w:val="H23GR"/>
      </w:pPr>
      <w:r>
        <w:tab/>
      </w:r>
      <w:r w:rsidR="003869BF">
        <w:t>3.</w:t>
      </w:r>
      <w:r w:rsidR="003869BF">
        <w:tab/>
        <w:t>Предложение относительно определения перевозки частными лицами согласно пункту 1.1.3.1 a)</w:t>
      </w:r>
    </w:p>
    <w:p w:rsidR="003869BF" w:rsidRDefault="003869BF" w:rsidP="00626F22">
      <w:pPr>
        <w:pStyle w:val="SingleTxtGR"/>
      </w:pPr>
      <w:r w:rsidRPr="00A61088">
        <w:rPr>
          <w:i/>
        </w:rPr>
        <w:t>Документ:</w:t>
      </w:r>
      <w:r>
        <w:tab/>
      </w:r>
      <w:r w:rsidR="00A61088">
        <w:tab/>
      </w:r>
      <w:r w:rsidR="00A61088">
        <w:tab/>
      </w:r>
      <w:r w:rsidR="00A61088">
        <w:tab/>
      </w:r>
      <w:r>
        <w:t>ECE/TRANS/WP.15/2017/9 (Швейцария)</w:t>
      </w:r>
    </w:p>
    <w:p w:rsidR="003869BF" w:rsidRDefault="003869BF" w:rsidP="00626F22">
      <w:pPr>
        <w:pStyle w:val="SingleTxtGR"/>
      </w:pPr>
      <w:r w:rsidRPr="00A61088">
        <w:rPr>
          <w:i/>
        </w:rPr>
        <w:t>Неофициальный документ:</w:t>
      </w:r>
      <w:r>
        <w:tab/>
        <w:t>INF.5 (Швейцария)</w:t>
      </w:r>
    </w:p>
    <w:p w:rsidR="003869BF" w:rsidRDefault="003869BF" w:rsidP="00626F22">
      <w:pPr>
        <w:pStyle w:val="SingleTxtGR"/>
      </w:pPr>
      <w:r>
        <w:t>33.</w:t>
      </w:r>
      <w:r>
        <w:tab/>
        <w:t>Рабочая группа поблагодарила представителя Швейцари</w:t>
      </w:r>
      <w:r w:rsidR="00285501">
        <w:t>и</w:t>
      </w:r>
      <w:r>
        <w:t xml:space="preserve"> за его док</w:t>
      </w:r>
      <w:r>
        <w:t>у</w:t>
      </w:r>
      <w:r>
        <w:t xml:space="preserve">мент, содержащий резюме обсуждений, уже состоявшихся в рамках Рабочей группы. </w:t>
      </w:r>
    </w:p>
    <w:p w:rsidR="003869BF" w:rsidRDefault="003869BF" w:rsidP="00626F22">
      <w:pPr>
        <w:pStyle w:val="SingleTxtGR"/>
      </w:pPr>
      <w:r>
        <w:t>34.</w:t>
      </w:r>
      <w:r>
        <w:tab/>
        <w:t xml:space="preserve">Рабочая группа отметила, что изъятия, </w:t>
      </w:r>
      <w:r w:rsidR="00272E5F">
        <w:t>предусмотренные пун</w:t>
      </w:r>
      <w:r w:rsidR="00272E5F">
        <w:t>к</w:t>
      </w:r>
      <w:r w:rsidR="00272E5F">
        <w:t>том 1.1.3.1 </w:t>
      </w:r>
      <w:r>
        <w:t>a), в странах выступивших делегаций толкуются и применяются по-разному и что при таких условиях было трудно разъяснить сферу применения пункта 1.1.3.1 a). Некоторые делегации сочли, что предложенные поправки не решают поставленные вопросы. По мнению ряда делегаций, это также является проблемой для МПОГ.</w:t>
      </w:r>
    </w:p>
    <w:p w:rsidR="003869BF" w:rsidRDefault="00285501" w:rsidP="00626F22">
      <w:pPr>
        <w:pStyle w:val="SingleTxtGR"/>
      </w:pPr>
      <w:r>
        <w:t>35.</w:t>
      </w:r>
      <w:r>
        <w:tab/>
        <w:t>Представитель Швейцарии</w:t>
      </w:r>
      <w:r w:rsidR="003869BF">
        <w:t xml:space="preserve"> снял с рассмотрения свое предложение на этой сессии. Он учтет полученные замечания для подготовки ответов на зада</w:t>
      </w:r>
      <w:r w:rsidR="003869BF">
        <w:t>н</w:t>
      </w:r>
      <w:r w:rsidR="003869BF">
        <w:t>ные вопросы.</w:t>
      </w:r>
    </w:p>
    <w:p w:rsidR="003869BF" w:rsidRDefault="00272E5F" w:rsidP="00272E5F">
      <w:pPr>
        <w:pStyle w:val="H23GR"/>
      </w:pPr>
      <w:r>
        <w:tab/>
      </w:r>
      <w:r w:rsidR="003869BF">
        <w:t>4.</w:t>
      </w:r>
      <w:r w:rsidR="003869BF">
        <w:tab/>
        <w:t>Ссылка на Кодекс практики ИМО/</w:t>
      </w:r>
      <w:r>
        <w:t>МОТ/ЕЭК ООН по укладке грузов в </w:t>
      </w:r>
      <w:r w:rsidR="003869BF">
        <w:t>грузовые транспортные единицы (Кодекс ГТЕ)</w:t>
      </w:r>
    </w:p>
    <w:p w:rsidR="003869BF" w:rsidRDefault="003869BF" w:rsidP="00626F22">
      <w:pPr>
        <w:pStyle w:val="SingleTxtGR"/>
      </w:pPr>
      <w:r w:rsidRPr="00272E5F">
        <w:rPr>
          <w:i/>
        </w:rPr>
        <w:t>Документ:</w:t>
      </w:r>
      <w:r>
        <w:tab/>
      </w:r>
      <w:r w:rsidR="00272E5F">
        <w:tab/>
      </w:r>
      <w:r w:rsidR="00272E5F">
        <w:tab/>
      </w:r>
      <w:r w:rsidR="00272E5F">
        <w:tab/>
      </w:r>
      <w:r>
        <w:t>ECE/TRANS/WP.15/2017/12 (</w:t>
      </w:r>
      <w:r w:rsidR="00285501">
        <w:t>с</w:t>
      </w:r>
      <w:r>
        <w:t>екретариат)</w:t>
      </w:r>
    </w:p>
    <w:p w:rsidR="003869BF" w:rsidRDefault="003869BF" w:rsidP="00626F22">
      <w:pPr>
        <w:pStyle w:val="SingleTxtGR"/>
      </w:pPr>
      <w:r>
        <w:t>36.</w:t>
      </w:r>
      <w:r>
        <w:tab/>
        <w:t>В результате проведенного голосования предложение о включении ссы</w:t>
      </w:r>
      <w:r>
        <w:t>л</w:t>
      </w:r>
      <w:r>
        <w:t>ки на главы 9 и 10 Кодекса ГТЕ в сноску к пункту 7.5.7.1 ДОПОГ было принято (см. приложение I).</w:t>
      </w:r>
    </w:p>
    <w:p w:rsidR="003869BF" w:rsidRDefault="003869BF" w:rsidP="00626F22">
      <w:pPr>
        <w:pStyle w:val="SingleTxtGR"/>
      </w:pPr>
      <w:r>
        <w:t>37.</w:t>
      </w:r>
      <w:r>
        <w:tab/>
        <w:t>Представитель Германии заявила о том, что она может представить на следующей сессии предложение, направленное на то, чтобы распространить данную ссылку на весь Кодекс ГТЕ.</w:t>
      </w:r>
    </w:p>
    <w:p w:rsidR="003869BF" w:rsidRDefault="00272E5F" w:rsidP="00272E5F">
      <w:pPr>
        <w:pStyle w:val="H23GR"/>
      </w:pPr>
      <w:r>
        <w:tab/>
      </w:r>
      <w:r w:rsidR="003869BF">
        <w:t>5.</w:t>
      </w:r>
      <w:r w:rsidR="003869BF">
        <w:tab/>
        <w:t>Увеличение количества взрывчатых веществ на транспортную единицу</w:t>
      </w:r>
    </w:p>
    <w:p w:rsidR="003869BF" w:rsidRDefault="003869BF" w:rsidP="00272E5F">
      <w:pPr>
        <w:pStyle w:val="SingleTxtGR"/>
        <w:keepNext/>
        <w:keepLines/>
      </w:pPr>
      <w:r w:rsidRPr="00272E5F">
        <w:rPr>
          <w:i/>
        </w:rPr>
        <w:t>Документ:</w:t>
      </w:r>
      <w:r>
        <w:tab/>
      </w:r>
      <w:r w:rsidR="00272E5F">
        <w:tab/>
      </w:r>
      <w:r w:rsidR="00272E5F">
        <w:tab/>
      </w:r>
      <w:r w:rsidR="00272E5F">
        <w:tab/>
      </w:r>
      <w:r>
        <w:t>ECE/TRANS/WP.15/2017/8 (Испания)</w:t>
      </w:r>
    </w:p>
    <w:p w:rsidR="003869BF" w:rsidRDefault="003869BF" w:rsidP="00272E5F">
      <w:pPr>
        <w:pStyle w:val="SingleTxtGR"/>
        <w:keepNext/>
        <w:keepLines/>
        <w:ind w:left="3969" w:hanging="2835"/>
        <w:jc w:val="left"/>
      </w:pPr>
      <w:r w:rsidRPr="00272E5F">
        <w:rPr>
          <w:i/>
        </w:rPr>
        <w:t>Неофициальные документы:</w:t>
      </w:r>
      <w:r>
        <w:tab/>
        <w:t>INF.7 (Ирландия), INF.17 (Ирландия и Испания) и INF.20 (Испания)</w:t>
      </w:r>
    </w:p>
    <w:p w:rsidR="003869BF" w:rsidRDefault="003869BF" w:rsidP="00626F22">
      <w:pPr>
        <w:pStyle w:val="SingleTxtGR"/>
      </w:pPr>
      <w:r>
        <w:t>38.</w:t>
      </w:r>
      <w:r>
        <w:tab/>
        <w:t>Большинство выступивших делегаций не поддержали предложение И</w:t>
      </w:r>
      <w:r>
        <w:t>с</w:t>
      </w:r>
      <w:r>
        <w:t>пании об увеличении максимальной массы нетто на транспортную единицу для № ООН 0027, 0081, 0082, 0083, 0084, 0241, 0331 и 0332 при перевозке тран</w:t>
      </w:r>
      <w:r>
        <w:t>с</w:t>
      </w:r>
      <w:r>
        <w:t>портными средствами ЕХ/III.</w:t>
      </w:r>
    </w:p>
    <w:p w:rsidR="003869BF" w:rsidRDefault="003869BF" w:rsidP="00626F22">
      <w:pPr>
        <w:pStyle w:val="SingleTxtGR"/>
      </w:pPr>
      <w:r>
        <w:t>39.</w:t>
      </w:r>
      <w:r>
        <w:tab/>
        <w:t>Представитель Испании принял к сведению высказанные замечания и оговорки и представит на одной из последующих сессий пересмотренное пре</w:t>
      </w:r>
      <w:r>
        <w:t>д</w:t>
      </w:r>
      <w:r>
        <w:t xml:space="preserve">ложение, с </w:t>
      </w:r>
      <w:proofErr w:type="gramStart"/>
      <w:r>
        <w:t>тем</w:t>
      </w:r>
      <w:proofErr w:type="gramEnd"/>
      <w:r>
        <w:t xml:space="preserve"> чтобы учесть эти замечания и оговорки и дать на них ответы.</w:t>
      </w:r>
    </w:p>
    <w:p w:rsidR="003869BF" w:rsidRDefault="00272E5F" w:rsidP="00272E5F">
      <w:pPr>
        <w:pStyle w:val="H23GR"/>
      </w:pPr>
      <w:r>
        <w:tab/>
      </w:r>
      <w:r w:rsidR="003869BF">
        <w:t>6.</w:t>
      </w:r>
      <w:r w:rsidR="003869BF">
        <w:tab/>
        <w:t>Размещение маркировки в виде табличек оранжевого цвета в случае перевозки в транспортной цепи, включающей морскую или воздушную перевозку</w:t>
      </w:r>
    </w:p>
    <w:p w:rsidR="003869BF" w:rsidRDefault="003869BF" w:rsidP="00626F22">
      <w:pPr>
        <w:pStyle w:val="SingleTxtGR"/>
      </w:pPr>
      <w:r w:rsidRPr="00272E5F">
        <w:rPr>
          <w:i/>
        </w:rPr>
        <w:t>Документ:</w:t>
      </w:r>
      <w:r>
        <w:tab/>
      </w:r>
      <w:r w:rsidR="00272E5F">
        <w:tab/>
      </w:r>
      <w:r w:rsidR="00272E5F">
        <w:tab/>
      </w:r>
      <w:r w:rsidR="00272E5F">
        <w:tab/>
      </w:r>
      <w:r>
        <w:t>ECE/TRANS/WP.15/2017/2 (Швейцария)</w:t>
      </w:r>
    </w:p>
    <w:p w:rsidR="003869BF" w:rsidRDefault="003869BF" w:rsidP="00626F22">
      <w:pPr>
        <w:pStyle w:val="SingleTxtGR"/>
      </w:pPr>
      <w:r w:rsidRPr="00272E5F">
        <w:rPr>
          <w:i/>
        </w:rPr>
        <w:t>Неофициальный документ:</w:t>
      </w:r>
      <w:r>
        <w:tab/>
        <w:t>INF.21 (Швейцария и Норвегия)</w:t>
      </w:r>
    </w:p>
    <w:p w:rsidR="003869BF" w:rsidRDefault="003869BF" w:rsidP="00626F22">
      <w:pPr>
        <w:pStyle w:val="SingleTxtGR"/>
      </w:pPr>
      <w:r>
        <w:t>40.</w:t>
      </w:r>
      <w:r>
        <w:tab/>
      </w:r>
      <w:proofErr w:type="gramStart"/>
      <w:r>
        <w:t>Рабочая группа подтвердила, что, несмотря на положения пу</w:t>
      </w:r>
      <w:r w:rsidR="00272E5F">
        <w:t>н</w:t>
      </w:r>
      <w:r w:rsidR="00272E5F">
        <w:t>к</w:t>
      </w:r>
      <w:r w:rsidR="00272E5F">
        <w:t>та </w:t>
      </w:r>
      <w:r>
        <w:t>1.1.4.2.2, транспортные единицы, состоящие из одного или нескольких транспортных средств, за исключением транспортных единиц, перевозящих контейнеры, переносные цистерны, контейнеры-цистерны или МЭГК в соо</w:t>
      </w:r>
      <w:r>
        <w:t>т</w:t>
      </w:r>
      <w:r>
        <w:t>ветствии с положениями, предусмотренными в пункте 1.1.4.2.1 с), которые снабжены информационными табло, не соот</w:t>
      </w:r>
      <w:r w:rsidR="00285501">
        <w:t>ветствующими положениям разд</w:t>
      </w:r>
      <w:r w:rsidR="00285501">
        <w:t>е</w:t>
      </w:r>
      <w:r w:rsidR="00285501">
        <w:t>ла </w:t>
      </w:r>
      <w:r>
        <w:t>5.3.1 ДОПОГ, но маркированы и снабжены информационными табло в соо</w:t>
      </w:r>
      <w:r>
        <w:t>т</w:t>
      </w:r>
      <w:r>
        <w:t>ветствии с главой 5.3 МКМПОГ</w:t>
      </w:r>
      <w:proofErr w:type="gramEnd"/>
      <w:r>
        <w:t>, допущенные к перевозке в транспортной цепи, включающей морскую перевозку, не должны иметь маркировку в виде табличек оранжевого цвета в тех случаях, когда она не требуется согласно ДОПОГ (например, в случае применения подраздела 1.1.3.6).</w:t>
      </w:r>
    </w:p>
    <w:p w:rsidR="003869BF" w:rsidRDefault="003869BF" w:rsidP="00626F22">
      <w:pPr>
        <w:pStyle w:val="SingleTxtGR"/>
      </w:pPr>
      <w:r>
        <w:t>41.</w:t>
      </w:r>
      <w:r>
        <w:tab/>
        <w:t>Большинство делегаций сочли, что это толкование не противоречит н</w:t>
      </w:r>
      <w:r>
        <w:t>ы</w:t>
      </w:r>
      <w:r>
        <w:t>нешней формулировке пункта 1.1.4.2.2. В результате проведенного голосования предложение Швейцарии и Норвегии, направленное на внесение в текст соо</w:t>
      </w:r>
      <w:r>
        <w:t>т</w:t>
      </w:r>
      <w:r>
        <w:t xml:space="preserve">ветствующего уточнения, не было принято. </w:t>
      </w:r>
    </w:p>
    <w:p w:rsidR="003869BF" w:rsidRDefault="00272E5F" w:rsidP="00272E5F">
      <w:pPr>
        <w:pStyle w:val="H23GR"/>
      </w:pPr>
      <w:r>
        <w:tab/>
      </w:r>
      <w:r w:rsidR="003869BF">
        <w:t>7.</w:t>
      </w:r>
      <w:r w:rsidR="003869BF">
        <w:tab/>
        <w:t>Применение ограничений на проезд через туннели к позициям, предусмотренным для двигателей и машин под № ООН 3528, 3529 и 3530</w:t>
      </w:r>
    </w:p>
    <w:p w:rsidR="003869BF" w:rsidRDefault="003869BF" w:rsidP="00626F22">
      <w:pPr>
        <w:pStyle w:val="SingleTxtGR"/>
      </w:pPr>
      <w:r w:rsidRPr="00272E5F">
        <w:rPr>
          <w:i/>
        </w:rPr>
        <w:t>Документ:</w:t>
      </w:r>
      <w:r>
        <w:tab/>
      </w:r>
      <w:r w:rsidR="00272E5F">
        <w:tab/>
      </w:r>
      <w:r w:rsidR="00272E5F">
        <w:tab/>
      </w:r>
      <w:r w:rsidR="00272E5F">
        <w:tab/>
      </w:r>
      <w:r>
        <w:t>ECE/TRANS/WP.15/2017/3 (Швейцария)</w:t>
      </w:r>
    </w:p>
    <w:p w:rsidR="003869BF" w:rsidRDefault="003869BF" w:rsidP="00626F22">
      <w:pPr>
        <w:pStyle w:val="SingleTxtGR"/>
      </w:pPr>
      <w:r w:rsidRPr="00272E5F">
        <w:rPr>
          <w:i/>
        </w:rPr>
        <w:t>Неофициальный документ:</w:t>
      </w:r>
      <w:r>
        <w:tab/>
        <w:t>INF.19 (Швейцария)</w:t>
      </w:r>
    </w:p>
    <w:p w:rsidR="003869BF" w:rsidRDefault="003869BF" w:rsidP="00626F22">
      <w:pPr>
        <w:pStyle w:val="SingleTxtGR"/>
      </w:pPr>
      <w:r>
        <w:t>42.</w:t>
      </w:r>
      <w:r>
        <w:tab/>
        <w:t>Рабочая группа высказалась в поддержку положений, направленных на то, чтобы для целей применения ограничений на проезд через туннели треб</w:t>
      </w:r>
      <w:r>
        <w:t>о</w:t>
      </w:r>
      <w:r>
        <w:t>вать размещения табличек оранжевого цвета на транспортных средствах, пер</w:t>
      </w:r>
      <w:r>
        <w:t>е</w:t>
      </w:r>
      <w:r>
        <w:t>возящих двигатели или машины под № ООН 3528, 3529 и 3530, в соответствии со специальным положением 363.</w:t>
      </w:r>
    </w:p>
    <w:p w:rsidR="003869BF" w:rsidRDefault="003869BF" w:rsidP="00626F22">
      <w:pPr>
        <w:pStyle w:val="SingleTxtGR"/>
      </w:pPr>
      <w:r>
        <w:t>43.</w:t>
      </w:r>
      <w:r>
        <w:tab/>
        <w:t>Представитель Швейцарии подготовил пересмотренное предложение, с</w:t>
      </w:r>
      <w:r>
        <w:t>о</w:t>
      </w:r>
      <w:r>
        <w:t xml:space="preserve">держащееся в неофициальном документе INF.19, с </w:t>
      </w:r>
      <w:proofErr w:type="gramStart"/>
      <w:r>
        <w:t>тем</w:t>
      </w:r>
      <w:proofErr w:type="gramEnd"/>
      <w:r>
        <w:t xml:space="preserve"> чтобы учесть замечания, высказанные в ходе сессии, и поправки к специальному положению 363, подг</w:t>
      </w:r>
      <w:r>
        <w:t>о</w:t>
      </w:r>
      <w:r>
        <w:t>товленные Специальной рабочей группой по согласованию МПОГ/ДОПОГ/</w:t>
      </w:r>
      <w:r w:rsidR="00272E5F">
        <w:br/>
      </w:r>
      <w:r>
        <w:t>ВОПОГ с Рекомендациями ООН по перевозке опасных грузов, которые будут обсуждаться на сессии Совместного совещания осенью 2017 года.</w:t>
      </w:r>
    </w:p>
    <w:p w:rsidR="003869BF" w:rsidRDefault="003869BF" w:rsidP="00626F22">
      <w:pPr>
        <w:pStyle w:val="SingleTxtGR"/>
      </w:pPr>
      <w:r>
        <w:t>44.</w:t>
      </w:r>
      <w:r>
        <w:tab/>
        <w:t>В результате проведенного голосования предложение 1 было принято с некоторыми изменениями, а предложение 2 было принято с сопутствующими поправками к разделу 1.9.5 (см. приложение I).</w:t>
      </w:r>
    </w:p>
    <w:p w:rsidR="003869BF" w:rsidRDefault="00272E5F" w:rsidP="00272E5F">
      <w:pPr>
        <w:pStyle w:val="H23GR"/>
      </w:pPr>
      <w:r>
        <w:tab/>
      </w:r>
      <w:r w:rsidR="003869BF">
        <w:t>8.</w:t>
      </w:r>
      <w:r w:rsidR="003869BF">
        <w:tab/>
        <w:t>Предложение о поправках к пунктам 5.3.2.1.4 и 5.3.2.1.6</w:t>
      </w:r>
    </w:p>
    <w:p w:rsidR="003869BF" w:rsidRDefault="003869BF" w:rsidP="00626F22">
      <w:pPr>
        <w:pStyle w:val="SingleTxtGR"/>
      </w:pPr>
      <w:r w:rsidRPr="00272E5F">
        <w:rPr>
          <w:i/>
        </w:rPr>
        <w:t>Документ:</w:t>
      </w:r>
      <w:r>
        <w:tab/>
      </w:r>
      <w:r w:rsidR="00272E5F">
        <w:tab/>
      </w:r>
      <w:r w:rsidR="00272E5F">
        <w:tab/>
      </w:r>
      <w:r w:rsidR="00272E5F">
        <w:tab/>
      </w:r>
      <w:r>
        <w:t>ECE/TRANS/WP.15/2017/10 (Австрия)</w:t>
      </w:r>
    </w:p>
    <w:p w:rsidR="003869BF" w:rsidRDefault="003869BF" w:rsidP="00626F22">
      <w:pPr>
        <w:pStyle w:val="SingleTxtGR"/>
      </w:pPr>
      <w:r>
        <w:t>45.</w:t>
      </w:r>
      <w:r>
        <w:tab/>
        <w:t>В результате проведенного голосования предложение об изменении фо</w:t>
      </w:r>
      <w:r>
        <w:t>р</w:t>
      </w:r>
      <w:r>
        <w:t>мулировки пункта 5.3.2.1.6 было принято и будет заключено в квадратные ско</w:t>
      </w:r>
      <w:r>
        <w:t>б</w:t>
      </w:r>
      <w:r>
        <w:t>ки в ожидании подтверждения на следующей сессии (см. приложение I). В р</w:t>
      </w:r>
      <w:r>
        <w:t>е</w:t>
      </w:r>
      <w:r>
        <w:t xml:space="preserve">зультате проведенного голосования предложение об изменении формулировки пункта 5.3.2.1.4 было принято с одной поправкой (см. приложение I). </w:t>
      </w:r>
    </w:p>
    <w:p w:rsidR="003869BF" w:rsidRDefault="00272E5F" w:rsidP="00272E5F">
      <w:pPr>
        <w:pStyle w:val="H23GR"/>
      </w:pPr>
      <w:r>
        <w:tab/>
      </w:r>
      <w:r w:rsidR="003869BF">
        <w:t>9.</w:t>
      </w:r>
      <w:r w:rsidR="003869BF">
        <w:tab/>
        <w:t xml:space="preserve">Поправка к пункту 8.1.2.1 а) </w:t>
      </w:r>
    </w:p>
    <w:p w:rsidR="003869BF" w:rsidRDefault="003869BF" w:rsidP="00626F22">
      <w:pPr>
        <w:pStyle w:val="SingleTxtGR"/>
      </w:pPr>
      <w:r w:rsidRPr="00272E5F">
        <w:rPr>
          <w:i/>
        </w:rPr>
        <w:t>Неофициальный документ:</w:t>
      </w:r>
      <w:r>
        <w:tab/>
        <w:t>INF.3 (Швеция)</w:t>
      </w:r>
    </w:p>
    <w:p w:rsidR="003869BF" w:rsidRDefault="003869BF" w:rsidP="00626F22">
      <w:pPr>
        <w:pStyle w:val="SingleTxtGR"/>
      </w:pPr>
      <w:r>
        <w:t>46.</w:t>
      </w:r>
      <w:r>
        <w:tab/>
        <w:t xml:space="preserve">Предложение Швеции было принято (см. приложение I). </w:t>
      </w:r>
    </w:p>
    <w:p w:rsidR="003869BF" w:rsidRDefault="00272E5F" w:rsidP="00272E5F">
      <w:pPr>
        <w:pStyle w:val="H23GR"/>
      </w:pPr>
      <w:r>
        <w:tab/>
      </w:r>
      <w:r w:rsidR="003869BF">
        <w:t>10.</w:t>
      </w:r>
      <w:r w:rsidR="003869BF">
        <w:tab/>
        <w:t>Исправление к пункту 6.8.2.4.3</w:t>
      </w:r>
    </w:p>
    <w:p w:rsidR="003869BF" w:rsidRDefault="003869BF" w:rsidP="00626F22">
      <w:pPr>
        <w:pStyle w:val="SingleTxtGR"/>
      </w:pPr>
      <w:r w:rsidRPr="00272E5F">
        <w:rPr>
          <w:i/>
        </w:rPr>
        <w:t>Неофициальный документ:</w:t>
      </w:r>
      <w:r>
        <w:tab/>
        <w:t>INF.14 (Франция)</w:t>
      </w:r>
    </w:p>
    <w:p w:rsidR="003869BF" w:rsidRDefault="003869BF" w:rsidP="00626F22">
      <w:pPr>
        <w:pStyle w:val="SingleTxtGR"/>
      </w:pPr>
      <w:r>
        <w:t>47.</w:t>
      </w:r>
      <w:r>
        <w:tab/>
        <w:t>Рабочая группа подтвердила, что текст пункта 6.8.2.4.3, принятый Раб</w:t>
      </w:r>
      <w:r>
        <w:t>о</w:t>
      </w:r>
      <w:r>
        <w:t>чей группой на основе предложения, которое было представлено Рабочей гру</w:t>
      </w:r>
      <w:r>
        <w:t>п</w:t>
      </w:r>
      <w:r>
        <w:t>пы по цистернам Совместного совещания на английском языке, включал пер</w:t>
      </w:r>
      <w:r>
        <w:t>е</w:t>
      </w:r>
      <w:r>
        <w:t>водческую ошибку в тексте на французском языке.</w:t>
      </w:r>
    </w:p>
    <w:p w:rsidR="003869BF" w:rsidRDefault="003869BF" w:rsidP="00626F22">
      <w:pPr>
        <w:pStyle w:val="SingleTxtGR"/>
      </w:pPr>
      <w:r>
        <w:t>48.</w:t>
      </w:r>
      <w:r>
        <w:tab/>
        <w:t>Рабочая группа приняла исправление в тексте на французском языке и просила секретариат сделать все необходимое для того, чтобы как можно скорее выпустить документ «исправление» (см. приложения II и III).</w:t>
      </w:r>
    </w:p>
    <w:p w:rsidR="003869BF" w:rsidRDefault="00272E5F" w:rsidP="00272E5F">
      <w:pPr>
        <w:pStyle w:val="HChGR"/>
      </w:pPr>
      <w:r>
        <w:tab/>
      </w:r>
      <w:r w:rsidR="003869BF">
        <w:t>VII.</w:t>
      </w:r>
      <w:r w:rsidR="003869BF">
        <w:tab/>
        <w:t>Толкование ДОПОГ (пункт 6 повестки дня)</w:t>
      </w:r>
    </w:p>
    <w:p w:rsidR="003869BF" w:rsidRDefault="00272E5F" w:rsidP="00272E5F">
      <w:pPr>
        <w:pStyle w:val="H1GR"/>
      </w:pPr>
      <w:r>
        <w:tab/>
      </w:r>
      <w:r w:rsidR="003869BF">
        <w:t>A.</w:t>
      </w:r>
      <w:r w:rsidR="003869BF">
        <w:tab/>
        <w:t>Информация, указываемая в транспортном документе</w:t>
      </w:r>
    </w:p>
    <w:p w:rsidR="003869BF" w:rsidRDefault="003869BF" w:rsidP="00626F22">
      <w:pPr>
        <w:pStyle w:val="SingleTxtGR"/>
      </w:pPr>
      <w:r w:rsidRPr="00272E5F">
        <w:rPr>
          <w:i/>
        </w:rPr>
        <w:t>Документ:</w:t>
      </w:r>
      <w:r>
        <w:tab/>
      </w:r>
      <w:r w:rsidR="00272E5F">
        <w:tab/>
      </w:r>
      <w:r w:rsidR="00272E5F">
        <w:tab/>
      </w:r>
      <w:r w:rsidR="00272E5F">
        <w:tab/>
      </w:r>
      <w:r>
        <w:t>ECE/TRANS/WP.15/2017/1 (Польша)</w:t>
      </w:r>
    </w:p>
    <w:p w:rsidR="003869BF" w:rsidRDefault="003869BF" w:rsidP="00626F22">
      <w:pPr>
        <w:pStyle w:val="SingleTxtGR"/>
      </w:pPr>
      <w:r>
        <w:t>49.</w:t>
      </w:r>
      <w:r>
        <w:tab/>
        <w:t>Рабочая группа подтвердила, что ДОПОГ не запрещает включать в транспортный документ информацию, дополняющую сведения, перечисленные в разделе 5.4.1, и что компетентные органы могут требовать указания в нем д</w:t>
      </w:r>
      <w:r>
        <w:t>о</w:t>
      </w:r>
      <w:r>
        <w:t>полнительной информации, требуемой по причинам иным, чем безопасность в пути, в соответствии со статьей 4 (1) Соглашения.</w:t>
      </w:r>
    </w:p>
    <w:p w:rsidR="003869BF" w:rsidRDefault="003869BF" w:rsidP="00626F22">
      <w:pPr>
        <w:pStyle w:val="SingleTxtGR"/>
      </w:pPr>
      <w:r>
        <w:t>50.</w:t>
      </w:r>
      <w:r>
        <w:tab/>
        <w:t>Ряд делегаций напомнили о том, что принятый в Польше закон, требу</w:t>
      </w:r>
      <w:r>
        <w:t>ю</w:t>
      </w:r>
      <w:r>
        <w:t>щий указания в транспортном документе наименования и адреса собственника перевозимых опасных грузов, хотя и соответствует статье 4 (1) Соглашения ДОПОГ, создает препятствия для международной торговли опасными грузами (см. также ECE/TRANS/WP.15/235, пункты 37–43).</w:t>
      </w:r>
    </w:p>
    <w:p w:rsidR="003869BF" w:rsidRDefault="003869BF" w:rsidP="00626F22">
      <w:pPr>
        <w:pStyle w:val="SingleTxtGR"/>
      </w:pPr>
      <w:r>
        <w:t>51.</w:t>
      </w:r>
      <w:r>
        <w:tab/>
        <w:t>Представитель МСАТ выразил сожаление по поводу того, что огранич</w:t>
      </w:r>
      <w:r>
        <w:t>е</w:t>
      </w:r>
      <w:r>
        <w:t xml:space="preserve">ния, введенные в некоторых странах в соответствии со статьей 4 (1) ДОПОГ, создают проблемы для транспортных компаний и могут восприниматься как торговые барьеры, тем более что получение информации об этих ограничениях может быть сопряжено с трудностями. Он предложил </w:t>
      </w:r>
      <w:r w:rsidR="00D151A0">
        <w:t xml:space="preserve">Договаривающимся </w:t>
      </w:r>
      <w:r>
        <w:t>ст</w:t>
      </w:r>
      <w:r>
        <w:t>о</w:t>
      </w:r>
      <w:r>
        <w:t xml:space="preserve">ронам сообщать эту информацию через веб-сайт секретариата Европейской экономической комиссии Организации Объединенных Наций. </w:t>
      </w:r>
    </w:p>
    <w:p w:rsidR="003869BF" w:rsidRDefault="003869BF" w:rsidP="00626F22">
      <w:pPr>
        <w:pStyle w:val="SingleTxtGR"/>
      </w:pPr>
      <w:r>
        <w:t>52.</w:t>
      </w:r>
      <w:r>
        <w:tab/>
        <w:t>Председатель отметил, что в современных экономических условиях в Е</w:t>
      </w:r>
      <w:r>
        <w:t>в</w:t>
      </w:r>
      <w:r>
        <w:t xml:space="preserve">ропе некоторые правительства, к сожалению, склонны применять схожие с </w:t>
      </w:r>
      <w:proofErr w:type="gramStart"/>
      <w:r>
        <w:t>пр</w:t>
      </w:r>
      <w:r>
        <w:t>о</w:t>
      </w:r>
      <w:r>
        <w:t>текционистскими</w:t>
      </w:r>
      <w:proofErr w:type="gramEnd"/>
      <w:r>
        <w:t xml:space="preserve"> меры в области перевозки грузов в целом, а не только пер</w:t>
      </w:r>
      <w:r>
        <w:t>е</w:t>
      </w:r>
      <w:r>
        <w:t>возки опасных грузов. Ряд делегаций присоединились к этому мнению и выр</w:t>
      </w:r>
      <w:r>
        <w:t>а</w:t>
      </w:r>
      <w:r>
        <w:t>зили сожаление по поводу такой ситуации. Впрочем, компетентным органам по вопросам ДОПОГ не всегда известны эти меры, которые часто находятся в в</w:t>
      </w:r>
      <w:r>
        <w:t>е</w:t>
      </w:r>
      <w:r>
        <w:t>дении не министе</w:t>
      </w:r>
      <w:proofErr w:type="gramStart"/>
      <w:r>
        <w:t>рств тр</w:t>
      </w:r>
      <w:proofErr w:type="gramEnd"/>
      <w:r>
        <w:t>анспорта, а других министерств, и поэтому им трудно сообщать перевозчикам об ограничениях, не относящихся к их компетенции. Было предложено довести эти проблемы до сведения Комитета по внутреннему транспорту.</w:t>
      </w:r>
    </w:p>
    <w:p w:rsidR="003869BF" w:rsidRDefault="00272E5F" w:rsidP="00272E5F">
      <w:pPr>
        <w:pStyle w:val="H1GR"/>
      </w:pPr>
      <w:r>
        <w:tab/>
        <w:t>B.</w:t>
      </w:r>
      <w:r>
        <w:tab/>
        <w:t>Переходная мера «</w:t>
      </w:r>
      <w:r w:rsidR="003869BF">
        <w:t>c</w:t>
      </w:r>
      <w:r>
        <w:t>»</w:t>
      </w:r>
      <w:r w:rsidR="003869BF">
        <w:t xml:space="preserve"> для ст</w:t>
      </w:r>
      <w:r>
        <w:t>роки 9.2.2.6, предусмотренная в </w:t>
      </w:r>
      <w:r w:rsidR="003869BF">
        <w:t>таблице в пункте 9.2.1.1</w:t>
      </w:r>
    </w:p>
    <w:p w:rsidR="003869BF" w:rsidRDefault="003869BF" w:rsidP="00626F22">
      <w:pPr>
        <w:pStyle w:val="SingleTxtGR"/>
      </w:pPr>
      <w:r w:rsidRPr="00272E5F">
        <w:rPr>
          <w:i/>
        </w:rPr>
        <w:t>Неофициальный документ:</w:t>
      </w:r>
      <w:r>
        <w:tab/>
        <w:t>INF.13 (Румыния)</w:t>
      </w:r>
    </w:p>
    <w:p w:rsidR="003869BF" w:rsidRDefault="003869BF" w:rsidP="00626F22">
      <w:pPr>
        <w:pStyle w:val="SingleTxtGR"/>
      </w:pPr>
      <w:r>
        <w:t>53.</w:t>
      </w:r>
      <w:r>
        <w:tab/>
        <w:t xml:space="preserve">Рабочая группа подтвердила, что замечание </w:t>
      </w:r>
      <w:r w:rsidR="00272E5F">
        <w:t>«</w:t>
      </w:r>
      <w:r>
        <w:t>c</w:t>
      </w:r>
      <w:r w:rsidR="00272E5F">
        <w:t>»</w:t>
      </w:r>
      <w:r>
        <w:t xml:space="preserve"> в таблице, приведенной в пункте 9.2.1.1, применяется к автомобилям, предназначенным для буксировки прицепов максимальной массой более 3,5 т, и к прицепам максимальной массой более 3,5 т, впервые зарегистрированным (или, если регистрация не является обязательной, впервые введенным в эксплуатацию) после 31 марта 2018 года. Именно на это было нацелено предложение ECE/TRANS/WP.15/2015/15, кот</w:t>
      </w:r>
      <w:r>
        <w:t>о</w:t>
      </w:r>
      <w:r>
        <w:t xml:space="preserve">рое было принято Рабочей группой, но в </w:t>
      </w:r>
      <w:proofErr w:type="gramStart"/>
      <w:r>
        <w:t>переводе</w:t>
      </w:r>
      <w:proofErr w:type="gramEnd"/>
      <w:r>
        <w:t xml:space="preserve"> которого на французский язык была допущена ошибка. </w:t>
      </w:r>
    </w:p>
    <w:p w:rsidR="003869BF" w:rsidRDefault="003869BF" w:rsidP="00626F22">
      <w:pPr>
        <w:pStyle w:val="SingleTxtGR"/>
      </w:pPr>
      <w:r>
        <w:t>54.</w:t>
      </w:r>
      <w:r>
        <w:tab/>
        <w:t>Рабочая группа приняла исправление в тексте на французском языке и просила секретариат сделать все необходимое для того, чтобы как можно скорее выпустить документ «исправление» (см. приложения II и III).</w:t>
      </w:r>
    </w:p>
    <w:p w:rsidR="003869BF" w:rsidRDefault="00272E5F" w:rsidP="00272E5F">
      <w:pPr>
        <w:pStyle w:val="HChGR"/>
      </w:pPr>
      <w:r>
        <w:tab/>
      </w:r>
      <w:r w:rsidR="003869BF">
        <w:t>VIII.</w:t>
      </w:r>
      <w:r w:rsidR="003869BF">
        <w:tab/>
        <w:t>Программа работы (пункт 7 повестки дня)</w:t>
      </w:r>
    </w:p>
    <w:p w:rsidR="003869BF" w:rsidRDefault="00272E5F" w:rsidP="00272E5F">
      <w:pPr>
        <w:pStyle w:val="H1GR"/>
      </w:pPr>
      <w:r>
        <w:tab/>
      </w:r>
      <w:r w:rsidR="003869BF">
        <w:t>A.</w:t>
      </w:r>
      <w:r w:rsidR="003869BF">
        <w:tab/>
        <w:t>Проект программы работы и программы совещаний на период 2018–2019 годов</w:t>
      </w:r>
    </w:p>
    <w:p w:rsidR="003869BF" w:rsidRDefault="003869BF" w:rsidP="00626F22">
      <w:pPr>
        <w:pStyle w:val="SingleTxtGR"/>
      </w:pPr>
      <w:r w:rsidRPr="00272E5F">
        <w:rPr>
          <w:i/>
        </w:rPr>
        <w:t>Неофициальный документ:</w:t>
      </w:r>
      <w:r>
        <w:t xml:space="preserve"> </w:t>
      </w:r>
      <w:r>
        <w:tab/>
        <w:t>INF.8 (секретариат)</w:t>
      </w:r>
    </w:p>
    <w:p w:rsidR="003869BF" w:rsidRDefault="003869BF" w:rsidP="00626F22">
      <w:pPr>
        <w:pStyle w:val="SingleTxtGR"/>
      </w:pPr>
      <w:r>
        <w:t>55.</w:t>
      </w:r>
      <w:r>
        <w:tab/>
        <w:t xml:space="preserve">Рабочая группа приняла проект программы работы на 2018–2019 годы, подготовленный секретариатом, с поправкой в отношении количества сессий, запланированных для Рабочей группы, принимая во внимание </w:t>
      </w:r>
      <w:proofErr w:type="gramStart"/>
      <w:r>
        <w:t>решение</w:t>
      </w:r>
      <w:proofErr w:type="gramEnd"/>
      <w:r>
        <w:t xml:space="preserve"> сокр</w:t>
      </w:r>
      <w:r>
        <w:t>а</w:t>
      </w:r>
      <w:r>
        <w:t>тить продолжительность ноябрьской сессии 2018 года с 10 до 8 заседаний по полдня (см. приложение V).</w:t>
      </w:r>
    </w:p>
    <w:p w:rsidR="003869BF" w:rsidRDefault="00272E5F" w:rsidP="00272E5F">
      <w:pPr>
        <w:pStyle w:val="H1GR"/>
      </w:pPr>
      <w:r>
        <w:tab/>
      </w:r>
      <w:r w:rsidR="003869BF">
        <w:t>B.</w:t>
      </w:r>
      <w:r w:rsidR="003869BF">
        <w:tab/>
        <w:t>103-я сессия</w:t>
      </w:r>
    </w:p>
    <w:p w:rsidR="003869BF" w:rsidRDefault="003869BF" w:rsidP="00626F22">
      <w:pPr>
        <w:pStyle w:val="SingleTxtGR"/>
      </w:pPr>
      <w:r>
        <w:t>56.</w:t>
      </w:r>
      <w:r>
        <w:tab/>
        <w:t>Пункты повестки дня следующей сессии будут такими же, как и пункты нынешней сессии. Будут добавлены пункт,</w:t>
      </w:r>
      <w:r w:rsidR="00272E5F">
        <w:t xml:space="preserve"> посвященный годовщине ДОПОГ, и </w:t>
      </w:r>
      <w:r>
        <w:t>пункт, касающийся выборов должностных лиц на 2018 год.</w:t>
      </w:r>
    </w:p>
    <w:p w:rsidR="003869BF" w:rsidRDefault="003869BF" w:rsidP="00626F22">
      <w:pPr>
        <w:pStyle w:val="SingleTxtGR"/>
      </w:pPr>
      <w:r>
        <w:t>57.</w:t>
      </w:r>
      <w:r>
        <w:tab/>
        <w:t>В целях обеспечения присутствия соответствующих экспертов Рабочая группа приняла решение на своей следующей сессии посвятить заседание в первой половине дня в среду, 8 ноября 2017 года, обсуждению конструкции к</w:t>
      </w:r>
      <w:r>
        <w:t>у</w:t>
      </w:r>
      <w:r>
        <w:t>зовов транспортных средств EX.</w:t>
      </w:r>
    </w:p>
    <w:p w:rsidR="003869BF" w:rsidRDefault="003869BF" w:rsidP="00626F22">
      <w:pPr>
        <w:pStyle w:val="SingleTxtGR"/>
      </w:pPr>
      <w:r>
        <w:t>58.</w:t>
      </w:r>
      <w:r>
        <w:tab/>
        <w:t>Кроме того, Рабочая группа решила на своей следующей сессии посв</w:t>
      </w:r>
      <w:r>
        <w:t>я</w:t>
      </w:r>
      <w:r>
        <w:t>тить заседание во второй половине дня 6 ноября 2017 года проведению «кру</w:t>
      </w:r>
      <w:r>
        <w:t>г</w:t>
      </w:r>
      <w:r>
        <w:t>лого стола» по теме перевозки опасных грузов.</w:t>
      </w:r>
    </w:p>
    <w:p w:rsidR="003869BF" w:rsidRDefault="003869BF" w:rsidP="00626F22">
      <w:pPr>
        <w:pStyle w:val="SingleTxtGR"/>
      </w:pPr>
      <w:r>
        <w:t>59.</w:t>
      </w:r>
      <w:r>
        <w:tab/>
        <w:t>Секретариат предложил делегациям, желающим сделать это, представить в письменном виде до конца июля 2017 года любые предложения, касающиеся проведения этого «круглого стола», а также тексты любых запланированных выступлений.</w:t>
      </w:r>
    </w:p>
    <w:p w:rsidR="003869BF" w:rsidRDefault="00272E5F" w:rsidP="00272E5F">
      <w:pPr>
        <w:pStyle w:val="H1GR"/>
      </w:pPr>
      <w:r>
        <w:tab/>
      </w:r>
      <w:r w:rsidR="003869BF">
        <w:t>C.</w:t>
      </w:r>
      <w:r w:rsidR="003869BF">
        <w:tab/>
        <w:t>Двухлетние оценки</w:t>
      </w:r>
    </w:p>
    <w:p w:rsidR="003869BF" w:rsidRDefault="003869BF" w:rsidP="00272E5F">
      <w:pPr>
        <w:pStyle w:val="SingleTxtGR"/>
        <w:keepNext/>
        <w:keepLines/>
      </w:pPr>
      <w:r w:rsidRPr="00272E5F">
        <w:rPr>
          <w:i/>
        </w:rPr>
        <w:t>Неофициальный документ:</w:t>
      </w:r>
      <w:r>
        <w:tab/>
        <w:t>INF.8 (секретариат)</w:t>
      </w:r>
    </w:p>
    <w:p w:rsidR="003869BF" w:rsidRDefault="003869BF" w:rsidP="00626F22">
      <w:pPr>
        <w:pStyle w:val="SingleTxtGR"/>
      </w:pPr>
      <w:r>
        <w:t>60.</w:t>
      </w:r>
      <w:r>
        <w:tab/>
        <w:t>Рабочая группа просила секретариат обновить части II и III неофициал</w:t>
      </w:r>
      <w:r>
        <w:t>ь</w:t>
      </w:r>
      <w:r>
        <w:t>ного документа INF.8 и представить его в качестве официального документа для рассмотрения на следующей сессии.</w:t>
      </w:r>
    </w:p>
    <w:p w:rsidR="003869BF" w:rsidRDefault="003869BF" w:rsidP="00626F22">
      <w:pPr>
        <w:pStyle w:val="SingleTxtGR"/>
      </w:pPr>
      <w:r>
        <w:t>61.</w:t>
      </w:r>
      <w:r>
        <w:tab/>
        <w:t>Тем странам, по которым эта информация отсутствует, Рабочая группа предложила сообщить секретариату ЕЭК ООН адреса органов и назначенных ими организаций, обладающих компетенцией согласно внутригосударственн</w:t>
      </w:r>
      <w:r>
        <w:t>о</w:t>
      </w:r>
      <w:r>
        <w:t>му законодательству в вопросах применения ДОПОГ, указывая в каждом случае соответствующее положение ДОПОГ, а также адреса, по которым следует направлять соответствующие заявки. В надлежащих случаях странам предлаг</w:t>
      </w:r>
      <w:r>
        <w:t>а</w:t>
      </w:r>
      <w:r>
        <w:t>ется подтвердить, что в вопросах соблюдения всех требований ДОПОГ соо</w:t>
      </w:r>
      <w:r>
        <w:t>т</w:t>
      </w:r>
      <w:r>
        <w:t>ветствующей компетенцией обладает только основной компетентный орган.</w:t>
      </w:r>
    </w:p>
    <w:p w:rsidR="003869BF" w:rsidRDefault="003869BF" w:rsidP="00626F22">
      <w:pPr>
        <w:pStyle w:val="SingleTxtGR"/>
      </w:pPr>
      <w:r>
        <w:t>62.</w:t>
      </w:r>
      <w:r>
        <w:tab/>
        <w:t>Рабочая группа также предложила странам, которые еще не сделали эт</w:t>
      </w:r>
      <w:r>
        <w:t>о</w:t>
      </w:r>
      <w:r>
        <w:t>го, прислать официальные переводы письменных инструкций согласно образцу в разделе 5.4.3 и образцы выдаваемых ими свидетельств о подготовке водителя ДОПОГ или подтвердить, что такие свидетельства в их странах не выдавались, в соответствующих случаях.</w:t>
      </w:r>
    </w:p>
    <w:p w:rsidR="003869BF" w:rsidRDefault="00272E5F" w:rsidP="00272E5F">
      <w:pPr>
        <w:pStyle w:val="HChGR"/>
      </w:pPr>
      <w:r>
        <w:tab/>
      </w:r>
      <w:r w:rsidR="003869BF">
        <w:t>IX.</w:t>
      </w:r>
      <w:r w:rsidR="003869BF">
        <w:tab/>
        <w:t>Прочие вопросы (пункт 8 повестки дня)</w:t>
      </w:r>
    </w:p>
    <w:p w:rsidR="003869BF" w:rsidRDefault="003869BF" w:rsidP="00626F22">
      <w:pPr>
        <w:pStyle w:val="SingleTxtGR"/>
      </w:pPr>
      <w:r w:rsidRPr="00272E5F">
        <w:rPr>
          <w:i/>
        </w:rPr>
        <w:t>Неофициальный документ:</w:t>
      </w:r>
      <w:r>
        <w:tab/>
        <w:t>INF.4 (ЕСХП)</w:t>
      </w:r>
    </w:p>
    <w:p w:rsidR="003869BF" w:rsidRDefault="003869BF" w:rsidP="00626F22">
      <w:pPr>
        <w:pStyle w:val="SingleTxtGR"/>
      </w:pPr>
      <w:r>
        <w:t>63.</w:t>
      </w:r>
      <w:r>
        <w:tab/>
        <w:t>Рабочая группа с интересом приняла к сведению пересмотренный вар</w:t>
      </w:r>
      <w:r>
        <w:t>и</w:t>
      </w:r>
      <w:r>
        <w:t>ант руководящих указаний, разработанных отраслью в отношении применения положений главы 1.10 ДОПОГ, по обеспечению безопасности дорожной пер</w:t>
      </w:r>
      <w:r>
        <w:t>е</w:t>
      </w:r>
      <w:r>
        <w:t>возки опасных грузов и поблагодарила соответствующие организации. Н</w:t>
      </w:r>
      <w:r>
        <w:t>е</w:t>
      </w:r>
      <w:r>
        <w:t>сколько делегаций подчеркнули полезность этих руководящих указаний и пр</w:t>
      </w:r>
      <w:r>
        <w:t>и</w:t>
      </w:r>
      <w:r>
        <w:t>ветствовали их регулярное обновление.</w:t>
      </w:r>
    </w:p>
    <w:p w:rsidR="003869BF" w:rsidRDefault="00272E5F" w:rsidP="00272E5F">
      <w:pPr>
        <w:pStyle w:val="HChGR"/>
      </w:pPr>
      <w:r>
        <w:tab/>
      </w:r>
      <w:r w:rsidR="003869BF">
        <w:t>X.</w:t>
      </w:r>
      <w:r w:rsidR="003869BF">
        <w:tab/>
        <w:t>Утверждение доклада (пункт 9 повестки дня)</w:t>
      </w:r>
    </w:p>
    <w:p w:rsidR="003869BF" w:rsidRDefault="003869BF" w:rsidP="00626F22">
      <w:pPr>
        <w:pStyle w:val="SingleTxtGR"/>
      </w:pPr>
      <w:r>
        <w:t>64.</w:t>
      </w:r>
      <w:r>
        <w:tab/>
        <w:t>Рабочая группа утвердила доклад о работе своей 102-й сессии и прил</w:t>
      </w:r>
      <w:r>
        <w:t>о</w:t>
      </w:r>
      <w:r>
        <w:t>жения к нему на основе проекта, подготовленного секретариатом.</w:t>
      </w:r>
    </w:p>
    <w:p w:rsidR="003869BF" w:rsidRDefault="00272E5F" w:rsidP="00272E5F">
      <w:pPr>
        <w:pStyle w:val="HChGR"/>
      </w:pPr>
      <w:r>
        <w:br w:type="page"/>
      </w:r>
      <w:r w:rsidR="003869BF">
        <w:t>Приложение I</w:t>
      </w:r>
    </w:p>
    <w:p w:rsidR="003869BF" w:rsidRDefault="003869BF" w:rsidP="00272E5F">
      <w:pPr>
        <w:pStyle w:val="HChGR"/>
      </w:pPr>
      <w:r>
        <w:tab/>
      </w:r>
      <w:r>
        <w:tab/>
        <w:t>Проекты поправок к приложениям</w:t>
      </w:r>
      <w:proofErr w:type="gramStart"/>
      <w:r>
        <w:t xml:space="preserve"> А</w:t>
      </w:r>
      <w:proofErr w:type="gramEnd"/>
      <w:r>
        <w:t xml:space="preserve"> и В к ДОПОГ, принятые Рабочей </w:t>
      </w:r>
      <w:r w:rsidR="00272E5F">
        <w:t>группой для вступления в силу 1 </w:t>
      </w:r>
      <w:r>
        <w:t>января 2019 года</w:t>
      </w:r>
    </w:p>
    <w:p w:rsidR="003869BF" w:rsidRDefault="003869BF" w:rsidP="00272E5F">
      <w:pPr>
        <w:pStyle w:val="H1GR"/>
      </w:pPr>
      <w:r>
        <w:tab/>
      </w:r>
      <w:r>
        <w:tab/>
        <w:t>Глава 1.1</w:t>
      </w:r>
    </w:p>
    <w:p w:rsidR="003869BF" w:rsidRDefault="003869BF" w:rsidP="00626F22">
      <w:pPr>
        <w:pStyle w:val="SingleTxtGR"/>
      </w:pPr>
      <w:r>
        <w:t>1.1.3.6.3</w:t>
      </w:r>
      <w:proofErr w:type="gramStart"/>
      <w:r>
        <w:tab/>
        <w:t>В</w:t>
      </w:r>
      <w:proofErr w:type="gramEnd"/>
      <w:r>
        <w:t xml:space="preserve"> заголовок колонки 3 таблицы в пункте 1.1.3.6.3 включить сноску к таблице b следующего содержания:</w:t>
      </w:r>
    </w:p>
    <w:p w:rsidR="003869BF" w:rsidRDefault="003869BF" w:rsidP="00626F22">
      <w:pPr>
        <w:pStyle w:val="SingleTxtGR"/>
      </w:pPr>
      <w:r>
        <w:t>«</w:t>
      </w:r>
      <w:r w:rsidRPr="00506909">
        <w:rPr>
          <w:b/>
          <w:vertAlign w:val="superscript"/>
        </w:rPr>
        <w:t>b</w:t>
      </w:r>
      <w:r>
        <w:t xml:space="preserve"> Максимальное общее количество для каждой транспортной категории соо</w:t>
      </w:r>
      <w:r>
        <w:t>т</w:t>
      </w:r>
      <w:r>
        <w:t>ветствует значению "1 000" (см. также пункт 1.1.3.6.4).»</w:t>
      </w:r>
      <w:r w:rsidR="00593BF6">
        <w:t>.</w:t>
      </w:r>
    </w:p>
    <w:p w:rsidR="003869BF" w:rsidRPr="00506909" w:rsidRDefault="003869BF" w:rsidP="00626F22">
      <w:pPr>
        <w:pStyle w:val="SingleTxtGR"/>
        <w:rPr>
          <w:i/>
        </w:rPr>
      </w:pPr>
      <w:proofErr w:type="gramStart"/>
      <w:r w:rsidRPr="00506909">
        <w:rPr>
          <w:i/>
        </w:rPr>
        <w:t>(Справочный документ:</w:t>
      </w:r>
      <w:proofErr w:type="gramEnd"/>
      <w:r w:rsidRPr="00506909">
        <w:rPr>
          <w:i/>
        </w:rPr>
        <w:t xml:space="preserve"> </w:t>
      </w:r>
      <w:proofErr w:type="gramStart"/>
      <w:r w:rsidRPr="00506909">
        <w:rPr>
          <w:i/>
        </w:rPr>
        <w:t>ECE/TRANS/WP.15/2017/5, предложение 3 с поправк</w:t>
      </w:r>
      <w:r w:rsidRPr="00506909">
        <w:rPr>
          <w:i/>
        </w:rPr>
        <w:t>а</w:t>
      </w:r>
      <w:r w:rsidRPr="00506909">
        <w:rPr>
          <w:i/>
        </w:rPr>
        <w:t>ми)</w:t>
      </w:r>
      <w:proofErr w:type="gramEnd"/>
    </w:p>
    <w:p w:rsidR="003869BF" w:rsidRDefault="003869BF" w:rsidP="00626F22">
      <w:pPr>
        <w:pStyle w:val="SingleTxtGR"/>
      </w:pPr>
      <w:r>
        <w:t>1.1.3.6.4</w:t>
      </w:r>
      <w:proofErr w:type="gramStart"/>
      <w:r>
        <w:tab/>
        <w:t>В</w:t>
      </w:r>
      <w:proofErr w:type="gramEnd"/>
      <w:r>
        <w:t xml:space="preserve"> конце, после подпунктов, после «не должна превышать», вкл</w:t>
      </w:r>
      <w:r>
        <w:t>ю</w:t>
      </w:r>
      <w:r>
        <w:t>чить «рассчитанное значение».</w:t>
      </w:r>
    </w:p>
    <w:p w:rsidR="003869BF" w:rsidRPr="00506909" w:rsidRDefault="003869BF" w:rsidP="00626F22">
      <w:pPr>
        <w:pStyle w:val="SingleTxtGR"/>
        <w:rPr>
          <w:i/>
        </w:rPr>
      </w:pPr>
      <w:proofErr w:type="gramStart"/>
      <w:r w:rsidRPr="00506909">
        <w:rPr>
          <w:i/>
        </w:rPr>
        <w:t>(Справочный документ:</w:t>
      </w:r>
      <w:proofErr w:type="gramEnd"/>
      <w:r w:rsidRPr="00506909">
        <w:rPr>
          <w:i/>
        </w:rPr>
        <w:t xml:space="preserve"> </w:t>
      </w:r>
      <w:proofErr w:type="gramStart"/>
      <w:r w:rsidRPr="00506909">
        <w:rPr>
          <w:i/>
        </w:rPr>
        <w:t>ECE/TRANS/WP.15/2017/5, предложение 1 с поправк</w:t>
      </w:r>
      <w:r w:rsidRPr="00506909">
        <w:rPr>
          <w:i/>
        </w:rPr>
        <w:t>а</w:t>
      </w:r>
      <w:r w:rsidRPr="00506909">
        <w:rPr>
          <w:i/>
        </w:rPr>
        <w:t>ми)</w:t>
      </w:r>
      <w:proofErr w:type="gramEnd"/>
    </w:p>
    <w:p w:rsidR="003869BF" w:rsidRDefault="003869BF" w:rsidP="00506909">
      <w:pPr>
        <w:pStyle w:val="H1GR"/>
      </w:pPr>
      <w:r>
        <w:tab/>
      </w:r>
      <w:r>
        <w:tab/>
        <w:t>Глава 1.2</w:t>
      </w:r>
    </w:p>
    <w:p w:rsidR="003869BF" w:rsidRDefault="003869BF" w:rsidP="00626F22">
      <w:pPr>
        <w:pStyle w:val="SingleTxtGR"/>
      </w:pPr>
      <w:r>
        <w:t>1.2.1</w:t>
      </w:r>
      <w:proofErr w:type="gramStart"/>
      <w:r>
        <w:tab/>
        <w:t>В</w:t>
      </w:r>
      <w:proofErr w:type="gramEnd"/>
      <w:r>
        <w:t xml:space="preserve">ключить в алфавитном порядке следующие новые определения: </w:t>
      </w:r>
    </w:p>
    <w:p w:rsidR="003869BF" w:rsidRDefault="003869BF" w:rsidP="00626F22">
      <w:pPr>
        <w:pStyle w:val="SingleTxtGR"/>
      </w:pPr>
      <w:r>
        <w:t>«</w:t>
      </w:r>
      <w:r w:rsidRPr="00506909">
        <w:rPr>
          <w:i/>
        </w:rPr>
        <w:t>"Диаметр корпуса"</w:t>
      </w:r>
      <w:r>
        <w:t xml:space="preserve"> (для корпусов цистерн) означает внутренний диаметр корп</w:t>
      </w:r>
      <w:r>
        <w:t>у</w:t>
      </w:r>
      <w:r>
        <w:t>са</w:t>
      </w:r>
      <w:proofErr w:type="gramStart"/>
      <w:r>
        <w:t>.».</w:t>
      </w:r>
      <w:proofErr w:type="gramEnd"/>
    </w:p>
    <w:p w:rsidR="003869BF" w:rsidRDefault="003869BF" w:rsidP="00626F22">
      <w:pPr>
        <w:pStyle w:val="SingleTxtGR"/>
      </w:pPr>
      <w:proofErr w:type="gramStart"/>
      <w:r>
        <w:t>«</w:t>
      </w:r>
      <w:r w:rsidRPr="00506909">
        <w:rPr>
          <w:i/>
        </w:rPr>
        <w:t>"Защитная облицовка"</w:t>
      </w:r>
      <w:r>
        <w:t xml:space="preserve"> (для цистерн) означает облицовку или покрытие, защ</w:t>
      </w:r>
      <w:r>
        <w:t>и</w:t>
      </w:r>
      <w:r>
        <w:t>щающие металлическую цистерну от воздействия перевозимых веществ.</w:t>
      </w:r>
      <w:proofErr w:type="gramEnd"/>
    </w:p>
    <w:p w:rsidR="003869BF" w:rsidRDefault="003869BF" w:rsidP="00626F22">
      <w:pPr>
        <w:pStyle w:val="SingleTxtGR"/>
      </w:pPr>
      <w:r w:rsidRPr="00506909">
        <w:rPr>
          <w:b/>
          <w:i/>
        </w:rPr>
        <w:t>ПРИМЕЧАНИЕ:</w:t>
      </w:r>
      <w:r w:rsidRPr="00506909">
        <w:rPr>
          <w:i/>
        </w:rPr>
        <w:t xml:space="preserve"> Это не относится к облицовке или покрытию, </w:t>
      </w:r>
      <w:proofErr w:type="gramStart"/>
      <w:r w:rsidRPr="00506909">
        <w:rPr>
          <w:i/>
        </w:rPr>
        <w:t>используемым</w:t>
      </w:r>
      <w:proofErr w:type="gramEnd"/>
      <w:r w:rsidRPr="00506909">
        <w:rPr>
          <w:i/>
        </w:rPr>
        <w:t xml:space="preserve"> только для защиты перевозимого вещества.</w:t>
      </w:r>
      <w:r>
        <w:t>».</w:t>
      </w:r>
    </w:p>
    <w:p w:rsidR="003869BF" w:rsidRPr="00506909" w:rsidRDefault="003869BF" w:rsidP="00626F22">
      <w:pPr>
        <w:pStyle w:val="SingleTxtGR"/>
        <w:rPr>
          <w:i/>
        </w:rPr>
      </w:pPr>
      <w:proofErr w:type="gramStart"/>
      <w:r w:rsidRPr="00506909">
        <w:rPr>
          <w:i/>
        </w:rPr>
        <w:t>(Справочный документ:</w:t>
      </w:r>
      <w:proofErr w:type="gramEnd"/>
      <w:r w:rsidRPr="00506909">
        <w:rPr>
          <w:i/>
        </w:rPr>
        <w:t xml:space="preserve"> </w:t>
      </w:r>
      <w:proofErr w:type="gramStart"/>
      <w:r w:rsidRPr="00506909">
        <w:rPr>
          <w:i/>
        </w:rPr>
        <w:t>ECE/TRANS/WP15/AC.1/144, приложение II, и ECE/TRANS/WP.15/AC.1/146, приложение II)</w:t>
      </w:r>
      <w:proofErr w:type="gramEnd"/>
    </w:p>
    <w:p w:rsidR="003869BF" w:rsidRDefault="003869BF" w:rsidP="00626F22">
      <w:pPr>
        <w:pStyle w:val="SingleTxtGR"/>
      </w:pPr>
      <w:r>
        <w:t>1.2.1</w:t>
      </w:r>
      <w:proofErr w:type="gramStart"/>
      <w:r>
        <w:tab/>
        <w:t>И</w:t>
      </w:r>
      <w:proofErr w:type="gramEnd"/>
      <w:r>
        <w:t>зменить определение «герметически закрытая цистерна» следующим образом:</w:t>
      </w:r>
    </w:p>
    <w:p w:rsidR="003869BF" w:rsidRDefault="003869BF" w:rsidP="00626F22">
      <w:pPr>
        <w:pStyle w:val="SingleTxtGR"/>
      </w:pPr>
      <w:r>
        <w:t>«</w:t>
      </w:r>
      <w:r w:rsidRPr="00506909">
        <w:rPr>
          <w:i/>
        </w:rPr>
        <w:t>"Герметически закрытая цистерна"</w:t>
      </w:r>
      <w:r>
        <w:t xml:space="preserve"> означает цистерну, которая:</w:t>
      </w:r>
    </w:p>
    <w:p w:rsidR="003869BF" w:rsidRDefault="003869BF" w:rsidP="00626F22">
      <w:pPr>
        <w:pStyle w:val="SingleTxtGR"/>
      </w:pPr>
      <w:r>
        <w:t>–</w:t>
      </w:r>
      <w:r>
        <w:tab/>
        <w:t xml:space="preserve">не </w:t>
      </w:r>
      <w:proofErr w:type="gramStart"/>
      <w:r>
        <w:t>оборудована</w:t>
      </w:r>
      <w:proofErr w:type="gramEnd"/>
      <w:r>
        <w:t xml:space="preserve"> предохранительными клапанами, разрывными мембран</w:t>
      </w:r>
      <w:r>
        <w:t>а</w:t>
      </w:r>
      <w:r>
        <w:t>ми, другими аналогичными предохранительными устройствами или вакуумн</w:t>
      </w:r>
      <w:r>
        <w:t>ы</w:t>
      </w:r>
      <w:r>
        <w:t>ми клапанами; или</w:t>
      </w:r>
    </w:p>
    <w:p w:rsidR="003869BF" w:rsidRDefault="003869BF" w:rsidP="00626F22">
      <w:pPr>
        <w:pStyle w:val="SingleTxtGR"/>
      </w:pPr>
      <w:r>
        <w:t>–</w:t>
      </w:r>
      <w:r>
        <w:tab/>
        <w:t>оборудована предохранительными клапанами, перед которыми устано</w:t>
      </w:r>
      <w:r>
        <w:t>в</w:t>
      </w:r>
      <w:r>
        <w:t>лена разрывная мембрана в соответствии с пунктом 6.8.2.2.10, но не оборудов</w:t>
      </w:r>
      <w:r>
        <w:t>а</w:t>
      </w:r>
      <w:r>
        <w:t>на вакуумными клапанами.</w:t>
      </w:r>
    </w:p>
    <w:p w:rsidR="003869BF" w:rsidRDefault="003869BF" w:rsidP="00626F22">
      <w:pPr>
        <w:pStyle w:val="SingleTxtGR"/>
      </w:pPr>
      <w:r>
        <w:t>Цистерна, предназначенная для перевозки жидких веществ и имеющая расче</w:t>
      </w:r>
      <w:r>
        <w:t>т</w:t>
      </w:r>
      <w:r>
        <w:t>ное давление не менее 4 бар, или цистерна, предназначенная для перевозки твердых (порошкообразных или гранулированных) веществ независимо от ее расчетного давления, также считается герметически закрытой, если она:</w:t>
      </w:r>
    </w:p>
    <w:p w:rsidR="003869BF" w:rsidRDefault="003869BF" w:rsidP="00626F22">
      <w:pPr>
        <w:pStyle w:val="SingleTxtGR"/>
      </w:pPr>
      <w:r>
        <w:t>–</w:t>
      </w:r>
      <w:r>
        <w:tab/>
        <w:t>оборудована предохранительными клапанами, перед которыми устано</w:t>
      </w:r>
      <w:r>
        <w:t>в</w:t>
      </w:r>
      <w:r>
        <w:t>лена разрывная мембрана в соответствии с пунктом 6.8.2.2.10, и вакуумными клапанами в соответствии с требованиями пункта 6.8.2.2.3; или</w:t>
      </w:r>
    </w:p>
    <w:p w:rsidR="003869BF" w:rsidRDefault="003869BF" w:rsidP="00626F22">
      <w:pPr>
        <w:pStyle w:val="SingleTxtGR"/>
      </w:pPr>
      <w:r>
        <w:t>–</w:t>
      </w:r>
      <w:r>
        <w:tab/>
        <w:t xml:space="preserve">не </w:t>
      </w:r>
      <w:proofErr w:type="gramStart"/>
      <w:r>
        <w:t>оборудована</w:t>
      </w:r>
      <w:proofErr w:type="gramEnd"/>
      <w:r>
        <w:t xml:space="preserve"> предохранительными клапанами, разрывными мембран</w:t>
      </w:r>
      <w:r>
        <w:t>а</w:t>
      </w:r>
      <w:r>
        <w:t>ми или другими аналогичными предохранительными устройствами, но обор</w:t>
      </w:r>
      <w:r>
        <w:t>у</w:t>
      </w:r>
      <w:r>
        <w:t>дована вакуумными клапанами в соо</w:t>
      </w:r>
      <w:r w:rsidR="00506909">
        <w:t>тветствии с требованиями пун</w:t>
      </w:r>
      <w:r w:rsidR="00506909">
        <w:t>к</w:t>
      </w:r>
      <w:r w:rsidR="00506909">
        <w:t>та </w:t>
      </w:r>
      <w:r>
        <w:t>6.8.2.2.3.».</w:t>
      </w:r>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ECE/TRANS/WP.15/AC.1/146, приложение II)</w:t>
      </w:r>
      <w:proofErr w:type="gramEnd"/>
    </w:p>
    <w:p w:rsidR="003869BF" w:rsidRDefault="003869BF" w:rsidP="009478E7">
      <w:pPr>
        <w:pStyle w:val="H1GR"/>
      </w:pPr>
      <w:r>
        <w:tab/>
      </w:r>
      <w:r>
        <w:tab/>
        <w:t>Глава 1.4</w:t>
      </w:r>
    </w:p>
    <w:p w:rsidR="003869BF" w:rsidRDefault="003869BF" w:rsidP="00626F22">
      <w:pPr>
        <w:pStyle w:val="SingleTxtGR"/>
      </w:pPr>
      <w:r>
        <w:t>1.4.2.2.2</w:t>
      </w:r>
      <w:proofErr w:type="gramStart"/>
      <w:r>
        <w:tab/>
        <w:t>В</w:t>
      </w:r>
      <w:proofErr w:type="gramEnd"/>
      <w:r>
        <w:t xml:space="preserve"> конце добавить следующее новое предложение: «Что касается пункта 1.4.2.2.1 с), то он может полагаться на данные, содержащиеся в свид</w:t>
      </w:r>
      <w:r>
        <w:t>е</w:t>
      </w:r>
      <w:r>
        <w:t>тельстве о загрузке контейнера/транспортного средства, соответствующем тр</w:t>
      </w:r>
      <w:r>
        <w:t>е</w:t>
      </w:r>
      <w:r>
        <w:t>бованиям раздела 5.4.2.».</w:t>
      </w:r>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ECE/TRANS/WP15/AC.1/144, приложение II)</w:t>
      </w:r>
      <w:proofErr w:type="gramEnd"/>
    </w:p>
    <w:p w:rsidR="003869BF" w:rsidRDefault="003869BF" w:rsidP="009478E7">
      <w:pPr>
        <w:pStyle w:val="H1GR"/>
      </w:pPr>
      <w:r>
        <w:tab/>
      </w:r>
      <w:r>
        <w:tab/>
        <w:t>Глава 1.6</w:t>
      </w:r>
    </w:p>
    <w:p w:rsidR="003869BF" w:rsidRDefault="003869BF" w:rsidP="00626F22">
      <w:pPr>
        <w:pStyle w:val="SingleTxtGR"/>
      </w:pPr>
      <w:r>
        <w:t>1.6.1</w:t>
      </w:r>
      <w:proofErr w:type="gramStart"/>
      <w:r>
        <w:tab/>
        <w:t>Д</w:t>
      </w:r>
      <w:proofErr w:type="gramEnd"/>
      <w:r>
        <w:t>обавить следующие новые переходные меры:</w:t>
      </w:r>
    </w:p>
    <w:p w:rsidR="003869BF" w:rsidRDefault="003869BF" w:rsidP="00626F22">
      <w:pPr>
        <w:pStyle w:val="SingleTxtGR"/>
      </w:pPr>
      <w:proofErr w:type="gramStart"/>
      <w:r>
        <w:t>«1.6.1.44</w:t>
      </w:r>
      <w:r>
        <w:tab/>
        <w:t>Предприятия, которые участвуют в перевозке опасных грузов тол</w:t>
      </w:r>
      <w:r>
        <w:t>ь</w:t>
      </w:r>
      <w:r>
        <w:t>ко в качестве грузоотправителей и которые не были обязаны назначать консул</w:t>
      </w:r>
      <w:r>
        <w:t>ь</w:t>
      </w:r>
      <w:r>
        <w:t>танта по вопросам безопасности на основан</w:t>
      </w:r>
      <w:r w:rsidR="009478E7">
        <w:t>ии положений, применяемых до 31 </w:t>
      </w:r>
      <w:r>
        <w:t>декабря 2018 года, должны, в отступление от положений пункта 1.8.3.1, применяемых с 1 января 2019 года, назначать консультанта по вопросам бе</w:t>
      </w:r>
      <w:r>
        <w:t>з</w:t>
      </w:r>
      <w:r>
        <w:t>опасности не позднее 31 декабря 2022 года.</w:t>
      </w:r>
      <w:proofErr w:type="gramEnd"/>
    </w:p>
    <w:p w:rsidR="003869BF" w:rsidRDefault="003869BF" w:rsidP="00626F22">
      <w:pPr>
        <w:pStyle w:val="SingleTxtGR"/>
      </w:pPr>
      <w:r>
        <w:t>1.6.1.45</w:t>
      </w:r>
      <w:r>
        <w:tab/>
        <w:t>Договаривающиеся стороны могут до 31 декабря 2020 года пр</w:t>
      </w:r>
      <w:r>
        <w:t>о</w:t>
      </w:r>
      <w:r>
        <w:t>должать выдавать свидетельства о подготовке консультантов по вопросам бе</w:t>
      </w:r>
      <w:r>
        <w:t>з</w:t>
      </w:r>
      <w:r>
        <w:t>опасности перевозок опасных грузов, соответствующие образцу, применяемому до 31 декабря 2018 года, вместо свидетельств, соответствующих требованиям подраздела 1.8.3.18, применяемым с 1 января 2019 года. Такие свидетельства могут по-прежнему использоваться до конца их пятилетнего срока действия</w:t>
      </w:r>
      <w:proofErr w:type="gramStart"/>
      <w:r>
        <w:t>.».</w:t>
      </w:r>
      <w:proofErr w:type="gramEnd"/>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ECE/TRANS/WP15/AC.1/144, приложение II)</w:t>
      </w:r>
      <w:proofErr w:type="gramEnd"/>
    </w:p>
    <w:p w:rsidR="003869BF" w:rsidRDefault="003869BF" w:rsidP="00626F22">
      <w:pPr>
        <w:pStyle w:val="SingleTxtGR"/>
      </w:pPr>
      <w:r>
        <w:t>1.6.3</w:t>
      </w:r>
      <w:proofErr w:type="gramStart"/>
      <w:r>
        <w:tab/>
        <w:t>Д</w:t>
      </w:r>
      <w:proofErr w:type="gramEnd"/>
      <w:r>
        <w:t>обавить следующие новые переходные меры:</w:t>
      </w:r>
    </w:p>
    <w:p w:rsidR="003869BF" w:rsidRDefault="003869BF" w:rsidP="00626F22">
      <w:pPr>
        <w:pStyle w:val="SingleTxtGR"/>
      </w:pPr>
      <w:proofErr w:type="gramStart"/>
      <w:r>
        <w:t>«1.6.3.47</w:t>
      </w:r>
      <w:r>
        <w:tab/>
        <w:t>Встроенные цистерны (автоцистерны) и съемные цистерны, изг</w:t>
      </w:r>
      <w:r>
        <w:t>о</w:t>
      </w:r>
      <w:r>
        <w:t>товленные до 1 июля 2019 года, оборудованные предохранительными клапан</w:t>
      </w:r>
      <w:r>
        <w:t>а</w:t>
      </w:r>
      <w:r>
        <w:t>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proofErr w:type="gramEnd"/>
    </w:p>
    <w:p w:rsidR="003869BF" w:rsidRDefault="003869BF" w:rsidP="00626F22">
      <w:pPr>
        <w:pStyle w:val="SingleTxtGR"/>
      </w:pPr>
      <w:proofErr w:type="gramStart"/>
      <w:r>
        <w:t>1.6.3.48</w:t>
      </w:r>
      <w:r>
        <w:tab/>
        <w:t>Независимо от требований специального положения TU 42 подра</w:t>
      </w:r>
      <w:r>
        <w:t>з</w:t>
      </w:r>
      <w:r>
        <w:t>дела 4.3.5, применяемых с 1 января 2019 года, встроенные цистерны (автоц</w:t>
      </w:r>
      <w:r>
        <w:t>и</w:t>
      </w:r>
      <w:r>
        <w:t>стерны) и съемные цистерны с корпусом, изготовленным из алюминиевого сплава, в том числе с защитной облицовкой, которые использовались до 1 янв</w:t>
      </w:r>
      <w:r>
        <w:t>а</w:t>
      </w:r>
      <w:r>
        <w:t>ря 2019 года для перевозки веществ со значением рН менее 5,0 или более 8,0, могут по-прежнему использоваться для перевозки таких веществ до</w:t>
      </w:r>
      <w:proofErr w:type="gramEnd"/>
      <w:r>
        <w:t xml:space="preserve"> 31 декабря 2022 года.</w:t>
      </w:r>
    </w:p>
    <w:p w:rsidR="003869BF" w:rsidRDefault="003869BF" w:rsidP="00626F22">
      <w:pPr>
        <w:pStyle w:val="SingleTxtGR"/>
      </w:pPr>
      <w:r>
        <w:t>1.6.3.51</w:t>
      </w:r>
      <w:r>
        <w:tab/>
        <w:t>Встроенные цистерны (автоцистерны) и съемные цистерны, изг</w:t>
      </w:r>
      <w:r>
        <w:t>о</w:t>
      </w:r>
      <w:r>
        <w:t>товленные до 1 июля 2019 года в соответствии с требованиями, действующими до 31 декабря 2018 года, но не отвечаю</w:t>
      </w:r>
      <w:r w:rsidR="009478E7">
        <w:t>щие, однако, требованиям пун</w:t>
      </w:r>
      <w:r w:rsidR="009478E7">
        <w:t>к</w:t>
      </w:r>
      <w:r w:rsidR="009478E7">
        <w:t>та </w:t>
      </w:r>
      <w:r>
        <w:t>6.8.2.1.23 в отношении проверки сварных швов на участке изменения проф</w:t>
      </w:r>
      <w:r>
        <w:t>и</w:t>
      </w:r>
      <w:r>
        <w:t>ля днищ цистерн, применяемым с 1 января 2019 года, могут по-прежнему эк</w:t>
      </w:r>
      <w:r>
        <w:t>с</w:t>
      </w:r>
      <w:r>
        <w:t>плуатироваться.</w:t>
      </w:r>
    </w:p>
    <w:p w:rsidR="003869BF" w:rsidRDefault="003869BF" w:rsidP="00626F22">
      <w:pPr>
        <w:pStyle w:val="SingleTxtGR"/>
      </w:pPr>
      <w:r>
        <w:t>1.6.3.52</w:t>
      </w:r>
      <w:r>
        <w:tab/>
        <w:t>Встроенные цистерны (автоцистерны) и съемные цистерны, изг</w:t>
      </w:r>
      <w:r>
        <w:t>о</w:t>
      </w:r>
      <w:r>
        <w:t>товленные до 1 июля 2019 года в соответствии с требованиями, действующими до 31 декабря 2018 года, но не отвечающие, однако, требованиям пун</w:t>
      </w:r>
      <w:r>
        <w:t>к</w:t>
      </w:r>
      <w:r>
        <w:t>та</w:t>
      </w:r>
      <w:r w:rsidR="009478E7">
        <w:t> </w:t>
      </w:r>
      <w:r>
        <w:t>6.8.2.2.11, применяемым с 1 января 2019 года, могут по-прежнему эксплу</w:t>
      </w:r>
      <w:r>
        <w:t>а</w:t>
      </w:r>
      <w:r>
        <w:t>тироваться</w:t>
      </w:r>
      <w:proofErr w:type="gramStart"/>
      <w:r>
        <w:t>.».</w:t>
      </w:r>
      <w:proofErr w:type="gramEnd"/>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ECE/TRANS/WP.15/AC.1/144, приложение II, с попра</w:t>
      </w:r>
      <w:r w:rsidRPr="009478E7">
        <w:rPr>
          <w:i/>
        </w:rPr>
        <w:t>в</w:t>
      </w:r>
      <w:r w:rsidRPr="009478E7">
        <w:rPr>
          <w:i/>
        </w:rPr>
        <w:t>ками, содержащимися в документе ECE/TRANS/WP.15</w:t>
      </w:r>
      <w:r w:rsidR="009478E7">
        <w:rPr>
          <w:i/>
        </w:rPr>
        <w:t>/AC.1/146, прилож</w:t>
      </w:r>
      <w:r w:rsidR="009478E7">
        <w:rPr>
          <w:i/>
        </w:rPr>
        <w:t>е</w:t>
      </w:r>
      <w:r w:rsidR="009478E7">
        <w:rPr>
          <w:i/>
        </w:rPr>
        <w:t>ние </w:t>
      </w:r>
      <w:r w:rsidRPr="009478E7">
        <w:rPr>
          <w:i/>
        </w:rPr>
        <w:t>II)</w:t>
      </w:r>
      <w:proofErr w:type="gramEnd"/>
    </w:p>
    <w:p w:rsidR="003869BF" w:rsidRDefault="003869BF" w:rsidP="00626F22">
      <w:pPr>
        <w:pStyle w:val="SingleTxtGR"/>
      </w:pPr>
      <w:r>
        <w:t>1.6.4</w:t>
      </w:r>
      <w:proofErr w:type="gramStart"/>
      <w:r>
        <w:tab/>
        <w:t>Д</w:t>
      </w:r>
      <w:proofErr w:type="gramEnd"/>
      <w:r>
        <w:t>обавить следующие новые переходные меры:</w:t>
      </w:r>
    </w:p>
    <w:p w:rsidR="003869BF" w:rsidRDefault="003869BF" w:rsidP="00626F22">
      <w:pPr>
        <w:pStyle w:val="SingleTxtGR"/>
      </w:pPr>
      <w:proofErr w:type="gramStart"/>
      <w:r>
        <w:t>«1.6.4.49</w:t>
      </w:r>
      <w:r>
        <w:tab/>
        <w:t>Контейнеры-цистерны, изготовленные до 1 июля 2019 года, обор</w:t>
      </w:r>
      <w:r>
        <w:t>у</w:t>
      </w:r>
      <w:r>
        <w:t>дованные предохранительными клапанами, которые отвечают требованиям, действующим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proofErr w:type="gramEnd"/>
    </w:p>
    <w:p w:rsidR="003869BF" w:rsidRDefault="003869BF" w:rsidP="00626F22">
      <w:pPr>
        <w:pStyle w:val="SingleTxtGR"/>
      </w:pPr>
      <w:proofErr w:type="gramStart"/>
      <w:r>
        <w:t>1.6.4.50</w:t>
      </w:r>
      <w:r>
        <w:tab/>
        <w:t>Независимо от требований специального положения TU 42 подра</w:t>
      </w:r>
      <w:r>
        <w:t>з</w:t>
      </w:r>
      <w:r>
        <w:t>дела 4.3.5, применяемых с 1 января 2019 года, контейнеры-цистерны с корп</w:t>
      </w:r>
      <w:r>
        <w:t>у</w:t>
      </w:r>
      <w:r>
        <w:t>сом, изготовленным из алюминиевого сплава, в том числе с защитной облицо</w:t>
      </w:r>
      <w:r>
        <w:t>в</w:t>
      </w:r>
      <w:r>
        <w:t>кой, которые использовались до 1 января 2019 года для перевозки веществ со значением рН менее 5,0 или более 8,0, могут по-прежнему использоваться для перевозки таких веществ до 31 декабря 2022 года.</w:t>
      </w:r>
      <w:proofErr w:type="gramEnd"/>
    </w:p>
    <w:p w:rsidR="003869BF" w:rsidRDefault="003869BF" w:rsidP="00626F22">
      <w:pPr>
        <w:pStyle w:val="SingleTxtGR"/>
      </w:pPr>
      <w:r>
        <w:t>1.6.4.53</w:t>
      </w:r>
      <w:r>
        <w:tab/>
        <w:t>Контейнеры-цистерны, изготовленные до 1 июля 2019 года в соо</w:t>
      </w:r>
      <w:r>
        <w:t>т</w:t>
      </w:r>
      <w:r>
        <w:t>ветствии с требованиями, действующими до 31 декабря 2018 года, но не отв</w:t>
      </w:r>
      <w:r>
        <w:t>е</w:t>
      </w:r>
      <w:r>
        <w:t>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p>
    <w:p w:rsidR="003869BF" w:rsidRDefault="003869BF" w:rsidP="00626F22">
      <w:pPr>
        <w:pStyle w:val="SingleTxtGR"/>
      </w:pPr>
      <w:r>
        <w:t>1.6.4.54</w:t>
      </w:r>
      <w:r>
        <w:tab/>
        <w:t>Контейнеры-цистерны, изготовленные до 1 июля 2019 года в соо</w:t>
      </w:r>
      <w:r>
        <w:t>т</w:t>
      </w:r>
      <w:r>
        <w:t>ветствии с требованиями, действующими до 31 декабря 2018 года, но не отв</w:t>
      </w:r>
      <w:r>
        <w:t>е</w:t>
      </w:r>
      <w:r>
        <w:t>чающие, однако, требованиям пункта 6.8.2.2.</w:t>
      </w:r>
      <w:r w:rsidR="009478E7">
        <w:t>11, применяемым с 1 января 2019 </w:t>
      </w:r>
      <w:r>
        <w:t>года, могут по-прежнему эксплуатироваться</w:t>
      </w:r>
      <w:proofErr w:type="gramStart"/>
      <w:r>
        <w:t>.».</w:t>
      </w:r>
      <w:proofErr w:type="gramEnd"/>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ECE/TRANS/WP.15/AC.1/144, приложение II, с попра</w:t>
      </w:r>
      <w:r w:rsidRPr="009478E7">
        <w:rPr>
          <w:i/>
        </w:rPr>
        <w:t>в</w:t>
      </w:r>
      <w:r w:rsidRPr="009478E7">
        <w:rPr>
          <w:i/>
        </w:rPr>
        <w:t>ками, содержащимися в документе ECE/T</w:t>
      </w:r>
      <w:r w:rsidR="009478E7">
        <w:rPr>
          <w:i/>
        </w:rPr>
        <w:t>RANS/WP.15/AC.1/146, прилож</w:t>
      </w:r>
      <w:r w:rsidR="009478E7">
        <w:rPr>
          <w:i/>
        </w:rPr>
        <w:t>е</w:t>
      </w:r>
      <w:r w:rsidR="009478E7">
        <w:rPr>
          <w:i/>
        </w:rPr>
        <w:t>ние </w:t>
      </w:r>
      <w:r w:rsidRPr="009478E7">
        <w:rPr>
          <w:i/>
        </w:rPr>
        <w:t>II)</w:t>
      </w:r>
      <w:proofErr w:type="gramEnd"/>
    </w:p>
    <w:p w:rsidR="003869BF" w:rsidRDefault="003869BF" w:rsidP="00626F22">
      <w:pPr>
        <w:pStyle w:val="SingleTxtGR"/>
      </w:pPr>
      <w:r>
        <w:t>1.6.5</w:t>
      </w:r>
      <w:proofErr w:type="gramStart"/>
      <w:r>
        <w:tab/>
        <w:t>В</w:t>
      </w:r>
      <w:proofErr w:type="gramEnd"/>
      <w:r>
        <w:t>ключить новую переходную меру следующего содержания:</w:t>
      </w:r>
    </w:p>
    <w:p w:rsidR="003869BF" w:rsidRDefault="009478E7" w:rsidP="00626F22">
      <w:pPr>
        <w:pStyle w:val="SingleTxtGR"/>
      </w:pPr>
      <w:r>
        <w:t>«</w:t>
      </w:r>
      <w:r w:rsidR="003869BF">
        <w:t>1.6.5.22</w:t>
      </w:r>
      <w:r w:rsidR="003869BF">
        <w:tab/>
        <w:t>Транспортные средства, впервые зарегистрированные (или, если регистрация не является обязательной, впервые введенные в эксплуатацию) до 1 января 2021 года, которые удовлетворяют требованиям подраздела 9.7.3 пр</w:t>
      </w:r>
      <w:r w:rsidR="003869BF">
        <w:t>и</w:t>
      </w:r>
      <w:r w:rsidR="003869BF">
        <w:t>меняемым до 31 декабря 2018 года, но не соответствуют требованиям подразд</w:t>
      </w:r>
      <w:r w:rsidR="003869BF">
        <w:t>е</w:t>
      </w:r>
      <w:r w:rsidR="003869BF">
        <w:t>ла 9.7.3 применяемым с 1 января 2019 года, могут по-прежнему эксплуатир</w:t>
      </w:r>
      <w:r w:rsidR="003869BF">
        <w:t>о</w:t>
      </w:r>
      <w:r w:rsidR="003869BF">
        <w:t>ваться</w:t>
      </w:r>
      <w:proofErr w:type="gramStart"/>
      <w:r w:rsidR="003869BF">
        <w:t>.</w:t>
      </w:r>
      <w:r>
        <w:t>»</w:t>
      </w:r>
      <w:r w:rsidR="003869BF">
        <w:t>.</w:t>
      </w:r>
      <w:proofErr w:type="gramEnd"/>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ECE/TRANS/WP.15/2017/7, предложение 1, с поправк</w:t>
      </w:r>
      <w:r w:rsidRPr="009478E7">
        <w:rPr>
          <w:i/>
        </w:rPr>
        <w:t>а</w:t>
      </w:r>
      <w:r w:rsidRPr="009478E7">
        <w:rPr>
          <w:i/>
        </w:rPr>
        <w:t>ми)</w:t>
      </w:r>
      <w:proofErr w:type="gramEnd"/>
    </w:p>
    <w:p w:rsidR="003869BF" w:rsidRDefault="003869BF" w:rsidP="009478E7">
      <w:pPr>
        <w:pStyle w:val="H1GR"/>
      </w:pPr>
      <w:r>
        <w:tab/>
      </w:r>
      <w:r>
        <w:tab/>
        <w:t>Глава 1.8</w:t>
      </w:r>
    </w:p>
    <w:p w:rsidR="003869BF" w:rsidRDefault="003869BF" w:rsidP="00626F22">
      <w:pPr>
        <w:pStyle w:val="SingleTxtGR"/>
      </w:pPr>
      <w:r>
        <w:t>1.8.3</w:t>
      </w:r>
      <w:proofErr w:type="gramStart"/>
      <w:r>
        <w:tab/>
        <w:t>В</w:t>
      </w:r>
      <w:proofErr w:type="gramEnd"/>
      <w:r>
        <w:t>ключить новый подраздел 1.8.3.19:</w:t>
      </w:r>
    </w:p>
    <w:p w:rsidR="003869BF" w:rsidRDefault="009478E7" w:rsidP="00626F22">
      <w:pPr>
        <w:pStyle w:val="SingleTxtGR"/>
      </w:pPr>
      <w:r>
        <w:t>«</w:t>
      </w:r>
      <w:r w:rsidR="003869BF">
        <w:t>1.8.3.19</w:t>
      </w:r>
      <w:r w:rsidR="003869BF">
        <w:tab/>
      </w:r>
      <w:r w:rsidR="003869BF" w:rsidRPr="000B1F7B">
        <w:rPr>
          <w:i/>
        </w:rPr>
        <w:t>Расширение сферы охвата свидетельства</w:t>
      </w:r>
    </w:p>
    <w:p w:rsidR="003869BF" w:rsidRDefault="003869BF" w:rsidP="00626F22">
      <w:pPr>
        <w:pStyle w:val="SingleTxtGR"/>
      </w:pPr>
      <w:r>
        <w:t>Если консультант расширяет сферу охвата своего свидетельства в течение срока его действия путем выполнения требований пункта 1.8.3.16.2, срок действия нового свидетельства остается таким же, как и срок действия предыдущего свидетельства</w:t>
      </w:r>
      <w:proofErr w:type="gramStart"/>
      <w:r>
        <w:t>.».</w:t>
      </w:r>
      <w:proofErr w:type="gramEnd"/>
    </w:p>
    <w:p w:rsidR="003869BF" w:rsidRPr="009478E7" w:rsidRDefault="003869BF" w:rsidP="00626F22">
      <w:pPr>
        <w:pStyle w:val="SingleTxtGR"/>
        <w:rPr>
          <w:i/>
        </w:rPr>
      </w:pPr>
      <w:proofErr w:type="gramStart"/>
      <w:r w:rsidRPr="009478E7">
        <w:rPr>
          <w:i/>
        </w:rPr>
        <w:t>(Справочный документ:</w:t>
      </w:r>
      <w:proofErr w:type="gramEnd"/>
      <w:r w:rsidRPr="009478E7">
        <w:rPr>
          <w:i/>
        </w:rPr>
        <w:t xml:space="preserve"> </w:t>
      </w:r>
      <w:proofErr w:type="gramStart"/>
      <w:r w:rsidRPr="009478E7">
        <w:rPr>
          <w:i/>
        </w:rPr>
        <w:t>ECE/TRANS/WP.15/AC.1/146, приложение II)</w:t>
      </w:r>
      <w:proofErr w:type="gramEnd"/>
    </w:p>
    <w:p w:rsidR="003869BF" w:rsidRDefault="003869BF" w:rsidP="009478E7">
      <w:pPr>
        <w:pStyle w:val="H1GR"/>
      </w:pPr>
      <w:r>
        <w:tab/>
      </w:r>
      <w:r>
        <w:tab/>
        <w:t>Глава 1.9</w:t>
      </w:r>
    </w:p>
    <w:p w:rsidR="003869BF" w:rsidRDefault="003869BF" w:rsidP="00626F22">
      <w:pPr>
        <w:pStyle w:val="SingleTxtGR"/>
      </w:pPr>
      <w:r>
        <w:t>1.9.5.2.2</w:t>
      </w:r>
      <w:r>
        <w:tab/>
        <w:t>Категория туннелей</w:t>
      </w:r>
      <w:proofErr w:type="gramStart"/>
      <w:r>
        <w:t xml:space="preserve"> В</w:t>
      </w:r>
      <w:proofErr w:type="gramEnd"/>
      <w:r>
        <w:t xml:space="preserve">, в первой строке таблицы вставить новый подпункт после </w:t>
      </w:r>
      <w:r w:rsidR="009A4176">
        <w:t>«</w:t>
      </w:r>
      <w:r>
        <w:t>Класс 1: группы совместимости A и L;</w:t>
      </w:r>
      <w:r w:rsidR="009A4176">
        <w:t>» следующего содерж</w:t>
      </w:r>
      <w:r w:rsidR="009A4176">
        <w:t>а</w:t>
      </w:r>
      <w:r w:rsidR="009A4176">
        <w:t>ния: «Класс 2: № ООН 3529;».</w:t>
      </w:r>
    </w:p>
    <w:p w:rsidR="003869BF" w:rsidRDefault="003869BF" w:rsidP="00626F22">
      <w:pPr>
        <w:pStyle w:val="SingleTxtGR"/>
      </w:pPr>
      <w:r>
        <w:t>1.9.5.2.2</w:t>
      </w:r>
      <w:r>
        <w:tab/>
        <w:t xml:space="preserve">Категория туннелей D, в первой строке таблицы вставить новый подпункт после </w:t>
      </w:r>
      <w:r w:rsidR="009A4176">
        <w:t>«</w:t>
      </w:r>
      <w:r>
        <w:t>Класс 2: Классификационные коды F, FC, T, TF, TC, TO, TFC и TOC;</w:t>
      </w:r>
      <w:r w:rsidR="009A4176">
        <w:t xml:space="preserve">» следующего содержания: «Класс 3: № </w:t>
      </w:r>
      <w:proofErr w:type="gramStart"/>
      <w:r w:rsidR="009A4176">
        <w:t>ООН 3528;»</w:t>
      </w:r>
      <w:r>
        <w:t>.</w:t>
      </w:r>
      <w:proofErr w:type="gramEnd"/>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ECE/TRANS/WP.15/2017/3 с поправками, содержащ</w:t>
      </w:r>
      <w:r w:rsidRPr="009A4176">
        <w:rPr>
          <w:i/>
        </w:rPr>
        <w:t>и</w:t>
      </w:r>
      <w:r w:rsidRPr="009A4176">
        <w:rPr>
          <w:i/>
        </w:rPr>
        <w:t>мися в неофициальном документе INF.19)</w:t>
      </w:r>
      <w:proofErr w:type="gramEnd"/>
    </w:p>
    <w:p w:rsidR="003869BF" w:rsidRDefault="003869BF" w:rsidP="009A4176">
      <w:pPr>
        <w:pStyle w:val="H1GR"/>
      </w:pPr>
      <w:r>
        <w:tab/>
      </w:r>
      <w:r>
        <w:tab/>
        <w:t>Глава 3.2</w:t>
      </w:r>
    </w:p>
    <w:p w:rsidR="003869BF" w:rsidRDefault="003869BF" w:rsidP="00626F22">
      <w:pPr>
        <w:pStyle w:val="SingleTxtGR"/>
      </w:pPr>
      <w:r>
        <w:t>3.2.1</w:t>
      </w:r>
      <w:proofErr w:type="gramStart"/>
      <w:r>
        <w:tab/>
        <w:t>В</w:t>
      </w:r>
      <w:proofErr w:type="gramEnd"/>
      <w:r>
        <w:t xml:space="preserve"> пояснительном примечании к колон</w:t>
      </w:r>
      <w:r w:rsidR="009A4176">
        <w:t>ке 9a в третьем абзаце после «с </w:t>
      </w:r>
      <w:r>
        <w:t>буквы "L"» включить: «или букв "LL"» (дважды).</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 xml:space="preserve">ECE/TRANS/WP.15/AC.1/146, приложение II) </w:t>
      </w:r>
      <w:proofErr w:type="gramEnd"/>
    </w:p>
    <w:p w:rsidR="003869BF" w:rsidRDefault="003869BF" w:rsidP="009A4176">
      <w:pPr>
        <w:pStyle w:val="H23GR"/>
      </w:pPr>
      <w:r>
        <w:tab/>
      </w:r>
      <w:r>
        <w:tab/>
        <w:t>Таблица</w:t>
      </w:r>
      <w:proofErr w:type="gramStart"/>
      <w:r>
        <w:t xml:space="preserve"> А</w:t>
      </w:r>
      <w:proofErr w:type="gramEnd"/>
    </w:p>
    <w:p w:rsidR="003869BF" w:rsidRDefault="00AB31FB" w:rsidP="00626F22">
      <w:pPr>
        <w:pStyle w:val="SingleTxtGR"/>
      </w:pPr>
      <w:r>
        <w:tab/>
      </w:r>
      <w:r w:rsidR="009A4176">
        <w:t>Для № ООН 0509 включить «</w:t>
      </w:r>
      <w:r w:rsidR="003869BF">
        <w:t>MP24» в колонку 9b.</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ECE/TRANS/WP.15/AC.1/146, приложение II)</w:t>
      </w:r>
      <w:proofErr w:type="gramEnd"/>
    </w:p>
    <w:p w:rsidR="003869BF" w:rsidRDefault="003869BF" w:rsidP="00626F22">
      <w:pPr>
        <w:pStyle w:val="SingleTxtGR"/>
      </w:pPr>
      <w:proofErr w:type="gramStart"/>
      <w:r>
        <w:t>Для № ООН 1755 ГУ II и ГУ III, 1778 ГУ II, 1779 ГУ II, 1788 ГУ II и ГУ III, 1789 ГУ II и ГУ III, 1791 ГУ</w:t>
      </w:r>
      <w:r w:rsidR="00FE4B2D">
        <w:t xml:space="preserve"> </w:t>
      </w:r>
      <w:r>
        <w:t>II и ГУ III, 1803 ГУ I</w:t>
      </w:r>
      <w:r w:rsidR="00FE4B2D">
        <w:t>I, 1805 ГУ III, 1814 ГУ II и ГУ </w:t>
      </w:r>
      <w:r>
        <w:t xml:space="preserve">III, 1819 ГУ II и ГУ III, 1824 ГУ II и ГУ III, </w:t>
      </w:r>
      <w:r w:rsidR="00FE4B2D">
        <w:t>1830 ГУ II, 1832</w:t>
      </w:r>
      <w:proofErr w:type="gramEnd"/>
      <w:r w:rsidR="00FE4B2D">
        <w:t xml:space="preserve"> ГУ II, 1840 ГУ </w:t>
      </w:r>
      <w:r>
        <w:t>III, 1906 ГУ II, 2031 ГУ II, 2581 ГУ III, 2582 ГУ III, 2586 ГУ III, 2693 ГУ III, 2796 ГУ II, 3264 ГУ II и ГУ III добавить «TU42» в колонке 13.</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ECE/TRANS/WP15/AC.1/144, приложение II)</w:t>
      </w:r>
      <w:proofErr w:type="gramEnd"/>
    </w:p>
    <w:p w:rsidR="003869BF" w:rsidRDefault="00AB31FB" w:rsidP="00626F22">
      <w:pPr>
        <w:pStyle w:val="SingleTxtGR"/>
      </w:pPr>
      <w:r>
        <w:tab/>
      </w:r>
      <w:r w:rsidR="003869BF">
        <w:t>Для № ООН 3091 и 3481 заменить «636» на «670» в колонке 6.</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ECE/TRANS/WP15/AC.1/144, приложение II)</w:t>
      </w:r>
      <w:proofErr w:type="gramEnd"/>
    </w:p>
    <w:p w:rsidR="003869BF" w:rsidRDefault="00AB31FB" w:rsidP="00626F22">
      <w:pPr>
        <w:pStyle w:val="SingleTxtGR"/>
      </w:pPr>
      <w:r>
        <w:tab/>
      </w:r>
      <w:r w:rsidR="003869BF">
        <w:t xml:space="preserve">Для № ООН 3528 внизу клетки в колонке 15 вставить </w:t>
      </w:r>
      <w:r w:rsidR="009A4176">
        <w:t>«(D)»</w:t>
      </w:r>
      <w:r w:rsidR="003869BF">
        <w:t>.</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ECE/TRANS/WP.15/2017/3 с поправками, содержащ</w:t>
      </w:r>
      <w:r w:rsidRPr="009A4176">
        <w:rPr>
          <w:i/>
        </w:rPr>
        <w:t>и</w:t>
      </w:r>
      <w:r w:rsidRPr="009A4176">
        <w:rPr>
          <w:i/>
        </w:rPr>
        <w:t>мися в неофициальном документе INF.19)</w:t>
      </w:r>
      <w:proofErr w:type="gramEnd"/>
    </w:p>
    <w:p w:rsidR="003869BF" w:rsidRDefault="00AB31FB" w:rsidP="00626F22">
      <w:pPr>
        <w:pStyle w:val="SingleTxtGR"/>
      </w:pPr>
      <w:r>
        <w:tab/>
      </w:r>
      <w:r w:rsidR="003869BF">
        <w:t>Для № ООН 3529 вниз</w:t>
      </w:r>
      <w:r w:rsidR="009A4176">
        <w:t>у клетки в колонке 15 вставить «</w:t>
      </w:r>
      <w:r w:rsidR="003869BF">
        <w:t>(B)</w:t>
      </w:r>
      <w:r w:rsidR="009A4176">
        <w:t>»</w:t>
      </w:r>
      <w:r w:rsidR="003869BF">
        <w:t>.</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ECE/TRANS/WP.15/2017/3 с поправками, содержащ</w:t>
      </w:r>
      <w:r w:rsidRPr="009A4176">
        <w:rPr>
          <w:i/>
        </w:rPr>
        <w:t>и</w:t>
      </w:r>
      <w:r w:rsidRPr="009A4176">
        <w:rPr>
          <w:i/>
        </w:rPr>
        <w:t>мися в неофициальном документе INF.19)</w:t>
      </w:r>
      <w:proofErr w:type="gramEnd"/>
    </w:p>
    <w:p w:rsidR="003869BF" w:rsidRDefault="00AB31FB" w:rsidP="00626F22">
      <w:pPr>
        <w:pStyle w:val="SingleTxtGR"/>
      </w:pPr>
      <w:r>
        <w:tab/>
      </w:r>
      <w:r w:rsidR="003869BF">
        <w:t>Для № ООН 3530 вниз</w:t>
      </w:r>
      <w:r w:rsidR="009A4176">
        <w:t>у клетки в колонке 15 вставить «</w:t>
      </w:r>
      <w:r w:rsidR="003869BF">
        <w:t>(E)</w:t>
      </w:r>
      <w:r w:rsidR="009A4176">
        <w:t>»</w:t>
      </w:r>
      <w:r w:rsidR="003869BF">
        <w:t>.</w:t>
      </w:r>
    </w:p>
    <w:p w:rsidR="003869BF" w:rsidRPr="009A4176" w:rsidRDefault="003869BF" w:rsidP="00626F22">
      <w:pPr>
        <w:pStyle w:val="SingleTxtGR"/>
        <w:rPr>
          <w:i/>
        </w:rPr>
      </w:pPr>
      <w:proofErr w:type="gramStart"/>
      <w:r w:rsidRPr="009A4176">
        <w:rPr>
          <w:i/>
        </w:rPr>
        <w:t>(Справочный документ:</w:t>
      </w:r>
      <w:proofErr w:type="gramEnd"/>
      <w:r w:rsidRPr="009A4176">
        <w:rPr>
          <w:i/>
        </w:rPr>
        <w:t xml:space="preserve"> </w:t>
      </w:r>
      <w:proofErr w:type="gramStart"/>
      <w:r w:rsidRPr="009A4176">
        <w:rPr>
          <w:i/>
        </w:rPr>
        <w:t>ECE/TRANS/WP.15/2017/3 с поправками, содержащ</w:t>
      </w:r>
      <w:r w:rsidRPr="009A4176">
        <w:rPr>
          <w:i/>
        </w:rPr>
        <w:t>и</w:t>
      </w:r>
      <w:r w:rsidRPr="009A4176">
        <w:rPr>
          <w:i/>
        </w:rPr>
        <w:t>мися в неофициальном документе INF.19)</w:t>
      </w:r>
      <w:proofErr w:type="gramEnd"/>
    </w:p>
    <w:p w:rsidR="003869BF" w:rsidRDefault="003869BF" w:rsidP="009A4176">
      <w:pPr>
        <w:pStyle w:val="H1GR"/>
      </w:pPr>
      <w:r>
        <w:tab/>
      </w:r>
      <w:r>
        <w:tab/>
        <w:t>Глава 3.3</w:t>
      </w:r>
    </w:p>
    <w:p w:rsidR="003869BF" w:rsidRDefault="00AB31FB" w:rsidP="00626F22">
      <w:pPr>
        <w:pStyle w:val="SingleTxtGR"/>
      </w:pPr>
      <w:r>
        <w:tab/>
      </w:r>
      <w:r w:rsidR="003869BF">
        <w:t>Специальное положение 250</w:t>
      </w:r>
      <w:proofErr w:type="gramStart"/>
      <w:r w:rsidR="003869BF">
        <w:tab/>
        <w:t>В</w:t>
      </w:r>
      <w:proofErr w:type="gramEnd"/>
      <w:r w:rsidR="003869BF">
        <w:t xml:space="preserve"> пункте а) исключить: «(см. главу S-3-8 дополнения)».</w:t>
      </w:r>
    </w:p>
    <w:p w:rsidR="003869BF" w:rsidRPr="00AB31FB" w:rsidRDefault="003869BF" w:rsidP="00626F22">
      <w:pPr>
        <w:pStyle w:val="SingleTxtGR"/>
        <w:rPr>
          <w:i/>
        </w:rPr>
      </w:pPr>
      <w:proofErr w:type="gramStart"/>
      <w:r w:rsidRPr="00AB31FB">
        <w:rPr>
          <w:i/>
        </w:rPr>
        <w:t>(Справочный документ:</w:t>
      </w:r>
      <w:proofErr w:type="gramEnd"/>
      <w:r w:rsidRPr="00AB31FB">
        <w:rPr>
          <w:i/>
        </w:rPr>
        <w:t xml:space="preserve"> </w:t>
      </w:r>
      <w:proofErr w:type="gramStart"/>
      <w:r w:rsidRPr="00AB31FB">
        <w:rPr>
          <w:i/>
        </w:rPr>
        <w:t>ECE/TRANS/WP.15/AC.1/146, приложение II)</w:t>
      </w:r>
      <w:proofErr w:type="gramEnd"/>
    </w:p>
    <w:p w:rsidR="003869BF" w:rsidRDefault="00AB31FB" w:rsidP="00626F22">
      <w:pPr>
        <w:pStyle w:val="SingleTxtGR"/>
      </w:pPr>
      <w:r>
        <w:tab/>
      </w:r>
      <w:r w:rsidR="003869BF">
        <w:t>Изменить специальное положение 363 (l) следующим образом:</w:t>
      </w:r>
    </w:p>
    <w:p w:rsidR="003869BF" w:rsidRDefault="00AB31FB" w:rsidP="00626F22">
      <w:pPr>
        <w:pStyle w:val="SingleTxtGR"/>
      </w:pPr>
      <w:r>
        <w:t>«</w:t>
      </w:r>
      <w:r w:rsidR="003869BF">
        <w:t>(l)</w:t>
      </w:r>
      <w:r w:rsidR="003869BF">
        <w:tab/>
        <w:t>когда двигатель или машина содержит более 1 000 л жидкого топлива в случае № ООН 3528 и № ООН 3530 или имеет вме</w:t>
      </w:r>
      <w:r>
        <w:t>стимость по воде более 1 000 </w:t>
      </w:r>
      <w:r w:rsidR="003869BF">
        <w:t>л в случае № ООН 3529:</w:t>
      </w:r>
    </w:p>
    <w:p w:rsidR="003869BF" w:rsidRDefault="003869BF" w:rsidP="00626F22">
      <w:pPr>
        <w:pStyle w:val="SingleTxtGR"/>
      </w:pPr>
      <w:r>
        <w:t>-</w:t>
      </w:r>
      <w:r w:rsidR="00AB31FB">
        <w:tab/>
      </w:r>
      <w:r>
        <w:t>в соответствии с разделом 5.4.1 тра</w:t>
      </w:r>
      <w:r w:rsidR="00AB31FB">
        <w:t>нспортный документ требуется. В </w:t>
      </w:r>
      <w:r>
        <w:t>транспортном документе должна быть сделана следующая дополнительная запись: "Перевозка в соответствии со специальным положением 363";</w:t>
      </w:r>
    </w:p>
    <w:p w:rsidR="003869BF" w:rsidRDefault="003869BF" w:rsidP="00626F22">
      <w:pPr>
        <w:pStyle w:val="SingleTxtGR"/>
      </w:pPr>
      <w:r>
        <w:t>-</w:t>
      </w:r>
      <w:r w:rsidR="00AB31FB">
        <w:tab/>
      </w:r>
      <w:r>
        <w:t>в тех случаях, когда заранее известно, что перевозка будет осуществлят</w:t>
      </w:r>
      <w:r>
        <w:t>ь</w:t>
      </w:r>
      <w:r>
        <w:t>ся через какой-либо туннель, для которого установлены ограничения в отнош</w:t>
      </w:r>
      <w:r>
        <w:t>е</w:t>
      </w:r>
      <w:r>
        <w:t xml:space="preserve">нии перевозки опасных грузов, транспортная единица должна иметь таблички оранжевого цвета в соответствии с разделом </w:t>
      </w:r>
      <w:proofErr w:type="gramStart"/>
      <w:r>
        <w:t>5.3.2</w:t>
      </w:r>
      <w:proofErr w:type="gramEnd"/>
      <w:r>
        <w:t xml:space="preserve"> и применяются ограничения на проезд через туннели в</w:t>
      </w:r>
      <w:r w:rsidR="00AB31FB">
        <w:t xml:space="preserve"> соответствии с разделом 8.6.4.»</w:t>
      </w:r>
      <w:r>
        <w:t>.</w:t>
      </w:r>
    </w:p>
    <w:p w:rsidR="003869BF" w:rsidRPr="00AB31FB" w:rsidRDefault="003869BF" w:rsidP="00626F22">
      <w:pPr>
        <w:pStyle w:val="SingleTxtGR"/>
        <w:rPr>
          <w:i/>
        </w:rPr>
      </w:pPr>
      <w:proofErr w:type="gramStart"/>
      <w:r w:rsidRPr="00AB31FB">
        <w:rPr>
          <w:i/>
        </w:rPr>
        <w:t>(Справочный документ:</w:t>
      </w:r>
      <w:proofErr w:type="gramEnd"/>
      <w:r w:rsidRPr="00AB31FB">
        <w:rPr>
          <w:i/>
        </w:rPr>
        <w:t xml:space="preserve"> </w:t>
      </w:r>
      <w:proofErr w:type="gramStart"/>
      <w:r w:rsidRPr="00AB31FB">
        <w:rPr>
          <w:i/>
        </w:rPr>
        <w:t>ECE/TRANS/WP15/2017/3 с поправками, содержащ</w:t>
      </w:r>
      <w:r w:rsidRPr="00AB31FB">
        <w:rPr>
          <w:i/>
        </w:rPr>
        <w:t>и</w:t>
      </w:r>
      <w:r w:rsidRPr="00AB31FB">
        <w:rPr>
          <w:i/>
        </w:rPr>
        <w:t>мися в неофициальном документе INF.19)</w:t>
      </w:r>
      <w:proofErr w:type="gramEnd"/>
    </w:p>
    <w:p w:rsidR="003869BF" w:rsidRDefault="00AB31FB" w:rsidP="00626F22">
      <w:pPr>
        <w:pStyle w:val="SingleTxtGR"/>
      </w:pPr>
      <w:r>
        <w:tab/>
      </w:r>
      <w:r w:rsidR="003869BF">
        <w:t>Изменить специальное положение 636 следующим образом:</w:t>
      </w:r>
    </w:p>
    <w:p w:rsidR="003869BF" w:rsidRDefault="00AB31FB" w:rsidP="00626F22">
      <w:pPr>
        <w:pStyle w:val="SingleTxtGR"/>
      </w:pPr>
      <w:r>
        <w:t>«</w:t>
      </w:r>
      <w:r w:rsidR="003869BF">
        <w:t>636</w:t>
      </w:r>
      <w:proofErr w:type="gramStart"/>
      <w:r w:rsidR="003869BF">
        <w:tab/>
        <w:t>В</w:t>
      </w:r>
      <w:proofErr w:type="gramEnd"/>
      <w:r w:rsidR="003869BF">
        <w:t xml:space="preserve"> случае перевозки до места промежуточной переработки литиевые эл</w:t>
      </w:r>
      <w:r w:rsidR="003869BF">
        <w:t>е</w:t>
      </w:r>
      <w:r w:rsidR="003869BF">
        <w:t xml:space="preserve">менты и батареи массой брутто не более 500 г каждый/каждая, литий-ионные элементы мощностью в ватт-часах не более 20 </w:t>
      </w:r>
      <w:proofErr w:type="spellStart"/>
      <w:r w:rsidR="003869BF">
        <w:t>Вт·ч</w:t>
      </w:r>
      <w:proofErr w:type="spellEnd"/>
      <w:r w:rsidR="003869BF">
        <w:t xml:space="preserve">, литий-ионные батареи мощностью в ватт-часах не более 100 </w:t>
      </w:r>
      <w:proofErr w:type="spellStart"/>
      <w:r w:rsidR="003869BF">
        <w:t>Вт·ч</w:t>
      </w:r>
      <w:proofErr w:type="spellEnd"/>
      <w:r w:rsidR="003869BF">
        <w:t>, литий-металлические элементы с содержанием лития не более 1 г и литий-металлические элементы с совоку</w:t>
      </w:r>
      <w:r w:rsidR="003869BF">
        <w:t>п</w:t>
      </w:r>
      <w:r w:rsidR="003869BF">
        <w:t>ным содержанием лития не более 2 г, не содержащиеся в оборудовании, с</w:t>
      </w:r>
      <w:r w:rsidR="003869BF">
        <w:t>о</w:t>
      </w:r>
      <w:r w:rsidR="003869BF">
        <w:t>бранные и предъявленные для перевозки в целях сортировки, удаления или утилизации, не подпадают под действие других положений ДОПОГ, включая специальное положение 376 и пункт 2.2.9.1.7, если они отвечают следующим условиям:</w:t>
      </w:r>
    </w:p>
    <w:p w:rsidR="003869BF" w:rsidRDefault="003869BF" w:rsidP="00626F22">
      <w:pPr>
        <w:pStyle w:val="SingleTxtGR"/>
      </w:pPr>
      <w:r>
        <w:tab/>
        <w:t>а)</w:t>
      </w:r>
      <w:r>
        <w:tab/>
        <w:t>элементы и батареи упакованы в соответствии с инструкцией по упаковке P909, содержащейся в подразделе 4.1.4.1, за исключением дополн</w:t>
      </w:r>
      <w:r>
        <w:t>и</w:t>
      </w:r>
      <w:r>
        <w:t>тельных требований 1 и 2;</w:t>
      </w:r>
    </w:p>
    <w:p w:rsidR="003869BF" w:rsidRDefault="003869BF" w:rsidP="00626F22">
      <w:pPr>
        <w:pStyle w:val="SingleTxtGR"/>
      </w:pPr>
      <w:r>
        <w:tab/>
        <w:t>b)</w:t>
      </w:r>
      <w:r>
        <w:tab/>
        <w:t xml:space="preserve">применяется система обеспечения качества, с </w:t>
      </w:r>
      <w:proofErr w:type="gramStart"/>
      <w:r>
        <w:t>тем</w:t>
      </w:r>
      <w:proofErr w:type="gramEnd"/>
      <w:r>
        <w:t xml:space="preserve"> чтобы общее к</w:t>
      </w:r>
      <w:r>
        <w:t>о</w:t>
      </w:r>
      <w:r>
        <w:t>личество литиевых элементов и батарей в каждой транспорт</w:t>
      </w:r>
      <w:r w:rsidR="00105EC6">
        <w:t>ной единице не превышало 333 кг;</w:t>
      </w:r>
    </w:p>
    <w:p w:rsidR="003869BF" w:rsidRPr="00AB31FB" w:rsidRDefault="00AB31FB" w:rsidP="00AB31FB">
      <w:pPr>
        <w:pStyle w:val="SingleTxtGR"/>
        <w:ind w:left="2268" w:hanging="1134"/>
        <w:rPr>
          <w:i/>
        </w:rPr>
      </w:pPr>
      <w:r>
        <w:rPr>
          <w:b/>
          <w:i/>
        </w:rPr>
        <w:tab/>
      </w:r>
      <w:r>
        <w:rPr>
          <w:b/>
          <w:i/>
        </w:rPr>
        <w:tab/>
      </w:r>
      <w:r w:rsidR="003869BF" w:rsidRPr="00AB31FB">
        <w:rPr>
          <w:b/>
          <w:i/>
        </w:rPr>
        <w:t>ПРИМЕЧАНИЕ:</w:t>
      </w:r>
      <w:r w:rsidR="003869BF" w:rsidRPr="00AB31FB">
        <w:rPr>
          <w:i/>
        </w:rPr>
        <w:t xml:space="preserve"> Общее количество литиевых элементов и бат</w:t>
      </w:r>
      <w:r w:rsidR="003869BF" w:rsidRPr="00AB31FB">
        <w:rPr>
          <w:i/>
        </w:rPr>
        <w:t>а</w:t>
      </w:r>
      <w:r w:rsidR="003869BF" w:rsidRPr="00AB31FB">
        <w:rPr>
          <w:i/>
        </w:rPr>
        <w:t>рей в смешанном грузе может оцениваться с помощью статист</w:t>
      </w:r>
      <w:r w:rsidR="003869BF" w:rsidRPr="00AB31FB">
        <w:rPr>
          <w:i/>
        </w:rPr>
        <w:t>и</w:t>
      </w:r>
      <w:r w:rsidR="003869BF" w:rsidRPr="00AB31FB">
        <w:rPr>
          <w:i/>
        </w:rPr>
        <w:t>ческого метода, включенного в систему обеспечения качества. К</w:t>
      </w:r>
      <w:r w:rsidR="003869BF" w:rsidRPr="00AB31FB">
        <w:rPr>
          <w:i/>
        </w:rPr>
        <w:t>о</w:t>
      </w:r>
      <w:r w:rsidR="003869BF" w:rsidRPr="00AB31FB">
        <w:rPr>
          <w:i/>
        </w:rPr>
        <w:t>пия учетной документации по обеспечению качества должна предоставляться компетентному органу по его з</w:t>
      </w:r>
      <w:r w:rsidR="00105EC6">
        <w:rPr>
          <w:i/>
        </w:rPr>
        <w:t>апросу.</w:t>
      </w:r>
    </w:p>
    <w:p w:rsidR="003869BF" w:rsidRDefault="003869BF" w:rsidP="00626F22">
      <w:pPr>
        <w:pStyle w:val="SingleTxtGR"/>
      </w:pPr>
      <w:r>
        <w:tab/>
        <w:t>c)</w:t>
      </w:r>
      <w:r>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roofErr w:type="gramStart"/>
      <w:r>
        <w:t>.</w:t>
      </w:r>
      <w:r w:rsidR="00AB31FB">
        <w:t>»</w:t>
      </w:r>
      <w:r>
        <w:t>.</w:t>
      </w:r>
      <w:proofErr w:type="gramEnd"/>
    </w:p>
    <w:p w:rsidR="003869BF" w:rsidRPr="00AB31FB" w:rsidRDefault="003869BF" w:rsidP="00626F22">
      <w:pPr>
        <w:pStyle w:val="SingleTxtGR"/>
        <w:rPr>
          <w:i/>
        </w:rPr>
      </w:pPr>
      <w:proofErr w:type="gramStart"/>
      <w:r w:rsidRPr="00AB31FB">
        <w:rPr>
          <w:i/>
        </w:rPr>
        <w:t>(Справочный документ:</w:t>
      </w:r>
      <w:proofErr w:type="gramEnd"/>
      <w:r w:rsidRPr="00AB31FB">
        <w:rPr>
          <w:i/>
        </w:rPr>
        <w:t xml:space="preserve"> </w:t>
      </w:r>
      <w:proofErr w:type="gramStart"/>
      <w:r w:rsidRPr="00AB31FB">
        <w:rPr>
          <w:i/>
        </w:rPr>
        <w:t>ECE/TRANS/WP15/AC.1/144, приложение II)</w:t>
      </w:r>
      <w:proofErr w:type="gramEnd"/>
    </w:p>
    <w:p w:rsidR="003869BF" w:rsidRDefault="00AB31FB" w:rsidP="00626F22">
      <w:pPr>
        <w:pStyle w:val="SingleTxtGR"/>
      </w:pPr>
      <w:r>
        <w:tab/>
      </w:r>
      <w:r w:rsidR="003869BF">
        <w:t>Включить новое специальное положение 670:</w:t>
      </w:r>
    </w:p>
    <w:p w:rsidR="003869BF" w:rsidRDefault="00AB31FB" w:rsidP="00626F22">
      <w:pPr>
        <w:pStyle w:val="SingleTxtGR"/>
      </w:pPr>
      <w:r>
        <w:t>«</w:t>
      </w:r>
      <w:r w:rsidR="003869BF">
        <w:t>670</w:t>
      </w:r>
      <w:r w:rsidR="003869BF">
        <w:tab/>
        <w:t>а)</w:t>
      </w:r>
      <w:r w:rsidR="003869BF">
        <w:tab/>
        <w:t>Литиевые элементы и батареи, установленные в оборудовании д</w:t>
      </w:r>
      <w:r w:rsidR="003869BF">
        <w:t>о</w:t>
      </w:r>
      <w:r w:rsidR="003869BF">
        <w:t xml:space="preserve">машних хозяйств, собранном и предъявленном для перевозки в целях </w:t>
      </w:r>
      <w:proofErr w:type="spellStart"/>
      <w:r w:rsidR="003869BF">
        <w:t>деконт</w:t>
      </w:r>
      <w:r w:rsidR="003869BF">
        <w:t>а</w:t>
      </w:r>
      <w:r w:rsidR="003869BF">
        <w:t>минации</w:t>
      </w:r>
      <w:proofErr w:type="spellEnd"/>
      <w:r w:rsidR="003869BF">
        <w:t>, разборки, утилизации или удаления, не подпадают под действие др</w:t>
      </w:r>
      <w:r w:rsidR="003869BF">
        <w:t>у</w:t>
      </w:r>
      <w:r w:rsidR="003869BF">
        <w:t>гих положений ДОПОГ, включая специальное положение 376 и пункт 2.2.9.1.7, если:</w:t>
      </w:r>
    </w:p>
    <w:p w:rsidR="003869BF" w:rsidRDefault="003869BF" w:rsidP="00626F22">
      <w:pPr>
        <w:pStyle w:val="SingleTxtGR"/>
      </w:pPr>
      <w:r>
        <w:tab/>
        <w:t>i)</w:t>
      </w:r>
      <w:r>
        <w:tab/>
        <w:t>они не являются основным источником энергии для функционир</w:t>
      </w:r>
      <w:r>
        <w:t>о</w:t>
      </w:r>
      <w:r>
        <w:t>вания оборудования, в котором они содержатся;</w:t>
      </w:r>
    </w:p>
    <w:p w:rsidR="003869BF" w:rsidRDefault="00AB31FB" w:rsidP="00626F22">
      <w:pPr>
        <w:pStyle w:val="SingleTxtGR"/>
      </w:pPr>
      <w:r>
        <w:tab/>
      </w:r>
      <w:proofErr w:type="spellStart"/>
      <w:r w:rsidR="003869BF">
        <w:t>ii</w:t>
      </w:r>
      <w:proofErr w:type="spellEnd"/>
      <w:r w:rsidR="003869BF">
        <w:t>)</w:t>
      </w:r>
      <w:r w:rsidR="003869BF">
        <w:tab/>
        <w:t>оборудование, в котором они содержатся, не содержит какого-либо (какой-либо) другог</w:t>
      </w:r>
      <w:proofErr w:type="gramStart"/>
      <w:r w:rsidR="003869BF">
        <w:t>о(</w:t>
      </w:r>
      <w:proofErr w:type="gramEnd"/>
      <w:r w:rsidR="003869BF">
        <w:t>ой) литиевого элемента или батареи, используемого(ой) в качестве основного источника энергии; и</w:t>
      </w:r>
    </w:p>
    <w:p w:rsidR="003869BF" w:rsidRDefault="003869BF" w:rsidP="00626F22">
      <w:pPr>
        <w:pStyle w:val="SingleTxtGR"/>
      </w:pPr>
      <w:r>
        <w:tab/>
      </w:r>
      <w:proofErr w:type="spellStart"/>
      <w:proofErr w:type="gramStart"/>
      <w:r>
        <w:t>iii</w:t>
      </w:r>
      <w:proofErr w:type="spellEnd"/>
      <w:r>
        <w:t>)</w:t>
      </w:r>
      <w:r>
        <w:tab/>
        <w:t xml:space="preserve">оборудование, в котором они содержатся, обеспечивает их защиту. </w:t>
      </w:r>
      <w:proofErr w:type="gramEnd"/>
    </w:p>
    <w:p w:rsidR="003869BF" w:rsidRDefault="00105EC6" w:rsidP="00626F22">
      <w:pPr>
        <w:pStyle w:val="SingleTxtGR"/>
      </w:pPr>
      <w:r>
        <w:tab/>
      </w:r>
      <w:r w:rsidR="003869BF">
        <w:t xml:space="preserve">Примерами элементов и батарей, охватываемых этим пунктом, являются элементы пуговичного типа, используемые для сохранения данных в бытовых приборах (таких, как холодильники, стиральные и посудомоечные машины) или в других видах электрического и электронного оборудования; </w:t>
      </w:r>
    </w:p>
    <w:p w:rsidR="003869BF" w:rsidRDefault="003869BF" w:rsidP="00626F22">
      <w:pPr>
        <w:pStyle w:val="SingleTxtGR"/>
      </w:pPr>
      <w:r>
        <w:tab/>
      </w:r>
      <w:proofErr w:type="gramStart"/>
      <w:r>
        <w:t>b)</w:t>
      </w:r>
      <w:r>
        <w:tab/>
        <w:t>в случае перевозки до места промежуточной переработки литиевые элементы и батареи, содержащиеся в не соответствующем требованиям по</w:t>
      </w:r>
      <w:r>
        <w:t>д</w:t>
      </w:r>
      <w:r>
        <w:t xml:space="preserve">пункта а) оборудовании домашних хозяйств, собранные и предъявленные для перевозки в целях </w:t>
      </w:r>
      <w:proofErr w:type="spellStart"/>
      <w:r>
        <w:t>деконтаминации</w:t>
      </w:r>
      <w:proofErr w:type="spellEnd"/>
      <w:r>
        <w:t>, разборки, утилизации или удаления, не подпадают под действие других положений ДОПОГ, включая специальное п</w:t>
      </w:r>
      <w:r>
        <w:t>о</w:t>
      </w:r>
      <w:r>
        <w:t>ложение 376 и пункт 2.2.9.1.7, если они отвечают следующим условиям:</w:t>
      </w:r>
      <w:proofErr w:type="gramEnd"/>
    </w:p>
    <w:p w:rsidR="003869BF" w:rsidRDefault="0010721E" w:rsidP="0010721E">
      <w:pPr>
        <w:pStyle w:val="SingleTxtGR"/>
        <w:ind w:left="2268" w:hanging="1134"/>
      </w:pPr>
      <w:r>
        <w:tab/>
      </w:r>
      <w:r>
        <w:tab/>
      </w:r>
      <w:r w:rsidR="003869BF">
        <w:t>i)</w:t>
      </w:r>
      <w:r w:rsidR="003869BF">
        <w:tab/>
        <w:t xml:space="preserve">оборудование упаковано в соответствии с инструкцией по упаковке P909, изложенной в подразделе 4.1.4.1, за исключением дополнительных требований 1 и 2; или оно упаковано в прочную наружную тару, </w:t>
      </w:r>
      <w:proofErr w:type="gramStart"/>
      <w:r w:rsidR="003869BF">
        <w:t>например</w:t>
      </w:r>
      <w:proofErr w:type="gramEnd"/>
      <w:r w:rsidR="003869BF">
        <w:t xml:space="preserve"> специально разработанные емкости для сбора, удовлетворяющую следующим требованиям: </w:t>
      </w:r>
    </w:p>
    <w:p w:rsidR="003869BF" w:rsidRDefault="003869BF" w:rsidP="0010721E">
      <w:pPr>
        <w:pStyle w:val="SingleTxtGR"/>
        <w:ind w:left="2835" w:hanging="1701"/>
      </w:pPr>
      <w:r>
        <w:tab/>
      </w:r>
      <w:r w:rsidR="0010721E">
        <w:tab/>
      </w:r>
      <w:r w:rsidR="0010721E">
        <w:tab/>
      </w:r>
      <w:r>
        <w:t>-</w:t>
      </w:r>
      <w:r>
        <w:tab/>
        <w:t>тара должна быть изготовлена из подходящего матер</w:t>
      </w:r>
      <w:r>
        <w:t>и</w:t>
      </w:r>
      <w:r>
        <w:t>ала и иметь надлежащую прочность и конструкцию в зав</w:t>
      </w:r>
      <w:r>
        <w:t>и</w:t>
      </w:r>
      <w:r>
        <w:t>симости от вместимости тары и ее предназначения. Тара н</w:t>
      </w:r>
      <w:r>
        <w:t>е</w:t>
      </w:r>
      <w:r>
        <w:t>обязательно должна отвечать требованиям пункта 4.1.1.3;</w:t>
      </w:r>
    </w:p>
    <w:p w:rsidR="003869BF" w:rsidRDefault="0010721E" w:rsidP="0010721E">
      <w:pPr>
        <w:pStyle w:val="SingleTxtGR"/>
        <w:ind w:left="2835" w:hanging="1701"/>
      </w:pPr>
      <w:r>
        <w:tab/>
      </w:r>
      <w:r>
        <w:tab/>
      </w:r>
      <w:r w:rsidR="003869BF">
        <w:tab/>
        <w:t>-</w:t>
      </w:r>
      <w:r w:rsidR="003869BF">
        <w:tab/>
        <w:t>должны быть приняты соответствующие меры для св</w:t>
      </w:r>
      <w:r w:rsidR="003869BF">
        <w:t>е</w:t>
      </w:r>
      <w:r w:rsidR="003869BF">
        <w:t>дения к минимуму ущерба оборудованию при заполнении и обработке тары, например путем применения резиновых м</w:t>
      </w:r>
      <w:r w:rsidR="003869BF">
        <w:t>а</w:t>
      </w:r>
      <w:r w:rsidR="003869BF">
        <w:t>тов; и</w:t>
      </w:r>
    </w:p>
    <w:p w:rsidR="003869BF" w:rsidRDefault="003869BF" w:rsidP="0010721E">
      <w:pPr>
        <w:pStyle w:val="SingleTxtGR"/>
        <w:ind w:left="2835" w:hanging="1701"/>
      </w:pPr>
      <w:r>
        <w:tab/>
      </w:r>
      <w:r w:rsidR="0010721E">
        <w:tab/>
      </w:r>
      <w:r w:rsidR="0010721E">
        <w:tab/>
      </w:r>
      <w:r>
        <w:t>-</w:t>
      </w:r>
      <w:r>
        <w:tab/>
        <w:t>тара должна быть сконструирована и должна закр</w:t>
      </w:r>
      <w:r>
        <w:t>ы</w:t>
      </w:r>
      <w:r>
        <w:t>ваться таким образом, чтобы предотвратить любую потерю содержимого во время перевозки, например путем использ</w:t>
      </w:r>
      <w:r>
        <w:t>о</w:t>
      </w:r>
      <w:r>
        <w:t>вания крышек, плотных вкладышей, защитного покрытия для перевозки. Отверстия, предназначенные для заполнения, я</w:t>
      </w:r>
      <w:r>
        <w:t>в</w:t>
      </w:r>
      <w:r>
        <w:t>ляются приемлемыми в том случае, если они сконструиров</w:t>
      </w:r>
      <w:r>
        <w:t>а</w:t>
      </w:r>
      <w:r>
        <w:t xml:space="preserve">ны таким образом, чтобы исключить потерю содержимого; </w:t>
      </w:r>
    </w:p>
    <w:p w:rsidR="003869BF" w:rsidRDefault="0010721E" w:rsidP="0010721E">
      <w:pPr>
        <w:pStyle w:val="SingleTxtGR"/>
        <w:ind w:left="2268" w:hanging="1134"/>
      </w:pPr>
      <w:r>
        <w:tab/>
      </w:r>
      <w:r>
        <w:tab/>
      </w:r>
      <w:proofErr w:type="spellStart"/>
      <w:r w:rsidR="003869BF">
        <w:t>ii</w:t>
      </w:r>
      <w:proofErr w:type="spellEnd"/>
      <w:r w:rsidR="003869BF">
        <w:t>)</w:t>
      </w:r>
      <w:r w:rsidR="003869BF">
        <w:tab/>
        <w:t xml:space="preserve">применяется система обеспечения качества, с </w:t>
      </w:r>
      <w:proofErr w:type="gramStart"/>
      <w:r w:rsidR="003869BF">
        <w:t>тем</w:t>
      </w:r>
      <w:proofErr w:type="gramEnd"/>
      <w:r w:rsidR="003869BF">
        <w:t xml:space="preserve"> чтобы о</w:t>
      </w:r>
      <w:r w:rsidR="003869BF">
        <w:t>б</w:t>
      </w:r>
      <w:r w:rsidR="003869BF">
        <w:t>щее количество литиевых элементов и батарей в каждой тран</w:t>
      </w:r>
      <w:r w:rsidR="003869BF">
        <w:t>с</w:t>
      </w:r>
      <w:r w:rsidR="003869BF">
        <w:t>портн</w:t>
      </w:r>
      <w:r w:rsidR="00105EC6">
        <w:t>ой единице не превышало 333 кг;</w:t>
      </w:r>
    </w:p>
    <w:p w:rsidR="003869BF" w:rsidRPr="0010721E" w:rsidRDefault="0010721E" w:rsidP="0010721E">
      <w:pPr>
        <w:pStyle w:val="SingleTxtGR"/>
        <w:ind w:left="2835" w:hanging="1701"/>
        <w:rPr>
          <w:i/>
        </w:rPr>
      </w:pPr>
      <w:r>
        <w:tab/>
      </w:r>
      <w:r>
        <w:tab/>
      </w:r>
      <w:r>
        <w:tab/>
      </w:r>
      <w:r w:rsidR="003869BF" w:rsidRPr="0010721E">
        <w:rPr>
          <w:b/>
          <w:i/>
        </w:rPr>
        <w:t>ПРИМЕЧАНИЕ:</w:t>
      </w:r>
      <w:r w:rsidR="003869BF" w:rsidRPr="0010721E">
        <w:rPr>
          <w:i/>
        </w:rPr>
        <w:t xml:space="preserve"> Общее количество литиевых элементов и батарей в смешанном грузе может оцениваться с помощью статистического метода, включенного в систему обеспеч</w:t>
      </w:r>
      <w:r w:rsidR="003869BF" w:rsidRPr="0010721E">
        <w:rPr>
          <w:i/>
        </w:rPr>
        <w:t>е</w:t>
      </w:r>
      <w:r w:rsidR="003869BF" w:rsidRPr="0010721E">
        <w:rPr>
          <w:i/>
        </w:rPr>
        <w:t>ния качества. Копия учетной документации по обеспечению качества должна предоставляться комп</w:t>
      </w:r>
      <w:r w:rsidR="00105EC6">
        <w:rPr>
          <w:i/>
        </w:rPr>
        <w:t>етентному органу по его запросу.</w:t>
      </w:r>
    </w:p>
    <w:p w:rsidR="003869BF" w:rsidRDefault="0010721E" w:rsidP="0010721E">
      <w:pPr>
        <w:pStyle w:val="SingleTxtGR"/>
        <w:ind w:left="2268" w:hanging="1134"/>
      </w:pPr>
      <w:r>
        <w:tab/>
      </w:r>
      <w:r>
        <w:tab/>
      </w:r>
      <w:proofErr w:type="spellStart"/>
      <w:proofErr w:type="gramStart"/>
      <w:r w:rsidR="003869BF">
        <w:t>iii</w:t>
      </w:r>
      <w:proofErr w:type="spellEnd"/>
      <w:r w:rsidR="003869BF">
        <w:t>)</w:t>
      </w:r>
      <w:r w:rsidR="003869BF">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roofErr w:type="gramEnd"/>
      <w:r w:rsidR="003869BF">
        <w:t xml:space="preserve"> Если оборудование, содержащее литиевые элементы или батареи, перевозится в неупакованном виде или на поддонах в с</w:t>
      </w:r>
      <w:r w:rsidR="003869BF">
        <w:t>о</w:t>
      </w:r>
      <w:r w:rsidR="003869BF">
        <w:t>ответствии с инструкцией по упаковке P909 (3), изложенной в по</w:t>
      </w:r>
      <w:r w:rsidR="003869BF">
        <w:t>д</w:t>
      </w:r>
      <w:r w:rsidR="003869BF">
        <w:t>разделе 4.1.4.1, то в качестве альтернативы этот маркировочный знак может быть размещен на внешней поверхности транспортных средств или контейнеров.</w:t>
      </w:r>
    </w:p>
    <w:p w:rsidR="003869BF" w:rsidRDefault="0010721E" w:rsidP="0010721E">
      <w:pPr>
        <w:pStyle w:val="SingleTxtGR"/>
        <w:ind w:left="2835" w:hanging="1701"/>
      </w:pPr>
      <w:r>
        <w:tab/>
      </w:r>
      <w:r>
        <w:tab/>
      </w:r>
      <w:r>
        <w:tab/>
      </w:r>
      <w:r w:rsidR="003869BF" w:rsidRPr="0010721E">
        <w:rPr>
          <w:b/>
          <w:i/>
        </w:rPr>
        <w:t>ПРИМЕЧАНИЕ:</w:t>
      </w:r>
      <w:r w:rsidR="003869BF" w:rsidRPr="0010721E">
        <w:rPr>
          <w:i/>
        </w:rPr>
        <w:t xml:space="preserve"> "Оборудование домашних хозяйств" означ</w:t>
      </w:r>
      <w:r w:rsidR="003869BF" w:rsidRPr="0010721E">
        <w:rPr>
          <w:i/>
        </w:rPr>
        <w:t>а</w:t>
      </w:r>
      <w:r w:rsidR="003869BF" w:rsidRPr="0010721E">
        <w:rPr>
          <w:i/>
        </w:rPr>
        <w:t>ет оборудование, пост</w:t>
      </w:r>
      <w:r>
        <w:rPr>
          <w:i/>
        </w:rPr>
        <w:t>упающее из домашних хозяйств, и </w:t>
      </w:r>
      <w:r w:rsidR="003869BF" w:rsidRPr="0010721E">
        <w:rPr>
          <w:i/>
        </w:rPr>
        <w:t>оборудование коммерческого, промышленного, институц</w:t>
      </w:r>
      <w:r w:rsidR="003869BF" w:rsidRPr="0010721E">
        <w:rPr>
          <w:i/>
        </w:rPr>
        <w:t>и</w:t>
      </w:r>
      <w:r w:rsidR="003869BF" w:rsidRPr="0010721E">
        <w:rPr>
          <w:i/>
        </w:rPr>
        <w:t>онального и иного происхождения, которое в силу своего х</w:t>
      </w:r>
      <w:r w:rsidR="003869BF" w:rsidRPr="0010721E">
        <w:rPr>
          <w:i/>
        </w:rPr>
        <w:t>а</w:t>
      </w:r>
      <w:r w:rsidR="003869BF" w:rsidRPr="0010721E">
        <w:rPr>
          <w:i/>
        </w:rPr>
        <w:t>рактера и количества аналогично оборудованию домашних хозяйств. Оборудование, которое может использоваться как домашними хозяйствами, так и другими пользователями помимо домашних хозяйств, рассматривается в любом сл</w:t>
      </w:r>
      <w:r w:rsidR="003869BF" w:rsidRPr="0010721E">
        <w:rPr>
          <w:i/>
        </w:rPr>
        <w:t>у</w:t>
      </w:r>
      <w:r w:rsidR="003869BF" w:rsidRPr="0010721E">
        <w:rPr>
          <w:i/>
        </w:rPr>
        <w:t>чае как оборудование домашних хозяйств</w:t>
      </w:r>
      <w:proofErr w:type="gramStart"/>
      <w:r w:rsidR="003869BF" w:rsidRPr="0010721E">
        <w:rPr>
          <w:i/>
        </w:rPr>
        <w:t>.</w:t>
      </w:r>
      <w:r w:rsidR="003869BF">
        <w:t>».</w:t>
      </w:r>
      <w:proofErr w:type="gramEnd"/>
    </w:p>
    <w:p w:rsidR="003869BF" w:rsidRPr="0010721E" w:rsidRDefault="003869BF" w:rsidP="00626F22">
      <w:pPr>
        <w:pStyle w:val="SingleTxtGR"/>
        <w:rPr>
          <w:i/>
        </w:rPr>
      </w:pPr>
      <w:proofErr w:type="gramStart"/>
      <w:r w:rsidRPr="0010721E">
        <w:rPr>
          <w:i/>
        </w:rPr>
        <w:t>(Справочный документ:</w:t>
      </w:r>
      <w:proofErr w:type="gramEnd"/>
      <w:r w:rsidRPr="0010721E">
        <w:rPr>
          <w:i/>
        </w:rPr>
        <w:t xml:space="preserve"> </w:t>
      </w:r>
      <w:proofErr w:type="gramStart"/>
      <w:r w:rsidRPr="0010721E">
        <w:rPr>
          <w:i/>
        </w:rPr>
        <w:t>ECE/TRANS/WP15/AC.1/144, приложение II)</w:t>
      </w:r>
      <w:proofErr w:type="gramEnd"/>
    </w:p>
    <w:p w:rsidR="003869BF" w:rsidRDefault="003869BF" w:rsidP="0010721E">
      <w:pPr>
        <w:pStyle w:val="H1GR"/>
      </w:pPr>
      <w:r>
        <w:tab/>
      </w:r>
      <w:r>
        <w:tab/>
        <w:t>Глава 4.1</w:t>
      </w:r>
    </w:p>
    <w:p w:rsidR="003869BF" w:rsidRDefault="003869BF" w:rsidP="00626F22">
      <w:pPr>
        <w:pStyle w:val="SingleTxtGR"/>
      </w:pPr>
      <w:r>
        <w:t>4.1.4.1, P200</w:t>
      </w:r>
      <w:proofErr w:type="gramStart"/>
      <w:r>
        <w:tab/>
        <w:t>В</w:t>
      </w:r>
      <w:proofErr w:type="gramEnd"/>
      <w:r>
        <w:t xml:space="preserve"> пункте (11), в таблице,</w:t>
      </w:r>
      <w:r w:rsidR="0010721E">
        <w:t xml:space="preserve"> во второй колонке заменить «EN </w:t>
      </w:r>
      <w:r>
        <w:t>1439: 2008</w:t>
      </w:r>
      <w:r w:rsidR="0010721E">
        <w:t>»</w:t>
      </w:r>
      <w:r>
        <w:t xml:space="preserve"> на </w:t>
      </w:r>
      <w:r w:rsidR="0010721E">
        <w:t>«</w:t>
      </w:r>
      <w:r>
        <w:t>EN 1439: 2017</w:t>
      </w:r>
      <w:r w:rsidR="0010721E">
        <w:t>»</w:t>
      </w:r>
      <w:r>
        <w:t>.</w:t>
      </w:r>
    </w:p>
    <w:p w:rsidR="003869BF" w:rsidRPr="0010721E" w:rsidRDefault="003869BF" w:rsidP="00626F22">
      <w:pPr>
        <w:pStyle w:val="SingleTxtGR"/>
        <w:rPr>
          <w:i/>
        </w:rPr>
      </w:pPr>
      <w:proofErr w:type="gramStart"/>
      <w:r w:rsidRPr="0010721E">
        <w:rPr>
          <w:i/>
        </w:rPr>
        <w:t>(Справочный документ:</w:t>
      </w:r>
      <w:proofErr w:type="gramEnd"/>
      <w:r w:rsidRPr="0010721E">
        <w:rPr>
          <w:i/>
        </w:rPr>
        <w:t xml:space="preserve"> </w:t>
      </w:r>
      <w:proofErr w:type="gramStart"/>
      <w:r w:rsidRPr="0010721E">
        <w:rPr>
          <w:i/>
        </w:rPr>
        <w:t>ECE/TRANS/WP.15/AC.1/146, приложение II)</w:t>
      </w:r>
      <w:proofErr w:type="gramEnd"/>
    </w:p>
    <w:p w:rsidR="003869BF" w:rsidRDefault="003869BF" w:rsidP="00626F22">
      <w:pPr>
        <w:pStyle w:val="SingleTxtGR"/>
      </w:pPr>
      <w:r>
        <w:t>4.1.4.1, P200</w:t>
      </w:r>
      <w:proofErr w:type="gramStart"/>
      <w:r>
        <w:tab/>
        <w:t>В</w:t>
      </w:r>
      <w:proofErr w:type="gramEnd"/>
      <w:r>
        <w:t xml:space="preserve"> пункте (11), в таблице, после графы для стандарта </w:t>
      </w:r>
      <w:r w:rsidR="002F2523">
        <w:t>«EN </w:t>
      </w:r>
      <w:r>
        <w:t>1439:2017» включить следующую новую графу:</w:t>
      </w:r>
    </w:p>
    <w:tbl>
      <w:tblPr>
        <w:tblStyle w:val="TableGrid"/>
        <w:tblW w:w="0" w:type="auto"/>
        <w:tblInd w:w="1242" w:type="dxa"/>
        <w:tblLook w:val="04A0" w:firstRow="1" w:lastRow="0" w:firstColumn="1" w:lastColumn="0" w:noHBand="0" w:noVBand="1"/>
      </w:tblPr>
      <w:tblGrid>
        <w:gridCol w:w="1560"/>
        <w:gridCol w:w="2551"/>
        <w:gridCol w:w="3260"/>
      </w:tblGrid>
      <w:tr w:rsidR="002F2523" w:rsidTr="002F2523">
        <w:tc>
          <w:tcPr>
            <w:tcW w:w="1560" w:type="dxa"/>
          </w:tcPr>
          <w:p w:rsidR="002F2523" w:rsidRDefault="002F2523" w:rsidP="002F2523">
            <w:pPr>
              <w:pStyle w:val="SingleTxtGR"/>
              <w:ind w:left="0" w:right="0"/>
              <w:jc w:val="left"/>
            </w:pPr>
            <w:r>
              <w:t xml:space="preserve">(7) и (10) </w:t>
            </w:r>
            <w:proofErr w:type="spellStart"/>
            <w:r>
              <w:t>ta</w:t>
            </w:r>
            <w:proofErr w:type="spellEnd"/>
            <w:r>
              <w:t xml:space="preserve"> b)</w:t>
            </w:r>
          </w:p>
        </w:tc>
        <w:tc>
          <w:tcPr>
            <w:tcW w:w="2551" w:type="dxa"/>
          </w:tcPr>
          <w:p w:rsidR="002F2523" w:rsidRDefault="001507E6" w:rsidP="002F2523">
            <w:pPr>
              <w:pStyle w:val="SingleTxtGR"/>
              <w:ind w:left="0" w:right="0"/>
              <w:jc w:val="left"/>
            </w:pPr>
            <w:r w:rsidRPr="001507E6">
              <w:t>EN</w:t>
            </w:r>
            <w:r w:rsidR="002F2523">
              <w:t xml:space="preserve"> 13952:2017</w:t>
            </w:r>
          </w:p>
        </w:tc>
        <w:tc>
          <w:tcPr>
            <w:tcW w:w="3260" w:type="dxa"/>
          </w:tcPr>
          <w:p w:rsidR="002F2523" w:rsidRDefault="002F2523" w:rsidP="002F2523">
            <w:pPr>
              <w:pStyle w:val="SingleTxtGR"/>
              <w:ind w:left="0" w:right="0"/>
              <w:jc w:val="left"/>
            </w:pPr>
            <w:r>
              <w:t>Оборудование и вспомогател</w:t>
            </w:r>
            <w:r>
              <w:t>ь</w:t>
            </w:r>
            <w:r>
              <w:t>ные приспособления для СНГ − Процедуры наполнения балл</w:t>
            </w:r>
            <w:r>
              <w:t>о</w:t>
            </w:r>
            <w:r>
              <w:t>нов для СНГ</w:t>
            </w:r>
          </w:p>
        </w:tc>
      </w:tr>
    </w:tbl>
    <w:p w:rsidR="003869BF" w:rsidRPr="002F2523" w:rsidRDefault="003869BF" w:rsidP="002F2523">
      <w:pPr>
        <w:pStyle w:val="SingleTxtGR"/>
        <w:spacing w:before="120"/>
        <w:rPr>
          <w:i/>
        </w:rPr>
      </w:pPr>
      <w:proofErr w:type="gramStart"/>
      <w:r w:rsidRPr="002F2523">
        <w:rPr>
          <w:i/>
        </w:rPr>
        <w:t>(Справочный документ:</w:t>
      </w:r>
      <w:proofErr w:type="gramEnd"/>
      <w:r w:rsidRPr="002F2523">
        <w:rPr>
          <w:i/>
        </w:rPr>
        <w:t xml:space="preserve"> </w:t>
      </w:r>
      <w:proofErr w:type="gramStart"/>
      <w:r w:rsidRPr="002F2523">
        <w:rPr>
          <w:i/>
        </w:rPr>
        <w:t>ECE/TRANS/WP.15/AC.1/146, приложение II)</w:t>
      </w:r>
      <w:proofErr w:type="gramEnd"/>
    </w:p>
    <w:p w:rsidR="003869BF" w:rsidRDefault="003869BF" w:rsidP="00626F22">
      <w:pPr>
        <w:pStyle w:val="SingleTxtGR"/>
      </w:pPr>
      <w:r>
        <w:t>4.1.4.1, P200</w:t>
      </w:r>
      <w:proofErr w:type="gramStart"/>
      <w:r>
        <w:tab/>
        <w:t>В</w:t>
      </w:r>
      <w:proofErr w:type="gramEnd"/>
      <w:r>
        <w:t xml:space="preserve"> пункте (11), в таблице, исключить графу для стандарта «EN 12755:2000».</w:t>
      </w:r>
    </w:p>
    <w:p w:rsidR="003869BF" w:rsidRPr="002F2523" w:rsidRDefault="003869BF" w:rsidP="00626F22">
      <w:pPr>
        <w:pStyle w:val="SingleTxtGR"/>
        <w:rPr>
          <w:i/>
        </w:rPr>
      </w:pPr>
      <w:proofErr w:type="gramStart"/>
      <w:r w:rsidRPr="002F2523">
        <w:rPr>
          <w:i/>
        </w:rPr>
        <w:t>(Справочный документ:</w:t>
      </w:r>
      <w:proofErr w:type="gramEnd"/>
      <w:r w:rsidRPr="002F2523">
        <w:rPr>
          <w:i/>
        </w:rPr>
        <w:t xml:space="preserve"> </w:t>
      </w:r>
      <w:proofErr w:type="gramStart"/>
      <w:r w:rsidRPr="002F2523">
        <w:rPr>
          <w:i/>
        </w:rPr>
        <w:t>ECE/TRANS/WP.15/AC.1/146, приложение II)</w:t>
      </w:r>
      <w:proofErr w:type="gramEnd"/>
    </w:p>
    <w:p w:rsidR="003869BF" w:rsidRDefault="003869BF" w:rsidP="00626F22">
      <w:pPr>
        <w:pStyle w:val="SingleTxtGR"/>
      </w:pPr>
      <w:r>
        <w:t>4.1.4.1, P200</w:t>
      </w:r>
      <w:proofErr w:type="gramStart"/>
      <w:r>
        <w:tab/>
        <w:t>В</w:t>
      </w:r>
      <w:proofErr w:type="gramEnd"/>
      <w:r>
        <w:t xml:space="preserve"> пункте (11), в таблице</w:t>
      </w:r>
      <w:r w:rsidR="002F2523">
        <w:t>, удалить первые две строки (EN </w:t>
      </w:r>
      <w:r>
        <w:t>1919:2000 и EN 1920:2000) и добавить следующую новую строку:</w:t>
      </w:r>
    </w:p>
    <w:tbl>
      <w:tblPr>
        <w:tblStyle w:val="TableGrid"/>
        <w:tblW w:w="0" w:type="auto"/>
        <w:tblInd w:w="1242" w:type="dxa"/>
        <w:tblLook w:val="04A0" w:firstRow="1" w:lastRow="0" w:firstColumn="1" w:lastColumn="0" w:noHBand="0" w:noVBand="1"/>
      </w:tblPr>
      <w:tblGrid>
        <w:gridCol w:w="1560"/>
        <w:gridCol w:w="2551"/>
        <w:gridCol w:w="3260"/>
      </w:tblGrid>
      <w:tr w:rsidR="002F2523" w:rsidTr="001E68A7">
        <w:tc>
          <w:tcPr>
            <w:tcW w:w="1560" w:type="dxa"/>
          </w:tcPr>
          <w:p w:rsidR="002F2523" w:rsidRDefault="002F2523" w:rsidP="001E68A7">
            <w:pPr>
              <w:pStyle w:val="SingleTxtGR"/>
              <w:ind w:left="0" w:right="0"/>
              <w:jc w:val="center"/>
            </w:pPr>
            <w:r>
              <w:t>(7)</w:t>
            </w:r>
          </w:p>
        </w:tc>
        <w:tc>
          <w:tcPr>
            <w:tcW w:w="2551" w:type="dxa"/>
          </w:tcPr>
          <w:p w:rsidR="002F2523" w:rsidRDefault="002F2523" w:rsidP="001E68A7">
            <w:pPr>
              <w:pStyle w:val="SingleTxtGR"/>
              <w:ind w:left="0" w:right="0"/>
              <w:jc w:val="left"/>
            </w:pPr>
            <w:r>
              <w:t>EN ISO 24431:2016</w:t>
            </w:r>
          </w:p>
        </w:tc>
        <w:tc>
          <w:tcPr>
            <w:tcW w:w="3260" w:type="dxa"/>
          </w:tcPr>
          <w:p w:rsidR="002F2523" w:rsidRDefault="002F2523" w:rsidP="001E68A7">
            <w:pPr>
              <w:pStyle w:val="SingleTxtGR"/>
              <w:ind w:left="0" w:right="0"/>
              <w:jc w:val="left"/>
            </w:pPr>
            <w:r>
              <w:t>Газовые баллоны – Бесшовные, сварные и композитные баллоны для сжатых и сжиженных газов (за исключением ацетилена) – Проверка при наполнении</w:t>
            </w:r>
          </w:p>
        </w:tc>
      </w:tr>
    </w:tbl>
    <w:p w:rsidR="003869BF" w:rsidRPr="001E68A7" w:rsidRDefault="003869BF" w:rsidP="001E68A7">
      <w:pPr>
        <w:pStyle w:val="SingleTxtGR"/>
        <w:spacing w:before="120"/>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ECE/TRANS/WP15/AC.1/144, приложение II, с попра</w:t>
      </w:r>
      <w:r w:rsidRPr="001E68A7">
        <w:rPr>
          <w:i/>
        </w:rPr>
        <w:t>в</w:t>
      </w:r>
      <w:r w:rsidRPr="001E68A7">
        <w:rPr>
          <w:i/>
        </w:rPr>
        <w:t>ками)</w:t>
      </w:r>
      <w:proofErr w:type="gramEnd"/>
    </w:p>
    <w:p w:rsidR="003869BF" w:rsidRDefault="003869BF" w:rsidP="00626F22">
      <w:pPr>
        <w:pStyle w:val="SingleTxtGR"/>
      </w:pPr>
      <w:r>
        <w:t>4.1.4.1, P200</w:t>
      </w:r>
      <w:proofErr w:type="gramStart"/>
      <w:r>
        <w:tab/>
        <w:t>В</w:t>
      </w:r>
      <w:proofErr w:type="gramEnd"/>
      <w:r>
        <w:t xml:space="preserve"> пункте (12) 2.1 заменить «EN 1439:2008» на «EN 1439:2017 и EN 13952:2017».</w:t>
      </w:r>
    </w:p>
    <w:p w:rsidR="003869BF" w:rsidRPr="001E68A7" w:rsidRDefault="003869BF" w:rsidP="00626F22">
      <w:pPr>
        <w:pStyle w:val="SingleTxtGR"/>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ECE/TRANS/WP.15/AC.1/146, приложение II)</w:t>
      </w:r>
      <w:proofErr w:type="gramEnd"/>
    </w:p>
    <w:p w:rsidR="003869BF" w:rsidRDefault="003869BF" w:rsidP="00626F22">
      <w:pPr>
        <w:pStyle w:val="SingleTxtGR"/>
      </w:pPr>
      <w:r>
        <w:t>4.1.4.1 (P200)</w:t>
      </w:r>
      <w:r>
        <w:tab/>
        <w:t xml:space="preserve">В пункте (13) 2.1 заменить «EN 1919:2000 и EN 1920:2000» на «EN ISO 24431:2016». </w:t>
      </w:r>
    </w:p>
    <w:p w:rsidR="003869BF" w:rsidRPr="001E68A7" w:rsidRDefault="003869BF" w:rsidP="00626F22">
      <w:pPr>
        <w:pStyle w:val="SingleTxtGR"/>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ECE/TRANS/WP15/AC.1/144, приложение II)</w:t>
      </w:r>
      <w:proofErr w:type="gramEnd"/>
    </w:p>
    <w:p w:rsidR="003869BF" w:rsidRDefault="003869BF" w:rsidP="00626F22">
      <w:pPr>
        <w:pStyle w:val="SingleTxtGR"/>
      </w:pPr>
      <w:r>
        <w:t>4.1.6.15</w:t>
      </w:r>
      <w:proofErr w:type="gramStart"/>
      <w:r>
        <w:tab/>
        <w:t>В</w:t>
      </w:r>
      <w:proofErr w:type="gramEnd"/>
      <w:r>
        <w:t xml:space="preserve"> таблице, в колонке «Ссылка» з</w:t>
      </w:r>
      <w:r w:rsidR="001507E6">
        <w:t>аменить «ISO 11114-1:2012» на</w:t>
      </w:r>
      <w:r w:rsidR="001E68A7">
        <w:t xml:space="preserve"> «EN </w:t>
      </w:r>
      <w:r>
        <w:t>ISO 11114-1:2012 + A1:2017».</w:t>
      </w:r>
    </w:p>
    <w:p w:rsidR="003869BF" w:rsidRPr="001E68A7" w:rsidRDefault="003869BF" w:rsidP="00626F22">
      <w:pPr>
        <w:pStyle w:val="SingleTxtGR"/>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ECE/TRANS/WP.15/AC.1/146, приложение II)</w:t>
      </w:r>
      <w:proofErr w:type="gramEnd"/>
    </w:p>
    <w:p w:rsidR="003869BF" w:rsidRDefault="003869BF" w:rsidP="00626F22">
      <w:pPr>
        <w:pStyle w:val="SingleTxtGR"/>
      </w:pPr>
      <w:r>
        <w:t>4.1.6.15</w:t>
      </w:r>
      <w:proofErr w:type="gramStart"/>
      <w:r>
        <w:tab/>
        <w:t>В</w:t>
      </w:r>
      <w:proofErr w:type="gramEnd"/>
      <w:r>
        <w:t xml:space="preserve"> таблице, в колонке «Ссылк</w:t>
      </w:r>
      <w:r w:rsidR="001E68A7">
        <w:t>а» заменить «Приложение А к ISO </w:t>
      </w:r>
      <w:r>
        <w:t>10297:2006 или приложение А к ISO 10</w:t>
      </w:r>
      <w:r w:rsidR="001E68A7">
        <w:t>297:2014» на «Приложение А к EN </w:t>
      </w:r>
      <w:r>
        <w:t>ISO 10297:2006 или приложение А к EN ISO 10297:2014, или приложение A к EN ISO 10297:2014 + A1:[2017]».</w:t>
      </w:r>
    </w:p>
    <w:p w:rsidR="003869BF" w:rsidRPr="001E68A7" w:rsidRDefault="003869BF" w:rsidP="00626F22">
      <w:pPr>
        <w:pStyle w:val="SingleTxtGR"/>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ECE/TRANS/WP.15/AC.1/146, приложение II)</w:t>
      </w:r>
      <w:proofErr w:type="gramEnd"/>
    </w:p>
    <w:p w:rsidR="003869BF" w:rsidRDefault="003869BF" w:rsidP="00626F22">
      <w:pPr>
        <w:pStyle w:val="SingleTxtGR"/>
      </w:pPr>
      <w:r>
        <w:t>4.1.10.4, MP 24</w:t>
      </w:r>
      <w:proofErr w:type="gramStart"/>
      <w:r>
        <w:tab/>
        <w:t>В</w:t>
      </w:r>
      <w:proofErr w:type="gramEnd"/>
      <w:r>
        <w:t xml:space="preserve"> таблице включить новую колонку и новую с</w:t>
      </w:r>
      <w:r w:rsidR="001E68A7">
        <w:t>троку со сл</w:t>
      </w:r>
      <w:r w:rsidR="001E68A7">
        <w:t>е</w:t>
      </w:r>
      <w:r w:rsidR="001E68A7">
        <w:t>дующим заголовком: «</w:t>
      </w:r>
      <w:r>
        <w:t>0509</w:t>
      </w:r>
      <w:r w:rsidR="001E68A7">
        <w:t>»</w:t>
      </w:r>
      <w:r>
        <w:t>. На пересечениях этой новой колонки/строки с к</w:t>
      </w:r>
      <w:r>
        <w:t>о</w:t>
      </w:r>
      <w:r>
        <w:t>лонкой/строкой для № ООН 0027,</w:t>
      </w:r>
      <w:r w:rsidR="001507E6">
        <w:t xml:space="preserve"> </w:t>
      </w:r>
      <w:r>
        <w:t>00</w:t>
      </w:r>
      <w:r w:rsidR="001E68A7">
        <w:t>28,</w:t>
      </w:r>
      <w:r w:rsidR="001507E6">
        <w:t xml:space="preserve"> </w:t>
      </w:r>
      <w:r w:rsidR="001E68A7">
        <w:t>0044, 0160 и 0161 добавить: «B».</w:t>
      </w:r>
    </w:p>
    <w:p w:rsidR="003869BF" w:rsidRPr="001E68A7" w:rsidRDefault="003869BF" w:rsidP="00626F22">
      <w:pPr>
        <w:pStyle w:val="SingleTxtGR"/>
        <w:rPr>
          <w:i/>
        </w:rPr>
      </w:pPr>
      <w:proofErr w:type="gramStart"/>
      <w:r w:rsidRPr="001E68A7">
        <w:rPr>
          <w:i/>
        </w:rPr>
        <w:t>(Справочный документ:</w:t>
      </w:r>
      <w:proofErr w:type="gramEnd"/>
      <w:r w:rsidRPr="001E68A7">
        <w:rPr>
          <w:i/>
        </w:rPr>
        <w:t xml:space="preserve"> </w:t>
      </w:r>
      <w:proofErr w:type="gramStart"/>
      <w:r w:rsidRPr="001E68A7">
        <w:rPr>
          <w:i/>
        </w:rPr>
        <w:t>ECE/TRANS/WP.15/AC.1/146, приложение II)</w:t>
      </w:r>
      <w:proofErr w:type="gramEnd"/>
    </w:p>
    <w:p w:rsidR="003869BF" w:rsidRDefault="003869BF" w:rsidP="001E68A7">
      <w:pPr>
        <w:pStyle w:val="H1GR"/>
      </w:pPr>
      <w:r>
        <w:tab/>
      </w:r>
      <w:r>
        <w:tab/>
        <w:t>Глава 4.3</w:t>
      </w:r>
    </w:p>
    <w:p w:rsidR="003869BF" w:rsidRDefault="003869BF" w:rsidP="00626F22">
      <w:pPr>
        <w:pStyle w:val="SingleTxtGR"/>
      </w:pPr>
      <w:r>
        <w:t>4.3.4.1.3</w:t>
      </w:r>
      <w:proofErr w:type="gramStart"/>
      <w:r>
        <w:tab/>
        <w:t>И</w:t>
      </w:r>
      <w:proofErr w:type="gramEnd"/>
      <w:r>
        <w:t xml:space="preserve">зменить вступительное предложение следующим образом: </w:t>
      </w:r>
      <w:r w:rsidR="001E68A7">
        <w:t>«</w:t>
      </w:r>
      <w:r>
        <w:t>Тр</w:t>
      </w:r>
      <w:r>
        <w:t>е</w:t>
      </w:r>
      <w:r>
        <w:t>бования в отношении этих цистерн указаны посредством нижеследующих к</w:t>
      </w:r>
      <w:r>
        <w:t>о</w:t>
      </w:r>
      <w:r>
        <w:t>дов цистерн, дополняемых соответствующими специальными положениями, указанными в колонке 13 таблицы</w:t>
      </w:r>
      <w:proofErr w:type="gramStart"/>
      <w:r>
        <w:t xml:space="preserve"> А</w:t>
      </w:r>
      <w:proofErr w:type="gramEnd"/>
      <w:r>
        <w:t xml:space="preserve"> главы 3.2.».</w:t>
      </w:r>
    </w:p>
    <w:p w:rsidR="003869BF" w:rsidRDefault="001E68A7" w:rsidP="00626F22">
      <w:pPr>
        <w:pStyle w:val="SingleTxtGR"/>
      </w:pPr>
      <w:r>
        <w:tab/>
      </w:r>
      <w:r w:rsidR="003869BF">
        <w:t>Заменить подпункты a)–i) следующей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42"/>
        <w:gridCol w:w="5767"/>
        <w:gridCol w:w="1567"/>
      </w:tblGrid>
      <w:tr w:rsidR="001E68A7" w:rsidRPr="00C75D2C" w:rsidTr="00C75D2C">
        <w:trPr>
          <w:cantSplit/>
          <w:trHeight w:val="20"/>
          <w:tblHeader/>
          <w:jc w:val="center"/>
        </w:trPr>
        <w:tc>
          <w:tcPr>
            <w:tcW w:w="679" w:type="dxa"/>
            <w:tcBorders>
              <w:bottom w:val="single" w:sz="4" w:space="0" w:color="auto"/>
            </w:tcBorders>
          </w:tcPr>
          <w:p w:rsidR="001E68A7" w:rsidRPr="00C75D2C" w:rsidRDefault="001E68A7" w:rsidP="001E68A7">
            <w:pPr>
              <w:suppressAutoHyphens/>
              <w:spacing w:line="240" w:lineRule="auto"/>
              <w:jc w:val="center"/>
              <w:rPr>
                <w:rFonts w:eastAsia="Times New Roman" w:cs="Times New Roman"/>
                <w:spacing w:val="0"/>
                <w:w w:val="100"/>
                <w:kern w:val="0"/>
                <w:sz w:val="18"/>
                <w:szCs w:val="18"/>
                <w:lang w:val="en-GB"/>
              </w:rPr>
            </w:pPr>
            <w:r w:rsidRPr="00C75D2C">
              <w:rPr>
                <w:rFonts w:eastAsia="Times New Roman" w:cs="Times New Roman"/>
                <w:spacing w:val="0"/>
                <w:w w:val="100"/>
                <w:kern w:val="0"/>
                <w:sz w:val="18"/>
                <w:szCs w:val="20"/>
              </w:rPr>
              <w:t>Класс</w:t>
            </w:r>
          </w:p>
        </w:tc>
        <w:tc>
          <w:tcPr>
            <w:tcW w:w="742" w:type="dxa"/>
            <w:tcBorders>
              <w:bottom w:val="single" w:sz="4" w:space="0" w:color="auto"/>
            </w:tcBorders>
          </w:tcPr>
          <w:p w:rsidR="001E68A7" w:rsidRPr="00C75D2C" w:rsidRDefault="001E68A7" w:rsidP="001E68A7">
            <w:pPr>
              <w:suppressAutoHyphens/>
              <w:spacing w:line="240" w:lineRule="auto"/>
              <w:jc w:val="center"/>
              <w:rPr>
                <w:rFonts w:eastAsia="Times New Roman" w:cs="Times New Roman"/>
                <w:spacing w:val="0"/>
                <w:w w:val="100"/>
                <w:kern w:val="0"/>
                <w:sz w:val="18"/>
                <w:szCs w:val="18"/>
                <w:lang w:val="en-GB"/>
              </w:rPr>
            </w:pPr>
            <w:r w:rsidRPr="00C75D2C">
              <w:rPr>
                <w:rFonts w:eastAsia="Times New Roman" w:cs="Times New Roman"/>
                <w:spacing w:val="0"/>
                <w:w w:val="100"/>
                <w:kern w:val="0"/>
                <w:sz w:val="18"/>
                <w:szCs w:val="20"/>
              </w:rPr>
              <w:t>Номер ООН</w:t>
            </w:r>
          </w:p>
        </w:tc>
        <w:tc>
          <w:tcPr>
            <w:tcW w:w="5767" w:type="dxa"/>
            <w:tcBorders>
              <w:bottom w:val="single" w:sz="4" w:space="0" w:color="auto"/>
            </w:tcBorders>
          </w:tcPr>
          <w:p w:rsidR="001E68A7" w:rsidRPr="00C75D2C" w:rsidRDefault="001E68A7" w:rsidP="001E68A7">
            <w:pPr>
              <w:suppressAutoHyphens/>
              <w:spacing w:line="240" w:lineRule="auto"/>
              <w:jc w:val="center"/>
              <w:rPr>
                <w:rFonts w:eastAsia="Times New Roman" w:cs="Times New Roman"/>
                <w:spacing w:val="0"/>
                <w:w w:val="100"/>
                <w:kern w:val="0"/>
                <w:sz w:val="18"/>
                <w:szCs w:val="18"/>
                <w:lang w:val="en-GB"/>
              </w:rPr>
            </w:pPr>
            <w:r w:rsidRPr="00C75D2C">
              <w:rPr>
                <w:rFonts w:eastAsia="Times New Roman" w:cs="Times New Roman"/>
                <w:spacing w:val="0"/>
                <w:w w:val="100"/>
                <w:kern w:val="0"/>
                <w:sz w:val="18"/>
                <w:szCs w:val="20"/>
              </w:rPr>
              <w:t>Наименование и описание</w:t>
            </w:r>
          </w:p>
        </w:tc>
        <w:tc>
          <w:tcPr>
            <w:tcW w:w="1567" w:type="dxa"/>
            <w:tcBorders>
              <w:bottom w:val="single" w:sz="4" w:space="0" w:color="auto"/>
            </w:tcBorders>
          </w:tcPr>
          <w:p w:rsidR="001E68A7" w:rsidRPr="00C75D2C" w:rsidRDefault="001E68A7" w:rsidP="001E68A7">
            <w:pPr>
              <w:suppressAutoHyphens/>
              <w:spacing w:line="240" w:lineRule="auto"/>
              <w:jc w:val="center"/>
              <w:rPr>
                <w:rFonts w:eastAsia="Times New Roman" w:cs="Times New Roman"/>
                <w:spacing w:val="0"/>
                <w:w w:val="100"/>
                <w:kern w:val="0"/>
                <w:sz w:val="18"/>
                <w:szCs w:val="18"/>
                <w:lang w:val="en-GB"/>
              </w:rPr>
            </w:pPr>
            <w:r w:rsidRPr="00C75D2C">
              <w:rPr>
                <w:rFonts w:eastAsia="Times New Roman" w:cs="Times New Roman"/>
                <w:spacing w:val="0"/>
                <w:w w:val="100"/>
                <w:kern w:val="0"/>
                <w:sz w:val="18"/>
                <w:szCs w:val="20"/>
              </w:rPr>
              <w:t>Код цистерны</w:t>
            </w:r>
          </w:p>
        </w:tc>
      </w:tr>
      <w:tr w:rsidR="001E68A7" w:rsidRPr="00D94D36" w:rsidTr="00C75D2C">
        <w:trPr>
          <w:cantSplit/>
          <w:trHeight w:val="20"/>
          <w:jc w:val="center"/>
        </w:trPr>
        <w:tc>
          <w:tcPr>
            <w:tcW w:w="679"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w:t>
            </w:r>
          </w:p>
        </w:tc>
        <w:tc>
          <w:tcPr>
            <w:tcW w:w="742" w:type="dxa"/>
            <w:tcBorders>
              <w:top w:val="nil"/>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0331</w:t>
            </w:r>
          </w:p>
        </w:tc>
        <w:tc>
          <w:tcPr>
            <w:tcW w:w="5767"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Взрывчатое вещество бризантное, тип</w:t>
            </w:r>
            <w:proofErr w:type="gramStart"/>
            <w:r w:rsidRPr="00D94D36">
              <w:rPr>
                <w:rFonts w:eastAsia="Times New Roman" w:cs="Times New Roman"/>
                <w:spacing w:val="0"/>
                <w:w w:val="100"/>
                <w:kern w:val="0"/>
                <w:szCs w:val="20"/>
              </w:rPr>
              <w:t xml:space="preserve"> В</w:t>
            </w:r>
            <w:proofErr w:type="gramEnd"/>
          </w:p>
        </w:tc>
        <w:tc>
          <w:tcPr>
            <w:tcW w:w="1567" w:type="dxa"/>
            <w:tcBorders>
              <w:top w:val="nil"/>
            </w:tcBorders>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S2.65AN</w:t>
            </w:r>
          </w:p>
        </w:tc>
      </w:tr>
      <w:tr w:rsidR="001E68A7" w:rsidRPr="00D94D36" w:rsidTr="00C75D2C">
        <w:trPr>
          <w:cantSplit/>
          <w:trHeight w:val="20"/>
          <w:jc w:val="center"/>
        </w:trPr>
        <w:tc>
          <w:tcPr>
            <w:tcW w:w="679" w:type="dxa"/>
            <w:vMerge w:val="restart"/>
          </w:tcPr>
          <w:p w:rsidR="001E68A7" w:rsidRPr="00D94D36" w:rsidRDefault="001E68A7" w:rsidP="00C75D2C">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4.1</w:t>
            </w:r>
          </w:p>
        </w:tc>
        <w:tc>
          <w:tcPr>
            <w:tcW w:w="742" w:type="dxa"/>
            <w:tcBorders>
              <w:bottom w:val="single" w:sz="4" w:space="0" w:color="auto"/>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2448</w:t>
            </w:r>
          </w:p>
        </w:tc>
        <w:tc>
          <w:tcPr>
            <w:tcW w:w="5767" w:type="dxa"/>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Сера расплавленная</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LGBV</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Borders>
              <w:bottom w:val="single" w:sz="4" w:space="0" w:color="auto"/>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3531</w:t>
            </w:r>
          </w:p>
        </w:tc>
        <w:tc>
          <w:tcPr>
            <w:tcW w:w="5767" w:type="dxa"/>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spellStart"/>
            <w:r w:rsidRPr="00D94D36">
              <w:rPr>
                <w:rFonts w:eastAsia="Times New Roman" w:cs="Times New Roman"/>
                <w:spacing w:val="0"/>
                <w:w w:val="100"/>
                <w:kern w:val="0"/>
                <w:szCs w:val="20"/>
              </w:rPr>
              <w:t>Полимеризующееся</w:t>
            </w:r>
            <w:proofErr w:type="spellEnd"/>
            <w:r w:rsidRPr="00D94D36">
              <w:rPr>
                <w:rFonts w:eastAsia="Times New Roman" w:cs="Times New Roman"/>
                <w:spacing w:val="0"/>
                <w:w w:val="100"/>
                <w:kern w:val="0"/>
                <w:szCs w:val="20"/>
              </w:rPr>
              <w:t xml:space="preserve"> вещество твердое стабилизированное, </w:t>
            </w:r>
            <w:proofErr w:type="spellStart"/>
            <w:r w:rsidRPr="00D94D36">
              <w:rPr>
                <w:rFonts w:eastAsia="Times New Roman" w:cs="Times New Roman"/>
                <w:spacing w:val="0"/>
                <w:w w:val="100"/>
                <w:kern w:val="0"/>
                <w:szCs w:val="20"/>
              </w:rPr>
              <w:t>н.у.к</w:t>
            </w:r>
            <w:proofErr w:type="spellEnd"/>
            <w:r w:rsidRPr="00D94D36">
              <w:rPr>
                <w:rFonts w:eastAsia="Times New Roman" w:cs="Times New Roman"/>
                <w:spacing w:val="0"/>
                <w:w w:val="100"/>
                <w:kern w:val="0"/>
                <w:szCs w:val="20"/>
              </w:rPr>
              <w:t>.</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SGAN</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Borders>
              <w:top w:val="nil"/>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3533</w:t>
            </w:r>
          </w:p>
        </w:tc>
        <w:tc>
          <w:tcPr>
            <w:tcW w:w="5767"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spellStart"/>
            <w:r w:rsidRPr="00D94D36">
              <w:rPr>
                <w:rFonts w:eastAsia="Times New Roman" w:cs="Times New Roman"/>
                <w:spacing w:val="0"/>
                <w:w w:val="100"/>
                <w:kern w:val="0"/>
                <w:szCs w:val="20"/>
              </w:rPr>
              <w:t>Полимеризующееся</w:t>
            </w:r>
            <w:proofErr w:type="spellEnd"/>
            <w:r w:rsidRPr="00D94D36">
              <w:rPr>
                <w:rFonts w:eastAsia="Times New Roman" w:cs="Times New Roman"/>
                <w:spacing w:val="0"/>
                <w:w w:val="100"/>
                <w:kern w:val="0"/>
                <w:szCs w:val="20"/>
              </w:rPr>
              <w:t xml:space="preserve"> вещество твердое стабилизированное с регулируемой температурой, </w:t>
            </w:r>
            <w:proofErr w:type="spellStart"/>
            <w:r w:rsidRPr="00D94D36">
              <w:rPr>
                <w:rFonts w:eastAsia="Times New Roman" w:cs="Times New Roman"/>
                <w:spacing w:val="0"/>
                <w:w w:val="100"/>
                <w:kern w:val="0"/>
                <w:szCs w:val="20"/>
              </w:rPr>
              <w:t>н.у.к</w:t>
            </w:r>
            <w:proofErr w:type="spellEnd"/>
            <w:r w:rsidRPr="00D94D36">
              <w:rPr>
                <w:rFonts w:eastAsia="Times New Roman" w:cs="Times New Roman"/>
                <w:spacing w:val="0"/>
                <w:w w:val="100"/>
                <w:kern w:val="0"/>
                <w:szCs w:val="20"/>
              </w:rPr>
              <w:t>.</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Borders>
              <w:bottom w:val="single" w:sz="4" w:space="0" w:color="auto"/>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3532</w:t>
            </w:r>
          </w:p>
        </w:tc>
        <w:tc>
          <w:tcPr>
            <w:tcW w:w="5767" w:type="dxa"/>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spellStart"/>
            <w:r w:rsidRPr="00D94D36">
              <w:rPr>
                <w:rFonts w:eastAsia="Times New Roman" w:cs="Times New Roman"/>
                <w:spacing w:val="0"/>
                <w:w w:val="100"/>
                <w:kern w:val="0"/>
                <w:szCs w:val="20"/>
              </w:rPr>
              <w:t>Полимеризующееся</w:t>
            </w:r>
            <w:proofErr w:type="spellEnd"/>
            <w:r w:rsidRPr="00D94D36">
              <w:rPr>
                <w:rFonts w:eastAsia="Times New Roman" w:cs="Times New Roman"/>
                <w:spacing w:val="0"/>
                <w:w w:val="100"/>
                <w:kern w:val="0"/>
                <w:szCs w:val="20"/>
              </w:rPr>
              <w:t xml:space="preserve"> вещество жидкое стабилизированное, </w:t>
            </w:r>
            <w:proofErr w:type="spellStart"/>
            <w:r w:rsidRPr="00D94D36">
              <w:rPr>
                <w:rFonts w:eastAsia="Times New Roman" w:cs="Times New Roman"/>
                <w:spacing w:val="0"/>
                <w:w w:val="100"/>
                <w:kern w:val="0"/>
                <w:szCs w:val="20"/>
              </w:rPr>
              <w:t>н.у.к</w:t>
            </w:r>
            <w:proofErr w:type="spellEnd"/>
            <w:r w:rsidRPr="00D94D36">
              <w:rPr>
                <w:rFonts w:eastAsia="Times New Roman" w:cs="Times New Roman"/>
                <w:spacing w:val="0"/>
                <w:w w:val="100"/>
                <w:kern w:val="0"/>
                <w:szCs w:val="20"/>
              </w:rPr>
              <w:t>.</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L4BN</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Borders>
              <w:top w:val="nil"/>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3534</w:t>
            </w:r>
          </w:p>
        </w:tc>
        <w:tc>
          <w:tcPr>
            <w:tcW w:w="5767"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spellStart"/>
            <w:r w:rsidRPr="00D94D36">
              <w:rPr>
                <w:rFonts w:eastAsia="Times New Roman" w:cs="Times New Roman"/>
                <w:spacing w:val="0"/>
                <w:w w:val="100"/>
                <w:kern w:val="0"/>
                <w:szCs w:val="20"/>
              </w:rPr>
              <w:t>Полимеризующееся</w:t>
            </w:r>
            <w:proofErr w:type="spellEnd"/>
            <w:r w:rsidRPr="00D94D36">
              <w:rPr>
                <w:rFonts w:eastAsia="Times New Roman" w:cs="Times New Roman"/>
                <w:spacing w:val="0"/>
                <w:w w:val="100"/>
                <w:kern w:val="0"/>
                <w:szCs w:val="20"/>
              </w:rPr>
              <w:t xml:space="preserve"> вещество жидкое стабилизированное с регулируемой температурой, </w:t>
            </w:r>
            <w:proofErr w:type="spellStart"/>
            <w:r w:rsidRPr="00D94D36">
              <w:rPr>
                <w:rFonts w:eastAsia="Times New Roman" w:cs="Times New Roman"/>
                <w:spacing w:val="0"/>
                <w:w w:val="100"/>
                <w:kern w:val="0"/>
                <w:szCs w:val="20"/>
              </w:rPr>
              <w:t>н.у.к</w:t>
            </w:r>
            <w:proofErr w:type="spellEnd"/>
            <w:r w:rsidRPr="00D94D36">
              <w:rPr>
                <w:rFonts w:eastAsia="Times New Roman" w:cs="Times New Roman"/>
                <w:spacing w:val="0"/>
                <w:w w:val="100"/>
                <w:kern w:val="0"/>
                <w:szCs w:val="20"/>
              </w:rPr>
              <w:t>.</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4.2</w:t>
            </w: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1381</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Фосфор белый или желтый сухой, под водой или в растворе</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L10DH</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2447</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Фосфор белый расплавленный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4.3</w:t>
            </w: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1389</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Амальгама щелочных металлов жидкая</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L10BN</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1391</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Металл щелочной диспергированный или металл щелочноземельный диспергированный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1392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Амальгама щелочноземельных металлов жидкая</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1415</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roofErr w:type="spellStart"/>
            <w:r w:rsidRPr="00D94D36">
              <w:rPr>
                <w:rFonts w:eastAsia="Times New Roman" w:cs="Times New Roman"/>
                <w:spacing w:val="0"/>
                <w:w w:val="100"/>
                <w:kern w:val="0"/>
                <w:szCs w:val="20"/>
              </w:rPr>
              <w:t>Литиум</w:t>
            </w:r>
            <w:proofErr w:type="spellEnd"/>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1420</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Калия металлические сплавы жидкие</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1421</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 xml:space="preserve">Щелочных металлов сплав жидкий, </w:t>
            </w:r>
            <w:proofErr w:type="spellStart"/>
            <w:r w:rsidRPr="00D94D36">
              <w:rPr>
                <w:rFonts w:eastAsia="Times New Roman" w:cs="Times New Roman"/>
                <w:spacing w:val="0"/>
                <w:w w:val="100"/>
                <w:kern w:val="0"/>
                <w:szCs w:val="20"/>
              </w:rPr>
              <w:t>н.у.к</w:t>
            </w:r>
            <w:proofErr w:type="spellEnd"/>
            <w:r w:rsidRPr="00D94D36">
              <w:rPr>
                <w:rFonts w:eastAsia="Times New Roman" w:cs="Times New Roman"/>
                <w:spacing w:val="0"/>
                <w:w w:val="100"/>
                <w:kern w:val="0"/>
                <w:szCs w:val="20"/>
              </w:rPr>
              <w:t>.</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1422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Калия-натрия сплавы жидкие</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1428</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Натрий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2257</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Калий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3401</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Амальгама щелочных металлов твердая</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3402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Амальгама щелочноземельных металлов твердая</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3403</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Калия металлические сплавы твердые</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3404</w:t>
            </w:r>
          </w:p>
        </w:tc>
        <w:tc>
          <w:tcPr>
            <w:tcW w:w="5767" w:type="dxa"/>
          </w:tcPr>
          <w:p w:rsidR="001E68A7" w:rsidRPr="00D94D36" w:rsidRDefault="009871B8" w:rsidP="001E68A7">
            <w:pPr>
              <w:suppressAutoHyphens/>
              <w:spacing w:line="240" w:lineRule="auto"/>
              <w:rPr>
                <w:rFonts w:eastAsia="Times New Roman" w:cs="Times New Roman"/>
                <w:spacing w:val="0"/>
                <w:w w:val="100"/>
                <w:kern w:val="0"/>
                <w:sz w:val="18"/>
                <w:szCs w:val="18"/>
                <w:lang w:val="en-GB"/>
              </w:rPr>
            </w:pPr>
            <w:r>
              <w:rPr>
                <w:rFonts w:eastAsia="Times New Roman" w:cs="Times New Roman"/>
                <w:spacing w:val="0"/>
                <w:w w:val="100"/>
                <w:kern w:val="0"/>
                <w:szCs w:val="20"/>
              </w:rPr>
              <w:t>Калия-натрия сплавы</w:t>
            </w:r>
            <w:r w:rsidR="001E68A7" w:rsidRPr="00D94D36">
              <w:rPr>
                <w:rFonts w:eastAsia="Times New Roman" w:cs="Times New Roman"/>
                <w:spacing w:val="0"/>
                <w:w w:val="100"/>
                <w:kern w:val="0"/>
                <w:szCs w:val="20"/>
              </w:rPr>
              <w:t xml:space="preserve"> твердые</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3482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Металл щелочной диспергированный легковоспламеняющийся или металл щелочноземельный диспергированный легковоспламеняющийся</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1407</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Цезий</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L10CH</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1423</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Рубидий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1402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Кальция карбид, группа упаковки I</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S2.65AN</w:t>
            </w: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5.1</w:t>
            </w: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1873</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Кислота хлорная с массовой долей кислоты более 50%, но не более 72%</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L4DN</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2015</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Водорода пероксида водный раствор стабилизированный, содержащий более 70% пероксида водорода</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L4DV</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2014</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Водорода пероксида водный раствор, содержащий не менее 20%, но не более 60% пероксида водорода</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L4BV</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2015</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Водорода пероксида водный раствор стабилизированный, содержащий более 60% и не более 70% пероксида водорода</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2426</w:t>
            </w:r>
          </w:p>
        </w:tc>
        <w:tc>
          <w:tcPr>
            <w:tcW w:w="5767" w:type="dxa"/>
          </w:tcPr>
          <w:p w:rsidR="001E68A7" w:rsidRPr="00D94D36" w:rsidRDefault="001E68A7" w:rsidP="009871B8">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Аммония нитрат жидкий, го</w:t>
            </w:r>
            <w:r w:rsidR="009871B8">
              <w:rPr>
                <w:rFonts w:eastAsia="Times New Roman" w:cs="Times New Roman"/>
                <w:spacing w:val="0"/>
                <w:w w:val="100"/>
                <w:kern w:val="0"/>
                <w:szCs w:val="20"/>
              </w:rPr>
              <w:t>рячий концентрированный раствор</w:t>
            </w:r>
            <w:r w:rsidRPr="00D94D36">
              <w:rPr>
                <w:rFonts w:eastAsia="Times New Roman" w:cs="Times New Roman"/>
                <w:spacing w:val="0"/>
                <w:w w:val="100"/>
                <w:kern w:val="0"/>
                <w:szCs w:val="20"/>
              </w:rPr>
              <w:t xml:space="preserve"> концентрации более 80%, но не более 93%</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3149</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 xml:space="preserve">Водорода пероксида и кислоты </w:t>
            </w:r>
            <w:proofErr w:type="spellStart"/>
            <w:r w:rsidRPr="00D94D36">
              <w:rPr>
                <w:rFonts w:eastAsia="Times New Roman" w:cs="Times New Roman"/>
                <w:spacing w:val="0"/>
                <w:w w:val="100"/>
                <w:kern w:val="0"/>
                <w:szCs w:val="20"/>
              </w:rPr>
              <w:t>надуксусной</w:t>
            </w:r>
            <w:proofErr w:type="spellEnd"/>
            <w:r w:rsidRPr="00D94D36">
              <w:rPr>
                <w:rFonts w:eastAsia="Times New Roman" w:cs="Times New Roman"/>
                <w:spacing w:val="0"/>
                <w:w w:val="100"/>
                <w:kern w:val="0"/>
                <w:szCs w:val="20"/>
              </w:rPr>
              <w:t xml:space="preserve"> смесь стабилизированная</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3375</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Аммония нитрата эмульсия суспензия или гель, промежуточное сырье для бризантных взрывчатых веществ, жидкое</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LGAV</w:t>
            </w:r>
          </w:p>
        </w:tc>
      </w:tr>
      <w:tr w:rsidR="001E68A7" w:rsidRPr="00D94D36" w:rsidTr="00C75D2C">
        <w:trPr>
          <w:cantSplit/>
          <w:trHeight w:val="20"/>
          <w:jc w:val="center"/>
        </w:trPr>
        <w:tc>
          <w:tcPr>
            <w:tcW w:w="679" w:type="dxa"/>
            <w:vMerge/>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3375</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Аммония нитрата эмульсия, суспензия или гель, промежуточное сырье для бризантных взрывчатых веществ, твердое</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SGAV</w:t>
            </w:r>
          </w:p>
        </w:tc>
      </w:tr>
      <w:tr w:rsidR="001E68A7" w:rsidRPr="00D94D36" w:rsidTr="00C75D2C">
        <w:trPr>
          <w:cantSplit/>
          <w:trHeight w:val="20"/>
          <w:jc w:val="center"/>
        </w:trPr>
        <w:tc>
          <w:tcPr>
            <w:tcW w:w="679" w:type="dxa"/>
            <w:vMerge w:val="restart"/>
            <w:tcBorders>
              <w:bottom w:val="nil"/>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5.2</w:t>
            </w:r>
          </w:p>
        </w:tc>
        <w:tc>
          <w:tcPr>
            <w:tcW w:w="742" w:type="dxa"/>
            <w:tcBorders>
              <w:bottom w:val="single" w:sz="4" w:space="0" w:color="auto"/>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3109</w:t>
            </w:r>
          </w:p>
        </w:tc>
        <w:tc>
          <w:tcPr>
            <w:tcW w:w="5767" w:type="dxa"/>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gramStart"/>
            <w:r w:rsidRPr="00D94D36">
              <w:rPr>
                <w:rFonts w:eastAsia="Times New Roman" w:cs="Times New Roman"/>
                <w:spacing w:val="0"/>
                <w:w w:val="100"/>
                <w:kern w:val="0"/>
                <w:szCs w:val="20"/>
              </w:rPr>
              <w:t>Органический</w:t>
            </w:r>
            <w:proofErr w:type="gramEnd"/>
            <w:r w:rsidRPr="00D94D36">
              <w:rPr>
                <w:rFonts w:eastAsia="Times New Roman" w:cs="Times New Roman"/>
                <w:spacing w:val="0"/>
                <w:w w:val="100"/>
                <w:kern w:val="0"/>
                <w:szCs w:val="20"/>
              </w:rPr>
              <w:t xml:space="preserve"> пероксид типа F жидкий</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L4BN</w:t>
            </w:r>
          </w:p>
        </w:tc>
      </w:tr>
      <w:tr w:rsidR="001E68A7" w:rsidRPr="00D94D36" w:rsidTr="00C75D2C">
        <w:trPr>
          <w:cantSplit/>
          <w:trHeight w:val="20"/>
          <w:jc w:val="center"/>
        </w:trPr>
        <w:tc>
          <w:tcPr>
            <w:tcW w:w="679" w:type="dxa"/>
            <w:vMerge/>
            <w:tcBorders>
              <w:bottom w:val="nil"/>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Borders>
              <w:top w:val="nil"/>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3119</w:t>
            </w:r>
          </w:p>
        </w:tc>
        <w:tc>
          <w:tcPr>
            <w:tcW w:w="5767"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gramStart"/>
            <w:r w:rsidRPr="00D94D36">
              <w:rPr>
                <w:rFonts w:eastAsia="Times New Roman" w:cs="Times New Roman"/>
                <w:spacing w:val="0"/>
                <w:w w:val="100"/>
                <w:kern w:val="0"/>
                <w:szCs w:val="20"/>
              </w:rPr>
              <w:t>Органический</w:t>
            </w:r>
            <w:proofErr w:type="gramEnd"/>
            <w:r w:rsidRPr="00D94D36">
              <w:rPr>
                <w:rFonts w:eastAsia="Times New Roman" w:cs="Times New Roman"/>
                <w:spacing w:val="0"/>
                <w:w w:val="100"/>
                <w:kern w:val="0"/>
                <w:szCs w:val="20"/>
              </w:rPr>
              <w:t xml:space="preserve"> пероксид типа F жидкий с регулируемой температурой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Borders>
              <w:top w:val="nil"/>
              <w:bottom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Borders>
              <w:bottom w:val="single" w:sz="4" w:space="0" w:color="auto"/>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3110</w:t>
            </w:r>
          </w:p>
        </w:tc>
        <w:tc>
          <w:tcPr>
            <w:tcW w:w="5767" w:type="dxa"/>
            <w:tcBorders>
              <w:bottom w:val="single" w:sz="4" w:space="0" w:color="auto"/>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gramStart"/>
            <w:r w:rsidRPr="00D94D36">
              <w:rPr>
                <w:rFonts w:eastAsia="Times New Roman" w:cs="Times New Roman"/>
                <w:spacing w:val="0"/>
                <w:w w:val="100"/>
                <w:kern w:val="0"/>
                <w:szCs w:val="20"/>
              </w:rPr>
              <w:t>Органический</w:t>
            </w:r>
            <w:proofErr w:type="gramEnd"/>
            <w:r w:rsidRPr="00D94D36">
              <w:rPr>
                <w:rFonts w:eastAsia="Times New Roman" w:cs="Times New Roman"/>
                <w:spacing w:val="0"/>
                <w:w w:val="100"/>
                <w:kern w:val="0"/>
                <w:szCs w:val="20"/>
              </w:rPr>
              <w:t xml:space="preserve"> пероксид типа F твердый</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S4AN</w:t>
            </w:r>
          </w:p>
        </w:tc>
      </w:tr>
      <w:tr w:rsidR="001E68A7" w:rsidRPr="00D94D36" w:rsidTr="00C75D2C">
        <w:trPr>
          <w:cantSplit/>
          <w:trHeight w:val="20"/>
          <w:jc w:val="center"/>
        </w:trPr>
        <w:tc>
          <w:tcPr>
            <w:tcW w:w="679"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Borders>
              <w:top w:val="nil"/>
            </w:tcBorders>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3120</w:t>
            </w:r>
          </w:p>
        </w:tc>
        <w:tc>
          <w:tcPr>
            <w:tcW w:w="5767" w:type="dxa"/>
            <w:tcBorders>
              <w:top w:val="nil"/>
            </w:tcBorders>
          </w:tcPr>
          <w:p w:rsidR="001E68A7" w:rsidRPr="00D94D36" w:rsidRDefault="001E68A7" w:rsidP="001E68A7">
            <w:pPr>
              <w:suppressAutoHyphens/>
              <w:spacing w:line="240" w:lineRule="auto"/>
              <w:rPr>
                <w:rFonts w:eastAsia="Times New Roman" w:cs="Times New Roman"/>
                <w:spacing w:val="0"/>
                <w:w w:val="100"/>
                <w:kern w:val="0"/>
                <w:sz w:val="18"/>
                <w:szCs w:val="18"/>
              </w:rPr>
            </w:pPr>
            <w:proofErr w:type="gramStart"/>
            <w:r w:rsidRPr="00D94D36">
              <w:rPr>
                <w:rFonts w:eastAsia="Times New Roman" w:cs="Times New Roman"/>
                <w:spacing w:val="0"/>
                <w:w w:val="100"/>
                <w:kern w:val="0"/>
                <w:szCs w:val="20"/>
              </w:rPr>
              <w:t>Органический</w:t>
            </w:r>
            <w:proofErr w:type="gramEnd"/>
            <w:r w:rsidRPr="00D94D36">
              <w:rPr>
                <w:rFonts w:eastAsia="Times New Roman" w:cs="Times New Roman"/>
                <w:spacing w:val="0"/>
                <w:w w:val="100"/>
                <w:kern w:val="0"/>
                <w:szCs w:val="20"/>
              </w:rPr>
              <w:t xml:space="preserve"> пероксид типа F твердый с регулируемой температурой</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6.1</w:t>
            </w: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1613</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Водорода цианистого водный раствор</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L15DH</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3294</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Водорода цианистого спиртовой раствор</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7*</w:t>
            </w:r>
          </w:p>
        </w:tc>
        <w:tc>
          <w:tcPr>
            <w:tcW w:w="742" w:type="dxa"/>
            <w:vMerge w:val="restart"/>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Все вещества</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специальные цистерны</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742" w:type="dxa"/>
            <w:vMerge/>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Минимальные требования для жидкостей</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L2.65CN</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742" w:type="dxa"/>
            <w:vMerge/>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Минимальные требования для твердых веществ</w:t>
            </w:r>
          </w:p>
        </w:tc>
        <w:tc>
          <w:tcPr>
            <w:tcW w:w="1567" w:type="dxa"/>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S2.65AN</w:t>
            </w:r>
          </w:p>
        </w:tc>
      </w:tr>
      <w:tr w:rsidR="001E68A7" w:rsidRPr="00D94D36" w:rsidTr="00C75D2C">
        <w:trPr>
          <w:cantSplit/>
          <w:trHeight w:val="20"/>
          <w:jc w:val="center"/>
        </w:trPr>
        <w:tc>
          <w:tcPr>
            <w:tcW w:w="679" w:type="dxa"/>
            <w:vMerge w:val="restart"/>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8</w:t>
            </w: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1052</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Водород фтористый безводный</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L21DH</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1744</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Бром или брома раствор</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1790</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rPr>
            </w:pPr>
            <w:r w:rsidRPr="00D94D36">
              <w:rPr>
                <w:rFonts w:eastAsia="Times New Roman" w:cs="Times New Roman"/>
                <w:spacing w:val="0"/>
                <w:w w:val="100"/>
                <w:kern w:val="0"/>
                <w:szCs w:val="20"/>
              </w:rPr>
              <w:t>Кислоты фтористоводородной раствор с содержанием фтористоводородной кислоты более 85%</w:t>
            </w:r>
          </w:p>
        </w:tc>
        <w:tc>
          <w:tcPr>
            <w:tcW w:w="1567" w:type="dxa"/>
            <w:vMerge/>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rPr>
            </w:pP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1791</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Гипохлорита раствор</w:t>
            </w:r>
          </w:p>
        </w:tc>
        <w:tc>
          <w:tcPr>
            <w:tcW w:w="1567" w:type="dxa"/>
            <w:vMerge w:val="restart"/>
            <w:vAlign w:val="center"/>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L4BV</w:t>
            </w:r>
          </w:p>
        </w:tc>
      </w:tr>
      <w:tr w:rsidR="001E68A7" w:rsidRPr="00D94D36" w:rsidTr="00C75D2C">
        <w:trPr>
          <w:cantSplit/>
          <w:trHeight w:val="20"/>
          <w:jc w:val="center"/>
        </w:trPr>
        <w:tc>
          <w:tcPr>
            <w:tcW w:w="679" w:type="dxa"/>
            <w:vMerge/>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c>
          <w:tcPr>
            <w:tcW w:w="742" w:type="dxa"/>
          </w:tcPr>
          <w:p w:rsidR="001E68A7" w:rsidRPr="00D94D36" w:rsidRDefault="001E68A7" w:rsidP="001E68A7">
            <w:pPr>
              <w:suppressAutoHyphens/>
              <w:spacing w:line="240" w:lineRule="auto"/>
              <w:jc w:val="center"/>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1908</w:t>
            </w:r>
          </w:p>
        </w:tc>
        <w:tc>
          <w:tcPr>
            <w:tcW w:w="5767" w:type="dxa"/>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r w:rsidRPr="00D94D36">
              <w:rPr>
                <w:rFonts w:eastAsia="Times New Roman" w:cs="Times New Roman"/>
                <w:spacing w:val="0"/>
                <w:w w:val="100"/>
                <w:kern w:val="0"/>
                <w:szCs w:val="20"/>
              </w:rPr>
              <w:t>Хлорита раствор</w:t>
            </w:r>
          </w:p>
        </w:tc>
        <w:tc>
          <w:tcPr>
            <w:tcW w:w="1567" w:type="dxa"/>
            <w:vMerge/>
            <w:vAlign w:val="center"/>
          </w:tcPr>
          <w:p w:rsidR="001E68A7" w:rsidRPr="00D94D36" w:rsidRDefault="001E68A7" w:rsidP="001E68A7">
            <w:pPr>
              <w:suppressAutoHyphens/>
              <w:spacing w:line="240" w:lineRule="auto"/>
              <w:rPr>
                <w:rFonts w:eastAsia="Times New Roman" w:cs="Times New Roman"/>
                <w:spacing w:val="0"/>
                <w:w w:val="100"/>
                <w:kern w:val="0"/>
                <w:sz w:val="18"/>
                <w:szCs w:val="18"/>
                <w:lang w:val="en-GB"/>
              </w:rPr>
            </w:pPr>
          </w:p>
        </w:tc>
      </w:tr>
    </w:tbl>
    <w:p w:rsidR="003869BF" w:rsidRDefault="003869BF" w:rsidP="00C75D2C">
      <w:pPr>
        <w:pStyle w:val="SingleTxtGR"/>
        <w:spacing w:before="120"/>
      </w:pPr>
      <w:r>
        <w:t>*</w:t>
      </w:r>
      <w:r>
        <w:tab/>
      </w:r>
      <w:r w:rsidRPr="00C75D2C">
        <w:rPr>
          <w:i/>
        </w:rPr>
        <w:t xml:space="preserve">Независимо от общих требований этого пункта </w:t>
      </w:r>
      <w:proofErr w:type="gramStart"/>
      <w:r w:rsidRPr="00C75D2C">
        <w:rPr>
          <w:i/>
        </w:rPr>
        <w:t>цистерны</w:t>
      </w:r>
      <w:proofErr w:type="gramEnd"/>
      <w:r w:rsidRPr="00C75D2C">
        <w:rPr>
          <w:i/>
        </w:rPr>
        <w:t xml:space="preserve"> используемые для радиоактивного материала, могут также использоваться для перевозки других грузов при условии соблюдения требований пункта 5.1.3.2.</w:t>
      </w:r>
    </w:p>
    <w:p w:rsidR="003869BF" w:rsidRPr="00C75D2C" w:rsidRDefault="003869BF" w:rsidP="00C75D2C">
      <w:pPr>
        <w:pStyle w:val="SingleTxtGR"/>
        <w:rPr>
          <w:i/>
        </w:rPr>
      </w:pPr>
      <w:proofErr w:type="gramStart"/>
      <w:r w:rsidRPr="00C75D2C">
        <w:rPr>
          <w:i/>
        </w:rPr>
        <w:t>(Справочный документ:</w:t>
      </w:r>
      <w:proofErr w:type="gramEnd"/>
      <w:r w:rsidRPr="00C75D2C">
        <w:rPr>
          <w:i/>
        </w:rPr>
        <w:t xml:space="preserve"> </w:t>
      </w:r>
      <w:proofErr w:type="gramStart"/>
      <w:r w:rsidRPr="00C75D2C">
        <w:rPr>
          <w:i/>
        </w:rPr>
        <w:t>ECE/TRANS/WP15/AC.1/144, приложение II, с попра</w:t>
      </w:r>
      <w:r w:rsidRPr="00C75D2C">
        <w:rPr>
          <w:i/>
        </w:rPr>
        <w:t>в</w:t>
      </w:r>
      <w:r w:rsidRPr="00C75D2C">
        <w:rPr>
          <w:i/>
        </w:rPr>
        <w:t>ками)</w:t>
      </w:r>
      <w:proofErr w:type="gramEnd"/>
    </w:p>
    <w:p w:rsidR="003869BF" w:rsidRDefault="003869BF" w:rsidP="00C75D2C">
      <w:pPr>
        <w:pStyle w:val="SingleTxtGR"/>
      </w:pPr>
      <w:r>
        <w:t>4.3.5</w:t>
      </w:r>
      <w:proofErr w:type="gramStart"/>
      <w:r>
        <w:tab/>
      </w:r>
      <w:r w:rsidR="009871B8">
        <w:tab/>
      </w:r>
      <w:r>
        <w:t>В</w:t>
      </w:r>
      <w:proofErr w:type="gramEnd"/>
      <w:r>
        <w:t>ключить новое специальное положение следующего содержания:</w:t>
      </w:r>
    </w:p>
    <w:p w:rsidR="003869BF" w:rsidRDefault="003869BF" w:rsidP="00C75D2C">
      <w:pPr>
        <w:pStyle w:val="SingleTxtGR"/>
      </w:pPr>
      <w:r>
        <w:t>«TU42</w:t>
      </w:r>
      <w:r>
        <w:tab/>
        <w:t>Цистерны с корпусом, изготовл</w:t>
      </w:r>
      <w:r w:rsidR="00DA5394">
        <w:t>енным из алюминиевого сплава, в </w:t>
      </w:r>
      <w:r>
        <w:t>том числе цистерны с защитной облицовкой, используются только в том сл</w:t>
      </w:r>
      <w:r>
        <w:t>у</w:t>
      </w:r>
      <w:r>
        <w:t xml:space="preserve">чае, если значение </w:t>
      </w:r>
      <w:proofErr w:type="spellStart"/>
      <w:r>
        <w:t>pH</w:t>
      </w:r>
      <w:proofErr w:type="spellEnd"/>
      <w:r>
        <w:t xml:space="preserve"> вещества составляет не менее 5,0 и не более 8,0.».</w:t>
      </w:r>
    </w:p>
    <w:p w:rsidR="003869BF" w:rsidRPr="00C75D2C" w:rsidRDefault="003869BF" w:rsidP="00C75D2C">
      <w:pPr>
        <w:pStyle w:val="SingleTxtGR"/>
        <w:rPr>
          <w:i/>
        </w:rPr>
      </w:pPr>
      <w:proofErr w:type="gramStart"/>
      <w:r w:rsidRPr="00C75D2C">
        <w:rPr>
          <w:i/>
        </w:rPr>
        <w:t>(Справочный документ:</w:t>
      </w:r>
      <w:proofErr w:type="gramEnd"/>
      <w:r w:rsidRPr="00C75D2C">
        <w:rPr>
          <w:i/>
        </w:rPr>
        <w:t xml:space="preserve"> </w:t>
      </w:r>
      <w:proofErr w:type="gramStart"/>
      <w:r w:rsidRPr="00C75D2C">
        <w:rPr>
          <w:i/>
        </w:rPr>
        <w:t>ECE/TRANS/WP15/AC.1/144, приложение II)</w:t>
      </w:r>
      <w:proofErr w:type="gramEnd"/>
    </w:p>
    <w:p w:rsidR="003869BF" w:rsidRDefault="003869BF" w:rsidP="00C75D2C">
      <w:pPr>
        <w:pStyle w:val="H1GR"/>
      </w:pPr>
      <w:r>
        <w:tab/>
      </w:r>
      <w:r>
        <w:tab/>
        <w:t>Глава 5.3</w:t>
      </w:r>
    </w:p>
    <w:p w:rsidR="003869BF" w:rsidRDefault="00C75D2C" w:rsidP="00C75D2C">
      <w:pPr>
        <w:pStyle w:val="SingleTxtGR"/>
      </w:pPr>
      <w:r>
        <w:t>5.3.2.1.4</w:t>
      </w:r>
      <w:proofErr w:type="gramStart"/>
      <w:r>
        <w:tab/>
        <w:t>З</w:t>
      </w:r>
      <w:proofErr w:type="gramEnd"/>
      <w:r>
        <w:t>аменить «</w:t>
      </w:r>
      <w:r w:rsidR="003869BF">
        <w:t>транспортные единицы</w:t>
      </w:r>
      <w:r>
        <w:t>»</w:t>
      </w:r>
      <w:r w:rsidR="003869BF">
        <w:t xml:space="preserve"> на </w:t>
      </w:r>
      <w:r>
        <w:t>«</w:t>
      </w:r>
      <w:r w:rsidR="003869BF">
        <w:t>транспортные средства</w:t>
      </w:r>
      <w:r>
        <w:t>»</w:t>
      </w:r>
      <w:r w:rsidR="003869BF">
        <w:t xml:space="preserve"> и </w:t>
      </w:r>
      <w:r>
        <w:t>«</w:t>
      </w:r>
      <w:r w:rsidR="003869BF">
        <w:t>транспортная единица</w:t>
      </w:r>
      <w:r>
        <w:t>»</w:t>
      </w:r>
      <w:r w:rsidR="003869BF">
        <w:t xml:space="preserve"> на </w:t>
      </w:r>
      <w:r>
        <w:t>«</w:t>
      </w:r>
      <w:r w:rsidR="003869BF">
        <w:t>транспортное средство</w:t>
      </w:r>
      <w:r>
        <w:t>»</w:t>
      </w:r>
      <w:r w:rsidR="003869BF">
        <w:t xml:space="preserve"> во всех случаях.</w:t>
      </w:r>
    </w:p>
    <w:p w:rsidR="003869BF" w:rsidRPr="00C75D2C" w:rsidRDefault="003869BF" w:rsidP="00C75D2C">
      <w:pPr>
        <w:pStyle w:val="SingleTxtGR"/>
        <w:rPr>
          <w:i/>
        </w:rPr>
      </w:pPr>
      <w:proofErr w:type="gramStart"/>
      <w:r w:rsidRPr="00C75D2C">
        <w:rPr>
          <w:i/>
        </w:rPr>
        <w:t>(Справочный документ:</w:t>
      </w:r>
      <w:proofErr w:type="gramEnd"/>
      <w:r w:rsidRPr="00C75D2C">
        <w:rPr>
          <w:i/>
        </w:rPr>
        <w:t xml:space="preserve"> </w:t>
      </w:r>
      <w:proofErr w:type="gramStart"/>
      <w:r w:rsidRPr="00C75D2C">
        <w:rPr>
          <w:i/>
        </w:rPr>
        <w:t>ECE/TRANS/WP.15/2017/10)</w:t>
      </w:r>
      <w:proofErr w:type="gramEnd"/>
    </w:p>
    <w:p w:rsidR="003869BF" w:rsidRDefault="003869BF" w:rsidP="00C75D2C">
      <w:pPr>
        <w:pStyle w:val="SingleTxtGR"/>
      </w:pPr>
      <w:r>
        <w:t>5.3.2.1.6</w:t>
      </w:r>
      <w:proofErr w:type="gramStart"/>
      <w:r>
        <w:tab/>
        <w:t>И</w:t>
      </w:r>
      <w:proofErr w:type="gramEnd"/>
      <w:r>
        <w:t>зменить следующим образом:</w:t>
      </w:r>
    </w:p>
    <w:p w:rsidR="003869BF" w:rsidRDefault="003869BF" w:rsidP="00C75D2C">
      <w:pPr>
        <w:pStyle w:val="SingleTxtGR"/>
      </w:pPr>
      <w:proofErr w:type="gramStart"/>
      <w:r>
        <w:t xml:space="preserve">[«В случае транспортных единиц, перевозящих: </w:t>
      </w:r>
      <w:proofErr w:type="gramEnd"/>
    </w:p>
    <w:p w:rsidR="003869BF" w:rsidRDefault="003869BF" w:rsidP="00C75D2C">
      <w:pPr>
        <w:pStyle w:val="SingleTxtGR"/>
      </w:pPr>
      <w:r>
        <w:t>-</w:t>
      </w:r>
      <w:r w:rsidR="00C75D2C">
        <w:tab/>
      </w:r>
      <w:r>
        <w:t>только одно опасное вещество, которое требует маркировки в виде та</w:t>
      </w:r>
      <w:r>
        <w:t>б</w:t>
      </w:r>
      <w:r>
        <w:t>личек оранжевого цвета; и</w:t>
      </w:r>
    </w:p>
    <w:p w:rsidR="003869BF" w:rsidRDefault="003869BF" w:rsidP="00C75D2C">
      <w:pPr>
        <w:pStyle w:val="SingleTxtGR"/>
      </w:pPr>
      <w:r>
        <w:t>-</w:t>
      </w:r>
      <w:r w:rsidR="00C75D2C">
        <w:tab/>
      </w:r>
      <w:r>
        <w:t>не перевозящих неопасные вещества во встроенных цистернах, перено</w:t>
      </w:r>
      <w:r>
        <w:t>с</w:t>
      </w:r>
      <w:r>
        <w:t>ных цистернах, съемных цистернах, контейнерах-цистернах, МЭГК или нав</w:t>
      </w:r>
      <w:r>
        <w:t>а</w:t>
      </w:r>
      <w:r>
        <w:t xml:space="preserve">лом/насыпью; </w:t>
      </w:r>
    </w:p>
    <w:p w:rsidR="003869BF" w:rsidRDefault="003869BF" w:rsidP="00C75D2C">
      <w:pPr>
        <w:pStyle w:val="SingleTxtGR"/>
      </w:pPr>
      <w:proofErr w:type="gramStart"/>
      <w:r>
        <w:t>таблички оранжевого цвета, предписанные в пункте 5.3.2.1.2…».]</w:t>
      </w:r>
      <w:proofErr w:type="gramEnd"/>
    </w:p>
    <w:p w:rsidR="003869BF" w:rsidRPr="00C75D2C" w:rsidRDefault="003869BF" w:rsidP="00C75D2C">
      <w:pPr>
        <w:pStyle w:val="SingleTxtGR"/>
        <w:rPr>
          <w:i/>
        </w:rPr>
      </w:pPr>
      <w:proofErr w:type="gramStart"/>
      <w:r w:rsidRPr="00C75D2C">
        <w:rPr>
          <w:i/>
        </w:rPr>
        <w:t>(Справочный документ:</w:t>
      </w:r>
      <w:proofErr w:type="gramEnd"/>
      <w:r w:rsidRPr="00C75D2C">
        <w:rPr>
          <w:i/>
        </w:rPr>
        <w:t xml:space="preserve"> </w:t>
      </w:r>
      <w:proofErr w:type="gramStart"/>
      <w:r w:rsidRPr="00C75D2C">
        <w:rPr>
          <w:i/>
        </w:rPr>
        <w:t>ECE/TRANS/WP.15/2017/10 с поправками)</w:t>
      </w:r>
      <w:proofErr w:type="gramEnd"/>
    </w:p>
    <w:p w:rsidR="003869BF" w:rsidRDefault="003869BF" w:rsidP="00C75D2C">
      <w:pPr>
        <w:pStyle w:val="H1GR"/>
      </w:pPr>
      <w:r>
        <w:tab/>
      </w:r>
      <w:r>
        <w:tab/>
        <w:t>Глава 5.4</w:t>
      </w:r>
    </w:p>
    <w:p w:rsidR="003869BF" w:rsidRDefault="003869BF" w:rsidP="00C75D2C">
      <w:pPr>
        <w:pStyle w:val="SingleTxtGR"/>
      </w:pPr>
      <w:r>
        <w:t>5.4.1.1.1 f)</w:t>
      </w:r>
      <w:r>
        <w:tab/>
        <w:t>Изменить примечание 1 следующим образом:</w:t>
      </w:r>
    </w:p>
    <w:p w:rsidR="003869BF" w:rsidRDefault="003869BF" w:rsidP="00C75D2C">
      <w:pPr>
        <w:pStyle w:val="SingleTxtGR"/>
      </w:pPr>
      <w:r>
        <w:t>«</w:t>
      </w:r>
      <w:r w:rsidRPr="005529B5">
        <w:rPr>
          <w:b/>
          <w:i/>
        </w:rPr>
        <w:t>ПРИМЕЧАНИЕ 1:</w:t>
      </w:r>
      <w:r w:rsidRPr="005529B5">
        <w:rPr>
          <w:i/>
        </w:rPr>
        <w:t xml:space="preserve"> Если предусматривается применение подраздела 1.1.3.6, общее количество и рассчитанное значение опасных грузов для каждой тран</w:t>
      </w:r>
      <w:r w:rsidRPr="005529B5">
        <w:rPr>
          <w:i/>
        </w:rPr>
        <w:t>с</w:t>
      </w:r>
      <w:r w:rsidRPr="005529B5">
        <w:rPr>
          <w:i/>
        </w:rPr>
        <w:t>портной категории должны указываться в транспортном документе в соо</w:t>
      </w:r>
      <w:r w:rsidRPr="005529B5">
        <w:rPr>
          <w:i/>
        </w:rPr>
        <w:t>т</w:t>
      </w:r>
      <w:r w:rsidRPr="005529B5">
        <w:rPr>
          <w:i/>
        </w:rPr>
        <w:t>ветствии с пунктами 1.1.3.6.3 и 1.1.3.6.4.</w:t>
      </w:r>
      <w:r>
        <w:t>».</w:t>
      </w:r>
    </w:p>
    <w:p w:rsidR="003869BF" w:rsidRPr="005529B5" w:rsidRDefault="003869BF" w:rsidP="00C75D2C">
      <w:pPr>
        <w:pStyle w:val="SingleTxtGR"/>
        <w:rPr>
          <w:i/>
        </w:rPr>
      </w:pPr>
      <w:proofErr w:type="gramStart"/>
      <w:r w:rsidRPr="005529B5">
        <w:rPr>
          <w:i/>
        </w:rPr>
        <w:t>(Справочный документ:</w:t>
      </w:r>
      <w:proofErr w:type="gramEnd"/>
      <w:r w:rsidRPr="005529B5">
        <w:rPr>
          <w:i/>
        </w:rPr>
        <w:t xml:space="preserve"> </w:t>
      </w:r>
      <w:proofErr w:type="gramStart"/>
      <w:r w:rsidRPr="005529B5">
        <w:rPr>
          <w:i/>
        </w:rPr>
        <w:t>ECE/TRANS/WP.15/2017/5, предложение 2, с поправк</w:t>
      </w:r>
      <w:r w:rsidRPr="005529B5">
        <w:rPr>
          <w:i/>
        </w:rPr>
        <w:t>а</w:t>
      </w:r>
      <w:r w:rsidRPr="005529B5">
        <w:rPr>
          <w:i/>
        </w:rPr>
        <w:t>ми)</w:t>
      </w:r>
      <w:proofErr w:type="gramEnd"/>
    </w:p>
    <w:p w:rsidR="003869BF" w:rsidRDefault="003869BF" w:rsidP="005529B5">
      <w:pPr>
        <w:pStyle w:val="H1GR"/>
      </w:pPr>
      <w:r>
        <w:tab/>
      </w:r>
      <w:r>
        <w:tab/>
        <w:t>Глава 6.2</w:t>
      </w:r>
    </w:p>
    <w:p w:rsidR="003869BF" w:rsidRDefault="003869BF" w:rsidP="00C75D2C">
      <w:pPr>
        <w:pStyle w:val="SingleTxtGR"/>
      </w:pPr>
      <w:r>
        <w:t>6.2.3.9.6</w:t>
      </w:r>
      <w:proofErr w:type="gramStart"/>
      <w:r>
        <w:tab/>
        <w:t>Д</w:t>
      </w:r>
      <w:proofErr w:type="gramEnd"/>
      <w:r>
        <w:t>обавить «или барабану под давлением» после «баллону» и «или барабана под давлением» после «баллона».</w:t>
      </w:r>
    </w:p>
    <w:p w:rsidR="003869BF" w:rsidRPr="005529B5" w:rsidRDefault="003869BF" w:rsidP="00C75D2C">
      <w:pPr>
        <w:pStyle w:val="SingleTxtGR"/>
        <w:rPr>
          <w:i/>
        </w:rPr>
      </w:pPr>
      <w:proofErr w:type="gramStart"/>
      <w:r w:rsidRPr="005529B5">
        <w:rPr>
          <w:i/>
        </w:rPr>
        <w:t>(Справочный документ:</w:t>
      </w:r>
      <w:proofErr w:type="gramEnd"/>
      <w:r w:rsidRPr="005529B5">
        <w:rPr>
          <w:i/>
        </w:rPr>
        <w:t xml:space="preserve"> </w:t>
      </w:r>
      <w:proofErr w:type="gramStart"/>
      <w:r w:rsidRPr="005529B5">
        <w:rPr>
          <w:i/>
        </w:rPr>
        <w:t>ECE/TRANS/WP15/AC.1/144, приложение II)</w:t>
      </w:r>
      <w:proofErr w:type="gramEnd"/>
    </w:p>
    <w:p w:rsidR="003869BF" w:rsidRDefault="003869BF" w:rsidP="00C75D2C">
      <w:pPr>
        <w:pStyle w:val="SingleTxtGR"/>
      </w:pPr>
      <w:r>
        <w:t>6.2.4.1</w:t>
      </w:r>
      <w:proofErr w:type="gramStart"/>
      <w:r>
        <w:tab/>
        <w:t>В</w:t>
      </w:r>
      <w:proofErr w:type="gramEnd"/>
      <w:r>
        <w:t xml:space="preserve"> таблице, под заголовком «Для конструкции и изготовления» для стандарта «EN ISO 11120:1999 + A1:2013», в колонке 4 заменить «До дальне</w:t>
      </w:r>
      <w:r>
        <w:t>й</w:t>
      </w:r>
      <w:r>
        <w:t>шего указания» на «С 1 января 2015 года до 31 декабря 2020 года». После ста</w:t>
      </w:r>
      <w:r>
        <w:t>н</w:t>
      </w:r>
      <w:r>
        <w:t>дарта «EN ISO 11120:1999 + A1:2013» включить следующую новую строку:</w:t>
      </w:r>
    </w:p>
    <w:tbl>
      <w:tblPr>
        <w:tblStyle w:val="TableGrid"/>
        <w:tblW w:w="0" w:type="auto"/>
        <w:tblInd w:w="1134" w:type="dxa"/>
        <w:tblLook w:val="04A0" w:firstRow="1" w:lastRow="0" w:firstColumn="1" w:lastColumn="0" w:noHBand="0" w:noVBand="1"/>
      </w:tblPr>
      <w:tblGrid>
        <w:gridCol w:w="2012"/>
        <w:gridCol w:w="3653"/>
        <w:gridCol w:w="980"/>
        <w:gridCol w:w="1456"/>
      </w:tblGrid>
      <w:tr w:rsidR="005529B5" w:rsidTr="0097120F">
        <w:tc>
          <w:tcPr>
            <w:tcW w:w="2012" w:type="dxa"/>
          </w:tcPr>
          <w:p w:rsidR="005529B5" w:rsidRDefault="005529B5" w:rsidP="005529B5">
            <w:pPr>
              <w:pStyle w:val="SingleTxtGR"/>
              <w:ind w:left="0" w:right="0"/>
              <w:jc w:val="left"/>
            </w:pPr>
            <w:r>
              <w:t>EN ISO 11120:2015</w:t>
            </w:r>
          </w:p>
        </w:tc>
        <w:tc>
          <w:tcPr>
            <w:tcW w:w="3653" w:type="dxa"/>
          </w:tcPr>
          <w:p w:rsidR="005529B5" w:rsidRDefault="005529B5" w:rsidP="005529B5">
            <w:pPr>
              <w:pStyle w:val="SingleTxtGR"/>
              <w:ind w:left="0" w:right="0"/>
              <w:jc w:val="left"/>
            </w:pPr>
            <w:r>
              <w:t>Газовые баллоны – Бесшовные стальные цилиндры многоразового использования вместимостью по воде от 150 до 3 000 литров – Ко</w:t>
            </w:r>
            <w:r>
              <w:t>н</w:t>
            </w:r>
            <w:r>
              <w:t>струкция, изготовление и испытания</w:t>
            </w:r>
          </w:p>
        </w:tc>
        <w:tc>
          <w:tcPr>
            <w:tcW w:w="980" w:type="dxa"/>
          </w:tcPr>
          <w:p w:rsidR="005529B5" w:rsidRDefault="005529B5" w:rsidP="005529B5">
            <w:pPr>
              <w:pStyle w:val="SingleTxtGR"/>
              <w:ind w:left="0" w:right="0"/>
              <w:jc w:val="left"/>
            </w:pPr>
            <w:r>
              <w:t>6.2.3.1 и 6.2.3.4</w:t>
            </w:r>
          </w:p>
        </w:tc>
        <w:tc>
          <w:tcPr>
            <w:tcW w:w="1456" w:type="dxa"/>
          </w:tcPr>
          <w:p w:rsidR="005529B5" w:rsidRDefault="005529B5" w:rsidP="005529B5">
            <w:pPr>
              <w:pStyle w:val="SingleTxtGR"/>
              <w:ind w:left="0" w:right="0"/>
              <w:jc w:val="left"/>
            </w:pPr>
            <w:r>
              <w:t>До дальне</w:t>
            </w:r>
            <w:r>
              <w:t>й</w:t>
            </w:r>
            <w:r>
              <w:t>шего указ</w:t>
            </w:r>
            <w:r>
              <w:t>а</w:t>
            </w:r>
            <w:r>
              <w:t>ния</w:t>
            </w:r>
          </w:p>
        </w:tc>
      </w:tr>
    </w:tbl>
    <w:p w:rsidR="003869BF" w:rsidRPr="0097120F" w:rsidRDefault="003869BF" w:rsidP="0097120F">
      <w:pPr>
        <w:pStyle w:val="SingleTxtGR"/>
        <w:spacing w:before="120"/>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ECE/TRANS/WP15/AC.1/144, приложение II)</w:t>
      </w:r>
      <w:proofErr w:type="gramEnd"/>
    </w:p>
    <w:p w:rsidR="003869BF" w:rsidRDefault="0097120F" w:rsidP="00C75D2C">
      <w:pPr>
        <w:pStyle w:val="SingleTxtGR"/>
      </w:pPr>
      <w:r>
        <w:t>6.2.4.1</w:t>
      </w:r>
      <w:proofErr w:type="gramStart"/>
      <w:r>
        <w:tab/>
      </w:r>
      <w:r w:rsidR="003869BF">
        <w:t>В</w:t>
      </w:r>
      <w:proofErr w:type="gramEnd"/>
      <w:r w:rsidR="003869BF">
        <w:t xml:space="preserve"> таблице, под заголовком «Для конструкции и изготовления»:</w:t>
      </w:r>
    </w:p>
    <w:p w:rsidR="003869BF" w:rsidRDefault="003869BF" w:rsidP="00C75D2C">
      <w:pPr>
        <w:pStyle w:val="SingleTxtGR"/>
      </w:pPr>
      <w:r>
        <w:t>–</w:t>
      </w:r>
      <w:r>
        <w:tab/>
        <w:t>для стандарта «EN 1251-2:2000» изменить примечание в колонке 2 сл</w:t>
      </w:r>
      <w:r>
        <w:t>е</w:t>
      </w:r>
      <w:r>
        <w:t>дующим образом:</w:t>
      </w:r>
    </w:p>
    <w:p w:rsidR="003869BF" w:rsidRDefault="003869BF" w:rsidP="00C75D2C">
      <w:pPr>
        <w:pStyle w:val="SingleTxtGR"/>
      </w:pPr>
      <w:r>
        <w:t>«</w:t>
      </w:r>
      <w:r w:rsidRPr="0097120F">
        <w:rPr>
          <w:b/>
          <w:i/>
        </w:rPr>
        <w:t>ПРИМЕЧАНИЕ:</w:t>
      </w:r>
      <w:r w:rsidRPr="0097120F">
        <w:rPr>
          <w:i/>
        </w:rPr>
        <w:tab/>
        <w:t>Стандарты EN 1252-1:1998 и EN 1626, на которые делается ссылка в данном стандарте, применяются также к закрытым кри</w:t>
      </w:r>
      <w:r w:rsidRPr="0097120F">
        <w:rPr>
          <w:i/>
        </w:rPr>
        <w:t>о</w:t>
      </w:r>
      <w:r w:rsidRPr="0097120F">
        <w:rPr>
          <w:i/>
        </w:rPr>
        <w:t>генным сосудам для перевозки № ООН 1972 (</w:t>
      </w:r>
      <w:proofErr w:type="gramStart"/>
      <w:r w:rsidRPr="0097120F">
        <w:rPr>
          <w:i/>
        </w:rPr>
        <w:t>МЕТАН</w:t>
      </w:r>
      <w:proofErr w:type="gramEnd"/>
      <w:r w:rsidRPr="0097120F">
        <w:rPr>
          <w:i/>
        </w:rPr>
        <w:t xml:space="preserve"> ОХЛАЖДЕННЫЙ ЖИДКИЙ или ГАЗ ПРИРОДНЫЙ ОХЛАЖДЕННЫЙ ЖИДКИЙ).</w:t>
      </w:r>
      <w:r>
        <w:t>».</w:t>
      </w:r>
    </w:p>
    <w:p w:rsidR="003869BF" w:rsidRPr="0097120F" w:rsidRDefault="003869BF" w:rsidP="00C75D2C">
      <w:pPr>
        <w:pStyle w:val="SingleTxtGR"/>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ECE/TRANS/WP.15/AC.1/146, приложение II)</w:t>
      </w:r>
      <w:proofErr w:type="gramEnd"/>
    </w:p>
    <w:p w:rsidR="003869BF" w:rsidRDefault="0097120F" w:rsidP="00C75D2C">
      <w:pPr>
        <w:pStyle w:val="SingleTxtGR"/>
      </w:pPr>
      <w:r>
        <w:tab/>
      </w:r>
      <w:r w:rsidR="003869BF">
        <w:t>Изменить таблицу под заголовком «Для затворов» следующим образом:</w:t>
      </w:r>
    </w:p>
    <w:p w:rsidR="003869BF" w:rsidRDefault="003869BF" w:rsidP="00C75D2C">
      <w:pPr>
        <w:pStyle w:val="SingleTxtGR"/>
      </w:pPr>
      <w:r>
        <w:t>–</w:t>
      </w:r>
      <w:r>
        <w:tab/>
        <w:t>для стандарта «EN ISO 10297:2014» в колонке 2 исключить: «(ISO/DIS 10297:2012)».</w:t>
      </w:r>
    </w:p>
    <w:p w:rsidR="003869BF" w:rsidRPr="0097120F" w:rsidRDefault="003869BF" w:rsidP="00C75D2C">
      <w:pPr>
        <w:pStyle w:val="SingleTxtGR"/>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ECE/TRANS/WP.15/AC.1/146, приложение II)</w:t>
      </w:r>
      <w:proofErr w:type="gramEnd"/>
    </w:p>
    <w:p w:rsidR="003869BF" w:rsidRDefault="003869BF" w:rsidP="00C75D2C">
      <w:pPr>
        <w:pStyle w:val="SingleTxtGR"/>
      </w:pPr>
      <w:r>
        <w:t>–</w:t>
      </w:r>
      <w:r>
        <w:tab/>
        <w:t xml:space="preserve">для стандарта «EN 10297:2014» в колонке 4 заменить «До дальнейшего указания» </w:t>
      </w:r>
      <w:proofErr w:type="gramStart"/>
      <w:r>
        <w:t>на</w:t>
      </w:r>
      <w:proofErr w:type="gramEnd"/>
      <w:r>
        <w:t xml:space="preserve"> «С 1 января 2015 года до 31 декабря 2020 года».</w:t>
      </w:r>
    </w:p>
    <w:p w:rsidR="003869BF" w:rsidRPr="0097120F" w:rsidRDefault="003869BF" w:rsidP="00C75D2C">
      <w:pPr>
        <w:pStyle w:val="SingleTxtGR"/>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ECE/TRANS/WP.15/AC.1/146, приложение II)</w:t>
      </w:r>
      <w:proofErr w:type="gramEnd"/>
    </w:p>
    <w:p w:rsidR="003869BF" w:rsidRDefault="003869BF" w:rsidP="00C75D2C">
      <w:pPr>
        <w:pStyle w:val="SingleTxtGR"/>
      </w:pPr>
      <w:r>
        <w:t>–</w:t>
      </w:r>
      <w:r>
        <w:tab/>
        <w:t>после стандарта «EN ISO 10297:2014» включить следующ</w:t>
      </w:r>
      <w:r w:rsidR="00DA5394">
        <w:t>ую</w:t>
      </w:r>
      <w:r>
        <w:t xml:space="preserve"> нов</w:t>
      </w:r>
      <w:r w:rsidR="00DA5394">
        <w:t>ую</w:t>
      </w:r>
      <w:r>
        <w:t xml:space="preserve"> </w:t>
      </w:r>
      <w:r w:rsidR="00DA5394">
        <w:t>стр</w:t>
      </w:r>
      <w:r w:rsidR="00DA5394">
        <w:t>о</w:t>
      </w:r>
      <w:r w:rsidR="00DA5394">
        <w:t>ку</w:t>
      </w:r>
      <w:r>
        <w:t>:</w:t>
      </w:r>
    </w:p>
    <w:tbl>
      <w:tblPr>
        <w:tblStyle w:val="TableGrid"/>
        <w:tblW w:w="0" w:type="auto"/>
        <w:tblInd w:w="1134" w:type="dxa"/>
        <w:tblLook w:val="04A0" w:firstRow="1" w:lastRow="0" w:firstColumn="1" w:lastColumn="0" w:noHBand="0" w:noVBand="1"/>
      </w:tblPr>
      <w:tblGrid>
        <w:gridCol w:w="2012"/>
        <w:gridCol w:w="3653"/>
        <w:gridCol w:w="980"/>
        <w:gridCol w:w="1456"/>
      </w:tblGrid>
      <w:tr w:rsidR="0097120F" w:rsidTr="00285501">
        <w:tc>
          <w:tcPr>
            <w:tcW w:w="2012" w:type="dxa"/>
          </w:tcPr>
          <w:p w:rsidR="0097120F" w:rsidRDefault="0097120F" w:rsidP="00285501">
            <w:pPr>
              <w:pStyle w:val="SingleTxtGR"/>
              <w:ind w:left="0" w:right="0"/>
              <w:jc w:val="left"/>
            </w:pPr>
            <w:r>
              <w:t>EN ISO 10297:2014 + A1:[2017]</w:t>
            </w:r>
          </w:p>
        </w:tc>
        <w:tc>
          <w:tcPr>
            <w:tcW w:w="3653" w:type="dxa"/>
          </w:tcPr>
          <w:p w:rsidR="0097120F" w:rsidRDefault="0097120F" w:rsidP="00285501">
            <w:pPr>
              <w:pStyle w:val="SingleTxtGR"/>
              <w:ind w:left="0" w:right="0"/>
              <w:jc w:val="left"/>
            </w:pPr>
            <w:r>
              <w:t>Переносные газовые баллоны – Ве</w:t>
            </w:r>
            <w:r>
              <w:t>н</w:t>
            </w:r>
            <w:r>
              <w:t>тили баллонов − Технические треб</w:t>
            </w:r>
            <w:r>
              <w:t>о</w:t>
            </w:r>
            <w:r>
              <w:t>вания и испытания по типу ко</w:t>
            </w:r>
            <w:r>
              <w:t>н</w:t>
            </w:r>
            <w:r>
              <w:t>струкции</w:t>
            </w:r>
          </w:p>
        </w:tc>
        <w:tc>
          <w:tcPr>
            <w:tcW w:w="980" w:type="dxa"/>
          </w:tcPr>
          <w:p w:rsidR="0097120F" w:rsidRDefault="0097120F" w:rsidP="00285501">
            <w:pPr>
              <w:pStyle w:val="SingleTxtGR"/>
              <w:ind w:left="0" w:right="0"/>
              <w:jc w:val="left"/>
            </w:pPr>
            <w:r>
              <w:t>6.2.3.1 и 6.2.3.3</w:t>
            </w:r>
          </w:p>
        </w:tc>
        <w:tc>
          <w:tcPr>
            <w:tcW w:w="1456" w:type="dxa"/>
          </w:tcPr>
          <w:p w:rsidR="0097120F" w:rsidRDefault="0097120F" w:rsidP="00285501">
            <w:pPr>
              <w:pStyle w:val="SingleTxtGR"/>
              <w:ind w:left="0" w:right="0"/>
              <w:jc w:val="left"/>
            </w:pPr>
            <w:r>
              <w:t>До дальне</w:t>
            </w:r>
            <w:r>
              <w:t>й</w:t>
            </w:r>
            <w:r>
              <w:t>шего указ</w:t>
            </w:r>
            <w:r>
              <w:t>а</w:t>
            </w:r>
            <w:r>
              <w:t>ния</w:t>
            </w:r>
          </w:p>
        </w:tc>
      </w:tr>
    </w:tbl>
    <w:p w:rsidR="003869BF" w:rsidRPr="0097120F" w:rsidRDefault="003869BF" w:rsidP="0097120F">
      <w:pPr>
        <w:pStyle w:val="SingleTxtGR"/>
        <w:spacing w:before="120"/>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ECE/TRANS/WP.15/AC.1/146, приложение II)</w:t>
      </w:r>
      <w:proofErr w:type="gramEnd"/>
    </w:p>
    <w:p w:rsidR="003869BF" w:rsidRDefault="003869BF" w:rsidP="00C75D2C">
      <w:pPr>
        <w:pStyle w:val="SingleTxtGR"/>
      </w:pPr>
      <w:r>
        <w:t>–</w:t>
      </w:r>
      <w:r>
        <w:tab/>
        <w:t>для стандарта «EN 1626:2008» добавить новое примечание следующего содержания:</w:t>
      </w:r>
    </w:p>
    <w:p w:rsidR="003869BF" w:rsidRDefault="003869BF" w:rsidP="00C75D2C">
      <w:pPr>
        <w:pStyle w:val="SingleTxtGR"/>
      </w:pPr>
      <w:r>
        <w:t>«</w:t>
      </w:r>
      <w:r w:rsidRPr="0097120F">
        <w:rPr>
          <w:b/>
          <w:i/>
        </w:rPr>
        <w:t>ПРИМЕЧАНИЕ:</w:t>
      </w:r>
      <w:r w:rsidRPr="0097120F">
        <w:rPr>
          <w:i/>
        </w:rPr>
        <w:tab/>
        <w:t>Этот стандарт применяется также к вентилям для перевозки № ООН 1972 (</w:t>
      </w:r>
      <w:proofErr w:type="gramStart"/>
      <w:r w:rsidRPr="0097120F">
        <w:rPr>
          <w:i/>
        </w:rPr>
        <w:t>МЕТАН</w:t>
      </w:r>
      <w:proofErr w:type="gramEnd"/>
      <w:r w:rsidRPr="0097120F">
        <w:rPr>
          <w:i/>
        </w:rPr>
        <w:t xml:space="preserve"> ОХЛАЖДЕННЫЙ ЖИДКИЙ или ГАЗ ПРИРОДНЫЙ ОХЛАЖДЕННЫЙ ЖИДКИЙ).</w:t>
      </w:r>
      <w:r>
        <w:t>»</w:t>
      </w:r>
      <w:r w:rsidR="0097120F">
        <w:t>.</w:t>
      </w:r>
    </w:p>
    <w:p w:rsidR="003869BF" w:rsidRPr="0097120F" w:rsidRDefault="003869BF" w:rsidP="00C75D2C">
      <w:pPr>
        <w:pStyle w:val="SingleTxtGR"/>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ECE/TRANS/WP.15/AC.1/146, приложение II)</w:t>
      </w:r>
      <w:proofErr w:type="gramEnd"/>
    </w:p>
    <w:p w:rsidR="003869BF" w:rsidRDefault="003869BF" w:rsidP="00C75D2C">
      <w:pPr>
        <w:pStyle w:val="SingleTxtGR"/>
      </w:pPr>
      <w:r>
        <w:t>6.2.6.4</w:t>
      </w:r>
      <w:proofErr w:type="gramStart"/>
      <w:r>
        <w:tab/>
        <w:t>В</w:t>
      </w:r>
      <w:proofErr w:type="gramEnd"/>
      <w:r>
        <w:t xml:space="preserve"> конце третьего абзаца исключить «за исключением пункта 9» и добавить следующее новое предложение: «Помимо маркировочных знаков, предусмотренных этим стандартом, газовый баллончик маркируется следу</w:t>
      </w:r>
      <w:r>
        <w:t>ю</w:t>
      </w:r>
      <w:r>
        <w:t>щим образом: "UN 2037/EN 16509".».</w:t>
      </w:r>
    </w:p>
    <w:p w:rsidR="003869BF" w:rsidRPr="0097120F" w:rsidRDefault="003869BF" w:rsidP="00C75D2C">
      <w:pPr>
        <w:pStyle w:val="SingleTxtGR"/>
        <w:rPr>
          <w:i/>
        </w:rPr>
      </w:pPr>
      <w:proofErr w:type="gramStart"/>
      <w:r w:rsidRPr="0097120F">
        <w:rPr>
          <w:i/>
        </w:rPr>
        <w:t>(Справочный документ:</w:t>
      </w:r>
      <w:proofErr w:type="gramEnd"/>
      <w:r w:rsidRPr="0097120F">
        <w:rPr>
          <w:i/>
        </w:rPr>
        <w:t xml:space="preserve"> </w:t>
      </w:r>
      <w:proofErr w:type="gramStart"/>
      <w:r w:rsidRPr="0097120F">
        <w:rPr>
          <w:i/>
        </w:rPr>
        <w:t>ECE/TRANS/WP15/AC.1/144, приложение II)</w:t>
      </w:r>
      <w:proofErr w:type="gramEnd"/>
    </w:p>
    <w:p w:rsidR="003869BF" w:rsidRDefault="003869BF" w:rsidP="0097120F">
      <w:pPr>
        <w:pStyle w:val="H1GR"/>
      </w:pPr>
      <w:r>
        <w:tab/>
      </w:r>
      <w:r>
        <w:tab/>
        <w:t>Глава 6.8</w:t>
      </w:r>
    </w:p>
    <w:p w:rsidR="003869BF" w:rsidRDefault="003869BF" w:rsidP="00C75D2C">
      <w:pPr>
        <w:pStyle w:val="SingleTxtGR"/>
      </w:pPr>
      <w:r>
        <w:t>6.8.2.1.9</w:t>
      </w:r>
      <w:proofErr w:type="gramStart"/>
      <w:r>
        <w:tab/>
        <w:t>В</w:t>
      </w:r>
      <w:proofErr w:type="gramEnd"/>
      <w:r>
        <w:t xml:space="preserve"> первом абзаце заменить «существенно» на «заметно».</w:t>
      </w:r>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ECE/TRANS/WP15/AC.1/144, приложение II)</w:t>
      </w:r>
      <w:proofErr w:type="gramEnd"/>
    </w:p>
    <w:p w:rsidR="003869BF" w:rsidRDefault="003869BF" w:rsidP="00C75D2C">
      <w:pPr>
        <w:pStyle w:val="SingleTxtGR"/>
      </w:pPr>
      <w:r>
        <w:t>6.8.2.1.23</w:t>
      </w:r>
      <w:proofErr w:type="gramStart"/>
      <w:r>
        <w:tab/>
        <w:t>В</w:t>
      </w:r>
      <w:proofErr w:type="gramEnd"/>
      <w:r>
        <w:t xml:space="preserve"> последнем предложении первого абзаца после «ультразвука» включить ссылку на сноску * следующего содержания:</w:t>
      </w:r>
    </w:p>
    <w:p w:rsidR="003869BF" w:rsidRDefault="00D335E6" w:rsidP="00C75D2C">
      <w:pPr>
        <w:pStyle w:val="SingleTxtGR"/>
      </w:pPr>
      <w:r>
        <w:t>«</w:t>
      </w:r>
      <w:r w:rsidR="003869BF">
        <w:t>*</w:t>
      </w:r>
      <w:r w:rsidR="003869BF">
        <w:tab/>
      </w:r>
      <w:proofErr w:type="spellStart"/>
      <w:r w:rsidR="003869BF">
        <w:t>Нахлесточные</w:t>
      </w:r>
      <w:proofErr w:type="spellEnd"/>
      <w:r w:rsidR="003869BF">
        <w:t xml:space="preserve"> сварные соединения, используемые для присоединения днища к корпусу, могут испытываться с использованием методов, альтернати</w:t>
      </w:r>
      <w:r w:rsidR="003869BF">
        <w:t>в</w:t>
      </w:r>
      <w:r w:rsidR="003869BF">
        <w:t>ных радиографии или ультразвуку</w:t>
      </w:r>
      <w:proofErr w:type="gramStart"/>
      <w:r w:rsidR="003869BF">
        <w:t>.».</w:t>
      </w:r>
      <w:proofErr w:type="gramEnd"/>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ECE/TRANS/WP.15/AC.1/146, приложение II)</w:t>
      </w:r>
      <w:proofErr w:type="gramEnd"/>
    </w:p>
    <w:p w:rsidR="003869BF" w:rsidRDefault="00D335E6" w:rsidP="00C75D2C">
      <w:pPr>
        <w:pStyle w:val="SingleTxtGR"/>
      </w:pPr>
      <w:r>
        <w:tab/>
      </w:r>
      <w:r w:rsidR="003869BF">
        <w:t>Изменить второе предложение после «λ = 0,8» следующим образом:</w:t>
      </w:r>
    </w:p>
    <w:p w:rsidR="003869BF" w:rsidRDefault="003869BF" w:rsidP="00C75D2C">
      <w:pPr>
        <w:pStyle w:val="SingleTxtGR"/>
      </w:pPr>
      <w:r>
        <w:t>«Неразрушающему контролю должны подвергаться все сварные Т-образные с</w:t>
      </w:r>
      <w:r>
        <w:t>о</w:t>
      </w:r>
      <w:r>
        <w:t xml:space="preserve">единения, все вставки, используемые для </w:t>
      </w:r>
      <w:proofErr w:type="spellStart"/>
      <w:r>
        <w:t>избежания</w:t>
      </w:r>
      <w:proofErr w:type="spellEnd"/>
      <w:r>
        <w:t xml:space="preserve"> пересечения швов, и все сварные швы на участке изменения профиля днищ цистерны</w:t>
      </w:r>
      <w:proofErr w:type="gramStart"/>
      <w:r>
        <w:t>.».</w:t>
      </w:r>
      <w:proofErr w:type="gramEnd"/>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ECE/TRANS/WP.15/AC.1/146, приложение II)</w:t>
      </w:r>
      <w:proofErr w:type="gramEnd"/>
    </w:p>
    <w:p w:rsidR="003869BF" w:rsidRDefault="00D335E6" w:rsidP="00C75D2C">
      <w:pPr>
        <w:pStyle w:val="SingleTxtGR"/>
      </w:pPr>
      <w:r>
        <w:tab/>
      </w:r>
      <w:r w:rsidR="003869BF">
        <w:t>Изменить второе предложение после «λ = 0,9» следующим образом:</w:t>
      </w:r>
    </w:p>
    <w:p w:rsidR="003869BF" w:rsidRDefault="003869BF" w:rsidP="00C75D2C">
      <w:pPr>
        <w:pStyle w:val="SingleTxtGR"/>
      </w:pPr>
      <w:r>
        <w:t>«Неразрушающему контролю должны подвергаться все соединения, все вста</w:t>
      </w:r>
      <w:r>
        <w:t>в</w:t>
      </w:r>
      <w:r>
        <w:t xml:space="preserve">ки, используемые для </w:t>
      </w:r>
      <w:proofErr w:type="spellStart"/>
      <w:r>
        <w:t>избежания</w:t>
      </w:r>
      <w:proofErr w:type="spellEnd"/>
      <w:r>
        <w:t xml:space="preserve"> пересечения швов, все сварные швы на учас</w:t>
      </w:r>
      <w:r>
        <w:t>т</w:t>
      </w:r>
      <w:r>
        <w:t>ке изменения профиля днищ цистерны и все сварные швы, выполняемые при сборке оборудования большого диаметра</w:t>
      </w:r>
      <w:proofErr w:type="gramStart"/>
      <w:r>
        <w:t>.».</w:t>
      </w:r>
      <w:proofErr w:type="gramEnd"/>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ECE/TRANS/WP.15/AC.1/146, приложение II)</w:t>
      </w:r>
      <w:proofErr w:type="gramEnd"/>
    </w:p>
    <w:p w:rsidR="003869BF" w:rsidRDefault="003869BF" w:rsidP="00C75D2C">
      <w:pPr>
        <w:pStyle w:val="SingleTxtGR"/>
      </w:pPr>
      <w:r>
        <w:t>6.8.2.2.2</w:t>
      </w:r>
      <w:proofErr w:type="gramStart"/>
      <w:r>
        <w:tab/>
        <w:t>П</w:t>
      </w:r>
      <w:proofErr w:type="gramEnd"/>
      <w:r>
        <w:t>осле второй серии отступов с тире заменить «с эбонитовым или термопластическим покрытием» на «с защитной облицовкой».</w:t>
      </w:r>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ECE/TRANS/WP15/AC.1/144, приложение II)</w:t>
      </w:r>
      <w:proofErr w:type="gramEnd"/>
    </w:p>
    <w:p w:rsidR="003869BF" w:rsidRDefault="003869BF" w:rsidP="00C75D2C">
      <w:pPr>
        <w:pStyle w:val="SingleTxtGR"/>
      </w:pPr>
      <w:r>
        <w:t>6.8.2.2.11</w:t>
      </w:r>
      <w:proofErr w:type="gramStart"/>
      <w:r>
        <w:tab/>
        <w:t>Д</w:t>
      </w:r>
      <w:proofErr w:type="gramEnd"/>
      <w:r>
        <w:t>обавить следующий новый пункт: «Не должны использоваться стеклянные уровнемеры и измерительные приборы из другого хрупкого мат</w:t>
      </w:r>
      <w:r>
        <w:t>е</w:t>
      </w:r>
      <w:r>
        <w:t>риала, находящиеся в непосредственном контакте с содержимым корпуса</w:t>
      </w:r>
      <w:proofErr w:type="gramStart"/>
      <w:r>
        <w:t>.».</w:t>
      </w:r>
      <w:proofErr w:type="gramEnd"/>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ECE/TRANS/WP.15/AC.1/144, приложение II, с попра</w:t>
      </w:r>
      <w:r w:rsidRPr="00D335E6">
        <w:rPr>
          <w:i/>
        </w:rPr>
        <w:t>в</w:t>
      </w:r>
      <w:r w:rsidRPr="00D335E6">
        <w:rPr>
          <w:i/>
        </w:rPr>
        <w:t>ками, содержащимися в документе ECE/T</w:t>
      </w:r>
      <w:r w:rsidR="00D335E6">
        <w:rPr>
          <w:i/>
        </w:rPr>
        <w:t>RANS/WP.15/AC.1/146, прилож</w:t>
      </w:r>
      <w:r w:rsidR="00D335E6">
        <w:rPr>
          <w:i/>
        </w:rPr>
        <w:t>е</w:t>
      </w:r>
      <w:r w:rsidR="00D335E6">
        <w:rPr>
          <w:i/>
        </w:rPr>
        <w:t>ние </w:t>
      </w:r>
      <w:r w:rsidRPr="00D335E6">
        <w:rPr>
          <w:i/>
        </w:rPr>
        <w:t>II)</w:t>
      </w:r>
      <w:proofErr w:type="gramEnd"/>
    </w:p>
    <w:p w:rsidR="003869BF" w:rsidRDefault="003869BF" w:rsidP="00C75D2C">
      <w:pPr>
        <w:pStyle w:val="SingleTxtGR"/>
      </w:pPr>
      <w:r>
        <w:t>6.8.2.4.2 и 6.8.2.4.3</w:t>
      </w:r>
      <w:proofErr w:type="gramStart"/>
      <w:r>
        <w:tab/>
        <w:t>В</w:t>
      </w:r>
      <w:proofErr w:type="gramEnd"/>
      <w:r>
        <w:t xml:space="preserve"> конце добавить следующий новый пункт: </w:t>
      </w:r>
    </w:p>
    <w:p w:rsidR="003869BF" w:rsidRDefault="003869BF" w:rsidP="00C75D2C">
      <w:pPr>
        <w:pStyle w:val="SingleTxtGR"/>
      </w:pPr>
      <w:r>
        <w:t>«Защитные облицовки визуально проверяются на предмет дефектов. В случае появления дефектов состояние облицовки оценивается с помощью соотве</w:t>
      </w:r>
      <w:r>
        <w:t>т</w:t>
      </w:r>
      <w:r>
        <w:t>ствующих испытаний</w:t>
      </w:r>
      <w:proofErr w:type="gramStart"/>
      <w:r>
        <w:t>.».</w:t>
      </w:r>
      <w:proofErr w:type="gramEnd"/>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ECE/TRANS/WP15/AC.1/144, приложение II)</w:t>
      </w:r>
      <w:proofErr w:type="gramEnd"/>
    </w:p>
    <w:p w:rsidR="003869BF" w:rsidRDefault="003869BF" w:rsidP="00C75D2C">
      <w:pPr>
        <w:pStyle w:val="SingleTxtGR"/>
      </w:pPr>
      <w:r>
        <w:t>6.8.2.6.1</w:t>
      </w:r>
      <w:proofErr w:type="gramStart"/>
      <w:r>
        <w:tab/>
        <w:t>В</w:t>
      </w:r>
      <w:proofErr w:type="gramEnd"/>
      <w:r>
        <w:t>нести в таблицу, под заголовком «Для конструкции и изготовл</w:t>
      </w:r>
      <w:r>
        <w:t>е</w:t>
      </w:r>
      <w:r>
        <w:t>ния цистерн», следующее изменение:</w:t>
      </w:r>
    </w:p>
    <w:p w:rsidR="003869BF" w:rsidRDefault="003869BF" w:rsidP="00C75D2C">
      <w:pPr>
        <w:pStyle w:val="SingleTxtGR"/>
      </w:pPr>
      <w:r>
        <w:t>–</w:t>
      </w:r>
      <w:r>
        <w:tab/>
        <w:t>для стандарта «EN 13530-2:2002 + A1:2004» изменить примечание в к</w:t>
      </w:r>
      <w:r>
        <w:t>о</w:t>
      </w:r>
      <w:r>
        <w:t>лонке 2 следующим образом:</w:t>
      </w:r>
    </w:p>
    <w:p w:rsidR="003869BF" w:rsidRDefault="003869BF" w:rsidP="00C75D2C">
      <w:pPr>
        <w:pStyle w:val="SingleTxtGR"/>
      </w:pPr>
      <w:r>
        <w:t>«</w:t>
      </w:r>
      <w:r w:rsidRPr="00D335E6">
        <w:rPr>
          <w:b/>
          <w:i/>
        </w:rPr>
        <w:t>ПРИМЕЧАНИЕ:</w:t>
      </w:r>
      <w:r w:rsidRPr="00D335E6">
        <w:rPr>
          <w:i/>
        </w:rPr>
        <w:tab/>
        <w:t>Стандарты EN 1252-1:1998 и EN 1626, на которые делается ссылка в данном стандарте, применяются также к закрытым кри</w:t>
      </w:r>
      <w:r w:rsidRPr="00D335E6">
        <w:rPr>
          <w:i/>
        </w:rPr>
        <w:t>о</w:t>
      </w:r>
      <w:r w:rsidRPr="00D335E6">
        <w:rPr>
          <w:i/>
        </w:rPr>
        <w:t>генным сосудам для перевозки № ООН 1972 (</w:t>
      </w:r>
      <w:proofErr w:type="gramStart"/>
      <w:r w:rsidRPr="00D335E6">
        <w:rPr>
          <w:i/>
        </w:rPr>
        <w:t>МЕТАН</w:t>
      </w:r>
      <w:proofErr w:type="gramEnd"/>
      <w:r w:rsidRPr="00D335E6">
        <w:rPr>
          <w:i/>
        </w:rPr>
        <w:t xml:space="preserve"> ОХЛАЖДЕННЫЙ ЖИДКИЙ или ГАЗ ПРИРОДНЫЙ ОХЛАЖДЕННЫЙ ЖИДКИЙ).</w:t>
      </w:r>
      <w:r>
        <w:t>»</w:t>
      </w:r>
      <w:r w:rsidR="00D335E6">
        <w:t>.</w:t>
      </w:r>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ECE/TRANS/WP.15/AC.1/146, приложение II)</w:t>
      </w:r>
      <w:proofErr w:type="gramEnd"/>
    </w:p>
    <w:p w:rsidR="003869BF" w:rsidRDefault="00D335E6" w:rsidP="00D335E6">
      <w:pPr>
        <w:pStyle w:val="SingleTxtGR"/>
        <w:keepNext/>
      </w:pPr>
      <w:r>
        <w:tab/>
      </w:r>
      <w:r w:rsidR="003869BF">
        <w:t>В таблице, под заголовком «Для оборудования»:</w:t>
      </w:r>
    </w:p>
    <w:p w:rsidR="003869BF" w:rsidRDefault="003869BF" w:rsidP="00C75D2C">
      <w:pPr>
        <w:pStyle w:val="SingleTxtGR"/>
      </w:pPr>
      <w:r>
        <w:t>–</w:t>
      </w:r>
      <w:r>
        <w:tab/>
        <w:t>для стандарта «EN 1626:2008» добавить в колонку 2 новое примечание следующего содержания:</w:t>
      </w:r>
    </w:p>
    <w:p w:rsidR="003869BF" w:rsidRDefault="003869BF" w:rsidP="00C75D2C">
      <w:pPr>
        <w:pStyle w:val="SingleTxtGR"/>
      </w:pPr>
      <w:r>
        <w:t>«</w:t>
      </w:r>
      <w:r w:rsidRPr="00D335E6">
        <w:rPr>
          <w:b/>
          <w:i/>
        </w:rPr>
        <w:t>ПРИМЕЧАНИЕ:</w:t>
      </w:r>
      <w:r w:rsidRPr="00D335E6">
        <w:rPr>
          <w:i/>
        </w:rPr>
        <w:tab/>
        <w:t>Этот стандарт применяется также к вентилям для перевозки № ООН 1972 (</w:t>
      </w:r>
      <w:proofErr w:type="gramStart"/>
      <w:r w:rsidRPr="00D335E6">
        <w:rPr>
          <w:i/>
        </w:rPr>
        <w:t>МЕТАН</w:t>
      </w:r>
      <w:proofErr w:type="gramEnd"/>
      <w:r w:rsidRPr="00D335E6">
        <w:rPr>
          <w:i/>
        </w:rPr>
        <w:t xml:space="preserve"> ОХЛАЖДЕННЫЙ ЖИДКИЙ или ГАЗ ПРИРОДНЫЙ ОХЛАЖДЕННЫЙ ЖИДКИЙ).</w:t>
      </w:r>
      <w:r>
        <w:t>»</w:t>
      </w:r>
      <w:r w:rsidR="00D335E6">
        <w:t>.</w:t>
      </w:r>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ECE/TRANS/WP.15/AC.1/146, приложение II)</w:t>
      </w:r>
      <w:proofErr w:type="gramEnd"/>
    </w:p>
    <w:p w:rsidR="003869BF" w:rsidRDefault="003869BF" w:rsidP="00C75D2C">
      <w:pPr>
        <w:pStyle w:val="SingleTxtGR"/>
      </w:pPr>
      <w:r>
        <w:t>6.8.3.2.6</w:t>
      </w:r>
      <w:proofErr w:type="gramStart"/>
      <w:r>
        <w:tab/>
        <w:t>И</w:t>
      </w:r>
      <w:proofErr w:type="gramEnd"/>
      <w:r>
        <w:t>сключить первое предложение.</w:t>
      </w:r>
    </w:p>
    <w:p w:rsidR="003869BF" w:rsidRPr="00D335E6" w:rsidRDefault="003869BF" w:rsidP="00C75D2C">
      <w:pPr>
        <w:pStyle w:val="SingleTxtGR"/>
        <w:rPr>
          <w:i/>
        </w:rPr>
      </w:pPr>
      <w:proofErr w:type="gramStart"/>
      <w:r w:rsidRPr="00D335E6">
        <w:rPr>
          <w:i/>
        </w:rPr>
        <w:t>(Справочный документ:</w:t>
      </w:r>
      <w:proofErr w:type="gramEnd"/>
      <w:r w:rsidRPr="00D335E6">
        <w:rPr>
          <w:i/>
        </w:rPr>
        <w:t xml:space="preserve"> </w:t>
      </w:r>
      <w:proofErr w:type="gramStart"/>
      <w:r w:rsidRPr="00D335E6">
        <w:rPr>
          <w:i/>
        </w:rPr>
        <w:t>ECE/TRANS/WP.15/AC.1/144, приложение II, с попра</w:t>
      </w:r>
      <w:r w:rsidRPr="00D335E6">
        <w:rPr>
          <w:i/>
        </w:rPr>
        <w:t>в</w:t>
      </w:r>
      <w:r w:rsidRPr="00D335E6">
        <w:rPr>
          <w:i/>
        </w:rPr>
        <w:t>ками, содержащимися в документе ECE/T</w:t>
      </w:r>
      <w:r w:rsidR="00D335E6">
        <w:rPr>
          <w:i/>
        </w:rPr>
        <w:t>RANS/WP.15/AC.1/146, прилож</w:t>
      </w:r>
      <w:r w:rsidR="00D335E6">
        <w:rPr>
          <w:i/>
        </w:rPr>
        <w:t>е</w:t>
      </w:r>
      <w:r w:rsidR="00D335E6">
        <w:rPr>
          <w:i/>
        </w:rPr>
        <w:t>ние </w:t>
      </w:r>
      <w:r w:rsidRPr="00D335E6">
        <w:rPr>
          <w:i/>
        </w:rPr>
        <w:t>II)</w:t>
      </w:r>
      <w:proofErr w:type="gramEnd"/>
    </w:p>
    <w:p w:rsidR="003869BF" w:rsidRDefault="003869BF" w:rsidP="00C75D2C">
      <w:pPr>
        <w:pStyle w:val="SingleTxtGR"/>
      </w:pPr>
      <w:r>
        <w:t>6.8.3.2.9</w:t>
      </w:r>
      <w:proofErr w:type="gramStart"/>
      <w:r>
        <w:tab/>
        <w:t>В</w:t>
      </w:r>
      <w:proofErr w:type="gramEnd"/>
      <w:r>
        <w:t xml:space="preserve"> конце добавить новый абзац следующего содержания:</w:t>
      </w:r>
    </w:p>
    <w:p w:rsidR="003869BF" w:rsidRDefault="00D335E6" w:rsidP="00C75D2C">
      <w:pPr>
        <w:pStyle w:val="SingleTxtGR"/>
      </w:pPr>
      <w:r>
        <w:t>«</w:t>
      </w:r>
      <w:r w:rsidR="003869BF">
        <w:t>Предохранительные клапаны должны быть сконструированы или защищены таким образом, чтобы предотвращать проникновение воды и других посторо</w:t>
      </w:r>
      <w:r w:rsidR="003869BF">
        <w:t>н</w:t>
      </w:r>
      <w:r w:rsidR="003869BF">
        <w:t>них веществ, которые могут помешать их надлежащему функционированию. Наличие защиты не должно сказываться на рабочих характеристиках клап</w:t>
      </w:r>
      <w:r w:rsidR="003869BF">
        <w:t>а</w:t>
      </w:r>
      <w:r w:rsidR="003869BF">
        <w:t>нов</w:t>
      </w:r>
      <w:proofErr w:type="gramStart"/>
      <w:r w:rsidR="003869BF">
        <w:t>.</w:t>
      </w:r>
      <w:r>
        <w:t>»</w:t>
      </w:r>
      <w:r w:rsidR="003869BF">
        <w:t>.</w:t>
      </w:r>
      <w:proofErr w:type="gramEnd"/>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w:t>
      </w:r>
      <w:proofErr w:type="gramStart"/>
      <w:r w:rsidRPr="005472B6">
        <w:rPr>
          <w:i/>
        </w:rPr>
        <w:t>ECE/TRANS/WP.15/AC.1/144, приложение II, с попра</w:t>
      </w:r>
      <w:r w:rsidRPr="005472B6">
        <w:rPr>
          <w:i/>
        </w:rPr>
        <w:t>в</w:t>
      </w:r>
      <w:r w:rsidRPr="005472B6">
        <w:rPr>
          <w:i/>
        </w:rPr>
        <w:t>ками, содержащимися в документе ECE/T</w:t>
      </w:r>
      <w:r w:rsidR="005472B6">
        <w:rPr>
          <w:i/>
        </w:rPr>
        <w:t>RANS/WP.15/AC.1/146, прилож</w:t>
      </w:r>
      <w:r w:rsidR="005472B6">
        <w:rPr>
          <w:i/>
        </w:rPr>
        <w:t>е</w:t>
      </w:r>
      <w:r w:rsidR="005472B6">
        <w:rPr>
          <w:i/>
        </w:rPr>
        <w:t>ние </w:t>
      </w:r>
      <w:r w:rsidRPr="005472B6">
        <w:rPr>
          <w:i/>
        </w:rPr>
        <w:t>II)</w:t>
      </w:r>
      <w:proofErr w:type="gramEnd"/>
    </w:p>
    <w:p w:rsidR="003869BF" w:rsidRDefault="005472B6" w:rsidP="00C75D2C">
      <w:pPr>
        <w:pStyle w:val="SingleTxtGR"/>
      </w:pPr>
      <w:r>
        <w:t>6.8.5.4</w:t>
      </w:r>
      <w:proofErr w:type="gramStart"/>
      <w:r>
        <w:tab/>
      </w:r>
      <w:r w:rsidR="003869BF">
        <w:t>З</w:t>
      </w:r>
      <w:proofErr w:type="gramEnd"/>
      <w:r w:rsidR="003869BF">
        <w:t xml:space="preserve">аменить «EN 1252-1:1998 Криогенные сосуды – Материалы – Часть 1: Требования в отношении ударной вязкости при температуре ниже </w:t>
      </w:r>
      <w:r w:rsidR="00DA5394">
        <w:br/>
      </w:r>
      <w:r w:rsidR="003869BF">
        <w:t>–80</w:t>
      </w:r>
      <w:proofErr w:type="gramStart"/>
      <w:r w:rsidR="003869BF">
        <w:t xml:space="preserve"> °С</w:t>
      </w:r>
      <w:proofErr w:type="gramEnd"/>
      <w:r w:rsidR="003869BF">
        <w:t>» на «EN ISO 21028-1:2016 Криогенные сосуды – Требования в отнош</w:t>
      </w:r>
      <w:r w:rsidR="003869BF">
        <w:t>е</w:t>
      </w:r>
      <w:r w:rsidR="003869BF">
        <w:t>нии ударной вязкости материалов при криогенной температуре – Часть 1: Те</w:t>
      </w:r>
      <w:r w:rsidR="003869BF">
        <w:t>м</w:t>
      </w:r>
      <w:r w:rsidR="003869BF">
        <w:t>пература ниже –80 °C».</w:t>
      </w:r>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w:t>
      </w:r>
      <w:proofErr w:type="gramStart"/>
      <w:r w:rsidRPr="005472B6">
        <w:rPr>
          <w:i/>
        </w:rPr>
        <w:t>ECE/TRANS/WP15/AC.1/144, приложение II, с попра</w:t>
      </w:r>
      <w:r w:rsidRPr="005472B6">
        <w:rPr>
          <w:i/>
        </w:rPr>
        <w:t>в</w:t>
      </w:r>
      <w:r w:rsidRPr="005472B6">
        <w:rPr>
          <w:i/>
        </w:rPr>
        <w:t>ками)</w:t>
      </w:r>
      <w:proofErr w:type="gramEnd"/>
    </w:p>
    <w:p w:rsidR="003869BF" w:rsidRDefault="003869BF" w:rsidP="005472B6">
      <w:pPr>
        <w:pStyle w:val="H1GR"/>
      </w:pPr>
      <w:r>
        <w:tab/>
      </w:r>
      <w:r>
        <w:tab/>
        <w:t>Глава 6.10</w:t>
      </w:r>
    </w:p>
    <w:p w:rsidR="003869BF" w:rsidRDefault="003869BF" w:rsidP="00C75D2C">
      <w:pPr>
        <w:pStyle w:val="SingleTxtGR"/>
      </w:pPr>
      <w:r>
        <w:t>6.10.3.8 f)</w:t>
      </w:r>
      <w:r>
        <w:tab/>
        <w:t>Во втором предложении заменить «смотровые стекла» на «сте</w:t>
      </w:r>
      <w:r>
        <w:t>к</w:t>
      </w:r>
      <w:r>
        <w:t>лянные уровнемеры и измерительные приборы из другого подходящего пр</w:t>
      </w:r>
      <w:r>
        <w:t>о</w:t>
      </w:r>
      <w:r>
        <w:t>зрачного материала».</w:t>
      </w:r>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w:t>
      </w:r>
      <w:proofErr w:type="gramStart"/>
      <w:r w:rsidRPr="005472B6">
        <w:rPr>
          <w:i/>
        </w:rPr>
        <w:t>ECE/TRANS/WP.15/AC.1/144, приложение II, с попра</w:t>
      </w:r>
      <w:r w:rsidRPr="005472B6">
        <w:rPr>
          <w:i/>
        </w:rPr>
        <w:t>в</w:t>
      </w:r>
      <w:r w:rsidRPr="005472B6">
        <w:rPr>
          <w:i/>
        </w:rPr>
        <w:t>ками, содержащимися в документе ECE/T</w:t>
      </w:r>
      <w:r w:rsidR="005472B6">
        <w:rPr>
          <w:i/>
        </w:rPr>
        <w:t>RANS/WP.15/AC.1/146, прилож</w:t>
      </w:r>
      <w:r w:rsidR="005472B6">
        <w:rPr>
          <w:i/>
        </w:rPr>
        <w:t>е</w:t>
      </w:r>
      <w:r w:rsidR="005472B6">
        <w:rPr>
          <w:i/>
        </w:rPr>
        <w:t>ние </w:t>
      </w:r>
      <w:r w:rsidRPr="005472B6">
        <w:rPr>
          <w:i/>
        </w:rPr>
        <w:t>II)</w:t>
      </w:r>
      <w:proofErr w:type="gramEnd"/>
    </w:p>
    <w:p w:rsidR="003869BF" w:rsidRDefault="003869BF" w:rsidP="005472B6">
      <w:pPr>
        <w:pStyle w:val="H1GR"/>
      </w:pPr>
      <w:r>
        <w:tab/>
      </w:r>
      <w:r>
        <w:tab/>
        <w:t>Глава 7.5</w:t>
      </w:r>
    </w:p>
    <w:p w:rsidR="003869BF" w:rsidRDefault="003869BF" w:rsidP="00C75D2C">
      <w:pPr>
        <w:pStyle w:val="SingleTxtGR"/>
      </w:pPr>
      <w:r>
        <w:t>7.5.7.1</w:t>
      </w:r>
      <w:proofErr w:type="gramStart"/>
      <w:r>
        <w:tab/>
        <w:t>И</w:t>
      </w:r>
      <w:proofErr w:type="gramEnd"/>
      <w:r>
        <w:t>зменить сноску 1 следующим образом:</w:t>
      </w:r>
    </w:p>
    <w:p w:rsidR="003869BF" w:rsidRDefault="005472B6" w:rsidP="00C75D2C">
      <w:pPr>
        <w:pStyle w:val="SingleTxtGR"/>
      </w:pPr>
      <w:r>
        <w:t>«</w:t>
      </w:r>
      <w:r w:rsidR="003869BF" w:rsidRPr="005472B6">
        <w:rPr>
          <w:b/>
          <w:vertAlign w:val="superscript"/>
        </w:rPr>
        <w:t>1</w:t>
      </w:r>
      <w:r w:rsidR="003869BF">
        <w:tab/>
      </w:r>
      <w:r w:rsidR="003869BF" w:rsidRPr="005472B6">
        <w:rPr>
          <w:i/>
        </w:rPr>
        <w:t>Указания в отношении укладки опасных</w:t>
      </w:r>
      <w:r>
        <w:rPr>
          <w:i/>
        </w:rPr>
        <w:t xml:space="preserve"> грузов содержатся в главах 9 и </w:t>
      </w:r>
      <w:r w:rsidR="003869BF" w:rsidRPr="005472B6">
        <w:rPr>
          <w:i/>
        </w:rPr>
        <w:t>10 Кодекса практики ИМО/МОТ/ЕЭК ООН по укладке грузов в грузовые транспортные единицы (Кодекс ГТЕ) и в документе Европейское руководство по наилучшей практике закрепления грузов в ходе автомобильных перевозок, опубликованном Европейской комиссией. Другие руководящие положения могут быть также получены от компетентных органов и отраслевых ведомств</w:t>
      </w:r>
      <w:proofErr w:type="gramStart"/>
      <w:r w:rsidR="003869BF" w:rsidRPr="005472B6">
        <w:rPr>
          <w:i/>
        </w:rPr>
        <w:t>.</w:t>
      </w:r>
      <w:r w:rsidR="003869BF">
        <w:t>».</w:t>
      </w:r>
      <w:proofErr w:type="gramEnd"/>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w:t>
      </w:r>
      <w:proofErr w:type="gramStart"/>
      <w:r w:rsidRPr="005472B6">
        <w:rPr>
          <w:i/>
        </w:rPr>
        <w:t>ECE/TRANS/WP.15/2017/12)</w:t>
      </w:r>
      <w:proofErr w:type="gramEnd"/>
    </w:p>
    <w:p w:rsidR="003869BF" w:rsidRDefault="003869BF" w:rsidP="00C75D2C">
      <w:pPr>
        <w:pStyle w:val="SingleTxtGR"/>
      </w:pPr>
      <w:r>
        <w:t>7.5.7.4</w:t>
      </w:r>
      <w:proofErr w:type="gramStart"/>
      <w:r>
        <w:tab/>
        <w:t>И</w:t>
      </w:r>
      <w:proofErr w:type="gramEnd"/>
      <w:r>
        <w:t>зменить следующим образом:</w:t>
      </w:r>
    </w:p>
    <w:p w:rsidR="003869BF" w:rsidRDefault="005472B6" w:rsidP="00C75D2C">
      <w:pPr>
        <w:pStyle w:val="SingleTxtGR"/>
      </w:pPr>
      <w:r>
        <w:t>«</w:t>
      </w:r>
      <w:r w:rsidR="003869BF">
        <w:t>7.5.7.4</w:t>
      </w:r>
      <w:r w:rsidR="003869BF">
        <w:tab/>
        <w:t>"Положения пункта 7.5.7.1 применяются также к погрузке конте</w:t>
      </w:r>
      <w:r w:rsidR="003869BF">
        <w:t>й</w:t>
      </w:r>
      <w:r w:rsidR="003869BF">
        <w:t>неров, контейнеров-цистерн, переносных цистерн и МЭГК на транспортные средства, их укладке и снятию с транспортных средств. В том случае, если для контейнеров-цистерн, переносных цистерн и МЭГК не используются угловые фитинги способом, как он определен в стандарте ISO 1496-1 Грузовые конте</w:t>
      </w:r>
      <w:r w:rsidR="003869BF">
        <w:t>й</w:t>
      </w:r>
      <w:r w:rsidR="003869BF">
        <w:t>неры серии 1 – Спецификации и испытания – Часть 1: Универсальные грузовые контейнеры, необходимо убедиться в том, что системы, используемые для ко</w:t>
      </w:r>
      <w:r w:rsidR="003869BF">
        <w:t>н</w:t>
      </w:r>
      <w:r w:rsidR="003869BF">
        <w:t>тейнеров-цистерн, переносных цистерн или МЭГК, совместимы с системой транспортного средства и соответствуют требованиям раздела 9.7.3.</w:t>
      </w:r>
      <w:r>
        <w:t>»</w:t>
      </w:r>
      <w:r w:rsidR="003869BF">
        <w:t>.</w:t>
      </w:r>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w:t>
      </w:r>
      <w:proofErr w:type="gramStart"/>
      <w:r w:rsidRPr="005472B6">
        <w:rPr>
          <w:i/>
        </w:rPr>
        <w:t>ECE/TRANS/WP.15/2017/7, предложение 3 с поправк</w:t>
      </w:r>
      <w:r w:rsidRPr="005472B6">
        <w:rPr>
          <w:i/>
        </w:rPr>
        <w:t>а</w:t>
      </w:r>
      <w:r w:rsidRPr="005472B6">
        <w:rPr>
          <w:i/>
        </w:rPr>
        <w:t>ми)</w:t>
      </w:r>
      <w:proofErr w:type="gramEnd"/>
    </w:p>
    <w:p w:rsidR="003869BF" w:rsidRDefault="003869BF" w:rsidP="005472B6">
      <w:pPr>
        <w:pStyle w:val="H1GR"/>
      </w:pPr>
      <w:r>
        <w:tab/>
      </w:r>
      <w:r>
        <w:tab/>
        <w:t>Глава 8.1</w:t>
      </w:r>
    </w:p>
    <w:p w:rsidR="003869BF" w:rsidRDefault="003869BF" w:rsidP="00C75D2C">
      <w:pPr>
        <w:pStyle w:val="SingleTxtGR"/>
      </w:pPr>
      <w:r>
        <w:t>8.1.2.1 а)</w:t>
      </w:r>
      <w:r>
        <w:tab/>
        <w:t>Заменить «свидетельство о загрузке большого контейнера или транспортного средства» на «свидетельство о загрузке контейнера/</w:t>
      </w:r>
      <w:r w:rsidR="005472B6">
        <w:br/>
      </w:r>
      <w:r>
        <w:t>транспортного средства».</w:t>
      </w:r>
    </w:p>
    <w:p w:rsidR="003869BF" w:rsidRPr="005472B6" w:rsidRDefault="003869BF" w:rsidP="00C75D2C">
      <w:pPr>
        <w:pStyle w:val="SingleTxtGR"/>
        <w:rPr>
          <w:i/>
        </w:rPr>
      </w:pPr>
      <w:r w:rsidRPr="005472B6">
        <w:rPr>
          <w:i/>
        </w:rPr>
        <w:t>(Справочный документ: неофициальный документ INF.3)</w:t>
      </w:r>
    </w:p>
    <w:p w:rsidR="003869BF" w:rsidRDefault="003869BF" w:rsidP="005472B6">
      <w:pPr>
        <w:pStyle w:val="H1GR"/>
      </w:pPr>
      <w:r>
        <w:tab/>
      </w:r>
      <w:r>
        <w:tab/>
      </w:r>
      <w:r w:rsidR="005472B6">
        <w:t xml:space="preserve">Глава </w:t>
      </w:r>
      <w:r>
        <w:t>9.2</w:t>
      </w:r>
    </w:p>
    <w:p w:rsidR="003869BF" w:rsidRDefault="003869BF" w:rsidP="00C75D2C">
      <w:pPr>
        <w:pStyle w:val="SingleTxtGR"/>
      </w:pPr>
      <w:r>
        <w:t>9.2.2.9.1 a)</w:t>
      </w:r>
      <w:r>
        <w:tab/>
        <w:t>Заменить «части 1, 2, 5, 6, 7, 11, 15 или 18» на «части 1, 2, 5, 6, 7, 11, 15, 18, 26 или 28».</w:t>
      </w:r>
    </w:p>
    <w:p w:rsidR="003869BF" w:rsidRPr="005472B6" w:rsidRDefault="003869BF" w:rsidP="00C75D2C">
      <w:pPr>
        <w:pStyle w:val="SingleTxtGR"/>
        <w:rPr>
          <w:i/>
        </w:rPr>
      </w:pPr>
      <w:proofErr w:type="gramStart"/>
      <w:r w:rsidRPr="005472B6">
        <w:rPr>
          <w:i/>
        </w:rPr>
        <w:t>(Справочный документ:</w:t>
      </w:r>
      <w:proofErr w:type="gramEnd"/>
      <w:r w:rsidRPr="005472B6">
        <w:rPr>
          <w:i/>
        </w:rPr>
        <w:t xml:space="preserve"> ECE/TRANS/WP.15/2017/6)</w:t>
      </w:r>
    </w:p>
    <w:p w:rsidR="003869BF" w:rsidRDefault="003869BF" w:rsidP="005472B6">
      <w:pPr>
        <w:pStyle w:val="H1GR"/>
      </w:pPr>
      <w:r>
        <w:tab/>
      </w:r>
      <w:r>
        <w:tab/>
        <w:t>Глава 9.7</w:t>
      </w:r>
    </w:p>
    <w:p w:rsidR="003869BF" w:rsidRDefault="003869BF" w:rsidP="00C75D2C">
      <w:pPr>
        <w:pStyle w:val="SingleTxtGR"/>
      </w:pPr>
      <w:r>
        <w:t>9.7.3</w:t>
      </w:r>
      <w:proofErr w:type="gramStart"/>
      <w:r>
        <w:tab/>
        <w:t>И</w:t>
      </w:r>
      <w:proofErr w:type="gramEnd"/>
      <w:r>
        <w:t>зменить следующим образом:</w:t>
      </w:r>
    </w:p>
    <w:p w:rsidR="003869BF" w:rsidRDefault="005472B6" w:rsidP="005472B6">
      <w:pPr>
        <w:pStyle w:val="SingleTxtGR"/>
        <w:ind w:left="2268" w:hanging="1134"/>
      </w:pPr>
      <w:r>
        <w:t>«</w:t>
      </w:r>
      <w:r w:rsidR="003869BF" w:rsidRPr="0062576D">
        <w:rPr>
          <w:b/>
        </w:rPr>
        <w:t>9.7.3</w:t>
      </w:r>
      <w:r w:rsidR="003869BF" w:rsidRPr="0062576D">
        <w:rPr>
          <w:b/>
        </w:rPr>
        <w:tab/>
      </w:r>
      <w:r w:rsidRPr="0062576D">
        <w:rPr>
          <w:b/>
        </w:rPr>
        <w:tab/>
      </w:r>
      <w:r w:rsidR="003869BF" w:rsidRPr="0062576D">
        <w:rPr>
          <w:b/>
        </w:rPr>
        <w:t>Крепления</w:t>
      </w:r>
    </w:p>
    <w:p w:rsidR="003869BF" w:rsidRDefault="003869BF" w:rsidP="005472B6">
      <w:pPr>
        <w:pStyle w:val="SingleTxtGR"/>
        <w:ind w:left="2268" w:hanging="1134"/>
      </w:pPr>
      <w:r>
        <w:t>9.7.3.1</w:t>
      </w:r>
      <w:r>
        <w:tab/>
        <w:t>Крепления должны быть рассчитаны таким образом, чтобы выде</w:t>
      </w:r>
      <w:r>
        <w:t>р</w:t>
      </w:r>
      <w:r>
        <w:t>живать статические и динамические нагрузки в нормальных усл</w:t>
      </w:r>
      <w:r>
        <w:t>о</w:t>
      </w:r>
      <w:r>
        <w:t>виях перевозки. К креплениям относятся также несущие рамы, и</w:t>
      </w:r>
      <w:r>
        <w:t>с</w:t>
      </w:r>
      <w:r>
        <w:t>пользуемые для крепления конструкционного обо</w:t>
      </w:r>
      <w:r w:rsidR="0062576D">
        <w:t>рудования (см. </w:t>
      </w:r>
      <w:r>
        <w:t>раздел 1.2.1) на транспортном средстве.</w:t>
      </w:r>
    </w:p>
    <w:p w:rsidR="003869BF" w:rsidRDefault="003869BF" w:rsidP="005472B6">
      <w:pPr>
        <w:pStyle w:val="SingleTxtGR"/>
        <w:ind w:left="2268" w:hanging="1134"/>
      </w:pPr>
      <w:r>
        <w:t>9.7.3.2</w:t>
      </w:r>
      <w:r>
        <w:tab/>
        <w:t>Крепления в случае автоцистерн, транспортных средств-батарей и транспортных средств, перевозящих контейнеры-цистерны, съе</w:t>
      </w:r>
      <w:r>
        <w:t>м</w:t>
      </w:r>
      <w:r>
        <w:t>ные цистерны, переносные цистерны, МЭГК или МЭГК "UN", должны при максимально разрешенной загрузке быть способны выдерживать следующие раздельно воздействующие статические нагрузки:</w:t>
      </w:r>
    </w:p>
    <w:p w:rsidR="003869BF" w:rsidRDefault="003869BF" w:rsidP="0062576D">
      <w:pPr>
        <w:pStyle w:val="SingleTxtGR"/>
        <w:ind w:left="2268" w:hanging="1134"/>
      </w:pPr>
      <w:r>
        <w:tab/>
      </w:r>
      <w:r w:rsidR="0062576D">
        <w:tab/>
      </w:r>
      <w:r>
        <w:t>-</w:t>
      </w:r>
      <w:r>
        <w:tab/>
        <w:t>в направлении движения: удвоенную совокупную массу, п</w:t>
      </w:r>
      <w:r>
        <w:t>о</w:t>
      </w:r>
      <w:r>
        <w:t>множенную на ускорение свободного падения (g)</w:t>
      </w:r>
      <w:r w:rsidRPr="0062576D">
        <w:rPr>
          <w:vertAlign w:val="superscript"/>
        </w:rPr>
        <w:t>1</w:t>
      </w:r>
      <w:r>
        <w:t>;</w:t>
      </w:r>
    </w:p>
    <w:p w:rsidR="003869BF" w:rsidRDefault="003869BF" w:rsidP="0062576D">
      <w:pPr>
        <w:pStyle w:val="SingleTxtGR"/>
        <w:ind w:left="2268" w:hanging="1134"/>
      </w:pPr>
      <w:r>
        <w:tab/>
      </w:r>
      <w:r w:rsidR="0062576D">
        <w:tab/>
      </w:r>
      <w:r>
        <w:t>-</w:t>
      </w:r>
      <w:r>
        <w:tab/>
        <w:t>горизонтально под прямыми углами к направлению движ</w:t>
      </w:r>
      <w:r>
        <w:t>е</w:t>
      </w:r>
      <w:r>
        <w:t>ния: совокупную массу, помноженную на ускорение свободного п</w:t>
      </w:r>
      <w:r>
        <w:t>а</w:t>
      </w:r>
      <w:r>
        <w:t>дения (g)</w:t>
      </w:r>
      <w:r w:rsidRPr="00DA5394">
        <w:rPr>
          <w:sz w:val="18"/>
          <w:vertAlign w:val="superscript"/>
        </w:rPr>
        <w:t>1</w:t>
      </w:r>
      <w:r>
        <w:t>;</w:t>
      </w:r>
    </w:p>
    <w:p w:rsidR="003869BF" w:rsidRDefault="003869BF" w:rsidP="0062576D">
      <w:pPr>
        <w:pStyle w:val="SingleTxtGR"/>
        <w:ind w:left="2268" w:hanging="1134"/>
      </w:pPr>
      <w:r>
        <w:tab/>
      </w:r>
      <w:r w:rsidR="0062576D">
        <w:tab/>
      </w:r>
      <w:r>
        <w:t>-</w:t>
      </w:r>
      <w:r>
        <w:tab/>
        <w:t>вертикально снизу вверх: совокупную массу, помноженную на ускорение свободного падения (g)</w:t>
      </w:r>
      <w:r w:rsidRPr="0062576D">
        <w:rPr>
          <w:vertAlign w:val="superscript"/>
        </w:rPr>
        <w:t>1</w:t>
      </w:r>
      <w:r>
        <w:t>;</w:t>
      </w:r>
    </w:p>
    <w:p w:rsidR="003869BF" w:rsidRDefault="003869BF" w:rsidP="0062576D">
      <w:pPr>
        <w:pStyle w:val="SingleTxtGR"/>
        <w:ind w:left="2268" w:hanging="1134"/>
      </w:pPr>
      <w:r>
        <w:tab/>
      </w:r>
      <w:r w:rsidR="0062576D">
        <w:tab/>
      </w:r>
      <w:r>
        <w:t>-</w:t>
      </w:r>
      <w:r>
        <w:tab/>
        <w:t>вертикально сверху вниз: удвоенную совокупную массу, п</w:t>
      </w:r>
      <w:r>
        <w:t>о</w:t>
      </w:r>
      <w:r>
        <w:t>множенную на ускорение свободного падения (g)</w:t>
      </w:r>
      <w:r w:rsidRPr="0062576D">
        <w:rPr>
          <w:vertAlign w:val="superscript"/>
        </w:rPr>
        <w:t>1</w:t>
      </w:r>
      <w:r>
        <w:t>.</w:t>
      </w:r>
    </w:p>
    <w:p w:rsidR="003869BF" w:rsidRDefault="003869BF" w:rsidP="0062576D">
      <w:pPr>
        <w:pStyle w:val="SingleTxtGR"/>
        <w:tabs>
          <w:tab w:val="clear" w:pos="2835"/>
          <w:tab w:val="left" w:pos="3119"/>
        </w:tabs>
      </w:pPr>
      <w:r w:rsidRPr="0062576D">
        <w:rPr>
          <w:b/>
          <w:i/>
        </w:rPr>
        <w:t>ПРИМЕЧАНИЕ:</w:t>
      </w:r>
      <w:r w:rsidRPr="0062576D">
        <w:rPr>
          <w:i/>
        </w:rPr>
        <w:tab/>
        <w:t>Требования настоящего пункта не применяются к кр</w:t>
      </w:r>
      <w:r w:rsidRPr="0062576D">
        <w:rPr>
          <w:i/>
        </w:rPr>
        <w:t>е</w:t>
      </w:r>
      <w:r w:rsidRPr="0062576D">
        <w:rPr>
          <w:i/>
        </w:rPr>
        <w:t>пежным приспособлениям на основе поворотного фиксатора, соответству</w:t>
      </w:r>
      <w:r w:rsidRPr="0062576D">
        <w:rPr>
          <w:i/>
        </w:rPr>
        <w:t>ю</w:t>
      </w:r>
      <w:r w:rsidRPr="0062576D">
        <w:rPr>
          <w:i/>
        </w:rPr>
        <w:t>щим требованиям стандарта ISO 1161:2016 Технические требования к угл</w:t>
      </w:r>
      <w:r w:rsidRPr="0062576D">
        <w:rPr>
          <w:i/>
        </w:rPr>
        <w:t>о</w:t>
      </w:r>
      <w:r w:rsidRPr="0062576D">
        <w:rPr>
          <w:i/>
        </w:rPr>
        <w:t>вым и промежуточным фитингам грузовых контейнеров серии 1. Однако эти требования применяются к любым рамам или другим устройствам, использу</w:t>
      </w:r>
      <w:r w:rsidRPr="0062576D">
        <w:rPr>
          <w:i/>
        </w:rPr>
        <w:t>е</w:t>
      </w:r>
      <w:r w:rsidRPr="0062576D">
        <w:rPr>
          <w:i/>
        </w:rPr>
        <w:t>мым для установки такого крепления на транспортном средстве</w:t>
      </w:r>
      <w:proofErr w:type="gramStart"/>
      <w:r w:rsidRPr="0062576D">
        <w:rPr>
          <w:i/>
        </w:rPr>
        <w:t>.</w:t>
      </w:r>
      <w:r w:rsidR="0062576D">
        <w:t>»</w:t>
      </w:r>
      <w:r>
        <w:t>.</w:t>
      </w:r>
      <w:proofErr w:type="gramEnd"/>
    </w:p>
    <w:p w:rsidR="003869BF" w:rsidRDefault="0062576D" w:rsidP="00C75D2C">
      <w:pPr>
        <w:pStyle w:val="SingleTxtGR"/>
      </w:pPr>
      <w:r>
        <w:tab/>
      </w:r>
      <w:r w:rsidR="003869BF">
        <w:t xml:space="preserve">В сноске 1 говорится следующее: </w:t>
      </w:r>
      <w:r>
        <w:t>«</w:t>
      </w:r>
      <w:r w:rsidR="003869BF" w:rsidRPr="0062576D">
        <w:rPr>
          <w:i/>
        </w:rPr>
        <w:t>Для целей расчета g = 9,81 м/с</w:t>
      </w:r>
      <w:proofErr w:type="gramStart"/>
      <w:r w:rsidR="003869BF" w:rsidRPr="0062576D">
        <w:rPr>
          <w:i/>
          <w:vertAlign w:val="superscript"/>
        </w:rPr>
        <w:t>2</w:t>
      </w:r>
      <w:proofErr w:type="gramEnd"/>
      <w:r w:rsidR="003869BF" w:rsidRPr="0062576D">
        <w:rPr>
          <w:i/>
        </w:rPr>
        <w:t>.</w:t>
      </w:r>
      <w:r>
        <w:t>»</w:t>
      </w:r>
      <w:r w:rsidR="003869BF">
        <w:t>. П</w:t>
      </w:r>
      <w:r w:rsidR="003869BF">
        <w:t>е</w:t>
      </w:r>
      <w:r w:rsidR="003869BF">
        <w:t>ренумеровать существующую сноску 1 в главе 9.7 в сноску 2.</w:t>
      </w:r>
    </w:p>
    <w:p w:rsidR="003869BF" w:rsidRPr="0062576D" w:rsidRDefault="003869BF" w:rsidP="00C75D2C">
      <w:pPr>
        <w:pStyle w:val="SingleTxtGR"/>
        <w:rPr>
          <w:i/>
        </w:rPr>
      </w:pPr>
      <w:proofErr w:type="gramStart"/>
      <w:r w:rsidRPr="0062576D">
        <w:rPr>
          <w:i/>
        </w:rPr>
        <w:t>(Справочный документ:</w:t>
      </w:r>
      <w:proofErr w:type="gramEnd"/>
      <w:r w:rsidRPr="0062576D">
        <w:rPr>
          <w:i/>
        </w:rPr>
        <w:t xml:space="preserve"> </w:t>
      </w:r>
      <w:proofErr w:type="gramStart"/>
      <w:r w:rsidRPr="0062576D">
        <w:rPr>
          <w:i/>
        </w:rPr>
        <w:t>ECE/TRANS/WP.15/2017/7, предложение 2а с попра</w:t>
      </w:r>
      <w:r w:rsidRPr="0062576D">
        <w:rPr>
          <w:i/>
        </w:rPr>
        <w:t>в</w:t>
      </w:r>
      <w:r w:rsidRPr="0062576D">
        <w:rPr>
          <w:i/>
        </w:rPr>
        <w:t>ками)</w:t>
      </w:r>
      <w:proofErr w:type="gramEnd"/>
    </w:p>
    <w:p w:rsidR="003869BF" w:rsidRDefault="003869BF" w:rsidP="00C75D2C">
      <w:pPr>
        <w:pStyle w:val="SingleTxtGR"/>
      </w:pPr>
      <w:r>
        <w:t>9.7.3</w:t>
      </w:r>
      <w:proofErr w:type="gramStart"/>
      <w:r>
        <w:tab/>
        <w:t>Д</w:t>
      </w:r>
      <w:proofErr w:type="gramEnd"/>
      <w:r>
        <w:t>обавить новый пункт следующего содержания:</w:t>
      </w:r>
    </w:p>
    <w:p w:rsidR="003869BF" w:rsidRDefault="0062576D" w:rsidP="0062576D">
      <w:pPr>
        <w:pStyle w:val="SingleTxtGR"/>
        <w:ind w:left="2268" w:hanging="1134"/>
      </w:pPr>
      <w:r>
        <w:t>«</w:t>
      </w:r>
      <w:r w:rsidR="003869BF">
        <w:t>9.7.3.3</w:t>
      </w:r>
      <w:proofErr w:type="gramStart"/>
      <w:r w:rsidR="003869BF">
        <w:tab/>
        <w:t>В</w:t>
      </w:r>
      <w:proofErr w:type="gramEnd"/>
      <w:r w:rsidR="003869BF">
        <w:t xml:space="preserve"> случае автоцистерн, транспортных средств-батарей и транспор</w:t>
      </w:r>
      <w:r w:rsidR="003869BF">
        <w:t>т</w:t>
      </w:r>
      <w:r w:rsidR="003869BF">
        <w:t>ных средств, перевозящих съемные цистерны, крепления должны выдерживать минимальные нагрузки, как они определены в пун</w:t>
      </w:r>
      <w:r w:rsidR="003869BF">
        <w:t>к</w:t>
      </w:r>
      <w:r w:rsidR="003869BF">
        <w:t>тах 6.8.2.1.11–6.8.2</w:t>
      </w:r>
      <w:r>
        <w:t>.1.13, 6.8.2.1.15 и 6.8.2.1.16.»</w:t>
      </w:r>
      <w:r w:rsidR="003869BF">
        <w:t>.</w:t>
      </w:r>
    </w:p>
    <w:p w:rsidR="003869BF" w:rsidRPr="0062576D" w:rsidRDefault="003869BF" w:rsidP="00C75D2C">
      <w:pPr>
        <w:pStyle w:val="SingleTxtGR"/>
        <w:rPr>
          <w:i/>
        </w:rPr>
      </w:pPr>
      <w:proofErr w:type="gramStart"/>
      <w:r w:rsidRPr="0062576D">
        <w:rPr>
          <w:i/>
        </w:rPr>
        <w:t>(Справочный документ:</w:t>
      </w:r>
      <w:proofErr w:type="gramEnd"/>
      <w:r w:rsidRPr="0062576D">
        <w:rPr>
          <w:i/>
        </w:rPr>
        <w:t xml:space="preserve"> </w:t>
      </w:r>
      <w:proofErr w:type="gramStart"/>
      <w:r w:rsidRPr="0062576D">
        <w:rPr>
          <w:i/>
        </w:rPr>
        <w:t>ECE/TRANS/WP.15/2017/7, предложение 2с, с попра</w:t>
      </w:r>
      <w:r w:rsidRPr="0062576D">
        <w:rPr>
          <w:i/>
        </w:rPr>
        <w:t>в</w:t>
      </w:r>
      <w:r w:rsidRPr="0062576D">
        <w:rPr>
          <w:i/>
        </w:rPr>
        <w:t>ками)</w:t>
      </w:r>
      <w:proofErr w:type="gramEnd"/>
    </w:p>
    <w:p w:rsidR="003869BF" w:rsidRDefault="0062576D" w:rsidP="00C75D2C">
      <w:pPr>
        <w:pStyle w:val="SingleTxtGR"/>
      </w:pPr>
      <w:r>
        <w:t>9.7.8.2</w:t>
      </w:r>
      <w:proofErr w:type="gramStart"/>
      <w:r w:rsidR="003869BF">
        <w:tab/>
        <w:t>З</w:t>
      </w:r>
      <w:proofErr w:type="gramEnd"/>
      <w:r w:rsidR="003869BF">
        <w:t>аменить «части 1, 2, 5, 6, 7, 11 или 18» на «части 1, 2, 5, 6, 7, 11, 18, 26 или 28».</w:t>
      </w:r>
    </w:p>
    <w:p w:rsidR="003869BF" w:rsidRPr="0062576D" w:rsidRDefault="003869BF" w:rsidP="00C75D2C">
      <w:pPr>
        <w:pStyle w:val="SingleTxtGR"/>
        <w:rPr>
          <w:i/>
        </w:rPr>
      </w:pPr>
      <w:proofErr w:type="gramStart"/>
      <w:r w:rsidRPr="0062576D">
        <w:rPr>
          <w:i/>
        </w:rPr>
        <w:t>(Справочный документ:</w:t>
      </w:r>
      <w:proofErr w:type="gramEnd"/>
      <w:r w:rsidRPr="0062576D">
        <w:rPr>
          <w:i/>
        </w:rPr>
        <w:t xml:space="preserve"> ECE/TRANS/WP.15/2017/6)</w:t>
      </w:r>
    </w:p>
    <w:p w:rsidR="003869BF" w:rsidRDefault="0062576D" w:rsidP="0062576D">
      <w:pPr>
        <w:pStyle w:val="HChGR"/>
      </w:pPr>
      <w:r>
        <w:br w:type="page"/>
      </w:r>
      <w:r w:rsidR="003869BF">
        <w:t>Приложение II</w:t>
      </w:r>
    </w:p>
    <w:p w:rsidR="003869BF" w:rsidRDefault="003869BF" w:rsidP="0062576D">
      <w:pPr>
        <w:pStyle w:val="HChGR"/>
      </w:pPr>
      <w:r>
        <w:tab/>
      </w:r>
      <w:r>
        <w:tab/>
        <w:t>Исправления к приложениям</w:t>
      </w:r>
      <w:proofErr w:type="gramStart"/>
      <w:r>
        <w:t xml:space="preserve"> А</w:t>
      </w:r>
      <w:proofErr w:type="gramEnd"/>
      <w:r>
        <w:t xml:space="preserve"> и В к ДОПОГ </w:t>
      </w:r>
    </w:p>
    <w:p w:rsidR="003869BF" w:rsidRPr="0062576D" w:rsidRDefault="003869BF" w:rsidP="00C75D2C">
      <w:pPr>
        <w:pStyle w:val="SingleTxtGR"/>
        <w:rPr>
          <w:i/>
        </w:rPr>
      </w:pPr>
      <w:r w:rsidRPr="0062576D">
        <w:rPr>
          <w:b/>
          <w:i/>
        </w:rPr>
        <w:t>Замечание секретариата:</w:t>
      </w:r>
      <w:r w:rsidRPr="0062576D">
        <w:rPr>
          <w:i/>
        </w:rPr>
        <w:t xml:space="preserve"> Поскольку текст приложений</w:t>
      </w:r>
      <w:proofErr w:type="gramStart"/>
      <w:r w:rsidRPr="0062576D">
        <w:rPr>
          <w:i/>
        </w:rPr>
        <w:t xml:space="preserve"> А</w:t>
      </w:r>
      <w:proofErr w:type="gramEnd"/>
      <w:r w:rsidRPr="0062576D">
        <w:rPr>
          <w:i/>
        </w:rPr>
        <w:t xml:space="preserve"> и В к ДОПОГ на французском языке является единственным подлинным вариантом и данные исправления на него не распространяются, эти исправления должны рассма</w:t>
      </w:r>
      <w:r w:rsidRPr="0062576D">
        <w:rPr>
          <w:i/>
        </w:rPr>
        <w:t>т</w:t>
      </w:r>
      <w:r w:rsidRPr="0062576D">
        <w:rPr>
          <w:i/>
        </w:rPr>
        <w:t>риваться как уже применяемые.</w:t>
      </w:r>
    </w:p>
    <w:p w:rsidR="003869BF" w:rsidRPr="00C25F3E" w:rsidRDefault="003869BF" w:rsidP="00C75D2C">
      <w:pPr>
        <w:pStyle w:val="SingleTxtGR"/>
        <w:rPr>
          <w:b/>
        </w:rPr>
      </w:pPr>
      <w:r w:rsidRPr="00C25F3E">
        <w:rPr>
          <w:b/>
        </w:rPr>
        <w:t>Глава 6.1, 6.1.4.1.1, в конце примечания</w:t>
      </w:r>
    </w:p>
    <w:p w:rsidR="003869BF" w:rsidRDefault="00C25F3E" w:rsidP="00C75D2C">
      <w:pPr>
        <w:pStyle w:val="SingleTxtGR"/>
      </w:pPr>
      <w:r>
        <w:tab/>
      </w:r>
      <w:r w:rsidR="003869BF">
        <w:t>Данное исправление не касается текста на русском языке.</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Pr="00C25F3E" w:rsidRDefault="003869BF" w:rsidP="00C75D2C">
      <w:pPr>
        <w:pStyle w:val="SingleTxtGR"/>
        <w:rPr>
          <w:b/>
        </w:rPr>
      </w:pPr>
      <w:r w:rsidRPr="00C25F3E">
        <w:rPr>
          <w:b/>
        </w:rPr>
        <w:t xml:space="preserve">Глава 9.2, 9.2.1.1, таблица, строка 9.2.5, замечание </w:t>
      </w:r>
      <w:r w:rsidR="00C25F3E">
        <w:rPr>
          <w:b/>
        </w:rPr>
        <w:t>«i»</w:t>
      </w:r>
    </w:p>
    <w:p w:rsidR="003869BF" w:rsidRDefault="00C25F3E" w:rsidP="00C75D2C">
      <w:pPr>
        <w:pStyle w:val="SingleTxtGR"/>
      </w:pPr>
      <w:r>
        <w:tab/>
      </w:r>
      <w:r w:rsidR="003869BF">
        <w:t>Данное исправление не касается текста на русском языке.</w:t>
      </w:r>
    </w:p>
    <w:p w:rsidR="003869BF" w:rsidRPr="00C25F3E" w:rsidRDefault="003869BF" w:rsidP="00C75D2C">
      <w:pPr>
        <w:pStyle w:val="SingleTxtGR"/>
        <w:rPr>
          <w:i/>
        </w:rPr>
      </w:pPr>
      <w:r w:rsidRPr="00C25F3E">
        <w:rPr>
          <w:i/>
        </w:rPr>
        <w:t>(Справочный документ: неофициальный документ INF.12)</w:t>
      </w:r>
    </w:p>
    <w:p w:rsidR="003869BF" w:rsidRPr="00C25F3E" w:rsidRDefault="003869BF" w:rsidP="00C75D2C">
      <w:pPr>
        <w:pStyle w:val="SingleTxtGR"/>
        <w:rPr>
          <w:b/>
        </w:rPr>
      </w:pPr>
      <w:r w:rsidRPr="00C25F3E">
        <w:rPr>
          <w:b/>
        </w:rPr>
        <w:t xml:space="preserve">Глава 9.2, 9.2.4.4 </w:t>
      </w:r>
    </w:p>
    <w:p w:rsidR="003869BF" w:rsidRDefault="00C25F3E" w:rsidP="00C75D2C">
      <w:pPr>
        <w:pStyle w:val="SingleTxtGR"/>
      </w:pPr>
      <w:r>
        <w:tab/>
      </w:r>
      <w:r w:rsidR="003869BF">
        <w:t>Данное исправление не касается текста на русском языке.</w:t>
      </w:r>
    </w:p>
    <w:p w:rsidR="003869BF" w:rsidRPr="00C25F3E" w:rsidRDefault="003869BF" w:rsidP="00C75D2C">
      <w:pPr>
        <w:pStyle w:val="SingleTxtGR"/>
        <w:rPr>
          <w:i/>
        </w:rPr>
      </w:pPr>
      <w:r w:rsidRPr="00C25F3E">
        <w:rPr>
          <w:i/>
        </w:rPr>
        <w:t>(Справочный документ: неофициальный документ INF.12)</w:t>
      </w:r>
    </w:p>
    <w:p w:rsidR="003869BF" w:rsidRDefault="00C25F3E" w:rsidP="00C25F3E">
      <w:pPr>
        <w:pStyle w:val="HChGR"/>
      </w:pPr>
      <w:r>
        <w:br w:type="page"/>
      </w:r>
      <w:r w:rsidR="003869BF">
        <w:t>Приложение III</w:t>
      </w:r>
    </w:p>
    <w:p w:rsidR="003869BF" w:rsidRDefault="003869BF" w:rsidP="00C25F3E">
      <w:pPr>
        <w:pStyle w:val="HChGR"/>
      </w:pPr>
      <w:r>
        <w:tab/>
      </w:r>
      <w:r>
        <w:tab/>
        <w:t>Проекты поправок к приложениям</w:t>
      </w:r>
      <w:proofErr w:type="gramStart"/>
      <w:r>
        <w:t xml:space="preserve"> А</w:t>
      </w:r>
      <w:proofErr w:type="gramEnd"/>
      <w:r>
        <w:t xml:space="preserve"> и В к ДОПОГ, принятые Рабочей группой для скорейшего вступления в силу</w:t>
      </w:r>
    </w:p>
    <w:p w:rsidR="003869BF" w:rsidRPr="00C25F3E" w:rsidRDefault="003869BF" w:rsidP="00C75D2C">
      <w:pPr>
        <w:pStyle w:val="SingleTxtGR"/>
        <w:rPr>
          <w:i/>
        </w:rPr>
      </w:pPr>
      <w:r w:rsidRPr="00C25F3E">
        <w:rPr>
          <w:b/>
          <w:i/>
        </w:rPr>
        <w:t>Замечание секретариата:</w:t>
      </w:r>
      <w:r w:rsidRPr="00C25F3E">
        <w:rPr>
          <w:i/>
        </w:rPr>
        <w:t xml:space="preserve"> Приводимые ниже проекты поправок были прин</w:t>
      </w:r>
      <w:r w:rsidRPr="00C25F3E">
        <w:rPr>
          <w:i/>
        </w:rPr>
        <w:t>я</w:t>
      </w:r>
      <w:r w:rsidRPr="00C25F3E">
        <w:rPr>
          <w:i/>
        </w:rPr>
        <w:t xml:space="preserve">ты Рабочей группой в качестве исправлений. </w:t>
      </w:r>
      <w:proofErr w:type="gramStart"/>
      <w:r w:rsidRPr="00C25F3E">
        <w:rPr>
          <w:i/>
        </w:rPr>
        <w:t xml:space="preserve">Вместе с </w:t>
      </w:r>
      <w:r w:rsidR="000C3C52">
        <w:rPr>
          <w:i/>
        </w:rPr>
        <w:t>тем</w:t>
      </w:r>
      <w:r w:rsidRPr="00C25F3E">
        <w:rPr>
          <w:i/>
        </w:rPr>
        <w:t xml:space="preserve"> после принятия д</w:t>
      </w:r>
      <w:r w:rsidRPr="00C25F3E">
        <w:rPr>
          <w:i/>
        </w:rPr>
        <w:t>о</w:t>
      </w:r>
      <w:r w:rsidRPr="00C25F3E">
        <w:rPr>
          <w:i/>
        </w:rPr>
        <w:t>клада были проведены консультации с Договорной секцией Управления по пр</w:t>
      </w:r>
      <w:r w:rsidRPr="00C25F3E">
        <w:rPr>
          <w:i/>
        </w:rPr>
        <w:t>а</w:t>
      </w:r>
      <w:r w:rsidRPr="00C25F3E">
        <w:rPr>
          <w:i/>
        </w:rPr>
        <w:t>вовым вопросам Организации Объединенных Наций, которая выразила мнение, что большинство из предложенных исправлений не отвечают критериям и</w:t>
      </w:r>
      <w:r w:rsidRPr="00C25F3E">
        <w:rPr>
          <w:i/>
        </w:rPr>
        <w:t>с</w:t>
      </w:r>
      <w:r w:rsidRPr="00C25F3E">
        <w:rPr>
          <w:i/>
        </w:rPr>
        <w:t>правления ошибок или отсутствия соответствия в первоначальном тексте многостороннего договора, как они изложены в Кратком справочнике по пра</w:t>
      </w:r>
      <w:r w:rsidRPr="00C25F3E">
        <w:rPr>
          <w:i/>
        </w:rPr>
        <w:t>к</w:t>
      </w:r>
      <w:r w:rsidRPr="00C25F3E">
        <w:rPr>
          <w:i/>
        </w:rPr>
        <w:t>тике Генерального секретаря как депозита</w:t>
      </w:r>
      <w:r w:rsidR="000C3C52">
        <w:rPr>
          <w:i/>
        </w:rPr>
        <w:t>рия многосторонних договоров, и </w:t>
      </w:r>
      <w:r w:rsidRPr="00C25F3E">
        <w:rPr>
          <w:i/>
        </w:rPr>
        <w:t>должны рассматриваться в качестве поправок</w:t>
      </w:r>
      <w:proofErr w:type="gramEnd"/>
      <w:r w:rsidRPr="00C25F3E">
        <w:rPr>
          <w:i/>
        </w:rPr>
        <w:t>. В связи с этим председатель Рабочей группы информировал секретариат о том, что Португалия предст</w:t>
      </w:r>
      <w:r w:rsidRPr="00C25F3E">
        <w:rPr>
          <w:i/>
        </w:rPr>
        <w:t>а</w:t>
      </w:r>
      <w:r w:rsidRPr="00C25F3E">
        <w:rPr>
          <w:i/>
        </w:rPr>
        <w:t>вит предложение по поправкам в соответствии с процедурой, предусмотре</w:t>
      </w:r>
      <w:r w:rsidRPr="00C25F3E">
        <w:rPr>
          <w:i/>
        </w:rPr>
        <w:t>н</w:t>
      </w:r>
      <w:r w:rsidRPr="00C25F3E">
        <w:rPr>
          <w:i/>
        </w:rPr>
        <w:t>ной в статье 14 3) ДОПОГ.</w:t>
      </w:r>
    </w:p>
    <w:p w:rsidR="003869BF" w:rsidRDefault="003869BF" w:rsidP="00C25F3E">
      <w:pPr>
        <w:pStyle w:val="H23GR"/>
      </w:pPr>
      <w:r>
        <w:tab/>
      </w:r>
      <w:r>
        <w:tab/>
        <w:t>Глава 3.2, Перечень опасных грузов, № ООН 2908, колонка 6</w:t>
      </w:r>
    </w:p>
    <w:p w:rsidR="003869BF" w:rsidRDefault="003869BF" w:rsidP="00C75D2C">
      <w:pPr>
        <w:pStyle w:val="SingleTxtGR"/>
      </w:pPr>
      <w:r w:rsidRPr="00C25F3E">
        <w:rPr>
          <w:i/>
        </w:rPr>
        <w:t>Включить</w:t>
      </w:r>
      <w:r>
        <w:t xml:space="preserve"> «368».</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Глава 3.2, Перечень опасных грузов, № ООН 2913, колонка 6</w:t>
      </w:r>
    </w:p>
    <w:p w:rsidR="003869BF" w:rsidRDefault="003869BF" w:rsidP="00C75D2C">
      <w:pPr>
        <w:pStyle w:val="SingleTxtGR"/>
      </w:pPr>
      <w:r w:rsidRPr="00C25F3E">
        <w:rPr>
          <w:i/>
        </w:rPr>
        <w:t>Включить</w:t>
      </w:r>
      <w:r>
        <w:t xml:space="preserve"> «325».</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Глава 3.2, Перечень опасных грузов, № ООН 2913, колонка 6</w:t>
      </w:r>
    </w:p>
    <w:p w:rsidR="003869BF" w:rsidRDefault="003869BF" w:rsidP="00C75D2C">
      <w:pPr>
        <w:pStyle w:val="SingleTxtGR"/>
      </w:pPr>
      <w:r w:rsidRPr="00C25F3E">
        <w:rPr>
          <w:i/>
        </w:rPr>
        <w:t>Исключить</w:t>
      </w:r>
      <w:r>
        <w:t xml:space="preserve"> «336».</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Глава 3.2, Перечень опасных грузов, № ООН 3326, колонка 6</w:t>
      </w:r>
    </w:p>
    <w:p w:rsidR="003869BF" w:rsidRPr="00C25F3E" w:rsidRDefault="003869BF" w:rsidP="00C75D2C">
      <w:pPr>
        <w:pStyle w:val="SingleTxtGR"/>
        <w:rPr>
          <w:i/>
        </w:rPr>
      </w:pPr>
      <w:r w:rsidRPr="00C25F3E">
        <w:rPr>
          <w:i/>
        </w:rPr>
        <w:t xml:space="preserve">Вставка </w:t>
      </w:r>
      <w:r w:rsidRPr="00C25F3E">
        <w:t>326</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Глава 3.2, Перечень опасных грузов, № ООН 3326, колонка 6</w:t>
      </w:r>
    </w:p>
    <w:p w:rsidR="003869BF" w:rsidRDefault="003869BF" w:rsidP="00C75D2C">
      <w:pPr>
        <w:pStyle w:val="SingleTxtGR"/>
      </w:pPr>
      <w:r w:rsidRPr="00C25F3E">
        <w:rPr>
          <w:i/>
        </w:rPr>
        <w:t>Исключить</w:t>
      </w:r>
      <w:r>
        <w:t xml:space="preserve"> «336».</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 xml:space="preserve">Глава 5.2, 5.2.1.9.2, последний абзац, после слов «на белом фоне» </w:t>
      </w:r>
    </w:p>
    <w:p w:rsidR="003869BF" w:rsidRDefault="003869BF" w:rsidP="00C75D2C">
      <w:pPr>
        <w:pStyle w:val="SingleTxtGR"/>
      </w:pPr>
      <w:r w:rsidRPr="00C25F3E">
        <w:rPr>
          <w:i/>
        </w:rPr>
        <w:t>Включить</w:t>
      </w:r>
      <w:r>
        <w:t xml:space="preserve"> «или подходящем контрастном».</w:t>
      </w:r>
    </w:p>
    <w:p w:rsidR="003869BF" w:rsidRPr="00C25F3E" w:rsidRDefault="003869BF" w:rsidP="00C75D2C">
      <w:pPr>
        <w:pStyle w:val="SingleTxtGR"/>
        <w:rPr>
          <w:i/>
        </w:rPr>
      </w:pPr>
      <w:proofErr w:type="gramStart"/>
      <w:r w:rsidRPr="00C25F3E">
        <w:rPr>
          <w:i/>
        </w:rPr>
        <w:t>(Справочный документ:</w:t>
      </w:r>
      <w:proofErr w:type="gramEnd"/>
      <w:r w:rsidRPr="00C25F3E">
        <w:rPr>
          <w:i/>
        </w:rPr>
        <w:t xml:space="preserve"> </w:t>
      </w:r>
      <w:proofErr w:type="gramStart"/>
      <w:r w:rsidRPr="00C25F3E">
        <w:rPr>
          <w:i/>
        </w:rPr>
        <w:t>ECE/TRANS/WP.15/AC.1/146, приложение III)</w:t>
      </w:r>
      <w:proofErr w:type="gramEnd"/>
    </w:p>
    <w:p w:rsidR="003869BF" w:rsidRDefault="003869BF" w:rsidP="00C25F3E">
      <w:pPr>
        <w:pStyle w:val="H23GR"/>
      </w:pPr>
      <w:r>
        <w:tab/>
      </w:r>
      <w:r>
        <w:tab/>
        <w:t>Глава 6.1, 6.1.3.1 d)</w:t>
      </w:r>
    </w:p>
    <w:p w:rsidR="003869BF" w:rsidRDefault="003869BF" w:rsidP="00C75D2C">
      <w:pPr>
        <w:pStyle w:val="SingleTxtGR"/>
      </w:pPr>
      <w:proofErr w:type="gramStart"/>
      <w:r w:rsidRPr="00355931">
        <w:rPr>
          <w:i/>
        </w:rPr>
        <w:t>Вместо</w:t>
      </w:r>
      <w:proofErr w:type="gramEnd"/>
      <w:r>
        <w:t xml:space="preserve"> «до ближайшего десятикратного значения в кПа» </w:t>
      </w:r>
      <w:r w:rsidRPr="00355931">
        <w:rPr>
          <w:i/>
        </w:rPr>
        <w:t>читать</w:t>
      </w:r>
      <w:r>
        <w:t xml:space="preserve"> «в меньшую сторону до десятикратного значения в кПа».</w:t>
      </w:r>
    </w:p>
    <w:p w:rsidR="003869BF" w:rsidRPr="00355931" w:rsidRDefault="003869BF" w:rsidP="00C75D2C">
      <w:pPr>
        <w:pStyle w:val="SingleTxtGR"/>
        <w:rPr>
          <w:i/>
        </w:rPr>
      </w:pPr>
      <w:proofErr w:type="gramStart"/>
      <w:r w:rsidRPr="00355931">
        <w:rPr>
          <w:i/>
        </w:rPr>
        <w:t>(Справочный документ:</w:t>
      </w:r>
      <w:proofErr w:type="gramEnd"/>
      <w:r w:rsidRPr="00355931">
        <w:rPr>
          <w:i/>
        </w:rPr>
        <w:t xml:space="preserve"> </w:t>
      </w:r>
      <w:proofErr w:type="gramStart"/>
      <w:r w:rsidRPr="00355931">
        <w:rPr>
          <w:i/>
        </w:rPr>
        <w:t>ECE/TRANS/WP.15/AC.1/146, приложение III)</w:t>
      </w:r>
      <w:proofErr w:type="gramEnd"/>
    </w:p>
    <w:p w:rsidR="003869BF" w:rsidRDefault="003869BF" w:rsidP="00355931">
      <w:pPr>
        <w:pStyle w:val="H23GR"/>
      </w:pPr>
      <w:r>
        <w:tab/>
      </w:r>
      <w:r>
        <w:tab/>
        <w:t>Глава 6.4, 6.4.2.11</w:t>
      </w:r>
    </w:p>
    <w:p w:rsidR="003869BF" w:rsidRDefault="003869BF" w:rsidP="00C75D2C">
      <w:pPr>
        <w:pStyle w:val="SingleTxtGR"/>
      </w:pPr>
      <w:r w:rsidRPr="00355931">
        <w:rPr>
          <w:i/>
        </w:rPr>
        <w:t>Вместо</w:t>
      </w:r>
      <w:r>
        <w:t xml:space="preserve"> «4.1.9.1.10 и 4.1.9.1.11» </w:t>
      </w:r>
      <w:r w:rsidRPr="00355931">
        <w:rPr>
          <w:i/>
        </w:rPr>
        <w:t>читать</w:t>
      </w:r>
      <w:r>
        <w:t xml:space="preserve"> «4.1.9.1.11 и 4.1.9.1.12».</w:t>
      </w:r>
    </w:p>
    <w:p w:rsidR="003869BF" w:rsidRPr="00355931" w:rsidRDefault="003869BF" w:rsidP="00C75D2C">
      <w:pPr>
        <w:pStyle w:val="SingleTxtGR"/>
        <w:rPr>
          <w:i/>
        </w:rPr>
      </w:pPr>
      <w:proofErr w:type="gramStart"/>
      <w:r w:rsidRPr="00355931">
        <w:rPr>
          <w:i/>
        </w:rPr>
        <w:t>(Справочный документ:</w:t>
      </w:r>
      <w:proofErr w:type="gramEnd"/>
      <w:r w:rsidRPr="00355931">
        <w:rPr>
          <w:i/>
        </w:rPr>
        <w:t xml:space="preserve"> </w:t>
      </w:r>
      <w:proofErr w:type="gramStart"/>
      <w:r w:rsidRPr="00355931">
        <w:rPr>
          <w:i/>
        </w:rPr>
        <w:t>ECE/TRANS/WP.15/AC.1/146, приложение III)</w:t>
      </w:r>
      <w:proofErr w:type="gramEnd"/>
    </w:p>
    <w:p w:rsidR="003869BF" w:rsidRDefault="00355931" w:rsidP="00355931">
      <w:pPr>
        <w:pStyle w:val="H23GR"/>
      </w:pPr>
      <w:r>
        <w:tab/>
      </w:r>
      <w:r>
        <w:tab/>
        <w:t>Глава 6.8, 6.8.2.4.3</w:t>
      </w:r>
    </w:p>
    <w:p w:rsidR="003869BF" w:rsidRDefault="00355931" w:rsidP="00C75D2C">
      <w:pPr>
        <w:pStyle w:val="SingleTxtGR"/>
      </w:pPr>
      <w:r>
        <w:tab/>
      </w:r>
      <w:r w:rsidR="003869BF">
        <w:t>Данная поправка не касается текста на русском языке.</w:t>
      </w:r>
    </w:p>
    <w:p w:rsidR="003869BF" w:rsidRPr="00355931" w:rsidRDefault="003869BF" w:rsidP="00C75D2C">
      <w:pPr>
        <w:pStyle w:val="SingleTxtGR"/>
        <w:rPr>
          <w:i/>
        </w:rPr>
      </w:pPr>
      <w:r w:rsidRPr="00355931">
        <w:rPr>
          <w:i/>
        </w:rPr>
        <w:t>(Справочный документ: неофициальный документ INF.13 с поправками)</w:t>
      </w:r>
      <w:r w:rsidRPr="00355931">
        <w:rPr>
          <w:i/>
        </w:rPr>
        <w:tab/>
      </w:r>
    </w:p>
    <w:p w:rsidR="003869BF" w:rsidRDefault="003869BF" w:rsidP="00355931">
      <w:pPr>
        <w:pStyle w:val="H23GR"/>
      </w:pPr>
      <w:r>
        <w:tab/>
      </w:r>
      <w:r>
        <w:tab/>
        <w:t>Глава 9.2, 9.2.1.1, таблица, 9.2.2.6, вторая колонка</w:t>
      </w:r>
    </w:p>
    <w:p w:rsidR="003869BF" w:rsidRDefault="003869BF" w:rsidP="00C75D2C">
      <w:pPr>
        <w:pStyle w:val="SingleTxtGR"/>
      </w:pPr>
      <w:proofErr w:type="gramStart"/>
      <w:r w:rsidRPr="00355931">
        <w:rPr>
          <w:i/>
        </w:rPr>
        <w:t>Вместо</w:t>
      </w:r>
      <w:proofErr w:type="gramEnd"/>
      <w:r>
        <w:t xml:space="preserve"> «</w:t>
      </w:r>
      <w:proofErr w:type="gramStart"/>
      <w:r>
        <w:t>Электрические</w:t>
      </w:r>
      <w:proofErr w:type="gramEnd"/>
      <w:r>
        <w:t xml:space="preserve"> соединения» </w:t>
      </w:r>
      <w:r w:rsidRPr="00355931">
        <w:rPr>
          <w:i/>
        </w:rPr>
        <w:t>читать</w:t>
      </w:r>
      <w:r>
        <w:t xml:space="preserve"> «Электрические соединения между автотранспортными средствами и прицепами».</w:t>
      </w:r>
    </w:p>
    <w:p w:rsidR="003869BF" w:rsidRPr="00355931" w:rsidRDefault="003869BF" w:rsidP="00C75D2C">
      <w:pPr>
        <w:pStyle w:val="SingleTxtGR"/>
        <w:rPr>
          <w:i/>
        </w:rPr>
      </w:pPr>
      <w:r w:rsidRPr="00355931">
        <w:rPr>
          <w:i/>
        </w:rPr>
        <w:t>(Справочный документ: неофициальный документ INF.12, предложение 1)</w:t>
      </w:r>
    </w:p>
    <w:p w:rsidR="003869BF" w:rsidRDefault="003869BF" w:rsidP="00355931">
      <w:pPr>
        <w:pStyle w:val="H23GR"/>
      </w:pPr>
      <w:r>
        <w:tab/>
      </w:r>
      <w:r>
        <w:tab/>
        <w:t>Глава 9.2, 9.2.1.1, таблица, строка 9.2.2.6, замечание «с»</w:t>
      </w:r>
    </w:p>
    <w:p w:rsidR="003869BF" w:rsidRDefault="003869BF" w:rsidP="00C75D2C">
      <w:pPr>
        <w:pStyle w:val="SingleTxtGR"/>
      </w:pPr>
      <w:r w:rsidRPr="00355931">
        <w:rPr>
          <w:i/>
        </w:rPr>
        <w:t>Заменить</w:t>
      </w:r>
      <w:r>
        <w:t xml:space="preserve"> следующим текстом: </w:t>
      </w:r>
    </w:p>
    <w:p w:rsidR="003869BF" w:rsidRDefault="00355931" w:rsidP="00C75D2C">
      <w:pPr>
        <w:pStyle w:val="SingleTxtGR"/>
      </w:pPr>
      <w:r w:rsidRPr="00355931">
        <w:t>«</w:t>
      </w:r>
      <w:proofErr w:type="gramStart"/>
      <w:r w:rsidR="003869BF" w:rsidRPr="00355931">
        <w:rPr>
          <w:b/>
          <w:vertAlign w:val="superscript"/>
        </w:rPr>
        <w:t>с</w:t>
      </w:r>
      <w:proofErr w:type="gramEnd"/>
      <w:r>
        <w:tab/>
      </w:r>
      <w:r w:rsidR="003869BF">
        <w:t xml:space="preserve">Применимо </w:t>
      </w:r>
      <w:proofErr w:type="gramStart"/>
      <w:r w:rsidR="003869BF">
        <w:t>к</w:t>
      </w:r>
      <w:proofErr w:type="gramEnd"/>
      <w:r w:rsidR="003869BF">
        <w:t xml:space="preserve"> автомобилям, предназначенным для буксировки прицепов максимальной массой более 3,5 т, и прицепам максимальной массой более 3,5 т, впервые зарегистрированным (или, если регистрация не является обязательной, впервые введенным в эксплуатацию) после 31 марта 2018 года.</w:t>
      </w:r>
      <w:r>
        <w:t>»</w:t>
      </w:r>
      <w:r w:rsidR="003869BF">
        <w:t>.</w:t>
      </w:r>
    </w:p>
    <w:p w:rsidR="003869BF" w:rsidRPr="00355931" w:rsidRDefault="003869BF" w:rsidP="00C75D2C">
      <w:pPr>
        <w:pStyle w:val="SingleTxtGR"/>
        <w:rPr>
          <w:i/>
        </w:rPr>
      </w:pPr>
      <w:r w:rsidRPr="00355931">
        <w:rPr>
          <w:i/>
        </w:rPr>
        <w:t>(Справочный документ: неофициальный документ INF.13)</w:t>
      </w:r>
    </w:p>
    <w:p w:rsidR="003869BF" w:rsidRDefault="003869BF" w:rsidP="00355931">
      <w:pPr>
        <w:pStyle w:val="H23GR"/>
      </w:pPr>
      <w:r>
        <w:tab/>
      </w:r>
      <w:r>
        <w:tab/>
        <w:t xml:space="preserve">Глава 9.2, 9.2.1.1, таблица, 9.2.5, вторая колонка </w:t>
      </w:r>
    </w:p>
    <w:p w:rsidR="003869BF" w:rsidRDefault="00355931" w:rsidP="00C75D2C">
      <w:pPr>
        <w:pStyle w:val="SingleTxtGR"/>
      </w:pPr>
      <w:r>
        <w:tab/>
      </w:r>
      <w:r w:rsidR="003869BF">
        <w:t>Данная поправка не касается текста на русском языке.</w:t>
      </w:r>
    </w:p>
    <w:p w:rsidR="003869BF" w:rsidRPr="00355931" w:rsidRDefault="003869BF" w:rsidP="00C75D2C">
      <w:pPr>
        <w:pStyle w:val="SingleTxtGR"/>
        <w:rPr>
          <w:i/>
        </w:rPr>
      </w:pPr>
      <w:r w:rsidRPr="00355931">
        <w:rPr>
          <w:i/>
        </w:rPr>
        <w:t>(Справочный документ: неофициальный документ INF.12, предложение 2 с п</w:t>
      </w:r>
      <w:r w:rsidRPr="00355931">
        <w:rPr>
          <w:i/>
        </w:rPr>
        <w:t>о</w:t>
      </w:r>
      <w:r w:rsidRPr="00355931">
        <w:rPr>
          <w:i/>
        </w:rPr>
        <w:t>правками)</w:t>
      </w:r>
    </w:p>
    <w:p w:rsidR="003869BF" w:rsidRDefault="003869BF" w:rsidP="00355931">
      <w:pPr>
        <w:pStyle w:val="H23GR"/>
      </w:pPr>
      <w:r>
        <w:tab/>
      </w:r>
      <w:r>
        <w:tab/>
        <w:t>Глава 9.2, 9.2.2.6.2, первый подпункт</w:t>
      </w:r>
    </w:p>
    <w:p w:rsidR="003869BF" w:rsidRDefault="003869BF" w:rsidP="00C75D2C">
      <w:pPr>
        <w:pStyle w:val="SingleTxtGR"/>
      </w:pPr>
      <w:r w:rsidRPr="00355931">
        <w:rPr>
          <w:i/>
        </w:rPr>
        <w:t>Вместо</w:t>
      </w:r>
      <w:r>
        <w:t xml:space="preserve"> «EN 15207:2014</w:t>
      </w:r>
      <w:r w:rsidRPr="000C3C52">
        <w:rPr>
          <w:vertAlign w:val="superscript"/>
        </w:rPr>
        <w:t>1</w:t>
      </w:r>
      <w:r>
        <w:t xml:space="preserve">» </w:t>
      </w:r>
      <w:r w:rsidRPr="00355931">
        <w:rPr>
          <w:i/>
        </w:rPr>
        <w:t>читать</w:t>
      </w:r>
      <w:r>
        <w:t xml:space="preserve"> «EN 15207:2014».</w:t>
      </w:r>
    </w:p>
    <w:p w:rsidR="003869BF" w:rsidRPr="00355931" w:rsidRDefault="003869BF" w:rsidP="00C75D2C">
      <w:pPr>
        <w:pStyle w:val="SingleTxtGR"/>
        <w:rPr>
          <w:i/>
        </w:rPr>
      </w:pPr>
      <w:r w:rsidRPr="00355931">
        <w:rPr>
          <w:i/>
        </w:rPr>
        <w:t>(Справочный документ: неофициальный документ INF.12)</w:t>
      </w:r>
    </w:p>
    <w:p w:rsidR="003869BF" w:rsidRDefault="00355931" w:rsidP="00355931">
      <w:pPr>
        <w:pStyle w:val="HChGR"/>
      </w:pPr>
      <w:r>
        <w:br w:type="page"/>
      </w:r>
      <w:r w:rsidR="003869BF">
        <w:t>Приложение IV</w:t>
      </w:r>
    </w:p>
    <w:p w:rsidR="003869BF" w:rsidRDefault="003869BF" w:rsidP="00355931">
      <w:pPr>
        <w:pStyle w:val="HChGR"/>
      </w:pPr>
      <w:r>
        <w:tab/>
      </w:r>
      <w:r>
        <w:tab/>
        <w:t>Внесение исправлений в Руководящие указания, касающиеся заполне</w:t>
      </w:r>
      <w:r w:rsidR="00355931">
        <w:t>ния свидетельства о допущении к </w:t>
      </w:r>
      <w:r>
        <w:t>перевозке, предусмотренного в разделе 9.1.3 ДОПОГ (ECE/TRANS/WP.15/226, приложение II)</w:t>
      </w:r>
    </w:p>
    <w:p w:rsidR="003869BF" w:rsidRDefault="003606C4" w:rsidP="00C75D2C">
      <w:pPr>
        <w:pStyle w:val="SingleTxtGR"/>
      </w:pPr>
      <w:r>
        <w:tab/>
      </w:r>
      <w:r w:rsidR="003869BF">
        <w:t xml:space="preserve">В первом примере в пункте 8 заменить </w:t>
      </w:r>
      <w:r>
        <w:t>«</w:t>
      </w:r>
      <w:r w:rsidR="003869BF">
        <w:t>примечанием b)</w:t>
      </w:r>
      <w:r>
        <w:t>»</w:t>
      </w:r>
      <w:r w:rsidR="003869BF">
        <w:t xml:space="preserve"> </w:t>
      </w:r>
      <w:proofErr w:type="gramStart"/>
      <w:r w:rsidR="003869BF">
        <w:t>на</w:t>
      </w:r>
      <w:proofErr w:type="gramEnd"/>
      <w:r w:rsidR="003869BF">
        <w:t xml:space="preserve"> </w:t>
      </w:r>
      <w:r>
        <w:t>«примечан</w:t>
      </w:r>
      <w:r>
        <w:t>и</w:t>
      </w:r>
      <w:r>
        <w:t>ями f) и g)»</w:t>
      </w:r>
      <w:r w:rsidR="003869BF">
        <w:t>.</w:t>
      </w:r>
    </w:p>
    <w:p w:rsidR="003869BF" w:rsidRDefault="003606C4" w:rsidP="003606C4">
      <w:pPr>
        <w:pStyle w:val="HChGR"/>
      </w:pPr>
      <w:r>
        <w:br w:type="page"/>
      </w:r>
      <w:r w:rsidR="003869BF">
        <w:t>Приложение V</w:t>
      </w:r>
    </w:p>
    <w:p w:rsidR="003869BF" w:rsidRDefault="003869BF" w:rsidP="003606C4">
      <w:pPr>
        <w:pStyle w:val="HChGR"/>
      </w:pPr>
      <w:r>
        <w:tab/>
      </w:r>
      <w:r>
        <w:tab/>
        <w:t>Результаты/вид</w:t>
      </w:r>
      <w:r w:rsidR="003606C4">
        <w:t>ы деятельности для реализации в </w:t>
      </w:r>
      <w:r>
        <w:t>течение двухгодичного периода 2018−2019 годов</w:t>
      </w:r>
    </w:p>
    <w:p w:rsidR="003869BF" w:rsidRDefault="003869BF" w:rsidP="003606C4">
      <w:pPr>
        <w:pStyle w:val="H1GR"/>
      </w:pPr>
      <w:r>
        <w:tab/>
      </w:r>
      <w:r>
        <w:tab/>
        <w:t>Направление деятельности 9</w:t>
      </w:r>
      <w:r w:rsidR="003606C4">
        <w:br/>
      </w:r>
      <w:r>
        <w:t>Перевозка опас</w:t>
      </w:r>
      <w:r w:rsidR="003606C4">
        <w:t>ных грузов (ЕЭК ООН)</w:t>
      </w:r>
    </w:p>
    <w:tbl>
      <w:tblPr>
        <w:tblW w:w="8497"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809"/>
        <w:gridCol w:w="2688"/>
      </w:tblGrid>
      <w:tr w:rsidR="003606C4" w:rsidRPr="003606C4" w:rsidTr="0080065A">
        <w:trPr>
          <w:tblHeader/>
        </w:trPr>
        <w:tc>
          <w:tcPr>
            <w:tcW w:w="5809" w:type="dxa"/>
            <w:tcBorders>
              <w:bottom w:val="single" w:sz="12" w:space="0" w:color="auto"/>
            </w:tcBorders>
            <w:shd w:val="clear" w:color="000000" w:fill="auto"/>
            <w:vAlign w:val="bottom"/>
          </w:tcPr>
          <w:p w:rsidR="003606C4" w:rsidRPr="003606C4" w:rsidRDefault="003606C4" w:rsidP="003606C4">
            <w:pPr>
              <w:suppressAutoHyphens/>
              <w:spacing w:before="80" w:after="80" w:line="200" w:lineRule="exact"/>
              <w:rPr>
                <w:rFonts w:eastAsia="Times New Roman" w:cs="Times New Roman"/>
                <w:i/>
                <w:iCs/>
                <w:sz w:val="16"/>
                <w:szCs w:val="18"/>
                <w:lang w:val="en-GB" w:eastAsia="en-US"/>
              </w:rPr>
            </w:pPr>
            <w:r w:rsidRPr="003606C4">
              <w:rPr>
                <w:rFonts w:eastAsia="Times New Roman" w:cs="Times New Roman"/>
                <w:i/>
                <w:iCs/>
                <w:sz w:val="16"/>
                <w:szCs w:val="20"/>
                <w:lang w:eastAsia="en-US"/>
              </w:rPr>
              <w:t>Описание направления деятельности (факультативно)</w:t>
            </w:r>
          </w:p>
        </w:tc>
        <w:tc>
          <w:tcPr>
            <w:tcW w:w="2688" w:type="dxa"/>
            <w:tcBorders>
              <w:bottom w:val="single" w:sz="12" w:space="0" w:color="auto"/>
            </w:tcBorders>
            <w:shd w:val="clear" w:color="000000" w:fill="auto"/>
            <w:vAlign w:val="bottom"/>
          </w:tcPr>
          <w:p w:rsidR="003606C4" w:rsidRPr="003606C4" w:rsidRDefault="003606C4" w:rsidP="003606C4">
            <w:pPr>
              <w:suppressAutoHyphens/>
              <w:spacing w:before="80" w:after="80" w:line="200" w:lineRule="exact"/>
              <w:rPr>
                <w:rFonts w:eastAsia="Times New Roman" w:cs="Times New Roman"/>
                <w:i/>
                <w:iCs/>
                <w:sz w:val="16"/>
                <w:szCs w:val="18"/>
                <w:lang w:eastAsia="en-US"/>
              </w:rPr>
            </w:pPr>
            <w:r w:rsidRPr="003606C4">
              <w:rPr>
                <w:rFonts w:eastAsia="Times New Roman" w:cs="Times New Roman"/>
                <w:i/>
                <w:iCs/>
                <w:sz w:val="16"/>
                <w:szCs w:val="20"/>
                <w:lang w:eastAsia="en-US"/>
              </w:rPr>
              <w:t>Ожидаемые достижения по</w:t>
            </w:r>
            <w:r>
              <w:rPr>
                <w:rFonts w:eastAsia="Times New Roman" w:cs="Times New Roman"/>
                <w:i/>
                <w:iCs/>
                <w:sz w:val="16"/>
                <w:szCs w:val="20"/>
                <w:lang w:eastAsia="en-US"/>
              </w:rPr>
              <w:t> </w:t>
            </w:r>
            <w:r w:rsidRPr="003606C4">
              <w:rPr>
                <w:rFonts w:eastAsia="Times New Roman" w:cs="Times New Roman"/>
                <w:i/>
                <w:iCs/>
                <w:sz w:val="16"/>
                <w:szCs w:val="20"/>
                <w:lang w:eastAsia="en-US"/>
              </w:rPr>
              <w:t>этому направлению деятельности</w:t>
            </w:r>
          </w:p>
        </w:tc>
      </w:tr>
      <w:tr w:rsidR="003606C4" w:rsidRPr="003606C4" w:rsidTr="0080065A">
        <w:tc>
          <w:tcPr>
            <w:tcW w:w="5809" w:type="dxa"/>
            <w:tcBorders>
              <w:top w:val="single" w:sz="12" w:space="0" w:color="auto"/>
              <w:bottom w:val="nil"/>
            </w:tcBorders>
            <w:shd w:val="clear" w:color="000000" w:fill="FFFFFF"/>
          </w:tcPr>
          <w:p w:rsidR="003606C4" w:rsidRPr="003606C4" w:rsidRDefault="003606C4" w:rsidP="003606C4">
            <w:pPr>
              <w:spacing w:before="40" w:after="120"/>
              <w:ind w:right="210"/>
              <w:rPr>
                <w:rFonts w:eastAsia="Times New Roman" w:cs="Times New Roman"/>
                <w:szCs w:val="20"/>
                <w:lang w:eastAsia="en-US"/>
              </w:rPr>
            </w:pPr>
            <w:r w:rsidRPr="003606C4">
              <w:rPr>
                <w:rFonts w:eastAsia="Times New Roman" w:cs="Times New Roman"/>
                <w:szCs w:val="20"/>
                <w:lang w:eastAsia="en-US"/>
              </w:rPr>
              <w:t>Рассмотрение правил и технических вопросов, касающихся международной перевозки опасных грузов в регионе. Подг</w:t>
            </w:r>
            <w:r w:rsidRPr="003606C4">
              <w:rPr>
                <w:rFonts w:eastAsia="Times New Roman" w:cs="Times New Roman"/>
                <w:szCs w:val="20"/>
                <w:lang w:eastAsia="en-US"/>
              </w:rPr>
              <w:t>о</w:t>
            </w:r>
            <w:r w:rsidRPr="003606C4">
              <w:rPr>
                <w:rFonts w:eastAsia="Times New Roman" w:cs="Times New Roman"/>
                <w:szCs w:val="20"/>
                <w:lang w:eastAsia="en-US"/>
              </w:rPr>
              <w:t>товка новых, согласование и изменение действующих ме</w:t>
            </w:r>
            <w:r w:rsidRPr="003606C4">
              <w:rPr>
                <w:rFonts w:eastAsia="Times New Roman" w:cs="Times New Roman"/>
                <w:szCs w:val="20"/>
                <w:lang w:eastAsia="en-US"/>
              </w:rPr>
              <w:t>ж</w:t>
            </w:r>
            <w:r w:rsidRPr="003606C4">
              <w:rPr>
                <w:rFonts w:eastAsia="Times New Roman" w:cs="Times New Roman"/>
                <w:szCs w:val="20"/>
                <w:lang w:eastAsia="en-US"/>
              </w:rPr>
              <w:t>дународных соглашений в этой области в целях повышения уровня безопасности, а также содействия охране окружа</w:t>
            </w:r>
            <w:r w:rsidRPr="003606C4">
              <w:rPr>
                <w:rFonts w:eastAsia="Times New Roman" w:cs="Times New Roman"/>
                <w:szCs w:val="20"/>
                <w:lang w:eastAsia="en-US"/>
              </w:rPr>
              <w:t>ю</w:t>
            </w:r>
            <w:r w:rsidRPr="003606C4">
              <w:rPr>
                <w:rFonts w:eastAsia="Times New Roman" w:cs="Times New Roman"/>
                <w:szCs w:val="20"/>
                <w:lang w:eastAsia="en-US"/>
              </w:rPr>
              <w:t>щей среды и торговле − в сотрудничестве с Комитетом эк</w:t>
            </w:r>
            <w:r w:rsidRPr="003606C4">
              <w:rPr>
                <w:rFonts w:eastAsia="Times New Roman" w:cs="Times New Roman"/>
                <w:szCs w:val="20"/>
                <w:lang w:eastAsia="en-US"/>
              </w:rPr>
              <w:t>с</w:t>
            </w:r>
            <w:r w:rsidRPr="003606C4">
              <w:rPr>
                <w:rFonts w:eastAsia="Times New Roman" w:cs="Times New Roman"/>
                <w:szCs w:val="20"/>
                <w:lang w:eastAsia="en-US"/>
              </w:rPr>
              <w:t>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w:t>
            </w:r>
            <w:r w:rsidRPr="003606C4">
              <w:rPr>
                <w:rFonts w:eastAsia="Times New Roman" w:cs="Times New Roman"/>
                <w:szCs w:val="20"/>
                <w:lang w:eastAsia="en-US"/>
              </w:rPr>
              <w:t>о</w:t>
            </w:r>
            <w:r w:rsidRPr="003606C4">
              <w:rPr>
                <w:rFonts w:eastAsia="Times New Roman" w:cs="Times New Roman"/>
                <w:szCs w:val="20"/>
                <w:lang w:eastAsia="en-US"/>
              </w:rPr>
              <w:t>циального Совета.</w:t>
            </w:r>
          </w:p>
          <w:p w:rsidR="003606C4" w:rsidRPr="003606C4" w:rsidRDefault="003606C4" w:rsidP="003606C4">
            <w:pPr>
              <w:spacing w:before="40" w:after="120"/>
              <w:ind w:right="212"/>
              <w:rPr>
                <w:rFonts w:eastAsia="Times New Roman" w:cs="Times New Roman"/>
                <w:szCs w:val="20"/>
                <w:lang w:eastAsia="en-US"/>
              </w:rPr>
            </w:pPr>
            <w:r w:rsidRPr="003606C4">
              <w:rPr>
                <w:rFonts w:eastAsia="Times New Roman" w:cs="Times New Roman"/>
                <w:szCs w:val="20"/>
                <w:lang w:eastAsia="en-US"/>
              </w:rPr>
              <w:t>Основные действия Отдела устойчивого транспорта:</w:t>
            </w:r>
          </w:p>
          <w:p w:rsidR="003606C4" w:rsidRPr="003606C4" w:rsidRDefault="003606C4" w:rsidP="003606C4">
            <w:pPr>
              <w:numPr>
                <w:ilvl w:val="0"/>
                <w:numId w:val="19"/>
              </w:numPr>
              <w:tabs>
                <w:tab w:val="left" w:pos="166"/>
                <w:tab w:val="num" w:pos="312"/>
                <w:tab w:val="num" w:pos="670"/>
              </w:tabs>
              <w:spacing w:after="120"/>
              <w:ind w:left="166" w:right="212" w:hanging="166"/>
              <w:jc w:val="both"/>
              <w:rPr>
                <w:rFonts w:eastAsia="Times New Roman" w:cs="Times New Roman"/>
                <w:szCs w:val="20"/>
                <w:lang w:val="en-GB" w:eastAsia="en-US"/>
              </w:rPr>
            </w:pPr>
            <w:r w:rsidRPr="003606C4">
              <w:rPr>
                <w:rFonts w:eastAsia="Times New Roman" w:cs="Times New Roman"/>
                <w:szCs w:val="20"/>
                <w:lang w:eastAsia="en-US"/>
              </w:rPr>
              <w:t xml:space="preserve">обеспечение </w:t>
            </w:r>
            <w:proofErr w:type="spellStart"/>
            <w:r w:rsidRPr="003606C4">
              <w:rPr>
                <w:rFonts w:eastAsia="Times New Roman" w:cs="Times New Roman"/>
                <w:szCs w:val="20"/>
                <w:lang w:eastAsia="en-US"/>
              </w:rPr>
              <w:t>секретариатских</w:t>
            </w:r>
            <w:proofErr w:type="spellEnd"/>
            <w:r w:rsidRPr="003606C4">
              <w:rPr>
                <w:rFonts w:eastAsia="Times New Roman" w:cs="Times New Roman"/>
                <w:szCs w:val="20"/>
                <w:lang w:eastAsia="en-US"/>
              </w:rPr>
              <w:t xml:space="preserve"> услуг </w:t>
            </w:r>
            <w:proofErr w:type="gramStart"/>
            <w:r w:rsidRPr="003606C4">
              <w:rPr>
                <w:rFonts w:eastAsia="Times New Roman" w:cs="Times New Roman"/>
                <w:szCs w:val="20"/>
                <w:lang w:eastAsia="en-US"/>
              </w:rPr>
              <w:t>для</w:t>
            </w:r>
            <w:proofErr w:type="gramEnd"/>
            <w:r w:rsidRPr="003606C4">
              <w:rPr>
                <w:rFonts w:eastAsia="Times New Roman" w:cs="Times New Roman"/>
                <w:szCs w:val="20"/>
                <w:lang w:eastAsia="en-US"/>
              </w:rPr>
              <w:t>:</w:t>
            </w:r>
          </w:p>
          <w:p w:rsidR="003606C4" w:rsidRPr="003606C4" w:rsidRDefault="0080065A" w:rsidP="0080065A">
            <w:pPr>
              <w:tabs>
                <w:tab w:val="num" w:pos="422"/>
              </w:tabs>
              <w:spacing w:after="120"/>
              <w:ind w:left="422" w:right="212" w:hanging="272"/>
              <w:jc w:val="both"/>
              <w:rPr>
                <w:rFonts w:eastAsia="Times New Roman" w:cs="Times New Roman"/>
                <w:szCs w:val="20"/>
                <w:lang w:eastAsia="en-US"/>
              </w:rPr>
            </w:pPr>
            <w:r>
              <w:rPr>
                <w:rFonts w:eastAsia="Times New Roman" w:cs="Times New Roman"/>
                <w:szCs w:val="20"/>
                <w:lang w:eastAsia="en-US"/>
              </w:rPr>
              <w:t>1.</w:t>
            </w:r>
            <w:r>
              <w:rPr>
                <w:rFonts w:eastAsia="Times New Roman" w:cs="Times New Roman"/>
                <w:szCs w:val="20"/>
                <w:lang w:eastAsia="en-US"/>
              </w:rPr>
              <w:tab/>
            </w:r>
            <w:proofErr w:type="gramStart"/>
            <w:r w:rsidR="003606C4" w:rsidRPr="003606C4">
              <w:rPr>
                <w:rFonts w:eastAsia="Times New Roman" w:cs="Times New Roman"/>
                <w:szCs w:val="20"/>
                <w:lang w:eastAsia="en-US"/>
              </w:rPr>
              <w:t>Рабочей группы по перевозкам опасных грузов (WP.15) Комитета по внутреннему транспорту ЕЭК ООН, кот</w:t>
            </w:r>
            <w:r w:rsidR="003606C4" w:rsidRPr="003606C4">
              <w:rPr>
                <w:rFonts w:eastAsia="Times New Roman" w:cs="Times New Roman"/>
                <w:szCs w:val="20"/>
                <w:lang w:eastAsia="en-US"/>
              </w:rPr>
              <w:t>о</w:t>
            </w:r>
            <w:r w:rsidR="003606C4" w:rsidRPr="003606C4">
              <w:rPr>
                <w:rFonts w:eastAsia="Times New Roman" w:cs="Times New Roman"/>
                <w:szCs w:val="20"/>
                <w:lang w:eastAsia="en-US"/>
              </w:rPr>
              <w:t>рая рассматривает главным образом вопросы, связа</w:t>
            </w:r>
            <w:r w:rsidR="003606C4" w:rsidRPr="003606C4">
              <w:rPr>
                <w:rFonts w:eastAsia="Times New Roman" w:cs="Times New Roman"/>
                <w:szCs w:val="20"/>
                <w:lang w:eastAsia="en-US"/>
              </w:rPr>
              <w:t>н</w:t>
            </w:r>
            <w:r w:rsidR="003606C4" w:rsidRPr="003606C4">
              <w:rPr>
                <w:rFonts w:eastAsia="Times New Roman" w:cs="Times New Roman"/>
                <w:szCs w:val="20"/>
                <w:lang w:eastAsia="en-US"/>
              </w:rPr>
              <w:t>ные с Европейским соглашением о международной д</w:t>
            </w:r>
            <w:r w:rsidR="003606C4" w:rsidRPr="003606C4">
              <w:rPr>
                <w:rFonts w:eastAsia="Times New Roman" w:cs="Times New Roman"/>
                <w:szCs w:val="20"/>
                <w:lang w:eastAsia="en-US"/>
              </w:rPr>
              <w:t>о</w:t>
            </w:r>
            <w:r w:rsidR="003606C4" w:rsidRPr="003606C4">
              <w:rPr>
                <w:rFonts w:eastAsia="Times New Roman" w:cs="Times New Roman"/>
                <w:szCs w:val="20"/>
                <w:lang w:eastAsia="en-US"/>
              </w:rPr>
              <w:t>рожной перевозке опасных грузов (ДОПОГ), являющ</w:t>
            </w:r>
            <w:r w:rsidR="003606C4" w:rsidRPr="003606C4">
              <w:rPr>
                <w:rFonts w:eastAsia="Times New Roman" w:cs="Times New Roman"/>
                <w:szCs w:val="20"/>
                <w:lang w:eastAsia="en-US"/>
              </w:rPr>
              <w:t>и</w:t>
            </w:r>
            <w:r w:rsidR="003606C4" w:rsidRPr="003606C4">
              <w:rPr>
                <w:rFonts w:eastAsia="Times New Roman" w:cs="Times New Roman"/>
                <w:szCs w:val="20"/>
                <w:lang w:eastAsia="en-US"/>
              </w:rPr>
              <w:t>еся специфическими для автомобильного транспорта (конструкция и допущение к перевозке транспортных средств, эксплуатация транспортных средств, подгото</w:t>
            </w:r>
            <w:r w:rsidR="003606C4" w:rsidRPr="003606C4">
              <w:rPr>
                <w:rFonts w:eastAsia="Times New Roman" w:cs="Times New Roman"/>
                <w:szCs w:val="20"/>
                <w:lang w:eastAsia="en-US"/>
              </w:rPr>
              <w:t>в</w:t>
            </w:r>
            <w:r w:rsidR="003606C4" w:rsidRPr="003606C4">
              <w:rPr>
                <w:rFonts w:eastAsia="Times New Roman" w:cs="Times New Roman"/>
                <w:szCs w:val="20"/>
                <w:lang w:eastAsia="en-US"/>
              </w:rPr>
              <w:t>ка водителей, безопасность в автодорожных туннелях и т.д.);</w:t>
            </w:r>
            <w:proofErr w:type="gramEnd"/>
          </w:p>
          <w:p w:rsidR="003606C4" w:rsidRPr="003606C4" w:rsidRDefault="0080065A" w:rsidP="0080065A">
            <w:pPr>
              <w:tabs>
                <w:tab w:val="num" w:pos="422"/>
              </w:tabs>
              <w:spacing w:after="120"/>
              <w:ind w:left="422" w:right="212" w:hanging="272"/>
              <w:jc w:val="both"/>
              <w:rPr>
                <w:rFonts w:eastAsia="Times New Roman" w:cs="Times New Roman"/>
                <w:szCs w:val="20"/>
                <w:lang w:eastAsia="en-US"/>
              </w:rPr>
            </w:pPr>
            <w:r>
              <w:rPr>
                <w:rFonts w:eastAsia="Times New Roman" w:cs="Times New Roman"/>
                <w:szCs w:val="20"/>
                <w:lang w:eastAsia="en-US"/>
              </w:rPr>
              <w:t>2.</w:t>
            </w:r>
            <w:r>
              <w:rPr>
                <w:rFonts w:eastAsia="Times New Roman" w:cs="Times New Roman"/>
                <w:szCs w:val="20"/>
                <w:lang w:eastAsia="en-US"/>
              </w:rPr>
              <w:tab/>
            </w:r>
            <w:r w:rsidR="003606C4" w:rsidRPr="003606C4">
              <w:rPr>
                <w:rFonts w:eastAsia="Times New Roman" w:cs="Times New Roman"/>
                <w:szCs w:val="20"/>
                <w:lang w:eastAsia="en-US"/>
              </w:rPr>
              <w:t>Совместного совещания WP.15 и Комиссии экспертов МПОГ («Совместное совещание МПОГ/ДОПОГ/</w:t>
            </w:r>
            <w:r>
              <w:rPr>
                <w:rFonts w:eastAsia="Times New Roman" w:cs="Times New Roman"/>
                <w:szCs w:val="20"/>
                <w:lang w:eastAsia="en-US"/>
              </w:rPr>
              <w:br/>
            </w:r>
            <w:r w:rsidR="003606C4" w:rsidRPr="003606C4">
              <w:rPr>
                <w:rFonts w:eastAsia="Times New Roman" w:cs="Times New Roman"/>
                <w:szCs w:val="20"/>
                <w:lang w:eastAsia="en-US"/>
              </w:rPr>
              <w:t>ВОПОГ») (WP.15/AC.1) (в сотрудничестве с секретар</w:t>
            </w:r>
            <w:r w:rsidR="003606C4" w:rsidRPr="003606C4">
              <w:rPr>
                <w:rFonts w:eastAsia="Times New Roman" w:cs="Times New Roman"/>
                <w:szCs w:val="20"/>
                <w:lang w:eastAsia="en-US"/>
              </w:rPr>
              <w:t>и</w:t>
            </w:r>
            <w:r w:rsidR="003606C4" w:rsidRPr="003606C4">
              <w:rPr>
                <w:rFonts w:eastAsia="Times New Roman" w:cs="Times New Roman"/>
                <w:szCs w:val="20"/>
                <w:lang w:eastAsia="en-US"/>
              </w:rPr>
              <w:t>атом Межправительственной организации по междун</w:t>
            </w:r>
            <w:r w:rsidR="003606C4" w:rsidRPr="003606C4">
              <w:rPr>
                <w:rFonts w:eastAsia="Times New Roman" w:cs="Times New Roman"/>
                <w:szCs w:val="20"/>
                <w:lang w:eastAsia="en-US"/>
              </w:rPr>
              <w:t>а</w:t>
            </w:r>
            <w:r w:rsidR="003606C4" w:rsidRPr="003606C4">
              <w:rPr>
                <w:rFonts w:eastAsia="Times New Roman" w:cs="Times New Roman"/>
                <w:szCs w:val="20"/>
                <w:lang w:eastAsia="en-US"/>
              </w:rPr>
              <w:t>родным железнодорожным перевозкам (ОТИФ)), кот</w:t>
            </w:r>
            <w:r w:rsidR="003606C4" w:rsidRPr="003606C4">
              <w:rPr>
                <w:rFonts w:eastAsia="Times New Roman" w:cs="Times New Roman"/>
                <w:szCs w:val="20"/>
                <w:lang w:eastAsia="en-US"/>
              </w:rPr>
              <w:t>о</w:t>
            </w:r>
            <w:r w:rsidR="003606C4" w:rsidRPr="003606C4">
              <w:rPr>
                <w:rFonts w:eastAsia="Times New Roman" w:cs="Times New Roman"/>
                <w:szCs w:val="20"/>
                <w:lang w:eastAsia="en-US"/>
              </w:rPr>
              <w:t>рое рассматривает все вопросы, являющиеся общими для трех видов наземного транспорта, такие как кла</w:t>
            </w:r>
            <w:r w:rsidR="003606C4" w:rsidRPr="003606C4">
              <w:rPr>
                <w:rFonts w:eastAsia="Times New Roman" w:cs="Times New Roman"/>
                <w:szCs w:val="20"/>
                <w:lang w:eastAsia="en-US"/>
              </w:rPr>
              <w:t>с</w:t>
            </w:r>
            <w:r w:rsidR="003606C4" w:rsidRPr="003606C4">
              <w:rPr>
                <w:rFonts w:eastAsia="Times New Roman" w:cs="Times New Roman"/>
                <w:szCs w:val="20"/>
                <w:lang w:eastAsia="en-US"/>
              </w:rPr>
              <w:t>сификация, включение в перечень, тара, цистерны, гр</w:t>
            </w:r>
            <w:r w:rsidR="003606C4" w:rsidRPr="003606C4">
              <w:rPr>
                <w:rFonts w:eastAsia="Times New Roman" w:cs="Times New Roman"/>
                <w:szCs w:val="20"/>
                <w:lang w:eastAsia="en-US"/>
              </w:rPr>
              <w:t>у</w:t>
            </w:r>
            <w:r w:rsidR="003606C4" w:rsidRPr="003606C4">
              <w:rPr>
                <w:rFonts w:eastAsia="Times New Roman" w:cs="Times New Roman"/>
                <w:szCs w:val="20"/>
                <w:lang w:eastAsia="en-US"/>
              </w:rPr>
              <w:t>зовые контейнеры;</w:t>
            </w:r>
          </w:p>
          <w:p w:rsidR="003606C4" w:rsidRPr="003606C4" w:rsidRDefault="0080065A" w:rsidP="0080065A">
            <w:pPr>
              <w:tabs>
                <w:tab w:val="num" w:pos="422"/>
              </w:tabs>
              <w:spacing w:after="120"/>
              <w:ind w:left="422" w:right="212" w:hanging="272"/>
              <w:jc w:val="both"/>
              <w:rPr>
                <w:rFonts w:eastAsia="Times New Roman" w:cs="Times New Roman"/>
                <w:szCs w:val="20"/>
                <w:lang w:eastAsia="en-US"/>
              </w:rPr>
            </w:pPr>
            <w:r>
              <w:rPr>
                <w:rFonts w:eastAsia="Times New Roman" w:cs="Times New Roman"/>
                <w:szCs w:val="20"/>
                <w:lang w:eastAsia="en-US"/>
              </w:rPr>
              <w:t>3.</w:t>
            </w:r>
            <w:r>
              <w:rPr>
                <w:rFonts w:eastAsia="Times New Roman" w:cs="Times New Roman"/>
                <w:szCs w:val="20"/>
                <w:lang w:eastAsia="en-US"/>
              </w:rPr>
              <w:tab/>
            </w:r>
            <w:proofErr w:type="gramStart"/>
            <w:r w:rsidR="003606C4" w:rsidRPr="003606C4">
              <w:rPr>
                <w:rFonts w:eastAsia="Times New Roman" w:cs="Times New Roman"/>
                <w:szCs w:val="20"/>
                <w:lang w:eastAsia="en-US"/>
              </w:rPr>
              <w:t>Совместного совещания экспертов по Правилам, прил</w:t>
            </w:r>
            <w:r w:rsidR="003606C4" w:rsidRPr="003606C4">
              <w:rPr>
                <w:rFonts w:eastAsia="Times New Roman" w:cs="Times New Roman"/>
                <w:szCs w:val="20"/>
                <w:lang w:eastAsia="en-US"/>
              </w:rPr>
              <w:t>а</w:t>
            </w:r>
            <w:r w:rsidR="003606C4" w:rsidRPr="003606C4">
              <w:rPr>
                <w:rFonts w:eastAsia="Times New Roman" w:cs="Times New Roman"/>
                <w:szCs w:val="20"/>
                <w:lang w:eastAsia="en-US"/>
              </w:rPr>
              <w:t>гаемым к Европейскому соглашению о международной перевозке опасных грузов по внутренним водным путям (ВОПОГ) (Комитет по вопросам безопасности ВОПОГ) (WP.15/AC.2) и Административного комитета ВОПОГ (в сотрудничестве с Центральной комиссией судохо</w:t>
            </w:r>
            <w:r w:rsidR="003606C4" w:rsidRPr="003606C4">
              <w:rPr>
                <w:rFonts w:eastAsia="Times New Roman" w:cs="Times New Roman"/>
                <w:szCs w:val="20"/>
                <w:lang w:eastAsia="en-US"/>
              </w:rPr>
              <w:t>д</w:t>
            </w:r>
            <w:r w:rsidR="003606C4" w:rsidRPr="003606C4">
              <w:rPr>
                <w:rFonts w:eastAsia="Times New Roman" w:cs="Times New Roman"/>
                <w:szCs w:val="20"/>
                <w:lang w:eastAsia="en-US"/>
              </w:rPr>
              <w:t>ства по Рейну (ЦКСР)), которые рассматривают все в</w:t>
            </w:r>
            <w:r w:rsidR="003606C4" w:rsidRPr="003606C4">
              <w:rPr>
                <w:rFonts w:eastAsia="Times New Roman" w:cs="Times New Roman"/>
                <w:szCs w:val="20"/>
                <w:lang w:eastAsia="en-US"/>
              </w:rPr>
              <w:t>о</w:t>
            </w:r>
            <w:r w:rsidR="003606C4" w:rsidRPr="003606C4">
              <w:rPr>
                <w:rFonts w:eastAsia="Times New Roman" w:cs="Times New Roman"/>
                <w:szCs w:val="20"/>
                <w:lang w:eastAsia="en-US"/>
              </w:rPr>
              <w:t>просы, являющиеся специфическими для внутреннего судоходства, такие как конструкция и допущение судов внутреннего плавания, перевозка танкерами</w:t>
            </w:r>
            <w:proofErr w:type="gramEnd"/>
            <w:r w:rsidR="003606C4" w:rsidRPr="003606C4">
              <w:rPr>
                <w:rFonts w:eastAsia="Times New Roman" w:cs="Times New Roman"/>
                <w:szCs w:val="20"/>
                <w:lang w:eastAsia="en-US"/>
              </w:rPr>
              <w:t>, эксплуат</w:t>
            </w:r>
            <w:r w:rsidR="003606C4" w:rsidRPr="003606C4">
              <w:rPr>
                <w:rFonts w:eastAsia="Times New Roman" w:cs="Times New Roman"/>
                <w:szCs w:val="20"/>
                <w:lang w:eastAsia="en-US"/>
              </w:rPr>
              <w:t>а</w:t>
            </w:r>
            <w:r w:rsidR="003606C4" w:rsidRPr="003606C4">
              <w:rPr>
                <w:rFonts w:eastAsia="Times New Roman" w:cs="Times New Roman"/>
                <w:szCs w:val="20"/>
                <w:lang w:eastAsia="en-US"/>
              </w:rPr>
              <w:t xml:space="preserve">ция судов, подготовка и </w:t>
            </w:r>
            <w:proofErr w:type="spellStart"/>
            <w:r w:rsidR="003606C4" w:rsidRPr="003606C4">
              <w:rPr>
                <w:rFonts w:eastAsia="Times New Roman" w:cs="Times New Roman"/>
                <w:szCs w:val="20"/>
                <w:lang w:eastAsia="en-US"/>
              </w:rPr>
              <w:t>экзаменование</w:t>
            </w:r>
            <w:proofErr w:type="spellEnd"/>
            <w:r w:rsidR="003606C4" w:rsidRPr="003606C4">
              <w:rPr>
                <w:rFonts w:eastAsia="Times New Roman" w:cs="Times New Roman"/>
                <w:szCs w:val="20"/>
                <w:lang w:eastAsia="en-US"/>
              </w:rPr>
              <w:t xml:space="preserve"> экипажа и т.д.;</w:t>
            </w:r>
          </w:p>
        </w:tc>
        <w:tc>
          <w:tcPr>
            <w:tcW w:w="2688" w:type="dxa"/>
            <w:tcBorders>
              <w:top w:val="single" w:sz="12" w:space="0" w:color="auto"/>
              <w:bottom w:val="nil"/>
            </w:tcBorders>
            <w:shd w:val="clear" w:color="000000" w:fill="FFFFFF"/>
          </w:tcPr>
          <w:p w:rsidR="003606C4" w:rsidRPr="003606C4" w:rsidRDefault="003606C4" w:rsidP="003606C4">
            <w:pPr>
              <w:spacing w:before="40" w:after="120"/>
              <w:rPr>
                <w:rFonts w:eastAsia="Times New Roman" w:cs="Times New Roman"/>
                <w:szCs w:val="20"/>
                <w:lang w:eastAsia="en-US"/>
              </w:rPr>
            </w:pPr>
            <w:proofErr w:type="gramStart"/>
            <w:r w:rsidRPr="003606C4">
              <w:rPr>
                <w:rFonts w:eastAsia="Times New Roman" w:cs="Times New Roman"/>
                <w:szCs w:val="20"/>
                <w:lang w:eastAsia="en-US"/>
              </w:rPr>
              <w:t>Принятие поправок к ДОПОГ и − на основе де</w:t>
            </w:r>
            <w:r w:rsidRPr="003606C4">
              <w:rPr>
                <w:rFonts w:eastAsia="Times New Roman" w:cs="Times New Roman"/>
                <w:szCs w:val="20"/>
                <w:lang w:eastAsia="en-US"/>
              </w:rPr>
              <w:t>я</w:t>
            </w:r>
            <w:r w:rsidRPr="003606C4">
              <w:rPr>
                <w:rFonts w:eastAsia="Times New Roman" w:cs="Times New Roman"/>
                <w:szCs w:val="20"/>
                <w:lang w:eastAsia="en-US"/>
              </w:rPr>
              <w:t>тельности, проводимой со</w:t>
            </w:r>
            <w:r w:rsidRPr="003606C4">
              <w:rPr>
                <w:rFonts w:eastAsia="Times New Roman" w:cs="Times New Roman"/>
                <w:szCs w:val="20"/>
                <w:lang w:eastAsia="en-US"/>
              </w:rPr>
              <w:t>в</w:t>
            </w:r>
            <w:r w:rsidRPr="003606C4">
              <w:rPr>
                <w:rFonts w:eastAsia="Times New Roman" w:cs="Times New Roman"/>
                <w:szCs w:val="20"/>
                <w:lang w:eastAsia="en-US"/>
              </w:rPr>
              <w:t>местно с Межправител</w:t>
            </w:r>
            <w:r w:rsidRPr="003606C4">
              <w:rPr>
                <w:rFonts w:eastAsia="Times New Roman" w:cs="Times New Roman"/>
                <w:szCs w:val="20"/>
                <w:lang w:eastAsia="en-US"/>
              </w:rPr>
              <w:t>ь</w:t>
            </w:r>
            <w:r w:rsidRPr="003606C4">
              <w:rPr>
                <w:rFonts w:eastAsia="Times New Roman" w:cs="Times New Roman"/>
                <w:szCs w:val="20"/>
                <w:lang w:eastAsia="en-US"/>
              </w:rPr>
              <w:t>ственной организацией по международным железнод</w:t>
            </w:r>
            <w:r w:rsidRPr="003606C4">
              <w:rPr>
                <w:rFonts w:eastAsia="Times New Roman" w:cs="Times New Roman"/>
                <w:szCs w:val="20"/>
                <w:lang w:eastAsia="en-US"/>
              </w:rPr>
              <w:t>о</w:t>
            </w:r>
            <w:r w:rsidRPr="003606C4">
              <w:rPr>
                <w:rFonts w:eastAsia="Times New Roman" w:cs="Times New Roman"/>
                <w:szCs w:val="20"/>
                <w:lang w:eastAsia="en-US"/>
              </w:rPr>
              <w:t>рожным перевозкам (ОТИФ) и Центральной комиссией судоходства по Рейну (ЦКСР), − поправок соотве</w:t>
            </w:r>
            <w:r w:rsidRPr="003606C4">
              <w:rPr>
                <w:rFonts w:eastAsia="Times New Roman" w:cs="Times New Roman"/>
                <w:szCs w:val="20"/>
                <w:lang w:eastAsia="en-US"/>
              </w:rPr>
              <w:t>т</w:t>
            </w:r>
            <w:r w:rsidRPr="003606C4">
              <w:rPr>
                <w:rFonts w:eastAsia="Times New Roman" w:cs="Times New Roman"/>
                <w:szCs w:val="20"/>
                <w:lang w:eastAsia="en-US"/>
              </w:rPr>
              <w:t>ственно к МПОГ и ВОПОГ, направленных на поддерж</w:t>
            </w:r>
            <w:r w:rsidRPr="003606C4">
              <w:rPr>
                <w:rFonts w:eastAsia="Times New Roman" w:cs="Times New Roman"/>
                <w:szCs w:val="20"/>
                <w:lang w:eastAsia="en-US"/>
              </w:rPr>
              <w:t>а</w:t>
            </w:r>
            <w:r w:rsidRPr="003606C4">
              <w:rPr>
                <w:rFonts w:eastAsia="Times New Roman" w:cs="Times New Roman"/>
                <w:szCs w:val="20"/>
                <w:lang w:eastAsia="en-US"/>
              </w:rPr>
              <w:t>ние необходимого уровня безопасности, охраны и з</w:t>
            </w:r>
            <w:r w:rsidRPr="003606C4">
              <w:rPr>
                <w:rFonts w:eastAsia="Times New Roman" w:cs="Times New Roman"/>
                <w:szCs w:val="20"/>
                <w:lang w:eastAsia="en-US"/>
              </w:rPr>
              <w:t>а</w:t>
            </w:r>
            <w:r w:rsidRPr="003606C4">
              <w:rPr>
                <w:rFonts w:eastAsia="Times New Roman" w:cs="Times New Roman"/>
                <w:szCs w:val="20"/>
                <w:lang w:eastAsia="en-US"/>
              </w:rPr>
              <w:t>щиты окружающей среды в рамках единообразной, с</w:t>
            </w:r>
            <w:r w:rsidRPr="003606C4">
              <w:rPr>
                <w:rFonts w:eastAsia="Times New Roman" w:cs="Times New Roman"/>
                <w:szCs w:val="20"/>
                <w:lang w:eastAsia="en-US"/>
              </w:rPr>
              <w:t>о</w:t>
            </w:r>
            <w:r w:rsidRPr="003606C4">
              <w:rPr>
                <w:rFonts w:eastAsia="Times New Roman" w:cs="Times New Roman"/>
                <w:szCs w:val="20"/>
                <w:lang w:eastAsia="en-US"/>
              </w:rPr>
              <w:t>гласованной и последов</w:t>
            </w:r>
            <w:r w:rsidRPr="003606C4">
              <w:rPr>
                <w:rFonts w:eastAsia="Times New Roman" w:cs="Times New Roman"/>
                <w:szCs w:val="20"/>
                <w:lang w:eastAsia="en-US"/>
              </w:rPr>
              <w:t>а</w:t>
            </w:r>
            <w:r w:rsidRPr="003606C4">
              <w:rPr>
                <w:rFonts w:eastAsia="Times New Roman" w:cs="Times New Roman"/>
                <w:szCs w:val="20"/>
                <w:lang w:eastAsia="en-US"/>
              </w:rPr>
              <w:t>тельной системы правил перевозки опасных грузов, основанной на Рекомендац</w:t>
            </w:r>
            <w:r w:rsidRPr="003606C4">
              <w:rPr>
                <w:rFonts w:eastAsia="Times New Roman" w:cs="Times New Roman"/>
                <w:szCs w:val="20"/>
                <w:lang w:eastAsia="en-US"/>
              </w:rPr>
              <w:t>и</w:t>
            </w:r>
            <w:r w:rsidRPr="003606C4">
              <w:rPr>
                <w:rFonts w:eastAsia="Times New Roman" w:cs="Times New Roman"/>
                <w:szCs w:val="20"/>
                <w:lang w:eastAsia="en-US"/>
              </w:rPr>
              <w:t>ях Организации Объедине</w:t>
            </w:r>
            <w:r w:rsidRPr="003606C4">
              <w:rPr>
                <w:rFonts w:eastAsia="Times New Roman" w:cs="Times New Roman"/>
                <w:szCs w:val="20"/>
                <w:lang w:eastAsia="en-US"/>
              </w:rPr>
              <w:t>н</w:t>
            </w:r>
            <w:r w:rsidRPr="003606C4">
              <w:rPr>
                <w:rFonts w:eastAsia="Times New Roman" w:cs="Times New Roman"/>
                <w:szCs w:val="20"/>
                <w:lang w:eastAsia="en-US"/>
              </w:rPr>
              <w:t>ных Наций по</w:t>
            </w:r>
            <w:proofErr w:type="gramEnd"/>
            <w:r w:rsidRPr="003606C4">
              <w:rPr>
                <w:rFonts w:eastAsia="Times New Roman" w:cs="Times New Roman"/>
                <w:szCs w:val="20"/>
                <w:lang w:eastAsia="en-US"/>
              </w:rPr>
              <w:t xml:space="preserve"> перевозке опасных грузов, и их эффе</w:t>
            </w:r>
            <w:r w:rsidRPr="003606C4">
              <w:rPr>
                <w:rFonts w:eastAsia="Times New Roman" w:cs="Times New Roman"/>
                <w:szCs w:val="20"/>
                <w:lang w:eastAsia="en-US"/>
              </w:rPr>
              <w:t>к</w:t>
            </w:r>
            <w:r w:rsidRPr="003606C4">
              <w:rPr>
                <w:rFonts w:eastAsia="Times New Roman" w:cs="Times New Roman"/>
                <w:szCs w:val="20"/>
                <w:lang w:eastAsia="en-US"/>
              </w:rPr>
              <w:t>тивное применение через посредство международно-правовых норм и наци</w:t>
            </w:r>
            <w:r w:rsidRPr="003606C4">
              <w:rPr>
                <w:rFonts w:eastAsia="Times New Roman" w:cs="Times New Roman"/>
                <w:szCs w:val="20"/>
                <w:lang w:eastAsia="en-US"/>
              </w:rPr>
              <w:t>о</w:t>
            </w:r>
            <w:r w:rsidRPr="003606C4">
              <w:rPr>
                <w:rFonts w:eastAsia="Times New Roman" w:cs="Times New Roman"/>
                <w:szCs w:val="20"/>
                <w:lang w:eastAsia="en-US"/>
              </w:rPr>
              <w:t>нального законодательства.</w:t>
            </w:r>
          </w:p>
          <w:p w:rsidR="003606C4" w:rsidRPr="003606C4" w:rsidRDefault="003606C4" w:rsidP="003606C4">
            <w:pPr>
              <w:spacing w:before="40" w:after="120"/>
              <w:rPr>
                <w:rFonts w:eastAsia="Times New Roman" w:cs="Times New Roman"/>
                <w:szCs w:val="20"/>
                <w:lang w:eastAsia="en-US"/>
              </w:rPr>
            </w:pPr>
            <w:r w:rsidRPr="003606C4">
              <w:rPr>
                <w:rFonts w:eastAsia="Times New Roman" w:cs="Times New Roman"/>
                <w:szCs w:val="20"/>
                <w:lang w:eastAsia="en-US"/>
              </w:rPr>
              <w:t>Разработка рекомендаций и/или руководящих принц</w:t>
            </w:r>
            <w:r w:rsidRPr="003606C4">
              <w:rPr>
                <w:rFonts w:eastAsia="Times New Roman" w:cs="Times New Roman"/>
                <w:szCs w:val="20"/>
                <w:lang w:eastAsia="en-US"/>
              </w:rPr>
              <w:t>и</w:t>
            </w:r>
            <w:r w:rsidRPr="003606C4">
              <w:rPr>
                <w:rFonts w:eastAsia="Times New Roman" w:cs="Times New Roman"/>
                <w:szCs w:val="20"/>
                <w:lang w:eastAsia="en-US"/>
              </w:rPr>
              <w:t>пов на основе принятой на девяносто третьей сессии Рабочей группы «дорожной карты» по вопросам прис</w:t>
            </w:r>
            <w:r w:rsidRPr="003606C4">
              <w:rPr>
                <w:rFonts w:eastAsia="Times New Roman" w:cs="Times New Roman"/>
                <w:szCs w:val="20"/>
                <w:lang w:eastAsia="en-US"/>
              </w:rPr>
              <w:t>о</w:t>
            </w:r>
            <w:r w:rsidRPr="003606C4">
              <w:rPr>
                <w:rFonts w:eastAsia="Times New Roman" w:cs="Times New Roman"/>
                <w:szCs w:val="20"/>
                <w:lang w:eastAsia="en-US"/>
              </w:rPr>
              <w:t>единения к ДОПОГ и пр</w:t>
            </w:r>
            <w:r w:rsidRPr="003606C4">
              <w:rPr>
                <w:rFonts w:eastAsia="Times New Roman" w:cs="Times New Roman"/>
                <w:szCs w:val="20"/>
                <w:lang w:eastAsia="en-US"/>
              </w:rPr>
              <w:t>и</w:t>
            </w:r>
            <w:r w:rsidRPr="003606C4">
              <w:rPr>
                <w:rFonts w:eastAsia="Times New Roman" w:cs="Times New Roman"/>
                <w:szCs w:val="20"/>
                <w:lang w:eastAsia="en-US"/>
              </w:rPr>
              <w:t>менения Соглашения.</w:t>
            </w:r>
          </w:p>
        </w:tc>
      </w:tr>
      <w:tr w:rsidR="0080065A" w:rsidRPr="003606C4" w:rsidTr="0080065A">
        <w:tc>
          <w:tcPr>
            <w:tcW w:w="5809" w:type="dxa"/>
            <w:tcBorders>
              <w:top w:val="nil"/>
              <w:bottom w:val="single" w:sz="12" w:space="0" w:color="auto"/>
            </w:tcBorders>
            <w:shd w:val="clear" w:color="000000" w:fill="FFFFFF"/>
          </w:tcPr>
          <w:p w:rsidR="0080065A" w:rsidRPr="003606C4" w:rsidRDefault="0080065A" w:rsidP="0080065A">
            <w:pPr>
              <w:numPr>
                <w:ilvl w:val="0"/>
                <w:numId w:val="19"/>
              </w:numPr>
              <w:tabs>
                <w:tab w:val="left" w:pos="166"/>
                <w:tab w:val="num" w:pos="312"/>
                <w:tab w:val="num" w:pos="670"/>
              </w:tabs>
              <w:spacing w:after="120"/>
              <w:ind w:left="166" w:right="212" w:hanging="166"/>
              <w:jc w:val="both"/>
              <w:rPr>
                <w:rFonts w:eastAsia="Times New Roman" w:cs="Times New Roman"/>
                <w:szCs w:val="20"/>
                <w:lang w:eastAsia="en-US"/>
              </w:rPr>
            </w:pPr>
            <w:r w:rsidRPr="003606C4">
              <w:rPr>
                <w:rFonts w:eastAsia="Times New Roman" w:cs="Times New Roman"/>
                <w:szCs w:val="20"/>
                <w:lang w:eastAsia="en-US"/>
              </w:rPr>
              <w:t>административное обслуживание ДОПОГ и ВОПОГ (с</w:t>
            </w:r>
            <w:r w:rsidRPr="003606C4">
              <w:rPr>
                <w:rFonts w:eastAsia="Times New Roman" w:cs="Times New Roman"/>
                <w:szCs w:val="20"/>
                <w:lang w:eastAsia="en-US"/>
              </w:rPr>
              <w:t>о</w:t>
            </w:r>
            <w:r w:rsidRPr="003606C4">
              <w:rPr>
                <w:rFonts w:eastAsia="Times New Roman" w:cs="Times New Roman"/>
                <w:szCs w:val="20"/>
                <w:lang w:eastAsia="en-US"/>
              </w:rPr>
              <w:t>трудничество с Договорной секцией ООН, сведение в</w:t>
            </w:r>
            <w:r w:rsidRPr="003606C4">
              <w:rPr>
                <w:rFonts w:eastAsia="Times New Roman" w:cs="Times New Roman"/>
                <w:szCs w:val="20"/>
                <w:lang w:eastAsia="en-US"/>
              </w:rPr>
              <w:t>о</w:t>
            </w:r>
            <w:r w:rsidRPr="003606C4">
              <w:rPr>
                <w:rFonts w:eastAsia="Times New Roman" w:cs="Times New Roman"/>
                <w:szCs w:val="20"/>
                <w:lang w:eastAsia="en-US"/>
              </w:rPr>
              <w:t>едино и проверка правовых текстов, поправки, уведомл</w:t>
            </w:r>
            <w:r w:rsidRPr="003606C4">
              <w:rPr>
                <w:rFonts w:eastAsia="Times New Roman" w:cs="Times New Roman"/>
                <w:szCs w:val="20"/>
                <w:lang w:eastAsia="en-US"/>
              </w:rPr>
              <w:t>е</w:t>
            </w:r>
            <w:r w:rsidRPr="003606C4">
              <w:rPr>
                <w:rFonts w:eastAsia="Times New Roman" w:cs="Times New Roman"/>
                <w:szCs w:val="20"/>
                <w:lang w:eastAsia="en-US"/>
              </w:rPr>
              <w:t>ния депозитария, регистрация и уведомление о двусторо</w:t>
            </w:r>
            <w:r w:rsidRPr="003606C4">
              <w:rPr>
                <w:rFonts w:eastAsia="Times New Roman" w:cs="Times New Roman"/>
                <w:szCs w:val="20"/>
                <w:lang w:eastAsia="en-US"/>
              </w:rPr>
              <w:t>н</w:t>
            </w:r>
            <w:r w:rsidRPr="003606C4">
              <w:rPr>
                <w:rFonts w:eastAsia="Times New Roman" w:cs="Times New Roman"/>
                <w:szCs w:val="20"/>
                <w:lang w:eastAsia="en-US"/>
              </w:rPr>
              <w:t>них или многосторонних соглашениях, заключенных Ст</w:t>
            </w:r>
            <w:r w:rsidRPr="003606C4">
              <w:rPr>
                <w:rFonts w:eastAsia="Times New Roman" w:cs="Times New Roman"/>
                <w:szCs w:val="20"/>
                <w:lang w:eastAsia="en-US"/>
              </w:rPr>
              <w:t>о</w:t>
            </w:r>
            <w:r w:rsidRPr="003606C4">
              <w:rPr>
                <w:rFonts w:eastAsia="Times New Roman" w:cs="Times New Roman"/>
                <w:szCs w:val="20"/>
                <w:lang w:eastAsia="en-US"/>
              </w:rPr>
              <w:t>ронами в отступление от требований ДОПОГ или ВОПОГ, специальные разрешения и т.д.);</w:t>
            </w:r>
          </w:p>
          <w:p w:rsidR="0080065A" w:rsidRPr="003606C4" w:rsidRDefault="0080065A" w:rsidP="0080065A">
            <w:pPr>
              <w:numPr>
                <w:ilvl w:val="0"/>
                <w:numId w:val="19"/>
              </w:numPr>
              <w:tabs>
                <w:tab w:val="left" w:pos="166"/>
                <w:tab w:val="num" w:pos="312"/>
                <w:tab w:val="num" w:pos="670"/>
              </w:tabs>
              <w:spacing w:after="120"/>
              <w:ind w:left="166" w:right="212" w:hanging="166"/>
              <w:jc w:val="both"/>
              <w:rPr>
                <w:rFonts w:eastAsia="Times New Roman" w:cs="Times New Roman"/>
                <w:szCs w:val="20"/>
                <w:lang w:eastAsia="en-US"/>
              </w:rPr>
            </w:pPr>
            <w:r w:rsidRPr="003606C4">
              <w:rPr>
                <w:rFonts w:eastAsia="Times New Roman" w:cs="Times New Roman"/>
                <w:szCs w:val="20"/>
                <w:lang w:eastAsia="en-US"/>
              </w:rPr>
              <w:t>опубликование раз в два года сводных вариантов ДОПОГ и ВОПОГ;</w:t>
            </w:r>
          </w:p>
          <w:p w:rsidR="0080065A" w:rsidRPr="003606C4" w:rsidRDefault="0080065A" w:rsidP="0080065A">
            <w:pPr>
              <w:numPr>
                <w:ilvl w:val="0"/>
                <w:numId w:val="19"/>
              </w:numPr>
              <w:tabs>
                <w:tab w:val="left" w:pos="166"/>
                <w:tab w:val="num" w:pos="312"/>
                <w:tab w:val="num" w:pos="670"/>
              </w:tabs>
              <w:spacing w:after="120"/>
              <w:ind w:left="166" w:right="212" w:hanging="166"/>
              <w:jc w:val="both"/>
              <w:rPr>
                <w:rFonts w:eastAsia="Times New Roman" w:cs="Times New Roman"/>
                <w:szCs w:val="20"/>
                <w:lang w:eastAsia="en-US"/>
              </w:rPr>
            </w:pPr>
            <w:r w:rsidRPr="003606C4">
              <w:rPr>
                <w:rFonts w:eastAsia="Times New Roman" w:cs="Times New Roman"/>
                <w:szCs w:val="20"/>
                <w:lang w:eastAsia="en-US"/>
              </w:rPr>
              <w:t>сотрудничество с правительствами и международными организациями;</w:t>
            </w:r>
          </w:p>
          <w:p w:rsidR="0080065A" w:rsidRPr="003606C4" w:rsidRDefault="0080065A" w:rsidP="0080065A">
            <w:pPr>
              <w:numPr>
                <w:ilvl w:val="0"/>
                <w:numId w:val="19"/>
              </w:numPr>
              <w:tabs>
                <w:tab w:val="left" w:pos="166"/>
                <w:tab w:val="num" w:pos="312"/>
                <w:tab w:val="num" w:pos="670"/>
              </w:tabs>
              <w:spacing w:after="120"/>
              <w:ind w:left="166" w:right="212" w:hanging="166"/>
              <w:jc w:val="both"/>
              <w:rPr>
                <w:rFonts w:eastAsia="Times New Roman" w:cs="Times New Roman"/>
                <w:szCs w:val="20"/>
                <w:lang w:eastAsia="en-US"/>
              </w:rPr>
            </w:pPr>
            <w:r w:rsidRPr="003606C4">
              <w:rPr>
                <w:rFonts w:eastAsia="Times New Roman" w:cs="Times New Roman"/>
                <w:szCs w:val="20"/>
                <w:lang w:eastAsia="en-US"/>
              </w:rPr>
              <w:t>обеспечение технической консультационной помощи и профессиональной подготовки или участие в конференц</w:t>
            </w:r>
            <w:r w:rsidRPr="003606C4">
              <w:rPr>
                <w:rFonts w:eastAsia="Times New Roman" w:cs="Times New Roman"/>
                <w:szCs w:val="20"/>
                <w:lang w:eastAsia="en-US"/>
              </w:rPr>
              <w:t>и</w:t>
            </w:r>
            <w:r w:rsidRPr="003606C4">
              <w:rPr>
                <w:rFonts w:eastAsia="Times New Roman" w:cs="Times New Roman"/>
                <w:szCs w:val="20"/>
                <w:lang w:eastAsia="en-US"/>
              </w:rPr>
              <w:t>ях, семинарах и рабочих совещаниях по вопросам оказ</w:t>
            </w:r>
            <w:r w:rsidRPr="003606C4">
              <w:rPr>
                <w:rFonts w:eastAsia="Times New Roman" w:cs="Times New Roman"/>
                <w:szCs w:val="20"/>
                <w:lang w:eastAsia="en-US"/>
              </w:rPr>
              <w:t>а</w:t>
            </w:r>
            <w:r w:rsidRPr="003606C4">
              <w:rPr>
                <w:rFonts w:eastAsia="Times New Roman" w:cs="Times New Roman"/>
                <w:szCs w:val="20"/>
                <w:lang w:eastAsia="en-US"/>
              </w:rPr>
              <w:t>ния технической помощи или повышения информирова</w:t>
            </w:r>
            <w:r w:rsidRPr="003606C4">
              <w:rPr>
                <w:rFonts w:eastAsia="Times New Roman" w:cs="Times New Roman"/>
                <w:szCs w:val="20"/>
                <w:lang w:eastAsia="en-US"/>
              </w:rPr>
              <w:t>н</w:t>
            </w:r>
            <w:r w:rsidRPr="003606C4">
              <w:rPr>
                <w:rFonts w:eastAsia="Times New Roman" w:cs="Times New Roman"/>
                <w:szCs w:val="20"/>
                <w:lang w:eastAsia="en-US"/>
              </w:rPr>
              <w:t>ности (по запросу и с учетом имеющихся ресурсов).</w:t>
            </w:r>
          </w:p>
        </w:tc>
        <w:tc>
          <w:tcPr>
            <w:tcW w:w="2688" w:type="dxa"/>
            <w:tcBorders>
              <w:top w:val="nil"/>
              <w:bottom w:val="single" w:sz="12" w:space="0" w:color="auto"/>
            </w:tcBorders>
            <w:shd w:val="clear" w:color="000000" w:fill="FFFFFF"/>
          </w:tcPr>
          <w:p w:rsidR="0080065A" w:rsidRPr="003606C4" w:rsidRDefault="0080065A" w:rsidP="003606C4">
            <w:pPr>
              <w:spacing w:before="40" w:after="120"/>
              <w:rPr>
                <w:rFonts w:eastAsia="Times New Roman" w:cs="Times New Roman"/>
                <w:szCs w:val="20"/>
                <w:lang w:eastAsia="en-US"/>
              </w:rPr>
            </w:pPr>
          </w:p>
        </w:tc>
      </w:tr>
    </w:tbl>
    <w:p w:rsidR="003869BF" w:rsidRDefault="003869BF" w:rsidP="0073631A">
      <w:pPr>
        <w:pStyle w:val="H23GR"/>
      </w:pPr>
      <w:r>
        <w:tab/>
      </w:r>
      <w:r>
        <w:tab/>
        <w:t>Результаты/виды деятельности</w:t>
      </w:r>
    </w:p>
    <w:p w:rsidR="003869BF" w:rsidRDefault="0073631A" w:rsidP="0073631A">
      <w:pPr>
        <w:pStyle w:val="H4GR"/>
      </w:pPr>
      <w:r>
        <w:tab/>
      </w:r>
      <w:r w:rsidR="003869BF">
        <w:t>a)</w:t>
      </w:r>
      <w:r w:rsidR="003869BF">
        <w:tab/>
        <w:t>Совещания и соответствующая дискуссионная документация</w:t>
      </w:r>
    </w:p>
    <w:p w:rsidR="003869BF" w:rsidRDefault="003869BF" w:rsidP="0073631A">
      <w:pPr>
        <w:pStyle w:val="SingleTxtGR"/>
        <w:ind w:left="1701" w:hanging="567"/>
      </w:pPr>
      <w:r>
        <w:t>9.1</w:t>
      </w:r>
      <w:r>
        <w:tab/>
        <w:t>Рабочая группа по перевозкам опасных грузов (104-я и 105-я сессии в 2018 году; 106-я и 107-я сессии в 2019 году) (38 заседаний).</w:t>
      </w:r>
    </w:p>
    <w:p w:rsidR="003869BF" w:rsidRPr="0073631A" w:rsidRDefault="0073631A" w:rsidP="003869BF">
      <w:pPr>
        <w:pStyle w:val="SingleTxtGR"/>
        <w:rPr>
          <w:i/>
        </w:rPr>
      </w:pPr>
      <w:r>
        <w:tab/>
      </w:r>
      <w:r w:rsidR="003869BF" w:rsidRPr="0073631A">
        <w:rPr>
          <w:i/>
        </w:rPr>
        <w:t>Документация:</w:t>
      </w:r>
    </w:p>
    <w:p w:rsidR="003869BF" w:rsidRDefault="0073631A" w:rsidP="0073631A">
      <w:pPr>
        <w:pStyle w:val="SingleTxtGR"/>
        <w:ind w:left="1701" w:hanging="567"/>
      </w:pPr>
      <w:r>
        <w:tab/>
      </w:r>
      <w:r w:rsidR="003869BF">
        <w:t>Доклады о работе сессий (4); две серии документов по поправкам к те</w:t>
      </w:r>
      <w:r w:rsidR="003869BF">
        <w:t>х</w:t>
      </w:r>
      <w:r w:rsidR="003869BF">
        <w:t>ническим приложениям к ДОПОГ или по применению ДОПОГ; сводный перечень всех поправок к ДОПОГ, которые будут приняты для вступл</w:t>
      </w:r>
      <w:r w:rsidR="003869BF">
        <w:t>е</w:t>
      </w:r>
      <w:r w:rsidR="003869BF">
        <w:t>ния в силу 1 января 2019 года.</w:t>
      </w:r>
    </w:p>
    <w:p w:rsidR="003869BF" w:rsidRDefault="003869BF" w:rsidP="0073631A">
      <w:pPr>
        <w:pStyle w:val="SingleTxtGR"/>
        <w:ind w:left="1701" w:hanging="567"/>
      </w:pPr>
      <w:r>
        <w:t>9.2</w:t>
      </w:r>
      <w:r>
        <w:tab/>
        <w:t>Совместное совещание Комиссии экспертов МПОГ и Рабочей группы по перевозкам опасных грузов (весенняя и осенняя сессии в 2018 году; в</w:t>
      </w:r>
      <w:r>
        <w:t>е</w:t>
      </w:r>
      <w:r>
        <w:t>сенняя и осенняя сессии в 2019 году) (48 заседаний).</w:t>
      </w:r>
    </w:p>
    <w:p w:rsidR="003869BF" w:rsidRPr="0073631A" w:rsidRDefault="0073631A" w:rsidP="003869BF">
      <w:pPr>
        <w:pStyle w:val="SingleTxtGR"/>
        <w:rPr>
          <w:i/>
        </w:rPr>
      </w:pPr>
      <w:r>
        <w:tab/>
      </w:r>
      <w:r w:rsidR="003869BF" w:rsidRPr="0073631A">
        <w:rPr>
          <w:i/>
        </w:rPr>
        <w:t>Документация:</w:t>
      </w:r>
    </w:p>
    <w:p w:rsidR="003869BF" w:rsidRDefault="0073631A" w:rsidP="0073631A">
      <w:pPr>
        <w:pStyle w:val="SingleTxtGR"/>
        <w:ind w:left="1701" w:hanging="567"/>
      </w:pPr>
      <w:r>
        <w:tab/>
      </w:r>
      <w:r w:rsidR="003869BF">
        <w:t xml:space="preserve">Доклады о работе сессий (4); две серии документов по поправкам к ДОПОГ, МПОГ и ВОПОГ. </w:t>
      </w:r>
    </w:p>
    <w:p w:rsidR="003869BF" w:rsidRDefault="003869BF" w:rsidP="0073631A">
      <w:pPr>
        <w:pStyle w:val="SingleTxtGR"/>
        <w:ind w:left="1701" w:hanging="567"/>
      </w:pPr>
      <w:r>
        <w:t>9.3</w:t>
      </w:r>
      <w:r>
        <w:tab/>
        <w:t>Совместное совещание экспертов по Правилам, прилагаемым к Европе</w:t>
      </w:r>
      <w:r>
        <w:t>й</w:t>
      </w:r>
      <w:r>
        <w:t>скому соглашению о международной перевозке опасных грузов по вну</w:t>
      </w:r>
      <w:r>
        <w:t>т</w:t>
      </w:r>
      <w:r>
        <w:t>ренним водным путям (ВОПОГ) (тридцать вторая и тридцать третья се</w:t>
      </w:r>
      <w:r>
        <w:t>с</w:t>
      </w:r>
      <w:r>
        <w:t>сии в 2018 году; тридцать четвертая и тридцать пятая сессии в 2019 году) (36 заседаний).</w:t>
      </w:r>
    </w:p>
    <w:p w:rsidR="003869BF" w:rsidRPr="0073631A" w:rsidRDefault="0073631A" w:rsidP="003869BF">
      <w:pPr>
        <w:pStyle w:val="SingleTxtGR"/>
        <w:rPr>
          <w:i/>
        </w:rPr>
      </w:pPr>
      <w:r>
        <w:rPr>
          <w:i/>
        </w:rPr>
        <w:tab/>
      </w:r>
      <w:r w:rsidR="003869BF" w:rsidRPr="0073631A">
        <w:rPr>
          <w:i/>
        </w:rPr>
        <w:t>Документация:</w:t>
      </w:r>
    </w:p>
    <w:p w:rsidR="003869BF" w:rsidRDefault="0073631A" w:rsidP="0073631A">
      <w:pPr>
        <w:pStyle w:val="SingleTxtGR"/>
        <w:ind w:left="1701" w:hanging="567"/>
      </w:pPr>
      <w:r>
        <w:tab/>
      </w:r>
      <w:r w:rsidR="003869BF">
        <w:t>Доклады о работе сессий (4); две серии документов по поправкам к Пр</w:t>
      </w:r>
      <w:r w:rsidR="003869BF">
        <w:t>а</w:t>
      </w:r>
      <w:r w:rsidR="003869BF">
        <w:t>вилам, прилагаемым к ВОПОГ, или по применению ВОПОГ.</w:t>
      </w:r>
    </w:p>
    <w:p w:rsidR="003869BF" w:rsidRDefault="003869BF" w:rsidP="0073631A">
      <w:pPr>
        <w:pStyle w:val="SingleTxtGR"/>
        <w:ind w:left="1701" w:hanging="567"/>
      </w:pPr>
      <w:r>
        <w:t>9.4</w:t>
      </w:r>
      <w:r>
        <w:tab/>
        <w:t>Административный комитет ВОПОГ (двадцатая и двадцать первая сессии в 2018 году; двадцать вторая и двадцать третья сессии в 2019 году) (4 з</w:t>
      </w:r>
      <w:r>
        <w:t>а</w:t>
      </w:r>
      <w:r>
        <w:t>седания).</w:t>
      </w:r>
    </w:p>
    <w:p w:rsidR="003869BF" w:rsidRPr="0073631A" w:rsidRDefault="0073631A" w:rsidP="003869BF">
      <w:pPr>
        <w:pStyle w:val="SingleTxtGR"/>
        <w:rPr>
          <w:i/>
        </w:rPr>
      </w:pPr>
      <w:r>
        <w:tab/>
      </w:r>
      <w:r w:rsidR="003869BF" w:rsidRPr="0073631A">
        <w:rPr>
          <w:i/>
        </w:rPr>
        <w:t>Документация:</w:t>
      </w:r>
    </w:p>
    <w:p w:rsidR="003869BF" w:rsidRDefault="0073631A" w:rsidP="0073631A">
      <w:pPr>
        <w:pStyle w:val="SingleTxtGR"/>
        <w:ind w:left="1701" w:hanging="567"/>
      </w:pPr>
      <w:r>
        <w:tab/>
      </w:r>
      <w:r w:rsidR="003869BF">
        <w:t>Доклады о работе сессий (4); две серии документов по поправкам или по административному обслуживанию ВОПОГ; сводный перечень всех п</w:t>
      </w:r>
      <w:r w:rsidR="003869BF">
        <w:t>о</w:t>
      </w:r>
      <w:r w:rsidR="003869BF">
        <w:t>правок к ВОПОГ, которые будут приняты для вступления в силу 1 января 2019 года.</w:t>
      </w:r>
    </w:p>
    <w:p w:rsidR="003869BF" w:rsidRDefault="0073631A" w:rsidP="0073631A">
      <w:pPr>
        <w:pStyle w:val="H4GR"/>
      </w:pPr>
      <w:r>
        <w:tab/>
      </w:r>
      <w:r w:rsidR="003869BF">
        <w:t>b)</w:t>
      </w:r>
      <w:r w:rsidR="003869BF">
        <w:tab/>
        <w:t>Публикации и другие информационные материалы</w:t>
      </w:r>
    </w:p>
    <w:p w:rsidR="003869BF" w:rsidRDefault="003869BF" w:rsidP="0073631A">
      <w:pPr>
        <w:pStyle w:val="SingleTxtGR"/>
        <w:ind w:left="1701" w:hanging="567"/>
      </w:pPr>
      <w:r>
        <w:t>9.5</w:t>
      </w:r>
      <w:r>
        <w:tab/>
        <w:t>Сводное пересмотренное издание ДОПОГ 2019 года (действующее с 1</w:t>
      </w:r>
      <w:r w:rsidR="0073631A">
        <w:t> </w:t>
      </w:r>
      <w:r>
        <w:t>января 2019 года) (печатное издание и электронная версия).</w:t>
      </w:r>
    </w:p>
    <w:p w:rsidR="003869BF" w:rsidRDefault="003869BF" w:rsidP="0073631A">
      <w:pPr>
        <w:pStyle w:val="SingleTxtGR"/>
        <w:ind w:left="1701" w:hanging="567"/>
      </w:pPr>
      <w:r>
        <w:t>9.6</w:t>
      </w:r>
      <w:r>
        <w:tab/>
        <w:t>Сводное пересмотренное издание В</w:t>
      </w:r>
      <w:r w:rsidR="0073631A">
        <w:t>ОПОГ 2019 года (действующее с 1 </w:t>
      </w:r>
      <w:r>
        <w:t>января 2019 года) (печатное издание и электронная версия).</w:t>
      </w:r>
    </w:p>
    <w:p w:rsidR="003869BF" w:rsidRDefault="003869BF" w:rsidP="0073631A">
      <w:pPr>
        <w:pStyle w:val="SingleTxtGR"/>
        <w:ind w:left="1701" w:hanging="567"/>
      </w:pPr>
      <w:r>
        <w:t>9.7</w:t>
      </w:r>
      <w:r>
        <w:tab/>
        <w:t>Опубликование на веб-сайте информации и правовых данных, касающи</w:t>
      </w:r>
      <w:r>
        <w:t>х</w:t>
      </w:r>
      <w:r>
        <w:t>ся ДОПОГ и ВОПОГ (статус Соглашения, компетентные органы, пис</w:t>
      </w:r>
      <w:r>
        <w:t>ь</w:t>
      </w:r>
      <w:r>
        <w:t>менные инструкции, уведомления, двусторонние и многосторонние с</w:t>
      </w:r>
      <w:r>
        <w:t>о</w:t>
      </w:r>
      <w:r>
        <w:t>глашения,</w:t>
      </w:r>
      <w:r w:rsidR="0073631A">
        <w:t xml:space="preserve"> специальные разрешения и т.д.)</w:t>
      </w:r>
      <w:r w:rsidR="0073631A">
        <w:rPr>
          <w:rStyle w:val="FootnoteReference"/>
        </w:rPr>
        <w:footnoteReference w:id="1"/>
      </w:r>
      <w:r>
        <w:t>.</w:t>
      </w:r>
    </w:p>
    <w:p w:rsidR="003869BF" w:rsidRDefault="0073631A" w:rsidP="0073631A">
      <w:pPr>
        <w:pStyle w:val="H4GR"/>
      </w:pPr>
      <w:r>
        <w:tab/>
      </w:r>
      <w:r w:rsidR="003869BF">
        <w:t>c)</w:t>
      </w:r>
      <w:r w:rsidR="003869BF">
        <w:tab/>
        <w:t>Техническое сотрудничество</w:t>
      </w:r>
    </w:p>
    <w:p w:rsidR="003869BF" w:rsidRDefault="003869BF" w:rsidP="0073631A">
      <w:pPr>
        <w:pStyle w:val="SingleTxtGR"/>
        <w:ind w:left="1701" w:hanging="567"/>
      </w:pPr>
      <w:r>
        <w:t>9.8</w:t>
      </w:r>
      <w:r>
        <w:tab/>
        <w:t>Правовая и техническая помощь Договаривающимся сторонам ДОПОГ и ВОПОГ в целях эффективного применения, а также странам − членам ЕЭК или странам, не являющимся членами ЕЭК, заинтересованным в присоединении.</w:t>
      </w:r>
    </w:p>
    <w:p w:rsidR="003869BF" w:rsidRDefault="003869BF" w:rsidP="0073631A">
      <w:pPr>
        <w:pStyle w:val="SingleTxtGR"/>
        <w:ind w:left="1701" w:hanging="567"/>
      </w:pPr>
      <w:r>
        <w:t>9.9</w:t>
      </w:r>
      <w:r>
        <w:tab/>
        <w:t>Сотрудничество с правительствами и международными организациями: обеспечение технической консультационной помощи и профессионал</w:t>
      </w:r>
      <w:r>
        <w:t>ь</w:t>
      </w:r>
      <w:r>
        <w:t>ной подготовки либо участие в конференциях, семинарах и рабочих с</w:t>
      </w:r>
      <w:r>
        <w:t>о</w:t>
      </w:r>
      <w:r>
        <w:t>вещаниях для оказания технической помощи или повышения осведо</w:t>
      </w:r>
      <w:r>
        <w:t>м</w:t>
      </w:r>
      <w:r>
        <w:t>ленности по соответствующим проблемам (по запросу и с учетом име</w:t>
      </w:r>
      <w:r>
        <w:t>ю</w:t>
      </w:r>
      <w:r>
        <w:t>щихся ресурсов).</w:t>
      </w:r>
    </w:p>
    <w:p w:rsidR="00E12C5F" w:rsidRPr="0073631A" w:rsidRDefault="0073631A" w:rsidP="0073631A">
      <w:pPr>
        <w:pStyle w:val="SingleTxtGR"/>
        <w:spacing w:before="240" w:after="0"/>
        <w:jc w:val="center"/>
        <w:rPr>
          <w:u w:val="single"/>
        </w:rPr>
      </w:pPr>
      <w:r>
        <w:rPr>
          <w:u w:val="single"/>
        </w:rPr>
        <w:tab/>
      </w:r>
      <w:r>
        <w:rPr>
          <w:u w:val="single"/>
        </w:rPr>
        <w:tab/>
      </w:r>
      <w:r>
        <w:rPr>
          <w:u w:val="single"/>
        </w:rPr>
        <w:tab/>
      </w:r>
    </w:p>
    <w:sectPr w:rsidR="00E12C5F" w:rsidRPr="0073631A" w:rsidSect="006C1F9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1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01" w:rsidRPr="00A312BC" w:rsidRDefault="00285501" w:rsidP="00A312BC"/>
  </w:endnote>
  <w:endnote w:type="continuationSeparator" w:id="0">
    <w:p w:rsidR="00285501" w:rsidRPr="00A312BC" w:rsidRDefault="002855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1" w:rsidRPr="006C1F9F" w:rsidRDefault="00285501">
    <w:pPr>
      <w:pStyle w:val="Footer"/>
    </w:pPr>
    <w:r w:rsidRPr="006C1F9F">
      <w:rPr>
        <w:b/>
        <w:sz w:val="18"/>
      </w:rPr>
      <w:fldChar w:fldCharType="begin"/>
    </w:r>
    <w:r w:rsidRPr="006C1F9F">
      <w:rPr>
        <w:b/>
        <w:sz w:val="18"/>
      </w:rPr>
      <w:instrText xml:space="preserve"> PAGE  \* MERGEFORMAT </w:instrText>
    </w:r>
    <w:r w:rsidRPr="006C1F9F">
      <w:rPr>
        <w:b/>
        <w:sz w:val="18"/>
      </w:rPr>
      <w:fldChar w:fldCharType="separate"/>
    </w:r>
    <w:r w:rsidR="0078673A">
      <w:rPr>
        <w:b/>
        <w:noProof/>
        <w:sz w:val="18"/>
      </w:rPr>
      <w:t>32</w:t>
    </w:r>
    <w:r w:rsidRPr="006C1F9F">
      <w:rPr>
        <w:b/>
        <w:sz w:val="18"/>
      </w:rPr>
      <w:fldChar w:fldCharType="end"/>
    </w:r>
    <w:r>
      <w:rPr>
        <w:b/>
        <w:sz w:val="18"/>
      </w:rPr>
      <w:tab/>
    </w:r>
    <w:r>
      <w:t>GE.17-08961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1" w:rsidRPr="006C1F9F" w:rsidRDefault="00285501" w:rsidP="006C1F9F">
    <w:pPr>
      <w:pStyle w:val="Footer"/>
      <w:tabs>
        <w:tab w:val="clear" w:pos="9639"/>
        <w:tab w:val="right" w:pos="9638"/>
      </w:tabs>
      <w:rPr>
        <w:b/>
        <w:sz w:val="18"/>
      </w:rPr>
    </w:pPr>
    <w:r>
      <w:t>GE.17-08961</w:t>
    </w:r>
    <w:r>
      <w:tab/>
    </w:r>
    <w:r w:rsidRPr="006C1F9F">
      <w:rPr>
        <w:b/>
        <w:sz w:val="18"/>
      </w:rPr>
      <w:fldChar w:fldCharType="begin"/>
    </w:r>
    <w:r w:rsidRPr="006C1F9F">
      <w:rPr>
        <w:b/>
        <w:sz w:val="18"/>
      </w:rPr>
      <w:instrText xml:space="preserve"> PAGE  \* MERGEFORMAT </w:instrText>
    </w:r>
    <w:r w:rsidRPr="006C1F9F">
      <w:rPr>
        <w:b/>
        <w:sz w:val="18"/>
      </w:rPr>
      <w:fldChar w:fldCharType="separate"/>
    </w:r>
    <w:r w:rsidR="0078673A">
      <w:rPr>
        <w:b/>
        <w:noProof/>
        <w:sz w:val="18"/>
      </w:rPr>
      <w:t>33</w:t>
    </w:r>
    <w:r w:rsidRPr="006C1F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1" w:rsidRPr="006C1F9F" w:rsidRDefault="00285501" w:rsidP="006C1F9F">
    <w:pPr>
      <w:spacing w:before="120" w:line="240" w:lineRule="auto"/>
    </w:pPr>
    <w:r>
      <w:t>GE.</w:t>
    </w:r>
    <w:r>
      <w:rPr>
        <w:b/>
        <w:noProof/>
        <w:lang w:val="en-GB" w:eastAsia="en-GB"/>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17-08961  (R)</w:t>
    </w:r>
    <w:r>
      <w:rPr>
        <w:lang w:val="en-US"/>
      </w:rPr>
      <w:t xml:space="preserve">  270617  280617</w:t>
    </w:r>
    <w:r>
      <w:br/>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sidRPr="006C1F9F">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3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3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01" w:rsidRPr="001075E9" w:rsidRDefault="00285501" w:rsidP="001075E9">
      <w:pPr>
        <w:tabs>
          <w:tab w:val="right" w:pos="2155"/>
        </w:tabs>
        <w:spacing w:after="80" w:line="240" w:lineRule="auto"/>
        <w:ind w:left="680"/>
        <w:rPr>
          <w:u w:val="single"/>
        </w:rPr>
      </w:pPr>
      <w:r>
        <w:rPr>
          <w:u w:val="single"/>
        </w:rPr>
        <w:tab/>
      </w:r>
    </w:p>
  </w:footnote>
  <w:footnote w:type="continuationSeparator" w:id="0">
    <w:p w:rsidR="00285501" w:rsidRDefault="00285501" w:rsidP="00407B78">
      <w:pPr>
        <w:tabs>
          <w:tab w:val="right" w:pos="2155"/>
        </w:tabs>
        <w:spacing w:after="80"/>
        <w:ind w:left="680"/>
        <w:rPr>
          <w:u w:val="single"/>
        </w:rPr>
      </w:pPr>
      <w:r>
        <w:rPr>
          <w:u w:val="single"/>
        </w:rPr>
        <w:tab/>
      </w:r>
    </w:p>
  </w:footnote>
  <w:footnote w:id="1">
    <w:p w:rsidR="00285501" w:rsidRPr="0073631A" w:rsidRDefault="00285501" w:rsidP="0073631A">
      <w:pPr>
        <w:pStyle w:val="FootnoteText"/>
      </w:pPr>
      <w:r>
        <w:tab/>
      </w:r>
      <w:r>
        <w:rPr>
          <w:rStyle w:val="FootnoteReference"/>
        </w:rPr>
        <w:footnoteRef/>
      </w:r>
      <w:r>
        <w:tab/>
      </w:r>
      <w:hyperlink r:id="rId1" w:history="1">
        <w:r w:rsidRPr="00D521C8">
          <w:rPr>
            <w:rStyle w:val="Hyperlink"/>
          </w:rPr>
          <w:t>www.unece.org/trans/danger/danger.html</w:t>
        </w:r>
      </w:hyperlink>
      <w:r w:rsidRPr="007363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1" w:rsidRPr="006C1F9F" w:rsidRDefault="001855DC">
    <w:pPr>
      <w:pStyle w:val="Header"/>
    </w:pPr>
    <w:fldSimple w:instr=" TITLE  \* MERGEFORMAT ">
      <w:r w:rsidR="0078673A">
        <w:t>ECE/TRANS/WP.15/237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1" w:rsidRPr="006C1F9F" w:rsidRDefault="001855DC" w:rsidP="006C1F9F">
    <w:pPr>
      <w:pStyle w:val="Header"/>
      <w:jc w:val="right"/>
    </w:pPr>
    <w:fldSimple w:instr=" TITLE  \* MERGEFORMAT ">
      <w:r w:rsidR="0078673A">
        <w:t>ECE/TRANS/WP.15/237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E97457D"/>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7"/>
    <w:lvlOverride w:ilvl="0">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0"/>
    <w:lvlOverride w:ilvl="1">
      <w:lvl w:ilvl="1" w:tplc="0809000F">
        <w:start w:val="1"/>
        <w:numFmt w:val="decimal"/>
        <w:lvlText w:val="%2."/>
        <w:lvlJc w:val="left"/>
        <w:pPr>
          <w:tabs>
            <w:tab w:val="num" w:pos="1440"/>
          </w:tabs>
          <w:ind w:left="1440" w:hanging="360"/>
        </w:pPr>
        <w:rPr>
          <w:rFonts w:hint="default"/>
        </w:rPr>
      </w:lvl>
    </w:lvlOverride>
  </w:num>
  <w:num w:numId="21">
    <w:abstractNumId w:val="10"/>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21"/>
    <w:rsid w:val="00033EE1"/>
    <w:rsid w:val="00042B72"/>
    <w:rsid w:val="00044521"/>
    <w:rsid w:val="000558BD"/>
    <w:rsid w:val="000A37C8"/>
    <w:rsid w:val="000B1F7B"/>
    <w:rsid w:val="000B5672"/>
    <w:rsid w:val="000B57E7"/>
    <w:rsid w:val="000B6373"/>
    <w:rsid w:val="000C3C52"/>
    <w:rsid w:val="000E4E5B"/>
    <w:rsid w:val="000F09DF"/>
    <w:rsid w:val="000F61B2"/>
    <w:rsid w:val="00105EC6"/>
    <w:rsid w:val="0010721E"/>
    <w:rsid w:val="001075E9"/>
    <w:rsid w:val="0014152F"/>
    <w:rsid w:val="001507E6"/>
    <w:rsid w:val="00180183"/>
    <w:rsid w:val="0018024D"/>
    <w:rsid w:val="001855DC"/>
    <w:rsid w:val="0018649F"/>
    <w:rsid w:val="00196389"/>
    <w:rsid w:val="001B3EF6"/>
    <w:rsid w:val="001C7A89"/>
    <w:rsid w:val="001E68A7"/>
    <w:rsid w:val="00246EB2"/>
    <w:rsid w:val="00255343"/>
    <w:rsid w:val="0027151D"/>
    <w:rsid w:val="00272E5F"/>
    <w:rsid w:val="00285501"/>
    <w:rsid w:val="002A2EFC"/>
    <w:rsid w:val="002B0106"/>
    <w:rsid w:val="002B74B1"/>
    <w:rsid w:val="002C0E18"/>
    <w:rsid w:val="002D5AAC"/>
    <w:rsid w:val="002E5067"/>
    <w:rsid w:val="002F2523"/>
    <w:rsid w:val="002F405F"/>
    <w:rsid w:val="002F68AE"/>
    <w:rsid w:val="002F7EEC"/>
    <w:rsid w:val="00301299"/>
    <w:rsid w:val="00305C08"/>
    <w:rsid w:val="00307FB6"/>
    <w:rsid w:val="00317339"/>
    <w:rsid w:val="00322004"/>
    <w:rsid w:val="003402C2"/>
    <w:rsid w:val="00355931"/>
    <w:rsid w:val="003606C4"/>
    <w:rsid w:val="00381C24"/>
    <w:rsid w:val="003869BF"/>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06909"/>
    <w:rsid w:val="00513081"/>
    <w:rsid w:val="00517901"/>
    <w:rsid w:val="00526683"/>
    <w:rsid w:val="005472B6"/>
    <w:rsid w:val="005529B5"/>
    <w:rsid w:val="005639C1"/>
    <w:rsid w:val="005709E0"/>
    <w:rsid w:val="00572E19"/>
    <w:rsid w:val="00593BF6"/>
    <w:rsid w:val="005961C8"/>
    <w:rsid w:val="005966F1"/>
    <w:rsid w:val="005B667C"/>
    <w:rsid w:val="005D7914"/>
    <w:rsid w:val="005E1F8E"/>
    <w:rsid w:val="005E2B41"/>
    <w:rsid w:val="005F0B42"/>
    <w:rsid w:val="0062576D"/>
    <w:rsid w:val="00626F22"/>
    <w:rsid w:val="006345DB"/>
    <w:rsid w:val="00640F49"/>
    <w:rsid w:val="00680D03"/>
    <w:rsid w:val="00681A10"/>
    <w:rsid w:val="006A1ED8"/>
    <w:rsid w:val="006C1F9F"/>
    <w:rsid w:val="006C2031"/>
    <w:rsid w:val="006D461A"/>
    <w:rsid w:val="006F35EE"/>
    <w:rsid w:val="007021FF"/>
    <w:rsid w:val="00712895"/>
    <w:rsid w:val="00734ACB"/>
    <w:rsid w:val="0073631A"/>
    <w:rsid w:val="00757357"/>
    <w:rsid w:val="007652BB"/>
    <w:rsid w:val="0078673A"/>
    <w:rsid w:val="00792497"/>
    <w:rsid w:val="0080065A"/>
    <w:rsid w:val="00806737"/>
    <w:rsid w:val="00825F8D"/>
    <w:rsid w:val="00834B71"/>
    <w:rsid w:val="0086445C"/>
    <w:rsid w:val="00894693"/>
    <w:rsid w:val="008A08D7"/>
    <w:rsid w:val="008A37C8"/>
    <w:rsid w:val="008B6909"/>
    <w:rsid w:val="008D53B6"/>
    <w:rsid w:val="008F7609"/>
    <w:rsid w:val="00906890"/>
    <w:rsid w:val="00911BE4"/>
    <w:rsid w:val="009478E7"/>
    <w:rsid w:val="00951972"/>
    <w:rsid w:val="009608F3"/>
    <w:rsid w:val="0097120F"/>
    <w:rsid w:val="009871B8"/>
    <w:rsid w:val="009A24AC"/>
    <w:rsid w:val="009A4176"/>
    <w:rsid w:val="009C6FE6"/>
    <w:rsid w:val="00A10A6F"/>
    <w:rsid w:val="00A14DA8"/>
    <w:rsid w:val="00A312BC"/>
    <w:rsid w:val="00A36D80"/>
    <w:rsid w:val="00A61088"/>
    <w:rsid w:val="00A84021"/>
    <w:rsid w:val="00A84D35"/>
    <w:rsid w:val="00A917B3"/>
    <w:rsid w:val="00AB31FB"/>
    <w:rsid w:val="00AB4B51"/>
    <w:rsid w:val="00B10CC7"/>
    <w:rsid w:val="00B1705C"/>
    <w:rsid w:val="00B36DF7"/>
    <w:rsid w:val="00B539E7"/>
    <w:rsid w:val="00B62458"/>
    <w:rsid w:val="00B936CA"/>
    <w:rsid w:val="00BC18B2"/>
    <w:rsid w:val="00BC3E82"/>
    <w:rsid w:val="00BD33EE"/>
    <w:rsid w:val="00BE1CC7"/>
    <w:rsid w:val="00C106D6"/>
    <w:rsid w:val="00C119AE"/>
    <w:rsid w:val="00C257F3"/>
    <w:rsid w:val="00C25F3E"/>
    <w:rsid w:val="00C60F0C"/>
    <w:rsid w:val="00C75D2C"/>
    <w:rsid w:val="00C805C9"/>
    <w:rsid w:val="00C87BA4"/>
    <w:rsid w:val="00C92939"/>
    <w:rsid w:val="00CA1679"/>
    <w:rsid w:val="00CB0D39"/>
    <w:rsid w:val="00CB151C"/>
    <w:rsid w:val="00CB7DC4"/>
    <w:rsid w:val="00CE5A1A"/>
    <w:rsid w:val="00CF55F6"/>
    <w:rsid w:val="00D151A0"/>
    <w:rsid w:val="00D335E6"/>
    <w:rsid w:val="00D33D63"/>
    <w:rsid w:val="00D5253A"/>
    <w:rsid w:val="00D54936"/>
    <w:rsid w:val="00D83056"/>
    <w:rsid w:val="00D90028"/>
    <w:rsid w:val="00D90138"/>
    <w:rsid w:val="00DA5394"/>
    <w:rsid w:val="00DC6C8F"/>
    <w:rsid w:val="00DD78D1"/>
    <w:rsid w:val="00DE32CD"/>
    <w:rsid w:val="00DF5767"/>
    <w:rsid w:val="00DF71B9"/>
    <w:rsid w:val="00E12C5F"/>
    <w:rsid w:val="00E73F76"/>
    <w:rsid w:val="00E8749B"/>
    <w:rsid w:val="00EA2C9F"/>
    <w:rsid w:val="00EA420E"/>
    <w:rsid w:val="00ED0BDA"/>
    <w:rsid w:val="00EE142A"/>
    <w:rsid w:val="00EF1360"/>
    <w:rsid w:val="00EF3220"/>
    <w:rsid w:val="00F2523A"/>
    <w:rsid w:val="00F43903"/>
    <w:rsid w:val="00F94155"/>
    <w:rsid w:val="00F9783F"/>
    <w:rsid w:val="00FD2EF7"/>
    <w:rsid w:val="00FE447E"/>
    <w:rsid w:val="00FE4B2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3606C4"/>
    <w:pPr>
      <w:numPr>
        <w:numId w:val="19"/>
      </w:numPr>
      <w:suppressAutoHyphens/>
      <w:spacing w:after="120"/>
      <w:ind w:right="1134"/>
      <w:jc w:val="both"/>
    </w:pPr>
    <w:rPr>
      <w:rFonts w:eastAsia="Times New Roman" w:cs="Times New Roman"/>
      <w:spacing w:val="0"/>
      <w:w w:val="100"/>
      <w:kern w:val="0"/>
      <w:szCs w:val="20"/>
      <w:lang w:val="en-GB" w:eastAsia="en-US"/>
    </w:rPr>
  </w:style>
  <w:style w:type="numbering" w:styleId="1ai">
    <w:name w:val="Outline List 1"/>
    <w:basedOn w:val="NoList"/>
    <w:semiHidden/>
    <w:unhideWhenUsed/>
    <w:rsid w:val="0073631A"/>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3606C4"/>
    <w:pPr>
      <w:numPr>
        <w:numId w:val="19"/>
      </w:numPr>
      <w:suppressAutoHyphens/>
      <w:spacing w:after="120"/>
      <w:ind w:right="1134"/>
      <w:jc w:val="both"/>
    </w:pPr>
    <w:rPr>
      <w:rFonts w:eastAsia="Times New Roman" w:cs="Times New Roman"/>
      <w:spacing w:val="0"/>
      <w:w w:val="100"/>
      <w:kern w:val="0"/>
      <w:szCs w:val="20"/>
      <w:lang w:val="en-GB" w:eastAsia="en-US"/>
    </w:rPr>
  </w:style>
  <w:style w:type="numbering" w:styleId="1ai">
    <w:name w:val="Outline List 1"/>
    <w:basedOn w:val="NoList"/>
    <w:semiHidden/>
    <w:unhideWhenUsed/>
    <w:rsid w:val="0073631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dang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10763</Words>
  <Characters>61353</Characters>
  <Application>Microsoft Office Word</Application>
  <DocSecurity>0</DocSecurity>
  <Lines>511</Lines>
  <Paragraphs>143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ECE/TRANS/WP.15/237</vt:lpstr>
      <vt:lpstr>ECE/TRANS/WP.15/237</vt:lpstr>
      <vt:lpstr>A/</vt:lpstr>
    </vt:vector>
  </TitlesOfParts>
  <Company>DCM</Company>
  <LinksUpToDate>false</LinksUpToDate>
  <CharactersWithSpaces>71973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ECE/TRANS/WP.15/237</dc:title>
  <dc:creator>Anna PETELINA</dc:creator>
  <cp:lastModifiedBy>Laurence Berthet</cp:lastModifiedBy>
  <cp:revision>3</cp:revision>
  <cp:lastPrinted>2017-07-03T09:07:00Z</cp:lastPrinted>
  <dcterms:created xsi:type="dcterms:W3CDTF">2017-07-03T09:07:00Z</dcterms:created>
  <dcterms:modified xsi:type="dcterms:W3CDTF">2017-07-03T09:08:00Z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