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277439">
            <w:pPr>
              <w:suppressAutoHyphens w:val="0"/>
              <w:spacing w:after="20"/>
              <w:jc w:val="right"/>
            </w:pPr>
            <w:r w:rsidRPr="008D4A19">
              <w:rPr>
                <w:sz w:val="40"/>
              </w:rPr>
              <w:t>ECE</w:t>
            </w:r>
            <w:r>
              <w:t>/TRANS/WP.15/201</w:t>
            </w:r>
            <w:r w:rsidR="00597C2F">
              <w:t>7</w:t>
            </w:r>
            <w:r>
              <w:t>/</w:t>
            </w:r>
            <w:r w:rsidR="00277439">
              <w:t>7</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852A41" w:rsidP="008D4A19">
            <w:pPr>
              <w:suppressAutoHyphens w:val="0"/>
            </w:pPr>
            <w:r>
              <w:t>20</w:t>
            </w:r>
            <w:r w:rsidR="004D3CEF">
              <w:t xml:space="preserve"> February</w:t>
            </w:r>
            <w:r w:rsidR="001330DE">
              <w:t xml:space="preserve"> 201</w:t>
            </w:r>
            <w:r w:rsidR="00597C2F">
              <w:t>7</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3D738F" w:rsidP="001330DE">
      <w:pPr>
        <w:spacing w:before="120"/>
        <w:rPr>
          <w:rFonts w:eastAsia="SimSun"/>
          <w:b/>
        </w:rPr>
      </w:pPr>
      <w:r>
        <w:rPr>
          <w:rFonts w:eastAsia="SimSun"/>
          <w:b/>
        </w:rPr>
        <w:t>102nd</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597C2F">
        <w:rPr>
          <w:rFonts w:eastAsia="SimSun"/>
        </w:rPr>
        <w:t>8</w:t>
      </w:r>
      <w:r w:rsidR="00F7574E">
        <w:rPr>
          <w:rFonts w:eastAsia="SimSun"/>
        </w:rPr>
        <w:t>-</w:t>
      </w:r>
      <w:bookmarkStart w:id="0" w:name="_GoBack"/>
      <w:bookmarkEnd w:id="0"/>
      <w:r w:rsidR="00DE40E0">
        <w:rPr>
          <w:rFonts w:eastAsia="SimSun"/>
        </w:rPr>
        <w:t>1</w:t>
      </w:r>
      <w:r w:rsidR="00597C2F">
        <w:rPr>
          <w:rFonts w:eastAsia="SimSun"/>
        </w:rPr>
        <w:t>2</w:t>
      </w:r>
      <w:r w:rsidRPr="00BA64A8">
        <w:rPr>
          <w:rFonts w:eastAsia="SimSun"/>
        </w:rPr>
        <w:t xml:space="preserve"> May 201</w:t>
      </w:r>
      <w:r w:rsidR="00597C2F">
        <w:rPr>
          <w:rFonts w:eastAsia="SimSun"/>
        </w:rPr>
        <w:t>7</w:t>
      </w:r>
      <w:r w:rsidRPr="00BA64A8">
        <w:rPr>
          <w:rFonts w:eastAsia="SimSun"/>
        </w:rPr>
        <w:t xml:space="preserve"> </w:t>
      </w:r>
    </w:p>
    <w:p w:rsidR="009254C2" w:rsidRDefault="009254C2" w:rsidP="009254C2">
      <w:r>
        <w:t>Item 5</w:t>
      </w:r>
      <w:r w:rsidR="00FE2474">
        <w:t xml:space="preserve"> </w:t>
      </w:r>
      <w:r>
        <w:t>(a) of the provisional agenda</w:t>
      </w:r>
    </w:p>
    <w:p w:rsidR="009254C2" w:rsidRPr="003D777F" w:rsidRDefault="009254C2" w:rsidP="009254C2">
      <w:pPr>
        <w:rPr>
          <w:b/>
        </w:rPr>
      </w:pPr>
      <w:r w:rsidRPr="003D777F">
        <w:rPr>
          <w:b/>
        </w:rPr>
        <w:t>Proposals for amendments to Annexes A and B of ADR:</w:t>
      </w:r>
    </w:p>
    <w:p w:rsidR="00DE40E0" w:rsidRPr="001E59E0" w:rsidRDefault="009254C2" w:rsidP="009254C2">
      <w:pPr>
        <w:rPr>
          <w:b/>
        </w:rPr>
      </w:pPr>
      <w:r>
        <w:rPr>
          <w:b/>
        </w:rPr>
        <w:t>construction and approval of vehicles</w:t>
      </w:r>
    </w:p>
    <w:p w:rsidR="003A6B33" w:rsidRPr="00B573A9" w:rsidRDefault="003A6B33" w:rsidP="003A6B33">
      <w:pPr>
        <w:pStyle w:val="HChG"/>
        <w:rPr>
          <w:sz w:val="20"/>
        </w:rPr>
      </w:pPr>
      <w:r>
        <w:tab/>
      </w:r>
      <w:r>
        <w:tab/>
      </w:r>
      <w:r w:rsidR="009254C2">
        <w:t>A</w:t>
      </w:r>
      <w:r w:rsidR="009254C2" w:rsidRPr="00426C9C">
        <w:t>mendment</w:t>
      </w:r>
      <w:r w:rsidR="009254C2">
        <w:t>s to ADR 9.7.3 concerning fastening requirements</w:t>
      </w:r>
    </w:p>
    <w:p w:rsidR="00086018" w:rsidRDefault="003A6B33" w:rsidP="00086018">
      <w:pPr>
        <w:pStyle w:val="H1G"/>
      </w:pPr>
      <w:r w:rsidRPr="00B573A9">
        <w:rPr>
          <w:b w:val="0"/>
          <w:sz w:val="20"/>
        </w:rPr>
        <w:tab/>
      </w:r>
      <w:r w:rsidRPr="00B573A9">
        <w:rPr>
          <w:b w:val="0"/>
          <w:sz w:val="20"/>
        </w:rPr>
        <w:tab/>
      </w:r>
      <w:r w:rsidR="00696D0A" w:rsidRPr="00E51153">
        <w:t xml:space="preserve">Transmitted by the Government of </w:t>
      </w:r>
      <w:r w:rsidR="009254C2">
        <w:t>Norway</w:t>
      </w:r>
      <w:r w:rsidR="00852A41" w:rsidRPr="00C634A6">
        <w:rPr>
          <w:rStyle w:val="FootnoteReference"/>
          <w:b w:val="0"/>
          <w:sz w:val="20"/>
        </w:rPr>
        <w:footnoteReference w:customMarkFollows="1" w:id="2"/>
        <w:sym w:font="Symbol" w:char="F02A"/>
      </w:r>
    </w:p>
    <w:p w:rsidR="009254C2" w:rsidRDefault="009254C2" w:rsidP="00086018">
      <w:pPr>
        <w:pStyle w:val="H1G"/>
      </w:pPr>
      <w:r>
        <w:br w:type="page"/>
      </w:r>
    </w:p>
    <w:p w:rsidR="009254C2" w:rsidRPr="009254C2" w:rsidRDefault="009254C2" w:rsidP="009254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3A6B33" w:rsidRPr="00B573A9" w:rsidTr="003A6B33">
        <w:trPr>
          <w:jc w:val="center"/>
        </w:trPr>
        <w:tc>
          <w:tcPr>
            <w:tcW w:w="9637" w:type="dxa"/>
            <w:tcBorders>
              <w:bottom w:val="nil"/>
            </w:tcBorders>
            <w:shd w:val="clear" w:color="auto" w:fill="auto"/>
          </w:tcPr>
          <w:p w:rsidR="003A6B33" w:rsidRPr="00B573A9" w:rsidRDefault="003A6B33" w:rsidP="003A6B33">
            <w:pPr>
              <w:tabs>
                <w:tab w:val="left" w:pos="255"/>
              </w:tabs>
              <w:suppressAutoHyphens w:val="0"/>
              <w:spacing w:before="240" w:after="120"/>
              <w:rPr>
                <w:sz w:val="24"/>
              </w:rPr>
            </w:pPr>
            <w:r w:rsidRPr="00B573A9">
              <w:tab/>
            </w:r>
            <w:r w:rsidRPr="00B573A9">
              <w:rPr>
                <w:i/>
                <w:sz w:val="24"/>
              </w:rPr>
              <w:t>Summary</w:t>
            </w:r>
          </w:p>
        </w:tc>
      </w:tr>
      <w:tr w:rsidR="003A6B33" w:rsidRPr="00B573A9" w:rsidTr="003A6B33">
        <w:trPr>
          <w:jc w:val="center"/>
        </w:trPr>
        <w:tc>
          <w:tcPr>
            <w:tcW w:w="9637" w:type="dxa"/>
            <w:tcBorders>
              <w:top w:val="nil"/>
              <w:bottom w:val="nil"/>
            </w:tcBorders>
            <w:shd w:val="clear" w:color="auto" w:fill="auto"/>
          </w:tcPr>
          <w:p w:rsidR="003A6B33" w:rsidRPr="00AA3C78" w:rsidRDefault="003A6B33" w:rsidP="001E099A">
            <w:pPr>
              <w:pStyle w:val="SingleTxtG"/>
              <w:ind w:left="3402" w:hanging="2268"/>
            </w:pPr>
            <w:r w:rsidRPr="00AA3C78">
              <w:rPr>
                <w:b/>
                <w:szCs w:val="22"/>
              </w:rPr>
              <w:t>Executive summary</w:t>
            </w:r>
            <w:r w:rsidRPr="00AA3C78">
              <w:rPr>
                <w:szCs w:val="22"/>
              </w:rPr>
              <w:t>:</w:t>
            </w:r>
            <w:r w:rsidRPr="00AA3C78">
              <w:tab/>
            </w:r>
            <w:r w:rsidR="009254C2">
              <w:t xml:space="preserve">Extend the fastening requirements in ADR 9.7.3 already applicable to tank-vehicles, battery-vehicles and vehicles carrying demountable tanks, </w:t>
            </w:r>
            <w:r w:rsidR="009254C2" w:rsidRPr="000579CF">
              <w:rPr>
                <w:lang w:val="en-US"/>
              </w:rPr>
              <w:t>to</w:t>
            </w:r>
            <w:r w:rsidR="009254C2">
              <w:rPr>
                <w:lang w:val="en-US"/>
              </w:rPr>
              <w:t xml:space="preserve"> apply to </w:t>
            </w:r>
            <w:r w:rsidR="009254C2" w:rsidRPr="000579CF">
              <w:rPr>
                <w:lang w:val="en-US"/>
              </w:rPr>
              <w:t xml:space="preserve">vehicles carrying </w:t>
            </w:r>
            <w:r w:rsidR="009254C2">
              <w:rPr>
                <w:lang w:val="en-US"/>
              </w:rPr>
              <w:t>tank-containers, portable tanks and multiple element gas containers (</w:t>
            </w:r>
            <w:r w:rsidR="009254C2" w:rsidRPr="005D6981">
              <w:rPr>
                <w:lang w:val="en-US"/>
              </w:rPr>
              <w:t xml:space="preserve">MEGCs). </w:t>
            </w:r>
            <w:r w:rsidR="009254C2">
              <w:rPr>
                <w:lang w:val="en-US"/>
              </w:rPr>
              <w:t xml:space="preserve">For material requirements, three different options are suggested in the proposal. In addition ADR 7.5.7.4 has been amended for clarification, and a transitional measure is proposed for </w:t>
            </w:r>
            <w:r w:rsidR="009254C2" w:rsidRPr="00E0793B">
              <w:rPr>
                <w:lang w:val="en-US"/>
              </w:rPr>
              <w:t>vehicles that do not comply with the new requirements</w:t>
            </w:r>
            <w:r w:rsidR="009254C2">
              <w:rPr>
                <w:lang w:val="en-US"/>
              </w:rPr>
              <w:t xml:space="preserve"> in 9.7.3</w:t>
            </w:r>
            <w:r w:rsidR="009254C2" w:rsidRPr="00E0793B">
              <w:rPr>
                <w:lang w:val="en-US"/>
              </w:rPr>
              <w:t>.</w:t>
            </w:r>
          </w:p>
        </w:tc>
      </w:tr>
      <w:tr w:rsidR="003A6B33" w:rsidRPr="00B573A9" w:rsidTr="003A6B33">
        <w:trPr>
          <w:jc w:val="center"/>
        </w:trPr>
        <w:tc>
          <w:tcPr>
            <w:tcW w:w="9637" w:type="dxa"/>
            <w:tcBorders>
              <w:top w:val="nil"/>
              <w:bottom w:val="nil"/>
            </w:tcBorders>
            <w:shd w:val="clear" w:color="auto" w:fill="auto"/>
          </w:tcPr>
          <w:p w:rsidR="003A6B33" w:rsidRPr="00AA3C78" w:rsidRDefault="003A6B33" w:rsidP="003C6D1D">
            <w:pPr>
              <w:pStyle w:val="SingleTxtG"/>
              <w:ind w:left="3402" w:hanging="2268"/>
            </w:pPr>
            <w:r w:rsidRPr="00AA3C78">
              <w:rPr>
                <w:b/>
                <w:szCs w:val="22"/>
              </w:rPr>
              <w:t>Action to be taken</w:t>
            </w:r>
            <w:r w:rsidRPr="00AA3C78">
              <w:rPr>
                <w:szCs w:val="22"/>
              </w:rPr>
              <w:t>:</w:t>
            </w:r>
            <w:r w:rsidRPr="00AA3C78">
              <w:tab/>
            </w:r>
            <w:r w:rsidR="009254C2" w:rsidRPr="002B16C8">
              <w:rPr>
                <w:lang w:val="en-US"/>
              </w:rPr>
              <w:t>Amend subsection</w:t>
            </w:r>
            <w:r w:rsidR="009254C2">
              <w:rPr>
                <w:lang w:val="en-US"/>
              </w:rPr>
              <w:t>s</w:t>
            </w:r>
            <w:r w:rsidR="009254C2" w:rsidRPr="002B16C8">
              <w:rPr>
                <w:lang w:val="en-US"/>
              </w:rPr>
              <w:t xml:space="preserve"> 9.7.3</w:t>
            </w:r>
            <w:r w:rsidR="009254C2">
              <w:rPr>
                <w:lang w:val="en-US"/>
              </w:rPr>
              <w:t xml:space="preserve"> and 7.5.7.4</w:t>
            </w:r>
            <w:r w:rsidR="009254C2" w:rsidRPr="002B16C8">
              <w:rPr>
                <w:lang w:val="en-US"/>
              </w:rPr>
              <w:t xml:space="preserve"> in ADR</w:t>
            </w:r>
            <w:r w:rsidR="009254C2">
              <w:t>, and also introduce a new transitional measure.</w:t>
            </w:r>
          </w:p>
        </w:tc>
      </w:tr>
      <w:tr w:rsidR="003A6B33" w:rsidRPr="00B573A9" w:rsidTr="009254C2">
        <w:trPr>
          <w:jc w:val="center"/>
        </w:trPr>
        <w:tc>
          <w:tcPr>
            <w:tcW w:w="9637" w:type="dxa"/>
            <w:tcBorders>
              <w:top w:val="nil"/>
              <w:bottom w:val="nil"/>
            </w:tcBorders>
            <w:shd w:val="clear" w:color="auto" w:fill="auto"/>
          </w:tcPr>
          <w:p w:rsidR="009254C2" w:rsidRDefault="009254C2" w:rsidP="009254C2">
            <w:pPr>
              <w:ind w:left="3402" w:right="1134" w:hanging="2268"/>
              <w:jc w:val="both"/>
              <w:rPr>
                <w:lang w:val="en-US"/>
              </w:rPr>
            </w:pPr>
            <w:r>
              <w:rPr>
                <w:b/>
                <w:szCs w:val="22"/>
              </w:rPr>
              <w:t>Background documents</w:t>
            </w:r>
            <w:r w:rsidRPr="002C5C36">
              <w:rPr>
                <w:bCs/>
                <w:szCs w:val="22"/>
              </w:rPr>
              <w:t>:</w:t>
            </w:r>
            <w:r>
              <w:rPr>
                <w:b/>
                <w:szCs w:val="22"/>
              </w:rPr>
              <w:tab/>
            </w:r>
            <w:r w:rsidRPr="00B34AE7">
              <w:rPr>
                <w:szCs w:val="22"/>
              </w:rPr>
              <w:t>Informal document</w:t>
            </w:r>
            <w:r>
              <w:rPr>
                <w:b/>
                <w:szCs w:val="22"/>
              </w:rPr>
              <w:t xml:space="preserve"> </w:t>
            </w:r>
            <w:r w:rsidR="00FE2474">
              <w:rPr>
                <w:lang w:val="en-US"/>
              </w:rPr>
              <w:t>INF.</w:t>
            </w:r>
            <w:r>
              <w:rPr>
                <w:lang w:val="en-US"/>
              </w:rPr>
              <w:t>17 of the ninety eighth session of the Working Party</w:t>
            </w:r>
          </w:p>
          <w:p w:rsidR="009254C2" w:rsidRDefault="009254C2" w:rsidP="009254C2">
            <w:pPr>
              <w:ind w:left="3402" w:right="1134" w:hanging="1"/>
              <w:jc w:val="both"/>
              <w:rPr>
                <w:lang w:val="en-US"/>
              </w:rPr>
            </w:pPr>
            <w:r>
              <w:rPr>
                <w:lang w:val="en-US"/>
              </w:rPr>
              <w:t>ECE/TRANS/WP.15/AC.1/2015/39</w:t>
            </w:r>
            <w:r w:rsidRPr="00C32C55">
              <w:rPr>
                <w:lang w:val="en-US"/>
              </w:rPr>
              <w:t xml:space="preserve"> </w:t>
            </w:r>
            <w:r>
              <w:rPr>
                <w:lang w:val="en-US"/>
              </w:rPr>
              <w:t>(Norway</w:t>
            </w:r>
            <w:r w:rsidRPr="00C32C55">
              <w:rPr>
                <w:lang w:val="en-US"/>
              </w:rPr>
              <w:t>)</w:t>
            </w:r>
          </w:p>
          <w:p w:rsidR="009254C2" w:rsidRDefault="009254C2" w:rsidP="009254C2">
            <w:pPr>
              <w:ind w:left="3402" w:right="1134" w:hanging="1"/>
              <w:jc w:val="both"/>
              <w:rPr>
                <w:lang w:val="en-US"/>
              </w:rPr>
            </w:pPr>
            <w:r w:rsidRPr="005E77CA">
              <w:rPr>
                <w:szCs w:val="22"/>
                <w:lang w:val="en-US"/>
              </w:rPr>
              <w:t>ECE/TRANS/WP.15/AC.1/140/Add.2, para. 18-25</w:t>
            </w:r>
          </w:p>
          <w:p w:rsidR="009254C2" w:rsidRDefault="009254C2" w:rsidP="009254C2">
            <w:pPr>
              <w:ind w:left="3402" w:right="1134" w:hanging="1"/>
              <w:jc w:val="both"/>
              <w:rPr>
                <w:lang w:val="en-US"/>
              </w:rPr>
            </w:pPr>
            <w:r>
              <w:rPr>
                <w:lang w:val="en-US"/>
              </w:rPr>
              <w:t>ECE/TRANS/WP.15/AC.1/2016/11</w:t>
            </w:r>
            <w:r w:rsidRPr="00C32C55">
              <w:rPr>
                <w:lang w:val="en-US"/>
              </w:rPr>
              <w:t xml:space="preserve"> </w:t>
            </w:r>
            <w:r>
              <w:rPr>
                <w:lang w:val="en-US"/>
              </w:rPr>
              <w:t>(Norway</w:t>
            </w:r>
            <w:r w:rsidRPr="00C32C55">
              <w:rPr>
                <w:lang w:val="en-US"/>
              </w:rPr>
              <w:t>)</w:t>
            </w:r>
          </w:p>
          <w:p w:rsidR="009254C2" w:rsidRDefault="009254C2" w:rsidP="009254C2">
            <w:pPr>
              <w:ind w:left="3402" w:right="1134" w:hanging="1"/>
              <w:jc w:val="both"/>
              <w:rPr>
                <w:lang w:val="en-US"/>
              </w:rPr>
            </w:pPr>
            <w:r>
              <w:rPr>
                <w:lang w:val="en-US"/>
              </w:rPr>
              <w:t>ECE/TRANS/WP. 15/AC. 1/142/Add.1, para. 6-11</w:t>
            </w:r>
          </w:p>
          <w:p w:rsidR="003A6B33" w:rsidRDefault="00FE2474" w:rsidP="009254C2">
            <w:pPr>
              <w:tabs>
                <w:tab w:val="left" w:pos="1170"/>
              </w:tabs>
              <w:suppressAutoHyphens w:val="0"/>
              <w:rPr>
                <w:lang w:val="en-US"/>
              </w:rPr>
            </w:pPr>
            <w:r>
              <w:rPr>
                <w:lang w:val="en-US"/>
              </w:rPr>
              <w:tab/>
            </w:r>
            <w:r>
              <w:rPr>
                <w:lang w:val="en-US"/>
              </w:rPr>
              <w:tab/>
            </w:r>
            <w:r>
              <w:rPr>
                <w:lang w:val="en-US"/>
              </w:rPr>
              <w:tab/>
            </w:r>
            <w:r>
              <w:rPr>
                <w:lang w:val="en-US"/>
              </w:rPr>
              <w:tab/>
            </w:r>
            <w:r>
              <w:rPr>
                <w:lang w:val="en-US"/>
              </w:rPr>
              <w:tab/>
              <w:t>Informal document INF.</w:t>
            </w:r>
            <w:r w:rsidR="009254C2">
              <w:rPr>
                <w:lang w:val="en-US"/>
              </w:rPr>
              <w:t xml:space="preserve">27 of the </w:t>
            </w:r>
            <w:r>
              <w:rPr>
                <w:lang w:val="en-US"/>
              </w:rPr>
              <w:t>100th</w:t>
            </w:r>
            <w:r w:rsidR="009254C2">
              <w:rPr>
                <w:lang w:val="en-US"/>
              </w:rPr>
              <w:t xml:space="preserve"> session of the Working Party</w:t>
            </w:r>
          </w:p>
          <w:p w:rsidR="009254C2" w:rsidRDefault="00FE2474" w:rsidP="009254C2">
            <w:pPr>
              <w:ind w:left="3402" w:right="1134" w:hanging="1"/>
              <w:rPr>
                <w:lang w:val="en-US"/>
              </w:rPr>
            </w:pPr>
            <w:r>
              <w:rPr>
                <w:lang w:val="en-US"/>
              </w:rPr>
              <w:tab/>
            </w:r>
            <w:r>
              <w:rPr>
                <w:lang w:val="en-US"/>
              </w:rPr>
              <w:tab/>
              <w:t>ECE/TRANS/WP.</w:t>
            </w:r>
            <w:r w:rsidR="009254C2">
              <w:rPr>
                <w:lang w:val="en-US"/>
              </w:rPr>
              <w:t>15/2016/19</w:t>
            </w:r>
          </w:p>
          <w:p w:rsidR="009254C2" w:rsidRDefault="009254C2" w:rsidP="009254C2">
            <w:pPr>
              <w:ind w:left="3402" w:right="1134" w:hanging="1"/>
              <w:rPr>
                <w:lang w:val="en-US"/>
              </w:rPr>
            </w:pPr>
            <w:r>
              <w:rPr>
                <w:lang w:val="en-US"/>
              </w:rPr>
              <w:t>In</w:t>
            </w:r>
            <w:r w:rsidR="00FE2474">
              <w:rPr>
                <w:lang w:val="en-US"/>
              </w:rPr>
              <w:t>formal document INF.17 of 101st</w:t>
            </w:r>
            <w:r>
              <w:rPr>
                <w:lang w:val="en-US"/>
              </w:rPr>
              <w:t xml:space="preserve"> session of the Working Party</w:t>
            </w:r>
          </w:p>
          <w:p w:rsidR="009254C2" w:rsidRDefault="00FE2474" w:rsidP="009254C2">
            <w:pPr>
              <w:ind w:left="3402" w:right="1134" w:hanging="1"/>
              <w:jc w:val="both"/>
              <w:rPr>
                <w:lang w:val="en-US"/>
              </w:rPr>
            </w:pPr>
            <w:r>
              <w:rPr>
                <w:lang w:val="en-US"/>
              </w:rPr>
              <w:t>ECE/TRANS/WP.</w:t>
            </w:r>
            <w:r w:rsidR="009254C2">
              <w:rPr>
                <w:lang w:val="en-US"/>
              </w:rPr>
              <w:t>15/235 para. 21</w:t>
            </w:r>
          </w:p>
          <w:p w:rsidR="009254C2" w:rsidRPr="00B573A9" w:rsidRDefault="009254C2" w:rsidP="009254C2">
            <w:pPr>
              <w:tabs>
                <w:tab w:val="left" w:pos="1170"/>
              </w:tabs>
              <w:suppressAutoHyphens w:val="0"/>
            </w:pPr>
          </w:p>
        </w:tc>
      </w:tr>
      <w:tr w:rsidR="009254C2" w:rsidRPr="00B573A9" w:rsidTr="003A6B33">
        <w:trPr>
          <w:jc w:val="center"/>
        </w:trPr>
        <w:tc>
          <w:tcPr>
            <w:tcW w:w="9637" w:type="dxa"/>
            <w:tcBorders>
              <w:top w:val="nil"/>
            </w:tcBorders>
            <w:shd w:val="clear" w:color="auto" w:fill="auto"/>
          </w:tcPr>
          <w:p w:rsidR="009254C2" w:rsidRPr="00B573A9" w:rsidRDefault="009254C2" w:rsidP="003A6B33">
            <w:pPr>
              <w:suppressAutoHyphens w:val="0"/>
            </w:pPr>
          </w:p>
        </w:tc>
      </w:tr>
    </w:tbl>
    <w:p w:rsidR="009254C2" w:rsidRDefault="00597C2F" w:rsidP="009254C2">
      <w:pPr>
        <w:pStyle w:val="HChG"/>
        <w:rPr>
          <w:lang w:val="en-US"/>
        </w:rPr>
      </w:pPr>
      <w:r>
        <w:tab/>
      </w:r>
      <w:r>
        <w:tab/>
      </w:r>
      <w:r w:rsidR="009254C2" w:rsidRPr="00362DFF">
        <w:rPr>
          <w:lang w:val="en-US"/>
        </w:rPr>
        <w:t>Introduction</w:t>
      </w:r>
    </w:p>
    <w:p w:rsidR="009254C2" w:rsidRDefault="00FE2474" w:rsidP="009254C2">
      <w:pPr>
        <w:pStyle w:val="SingleTxtG"/>
        <w:rPr>
          <w:lang w:val="en-US"/>
        </w:rPr>
      </w:pPr>
      <w:r>
        <w:rPr>
          <w:lang w:val="en-US"/>
        </w:rPr>
        <w:t>1.</w:t>
      </w:r>
      <w:r>
        <w:rPr>
          <w:lang w:val="en-US"/>
        </w:rPr>
        <w:tab/>
      </w:r>
      <w:r w:rsidR="009254C2">
        <w:rPr>
          <w:lang w:val="en-US"/>
        </w:rPr>
        <w:t xml:space="preserve">At the autumn session of the Working </w:t>
      </w:r>
      <w:r>
        <w:rPr>
          <w:lang w:val="en-US"/>
        </w:rPr>
        <w:t>P</w:t>
      </w:r>
      <w:r w:rsidR="009254C2">
        <w:rPr>
          <w:lang w:val="en-US"/>
        </w:rPr>
        <w:t>arty, document ECE/TRANS/WP.15/2006/19</w:t>
      </w:r>
      <w:r w:rsidR="009254C2" w:rsidRPr="00C32C55">
        <w:rPr>
          <w:lang w:val="en-US"/>
        </w:rPr>
        <w:t xml:space="preserve"> </w:t>
      </w:r>
      <w:r w:rsidR="009254C2">
        <w:rPr>
          <w:lang w:val="en-US"/>
        </w:rPr>
        <w:t xml:space="preserve">concerning fastening requirements in ADR 9.7.3 was discussed. The proposal to make the fastening requirements applicable for tank-vehicles, battery-vehicles and vehicles carrying demountable tanks to apply to vehicles carrying tank-containers, portable tanks and MEGCs </w:t>
      </w:r>
      <w:r w:rsidR="009254C2" w:rsidRPr="003C3E0D">
        <w:t>received broad support</w:t>
      </w:r>
      <w:r w:rsidR="009254C2">
        <w:t>.</w:t>
      </w:r>
      <w:r w:rsidR="009254C2">
        <w:rPr>
          <w:lang w:val="en-US"/>
        </w:rPr>
        <w:t xml:space="preserve"> </w:t>
      </w:r>
    </w:p>
    <w:p w:rsidR="009254C2" w:rsidRDefault="00FE2474" w:rsidP="009254C2">
      <w:pPr>
        <w:pStyle w:val="SingleTxtG"/>
        <w:rPr>
          <w:lang w:val="en-US"/>
        </w:rPr>
      </w:pPr>
      <w:r>
        <w:rPr>
          <w:lang w:val="en-US"/>
        </w:rPr>
        <w:t>2.</w:t>
      </w:r>
      <w:r>
        <w:rPr>
          <w:lang w:val="en-US"/>
        </w:rPr>
        <w:tab/>
      </w:r>
      <w:r w:rsidR="009254C2">
        <w:rPr>
          <w:lang w:val="en-US"/>
        </w:rPr>
        <w:t xml:space="preserve">The proposed text was not adopted when some delegates had inputs to the proposal and the </w:t>
      </w:r>
      <w:r>
        <w:rPr>
          <w:lang w:val="en-US"/>
        </w:rPr>
        <w:t>Working G</w:t>
      </w:r>
      <w:r w:rsidR="009254C2">
        <w:rPr>
          <w:lang w:val="en-US"/>
        </w:rPr>
        <w:t>roup was of the opinion that the text could be improved. Norway has received input from other delegations and prepared a new proposal for fastening requirements in ADR 9.7.3, and amendments to 7.5.7.4 in relation to this. In addition a transitional measure has been added.</w:t>
      </w:r>
    </w:p>
    <w:p w:rsidR="009254C2" w:rsidRDefault="009254C2" w:rsidP="009254C2">
      <w:pPr>
        <w:pStyle w:val="HChG"/>
        <w:rPr>
          <w:lang w:val="en-US"/>
        </w:rPr>
      </w:pPr>
      <w:r>
        <w:rPr>
          <w:lang w:val="en-US"/>
        </w:rPr>
        <w:tab/>
      </w:r>
      <w:r>
        <w:rPr>
          <w:lang w:val="en-US"/>
        </w:rPr>
        <w:tab/>
        <w:t>Discussion</w:t>
      </w:r>
    </w:p>
    <w:p w:rsidR="009254C2" w:rsidRDefault="00FE2474" w:rsidP="009254C2">
      <w:pPr>
        <w:pStyle w:val="SingleTxtG"/>
        <w:rPr>
          <w:lang w:val="en-US"/>
        </w:rPr>
      </w:pPr>
      <w:r>
        <w:rPr>
          <w:lang w:val="en-US"/>
        </w:rPr>
        <w:t>3.</w:t>
      </w:r>
      <w:r>
        <w:rPr>
          <w:lang w:val="en-US"/>
        </w:rPr>
        <w:tab/>
      </w:r>
      <w:r w:rsidR="009254C2">
        <w:rPr>
          <w:lang w:val="en-US"/>
        </w:rPr>
        <w:t xml:space="preserve">ADR 9.7.3 refers to the forces defined in 6.8.2.1.2 for tanks and tank-containers for the minimum stresses the fastenings in 9.7.3 shall be designed to withstand, </w:t>
      </w:r>
      <w:r w:rsidR="009254C2" w:rsidRPr="006C6B9C">
        <w:rPr>
          <w:lang w:val="en-US"/>
        </w:rPr>
        <w:t>in the case of tank-vehicles, battery-vehicles and vehicles carrying demountable tanks</w:t>
      </w:r>
      <w:r w:rsidR="009254C2">
        <w:rPr>
          <w:lang w:val="en-US"/>
        </w:rPr>
        <w:t xml:space="preserve">. </w:t>
      </w:r>
    </w:p>
    <w:p w:rsidR="009254C2" w:rsidRDefault="00FE2474" w:rsidP="009254C2">
      <w:pPr>
        <w:pStyle w:val="SingleTxtG"/>
        <w:rPr>
          <w:lang w:val="en-US"/>
        </w:rPr>
      </w:pPr>
      <w:r>
        <w:rPr>
          <w:lang w:val="en-US"/>
        </w:rPr>
        <w:t>4.</w:t>
      </w:r>
      <w:r>
        <w:rPr>
          <w:lang w:val="en-US"/>
        </w:rPr>
        <w:tab/>
      </w:r>
      <w:r w:rsidR="009254C2">
        <w:rPr>
          <w:lang w:val="en-US"/>
        </w:rPr>
        <w:t xml:space="preserve">The same fastening requirements should apply to vehicles carrying tank-containers, MEGCs and portable tanks, with a reference to the forces in 6.8.3.1.5 and 6.7.5.2.8 for MEGCs and 6.7.2.2.12, 6.7.3.2.9 and 6.7.4.2.12 for portable tanks. </w:t>
      </w:r>
    </w:p>
    <w:p w:rsidR="009254C2" w:rsidRDefault="00FE2474" w:rsidP="009254C2">
      <w:pPr>
        <w:pStyle w:val="SingleTxtG"/>
        <w:rPr>
          <w:lang w:val="en-US"/>
        </w:rPr>
      </w:pPr>
      <w:r>
        <w:rPr>
          <w:lang w:val="en-US"/>
        </w:rPr>
        <w:lastRenderedPageBreak/>
        <w:t>5.</w:t>
      </w:r>
      <w:r>
        <w:rPr>
          <w:lang w:val="en-US"/>
        </w:rPr>
        <w:tab/>
      </w:r>
      <w:r w:rsidR="009254C2">
        <w:rPr>
          <w:lang w:val="en-US"/>
        </w:rPr>
        <w:t xml:space="preserve">When the forces in the above mentioned paragraphs are the same and equals to the forces specified in 6.8.2.1.2, we suggest to delete the reference to paragraph 6.8.2.1.2 in 9.7.3, and rather state the forces the fastenings on the vehicle </w:t>
      </w:r>
      <w:r w:rsidR="009254C2" w:rsidRPr="003025E4">
        <w:rPr>
          <w:lang w:val="en-US"/>
        </w:rPr>
        <w:t xml:space="preserve">shall be capable </w:t>
      </w:r>
      <w:r w:rsidR="009254C2">
        <w:rPr>
          <w:lang w:val="en-US"/>
        </w:rPr>
        <w:t>of ab</w:t>
      </w:r>
      <w:r w:rsidR="009254C2" w:rsidRPr="003025E4">
        <w:rPr>
          <w:lang w:val="en-US"/>
        </w:rPr>
        <w:t>sorb, under the maximum permissible load</w:t>
      </w:r>
      <w:r w:rsidR="009254C2">
        <w:rPr>
          <w:lang w:val="en-US"/>
        </w:rPr>
        <w:t xml:space="preserve">, in the different directions </w:t>
      </w:r>
      <w:r w:rsidR="009254C2" w:rsidRPr="00B40300">
        <w:rPr>
          <w:lang w:val="en-US"/>
        </w:rPr>
        <w:t>(direction of travel, at right angles to the direction of travel, vertically upwards, vertically downwards)</w:t>
      </w:r>
      <w:r w:rsidR="009254C2">
        <w:rPr>
          <w:lang w:val="en-US"/>
        </w:rPr>
        <w:t xml:space="preserve">. </w:t>
      </w:r>
    </w:p>
    <w:p w:rsidR="009254C2" w:rsidRDefault="00FE2474" w:rsidP="009254C2">
      <w:pPr>
        <w:pStyle w:val="SingleTxtG"/>
        <w:rPr>
          <w:lang w:val="en-US"/>
        </w:rPr>
      </w:pPr>
      <w:r>
        <w:rPr>
          <w:lang w:val="en-US"/>
        </w:rPr>
        <w:t>6.</w:t>
      </w:r>
      <w:r>
        <w:rPr>
          <w:lang w:val="en-US"/>
        </w:rPr>
        <w:tab/>
      </w:r>
      <w:r w:rsidR="009254C2">
        <w:rPr>
          <w:lang w:val="en-US"/>
        </w:rPr>
        <w:t>In the proposal t</w:t>
      </w:r>
      <w:r w:rsidR="009254C2" w:rsidRPr="004628AB">
        <w:rPr>
          <w:lang w:val="en-US"/>
        </w:rPr>
        <w:t xml:space="preserve">wist lock tie-down devices in compliance with ISO 1161:2016 </w:t>
      </w:r>
      <w:r w:rsidR="009254C2" w:rsidRPr="004628AB">
        <w:rPr>
          <w:i/>
          <w:lang w:val="en-US"/>
        </w:rPr>
        <w:t>Series 1 freight containers -- Corner and intermediate fittings – Specifications</w:t>
      </w:r>
      <w:r w:rsidR="009254C2" w:rsidRPr="004628AB">
        <w:rPr>
          <w:lang w:val="en-US"/>
        </w:rPr>
        <w:t xml:space="preserve"> are </w:t>
      </w:r>
      <w:r w:rsidR="009254C2">
        <w:rPr>
          <w:lang w:val="en-US"/>
        </w:rPr>
        <w:t>exempted in line with the proposal discussed at the meeting in November (ECE/TRANS/WP. 15/2016/19).</w:t>
      </w:r>
    </w:p>
    <w:p w:rsidR="009254C2" w:rsidRDefault="00FE2474" w:rsidP="009254C2">
      <w:pPr>
        <w:pStyle w:val="SingleTxtG"/>
        <w:rPr>
          <w:lang w:val="en-US"/>
        </w:rPr>
      </w:pPr>
      <w:r>
        <w:rPr>
          <w:lang w:val="en-US"/>
        </w:rPr>
        <w:t>7.</w:t>
      </w:r>
      <w:r>
        <w:rPr>
          <w:lang w:val="en-US"/>
        </w:rPr>
        <w:tab/>
      </w:r>
      <w:r w:rsidR="009254C2">
        <w:rPr>
          <w:lang w:val="en-US"/>
        </w:rPr>
        <w:t xml:space="preserve">The fastenings of a tank, MEGC or the elements of a battery-vehicle may include a range of structural components, such as sub-frames bolted or welded to the vehicle </w:t>
      </w:r>
      <w:r w:rsidR="009254C2">
        <w:rPr>
          <w:lang w:val="en"/>
        </w:rPr>
        <w:t xml:space="preserve">to spread high chassis loads over a wide area. It should be made clear that the requirements in 9.7.3 also apply to </w:t>
      </w:r>
      <w:r w:rsidR="009254C2" w:rsidRPr="00310DA4">
        <w:rPr>
          <w:lang w:val="en-US"/>
        </w:rPr>
        <w:t>any supporting frames used for mounting the structural equipment (see 1.2</w:t>
      </w:r>
      <w:r w:rsidR="009254C2">
        <w:rPr>
          <w:lang w:val="en-US"/>
        </w:rPr>
        <w:t xml:space="preserve"> for the definition of "structural equipment"</w:t>
      </w:r>
      <w:r w:rsidR="009254C2" w:rsidRPr="00310DA4">
        <w:rPr>
          <w:lang w:val="en-US"/>
        </w:rPr>
        <w:t>) to the vehicle.</w:t>
      </w:r>
      <w:r w:rsidR="009254C2">
        <w:rPr>
          <w:lang w:val="en-US"/>
        </w:rPr>
        <w:t xml:space="preserve"> This is reflected in the proposal.</w:t>
      </w:r>
    </w:p>
    <w:p w:rsidR="009254C2" w:rsidRDefault="00FE2474" w:rsidP="009254C2">
      <w:pPr>
        <w:pStyle w:val="SingleTxtG"/>
        <w:rPr>
          <w:lang w:val="en-US"/>
        </w:rPr>
      </w:pPr>
      <w:r>
        <w:rPr>
          <w:lang w:val="en-US"/>
        </w:rPr>
        <w:t>8.</w:t>
      </w:r>
      <w:r>
        <w:rPr>
          <w:lang w:val="en-US"/>
        </w:rPr>
        <w:tab/>
      </w:r>
      <w:r w:rsidR="009254C2">
        <w:rPr>
          <w:lang w:val="en-US"/>
        </w:rPr>
        <w:t xml:space="preserve">Paragraphs 6.8.2.1.11-6.8.2.1.13, 6.8.2.1.15 and 6.8.2.1.16 that are referenced in ADR 9.7.3 address stresses under calculation or test pressure of the shell material. This may be interpreted that as no pressure test is prescribed for the chassis this requirement do not apply. However, 0.5 Rm is a relevant value against fatigue cracking under dynamic loading for steel and 20% elongation is the minimum for basic construction steel as S255. In proposal 2a we suggest to remove the material requirements all together from 9.7.3. In proposal 2b we suggest to retain requirements for the material and make them applicable to all constructions mentioned in the proposed 9.7.3.2. In proposal 2c we are just reproducing the requirements of ADR 2017 linked to 6.8.2.1.11-6.8.2.1.13, 6.8.2.1.15 and 6.8.2.1.16 in a separate paragraph. </w:t>
      </w:r>
    </w:p>
    <w:p w:rsidR="009254C2" w:rsidRDefault="00FE2474" w:rsidP="009254C2">
      <w:pPr>
        <w:pStyle w:val="SingleTxtG"/>
        <w:rPr>
          <w:lang w:val="en-US"/>
        </w:rPr>
      </w:pPr>
      <w:r>
        <w:rPr>
          <w:lang w:val="en-US"/>
        </w:rPr>
        <w:t>9.</w:t>
      </w:r>
      <w:r>
        <w:rPr>
          <w:lang w:val="en-US"/>
        </w:rPr>
        <w:tab/>
      </w:r>
      <w:r w:rsidR="009254C2">
        <w:rPr>
          <w:lang w:val="en-US"/>
        </w:rPr>
        <w:t xml:space="preserve">When the fastening requirements in 9.7.3 concerning applied forces are made mandatory for vehicles presently not having this requirement, a transitional measure is necessary and have been added to the proposal. </w:t>
      </w:r>
    </w:p>
    <w:p w:rsidR="009254C2" w:rsidRDefault="00FE2474" w:rsidP="009254C2">
      <w:pPr>
        <w:pStyle w:val="SingleTxtG"/>
        <w:rPr>
          <w:lang w:val="en-US"/>
        </w:rPr>
      </w:pPr>
      <w:r>
        <w:rPr>
          <w:lang w:val="en-US"/>
        </w:rPr>
        <w:t>10.</w:t>
      </w:r>
      <w:r>
        <w:rPr>
          <w:lang w:val="en-US"/>
        </w:rPr>
        <w:tab/>
      </w:r>
      <w:r w:rsidR="009254C2">
        <w:rPr>
          <w:lang w:val="en-US"/>
        </w:rPr>
        <w:t xml:space="preserve">Even the construction and the design of fastenings are in accordance with the proposed requirements, it is important that tank-containers, MEGCs and portable tanks are transported only on vehicles where the fastening securing system </w:t>
      </w:r>
      <w:r w:rsidR="009254C2" w:rsidRPr="001F458E">
        <w:rPr>
          <w:lang w:val="en-US"/>
        </w:rPr>
        <w:t>are compatible with the system on the tank-co</w:t>
      </w:r>
      <w:r w:rsidR="009254C2">
        <w:rPr>
          <w:lang w:val="en-US"/>
        </w:rPr>
        <w:t xml:space="preserve">ntainer, MEGC or portable tank </w:t>
      </w:r>
      <w:r w:rsidR="009254C2" w:rsidRPr="001F458E">
        <w:rPr>
          <w:lang w:val="en-US"/>
        </w:rPr>
        <w:t xml:space="preserve">and in compliance with the requirements in 9.7.3. </w:t>
      </w:r>
      <w:r w:rsidR="009254C2">
        <w:rPr>
          <w:lang w:val="en-US"/>
        </w:rPr>
        <w:t xml:space="preserve">Paragraph 7.5.7.4 has been amended to address this. </w:t>
      </w:r>
    </w:p>
    <w:p w:rsidR="009254C2" w:rsidRDefault="009254C2" w:rsidP="009254C2">
      <w:pPr>
        <w:pStyle w:val="HChG"/>
        <w:rPr>
          <w:lang w:val="en-US"/>
        </w:rPr>
      </w:pPr>
      <w:r>
        <w:rPr>
          <w:lang w:val="en-US"/>
        </w:rPr>
        <w:tab/>
      </w:r>
      <w:r>
        <w:rPr>
          <w:lang w:val="en-US"/>
        </w:rPr>
        <w:tab/>
      </w:r>
      <w:r w:rsidRPr="008D62B7">
        <w:rPr>
          <w:lang w:val="en-US"/>
        </w:rPr>
        <w:t>Proposal</w:t>
      </w:r>
      <w:r>
        <w:rPr>
          <w:lang w:val="en-US"/>
        </w:rPr>
        <w:t>s</w:t>
      </w:r>
    </w:p>
    <w:p w:rsidR="009254C2" w:rsidRPr="006C3D8D" w:rsidRDefault="009254C2" w:rsidP="009254C2">
      <w:pPr>
        <w:pStyle w:val="H1G"/>
        <w:rPr>
          <w:lang w:val="en-US"/>
        </w:rPr>
      </w:pPr>
      <w:r>
        <w:rPr>
          <w:lang w:val="en-US"/>
        </w:rPr>
        <w:tab/>
      </w:r>
      <w:r>
        <w:rPr>
          <w:lang w:val="en-US"/>
        </w:rPr>
        <w:tab/>
      </w:r>
      <w:r w:rsidRPr="006C3D8D">
        <w:rPr>
          <w:lang w:val="en-US"/>
        </w:rPr>
        <w:t>Proposal 1</w:t>
      </w:r>
    </w:p>
    <w:p w:rsidR="009254C2" w:rsidRPr="00E7539E" w:rsidRDefault="00FE2474" w:rsidP="009254C2">
      <w:pPr>
        <w:pStyle w:val="HChG"/>
        <w:ind w:firstLine="0"/>
        <w:rPr>
          <w:b w:val="0"/>
          <w:iCs/>
          <w:sz w:val="20"/>
          <w:lang w:val="en-US"/>
        </w:rPr>
      </w:pPr>
      <w:r>
        <w:rPr>
          <w:b w:val="0"/>
          <w:iCs/>
          <w:sz w:val="20"/>
          <w:lang w:val="en-US"/>
        </w:rPr>
        <w:t>11.</w:t>
      </w:r>
      <w:r>
        <w:rPr>
          <w:b w:val="0"/>
          <w:iCs/>
          <w:sz w:val="20"/>
          <w:lang w:val="en-US"/>
        </w:rPr>
        <w:tab/>
      </w:r>
      <w:r w:rsidR="009254C2" w:rsidRPr="00E7539E">
        <w:rPr>
          <w:b w:val="0"/>
          <w:iCs/>
          <w:sz w:val="20"/>
          <w:lang w:val="en-US"/>
        </w:rPr>
        <w:t>Add following</w:t>
      </w:r>
      <w:r w:rsidR="009254C2">
        <w:rPr>
          <w:b w:val="0"/>
          <w:iCs/>
          <w:sz w:val="20"/>
          <w:lang w:val="en-US"/>
        </w:rPr>
        <w:t xml:space="preserve"> new</w:t>
      </w:r>
      <w:r w:rsidR="009254C2" w:rsidRPr="00E7539E">
        <w:rPr>
          <w:b w:val="0"/>
          <w:iCs/>
          <w:sz w:val="20"/>
          <w:lang w:val="en-US"/>
        </w:rPr>
        <w:t xml:space="preserve"> transitional measure in chapter 1.6</w:t>
      </w:r>
      <w:r w:rsidR="009254C2">
        <w:rPr>
          <w:b w:val="0"/>
          <w:iCs/>
          <w:sz w:val="20"/>
          <w:lang w:val="en-US"/>
        </w:rPr>
        <w:t xml:space="preserve"> in ADR</w:t>
      </w:r>
      <w:r w:rsidR="009254C2" w:rsidRPr="00E7539E">
        <w:rPr>
          <w:b w:val="0"/>
          <w:iCs/>
          <w:sz w:val="20"/>
          <w:lang w:val="en-US"/>
        </w:rPr>
        <w:t>:</w:t>
      </w:r>
    </w:p>
    <w:p w:rsidR="007C64D1" w:rsidRDefault="007C64D1" w:rsidP="007C64D1">
      <w:pPr>
        <w:pStyle w:val="SingleTxtG"/>
        <w:rPr>
          <w:lang w:val="en-US"/>
        </w:rPr>
      </w:pPr>
      <w:r>
        <w:rPr>
          <w:lang w:val="en-US"/>
        </w:rPr>
        <w:t>“</w:t>
      </w:r>
      <w:r w:rsidR="009254C2">
        <w:rPr>
          <w:lang w:val="en-US"/>
        </w:rPr>
        <w:t>1.6.5.xx</w:t>
      </w:r>
    </w:p>
    <w:p w:rsidR="009254C2" w:rsidRPr="007E1816" w:rsidRDefault="009254C2" w:rsidP="007C64D1">
      <w:pPr>
        <w:pStyle w:val="SingleTxtG"/>
        <w:rPr>
          <w:lang w:val="en-US"/>
        </w:rPr>
      </w:pPr>
      <w:r w:rsidRPr="00353037">
        <w:rPr>
          <w:lang w:val="en-US"/>
        </w:rPr>
        <w:t>Vehicles first registered (or which entered into service if registration is not mandatory) before 1 April 2020 in compliance with the requirements of 9.7.3 applicable until 31 December 2018, but not in compliance with the requirements of 9.7.3 applicable as from 1 January 2019, may cont</w:t>
      </w:r>
      <w:r w:rsidR="007C64D1">
        <w:rPr>
          <w:lang w:val="en-US"/>
        </w:rPr>
        <w:t>inue to be used.”.</w:t>
      </w:r>
    </w:p>
    <w:p w:rsidR="009254C2" w:rsidRPr="006C3D8D" w:rsidRDefault="009254C2" w:rsidP="009254C2">
      <w:pPr>
        <w:pStyle w:val="H1G"/>
        <w:rPr>
          <w:lang w:val="en-US"/>
        </w:rPr>
      </w:pPr>
      <w:r>
        <w:rPr>
          <w:lang w:val="en-US"/>
        </w:rPr>
        <w:lastRenderedPageBreak/>
        <w:tab/>
      </w:r>
      <w:r>
        <w:rPr>
          <w:lang w:val="en-US"/>
        </w:rPr>
        <w:tab/>
      </w:r>
      <w:r w:rsidRPr="006C3D8D">
        <w:rPr>
          <w:lang w:val="en-US"/>
        </w:rPr>
        <w:t>Proposal 2a</w:t>
      </w:r>
    </w:p>
    <w:p w:rsidR="009254C2" w:rsidRDefault="00FE2474" w:rsidP="009254C2">
      <w:pPr>
        <w:pStyle w:val="SingleTxtG"/>
        <w:rPr>
          <w:lang w:val="en-US"/>
        </w:rPr>
      </w:pPr>
      <w:r>
        <w:rPr>
          <w:lang w:val="en-US"/>
        </w:rPr>
        <w:t>12.</w:t>
      </w:r>
      <w:r>
        <w:rPr>
          <w:lang w:val="en-US"/>
        </w:rPr>
        <w:tab/>
      </w:r>
      <w:r w:rsidR="009254C2">
        <w:rPr>
          <w:lang w:val="en-US"/>
        </w:rPr>
        <w:t>Amend 9.7.3 in ADR to read as follows:</w:t>
      </w:r>
      <w:r w:rsidR="009254C2" w:rsidRPr="00971EDC">
        <w:rPr>
          <w:lang w:val="en-US"/>
        </w:rPr>
        <w:t xml:space="preserve"> </w:t>
      </w:r>
    </w:p>
    <w:p w:rsidR="009254C2" w:rsidRDefault="00551C6A" w:rsidP="00551C6A">
      <w:pPr>
        <w:pStyle w:val="SingleTxtG"/>
        <w:ind w:left="2268" w:hanging="1134"/>
        <w:rPr>
          <w:lang w:val="en-US"/>
        </w:rPr>
      </w:pPr>
      <w:r>
        <w:rPr>
          <w:lang w:val="en-US"/>
        </w:rPr>
        <w:t>“9.7.3</w:t>
      </w:r>
      <w:r>
        <w:rPr>
          <w:lang w:val="en-US"/>
        </w:rPr>
        <w:tab/>
      </w:r>
      <w:r w:rsidR="009254C2">
        <w:rPr>
          <w:lang w:val="en-US"/>
        </w:rPr>
        <w:t>Fastening</w:t>
      </w:r>
    </w:p>
    <w:p w:rsidR="009254C2" w:rsidRDefault="00551C6A" w:rsidP="00551C6A">
      <w:pPr>
        <w:pStyle w:val="SingleTxtG"/>
        <w:ind w:left="2268" w:hanging="1134"/>
        <w:rPr>
          <w:lang w:val="en-US"/>
        </w:rPr>
      </w:pPr>
      <w:r>
        <w:rPr>
          <w:lang w:val="en-US"/>
        </w:rPr>
        <w:t>9.7.3.1</w:t>
      </w:r>
      <w:r>
        <w:rPr>
          <w:lang w:val="en-US"/>
        </w:rPr>
        <w:tab/>
      </w:r>
      <w:r w:rsidR="009254C2" w:rsidRPr="006D2F04">
        <w:rPr>
          <w:lang w:val="en-US"/>
        </w:rPr>
        <w:tab/>
        <w:t>Fastenings shall be designed to withstand static and dynamic stresses in normal conditions of carriage. Fastenings includes any supporting frames used for mounting the structural equipment (see 1.2) to the vehicle</w:t>
      </w:r>
      <w:r w:rsidR="009254C2">
        <w:rPr>
          <w:lang w:val="en-US"/>
        </w:rPr>
        <w:t>.</w:t>
      </w:r>
    </w:p>
    <w:p w:rsidR="009254C2" w:rsidRPr="006D2F04" w:rsidRDefault="009254C2" w:rsidP="00551C6A">
      <w:pPr>
        <w:pStyle w:val="SingleTxtG"/>
        <w:ind w:left="2268" w:hanging="1134"/>
        <w:rPr>
          <w:lang w:val="en-US"/>
        </w:rPr>
      </w:pPr>
      <w:r w:rsidRPr="006D2F04">
        <w:rPr>
          <w:lang w:val="en-US"/>
        </w:rPr>
        <w:t>9.7.3.2</w:t>
      </w:r>
      <w:r w:rsidRPr="006D2F04">
        <w:rPr>
          <w:lang w:val="en-US"/>
        </w:rPr>
        <w:tab/>
        <w:t>Fastenings in the case of tank-vehicles, battery-vehicles and vehicles carrying tank-containers, demountable tanks, portable tanks, MEGCs or UN MEGCs shall be capable of absorbing, under the maximum permissible load, the following separately applied static forces:</w:t>
      </w:r>
    </w:p>
    <w:p w:rsidR="009254C2" w:rsidRPr="008E5AB1" w:rsidRDefault="00551C6A" w:rsidP="00551C6A">
      <w:pPr>
        <w:pStyle w:val="SingleTxtG"/>
        <w:ind w:left="2268" w:hanging="1134"/>
        <w:rPr>
          <w:lang w:val="en-US"/>
        </w:rPr>
      </w:pPr>
      <w:r>
        <w:rPr>
          <w:lang w:val="en-US"/>
        </w:rPr>
        <w:tab/>
        <w:t>-</w:t>
      </w:r>
      <w:r>
        <w:rPr>
          <w:lang w:val="en-US"/>
        </w:rPr>
        <w:tab/>
      </w:r>
      <w:r w:rsidR="009254C2" w:rsidRPr="006D2F04">
        <w:rPr>
          <w:lang w:val="en-US"/>
        </w:rPr>
        <w:t xml:space="preserve">in the direction of travel: twice the total mass multiplied by the </w:t>
      </w:r>
      <w:r>
        <w:rPr>
          <w:lang w:val="en-US"/>
        </w:rPr>
        <w:tab/>
      </w:r>
      <w:r>
        <w:rPr>
          <w:lang w:val="en-US"/>
        </w:rPr>
        <w:tab/>
      </w:r>
      <w:r>
        <w:rPr>
          <w:lang w:val="en-US"/>
        </w:rPr>
        <w:tab/>
      </w:r>
      <w:r w:rsidR="009254C2" w:rsidRPr="006D2F04">
        <w:rPr>
          <w:lang w:val="en-US"/>
        </w:rPr>
        <w:t>acceleration due to gravity (g)</w:t>
      </w:r>
      <w:r w:rsidR="00471A77">
        <w:rPr>
          <w:vertAlign w:val="superscript"/>
          <w:lang w:val="en-US"/>
        </w:rPr>
        <w:t>1</w:t>
      </w:r>
      <w:r w:rsidR="008E5AB1">
        <w:rPr>
          <w:lang w:val="en-US"/>
        </w:rPr>
        <w:t>;</w:t>
      </w:r>
    </w:p>
    <w:p w:rsidR="009254C2" w:rsidRPr="006D2F04" w:rsidRDefault="00551C6A" w:rsidP="00551C6A">
      <w:pPr>
        <w:pStyle w:val="SingleTxtG"/>
        <w:ind w:left="2268" w:hanging="1134"/>
        <w:rPr>
          <w:lang w:val="en-US"/>
        </w:rPr>
      </w:pPr>
      <w:r>
        <w:rPr>
          <w:lang w:val="en-US"/>
        </w:rPr>
        <w:tab/>
        <w:t>-</w:t>
      </w:r>
      <w:r>
        <w:rPr>
          <w:lang w:val="en-US"/>
        </w:rPr>
        <w:tab/>
      </w:r>
      <w:r w:rsidR="009254C2" w:rsidRPr="006D2F04">
        <w:rPr>
          <w:lang w:val="en-US"/>
        </w:rPr>
        <w:t xml:space="preserve">at right angles to the direction of travel: the total mass multiplied by </w:t>
      </w:r>
      <w:r>
        <w:rPr>
          <w:lang w:val="en-US"/>
        </w:rPr>
        <w:tab/>
      </w:r>
      <w:r>
        <w:rPr>
          <w:lang w:val="en-US"/>
        </w:rPr>
        <w:tab/>
      </w:r>
      <w:r w:rsidR="009254C2" w:rsidRPr="006D2F04">
        <w:rPr>
          <w:lang w:val="en-US"/>
        </w:rPr>
        <w:t>the acceleration du</w:t>
      </w:r>
      <w:r w:rsidR="009254C2">
        <w:rPr>
          <w:lang w:val="en-US"/>
        </w:rPr>
        <w:t>e</w:t>
      </w:r>
      <w:r w:rsidR="009254C2" w:rsidRPr="006D2F04">
        <w:rPr>
          <w:lang w:val="en-US"/>
        </w:rPr>
        <w:t xml:space="preserve"> to gravity (g)</w:t>
      </w:r>
      <w:r w:rsidR="00FE2474">
        <w:rPr>
          <w:vertAlign w:val="superscript"/>
          <w:lang w:val="en-US"/>
        </w:rPr>
        <w:t>1</w:t>
      </w:r>
      <w:r w:rsidR="009254C2">
        <w:rPr>
          <w:vertAlign w:val="superscript"/>
          <w:lang w:val="en-US"/>
        </w:rPr>
        <w:fldChar w:fldCharType="begin"/>
      </w:r>
      <w:r w:rsidR="009254C2">
        <w:rPr>
          <w:vertAlign w:val="superscript"/>
          <w:lang w:val="en-US"/>
        </w:rPr>
        <w:instrText xml:space="preserve"> NOTEREF _Ref474497444 \h </w:instrText>
      </w:r>
      <w:r>
        <w:rPr>
          <w:vertAlign w:val="superscript"/>
          <w:lang w:val="en-US"/>
        </w:rPr>
        <w:instrText xml:space="preserve"> \* MERGEFORMAT </w:instrText>
      </w:r>
      <w:r w:rsidR="009254C2">
        <w:rPr>
          <w:vertAlign w:val="superscript"/>
          <w:lang w:val="en-US"/>
        </w:rPr>
      </w:r>
      <w:r w:rsidR="009254C2">
        <w:rPr>
          <w:vertAlign w:val="superscript"/>
          <w:lang w:val="en-US"/>
        </w:rPr>
        <w:fldChar w:fldCharType="end"/>
      </w:r>
      <w:r w:rsidR="007C64D1" w:rsidRPr="007C64D1">
        <w:rPr>
          <w:lang w:val="en-US"/>
        </w:rPr>
        <w:t>;</w:t>
      </w:r>
    </w:p>
    <w:p w:rsidR="009254C2" w:rsidRPr="006D2F04" w:rsidRDefault="00551C6A" w:rsidP="00551C6A">
      <w:pPr>
        <w:pStyle w:val="SingleTxtG"/>
        <w:ind w:left="2268" w:hanging="1134"/>
        <w:rPr>
          <w:lang w:val="en-US"/>
        </w:rPr>
      </w:pPr>
      <w:r>
        <w:rPr>
          <w:lang w:val="en-US"/>
        </w:rPr>
        <w:tab/>
        <w:t>-</w:t>
      </w:r>
      <w:r>
        <w:rPr>
          <w:lang w:val="en-US"/>
        </w:rPr>
        <w:tab/>
      </w:r>
      <w:r w:rsidR="009254C2" w:rsidRPr="006D2F04">
        <w:rPr>
          <w:lang w:val="en-US"/>
        </w:rPr>
        <w:t>vertically upwards: the total mass multiplied by the acceleration du</w:t>
      </w:r>
      <w:r w:rsidR="009254C2">
        <w:rPr>
          <w:lang w:val="en-US"/>
        </w:rPr>
        <w:t>e</w:t>
      </w:r>
      <w:r w:rsidR="009254C2" w:rsidRPr="006D2F04">
        <w:rPr>
          <w:lang w:val="en-US"/>
        </w:rPr>
        <w:t xml:space="preserve"> to </w:t>
      </w:r>
      <w:r>
        <w:rPr>
          <w:lang w:val="en-US"/>
        </w:rPr>
        <w:tab/>
      </w:r>
      <w:r>
        <w:rPr>
          <w:lang w:val="en-US"/>
        </w:rPr>
        <w:tab/>
      </w:r>
      <w:r w:rsidR="009254C2" w:rsidRPr="006D2F04">
        <w:rPr>
          <w:lang w:val="en-US"/>
        </w:rPr>
        <w:t>gravity (g)</w:t>
      </w:r>
      <w:r w:rsidR="00FE2474">
        <w:rPr>
          <w:vertAlign w:val="superscript"/>
          <w:lang w:val="en-US"/>
        </w:rPr>
        <w:t>1</w:t>
      </w:r>
      <w:r w:rsidR="007C64D1" w:rsidRPr="007C64D1">
        <w:rPr>
          <w:lang w:val="en-US"/>
        </w:rPr>
        <w:t>;</w:t>
      </w:r>
    </w:p>
    <w:p w:rsidR="009254C2" w:rsidRPr="007C64D1" w:rsidRDefault="00551C6A" w:rsidP="00551C6A">
      <w:pPr>
        <w:pStyle w:val="SingleTxtG"/>
        <w:ind w:left="2268" w:hanging="1134"/>
        <w:rPr>
          <w:lang w:val="en-US"/>
        </w:rPr>
      </w:pPr>
      <w:r>
        <w:rPr>
          <w:lang w:val="en-US"/>
        </w:rPr>
        <w:tab/>
        <w:t>-</w:t>
      </w:r>
      <w:r>
        <w:rPr>
          <w:lang w:val="en-US"/>
        </w:rPr>
        <w:tab/>
      </w:r>
      <w:r w:rsidR="009254C2" w:rsidRPr="006D2F04">
        <w:rPr>
          <w:lang w:val="en-US"/>
        </w:rPr>
        <w:t>vertically downwards: twice the total mass multiplied by the</w:t>
      </w:r>
      <w:r w:rsidR="007C64D1">
        <w:rPr>
          <w:lang w:val="en-US"/>
        </w:rPr>
        <w:tab/>
      </w:r>
      <w:r w:rsidR="007C64D1">
        <w:rPr>
          <w:lang w:val="en-US"/>
        </w:rPr>
        <w:tab/>
      </w:r>
      <w:r>
        <w:rPr>
          <w:lang w:val="en-US"/>
        </w:rPr>
        <w:tab/>
      </w:r>
      <w:r w:rsidR="009254C2" w:rsidRPr="006D2F04">
        <w:rPr>
          <w:lang w:val="en-US"/>
        </w:rPr>
        <w:t>acceleration du</w:t>
      </w:r>
      <w:r w:rsidR="009254C2">
        <w:rPr>
          <w:lang w:val="en-US"/>
        </w:rPr>
        <w:t>e</w:t>
      </w:r>
      <w:r w:rsidR="009254C2" w:rsidRPr="006D2F04">
        <w:rPr>
          <w:lang w:val="en-US"/>
        </w:rPr>
        <w:t xml:space="preserve"> to gravity (g)</w:t>
      </w:r>
      <w:r w:rsidR="00FE2474">
        <w:rPr>
          <w:vertAlign w:val="superscript"/>
          <w:lang w:val="en-US"/>
        </w:rPr>
        <w:t>1</w:t>
      </w:r>
      <w:r w:rsidR="007C64D1">
        <w:rPr>
          <w:lang w:val="en-US"/>
        </w:rPr>
        <w:t>.</w:t>
      </w:r>
    </w:p>
    <w:p w:rsidR="009254C2" w:rsidRDefault="00551C6A" w:rsidP="00551C6A">
      <w:pPr>
        <w:pStyle w:val="SingleTxtG"/>
        <w:rPr>
          <w:lang w:val="en-US"/>
        </w:rPr>
      </w:pPr>
      <w:r>
        <w:rPr>
          <w:lang w:val="en-US"/>
        </w:rPr>
        <w:t>NOTE:</w:t>
      </w:r>
      <w:r>
        <w:rPr>
          <w:lang w:val="en-US"/>
        </w:rPr>
        <w:tab/>
      </w:r>
      <w:r w:rsidR="009254C2" w:rsidRPr="006D2F04">
        <w:rPr>
          <w:lang w:val="en-US"/>
        </w:rPr>
        <w:t xml:space="preserve">The requirements of this paragraph do not apply to twist lock tie-down devices in compliance with ISO 1161:2016 </w:t>
      </w:r>
      <w:r w:rsidR="009254C2" w:rsidRPr="006D2F04">
        <w:rPr>
          <w:i/>
          <w:lang w:val="en-US"/>
        </w:rPr>
        <w:t>Series 1 freight containers -- Corner and intermediate fittings – Specifications</w:t>
      </w:r>
      <w:r w:rsidR="009254C2" w:rsidRPr="006D2F04">
        <w:rPr>
          <w:lang w:val="en-US"/>
        </w:rPr>
        <w:t>. However, the requirements apply to any frames or other devices used for support of such fastenings on the vehicle.</w:t>
      </w:r>
      <w:r>
        <w:rPr>
          <w:lang w:val="en-US"/>
        </w:rPr>
        <w:t>”.</w:t>
      </w:r>
    </w:p>
    <w:p w:rsidR="00471A77" w:rsidRPr="00471A77" w:rsidRDefault="00471A77" w:rsidP="00551C6A">
      <w:pPr>
        <w:pStyle w:val="SingleTxtG"/>
        <w:rPr>
          <w:b/>
          <w:lang w:val="en-US"/>
        </w:rPr>
      </w:pPr>
      <w:r>
        <w:rPr>
          <w:lang w:val="en-US"/>
        </w:rPr>
        <w:t>Footnote 1 reads: for calculation purposes g=9.81 m/s</w:t>
      </w:r>
      <w:r>
        <w:rPr>
          <w:vertAlign w:val="superscript"/>
          <w:lang w:val="en-US"/>
        </w:rPr>
        <w:t>2</w:t>
      </w:r>
      <w:r>
        <w:rPr>
          <w:lang w:val="en-US"/>
        </w:rPr>
        <w:t>.</w:t>
      </w:r>
    </w:p>
    <w:p w:rsidR="009254C2" w:rsidRPr="006C3D8D" w:rsidRDefault="009254C2" w:rsidP="009254C2">
      <w:pPr>
        <w:pStyle w:val="H1G"/>
      </w:pPr>
      <w:r>
        <w:tab/>
      </w:r>
      <w:r>
        <w:tab/>
      </w:r>
      <w:r w:rsidRPr="006C3D8D">
        <w:t>Proposal 2b</w:t>
      </w:r>
    </w:p>
    <w:p w:rsidR="009254C2" w:rsidRPr="006D2F04" w:rsidRDefault="008E5AB1" w:rsidP="00551C6A">
      <w:pPr>
        <w:pStyle w:val="SingleTxtG"/>
      </w:pPr>
      <w:r>
        <w:t>13.</w:t>
      </w:r>
      <w:r>
        <w:tab/>
      </w:r>
      <w:r w:rsidR="009254C2" w:rsidRPr="006D2F04">
        <w:t>Keep 9.7.3.1 and 9.7.3.2</w:t>
      </w:r>
      <w:r w:rsidR="009254C2">
        <w:t xml:space="preserve"> given</w:t>
      </w:r>
      <w:r w:rsidR="009254C2" w:rsidRPr="006D2F04">
        <w:t xml:space="preserve"> in proposal 2a unchanged, and add the following two paragraphs:</w:t>
      </w:r>
    </w:p>
    <w:p w:rsidR="009254C2" w:rsidRPr="006D2F04" w:rsidRDefault="00551C6A" w:rsidP="00551C6A">
      <w:pPr>
        <w:pStyle w:val="SingleTxtG"/>
        <w:ind w:left="2268" w:hanging="1134"/>
      </w:pPr>
      <w:r>
        <w:rPr>
          <w:lang w:val="en-US"/>
        </w:rPr>
        <w:t>“9.7.3.3</w:t>
      </w:r>
      <w:r w:rsidR="009254C2" w:rsidRPr="006D2F04">
        <w:rPr>
          <w:lang w:val="en-US"/>
        </w:rPr>
        <w:tab/>
        <w:t xml:space="preserve">The construction material of fastenings shall have an elongation at fracture, in %, </w:t>
      </w:r>
      <w:r w:rsidR="009254C2" w:rsidRPr="006D2F04">
        <w:t xml:space="preserve">not less than 10000/Rm for steel, with an absolute minimum of 16% for fine grained steels and 20% for other steels. For aluminium and aluminium alloys the elongation at fracture shall be not less than 12%. </w:t>
      </w:r>
    </w:p>
    <w:p w:rsidR="009254C2" w:rsidRPr="006C3D8D" w:rsidRDefault="00551C6A" w:rsidP="00551C6A">
      <w:pPr>
        <w:pStyle w:val="SingleTxtG"/>
        <w:ind w:left="2268" w:hanging="1134"/>
      </w:pPr>
      <w:r>
        <w:t>9.7.3.4</w:t>
      </w:r>
      <w:r w:rsidR="009254C2" w:rsidRPr="006D2F04">
        <w:tab/>
        <w:t>The stress σ in the material of fastenings shall not exceed 0.75 Re or 0.5 Rm, whichever is lower, under the forces defined in 9.7.3.2</w:t>
      </w:r>
      <w:r>
        <w:t>.”.</w:t>
      </w:r>
    </w:p>
    <w:p w:rsidR="009254C2" w:rsidRPr="006C3D8D" w:rsidRDefault="00551C6A" w:rsidP="00551C6A">
      <w:pPr>
        <w:pStyle w:val="H1G"/>
      </w:pPr>
      <w:r>
        <w:tab/>
      </w:r>
      <w:r>
        <w:tab/>
      </w:r>
      <w:r w:rsidR="009254C2" w:rsidRPr="006C3D8D">
        <w:t>Proposal 2c</w:t>
      </w:r>
    </w:p>
    <w:p w:rsidR="009254C2" w:rsidRPr="006D2F04" w:rsidRDefault="008E5AB1" w:rsidP="00551C6A">
      <w:pPr>
        <w:pStyle w:val="SingleTxtG"/>
      </w:pPr>
      <w:r>
        <w:t>14.</w:t>
      </w:r>
      <w:r>
        <w:tab/>
      </w:r>
      <w:r w:rsidR="009254C2" w:rsidRPr="006D2F04">
        <w:t xml:space="preserve">Keep 9.7.3.1 and 9.7.3.2 </w:t>
      </w:r>
      <w:r w:rsidR="009254C2">
        <w:t xml:space="preserve">given </w:t>
      </w:r>
      <w:r w:rsidR="009254C2" w:rsidRPr="006D2F04">
        <w:t xml:space="preserve">in proposal 2a unchanged, </w:t>
      </w:r>
      <w:r w:rsidR="009254C2">
        <w:t>and add the following paragraph</w:t>
      </w:r>
      <w:r w:rsidR="009254C2" w:rsidRPr="006D2F04">
        <w:t>:</w:t>
      </w:r>
    </w:p>
    <w:p w:rsidR="009254C2" w:rsidRPr="00257C6E" w:rsidRDefault="00551C6A" w:rsidP="00551C6A">
      <w:pPr>
        <w:pStyle w:val="SingleTxtG"/>
        <w:ind w:left="2268" w:hanging="1134"/>
        <w:rPr>
          <w:lang w:val="en-US"/>
        </w:rPr>
      </w:pPr>
      <w:r>
        <w:t>“9.7.3.3</w:t>
      </w:r>
      <w:r w:rsidR="009254C2">
        <w:tab/>
        <w:t>For t</w:t>
      </w:r>
      <w:r w:rsidR="009254C2">
        <w:rPr>
          <w:lang w:val="en-US"/>
        </w:rPr>
        <w:t>ank-vehicles, battery-vehicles</w:t>
      </w:r>
      <w:r w:rsidR="009254C2" w:rsidRPr="00257C6E">
        <w:rPr>
          <w:lang w:val="en-US"/>
        </w:rPr>
        <w:t xml:space="preserve"> and vehicles carrying demountable tanks</w:t>
      </w:r>
      <w:r w:rsidR="009254C2">
        <w:rPr>
          <w:lang w:val="en-US"/>
        </w:rPr>
        <w:t>, the fastenings</w:t>
      </w:r>
      <w:r w:rsidR="009254C2" w:rsidRPr="00257C6E">
        <w:rPr>
          <w:lang w:val="en-US"/>
        </w:rPr>
        <w:t xml:space="preserve"> </w:t>
      </w:r>
      <w:r w:rsidR="009254C2">
        <w:rPr>
          <w:lang w:val="en-US"/>
        </w:rPr>
        <w:t xml:space="preserve">shall withstand the minimum </w:t>
      </w:r>
      <w:r w:rsidR="009254C2" w:rsidRPr="00257C6E">
        <w:rPr>
          <w:lang w:val="en-US"/>
        </w:rPr>
        <w:t>stresses as defined in 6.8.2.1.11 to 6.8.2.</w:t>
      </w:r>
      <w:r w:rsidR="009254C2">
        <w:rPr>
          <w:lang w:val="en-US"/>
        </w:rPr>
        <w:t>1</w:t>
      </w:r>
      <w:r>
        <w:rPr>
          <w:lang w:val="en-US"/>
        </w:rPr>
        <w:t>.13, 6.8.2.1.15 and 6.8.2.1.16.”</w:t>
      </w:r>
    </w:p>
    <w:p w:rsidR="009254C2" w:rsidRPr="006C3D8D" w:rsidRDefault="00551C6A" w:rsidP="00551C6A">
      <w:pPr>
        <w:pStyle w:val="H1G"/>
      </w:pPr>
      <w:r>
        <w:lastRenderedPageBreak/>
        <w:tab/>
      </w:r>
      <w:r>
        <w:tab/>
      </w:r>
      <w:r w:rsidR="009254C2" w:rsidRPr="006C3D8D">
        <w:t>Proposal 3</w:t>
      </w:r>
    </w:p>
    <w:p w:rsidR="009254C2" w:rsidRPr="00264EC0" w:rsidRDefault="008E5AB1" w:rsidP="00551C6A">
      <w:pPr>
        <w:pStyle w:val="SingleTxtG"/>
      </w:pPr>
      <w:r>
        <w:t>15.</w:t>
      </w:r>
      <w:r>
        <w:tab/>
      </w:r>
      <w:r w:rsidR="009254C2" w:rsidRPr="00264EC0">
        <w:t>Amend 7.5.7.4</w:t>
      </w:r>
      <w:r w:rsidR="009254C2">
        <w:t xml:space="preserve"> in ADR</w:t>
      </w:r>
      <w:r w:rsidR="009254C2" w:rsidRPr="00264EC0">
        <w:t xml:space="preserve"> to read</w:t>
      </w:r>
      <w:r w:rsidR="009254C2">
        <w:t xml:space="preserve"> </w:t>
      </w:r>
      <w:r w:rsidR="009254C2" w:rsidRPr="00971EDC">
        <w:rPr>
          <w:lang w:val="en-US"/>
        </w:rPr>
        <w:t xml:space="preserve">(new text </w:t>
      </w:r>
      <w:r w:rsidR="009254C2" w:rsidRPr="00971EDC">
        <w:rPr>
          <w:u w:val="single"/>
          <w:lang w:val="en-US"/>
        </w:rPr>
        <w:t>underlined)</w:t>
      </w:r>
      <w:r w:rsidR="009254C2" w:rsidRPr="00264EC0">
        <w:t>:</w:t>
      </w:r>
    </w:p>
    <w:p w:rsidR="009254C2" w:rsidRPr="005173D8" w:rsidRDefault="00551C6A" w:rsidP="00551C6A">
      <w:pPr>
        <w:pStyle w:val="SingleTxtG"/>
        <w:rPr>
          <w:u w:val="single"/>
          <w:lang w:val="en-US"/>
        </w:rPr>
      </w:pPr>
      <w:r>
        <w:rPr>
          <w:lang w:val="en-US"/>
        </w:rPr>
        <w:t>“</w:t>
      </w:r>
      <w:r w:rsidR="009254C2" w:rsidRPr="006D2F04">
        <w:rPr>
          <w:lang w:val="en-US"/>
        </w:rPr>
        <w:t>The provisions of 7.5.7.1 shall also apply to the loading, stowage and removal of containers, tank-containers, portable tanks and MEGCs on to and from vehicles.</w:t>
      </w:r>
      <w:r w:rsidR="009254C2" w:rsidRPr="005173D8">
        <w:rPr>
          <w:u w:val="single"/>
          <w:lang w:val="en-US"/>
        </w:rPr>
        <w:t xml:space="preserve"> When tank-containers, portable tanks and MEGCs do not use corner castings in the patterns as defined in ISO 1496-1 Series 1 freight containers -- Specification and testing -- Part 1: General cargo containers for general purposes, it shall be verified that the systems used on the tank-containers, portable tanks or MEGCs are compatible with the system on the vehicle and in compliance </w:t>
      </w:r>
      <w:r w:rsidR="007C64D1">
        <w:rPr>
          <w:u w:val="single"/>
          <w:lang w:val="en-US"/>
        </w:rPr>
        <w:t>with the requirements in 9.7.3.”</w:t>
      </w:r>
    </w:p>
    <w:p w:rsidR="009254C2" w:rsidRPr="00E5293F" w:rsidRDefault="009254C2" w:rsidP="009254C2">
      <w:pPr>
        <w:pStyle w:val="HChG"/>
        <w:rPr>
          <w:lang w:val="en-US"/>
        </w:rPr>
      </w:pPr>
      <w:r>
        <w:rPr>
          <w:lang w:val="en-US"/>
        </w:rPr>
        <w:tab/>
      </w:r>
      <w:r w:rsidRPr="00E5293F">
        <w:rPr>
          <w:lang w:val="en-US"/>
        </w:rPr>
        <w:tab/>
        <w:t>Justification</w:t>
      </w:r>
    </w:p>
    <w:p w:rsidR="009254C2" w:rsidRPr="009B7FFB" w:rsidRDefault="008E5AB1" w:rsidP="009254C2">
      <w:pPr>
        <w:pStyle w:val="SingleTxtG"/>
        <w:rPr>
          <w:u w:val="single"/>
        </w:rPr>
      </w:pPr>
      <w:r>
        <w:rPr>
          <w:lang w:val="en-US"/>
        </w:rPr>
        <w:t>16.</w:t>
      </w:r>
      <w:r>
        <w:rPr>
          <w:lang w:val="en-US"/>
        </w:rPr>
        <w:tab/>
      </w:r>
      <w:r w:rsidR="009254C2" w:rsidRPr="00E5293F">
        <w:rPr>
          <w:lang w:val="en-US"/>
        </w:rPr>
        <w:t xml:space="preserve">The proposed amendments for ADR 9.7.3 and 7.5.7.4 will enhance the safety for vehicles carrying tank-containers, MEGCs and portable tanks. </w:t>
      </w:r>
      <w:r w:rsidR="009254C2">
        <w:rPr>
          <w:lang w:val="en-US"/>
        </w:rPr>
        <w:t xml:space="preserve">ADR will also be in line with the UN recommendations paragraph 7.2.2. </w:t>
      </w:r>
    </w:p>
    <w:p w:rsidR="00597C2F" w:rsidRPr="00597C2F" w:rsidRDefault="00597C2F" w:rsidP="00597C2F">
      <w:pPr>
        <w:pStyle w:val="SingleTxtG"/>
        <w:spacing w:before="240" w:after="0"/>
        <w:jc w:val="center"/>
        <w:rPr>
          <w:u w:val="single"/>
        </w:rPr>
      </w:pPr>
      <w:r>
        <w:rPr>
          <w:u w:val="single"/>
        </w:rPr>
        <w:tab/>
      </w:r>
      <w:r>
        <w:rPr>
          <w:u w:val="single"/>
        </w:rPr>
        <w:tab/>
      </w:r>
      <w:r>
        <w:rPr>
          <w:u w:val="single"/>
        </w:rPr>
        <w:tab/>
      </w:r>
    </w:p>
    <w:sectPr w:rsidR="00597C2F" w:rsidRPr="00597C2F"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6A" w:rsidRDefault="00551C6A"/>
  </w:endnote>
  <w:endnote w:type="continuationSeparator" w:id="0">
    <w:p w:rsidR="00551C6A" w:rsidRDefault="00551C6A"/>
  </w:endnote>
  <w:endnote w:type="continuationNotice" w:id="1">
    <w:p w:rsidR="00551C6A" w:rsidRDefault="00551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6A" w:rsidRPr="001330DE" w:rsidRDefault="00551C6A"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F7574E">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6A" w:rsidRPr="001330DE" w:rsidRDefault="00551C6A"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F7574E">
      <w:rPr>
        <w:b/>
        <w:noProof/>
        <w:sz w:val="18"/>
      </w:rPr>
      <w:t>5</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6A" w:rsidRPr="000B175B" w:rsidRDefault="00551C6A" w:rsidP="000B175B">
      <w:pPr>
        <w:tabs>
          <w:tab w:val="right" w:pos="2155"/>
        </w:tabs>
        <w:spacing w:after="80"/>
        <w:ind w:left="680"/>
        <w:rPr>
          <w:u w:val="single"/>
        </w:rPr>
      </w:pPr>
      <w:r>
        <w:rPr>
          <w:u w:val="single"/>
        </w:rPr>
        <w:tab/>
      </w:r>
    </w:p>
  </w:footnote>
  <w:footnote w:type="continuationSeparator" w:id="0">
    <w:p w:rsidR="00551C6A" w:rsidRPr="00FC68B7" w:rsidRDefault="00551C6A" w:rsidP="00FC68B7">
      <w:pPr>
        <w:tabs>
          <w:tab w:val="left" w:pos="2155"/>
        </w:tabs>
        <w:spacing w:after="80"/>
        <w:ind w:left="680"/>
        <w:rPr>
          <w:u w:val="single"/>
        </w:rPr>
      </w:pPr>
      <w:r>
        <w:rPr>
          <w:u w:val="single"/>
        </w:rPr>
        <w:tab/>
      </w:r>
    </w:p>
  </w:footnote>
  <w:footnote w:type="continuationNotice" w:id="1">
    <w:p w:rsidR="00551C6A" w:rsidRDefault="00551C6A"/>
  </w:footnote>
  <w:footnote w:id="2">
    <w:p w:rsidR="00852A41" w:rsidRDefault="00852A41" w:rsidP="00852A41">
      <w:pPr>
        <w:pStyle w:val="FootnoteText"/>
        <w:tabs>
          <w:tab w:val="clear" w:pos="1021"/>
        </w:tabs>
        <w:ind w:left="1418" w:right="1260" w:hanging="284"/>
        <w:jc w:val="both"/>
      </w:pPr>
      <w:r w:rsidRPr="00C634A6">
        <w:rPr>
          <w:rStyle w:val="FootnoteReference"/>
          <w:sz w:val="20"/>
        </w:rPr>
        <w:sym w:font="Symbol" w:char="F02A"/>
      </w:r>
      <w:r>
        <w:tab/>
      </w:r>
      <w:r w:rsidRPr="00DE1D53">
        <w:t>In accordance with the programme of work of the Inland Transport Committee for 201</w:t>
      </w:r>
      <w:r>
        <w:t>6-2017, (ECE/TRANS/2016/28/Add.1</w:t>
      </w:r>
      <w:r w:rsidRPr="00DE1D53">
        <w:t xml:space="preserve">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6A" w:rsidRPr="001330DE" w:rsidRDefault="00551C6A" w:rsidP="001330DE">
    <w:pPr>
      <w:pStyle w:val="Header"/>
    </w:pPr>
    <w:r w:rsidRPr="001330DE">
      <w:t>ECE/TRANS/WP.15/201</w:t>
    </w:r>
    <w:r>
      <w:t>7/</w:t>
    </w:r>
    <w:r w:rsidR="00277439">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6A" w:rsidRPr="001330DE" w:rsidRDefault="00551C6A" w:rsidP="001330DE">
    <w:pPr>
      <w:pStyle w:val="Header"/>
      <w:jc w:val="right"/>
    </w:pPr>
    <w:r w:rsidRPr="001330DE">
      <w:t>ECE/TRANS/WP.15/201</w:t>
    </w:r>
    <w:r>
      <w:t>7</w:t>
    </w:r>
    <w:r w:rsidRPr="001330DE">
      <w:t>/</w:t>
    </w:r>
    <w:r w:rsidR="00277439">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0245F5"/>
    <w:multiLevelType w:val="hybridMultilevel"/>
    <w:tmpl w:val="7FE4D8B6"/>
    <w:lvl w:ilvl="0" w:tplc="6966E816">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FBA698E2">
      <w:start w:val="9"/>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86018"/>
    <w:rsid w:val="000931C0"/>
    <w:rsid w:val="000B0595"/>
    <w:rsid w:val="000B175B"/>
    <w:rsid w:val="000B3A0F"/>
    <w:rsid w:val="000B4EF7"/>
    <w:rsid w:val="000C2C03"/>
    <w:rsid w:val="000C2D2E"/>
    <w:rsid w:val="000C45FE"/>
    <w:rsid w:val="000E0415"/>
    <w:rsid w:val="001103AA"/>
    <w:rsid w:val="0011666B"/>
    <w:rsid w:val="00126A57"/>
    <w:rsid w:val="001330DE"/>
    <w:rsid w:val="00136E76"/>
    <w:rsid w:val="00145622"/>
    <w:rsid w:val="00165F3A"/>
    <w:rsid w:val="001B054C"/>
    <w:rsid w:val="001B4B04"/>
    <w:rsid w:val="001C6663"/>
    <w:rsid w:val="001C7895"/>
    <w:rsid w:val="001D0C8C"/>
    <w:rsid w:val="001D1419"/>
    <w:rsid w:val="001D26DF"/>
    <w:rsid w:val="001D3A03"/>
    <w:rsid w:val="001E099A"/>
    <w:rsid w:val="001E4771"/>
    <w:rsid w:val="001E59E0"/>
    <w:rsid w:val="001E7B67"/>
    <w:rsid w:val="001F6AFB"/>
    <w:rsid w:val="00202DA8"/>
    <w:rsid w:val="00211E0B"/>
    <w:rsid w:val="0021665B"/>
    <w:rsid w:val="00250738"/>
    <w:rsid w:val="00267F5F"/>
    <w:rsid w:val="00277439"/>
    <w:rsid w:val="00286B4D"/>
    <w:rsid w:val="002D4643"/>
    <w:rsid w:val="002F175C"/>
    <w:rsid w:val="00302E18"/>
    <w:rsid w:val="003229D8"/>
    <w:rsid w:val="00352709"/>
    <w:rsid w:val="003639E8"/>
    <w:rsid w:val="00364574"/>
    <w:rsid w:val="00371178"/>
    <w:rsid w:val="0038358B"/>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71A77"/>
    <w:rsid w:val="0048397A"/>
    <w:rsid w:val="004C2461"/>
    <w:rsid w:val="004C7462"/>
    <w:rsid w:val="004D3CEF"/>
    <w:rsid w:val="004E77B2"/>
    <w:rsid w:val="00504B2D"/>
    <w:rsid w:val="0052136D"/>
    <w:rsid w:val="00522B58"/>
    <w:rsid w:val="0052699B"/>
    <w:rsid w:val="0052775E"/>
    <w:rsid w:val="005420F2"/>
    <w:rsid w:val="00551C6A"/>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3589"/>
    <w:rsid w:val="006D2148"/>
    <w:rsid w:val="006D266F"/>
    <w:rsid w:val="006D37AF"/>
    <w:rsid w:val="006D51D0"/>
    <w:rsid w:val="006E564B"/>
    <w:rsid w:val="006E7191"/>
    <w:rsid w:val="00703577"/>
    <w:rsid w:val="00705894"/>
    <w:rsid w:val="0072632A"/>
    <w:rsid w:val="007327D5"/>
    <w:rsid w:val="007629C8"/>
    <w:rsid w:val="0077047D"/>
    <w:rsid w:val="007A3C5F"/>
    <w:rsid w:val="007B4EDD"/>
    <w:rsid w:val="007B6BA5"/>
    <w:rsid w:val="007C3390"/>
    <w:rsid w:val="007C4F4B"/>
    <w:rsid w:val="007C64D1"/>
    <w:rsid w:val="007E01E9"/>
    <w:rsid w:val="007E63F3"/>
    <w:rsid w:val="007F6611"/>
    <w:rsid w:val="00811920"/>
    <w:rsid w:val="00815AD0"/>
    <w:rsid w:val="008242D7"/>
    <w:rsid w:val="008257B1"/>
    <w:rsid w:val="00830A44"/>
    <w:rsid w:val="00843767"/>
    <w:rsid w:val="00852A41"/>
    <w:rsid w:val="008679D9"/>
    <w:rsid w:val="008878DE"/>
    <w:rsid w:val="008979B1"/>
    <w:rsid w:val="008A632B"/>
    <w:rsid w:val="008A6B25"/>
    <w:rsid w:val="008A6C4F"/>
    <w:rsid w:val="008B2335"/>
    <w:rsid w:val="008C048F"/>
    <w:rsid w:val="008D4A19"/>
    <w:rsid w:val="008E0678"/>
    <w:rsid w:val="008E5AB1"/>
    <w:rsid w:val="0090238C"/>
    <w:rsid w:val="009223CA"/>
    <w:rsid w:val="009254C2"/>
    <w:rsid w:val="00940F93"/>
    <w:rsid w:val="009471BA"/>
    <w:rsid w:val="009760F3"/>
    <w:rsid w:val="009872AB"/>
    <w:rsid w:val="009A0E8D"/>
    <w:rsid w:val="009B26E7"/>
    <w:rsid w:val="00A00A3F"/>
    <w:rsid w:val="00A01489"/>
    <w:rsid w:val="00A3026E"/>
    <w:rsid w:val="00A338F1"/>
    <w:rsid w:val="00A50DEE"/>
    <w:rsid w:val="00A72F22"/>
    <w:rsid w:val="00A7360F"/>
    <w:rsid w:val="00A748A6"/>
    <w:rsid w:val="00A769F4"/>
    <w:rsid w:val="00A776B4"/>
    <w:rsid w:val="00A94361"/>
    <w:rsid w:val="00AA293C"/>
    <w:rsid w:val="00B30179"/>
    <w:rsid w:val="00B31E80"/>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68A8"/>
    <w:rsid w:val="00C0563C"/>
    <w:rsid w:val="00C11A03"/>
    <w:rsid w:val="00C22C0C"/>
    <w:rsid w:val="00C4527F"/>
    <w:rsid w:val="00C463DD"/>
    <w:rsid w:val="00C4724C"/>
    <w:rsid w:val="00C629A0"/>
    <w:rsid w:val="00C64629"/>
    <w:rsid w:val="00C745C3"/>
    <w:rsid w:val="00C86220"/>
    <w:rsid w:val="00CB3E03"/>
    <w:rsid w:val="00CE0C77"/>
    <w:rsid w:val="00CE4A8F"/>
    <w:rsid w:val="00CF49FD"/>
    <w:rsid w:val="00CF6D46"/>
    <w:rsid w:val="00D02AEF"/>
    <w:rsid w:val="00D2031B"/>
    <w:rsid w:val="00D25FE2"/>
    <w:rsid w:val="00D43252"/>
    <w:rsid w:val="00D47EEA"/>
    <w:rsid w:val="00D6286A"/>
    <w:rsid w:val="00D773DF"/>
    <w:rsid w:val="00D77865"/>
    <w:rsid w:val="00D94296"/>
    <w:rsid w:val="00D95303"/>
    <w:rsid w:val="00D978C6"/>
    <w:rsid w:val="00DA3C1C"/>
    <w:rsid w:val="00DE40E0"/>
    <w:rsid w:val="00E046DF"/>
    <w:rsid w:val="00E27346"/>
    <w:rsid w:val="00E70191"/>
    <w:rsid w:val="00E71BC8"/>
    <w:rsid w:val="00E7260F"/>
    <w:rsid w:val="00E73F5D"/>
    <w:rsid w:val="00E75A6C"/>
    <w:rsid w:val="00E77E4E"/>
    <w:rsid w:val="00E96630"/>
    <w:rsid w:val="00ED41D7"/>
    <w:rsid w:val="00ED7A2A"/>
    <w:rsid w:val="00EE5AD3"/>
    <w:rsid w:val="00EF1D7F"/>
    <w:rsid w:val="00F13FB9"/>
    <w:rsid w:val="00F31E5F"/>
    <w:rsid w:val="00F44B02"/>
    <w:rsid w:val="00F6100A"/>
    <w:rsid w:val="00F7574E"/>
    <w:rsid w:val="00F90BD0"/>
    <w:rsid w:val="00F93781"/>
    <w:rsid w:val="00FB613B"/>
    <w:rsid w:val="00FC68B7"/>
    <w:rsid w:val="00FE106A"/>
    <w:rsid w:val="00FE2474"/>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3553"/>
    <o:shapelayout v:ext="edit">
      <o:idmap v:ext="edit" data="1"/>
    </o:shapelayout>
  </w:shapeDefaults>
  <w:decimalSymbol w:val="."/>
  <w:listSeparator w:val=","/>
  <w14:docId w14:val="05ABB6FD"/>
  <w15:docId w15:val="{25730BBC-AF30-4759-9929-08E4FE1B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FD07-D751-4529-B70B-A1747879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1365</Words>
  <Characters>7701</Characters>
  <Application>Microsoft Office Word</Application>
  <DocSecurity>0</DocSecurity>
  <Lines>160</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12</cp:revision>
  <cp:lastPrinted>2017-02-10T14:23:00Z</cp:lastPrinted>
  <dcterms:created xsi:type="dcterms:W3CDTF">2017-02-10T13:53:00Z</dcterms:created>
  <dcterms:modified xsi:type="dcterms:W3CDTF">2017-02-20T14:37:00Z</dcterms:modified>
</cp:coreProperties>
</file>