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82B90" w:rsidTr="00C97039">
        <w:trPr>
          <w:trHeight w:hRule="exact" w:val="851"/>
        </w:trPr>
        <w:tc>
          <w:tcPr>
            <w:tcW w:w="1276" w:type="dxa"/>
            <w:tcBorders>
              <w:bottom w:val="single" w:sz="4" w:space="0" w:color="auto"/>
            </w:tcBorders>
          </w:tcPr>
          <w:p w:rsidR="00F35BAF" w:rsidRPr="00A82B90" w:rsidRDefault="00F35BAF" w:rsidP="00A82B90">
            <w:bookmarkStart w:id="0" w:name="_GoBack"/>
            <w:bookmarkEnd w:id="0"/>
          </w:p>
        </w:tc>
        <w:tc>
          <w:tcPr>
            <w:tcW w:w="2268" w:type="dxa"/>
            <w:tcBorders>
              <w:bottom w:val="single" w:sz="4" w:space="0" w:color="auto"/>
            </w:tcBorders>
            <w:vAlign w:val="bottom"/>
          </w:tcPr>
          <w:p w:rsidR="00F35BAF" w:rsidRPr="00A82B90" w:rsidRDefault="00F35BAF" w:rsidP="00C97039">
            <w:pPr>
              <w:spacing w:after="80" w:line="300" w:lineRule="exact"/>
              <w:rPr>
                <w:sz w:val="28"/>
              </w:rPr>
            </w:pPr>
            <w:r w:rsidRPr="00A82B90">
              <w:rPr>
                <w:sz w:val="28"/>
              </w:rPr>
              <w:t>Nations Unies</w:t>
            </w:r>
          </w:p>
        </w:tc>
        <w:tc>
          <w:tcPr>
            <w:tcW w:w="6095" w:type="dxa"/>
            <w:gridSpan w:val="2"/>
            <w:tcBorders>
              <w:bottom w:val="single" w:sz="4" w:space="0" w:color="auto"/>
            </w:tcBorders>
            <w:vAlign w:val="bottom"/>
          </w:tcPr>
          <w:p w:rsidR="00F35BAF" w:rsidRPr="00A82B90" w:rsidRDefault="00A82B90" w:rsidP="00A82B90">
            <w:pPr>
              <w:jc w:val="right"/>
            </w:pPr>
            <w:r w:rsidRPr="00A82B90">
              <w:rPr>
                <w:sz w:val="40"/>
              </w:rPr>
              <w:t>ECE</w:t>
            </w:r>
            <w:r w:rsidRPr="00A82B90">
              <w:t>/TRANS/WP.15/2017/5</w:t>
            </w:r>
          </w:p>
        </w:tc>
      </w:tr>
      <w:tr w:rsidR="00F35BAF" w:rsidRPr="00A82B90" w:rsidTr="00C97039">
        <w:trPr>
          <w:trHeight w:hRule="exact" w:val="2835"/>
        </w:trPr>
        <w:tc>
          <w:tcPr>
            <w:tcW w:w="1276" w:type="dxa"/>
            <w:tcBorders>
              <w:top w:val="single" w:sz="4" w:space="0" w:color="auto"/>
              <w:bottom w:val="single" w:sz="12" w:space="0" w:color="auto"/>
            </w:tcBorders>
          </w:tcPr>
          <w:p w:rsidR="00F35BAF" w:rsidRPr="00A82B90" w:rsidRDefault="00F35BAF" w:rsidP="00C97039">
            <w:pPr>
              <w:spacing w:before="120"/>
              <w:jc w:val="center"/>
            </w:pPr>
            <w:r w:rsidRPr="00A82B90">
              <w:rPr>
                <w:noProof/>
                <w:lang w:val="en-US"/>
              </w:rPr>
              <w:drawing>
                <wp:inline distT="0" distB="0" distL="0" distR="0" wp14:anchorId="625A98BD" wp14:editId="48A280E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A82B90" w:rsidRDefault="00F35BAF" w:rsidP="00C97039">
            <w:pPr>
              <w:spacing w:before="120" w:line="420" w:lineRule="exact"/>
              <w:rPr>
                <w:b/>
                <w:sz w:val="40"/>
                <w:szCs w:val="40"/>
              </w:rPr>
            </w:pPr>
            <w:r w:rsidRPr="00A82B90">
              <w:rPr>
                <w:b/>
                <w:sz w:val="40"/>
                <w:szCs w:val="40"/>
              </w:rPr>
              <w:t>Conseil économique et social</w:t>
            </w:r>
          </w:p>
        </w:tc>
        <w:tc>
          <w:tcPr>
            <w:tcW w:w="2835" w:type="dxa"/>
            <w:tcBorders>
              <w:top w:val="single" w:sz="4" w:space="0" w:color="auto"/>
              <w:bottom w:val="single" w:sz="12" w:space="0" w:color="auto"/>
            </w:tcBorders>
          </w:tcPr>
          <w:p w:rsidR="00F35BAF" w:rsidRPr="00A82B90" w:rsidRDefault="00A82B90" w:rsidP="00C97039">
            <w:pPr>
              <w:spacing w:before="240"/>
            </w:pPr>
            <w:r w:rsidRPr="00A82B90">
              <w:t>Distr. générale</w:t>
            </w:r>
          </w:p>
          <w:p w:rsidR="00A82B90" w:rsidRPr="00A82B90" w:rsidRDefault="00A82B90" w:rsidP="00A82B90">
            <w:pPr>
              <w:spacing w:line="240" w:lineRule="exact"/>
            </w:pPr>
            <w:r w:rsidRPr="00A82B90">
              <w:t>20 février 2017</w:t>
            </w:r>
          </w:p>
          <w:p w:rsidR="00A82B90" w:rsidRPr="00A82B90" w:rsidRDefault="00A82B90" w:rsidP="00A82B90">
            <w:pPr>
              <w:spacing w:line="240" w:lineRule="exact"/>
            </w:pPr>
            <w:r w:rsidRPr="00A82B90">
              <w:t>Français</w:t>
            </w:r>
          </w:p>
          <w:p w:rsidR="00A82B90" w:rsidRPr="00A82B90" w:rsidRDefault="00A82B90" w:rsidP="00A82B90">
            <w:pPr>
              <w:spacing w:line="240" w:lineRule="exact"/>
            </w:pPr>
            <w:r w:rsidRPr="00A82B90">
              <w:t>Original</w:t>
            </w:r>
            <w:r>
              <w:t> :</w:t>
            </w:r>
            <w:r w:rsidRPr="00A82B90">
              <w:t xml:space="preserve"> anglais</w:t>
            </w:r>
          </w:p>
        </w:tc>
      </w:tr>
    </w:tbl>
    <w:p w:rsidR="007F20FA" w:rsidRPr="00A82B90" w:rsidRDefault="007F20FA" w:rsidP="007F20FA">
      <w:pPr>
        <w:spacing w:before="120"/>
        <w:rPr>
          <w:b/>
          <w:sz w:val="28"/>
          <w:szCs w:val="28"/>
        </w:rPr>
      </w:pPr>
      <w:r w:rsidRPr="00A82B90">
        <w:rPr>
          <w:b/>
          <w:sz w:val="28"/>
          <w:szCs w:val="28"/>
        </w:rPr>
        <w:t>Commission économique pour l</w:t>
      </w:r>
      <w:r w:rsidR="00A82B90">
        <w:rPr>
          <w:b/>
          <w:sz w:val="28"/>
          <w:szCs w:val="28"/>
        </w:rPr>
        <w:t>’</w:t>
      </w:r>
      <w:r w:rsidRPr="00A82B90">
        <w:rPr>
          <w:b/>
          <w:sz w:val="28"/>
          <w:szCs w:val="28"/>
        </w:rPr>
        <w:t>Europe</w:t>
      </w:r>
    </w:p>
    <w:p w:rsidR="007F20FA" w:rsidRPr="00A82B90" w:rsidRDefault="007F20FA" w:rsidP="007F20FA">
      <w:pPr>
        <w:spacing w:before="120"/>
        <w:rPr>
          <w:sz w:val="28"/>
          <w:szCs w:val="28"/>
        </w:rPr>
      </w:pPr>
      <w:r w:rsidRPr="00A82B90">
        <w:rPr>
          <w:sz w:val="28"/>
          <w:szCs w:val="28"/>
        </w:rPr>
        <w:t>Comité des transports intérieurs</w:t>
      </w:r>
    </w:p>
    <w:p w:rsidR="00A82B90" w:rsidRPr="00A82B90" w:rsidRDefault="00A82B90" w:rsidP="00A82B90">
      <w:pPr>
        <w:spacing w:before="120"/>
        <w:rPr>
          <w:b/>
          <w:bCs/>
          <w:sz w:val="24"/>
          <w:szCs w:val="24"/>
        </w:rPr>
      </w:pPr>
      <w:r w:rsidRPr="00A82B90">
        <w:rPr>
          <w:b/>
          <w:bCs/>
          <w:sz w:val="24"/>
          <w:szCs w:val="24"/>
        </w:rPr>
        <w:t xml:space="preserve">Groupe de travail des transports </w:t>
      </w:r>
      <w:r w:rsidRPr="00A82B90">
        <w:rPr>
          <w:b/>
          <w:bCs/>
          <w:sz w:val="24"/>
          <w:szCs w:val="24"/>
        </w:rPr>
        <w:br/>
        <w:t>de marchandises dangereuses</w:t>
      </w:r>
    </w:p>
    <w:p w:rsidR="00A82B90" w:rsidRPr="00A82B90" w:rsidRDefault="00A82B90" w:rsidP="00A82B90">
      <w:pPr>
        <w:spacing w:before="120"/>
        <w:rPr>
          <w:rFonts w:eastAsia="SimSun"/>
          <w:b/>
          <w:bCs/>
        </w:rPr>
      </w:pPr>
      <w:r w:rsidRPr="00A82B90">
        <w:rPr>
          <w:b/>
          <w:bCs/>
        </w:rPr>
        <w:t>102</w:t>
      </w:r>
      <w:r w:rsidRPr="00A82B90">
        <w:rPr>
          <w:b/>
          <w:bCs/>
          <w:vertAlign w:val="superscript"/>
        </w:rPr>
        <w:t>e</w:t>
      </w:r>
      <w:r w:rsidRPr="00A82B90">
        <w:rPr>
          <w:rStyle w:val="hps"/>
          <w:rFonts w:ascii="Arial" w:hAnsi="Arial"/>
          <w:b/>
          <w:bCs/>
          <w:color w:val="222222"/>
        </w:rPr>
        <w:t xml:space="preserve"> </w:t>
      </w:r>
      <w:r w:rsidRPr="00A82B90">
        <w:rPr>
          <w:b/>
          <w:bCs/>
        </w:rPr>
        <w:t xml:space="preserve">session </w:t>
      </w:r>
    </w:p>
    <w:p w:rsidR="00A82B90" w:rsidRPr="00A82B90" w:rsidRDefault="00A82B90" w:rsidP="00A82B90">
      <w:pPr>
        <w:rPr>
          <w:rFonts w:eastAsia="SimSun"/>
        </w:rPr>
      </w:pPr>
      <w:r w:rsidRPr="00A82B90">
        <w:t xml:space="preserve">Genève, 8-12 mai 2017 </w:t>
      </w:r>
    </w:p>
    <w:p w:rsidR="00A82B90" w:rsidRPr="00A82B90" w:rsidRDefault="00A82B90" w:rsidP="00A82B90">
      <w:r w:rsidRPr="00A82B90">
        <w:t>Point 5 b) de l</w:t>
      </w:r>
      <w:r>
        <w:t>’</w:t>
      </w:r>
      <w:r w:rsidRPr="00A82B90">
        <w:t>ordre du jour provisoire</w:t>
      </w:r>
    </w:p>
    <w:p w:rsidR="00A82B90" w:rsidRPr="00A82B90" w:rsidRDefault="00A82B90" w:rsidP="00A82B90">
      <w:pPr>
        <w:rPr>
          <w:b/>
          <w:bCs/>
        </w:rPr>
      </w:pPr>
      <w:r w:rsidRPr="00A82B90">
        <w:rPr>
          <w:b/>
          <w:bCs/>
        </w:rPr>
        <w:t>Propositions d</w:t>
      </w:r>
      <w:r>
        <w:rPr>
          <w:b/>
          <w:bCs/>
        </w:rPr>
        <w:t>’</w:t>
      </w:r>
      <w:r w:rsidRPr="00A82B90">
        <w:rPr>
          <w:b/>
          <w:bCs/>
        </w:rPr>
        <w:t>amendement aux annexes A et B de l</w:t>
      </w:r>
      <w:r>
        <w:rPr>
          <w:b/>
          <w:bCs/>
        </w:rPr>
        <w:t>’</w:t>
      </w:r>
      <w:r w:rsidRPr="00A82B90">
        <w:rPr>
          <w:b/>
          <w:bCs/>
        </w:rPr>
        <w:t>ADR</w:t>
      </w:r>
      <w:r>
        <w:rPr>
          <w:b/>
          <w:bCs/>
        </w:rPr>
        <w:t> :</w:t>
      </w:r>
      <w:r w:rsidRPr="00A82B90">
        <w:rPr>
          <w:b/>
          <w:bCs/>
        </w:rPr>
        <w:br/>
        <w:t>Propositions diverses</w:t>
      </w:r>
    </w:p>
    <w:p w:rsidR="00A82B90" w:rsidRPr="00A82B90" w:rsidRDefault="00A82B90" w:rsidP="00A82B90">
      <w:pPr>
        <w:pStyle w:val="HChG"/>
        <w:rPr>
          <w:sz w:val="20"/>
        </w:rPr>
      </w:pPr>
      <w:r w:rsidRPr="00A82B90">
        <w:tab/>
      </w:r>
      <w:r w:rsidRPr="00A82B90">
        <w:tab/>
      </w:r>
      <w:bookmarkStart w:id="1" w:name="OLE_LINK3"/>
      <w:bookmarkStart w:id="2" w:name="OLE_LINK4"/>
      <w:r w:rsidRPr="00A82B90">
        <w:t>Paragraphe 5.4.1.1.1 f) et transport selon les termes du paragraphe 1.1.3.6</w:t>
      </w:r>
      <w:bookmarkEnd w:id="1"/>
      <w:bookmarkEnd w:id="2"/>
    </w:p>
    <w:p w:rsidR="00A82B90" w:rsidRPr="00A82B90" w:rsidRDefault="00A82B90" w:rsidP="00A82B90">
      <w:pPr>
        <w:pStyle w:val="H1G"/>
      </w:pPr>
      <w:r w:rsidRPr="00A82B90">
        <w:rPr>
          <w:sz w:val="20"/>
        </w:rPr>
        <w:tab/>
      </w:r>
      <w:r w:rsidRPr="00A82B90">
        <w:rPr>
          <w:sz w:val="20"/>
        </w:rPr>
        <w:tab/>
      </w:r>
      <w:r w:rsidRPr="00A82B90">
        <w:t>Communication du Gouvernement suédois et de l</w:t>
      </w:r>
      <w:r>
        <w:t>’</w:t>
      </w:r>
      <w:r w:rsidRPr="00A82B90">
        <w:t>Union internationale des transports routiers (IRU)</w:t>
      </w:r>
      <w:r w:rsidRPr="00A82B90">
        <w:rPr>
          <w:rStyle w:val="FootnoteReference"/>
          <w:b w:val="0"/>
          <w:sz w:val="20"/>
          <w:vertAlign w:val="baseline"/>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A82B90" w:rsidRPr="00A82B90" w:rsidTr="00AB73C7">
        <w:trPr>
          <w:jc w:val="center"/>
        </w:trPr>
        <w:tc>
          <w:tcPr>
            <w:tcW w:w="9637" w:type="dxa"/>
            <w:tcBorders>
              <w:bottom w:val="nil"/>
            </w:tcBorders>
            <w:shd w:val="clear" w:color="auto" w:fill="auto"/>
          </w:tcPr>
          <w:p w:rsidR="00A82B90" w:rsidRPr="00A82B90" w:rsidRDefault="00A82B90" w:rsidP="00AB73C7">
            <w:pPr>
              <w:tabs>
                <w:tab w:val="left" w:pos="255"/>
              </w:tabs>
              <w:suppressAutoHyphens w:val="0"/>
              <w:spacing w:before="240" w:after="120"/>
            </w:pPr>
            <w:r w:rsidRPr="00A82B90">
              <w:tab/>
            </w:r>
            <w:r w:rsidRPr="00A82B90">
              <w:rPr>
                <w:i/>
              </w:rPr>
              <w:t>Résumé</w:t>
            </w:r>
          </w:p>
        </w:tc>
      </w:tr>
      <w:tr w:rsidR="00A82B90" w:rsidRPr="00A82B90" w:rsidTr="00AB73C7">
        <w:trPr>
          <w:jc w:val="center"/>
        </w:trPr>
        <w:tc>
          <w:tcPr>
            <w:tcW w:w="9637" w:type="dxa"/>
            <w:tcBorders>
              <w:top w:val="nil"/>
              <w:bottom w:val="nil"/>
            </w:tcBorders>
            <w:shd w:val="clear" w:color="auto" w:fill="auto"/>
          </w:tcPr>
          <w:p w:rsidR="00A82B90" w:rsidRPr="00A82B90" w:rsidRDefault="00A82B90" w:rsidP="00AB73C7">
            <w:pPr>
              <w:pStyle w:val="SingleTxtG"/>
              <w:ind w:left="3402" w:hanging="2268"/>
            </w:pPr>
            <w:r w:rsidRPr="00A82B90">
              <w:rPr>
                <w:b/>
                <w:szCs w:val="22"/>
              </w:rPr>
              <w:t>Résumé analytique</w:t>
            </w:r>
            <w:r>
              <w:t> :</w:t>
            </w:r>
            <w:r w:rsidRPr="00A82B90">
              <w:tab/>
              <w:t>Pour un transport de marchandises conforme au paragraphe 1.1.3.6, il serait plus simple pour toutes les parties que soit mentionnée dans le document de transport la quantité totale et la valeur calculée pour chaque catégorie de transport.</w:t>
            </w:r>
          </w:p>
        </w:tc>
      </w:tr>
      <w:tr w:rsidR="00A82B90" w:rsidRPr="00A82B90" w:rsidTr="00AB73C7">
        <w:trPr>
          <w:jc w:val="center"/>
        </w:trPr>
        <w:tc>
          <w:tcPr>
            <w:tcW w:w="9637" w:type="dxa"/>
            <w:tcBorders>
              <w:top w:val="nil"/>
              <w:bottom w:val="nil"/>
            </w:tcBorders>
            <w:shd w:val="clear" w:color="auto" w:fill="auto"/>
          </w:tcPr>
          <w:p w:rsidR="00A82B90" w:rsidRPr="00A82B90" w:rsidRDefault="00A82B90" w:rsidP="00AB73C7">
            <w:pPr>
              <w:pStyle w:val="SingleTxtG"/>
              <w:ind w:left="3402" w:hanging="2268"/>
            </w:pPr>
            <w:r w:rsidRPr="00A82B90">
              <w:rPr>
                <w:b/>
              </w:rPr>
              <w:t>Mesures à prendre</w:t>
            </w:r>
            <w:r>
              <w:t> :</w:t>
            </w:r>
            <w:r w:rsidRPr="00A82B90">
              <w:tab/>
              <w:t xml:space="preserve">Modifier le paragraphe 1.1.3.6.4 et le </w:t>
            </w:r>
            <w:r w:rsidR="00C608A9" w:rsidRPr="00A82B90">
              <w:t>NOTA</w:t>
            </w:r>
            <w:r w:rsidRPr="00A82B90">
              <w:t xml:space="preserve"> de l</w:t>
            </w:r>
            <w:r>
              <w:t>’</w:t>
            </w:r>
            <w:r w:rsidRPr="00A82B90">
              <w:t>alinéa 5.4.1.1.1 f). À des fins de clarification, ajouter une note de bas de page dans le titre de la colonne (3) du tableau du paragraphe 1.1.3.6.3</w:t>
            </w:r>
            <w:r>
              <w:t>.</w:t>
            </w:r>
          </w:p>
        </w:tc>
      </w:tr>
      <w:tr w:rsidR="00A82B90" w:rsidRPr="00A82B90" w:rsidTr="00AB73C7">
        <w:trPr>
          <w:jc w:val="center"/>
        </w:trPr>
        <w:tc>
          <w:tcPr>
            <w:tcW w:w="9637" w:type="dxa"/>
            <w:tcBorders>
              <w:top w:val="nil"/>
            </w:tcBorders>
            <w:shd w:val="clear" w:color="auto" w:fill="auto"/>
          </w:tcPr>
          <w:p w:rsidR="00A82B90" w:rsidRPr="00A82B90" w:rsidRDefault="00A82B90" w:rsidP="00AB73C7">
            <w:pPr>
              <w:suppressAutoHyphens w:val="0"/>
            </w:pPr>
          </w:p>
        </w:tc>
      </w:tr>
    </w:tbl>
    <w:p w:rsidR="00A82B90" w:rsidRPr="00A82B90" w:rsidRDefault="00A82B90" w:rsidP="00A82B90">
      <w:pPr>
        <w:pStyle w:val="HChG"/>
        <w:rPr>
          <w:rFonts w:eastAsiaTheme="minorHAnsi"/>
        </w:rPr>
      </w:pPr>
      <w:r w:rsidRPr="00A82B90">
        <w:br w:type="page"/>
      </w:r>
      <w:r w:rsidRPr="00A82B90">
        <w:lastRenderedPageBreak/>
        <w:tab/>
      </w:r>
      <w:r w:rsidRPr="00A82B90">
        <w:tab/>
        <w:t>Introduction</w:t>
      </w:r>
    </w:p>
    <w:p w:rsidR="00A82B90" w:rsidRPr="00A82B90" w:rsidRDefault="00A82B90" w:rsidP="00C608A9">
      <w:pPr>
        <w:pStyle w:val="ParNoG"/>
        <w:rPr>
          <w:rFonts w:eastAsiaTheme="minorHAnsi"/>
        </w:rPr>
      </w:pPr>
      <w:r w:rsidRPr="00A82B90">
        <w:t>À la 101</w:t>
      </w:r>
      <w:r w:rsidRPr="00A82B90">
        <w:rPr>
          <w:vertAlign w:val="superscript"/>
        </w:rPr>
        <w:t>e</w:t>
      </w:r>
      <w:r>
        <w:t> </w:t>
      </w:r>
      <w:r w:rsidRPr="00A82B90">
        <w:t>session du Groupe de travail, la Suède a soumis une proposition visant à ce que la valeur calculée figure dans le document de transport, pour une opération conforme au paragraphe 1.1.3.6. L</w:t>
      </w:r>
      <w:r>
        <w:t>’</w:t>
      </w:r>
      <w:r w:rsidRPr="00A82B90">
        <w:t>IRU a également soumis une</w:t>
      </w:r>
      <w:r>
        <w:t xml:space="preserve"> proposition à cet effet en mai </w:t>
      </w:r>
      <w:r w:rsidRPr="00A82B90">
        <w:t>2016. Au cours de la réunion de mai</w:t>
      </w:r>
      <w:r w:rsidR="00C608A9">
        <w:t xml:space="preserve"> </w:t>
      </w:r>
      <w:r w:rsidRPr="00A82B90">
        <w:t>2016, plusieurs délégations ont souscrit à l</w:t>
      </w:r>
      <w:r>
        <w:t>’</w:t>
      </w:r>
      <w:r w:rsidRPr="00A82B90">
        <w:t>objectif de la proposition, mais certaines incertitudes demeuraient quant à savoir s</w:t>
      </w:r>
      <w:r>
        <w:t>’</w:t>
      </w:r>
      <w:r w:rsidRPr="00A82B90">
        <w:t>il s</w:t>
      </w:r>
      <w:r>
        <w:t>’</w:t>
      </w:r>
      <w:r w:rsidRPr="00A82B90">
        <w:t>imposait d</w:t>
      </w:r>
      <w:r>
        <w:t>’</w:t>
      </w:r>
      <w:r w:rsidRPr="00A82B90">
        <w:t>apporter des modifications à d</w:t>
      </w:r>
      <w:r>
        <w:t>’</w:t>
      </w:r>
      <w:r w:rsidRPr="00A82B90">
        <w:t>autres parties du paragraphe 1.1.3.6. C</w:t>
      </w:r>
      <w:r>
        <w:t>’</w:t>
      </w:r>
      <w:r w:rsidRPr="00A82B90">
        <w:t>est pourquoi un nouveau document a été présenté en novembre, en vue de concilier les différentes opinions à ce sujet.</w:t>
      </w:r>
    </w:p>
    <w:p w:rsidR="00A82B90" w:rsidRPr="00A82B90" w:rsidRDefault="00A82B90" w:rsidP="00A82B90">
      <w:pPr>
        <w:pStyle w:val="ParNoG"/>
        <w:rPr>
          <w:rFonts w:eastAsiaTheme="minorHAnsi"/>
        </w:rPr>
      </w:pPr>
      <w:r w:rsidRPr="00A82B90">
        <w:t>Toutefois, lors de la réunion de novembre, la majorité des délégations qui étaient favorables, en principe, à ce que la valeur calculée soit consignée dans le document de transport ont estimé qu</w:t>
      </w:r>
      <w:r>
        <w:t>’</w:t>
      </w:r>
      <w:r w:rsidRPr="00A82B90">
        <w:t>il serait préférable que les modifications apportées au paragraphe 1.1.3.6 soient moins lourdes. Pour que tous ces points de vue soient pris en compte, il conviendrait de soumettre un document révisé lors d</w:t>
      </w:r>
      <w:r>
        <w:t>’</w:t>
      </w:r>
      <w:r w:rsidRPr="00A82B90">
        <w:t>une session à venir.</w:t>
      </w:r>
    </w:p>
    <w:p w:rsidR="00A82B90" w:rsidRPr="00A82B90" w:rsidRDefault="00A82B90" w:rsidP="00A82B90">
      <w:pPr>
        <w:pStyle w:val="HChG"/>
        <w:rPr>
          <w:rFonts w:eastAsiaTheme="minorHAnsi"/>
        </w:rPr>
      </w:pPr>
      <w:r w:rsidRPr="00A82B90">
        <w:tab/>
      </w:r>
      <w:r w:rsidRPr="00A82B90">
        <w:tab/>
        <w:t>Généralités</w:t>
      </w:r>
    </w:p>
    <w:p w:rsidR="00A82B90" w:rsidRPr="00A82B90" w:rsidRDefault="00A82B90" w:rsidP="00A82B90">
      <w:pPr>
        <w:pStyle w:val="ParNoG"/>
      </w:pPr>
      <w:r w:rsidRPr="00A82B90">
        <w:t>Pour les conducteurs non titulaires d</w:t>
      </w:r>
      <w:r>
        <w:t>’</w:t>
      </w:r>
      <w:r w:rsidRPr="00A82B90">
        <w:t>un certificat d</w:t>
      </w:r>
      <w:r>
        <w:t>’</w:t>
      </w:r>
      <w:r w:rsidRPr="00A82B90">
        <w:t>agrément ADR, l</w:t>
      </w:r>
      <w:r>
        <w:t>’</w:t>
      </w:r>
      <w:r w:rsidRPr="00A82B90">
        <w:t>application de l</w:t>
      </w:r>
      <w:r>
        <w:t>’</w:t>
      </w:r>
      <w:r w:rsidRPr="00A82B90">
        <w:t>alinéa 5.4.1.1.1 f) pose problème. Étant donné qu</w:t>
      </w:r>
      <w:r>
        <w:t>’</w:t>
      </w:r>
      <w:r w:rsidRPr="00A82B90">
        <w:t>au terme de cet alinéa, seule la quantité en kilogrammes ou en litres doit être spécifiée dans le document de transport, le conducteur se trouve aux prises avec des difficultés lorsqu</w:t>
      </w:r>
      <w:r>
        <w:t>’</w:t>
      </w:r>
      <w:r w:rsidRPr="00A82B90">
        <w:t>il s</w:t>
      </w:r>
      <w:r>
        <w:t>’</w:t>
      </w:r>
      <w:r w:rsidRPr="00A82B90">
        <w:t>agit d</w:t>
      </w:r>
      <w:r>
        <w:t>’</w:t>
      </w:r>
      <w:r w:rsidRPr="00A82B90">
        <w:t>estimer la valeur correspondant à la quantité maximale au regard du paragraphe 1.1.3.6. En revanche, si le document de transport indiquait la «</w:t>
      </w:r>
      <w:r>
        <w:t> </w:t>
      </w:r>
      <w:r w:rsidRPr="00A82B90">
        <w:t>valeur calculée</w:t>
      </w:r>
      <w:r>
        <w:t> </w:t>
      </w:r>
      <w:r w:rsidRPr="00A82B90">
        <w:t>» pour chaque catégorie de transport, il serait plus facile pour le conducteur de calculer la somme de ces valeurs et ainsi de veiller à ce qu</w:t>
      </w:r>
      <w:r>
        <w:t>’</w:t>
      </w:r>
      <w:r w:rsidRPr="00A82B90">
        <w:t>elles restent inférieures à 1 000.</w:t>
      </w:r>
    </w:p>
    <w:p w:rsidR="00A82B90" w:rsidRPr="00A82B90" w:rsidRDefault="00A82B90" w:rsidP="00A82B90">
      <w:pPr>
        <w:pStyle w:val="ParNoG"/>
        <w:rPr>
          <w:rFonts w:eastAsiaTheme="minorHAnsi"/>
        </w:rPr>
      </w:pPr>
      <w:r w:rsidRPr="00A82B90">
        <w:t>Les conducteurs qui effectuent quotidiennement plusieurs livraisons sont susceptibles d</w:t>
      </w:r>
      <w:r>
        <w:t>’</w:t>
      </w:r>
      <w:r w:rsidRPr="00A82B90">
        <w:t>enfreindre les règles car ils n</w:t>
      </w:r>
      <w:r>
        <w:t>’</w:t>
      </w:r>
      <w:r w:rsidRPr="00A82B90">
        <w:t>ont généralement pas accès au texte de l</w:t>
      </w:r>
      <w:r>
        <w:t>’</w:t>
      </w:r>
      <w:r w:rsidRPr="00A82B90">
        <w:t>ADR et il leur est donc difficile de calculer la valeur prescrite au paragraphe 1.1.3.6, quand bien même ils auraient respecté les prescriptions du chapitre 1.3.</w:t>
      </w:r>
    </w:p>
    <w:p w:rsidR="00A82B90" w:rsidRPr="00C608A9" w:rsidRDefault="00A82B90" w:rsidP="00C608A9">
      <w:pPr>
        <w:pStyle w:val="ParNoG"/>
        <w:numPr>
          <w:ilvl w:val="0"/>
          <w:numId w:val="16"/>
        </w:numPr>
        <w:rPr>
          <w:rFonts w:eastAsiaTheme="minorHAnsi"/>
        </w:rPr>
      </w:pPr>
      <w:r w:rsidRPr="00A82B90">
        <w:t>La quantité totale de marchandises dangereuses et la valeur calculée pour chaque catégorie de transport devraient donc être consignées dans le document de transport.</w:t>
      </w:r>
    </w:p>
    <w:p w:rsidR="00A82B90" w:rsidRPr="00A82B90" w:rsidRDefault="00A82B90" w:rsidP="00A82B90">
      <w:pPr>
        <w:pStyle w:val="HChG"/>
      </w:pPr>
      <w:r w:rsidRPr="00A82B90">
        <w:tab/>
      </w:r>
      <w:r w:rsidRPr="00A82B90">
        <w:tab/>
        <w:t>Propositions</w:t>
      </w:r>
    </w:p>
    <w:p w:rsidR="00A82B90" w:rsidRPr="00A82B90" w:rsidRDefault="00A82B90" w:rsidP="00C608A9">
      <w:pPr>
        <w:pStyle w:val="ParNoG"/>
        <w:tabs>
          <w:tab w:val="clear" w:pos="1701"/>
        </w:tabs>
      </w:pPr>
      <w:r w:rsidRPr="00A82B90">
        <w:t>Les modifications qu</w:t>
      </w:r>
      <w:r>
        <w:t>’</w:t>
      </w:r>
      <w:r w:rsidRPr="00A82B90">
        <w:t>il est proposé d</w:t>
      </w:r>
      <w:r>
        <w:t>’</w:t>
      </w:r>
      <w:r w:rsidRPr="00A82B90">
        <w:t xml:space="preserve">apporter sont indiquées en caractères </w:t>
      </w:r>
      <w:r w:rsidRPr="00A82B90">
        <w:rPr>
          <w:u w:val="single"/>
        </w:rPr>
        <w:t>soulignés</w:t>
      </w:r>
      <w:r w:rsidRPr="00A82B90">
        <w:t xml:space="preserve"> ou </w:t>
      </w:r>
      <w:r w:rsidRPr="00A82B90">
        <w:rPr>
          <w:strike/>
        </w:rPr>
        <w:t>biffés</w:t>
      </w:r>
      <w:r>
        <w:t>.</w:t>
      </w:r>
    </w:p>
    <w:p w:rsidR="00A82B90" w:rsidRPr="00A82B90" w:rsidRDefault="00A82B90" w:rsidP="00A82B90">
      <w:pPr>
        <w:pStyle w:val="H1G"/>
      </w:pPr>
      <w:r w:rsidRPr="00A82B90">
        <w:tab/>
      </w:r>
      <w:r w:rsidRPr="00A82B90">
        <w:tab/>
        <w:t>Proposition 1</w:t>
      </w:r>
    </w:p>
    <w:p w:rsidR="00A82B90" w:rsidRPr="00A82B90" w:rsidRDefault="00A82B90" w:rsidP="00A82B90">
      <w:pPr>
        <w:pStyle w:val="ParNoG"/>
      </w:pPr>
      <w:r w:rsidRPr="00A82B90">
        <w:t>Modifier le texte du paragraphe 1.1.3.6.4 comme suit</w:t>
      </w:r>
      <w:r>
        <w:t> :</w:t>
      </w:r>
    </w:p>
    <w:p w:rsidR="00A82B90" w:rsidRPr="00A82B90" w:rsidRDefault="00A82B90" w:rsidP="00A82B90">
      <w:pPr>
        <w:pStyle w:val="SingleTxtG"/>
      </w:pPr>
      <w:r w:rsidRPr="00A82B90">
        <w:t>«</w:t>
      </w:r>
      <w:r>
        <w:t> </w:t>
      </w:r>
      <w:r w:rsidRPr="00A82B90">
        <w:t>1.1.3.6.4</w:t>
      </w:r>
      <w:r w:rsidRPr="00A82B90">
        <w:tab/>
        <w:t xml:space="preserve">Lorsque des marchandises dangereuses </w:t>
      </w:r>
      <w:r w:rsidRPr="00A82B90">
        <w:rPr>
          <w:strike/>
        </w:rPr>
        <w:t>appartenant à des catégories de transport différentes,</w:t>
      </w:r>
      <w:r w:rsidRPr="00A82B90">
        <w:t xml:space="preserve"> sont transporté</w:t>
      </w:r>
      <w:r w:rsidR="00C608A9">
        <w:t>e</w:t>
      </w:r>
      <w:r w:rsidRPr="00A82B90">
        <w:t xml:space="preserve">s dans </w:t>
      </w:r>
      <w:r w:rsidRPr="00A82B90">
        <w:rPr>
          <w:strike/>
        </w:rPr>
        <w:t>la même</w:t>
      </w:r>
      <w:r w:rsidRPr="00A82B90">
        <w:t xml:space="preserve"> </w:t>
      </w:r>
      <w:r w:rsidRPr="00A82B90">
        <w:rPr>
          <w:u w:val="single"/>
        </w:rPr>
        <w:t>une</w:t>
      </w:r>
      <w:r w:rsidRPr="00A82B90">
        <w:t xml:space="preserve"> unité de transport, la somme de</w:t>
      </w:r>
      <w:r>
        <w:t> :</w:t>
      </w:r>
    </w:p>
    <w:p w:rsidR="00A82B90" w:rsidRPr="00A82B90" w:rsidRDefault="00A82B90" w:rsidP="00A82B90">
      <w:pPr>
        <w:pStyle w:val="Bullet1G"/>
        <w:rPr>
          <w:spacing w:val="-2"/>
        </w:rPr>
      </w:pPr>
      <w:r w:rsidRPr="00A82B90">
        <w:rPr>
          <w:spacing w:val="-2"/>
        </w:rPr>
        <w:t>La quantité de matières et d’objets de la catégorie de transport 1 multipliée par “50” ;</w:t>
      </w:r>
    </w:p>
    <w:p w:rsidR="00A82B90" w:rsidRPr="00A82B90" w:rsidRDefault="00A82B90" w:rsidP="00A82B90">
      <w:pPr>
        <w:pStyle w:val="Bullet1G"/>
      </w:pPr>
      <w:r w:rsidRPr="00A82B90">
        <w:t>La quantité de matières et d</w:t>
      </w:r>
      <w:r>
        <w:t>’</w:t>
      </w:r>
      <w:r w:rsidRPr="00A82B90">
        <w:t>obje</w:t>
      </w:r>
      <w:r>
        <w:t xml:space="preserve">ts de la catégorie de transport </w:t>
      </w:r>
      <w:r w:rsidRPr="00A82B90">
        <w:t xml:space="preserve">1 cités dans la note a au bas de tableau du paragraphe </w:t>
      </w:r>
      <w:r>
        <w:t>1.1.3.6.3, multipliée par “2</w:t>
      </w:r>
      <w:r w:rsidRPr="00A82B90">
        <w:t>0</w:t>
      </w:r>
      <w:r>
        <w:t>” ;</w:t>
      </w:r>
    </w:p>
    <w:p w:rsidR="00A82B90" w:rsidRPr="00A82B90" w:rsidRDefault="00A82B90" w:rsidP="00A82B90">
      <w:pPr>
        <w:pStyle w:val="Bullet1G"/>
        <w:rPr>
          <w:spacing w:val="-2"/>
        </w:rPr>
      </w:pPr>
      <w:r w:rsidRPr="00A82B90">
        <w:rPr>
          <w:spacing w:val="-2"/>
        </w:rPr>
        <w:t>La quantité de matières et d’objets de la catégorie de transport 2 multipliée par “3” ; et</w:t>
      </w:r>
    </w:p>
    <w:p w:rsidR="00A82B90" w:rsidRPr="00A82B90" w:rsidRDefault="00A82B90" w:rsidP="00A82B90">
      <w:pPr>
        <w:pStyle w:val="Bullet1G"/>
      </w:pPr>
      <w:r w:rsidRPr="00A82B90">
        <w:t>La quantité de matières et d</w:t>
      </w:r>
      <w:r>
        <w:t>’</w:t>
      </w:r>
      <w:r w:rsidRPr="00A82B90">
        <w:t>obje</w:t>
      </w:r>
      <w:r>
        <w:t xml:space="preserve">ts de la catégorie de transport </w:t>
      </w:r>
      <w:r w:rsidRPr="00A82B90">
        <w:t>3</w:t>
      </w:r>
      <w:r>
        <w:t> ;</w:t>
      </w:r>
    </w:p>
    <w:p w:rsidR="00A82B90" w:rsidRPr="00A82B90" w:rsidRDefault="00A82B90" w:rsidP="00A82B90">
      <w:pPr>
        <w:pStyle w:val="SingleTxtG"/>
      </w:pPr>
      <w:r w:rsidRPr="00A82B90">
        <w:t xml:space="preserve">ne doit dépasser </w:t>
      </w:r>
      <w:r>
        <w:t>“</w:t>
      </w:r>
      <w:r w:rsidRPr="00A82B90">
        <w:t>1 000</w:t>
      </w:r>
      <w:r>
        <w:t>”</w:t>
      </w:r>
      <w:r w:rsidRPr="00A82B90">
        <w:t>.».</w:t>
      </w:r>
    </w:p>
    <w:p w:rsidR="00A82B90" w:rsidRPr="00A82B90" w:rsidRDefault="00A82B90" w:rsidP="00A82B90">
      <w:pPr>
        <w:pStyle w:val="H1G"/>
        <w:rPr>
          <w:rFonts w:eastAsiaTheme="minorHAnsi"/>
        </w:rPr>
      </w:pPr>
      <w:r w:rsidRPr="00A82B90">
        <w:lastRenderedPageBreak/>
        <w:tab/>
      </w:r>
      <w:r w:rsidRPr="00A82B90">
        <w:tab/>
        <w:t>Proposition 2</w:t>
      </w:r>
    </w:p>
    <w:p w:rsidR="00A82B90" w:rsidRPr="00A82B90" w:rsidRDefault="00A82B90" w:rsidP="00A82B90">
      <w:pPr>
        <w:pStyle w:val="ParNoG"/>
      </w:pPr>
      <w:r w:rsidRPr="00A82B90">
        <w:t>Modifier le NOTA 1 de l</w:t>
      </w:r>
      <w:r>
        <w:t>’</w:t>
      </w:r>
      <w:r w:rsidRPr="00A82B90">
        <w:t>alinéa 5.4.1.1.1 f), comme suit</w:t>
      </w:r>
      <w:r>
        <w:t> :</w:t>
      </w:r>
    </w:p>
    <w:p w:rsidR="00A82B90" w:rsidRPr="00A82B90" w:rsidRDefault="00A82B90" w:rsidP="00A82B90">
      <w:pPr>
        <w:pStyle w:val="SingleTxtG"/>
      </w:pPr>
      <w:r w:rsidRPr="00A82B90">
        <w:t>«</w:t>
      </w:r>
      <w:r w:rsidR="00C608A9">
        <w:t> </w:t>
      </w:r>
      <w:r w:rsidRPr="00A82B90">
        <w:t>NOTA 1</w:t>
      </w:r>
      <w:r>
        <w:t> :</w:t>
      </w:r>
      <w:r w:rsidRPr="00A82B90">
        <w:t xml:space="preserve"> Dans le cas où il est envisagé d</w:t>
      </w:r>
      <w:r>
        <w:t>’</w:t>
      </w:r>
      <w:r w:rsidRPr="00A82B90">
        <w:t xml:space="preserve">appliquer le paragraphe 1.1.3.6, la quantité totale </w:t>
      </w:r>
      <w:r w:rsidRPr="00A82B90">
        <w:rPr>
          <w:u w:val="single"/>
        </w:rPr>
        <w:t xml:space="preserve">ainsi que la valeur calculée </w:t>
      </w:r>
      <w:r w:rsidRPr="00A82B90">
        <w:t>des marchandises dangereuses de chaque catégorie de transport doi</w:t>
      </w:r>
      <w:r w:rsidRPr="00A82B90">
        <w:rPr>
          <w:u w:val="single"/>
        </w:rPr>
        <w:t>ven</w:t>
      </w:r>
      <w:r w:rsidRPr="00A82B90">
        <w:t>t être indiquée</w:t>
      </w:r>
      <w:r w:rsidRPr="00A82B90">
        <w:rPr>
          <w:u w:val="single"/>
        </w:rPr>
        <w:t>s</w:t>
      </w:r>
      <w:r w:rsidRPr="00A82B90">
        <w:t xml:space="preserve"> dans le document de transport conformément au paragraphe 1.1.3.6.3</w:t>
      </w:r>
      <w:r w:rsidRPr="00A82B90">
        <w:rPr>
          <w:u w:val="single"/>
        </w:rPr>
        <w:t xml:space="preserve"> (voir aussi le paragraphe 1.1.3.6.4)</w:t>
      </w:r>
      <w:r w:rsidRPr="00A82B90">
        <w:t>.</w:t>
      </w:r>
      <w:r w:rsidR="00C608A9">
        <w:t> </w:t>
      </w:r>
      <w:r w:rsidRPr="00A82B90">
        <w:t>».</w:t>
      </w:r>
    </w:p>
    <w:p w:rsidR="00A82B90" w:rsidRPr="00A82B90" w:rsidRDefault="00A82B90" w:rsidP="00A82B90">
      <w:pPr>
        <w:pStyle w:val="H1G"/>
        <w:rPr>
          <w:rFonts w:eastAsiaTheme="minorHAnsi"/>
        </w:rPr>
      </w:pPr>
      <w:r w:rsidRPr="00A82B90">
        <w:tab/>
      </w:r>
      <w:r w:rsidRPr="00A82B90">
        <w:tab/>
        <w:t>Proposition 3</w:t>
      </w:r>
    </w:p>
    <w:p w:rsidR="00A82B90" w:rsidRPr="00A82B90" w:rsidRDefault="00A82B90" w:rsidP="00C608A9">
      <w:pPr>
        <w:pStyle w:val="SingleTxtG"/>
        <w:ind w:firstLine="567"/>
      </w:pPr>
      <w:r w:rsidRPr="00A82B90">
        <w:t>Dans le titre de la colonne (3) du tableau du paragraphe 1.1.3.6.3, ajouter une note de bas de page libellée comme suit</w:t>
      </w:r>
      <w:r>
        <w:t> :</w:t>
      </w:r>
    </w:p>
    <w:p w:rsidR="00A82B90" w:rsidRPr="00A82B90" w:rsidRDefault="00A82B90" w:rsidP="00C608A9">
      <w:pPr>
        <w:pStyle w:val="SingleTxtG"/>
        <w:rPr>
          <w:u w:val="single"/>
        </w:rPr>
      </w:pPr>
      <w:r w:rsidRPr="00A82B90">
        <w:t>«</w:t>
      </w:r>
      <w:r w:rsidR="00C608A9">
        <w:t> </w:t>
      </w:r>
      <w:r w:rsidRPr="00C608A9">
        <w:rPr>
          <w:rStyle w:val="FootnoteTextChar"/>
          <w:u w:val="single"/>
          <w:vertAlign w:val="superscript"/>
        </w:rPr>
        <w:t>x</w:t>
      </w:r>
      <w:r w:rsidRPr="00C608A9">
        <w:rPr>
          <w:rStyle w:val="FootnoteTextChar"/>
          <w:u w:val="single"/>
        </w:rPr>
        <w:t xml:space="preserve"> </w:t>
      </w:r>
      <w:r w:rsidR="00C608A9" w:rsidRPr="00C608A9">
        <w:rPr>
          <w:rStyle w:val="FootnoteTextChar"/>
          <w:u w:val="single"/>
        </w:rPr>
        <w:t xml:space="preserve"> </w:t>
      </w:r>
      <w:r w:rsidRPr="00C608A9">
        <w:rPr>
          <w:rStyle w:val="FootnoteTextChar"/>
          <w:u w:val="single"/>
        </w:rPr>
        <w:t>La quantité maximale totale pour chaque catégo</w:t>
      </w:r>
      <w:r w:rsidR="00C608A9">
        <w:rPr>
          <w:rStyle w:val="FootnoteTextChar"/>
          <w:u w:val="single"/>
        </w:rPr>
        <w:t>rie correspond à une valeur de “</w:t>
      </w:r>
      <w:r w:rsidRPr="00C608A9">
        <w:rPr>
          <w:rStyle w:val="FootnoteTextChar"/>
          <w:u w:val="single"/>
        </w:rPr>
        <w:t>1 000</w:t>
      </w:r>
      <w:r w:rsidR="00C608A9">
        <w:rPr>
          <w:rStyle w:val="FootnoteTextChar"/>
          <w:u w:val="single"/>
        </w:rPr>
        <w:t>”</w:t>
      </w:r>
      <w:r w:rsidRPr="00C608A9">
        <w:rPr>
          <w:rStyle w:val="FootnoteTextChar"/>
          <w:u w:val="single"/>
        </w:rPr>
        <w:t xml:space="preserve"> (voir aussi le 1.1.3.6.4)</w:t>
      </w:r>
      <w:r w:rsidRPr="00C608A9">
        <w:rPr>
          <w:u w:val="single"/>
        </w:rPr>
        <w:t>.</w:t>
      </w:r>
      <w:r w:rsidR="00C608A9">
        <w:t> </w:t>
      </w:r>
      <w:r w:rsidRPr="00A82B90">
        <w:t>».</w:t>
      </w:r>
    </w:p>
    <w:p w:rsidR="00A82B90" w:rsidRPr="00A82B90" w:rsidRDefault="00A82B90" w:rsidP="00A82B90">
      <w:pPr>
        <w:pStyle w:val="HChG"/>
      </w:pPr>
      <w:r w:rsidRPr="00A82B90">
        <w:tab/>
      </w:r>
      <w:r w:rsidRPr="00A82B90">
        <w:tab/>
        <w:t>Justification</w:t>
      </w:r>
    </w:p>
    <w:p w:rsidR="00A82B90" w:rsidRPr="00C608A9" w:rsidRDefault="00A82B90" w:rsidP="00C608A9">
      <w:pPr>
        <w:pStyle w:val="SingleTxtG"/>
      </w:pPr>
      <w:r w:rsidRPr="00C608A9">
        <w:rPr>
          <w:u w:val="single"/>
        </w:rPr>
        <w:t>Sécurité</w:t>
      </w:r>
      <w:r w:rsidRPr="00C608A9">
        <w:t> : L’absence d’ambiguïté dans le texte permettra au conducteur de limiter la charge transportée conformément aux prescriptions applicables, ce qui améliorera la sécurité des</w:t>
      </w:r>
      <w:r w:rsidR="00C608A9">
        <w:t> </w:t>
      </w:r>
      <w:r w:rsidRPr="00C608A9">
        <w:t>transports.</w:t>
      </w:r>
    </w:p>
    <w:p w:rsidR="00A82B90" w:rsidRPr="00C608A9" w:rsidRDefault="00A82B90" w:rsidP="00A82B90">
      <w:pPr>
        <w:pStyle w:val="SingleTxtG"/>
      </w:pPr>
      <w:r w:rsidRPr="00C608A9">
        <w:rPr>
          <w:u w:val="single"/>
        </w:rPr>
        <w:t>Faisabilité</w:t>
      </w:r>
      <w:r w:rsidRPr="00C608A9">
        <w:t> : En procédant de la sorte, on éliminera toute confusion au niveau de l’interprétation des textes tout en facilitant l’application du paragraphe 1.1.3.6 et de l’alinéa 5.4.1.1.1 f).</w:t>
      </w:r>
    </w:p>
    <w:p w:rsidR="00F9573C" w:rsidRPr="00A82B90" w:rsidRDefault="00A82B90" w:rsidP="00A82B90">
      <w:pPr>
        <w:pStyle w:val="SingleTxtG"/>
        <w:spacing w:before="240" w:after="0"/>
        <w:jc w:val="center"/>
        <w:rPr>
          <w:u w:val="single"/>
        </w:rPr>
      </w:pPr>
      <w:r w:rsidRPr="00A82B90">
        <w:rPr>
          <w:u w:val="single"/>
        </w:rPr>
        <w:tab/>
      </w:r>
      <w:r w:rsidRPr="00A82B90">
        <w:rPr>
          <w:u w:val="single"/>
        </w:rPr>
        <w:tab/>
      </w:r>
      <w:r w:rsidRPr="00A82B90">
        <w:rPr>
          <w:u w:val="single"/>
        </w:rPr>
        <w:tab/>
      </w:r>
    </w:p>
    <w:sectPr w:rsidR="00F9573C" w:rsidRPr="00A82B90" w:rsidSect="00A82B9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F4D" w:rsidRDefault="00305F4D" w:rsidP="00F95C08">
      <w:pPr>
        <w:spacing w:line="240" w:lineRule="auto"/>
      </w:pPr>
    </w:p>
  </w:endnote>
  <w:endnote w:type="continuationSeparator" w:id="0">
    <w:p w:rsidR="00305F4D" w:rsidRPr="00AC3823" w:rsidRDefault="00305F4D" w:rsidP="00AC3823">
      <w:pPr>
        <w:pStyle w:val="Footer"/>
      </w:pPr>
    </w:p>
  </w:endnote>
  <w:endnote w:type="continuationNotice" w:id="1">
    <w:p w:rsidR="00305F4D" w:rsidRDefault="00305F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90" w:rsidRPr="00A82B90" w:rsidRDefault="00A82B90" w:rsidP="00A82B90">
    <w:pPr>
      <w:pStyle w:val="Footer"/>
      <w:tabs>
        <w:tab w:val="right" w:pos="9638"/>
      </w:tabs>
    </w:pPr>
    <w:r w:rsidRPr="00A82B90">
      <w:rPr>
        <w:b/>
        <w:sz w:val="18"/>
      </w:rPr>
      <w:fldChar w:fldCharType="begin"/>
    </w:r>
    <w:r w:rsidRPr="00A82B90">
      <w:rPr>
        <w:b/>
        <w:sz w:val="18"/>
      </w:rPr>
      <w:instrText xml:space="preserve"> PAGE  \* MERGEFORMAT </w:instrText>
    </w:r>
    <w:r w:rsidRPr="00A82B90">
      <w:rPr>
        <w:b/>
        <w:sz w:val="18"/>
      </w:rPr>
      <w:fldChar w:fldCharType="separate"/>
    </w:r>
    <w:r w:rsidR="00765600">
      <w:rPr>
        <w:b/>
        <w:noProof/>
        <w:sz w:val="18"/>
      </w:rPr>
      <w:t>2</w:t>
    </w:r>
    <w:r w:rsidRPr="00A82B90">
      <w:rPr>
        <w:b/>
        <w:sz w:val="18"/>
      </w:rPr>
      <w:fldChar w:fldCharType="end"/>
    </w:r>
    <w:r>
      <w:rPr>
        <w:b/>
        <w:sz w:val="18"/>
      </w:rPr>
      <w:tab/>
    </w:r>
    <w:r>
      <w:t>GE.17-02685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90" w:rsidRPr="00A82B90" w:rsidRDefault="00A82B90" w:rsidP="00A82B90">
    <w:pPr>
      <w:pStyle w:val="Footer"/>
      <w:tabs>
        <w:tab w:val="right" w:pos="9638"/>
      </w:tabs>
      <w:rPr>
        <w:b/>
        <w:sz w:val="18"/>
      </w:rPr>
    </w:pPr>
    <w:r>
      <w:t>GE.17-02685</w:t>
    </w:r>
    <w:r>
      <w:tab/>
    </w:r>
    <w:r w:rsidRPr="00A82B90">
      <w:rPr>
        <w:b/>
        <w:sz w:val="18"/>
      </w:rPr>
      <w:fldChar w:fldCharType="begin"/>
    </w:r>
    <w:r w:rsidRPr="00A82B90">
      <w:rPr>
        <w:b/>
        <w:sz w:val="18"/>
      </w:rPr>
      <w:instrText xml:space="preserve"> PAGE  \* MERGEFORMAT </w:instrText>
    </w:r>
    <w:r w:rsidRPr="00A82B90">
      <w:rPr>
        <w:b/>
        <w:sz w:val="18"/>
      </w:rPr>
      <w:fldChar w:fldCharType="separate"/>
    </w:r>
    <w:r w:rsidR="00765600">
      <w:rPr>
        <w:b/>
        <w:noProof/>
        <w:sz w:val="18"/>
      </w:rPr>
      <w:t>3</w:t>
    </w:r>
    <w:r w:rsidRPr="00A82B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82B90" w:rsidRDefault="00A82B90" w:rsidP="00A82B90">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64831818" wp14:editId="14402E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17-02685  (F)</w:t>
    </w:r>
    <w:r w:rsidR="00E36CB7">
      <w:rPr>
        <w:sz w:val="20"/>
      </w:rPr>
      <w:t xml:space="preserve">    010317    080317</w:t>
    </w:r>
    <w:r>
      <w:rPr>
        <w:sz w:val="20"/>
      </w:rPr>
      <w:br/>
    </w:r>
    <w:r w:rsidRPr="00A82B90">
      <w:rPr>
        <w:rFonts w:ascii="C39T30Lfz" w:hAnsi="C39T30Lfz"/>
        <w:sz w:val="56"/>
      </w:rPr>
      <w:t></w:t>
    </w:r>
    <w:r w:rsidRPr="00A82B90">
      <w:rPr>
        <w:rFonts w:ascii="C39T30Lfz" w:hAnsi="C39T30Lfz"/>
        <w:sz w:val="56"/>
      </w:rPr>
      <w:t></w:t>
    </w:r>
    <w:r w:rsidRPr="00A82B90">
      <w:rPr>
        <w:rFonts w:ascii="C39T30Lfz" w:hAnsi="C39T30Lfz"/>
        <w:sz w:val="56"/>
      </w:rPr>
      <w:t></w:t>
    </w:r>
    <w:r w:rsidRPr="00A82B90">
      <w:rPr>
        <w:rFonts w:ascii="C39T30Lfz" w:hAnsi="C39T30Lfz"/>
        <w:sz w:val="56"/>
      </w:rPr>
      <w:t></w:t>
    </w:r>
    <w:r w:rsidRPr="00A82B90">
      <w:rPr>
        <w:rFonts w:ascii="C39T30Lfz" w:hAnsi="C39T30Lfz"/>
        <w:sz w:val="56"/>
      </w:rPr>
      <w:t></w:t>
    </w:r>
    <w:r w:rsidRPr="00A82B90">
      <w:rPr>
        <w:rFonts w:ascii="C39T30Lfz" w:hAnsi="C39T30Lfz"/>
        <w:sz w:val="56"/>
      </w:rPr>
      <w:t></w:t>
    </w:r>
    <w:r w:rsidRPr="00A82B90">
      <w:rPr>
        <w:rFonts w:ascii="C39T30Lfz" w:hAnsi="C39T30Lfz"/>
        <w:sz w:val="56"/>
      </w:rPr>
      <w:t></w:t>
    </w:r>
    <w:r w:rsidRPr="00A82B90">
      <w:rPr>
        <w:rFonts w:ascii="C39T30Lfz" w:hAnsi="C39T30Lfz"/>
        <w:sz w:val="56"/>
      </w:rPr>
      <w:t></w:t>
    </w:r>
    <w:r w:rsidRPr="00A82B90">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15/201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F4D" w:rsidRPr="00AC3823" w:rsidRDefault="00305F4D" w:rsidP="00AC3823">
      <w:pPr>
        <w:pStyle w:val="Footer"/>
        <w:tabs>
          <w:tab w:val="right" w:pos="2155"/>
        </w:tabs>
        <w:spacing w:after="80" w:line="240" w:lineRule="atLeast"/>
        <w:ind w:left="680"/>
        <w:rPr>
          <w:u w:val="single"/>
        </w:rPr>
      </w:pPr>
      <w:r>
        <w:rPr>
          <w:u w:val="single"/>
        </w:rPr>
        <w:tab/>
      </w:r>
    </w:p>
  </w:footnote>
  <w:footnote w:type="continuationSeparator" w:id="0">
    <w:p w:rsidR="00305F4D" w:rsidRPr="00AC3823" w:rsidRDefault="00305F4D" w:rsidP="00AC3823">
      <w:pPr>
        <w:pStyle w:val="Footer"/>
        <w:tabs>
          <w:tab w:val="right" w:pos="2155"/>
        </w:tabs>
        <w:spacing w:after="80" w:line="240" w:lineRule="atLeast"/>
        <w:ind w:left="680"/>
        <w:rPr>
          <w:u w:val="single"/>
        </w:rPr>
      </w:pPr>
      <w:r>
        <w:rPr>
          <w:u w:val="single"/>
        </w:rPr>
        <w:tab/>
      </w:r>
    </w:p>
  </w:footnote>
  <w:footnote w:type="continuationNotice" w:id="1">
    <w:p w:rsidR="00305F4D" w:rsidRPr="00AC3823" w:rsidRDefault="00305F4D">
      <w:pPr>
        <w:spacing w:line="240" w:lineRule="auto"/>
        <w:rPr>
          <w:sz w:val="2"/>
          <w:szCs w:val="2"/>
        </w:rPr>
      </w:pPr>
    </w:p>
  </w:footnote>
  <w:footnote w:id="2">
    <w:p w:rsidR="00A82B90" w:rsidRDefault="00A82B90" w:rsidP="00A82B90">
      <w:pPr>
        <w:pStyle w:val="FootnoteText"/>
      </w:pPr>
      <w:r w:rsidRPr="00147EC4">
        <w:rPr>
          <w:rStyle w:val="FootnoteReference"/>
          <w:sz w:val="20"/>
          <w:vertAlign w:val="baseline"/>
        </w:rPr>
        <w:tab/>
      </w:r>
      <w:r w:rsidRPr="00147EC4">
        <w:rPr>
          <w:rStyle w:val="FootnoteReference"/>
          <w:sz w:val="20"/>
          <w:vertAlign w:val="baseline"/>
        </w:rPr>
        <w:sym w:font="Symbol" w:char="F02A"/>
      </w:r>
      <w:r>
        <w:tab/>
        <w:t>Conformément au programme de travail du Comité des transports intérieurs pour 2016-2017 (ECE/TRANS/2016/28/Add.1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90" w:rsidRPr="00A82B90" w:rsidRDefault="00765600">
    <w:pPr>
      <w:pStyle w:val="Header"/>
    </w:pPr>
    <w:r>
      <w:fldChar w:fldCharType="begin"/>
    </w:r>
    <w:r>
      <w:instrText xml:space="preserve"> TITLE  \* MERGEFORMAT </w:instrText>
    </w:r>
    <w:r>
      <w:fldChar w:fldCharType="separate"/>
    </w:r>
    <w:r w:rsidR="003A6EBE">
      <w:t>ECE/TRANS/WP.15/2017/5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90" w:rsidRPr="00A82B90" w:rsidRDefault="00765600" w:rsidP="00A82B90">
    <w:pPr>
      <w:pStyle w:val="Header"/>
      <w:jc w:val="right"/>
    </w:pPr>
    <w:r>
      <w:fldChar w:fldCharType="begin"/>
    </w:r>
    <w:r>
      <w:instrText xml:space="preserve"> TITLE  \* MERGEFORMAT </w:instrText>
    </w:r>
    <w:r>
      <w:fldChar w:fldCharType="separate"/>
    </w:r>
    <w:r w:rsidR="003A6EBE">
      <w:t>ECE/TRANS/WP.15/2017/5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D9BC9220"/>
    <w:lvl w:ilvl="0" w:tplc="D8A6E99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A8B569B"/>
    <w:multiLevelType w:val="hybridMultilevel"/>
    <w:tmpl w:val="D268740A"/>
    <w:lvl w:ilvl="0" w:tplc="8C844F4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 w:numId="16">
    <w:abstractNumId w:val="1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4D"/>
    <w:rsid w:val="00017F94"/>
    <w:rsid w:val="00023842"/>
    <w:rsid w:val="000334F9"/>
    <w:rsid w:val="00045FEB"/>
    <w:rsid w:val="0007796D"/>
    <w:rsid w:val="000B7790"/>
    <w:rsid w:val="00111F2F"/>
    <w:rsid w:val="0014365E"/>
    <w:rsid w:val="00143C66"/>
    <w:rsid w:val="00176178"/>
    <w:rsid w:val="001F525A"/>
    <w:rsid w:val="00223272"/>
    <w:rsid w:val="0024192C"/>
    <w:rsid w:val="0024779E"/>
    <w:rsid w:val="00257168"/>
    <w:rsid w:val="002744B8"/>
    <w:rsid w:val="002832AC"/>
    <w:rsid w:val="002D7C93"/>
    <w:rsid w:val="00305801"/>
    <w:rsid w:val="00305F4D"/>
    <w:rsid w:val="003916DE"/>
    <w:rsid w:val="00396BA3"/>
    <w:rsid w:val="003A6EBE"/>
    <w:rsid w:val="00441C3B"/>
    <w:rsid w:val="00446FE5"/>
    <w:rsid w:val="00452396"/>
    <w:rsid w:val="004837D8"/>
    <w:rsid w:val="004E468C"/>
    <w:rsid w:val="005505B7"/>
    <w:rsid w:val="00573BE5"/>
    <w:rsid w:val="00586ED3"/>
    <w:rsid w:val="00596AA9"/>
    <w:rsid w:val="0071601D"/>
    <w:rsid w:val="00765600"/>
    <w:rsid w:val="007A62E6"/>
    <w:rsid w:val="007F20FA"/>
    <w:rsid w:val="0080684C"/>
    <w:rsid w:val="00871C75"/>
    <w:rsid w:val="008776DC"/>
    <w:rsid w:val="009446C0"/>
    <w:rsid w:val="009705C8"/>
    <w:rsid w:val="009C1CF4"/>
    <w:rsid w:val="009F6B74"/>
    <w:rsid w:val="00A30353"/>
    <w:rsid w:val="00A82B90"/>
    <w:rsid w:val="00AC3823"/>
    <w:rsid w:val="00AE323C"/>
    <w:rsid w:val="00AF0CB5"/>
    <w:rsid w:val="00B00181"/>
    <w:rsid w:val="00B00B0D"/>
    <w:rsid w:val="00B765F7"/>
    <w:rsid w:val="00BA0CA9"/>
    <w:rsid w:val="00C02897"/>
    <w:rsid w:val="00C608A9"/>
    <w:rsid w:val="00C97039"/>
    <w:rsid w:val="00D3439C"/>
    <w:rsid w:val="00DB1831"/>
    <w:rsid w:val="00DD3BFD"/>
    <w:rsid w:val="00DF6678"/>
    <w:rsid w:val="00E36CB7"/>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8918D9-06F3-40F5-8240-343129DC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82B90"/>
    <w:rPr>
      <w:rFonts w:ascii="Times New Roman" w:hAnsi="Times New Roman" w:cs="Times New Roman"/>
      <w:sz w:val="20"/>
      <w:szCs w:val="20"/>
      <w:lang w:eastAsia="en-US"/>
    </w:rPr>
  </w:style>
  <w:style w:type="character" w:customStyle="1" w:styleId="hps">
    <w:name w:val="hps"/>
    <w:basedOn w:val="DefaultParagraphFont"/>
    <w:rsid w:val="00A82B90"/>
  </w:style>
  <w:style w:type="character" w:customStyle="1" w:styleId="HChGChar">
    <w:name w:val="_ H _Ch_G Char"/>
    <w:link w:val="HChG"/>
    <w:rsid w:val="00A82B90"/>
    <w:rPr>
      <w:rFonts w:ascii="Times New Roman" w:hAnsi="Times New Roman" w:cs="Times New Roman"/>
      <w:b/>
      <w:sz w:val="28"/>
      <w:szCs w:val="20"/>
      <w:lang w:eastAsia="en-US"/>
    </w:rPr>
  </w:style>
  <w:style w:type="character" w:customStyle="1" w:styleId="H1GChar">
    <w:name w:val="_ H_1_G Char"/>
    <w:link w:val="H1G"/>
    <w:rsid w:val="00A82B90"/>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ECE/TRANS/WP.15/2017/5</vt:lpstr>
      <vt:lpstr>ECE/TRANS/WP.15/2017/5</vt:lpstr>
    </vt:vector>
  </TitlesOfParts>
  <Company>DCM</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ECE/TRANS/WP.15/2017/5</dc:title>
  <dc:creator>Morin</dc:creator>
  <cp:lastModifiedBy>Christine Barrio-Champeau</cp:lastModifiedBy>
  <cp:revision>2</cp:revision>
  <cp:lastPrinted>2017-03-08T14:16:00Z</cp:lastPrinted>
  <dcterms:created xsi:type="dcterms:W3CDTF">2017-03-13T09:52:00Z</dcterms:created>
  <dcterms:modified xsi:type="dcterms:W3CDTF">2017-03-13T09:52:00Z</dcterms:modified>
</cp:coreProperties>
</file>