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B56E9C" w:rsidRPr="008268C5" w:rsidTr="00B11BB4">
        <w:trPr>
          <w:cantSplit/>
          <w:trHeight w:hRule="exact" w:val="851"/>
        </w:trPr>
        <w:tc>
          <w:tcPr>
            <w:tcW w:w="1276" w:type="dxa"/>
            <w:tcBorders>
              <w:bottom w:val="single" w:sz="4" w:space="0" w:color="auto"/>
            </w:tcBorders>
            <w:shd w:val="clear" w:color="auto" w:fill="auto"/>
            <w:vAlign w:val="bottom"/>
          </w:tcPr>
          <w:p w:rsidR="00B56E9C" w:rsidRPr="008268C5" w:rsidRDefault="00B56E9C" w:rsidP="00B11BB4">
            <w:pPr>
              <w:spacing w:after="80"/>
            </w:pPr>
          </w:p>
        </w:tc>
        <w:tc>
          <w:tcPr>
            <w:tcW w:w="2268" w:type="dxa"/>
            <w:tcBorders>
              <w:bottom w:val="single" w:sz="4" w:space="0" w:color="auto"/>
            </w:tcBorders>
            <w:shd w:val="clear" w:color="auto" w:fill="auto"/>
            <w:vAlign w:val="bottom"/>
          </w:tcPr>
          <w:p w:rsidR="00B56E9C" w:rsidRPr="008268C5" w:rsidRDefault="00B56E9C" w:rsidP="00B11BB4">
            <w:pPr>
              <w:spacing w:after="80" w:line="300" w:lineRule="exact"/>
              <w:rPr>
                <w:b/>
                <w:sz w:val="24"/>
                <w:szCs w:val="24"/>
              </w:rPr>
            </w:pPr>
          </w:p>
        </w:tc>
        <w:tc>
          <w:tcPr>
            <w:tcW w:w="6095" w:type="dxa"/>
            <w:tcBorders>
              <w:bottom w:val="single" w:sz="4" w:space="0" w:color="auto"/>
            </w:tcBorders>
            <w:shd w:val="clear" w:color="auto" w:fill="auto"/>
            <w:vAlign w:val="bottom"/>
          </w:tcPr>
          <w:p w:rsidR="00B56E9C" w:rsidRPr="008268C5" w:rsidRDefault="00CD57D2" w:rsidP="000D7449">
            <w:pPr>
              <w:suppressAutoHyphens w:val="0"/>
              <w:spacing w:after="20"/>
              <w:jc w:val="right"/>
              <w:rPr>
                <w:b/>
                <w:sz w:val="28"/>
                <w:szCs w:val="28"/>
              </w:rPr>
            </w:pPr>
            <w:r w:rsidRPr="008268C5">
              <w:rPr>
                <w:b/>
                <w:sz w:val="28"/>
                <w:szCs w:val="28"/>
              </w:rPr>
              <w:t>INF.</w:t>
            </w:r>
            <w:r w:rsidR="000D7449">
              <w:rPr>
                <w:b/>
                <w:sz w:val="28"/>
                <w:szCs w:val="28"/>
              </w:rPr>
              <w:t>4</w:t>
            </w:r>
          </w:p>
        </w:tc>
      </w:tr>
    </w:tbl>
    <w:p w:rsidR="00AB32F7" w:rsidRPr="008268C5" w:rsidRDefault="00AB32F7" w:rsidP="00AB32F7">
      <w:pPr>
        <w:spacing w:before="120"/>
        <w:rPr>
          <w:b/>
          <w:sz w:val="28"/>
          <w:szCs w:val="28"/>
        </w:rPr>
      </w:pPr>
      <w:r w:rsidRPr="008268C5">
        <w:rPr>
          <w:b/>
          <w:sz w:val="28"/>
          <w:szCs w:val="28"/>
        </w:rPr>
        <w:t>Economic Commission for Europe</w:t>
      </w:r>
    </w:p>
    <w:p w:rsidR="00AB32F7" w:rsidRPr="008268C5" w:rsidRDefault="00AB32F7" w:rsidP="00AB32F7">
      <w:pPr>
        <w:spacing w:before="120"/>
        <w:rPr>
          <w:sz w:val="28"/>
          <w:szCs w:val="28"/>
        </w:rPr>
      </w:pPr>
      <w:r w:rsidRPr="008268C5">
        <w:rPr>
          <w:sz w:val="28"/>
          <w:szCs w:val="28"/>
        </w:rPr>
        <w:t>Inland Transport Committee</w:t>
      </w:r>
    </w:p>
    <w:p w:rsidR="00AB32F7" w:rsidRPr="008268C5" w:rsidRDefault="00AB32F7" w:rsidP="00AB32F7">
      <w:pPr>
        <w:spacing w:before="120"/>
        <w:rPr>
          <w:b/>
          <w:sz w:val="24"/>
          <w:szCs w:val="24"/>
        </w:rPr>
      </w:pPr>
      <w:r w:rsidRPr="008268C5">
        <w:rPr>
          <w:b/>
          <w:sz w:val="24"/>
          <w:szCs w:val="24"/>
        </w:rPr>
        <w:t>Working Party on the Transport of Dangerous Goods</w:t>
      </w:r>
    </w:p>
    <w:p w:rsidR="00AB32F7" w:rsidRPr="008268C5" w:rsidRDefault="00A44D24" w:rsidP="00AB32F7">
      <w:pPr>
        <w:spacing w:before="120"/>
        <w:rPr>
          <w:b/>
        </w:rPr>
      </w:pPr>
      <w:proofErr w:type="gramStart"/>
      <w:r>
        <w:rPr>
          <w:b/>
        </w:rPr>
        <w:t>10</w:t>
      </w:r>
      <w:r w:rsidR="00FB1A29">
        <w:rPr>
          <w:b/>
        </w:rPr>
        <w:t>3</w:t>
      </w:r>
      <w:r w:rsidR="00A95D61">
        <w:rPr>
          <w:b/>
        </w:rPr>
        <w:t>r</w:t>
      </w:r>
      <w:r>
        <w:rPr>
          <w:b/>
        </w:rPr>
        <w:t>d</w:t>
      </w:r>
      <w:proofErr w:type="gramEnd"/>
      <w:r w:rsidR="00AB32F7" w:rsidRPr="008268C5">
        <w:rPr>
          <w:b/>
        </w:rPr>
        <w:t xml:space="preserve"> session</w:t>
      </w:r>
      <w:r w:rsidR="00AB32F7" w:rsidRPr="008268C5">
        <w:rPr>
          <w:b/>
        </w:rPr>
        <w:tab/>
      </w:r>
      <w:r w:rsidR="00AB32F7" w:rsidRPr="008268C5">
        <w:rPr>
          <w:b/>
        </w:rPr>
        <w:tab/>
      </w:r>
      <w:r w:rsidR="00AB32F7" w:rsidRPr="008268C5">
        <w:rPr>
          <w:b/>
        </w:rPr>
        <w:tab/>
      </w:r>
      <w:r w:rsidR="00AB32F7" w:rsidRPr="008268C5">
        <w:rPr>
          <w:b/>
        </w:rPr>
        <w:tab/>
      </w:r>
      <w:r w:rsidR="00AB32F7" w:rsidRPr="008268C5">
        <w:rPr>
          <w:b/>
        </w:rPr>
        <w:tab/>
      </w:r>
      <w:r w:rsidR="00AB32F7" w:rsidRPr="008268C5">
        <w:rPr>
          <w:b/>
        </w:rPr>
        <w:tab/>
      </w:r>
      <w:r w:rsidR="00AB32F7" w:rsidRPr="008268C5">
        <w:rPr>
          <w:b/>
        </w:rPr>
        <w:tab/>
      </w:r>
      <w:r w:rsidR="00AB32F7" w:rsidRPr="008268C5">
        <w:rPr>
          <w:b/>
        </w:rPr>
        <w:tab/>
      </w:r>
      <w:r w:rsidR="00AB32F7" w:rsidRPr="008268C5">
        <w:rPr>
          <w:b/>
        </w:rPr>
        <w:tab/>
      </w:r>
      <w:r w:rsidR="00AB32F7" w:rsidRPr="008268C5">
        <w:rPr>
          <w:b/>
        </w:rPr>
        <w:tab/>
      </w:r>
      <w:r w:rsidR="00AB32F7" w:rsidRPr="008268C5">
        <w:rPr>
          <w:b/>
        </w:rPr>
        <w:tab/>
      </w:r>
      <w:r w:rsidR="008C678F">
        <w:rPr>
          <w:b/>
        </w:rPr>
        <w:t>12 October</w:t>
      </w:r>
      <w:r>
        <w:rPr>
          <w:b/>
        </w:rPr>
        <w:t xml:space="preserve"> 2017</w:t>
      </w:r>
    </w:p>
    <w:p w:rsidR="00AB32F7" w:rsidRPr="008268C5" w:rsidRDefault="00AB32F7" w:rsidP="00AB32F7">
      <w:r w:rsidRPr="008268C5">
        <w:t xml:space="preserve">Geneva, </w:t>
      </w:r>
      <w:r w:rsidR="00FB1A29">
        <w:t>6</w:t>
      </w:r>
      <w:r w:rsidR="00875C74">
        <w:t>-</w:t>
      </w:r>
      <w:r w:rsidR="00B25EB2" w:rsidRPr="008268C5">
        <w:t>1</w:t>
      </w:r>
      <w:r w:rsidR="00FB1A29">
        <w:t>0</w:t>
      </w:r>
      <w:r w:rsidRPr="008268C5">
        <w:t xml:space="preserve"> </w:t>
      </w:r>
      <w:r w:rsidR="00FB1A29">
        <w:t>November</w:t>
      </w:r>
      <w:r w:rsidRPr="008268C5">
        <w:t xml:space="preserve"> </w:t>
      </w:r>
      <w:r w:rsidR="00B25EB2" w:rsidRPr="008268C5">
        <w:t>201</w:t>
      </w:r>
      <w:r w:rsidR="00A44D24">
        <w:t>7</w:t>
      </w:r>
    </w:p>
    <w:p w:rsidR="002F3C64" w:rsidRPr="004119B5" w:rsidRDefault="002F3C64" w:rsidP="002F3C64">
      <w:r w:rsidRPr="004119B5">
        <w:t xml:space="preserve">Item </w:t>
      </w:r>
      <w:proofErr w:type="gramStart"/>
      <w:r w:rsidR="00FB1A29">
        <w:t>6</w:t>
      </w:r>
      <w:proofErr w:type="gramEnd"/>
      <w:r w:rsidRPr="004119B5">
        <w:t xml:space="preserve"> of the provisional agenda</w:t>
      </w:r>
    </w:p>
    <w:p w:rsidR="002F3C64" w:rsidRPr="00D105AA" w:rsidRDefault="00FB1A29" w:rsidP="002F3C64">
      <w:pPr>
        <w:rPr>
          <w:b/>
        </w:rPr>
      </w:pPr>
      <w:r>
        <w:rPr>
          <w:b/>
          <w:bCs/>
        </w:rPr>
        <w:t>Interpretation of ADR</w:t>
      </w:r>
    </w:p>
    <w:p w:rsidR="00A30C84" w:rsidRPr="00203773" w:rsidRDefault="003D3380" w:rsidP="008F03A8">
      <w:pPr>
        <w:pStyle w:val="HChG"/>
      </w:pPr>
      <w:r w:rsidRPr="008268C5">
        <w:rPr>
          <w:lang w:val="en-GB"/>
        </w:rPr>
        <w:tab/>
      </w:r>
      <w:r w:rsidRPr="008268C5">
        <w:rPr>
          <w:lang w:val="en-GB"/>
        </w:rPr>
        <w:tab/>
      </w:r>
      <w:r w:rsidR="00A30C84" w:rsidRPr="00203773">
        <w:t xml:space="preserve">Interpretation of the requirements </w:t>
      </w:r>
      <w:r w:rsidR="008F03A8" w:rsidRPr="008F03A8">
        <w:rPr>
          <w:lang w:val="en-GB"/>
        </w:rPr>
        <w:t>concerning p</w:t>
      </w:r>
      <w:r w:rsidR="00350BA2" w:rsidRPr="00350BA2">
        <w:rPr>
          <w:lang w:val="en-GB"/>
        </w:rPr>
        <w:t>recautions against electrostatic charges</w:t>
      </w:r>
      <w:r w:rsidR="008F03A8">
        <w:rPr>
          <w:lang w:val="en-GB"/>
        </w:rPr>
        <w:t>, sections</w:t>
      </w:r>
      <w:r w:rsidR="00A30C84">
        <w:t xml:space="preserve"> </w:t>
      </w:r>
      <w:r w:rsidR="008F03A8" w:rsidRPr="00FB1A29">
        <w:rPr>
          <w:lang w:val="en-GB"/>
        </w:rPr>
        <w:t>7.5.10</w:t>
      </w:r>
      <w:r w:rsidR="008F03A8">
        <w:rPr>
          <w:lang w:val="en-GB"/>
        </w:rPr>
        <w:t>,</w:t>
      </w:r>
      <w:r w:rsidR="008F03A8" w:rsidRPr="00203773">
        <w:t xml:space="preserve"> </w:t>
      </w:r>
      <w:r w:rsidR="008F03A8">
        <w:rPr>
          <w:lang w:val="en-GB"/>
        </w:rPr>
        <w:t>9.7.4 and 9.8.3</w:t>
      </w:r>
    </w:p>
    <w:p w:rsidR="00A30C84" w:rsidRDefault="00A30C84" w:rsidP="00A30C84">
      <w:pPr>
        <w:pStyle w:val="H1G"/>
      </w:pPr>
      <w:r>
        <w:tab/>
      </w:r>
      <w:r>
        <w:tab/>
        <w:t xml:space="preserve">Transmitted by the Government of </w:t>
      </w:r>
      <w:r w:rsidR="00FB1A29">
        <w:t>Sweden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A30C84" w:rsidRPr="00E62341" w:rsidTr="00C45E05">
        <w:trPr>
          <w:jc w:val="center"/>
        </w:trPr>
        <w:tc>
          <w:tcPr>
            <w:tcW w:w="9637" w:type="dxa"/>
            <w:tcBorders>
              <w:bottom w:val="nil"/>
            </w:tcBorders>
            <w:shd w:val="clear" w:color="auto" w:fill="auto"/>
          </w:tcPr>
          <w:p w:rsidR="00A30C84" w:rsidRPr="00E62341" w:rsidRDefault="00A30C84" w:rsidP="00C45E05">
            <w:pPr>
              <w:tabs>
                <w:tab w:val="left" w:pos="255"/>
              </w:tabs>
              <w:suppressAutoHyphens w:val="0"/>
              <w:spacing w:before="240" w:after="120"/>
              <w:rPr>
                <w:rFonts w:eastAsia="Arial"/>
                <w:sz w:val="24"/>
              </w:rPr>
            </w:pPr>
            <w:r>
              <w:br w:type="page"/>
            </w:r>
            <w:r w:rsidRPr="00E62341">
              <w:rPr>
                <w:rFonts w:eastAsia="Arial"/>
              </w:rPr>
              <w:tab/>
            </w:r>
            <w:r w:rsidRPr="00E62341">
              <w:rPr>
                <w:rFonts w:eastAsia="Arial"/>
                <w:i/>
                <w:sz w:val="24"/>
              </w:rPr>
              <w:t>Summary</w:t>
            </w:r>
          </w:p>
        </w:tc>
      </w:tr>
      <w:tr w:rsidR="00A30C84" w:rsidRPr="00E62341" w:rsidTr="00C45E05">
        <w:trPr>
          <w:jc w:val="center"/>
        </w:trPr>
        <w:tc>
          <w:tcPr>
            <w:tcW w:w="9637" w:type="dxa"/>
            <w:tcBorders>
              <w:top w:val="nil"/>
              <w:bottom w:val="nil"/>
            </w:tcBorders>
            <w:shd w:val="clear" w:color="auto" w:fill="auto"/>
          </w:tcPr>
          <w:p w:rsidR="00A30C84" w:rsidRPr="00381A13" w:rsidRDefault="00A30C84" w:rsidP="002B742C">
            <w:pPr>
              <w:pStyle w:val="SingleTxtG"/>
              <w:tabs>
                <w:tab w:val="left" w:pos="3260"/>
              </w:tabs>
              <w:ind w:left="3260" w:hanging="2126"/>
              <w:rPr>
                <w:b/>
                <w:szCs w:val="22"/>
                <w:lang w:val="en-GB"/>
              </w:rPr>
            </w:pPr>
            <w:r w:rsidRPr="00E62341">
              <w:rPr>
                <w:b/>
                <w:szCs w:val="22"/>
              </w:rPr>
              <w:t>Executive summary</w:t>
            </w:r>
            <w:r w:rsidRPr="00E62341">
              <w:rPr>
                <w:szCs w:val="22"/>
              </w:rPr>
              <w:t>:</w:t>
            </w:r>
            <w:r w:rsidRPr="00E62341">
              <w:rPr>
                <w:szCs w:val="22"/>
              </w:rPr>
              <w:tab/>
            </w:r>
            <w:r w:rsidR="00350BA2" w:rsidRPr="00350BA2">
              <w:rPr>
                <w:lang w:val="en-GB"/>
              </w:rPr>
              <w:t>Sweden</w:t>
            </w:r>
            <w:r w:rsidRPr="00203773">
              <w:t xml:space="preserve"> would like to ask WP.15 how the requirements </w:t>
            </w:r>
            <w:r w:rsidR="002E20D5">
              <w:rPr>
                <w:lang w:val="en-GB"/>
              </w:rPr>
              <w:t xml:space="preserve">regarding </w:t>
            </w:r>
            <w:r w:rsidR="002E20D5">
              <w:t>p</w:t>
            </w:r>
            <w:r w:rsidR="002E20D5" w:rsidRPr="00742BA5">
              <w:t>recautions against electrostatic charges</w:t>
            </w:r>
            <w:r w:rsidR="002E20D5" w:rsidRPr="00203773">
              <w:t xml:space="preserve"> </w:t>
            </w:r>
            <w:r w:rsidRPr="00203773">
              <w:t xml:space="preserve">in </w:t>
            </w:r>
            <w:r w:rsidR="00CD285E" w:rsidRPr="00B27885">
              <w:rPr>
                <w:lang w:val="en-GB"/>
              </w:rPr>
              <w:t>section</w:t>
            </w:r>
            <w:r w:rsidR="001644E3">
              <w:rPr>
                <w:lang w:val="en-GB"/>
              </w:rPr>
              <w:t>s</w:t>
            </w:r>
            <w:r w:rsidR="00CD285E" w:rsidRPr="00B27885">
              <w:rPr>
                <w:lang w:val="en-GB"/>
              </w:rPr>
              <w:t xml:space="preserve"> </w:t>
            </w:r>
            <w:r w:rsidR="00350BA2" w:rsidRPr="00350BA2">
              <w:rPr>
                <w:lang w:val="en-GB"/>
              </w:rPr>
              <w:t>7.5.10</w:t>
            </w:r>
            <w:r w:rsidR="001644E3">
              <w:rPr>
                <w:lang w:val="en-GB"/>
              </w:rPr>
              <w:t>, 9.7.4 and 9.8.3</w:t>
            </w:r>
            <w:r w:rsidR="00350BA2" w:rsidRPr="00350BA2">
              <w:rPr>
                <w:lang w:val="en-GB"/>
              </w:rPr>
              <w:t xml:space="preserve"> </w:t>
            </w:r>
            <w:r w:rsidRPr="00203773">
              <w:t xml:space="preserve">of ADR </w:t>
            </w:r>
            <w:r w:rsidR="00671F98" w:rsidRPr="00671F98">
              <w:rPr>
                <w:lang w:val="en-GB"/>
              </w:rPr>
              <w:t>should be</w:t>
            </w:r>
            <w:r w:rsidRPr="00203773">
              <w:t xml:space="preserve"> understood</w:t>
            </w:r>
            <w:r w:rsidR="00350BA2" w:rsidRPr="00350BA2">
              <w:rPr>
                <w:lang w:val="en-GB"/>
              </w:rPr>
              <w:t xml:space="preserve"> and applied</w:t>
            </w:r>
            <w:r w:rsidR="00350BA2">
              <w:rPr>
                <w:lang w:val="en-GB"/>
              </w:rPr>
              <w:t>.</w:t>
            </w:r>
          </w:p>
        </w:tc>
      </w:tr>
      <w:tr w:rsidR="00A30C84" w:rsidRPr="00E62341" w:rsidTr="00C45E05">
        <w:trPr>
          <w:jc w:val="center"/>
        </w:trPr>
        <w:tc>
          <w:tcPr>
            <w:tcW w:w="9637" w:type="dxa"/>
            <w:tcBorders>
              <w:top w:val="nil"/>
              <w:bottom w:val="nil"/>
            </w:tcBorders>
            <w:shd w:val="clear" w:color="auto" w:fill="auto"/>
          </w:tcPr>
          <w:p w:rsidR="00A30C84" w:rsidRPr="00BB1184" w:rsidRDefault="00A30C84" w:rsidP="00BB1184">
            <w:pPr>
              <w:pStyle w:val="SingleTxtG"/>
              <w:tabs>
                <w:tab w:val="left" w:pos="3260"/>
              </w:tabs>
              <w:ind w:left="3260" w:hanging="2126"/>
              <w:rPr>
                <w:rFonts w:eastAsia="Arial"/>
                <w:lang w:val="en-GB"/>
              </w:rPr>
            </w:pPr>
            <w:r w:rsidRPr="00E62341">
              <w:rPr>
                <w:rFonts w:eastAsia="Arial"/>
                <w:b/>
              </w:rPr>
              <w:t>Action to be taken</w:t>
            </w:r>
            <w:r w:rsidRPr="00E62341">
              <w:rPr>
                <w:rFonts w:eastAsia="Arial"/>
              </w:rPr>
              <w:t>:</w:t>
            </w:r>
            <w:r w:rsidRPr="00E62341">
              <w:rPr>
                <w:rFonts w:eastAsia="Arial"/>
              </w:rPr>
              <w:tab/>
            </w:r>
            <w:r w:rsidR="00BB1184" w:rsidRPr="00BB1184">
              <w:rPr>
                <w:lang w:val="en-GB"/>
              </w:rPr>
              <w:t>I</w:t>
            </w:r>
            <w:r w:rsidR="00BB1184">
              <w:rPr>
                <w:lang w:val="en-GB"/>
              </w:rPr>
              <w:t>nterpretation</w:t>
            </w:r>
          </w:p>
        </w:tc>
      </w:tr>
      <w:tr w:rsidR="00A30C84" w:rsidRPr="00E62341" w:rsidTr="00C45E05">
        <w:trPr>
          <w:jc w:val="center"/>
        </w:trPr>
        <w:tc>
          <w:tcPr>
            <w:tcW w:w="9637" w:type="dxa"/>
            <w:tcBorders>
              <w:top w:val="nil"/>
            </w:tcBorders>
            <w:shd w:val="clear" w:color="auto" w:fill="auto"/>
          </w:tcPr>
          <w:p w:rsidR="00A30C84" w:rsidRPr="00E62341" w:rsidRDefault="00A30C84" w:rsidP="00C45E05">
            <w:pPr>
              <w:suppressAutoHyphens w:val="0"/>
              <w:rPr>
                <w:rFonts w:eastAsia="Arial"/>
              </w:rPr>
            </w:pPr>
          </w:p>
        </w:tc>
      </w:tr>
    </w:tbl>
    <w:p w:rsidR="000D7449" w:rsidRDefault="00A30C84" w:rsidP="000D7449">
      <w:pPr>
        <w:pStyle w:val="HChG"/>
      </w:pPr>
      <w:r>
        <w:tab/>
      </w:r>
      <w:r>
        <w:tab/>
      </w:r>
      <w:r w:rsidRPr="001B08A2">
        <w:t>Introduction</w:t>
      </w:r>
    </w:p>
    <w:p w:rsidR="001B08A2" w:rsidRDefault="00BB1184" w:rsidP="000D7449">
      <w:pPr>
        <w:pStyle w:val="BodyText"/>
        <w:ind w:left="1134" w:right="1134"/>
        <w:jc w:val="both"/>
      </w:pPr>
      <w:r>
        <w:t>Sweden</w:t>
      </w:r>
      <w:r w:rsidR="002B742C">
        <w:t xml:space="preserve"> seeks advice</w:t>
      </w:r>
      <w:r w:rsidR="00D91A8D" w:rsidRPr="003F48C4">
        <w:t xml:space="preserve"> concerning precautions against electrostatic charges</w:t>
      </w:r>
      <w:r w:rsidR="00D91A8D">
        <w:t xml:space="preserve">, which in ADR is required for flammable gases and liquids with a </w:t>
      </w:r>
      <w:proofErr w:type="gramStart"/>
      <w:r w:rsidR="00943E66">
        <w:t>flash-point</w:t>
      </w:r>
      <w:proofErr w:type="gramEnd"/>
      <w:r w:rsidR="00D91A8D">
        <w:t xml:space="preserve"> of ≤60 °C and </w:t>
      </w:r>
      <w:r w:rsidR="00381A13">
        <w:t xml:space="preserve">for </w:t>
      </w:r>
      <w:r w:rsidR="00D91A8D">
        <w:t>UN 1361, carbon or carbon black, packing group II.</w:t>
      </w:r>
    </w:p>
    <w:p w:rsidR="000D7449" w:rsidRDefault="000D7449" w:rsidP="000D7449">
      <w:pPr>
        <w:pStyle w:val="HChG"/>
        <w:jc w:val="both"/>
      </w:pPr>
      <w:r>
        <w:tab/>
      </w:r>
      <w:r>
        <w:tab/>
      </w:r>
      <w:r w:rsidR="00D91A8D" w:rsidRPr="001B08A2">
        <w:t>Background</w:t>
      </w:r>
    </w:p>
    <w:p w:rsidR="000D7449" w:rsidRDefault="00AE50F3" w:rsidP="000D7449">
      <w:pPr>
        <w:ind w:left="1134" w:right="1134"/>
        <w:jc w:val="both"/>
        <w:rPr>
          <w:b/>
        </w:rPr>
      </w:pPr>
      <w:r>
        <w:t xml:space="preserve">Recently, </w:t>
      </w:r>
      <w:r w:rsidRPr="001B08A2">
        <w:t xml:space="preserve">a proposal for new national provisions </w:t>
      </w:r>
      <w:r w:rsidR="002E20D5">
        <w:t xml:space="preserve">about the handling </w:t>
      </w:r>
      <w:r w:rsidR="002E20D5" w:rsidRPr="001B08A2">
        <w:t>of flammable gases and aerosols</w:t>
      </w:r>
      <w:r w:rsidR="002E20D5">
        <w:t xml:space="preserve"> </w:t>
      </w:r>
      <w:proofErr w:type="gramStart"/>
      <w:r>
        <w:t>w</w:t>
      </w:r>
      <w:r w:rsidR="00B31424">
        <w:t>as</w:t>
      </w:r>
      <w:r w:rsidRPr="001B08A2">
        <w:t xml:space="preserve"> submitted</w:t>
      </w:r>
      <w:proofErr w:type="gramEnd"/>
      <w:r w:rsidRPr="001B08A2">
        <w:t xml:space="preserve"> for comments</w:t>
      </w:r>
      <w:r>
        <w:t xml:space="preserve"> to Swedish industry and different authorities. </w:t>
      </w:r>
      <w:r w:rsidR="002E20D5">
        <w:t>A</w:t>
      </w:r>
      <w:r>
        <w:t>mongst the comments received</w:t>
      </w:r>
      <w:r w:rsidR="00D5385E">
        <w:t xml:space="preserve"> from the hearing</w:t>
      </w:r>
      <w:r>
        <w:t xml:space="preserve">, a question </w:t>
      </w:r>
      <w:r w:rsidR="005933E3">
        <w:t>related to</w:t>
      </w:r>
      <w:r>
        <w:t xml:space="preserve"> </w:t>
      </w:r>
      <w:r w:rsidRPr="001B08A2">
        <w:t xml:space="preserve">“earthing” </w:t>
      </w:r>
      <w:r w:rsidR="002B742C">
        <w:t>and</w:t>
      </w:r>
      <w:r w:rsidR="002B742C" w:rsidRPr="001B08A2">
        <w:t xml:space="preserve"> </w:t>
      </w:r>
      <w:r w:rsidRPr="001B08A2">
        <w:t>“bonding” aroused</w:t>
      </w:r>
      <w:r>
        <w:t xml:space="preserve">. </w:t>
      </w:r>
      <w:r w:rsidRPr="001B08A2">
        <w:t>In th</w:t>
      </w:r>
      <w:r w:rsidR="00BB1184">
        <w:t>ese</w:t>
      </w:r>
      <w:r w:rsidRPr="001B08A2">
        <w:t xml:space="preserve"> </w:t>
      </w:r>
      <w:r w:rsidR="0099754E">
        <w:t xml:space="preserve">Swedish </w:t>
      </w:r>
      <w:r w:rsidRPr="001B08A2">
        <w:t xml:space="preserve">national provisions, the text concerning the precautions to </w:t>
      </w:r>
      <w:proofErr w:type="gramStart"/>
      <w:r w:rsidRPr="001B08A2">
        <w:t>be taken</w:t>
      </w:r>
      <w:proofErr w:type="gramEnd"/>
      <w:r w:rsidRPr="001B08A2">
        <w:t xml:space="preserve"> against electrostatic charges before tanks are filled or emptied is </w:t>
      </w:r>
      <w:r w:rsidR="002E20D5">
        <w:t>based on</w:t>
      </w:r>
      <w:r w:rsidR="000375AD">
        <w:t xml:space="preserve"> section 7.5.10</w:t>
      </w:r>
      <w:r w:rsidR="002E20D5">
        <w:t xml:space="preserve"> in ADR</w:t>
      </w:r>
      <w:r w:rsidR="000375AD">
        <w:t>.</w:t>
      </w:r>
    </w:p>
    <w:p w:rsidR="000D7449" w:rsidRDefault="00946884" w:rsidP="000D7449">
      <w:pPr>
        <w:spacing w:before="120" w:after="120"/>
        <w:ind w:left="1134" w:right="1134"/>
        <w:jc w:val="both"/>
        <w:rPr>
          <w:b/>
        </w:rPr>
      </w:pPr>
      <w:proofErr w:type="spellStart"/>
      <w:r>
        <w:rPr>
          <w:b/>
        </w:rPr>
        <w:t>Earthing</w:t>
      </w:r>
      <w:proofErr w:type="spellEnd"/>
      <w:r>
        <w:rPr>
          <w:b/>
        </w:rPr>
        <w:t xml:space="preserve"> or bonding in ADR?</w:t>
      </w:r>
    </w:p>
    <w:p w:rsidR="000D7449" w:rsidRDefault="00D91A8D" w:rsidP="000D7449">
      <w:pPr>
        <w:spacing w:before="120" w:after="120"/>
        <w:ind w:left="1134" w:right="1134"/>
        <w:jc w:val="both"/>
      </w:pPr>
      <w:r>
        <w:t xml:space="preserve">In </w:t>
      </w:r>
      <w:r w:rsidR="00A533E7">
        <w:t xml:space="preserve">section </w:t>
      </w:r>
      <w:r>
        <w:t xml:space="preserve">7.5.10 and </w:t>
      </w:r>
      <w:r w:rsidR="00312976">
        <w:t xml:space="preserve">in Chapter 8.5, </w:t>
      </w:r>
      <w:r w:rsidR="00946884">
        <w:t xml:space="preserve">special provision </w:t>
      </w:r>
      <w:r>
        <w:t>S2 (3)</w:t>
      </w:r>
      <w:r w:rsidR="00946884">
        <w:t>,</w:t>
      </w:r>
      <w:r>
        <w:t xml:space="preserve"> it is required that a good electrical connection from the chassis of the vehicle, the portable tank or the tank-container to earth shall be established before tanks are filled or emptied. In addition, in</w:t>
      </w:r>
      <w:r w:rsidR="00946884">
        <w:t xml:space="preserve"> sub-section</w:t>
      </w:r>
      <w:r>
        <w:t xml:space="preserve"> 6.8.2.1.27, shells </w:t>
      </w:r>
      <w:proofErr w:type="gramStart"/>
      <w:r>
        <w:t>shall be provided</w:t>
      </w:r>
      <w:proofErr w:type="gramEnd"/>
      <w:r>
        <w:t xml:space="preserve"> with at least one earth fitting and tank-containers shall be capable of being electrically earthed.</w:t>
      </w:r>
      <w:r w:rsidR="00946884">
        <w:t xml:space="preserve"> </w:t>
      </w:r>
    </w:p>
    <w:p w:rsidR="000D7449" w:rsidRDefault="00D5385E" w:rsidP="000D7449">
      <w:pPr>
        <w:spacing w:before="120" w:after="120"/>
        <w:ind w:left="1134" w:right="1134"/>
        <w:jc w:val="both"/>
      </w:pPr>
      <w:r>
        <w:t>S</w:t>
      </w:r>
      <w:r w:rsidR="00946884">
        <w:t xml:space="preserve">ections </w:t>
      </w:r>
      <w:r w:rsidR="00D91A8D">
        <w:t xml:space="preserve">9.7.4 and 9.8.3 also contains requirements concerning earthing, but </w:t>
      </w:r>
      <w:r>
        <w:t xml:space="preserve">in these provisions </w:t>
      </w:r>
      <w:r w:rsidR="00D91A8D">
        <w:t xml:space="preserve">this should be done by a link from the tanks, containers and compartments to the chassis by means of at least one good electrical connection. </w:t>
      </w:r>
      <w:r w:rsidR="00A533E7">
        <w:t xml:space="preserve">According to our understanding, </w:t>
      </w:r>
      <w:r w:rsidR="00D91A8D">
        <w:t xml:space="preserve">this </w:t>
      </w:r>
      <w:r w:rsidR="00A533E7">
        <w:t>is</w:t>
      </w:r>
      <w:r w:rsidR="00D91A8D">
        <w:t xml:space="preserve"> referred to as “bonding”</w:t>
      </w:r>
      <w:r w:rsidR="00946884">
        <w:t xml:space="preserve"> </w:t>
      </w:r>
      <w:r w:rsidR="00A533E7">
        <w:t xml:space="preserve">in IEC 60079-32 (see </w:t>
      </w:r>
      <w:r w:rsidR="00616EEB">
        <w:t>annex</w:t>
      </w:r>
      <w:r w:rsidR="00A533E7">
        <w:t xml:space="preserve">), </w:t>
      </w:r>
      <w:r w:rsidR="00633CDB">
        <w:t>while</w:t>
      </w:r>
      <w:r w:rsidR="00D91A8D">
        <w:t xml:space="preserve"> the word “earthing” is used</w:t>
      </w:r>
      <w:r w:rsidR="00B12557">
        <w:t xml:space="preserve"> in ADR</w:t>
      </w:r>
      <w:r w:rsidR="00D91A8D">
        <w:t>.</w:t>
      </w:r>
    </w:p>
    <w:p w:rsidR="000D7449" w:rsidRDefault="00D91A8D" w:rsidP="000D7449">
      <w:pPr>
        <w:spacing w:before="120" w:after="120"/>
        <w:ind w:left="1134" w:right="1134"/>
        <w:jc w:val="both"/>
      </w:pPr>
      <w:r>
        <w:t xml:space="preserve">Some places in part 9 in ADR refer to different parts of IEC 60079 standards. IEC/TS 60079-32-1 is a technical specification prepared by IEC (the International </w:t>
      </w:r>
      <w:proofErr w:type="spellStart"/>
      <w:r>
        <w:t>Electrotechnical</w:t>
      </w:r>
      <w:proofErr w:type="spellEnd"/>
      <w:r>
        <w:t xml:space="preserve"> Commission) Technical Committee 31. Part 32 concerns electrostatic hazards in explosives atmospheres and gives guidance about the equipment, product and process properties necessary to avoid ignition and electrostatic shock hazards arising from static electricity</w:t>
      </w:r>
      <w:r w:rsidR="008B5119">
        <w:t>. It also contains</w:t>
      </w:r>
      <w:r>
        <w:t xml:space="preserve"> the operational requirements needed to ensure safe use of the equipment, product or process.</w:t>
      </w:r>
    </w:p>
    <w:p w:rsidR="000D7449" w:rsidRDefault="00D91A8D" w:rsidP="000D7449">
      <w:pPr>
        <w:spacing w:before="120" w:after="120"/>
        <w:ind w:left="1134" w:right="1134"/>
        <w:jc w:val="both"/>
      </w:pPr>
      <w:r>
        <w:t>In this specification</w:t>
      </w:r>
      <w:r w:rsidR="00633CDB">
        <w:t>,</w:t>
      </w:r>
      <w:r>
        <w:t xml:space="preserve"> “</w:t>
      </w:r>
      <w:proofErr w:type="spellStart"/>
      <w:r>
        <w:t>earthing</w:t>
      </w:r>
      <w:proofErr w:type="spellEnd"/>
      <w:r>
        <w:t xml:space="preserve">” and “bonding” are </w:t>
      </w:r>
      <w:r w:rsidR="00633CDB">
        <w:t xml:space="preserve">two procedures that both describes how </w:t>
      </w:r>
      <w:r>
        <w:t>to reduce potential differences</w:t>
      </w:r>
      <w:r w:rsidR="00673C44">
        <w:t xml:space="preserve"> (see also </w:t>
      </w:r>
      <w:r w:rsidR="00671F98">
        <w:t xml:space="preserve">figure </w:t>
      </w:r>
      <w:r w:rsidR="00673C44">
        <w:t>in annex)</w:t>
      </w:r>
      <w:r w:rsidR="00633CDB">
        <w:t xml:space="preserve">: </w:t>
      </w:r>
    </w:p>
    <w:p w:rsidR="000D7449" w:rsidRDefault="000D7449" w:rsidP="000D7449">
      <w:pPr>
        <w:spacing w:before="120" w:after="120"/>
        <w:ind w:left="1134" w:right="1134"/>
        <w:jc w:val="both"/>
      </w:pPr>
      <w:r>
        <w:t>-</w:t>
      </w:r>
      <w:r>
        <w:tab/>
      </w:r>
      <w:r w:rsidR="00D91A8D" w:rsidRPr="00633CDB">
        <w:rPr>
          <w:b/>
        </w:rPr>
        <w:t>Bonding</w:t>
      </w:r>
      <w:r w:rsidR="00D91A8D">
        <w:t xml:space="preserve"> </w:t>
      </w:r>
      <w:proofErr w:type="gramStart"/>
      <w:r w:rsidR="00D91A8D">
        <w:t>is used</w:t>
      </w:r>
      <w:proofErr w:type="gramEnd"/>
      <w:r w:rsidR="00D91A8D">
        <w:t xml:space="preserve"> to minimize the potential difference between conductive objects to an insignificant level, even where the resulting system is not earthed. </w:t>
      </w:r>
    </w:p>
    <w:p w:rsidR="000D7449" w:rsidRDefault="000D7449" w:rsidP="000D7449">
      <w:pPr>
        <w:spacing w:before="120" w:after="120"/>
        <w:ind w:left="1134" w:right="1134"/>
        <w:jc w:val="both"/>
      </w:pPr>
      <w:r>
        <w:t>-</w:t>
      </w:r>
      <w:r>
        <w:tab/>
      </w:r>
      <w:proofErr w:type="spellStart"/>
      <w:r w:rsidR="00D91A8D" w:rsidRPr="00633CDB">
        <w:rPr>
          <w:b/>
        </w:rPr>
        <w:t>Earthing</w:t>
      </w:r>
      <w:proofErr w:type="spellEnd"/>
      <w:r w:rsidR="00D91A8D">
        <w:t>, on the other hand, equalizes the potential difference between the objects and the earth</w:t>
      </w:r>
      <w:r w:rsidR="00E02661">
        <w:t>.</w:t>
      </w:r>
    </w:p>
    <w:p w:rsidR="000D7449" w:rsidRDefault="00633CDB" w:rsidP="000D7449">
      <w:pPr>
        <w:spacing w:before="120" w:after="120"/>
        <w:ind w:left="1134" w:right="1134"/>
        <w:jc w:val="both"/>
      </w:pPr>
      <w:r>
        <w:t>C</w:t>
      </w:r>
      <w:r w:rsidR="00186D7B">
        <w:t>ons</w:t>
      </w:r>
      <w:r>
        <w:t xml:space="preserve">idering the </w:t>
      </w:r>
      <w:r w:rsidR="00956168">
        <w:t>use of the word</w:t>
      </w:r>
      <w:r>
        <w:t xml:space="preserve"> “earthing”</w:t>
      </w:r>
      <w:r w:rsidR="00186D7B">
        <w:t xml:space="preserve"> </w:t>
      </w:r>
      <w:r w:rsidR="00956168">
        <w:t>i</w:t>
      </w:r>
      <w:r w:rsidR="00186D7B">
        <w:t xml:space="preserve">n ADR, it is not clear what </w:t>
      </w:r>
      <w:proofErr w:type="gramStart"/>
      <w:r w:rsidR="00186D7B">
        <w:t>is actually meant</w:t>
      </w:r>
      <w:proofErr w:type="gramEnd"/>
      <w:r w:rsidR="00DF418D">
        <w:t xml:space="preserve"> in </w:t>
      </w:r>
      <w:r w:rsidR="000375AD">
        <w:t>the different parts.</w:t>
      </w:r>
      <w:r w:rsidR="00186D7B">
        <w:t xml:space="preserve"> </w:t>
      </w:r>
      <w:r w:rsidR="00085917">
        <w:t xml:space="preserve">Therefore, </w:t>
      </w:r>
      <w:r w:rsidR="00AE0B20">
        <w:t>Sweden would like to hear the view of the meeting</w:t>
      </w:r>
      <w:r w:rsidR="000375AD">
        <w:t xml:space="preserve"> on the following two cases:</w:t>
      </w:r>
    </w:p>
    <w:p w:rsidR="000D7449" w:rsidRDefault="000375AD" w:rsidP="000D7449">
      <w:pPr>
        <w:spacing w:before="120" w:after="120"/>
        <w:ind w:left="1134" w:right="1134"/>
        <w:jc w:val="both"/>
        <w:rPr>
          <w:i/>
        </w:rPr>
      </w:pPr>
      <w:r>
        <w:rPr>
          <w:i/>
        </w:rPr>
        <w:tab/>
      </w:r>
      <w:r w:rsidR="000D7449">
        <w:rPr>
          <w:i/>
        </w:rPr>
        <w:t>1.</w:t>
      </w:r>
      <w:r w:rsidR="000D7449">
        <w:rPr>
          <w:i/>
        </w:rPr>
        <w:tab/>
      </w:r>
      <w:r w:rsidR="006F3CCF" w:rsidRPr="006F3CCF">
        <w:rPr>
          <w:i/>
        </w:rPr>
        <w:t>T</w:t>
      </w:r>
      <w:r w:rsidRPr="006F3CCF">
        <w:rPr>
          <w:i/>
        </w:rPr>
        <w:t xml:space="preserve">o fulfil the requirements in </w:t>
      </w:r>
      <w:r w:rsidR="006F3CCF" w:rsidRPr="006F3CCF">
        <w:rPr>
          <w:i/>
        </w:rPr>
        <w:t>s</w:t>
      </w:r>
      <w:r w:rsidRPr="006F3CCF">
        <w:rPr>
          <w:i/>
        </w:rPr>
        <w:t xml:space="preserve">ection 7.5.10, a connection from the chassis of the vehicle to earth </w:t>
      </w:r>
      <w:proofErr w:type="gramStart"/>
      <w:r w:rsidRPr="006F3CCF">
        <w:rPr>
          <w:i/>
        </w:rPr>
        <w:t>shall be established</w:t>
      </w:r>
      <w:proofErr w:type="gramEnd"/>
      <w:r w:rsidRPr="006F3CCF">
        <w:rPr>
          <w:i/>
        </w:rPr>
        <w:t xml:space="preserve"> before tanks are filled or emptied. </w:t>
      </w:r>
      <w:r w:rsidR="006F3CCF" w:rsidRPr="006F3CCF">
        <w:rPr>
          <w:i/>
        </w:rPr>
        <w:t>According to our understanding, t</w:t>
      </w:r>
      <w:r w:rsidRPr="006F3CCF">
        <w:rPr>
          <w:i/>
        </w:rPr>
        <w:t xml:space="preserve">his </w:t>
      </w:r>
      <w:proofErr w:type="gramStart"/>
      <w:r w:rsidRPr="006F3CCF">
        <w:rPr>
          <w:i/>
        </w:rPr>
        <w:t>could be done</w:t>
      </w:r>
      <w:proofErr w:type="gramEnd"/>
      <w:r w:rsidR="00671F98">
        <w:rPr>
          <w:i/>
        </w:rPr>
        <w:t xml:space="preserve"> either</w:t>
      </w:r>
      <w:r w:rsidR="006F3CCF" w:rsidRPr="006F3CCF">
        <w:rPr>
          <w:i/>
        </w:rPr>
        <w:t>:</w:t>
      </w:r>
    </w:p>
    <w:p w:rsidR="000D7449" w:rsidRDefault="006F3CCF" w:rsidP="000D7449">
      <w:pPr>
        <w:spacing w:before="120" w:after="120"/>
        <w:ind w:left="1701" w:right="1134"/>
        <w:jc w:val="both"/>
        <w:rPr>
          <w:i/>
        </w:rPr>
      </w:pPr>
      <w:r w:rsidRPr="006F3CCF">
        <w:rPr>
          <w:i/>
        </w:rPr>
        <w:t>a)</w:t>
      </w:r>
      <w:r>
        <w:rPr>
          <w:i/>
        </w:rPr>
        <w:tab/>
      </w:r>
      <w:proofErr w:type="gramStart"/>
      <w:r w:rsidR="000375AD" w:rsidRPr="006F3CCF">
        <w:rPr>
          <w:i/>
        </w:rPr>
        <w:t>by</w:t>
      </w:r>
      <w:proofErr w:type="gramEnd"/>
      <w:r w:rsidR="000375AD" w:rsidRPr="006F3CCF">
        <w:rPr>
          <w:i/>
        </w:rPr>
        <w:t xml:space="preserve"> a direct connection to earth from the vehicle/tank, or </w:t>
      </w:r>
    </w:p>
    <w:p w:rsidR="000D7449" w:rsidRDefault="000D7449" w:rsidP="000D7449">
      <w:pPr>
        <w:spacing w:before="120" w:after="120"/>
        <w:ind w:left="1701" w:right="1134"/>
        <w:jc w:val="both"/>
        <w:rPr>
          <w:i/>
        </w:rPr>
      </w:pPr>
      <w:r>
        <w:rPr>
          <w:i/>
        </w:rPr>
        <w:t>b)</w:t>
      </w:r>
      <w:r w:rsidR="006F3CCF">
        <w:rPr>
          <w:i/>
        </w:rPr>
        <w:tab/>
      </w:r>
      <w:proofErr w:type="gramStart"/>
      <w:r w:rsidR="006F3CCF" w:rsidRPr="006F3CCF">
        <w:rPr>
          <w:i/>
        </w:rPr>
        <w:t>by</w:t>
      </w:r>
      <w:proofErr w:type="gramEnd"/>
      <w:r w:rsidR="006F3CCF" w:rsidRPr="006F3CCF">
        <w:rPr>
          <w:i/>
        </w:rPr>
        <w:t xml:space="preserve"> connecting the vehicle/tank to a </w:t>
      </w:r>
      <w:r w:rsidR="006F3CCF">
        <w:rPr>
          <w:i/>
        </w:rPr>
        <w:tab/>
      </w:r>
      <w:r w:rsidR="006F3CCF" w:rsidRPr="006F3CCF">
        <w:rPr>
          <w:i/>
        </w:rPr>
        <w:t>receiving tank that is earthed.</w:t>
      </w:r>
    </w:p>
    <w:p w:rsidR="000375AD" w:rsidRDefault="000D7449" w:rsidP="000D7449">
      <w:pPr>
        <w:spacing w:before="120" w:after="120"/>
        <w:ind w:left="1134" w:right="1134"/>
        <w:jc w:val="both"/>
        <w:rPr>
          <w:i/>
        </w:rPr>
      </w:pPr>
      <w:r>
        <w:rPr>
          <w:i/>
        </w:rPr>
        <w:tab/>
        <w:t>2.</w:t>
      </w:r>
      <w:r>
        <w:rPr>
          <w:i/>
        </w:rPr>
        <w:tab/>
      </w:r>
      <w:r w:rsidR="000375AD">
        <w:rPr>
          <w:i/>
        </w:rPr>
        <w:t>In 9.7.4 and 9.8.3, the headlines refer to earthing of FL-vehicles and earthing of MEMU</w:t>
      </w:r>
      <w:proofErr w:type="gramStart"/>
      <w:r w:rsidR="000375AD">
        <w:rPr>
          <w:i/>
        </w:rPr>
        <w:t>:s</w:t>
      </w:r>
      <w:proofErr w:type="gramEnd"/>
      <w:r w:rsidR="000375AD">
        <w:rPr>
          <w:i/>
        </w:rPr>
        <w:t xml:space="preserve">. To our </w:t>
      </w:r>
      <w:bookmarkStart w:id="0" w:name="_GoBack"/>
      <w:bookmarkEnd w:id="0"/>
      <w:r w:rsidR="000375AD">
        <w:rPr>
          <w:i/>
        </w:rPr>
        <w:t>understanding</w:t>
      </w:r>
      <w:r w:rsidR="0019451E">
        <w:rPr>
          <w:i/>
        </w:rPr>
        <w:t>,</w:t>
      </w:r>
      <w:r w:rsidR="000375AD">
        <w:rPr>
          <w:i/>
        </w:rPr>
        <w:t xml:space="preserve"> it seems both sections should rather refer to “bonding”. </w:t>
      </w:r>
    </w:p>
    <w:p w:rsidR="000D7449" w:rsidRDefault="00661C95" w:rsidP="000D7449">
      <w:pPr>
        <w:spacing w:before="120" w:after="120"/>
        <w:ind w:left="1134" w:right="1134"/>
        <w:jc w:val="both"/>
        <w:rPr>
          <w:i/>
        </w:rPr>
      </w:pPr>
      <w:r>
        <w:t>Depending on the outcome, Sweden might come back with a</w:t>
      </w:r>
      <w:r w:rsidR="00671F98">
        <w:t>n offic</w:t>
      </w:r>
      <w:r w:rsidR="00085917">
        <w:t>i</w:t>
      </w:r>
      <w:r w:rsidR="00671F98">
        <w:t>al</w:t>
      </w:r>
      <w:r>
        <w:t xml:space="preserve"> proposal to clarify the text.</w:t>
      </w:r>
    </w:p>
    <w:p w:rsidR="001B08A2" w:rsidRPr="0066005F" w:rsidRDefault="00291E09" w:rsidP="000375AD">
      <w:pPr>
        <w:jc w:val="center"/>
        <w:rPr>
          <w:lang w:val="sv-SE"/>
        </w:rPr>
      </w:pPr>
      <w:r w:rsidRPr="0066005F">
        <w:rPr>
          <w:lang w:val="sv-SE"/>
        </w:rPr>
        <w:br w:type="page"/>
      </w:r>
    </w:p>
    <w:p w:rsidR="002221AA" w:rsidRPr="0097110C" w:rsidRDefault="0097110C" w:rsidP="000D7449">
      <w:pPr>
        <w:pStyle w:val="HChG"/>
      </w:pPr>
      <w:r w:rsidRPr="0097110C">
        <w:t>Annex</w:t>
      </w:r>
    </w:p>
    <w:p w:rsidR="0097110C" w:rsidRPr="0097110C" w:rsidRDefault="0097110C" w:rsidP="000D7449">
      <w:pPr>
        <w:spacing w:before="120" w:after="120"/>
        <w:rPr>
          <w:b/>
        </w:rPr>
      </w:pPr>
      <w:r w:rsidRPr="0097110C">
        <w:rPr>
          <w:b/>
        </w:rPr>
        <w:t>Extracts from ADR:</w:t>
      </w:r>
    </w:p>
    <w:p w:rsidR="00C3410A" w:rsidRPr="00742BA5" w:rsidRDefault="00C3410A" w:rsidP="000D7449">
      <w:pPr>
        <w:pStyle w:val="Heading3"/>
        <w:tabs>
          <w:tab w:val="left" w:pos="1418"/>
        </w:tabs>
        <w:spacing w:before="120" w:after="120"/>
        <w:ind w:right="1134"/>
        <w:jc w:val="both"/>
      </w:pPr>
      <w:r w:rsidRPr="00742BA5">
        <w:t>7.5.10</w:t>
      </w:r>
      <w:r w:rsidRPr="00742BA5">
        <w:tab/>
      </w:r>
      <w:r w:rsidRPr="00C3410A">
        <w:rPr>
          <w:b/>
        </w:rPr>
        <w:t>Precautions against electrostatic charges</w:t>
      </w:r>
    </w:p>
    <w:p w:rsidR="00C3410A" w:rsidRPr="00742BA5" w:rsidRDefault="00C3410A" w:rsidP="000D7449">
      <w:pPr>
        <w:tabs>
          <w:tab w:val="left" w:pos="-416"/>
          <w:tab w:val="left" w:pos="1700"/>
          <w:tab w:val="left" w:pos="2244"/>
          <w:tab w:val="left" w:pos="2834"/>
          <w:tab w:val="left" w:pos="3378"/>
          <w:tab w:val="left" w:pos="3945"/>
          <w:tab w:val="left" w:pos="4536"/>
          <w:tab w:val="left" w:pos="5040"/>
          <w:tab w:val="left" w:pos="5544"/>
          <w:tab w:val="left" w:pos="6048"/>
          <w:tab w:val="left" w:pos="6552"/>
          <w:tab w:val="left" w:pos="7056"/>
          <w:tab w:val="left" w:pos="7560"/>
          <w:tab w:val="left" w:pos="8064"/>
          <w:tab w:val="left" w:pos="8568"/>
          <w:tab w:val="left" w:pos="9072"/>
          <w:tab w:val="left" w:pos="9576"/>
          <w:tab w:val="left" w:pos="10147"/>
        </w:tabs>
        <w:spacing w:before="120" w:after="120"/>
        <w:ind w:left="1418" w:right="1134" w:hanging="1418"/>
        <w:jc w:val="both"/>
      </w:pPr>
      <w:r w:rsidRPr="00742BA5">
        <w:tab/>
        <w:t xml:space="preserve">In the case of flammable gases, or liquids with a </w:t>
      </w:r>
      <w:proofErr w:type="gramStart"/>
      <w:r w:rsidRPr="00742BA5">
        <w:t>flash-point</w:t>
      </w:r>
      <w:proofErr w:type="gramEnd"/>
      <w:r w:rsidRPr="00742BA5">
        <w:t xml:space="preserve"> of 60 °C or below, or UN No. 1361, carbon or carbon black, packing group II, a good electrical connection from the chassis of the vehicle, the portable tank or the tank-container to earth shall be established before tanks are filled or emptied. In addition, the rate of filling shall be limited.</w:t>
      </w:r>
    </w:p>
    <w:p w:rsidR="00C3410A" w:rsidRPr="008005AC" w:rsidRDefault="00C3410A" w:rsidP="000D7449">
      <w:pPr>
        <w:pStyle w:val="Heading3"/>
        <w:tabs>
          <w:tab w:val="left" w:pos="1418"/>
        </w:tabs>
        <w:spacing w:before="120" w:after="120"/>
        <w:ind w:right="1134"/>
        <w:jc w:val="both"/>
      </w:pPr>
      <w:r w:rsidRPr="008005AC">
        <w:t>9.7.4</w:t>
      </w:r>
      <w:r w:rsidRPr="008005AC">
        <w:tab/>
      </w:r>
      <w:proofErr w:type="spellStart"/>
      <w:r w:rsidRPr="00C3410A">
        <w:rPr>
          <w:b/>
        </w:rPr>
        <w:t>Earthing</w:t>
      </w:r>
      <w:proofErr w:type="spellEnd"/>
      <w:r w:rsidRPr="00C3410A">
        <w:rPr>
          <w:b/>
        </w:rPr>
        <w:t xml:space="preserve"> of FL vehicles</w:t>
      </w:r>
    </w:p>
    <w:p w:rsidR="00C3410A" w:rsidRPr="00041B7F" w:rsidRDefault="00C3410A" w:rsidP="000D7449">
      <w:pPr>
        <w:spacing w:before="120" w:after="120"/>
        <w:ind w:left="1418" w:right="1134" w:hanging="1418"/>
        <w:jc w:val="both"/>
      </w:pPr>
      <w:r w:rsidRPr="00041B7F">
        <w:tab/>
        <w:t xml:space="preserve">Tanks made of metal or of </w:t>
      </w:r>
      <w:proofErr w:type="spellStart"/>
      <w:proofErr w:type="gramStart"/>
      <w:r w:rsidRPr="00041B7F">
        <w:t>fibre­reinforced</w:t>
      </w:r>
      <w:proofErr w:type="spellEnd"/>
      <w:proofErr w:type="gramEnd"/>
      <w:r w:rsidRPr="00041B7F">
        <w:t xml:space="preserve"> plastics material of FL tank-vehicles and battery elements of FL </w:t>
      </w:r>
      <w:proofErr w:type="spellStart"/>
      <w:r w:rsidRPr="00041B7F">
        <w:t>battery­vehicles</w:t>
      </w:r>
      <w:proofErr w:type="spellEnd"/>
      <w:r w:rsidRPr="00041B7F">
        <w:t xml:space="preserve"> shall be linked to the chassis by means of at least one good electrical connection. Any metal contact capable of causing electrochemical corrosion </w:t>
      </w:r>
      <w:proofErr w:type="gramStart"/>
      <w:r w:rsidRPr="00041B7F">
        <w:t>shall be avoided</w:t>
      </w:r>
      <w:proofErr w:type="gramEnd"/>
      <w:r w:rsidRPr="00041B7F">
        <w:t xml:space="preserve">. </w:t>
      </w:r>
    </w:p>
    <w:p w:rsidR="00C3410A" w:rsidRPr="00041B7F" w:rsidRDefault="00C3410A" w:rsidP="000D7449">
      <w:pPr>
        <w:tabs>
          <w:tab w:val="left" w:pos="-1227"/>
          <w:tab w:val="left" w:pos="-72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18" w:right="1134" w:hanging="1418"/>
        <w:jc w:val="both"/>
        <w:rPr>
          <w:i/>
        </w:rPr>
      </w:pPr>
      <w:r w:rsidRPr="00041B7F">
        <w:rPr>
          <w:b/>
          <w:i/>
        </w:rPr>
        <w:tab/>
        <w:t>NOTE:</w:t>
      </w:r>
      <w:r w:rsidRPr="00041B7F">
        <w:rPr>
          <w:i/>
        </w:rPr>
        <w:t xml:space="preserve"> See also 6.9.1.2 and 6.9.2.14.3.</w:t>
      </w:r>
    </w:p>
    <w:p w:rsidR="00C3410A" w:rsidRPr="00967A13" w:rsidRDefault="00C3410A" w:rsidP="000D7449">
      <w:pPr>
        <w:pStyle w:val="Heading3"/>
        <w:tabs>
          <w:tab w:val="left" w:pos="1418"/>
        </w:tabs>
        <w:spacing w:before="120" w:after="120"/>
        <w:ind w:right="1134"/>
        <w:jc w:val="both"/>
      </w:pPr>
      <w:r w:rsidRPr="00967A13">
        <w:t>9.8.3</w:t>
      </w:r>
      <w:r w:rsidRPr="00967A13">
        <w:tab/>
      </w:r>
      <w:proofErr w:type="spellStart"/>
      <w:r w:rsidRPr="00C3410A">
        <w:rPr>
          <w:b/>
        </w:rPr>
        <w:t>Earthing</w:t>
      </w:r>
      <w:proofErr w:type="spellEnd"/>
      <w:r w:rsidRPr="00C3410A">
        <w:rPr>
          <w:b/>
        </w:rPr>
        <w:t xml:space="preserve"> of MEMUs</w:t>
      </w:r>
      <w:r w:rsidRPr="00967A13">
        <w:t xml:space="preserve"> </w:t>
      </w:r>
    </w:p>
    <w:p w:rsidR="00C3410A" w:rsidRPr="00041B7F" w:rsidRDefault="00C3410A" w:rsidP="000D7449">
      <w:pPr>
        <w:spacing w:before="120" w:after="120"/>
        <w:ind w:left="1418" w:right="1134"/>
        <w:jc w:val="both"/>
      </w:pPr>
      <w:r w:rsidRPr="00041B7F">
        <w:t xml:space="preserve">Tanks, bulk containers and special compartments for packages of explosives made of metal or of </w:t>
      </w:r>
      <w:proofErr w:type="spellStart"/>
      <w:r w:rsidRPr="00041B7F">
        <w:t>fibre­reinforced</w:t>
      </w:r>
      <w:proofErr w:type="spellEnd"/>
      <w:r w:rsidRPr="00041B7F">
        <w:t xml:space="preserve"> plastics material </w:t>
      </w:r>
      <w:proofErr w:type="gramStart"/>
      <w:r w:rsidRPr="00041B7F">
        <w:t>shall be linked</w:t>
      </w:r>
      <w:proofErr w:type="gramEnd"/>
      <w:r w:rsidRPr="00041B7F">
        <w:t xml:space="preserve"> to the chassis by means of at least one good electrical connection. Any metal contact capable of causing electro-chemical corrosion or reacting with the dangerous goods carried in the tanks and bulk containers </w:t>
      </w:r>
      <w:proofErr w:type="gramStart"/>
      <w:r w:rsidRPr="00041B7F">
        <w:t>shall be avoided</w:t>
      </w:r>
      <w:proofErr w:type="gramEnd"/>
      <w:r w:rsidRPr="00041B7F">
        <w:t>.</w:t>
      </w:r>
    </w:p>
    <w:p w:rsidR="00291E09" w:rsidRPr="00291E09" w:rsidRDefault="00291E09" w:rsidP="000D7449">
      <w:pPr>
        <w:spacing w:before="120" w:after="120"/>
        <w:rPr>
          <w:b/>
        </w:rPr>
      </w:pPr>
      <w:r w:rsidRPr="00291E09">
        <w:rPr>
          <w:b/>
          <w:noProof/>
          <w:lang w:val="sv-SE" w:eastAsia="sv-SE"/>
        </w:rPr>
        <w:t xml:space="preserve">Extract from </w:t>
      </w:r>
      <w:r w:rsidRPr="00291E09">
        <w:rPr>
          <w:b/>
        </w:rPr>
        <w:t>IEC/TS 60079-32-1</w:t>
      </w:r>
      <w:r>
        <w:rPr>
          <w:b/>
        </w:rPr>
        <w:t>:</w:t>
      </w:r>
    </w:p>
    <w:p w:rsidR="00291E09" w:rsidRDefault="00291E09" w:rsidP="00291E09">
      <w:pPr>
        <w:rPr>
          <w:noProof/>
          <w:lang w:val="sv-SE" w:eastAsia="sv-SE"/>
        </w:rPr>
      </w:pPr>
    </w:p>
    <w:p w:rsidR="00291E09" w:rsidRDefault="007418F1" w:rsidP="00291E09">
      <w:pPr>
        <w:ind w:left="1843"/>
        <w:rPr>
          <w:noProof/>
          <w:lang w:val="sv-SE" w:eastAsia="sv-SE"/>
        </w:rPr>
      </w:pPr>
      <w:r w:rsidRPr="003915D3">
        <w:rPr>
          <w:noProof/>
          <w:lang w:val="en-US"/>
        </w:rPr>
        <w:drawing>
          <wp:inline distT="0" distB="0" distL="0" distR="0">
            <wp:extent cx="3181350" cy="29241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2924175"/>
                    </a:xfrm>
                    <a:prstGeom prst="rect">
                      <a:avLst/>
                    </a:prstGeom>
                    <a:noFill/>
                    <a:ln>
                      <a:noFill/>
                    </a:ln>
                  </pic:spPr>
                </pic:pic>
              </a:graphicData>
            </a:graphic>
          </wp:inline>
        </w:drawing>
      </w:r>
    </w:p>
    <w:p w:rsidR="00291E09" w:rsidRDefault="00291E09" w:rsidP="00D91A8D"/>
    <w:p w:rsidR="002221AA" w:rsidRDefault="002221AA" w:rsidP="002221AA">
      <w:pPr>
        <w:jc w:val="center"/>
      </w:pPr>
      <w:r>
        <w:t>_____________________</w:t>
      </w:r>
    </w:p>
    <w:sectPr w:rsidR="002221AA" w:rsidSect="00AC36B7">
      <w:headerReference w:type="even" r:id="rId9"/>
      <w:headerReference w:type="default" r:id="rId10"/>
      <w:footerReference w:type="even" r:id="rId11"/>
      <w:footerReference w:type="default" r:id="rId12"/>
      <w:footnotePr>
        <w:numStart w:val="2"/>
      </w:footnotePr>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09" w:rsidRDefault="00BC7D09"/>
  </w:endnote>
  <w:endnote w:type="continuationSeparator" w:id="0">
    <w:p w:rsidR="00BC7D09" w:rsidRDefault="00BC7D09"/>
  </w:endnote>
  <w:endnote w:type="continuationNotice" w:id="1">
    <w:p w:rsidR="00BC7D09" w:rsidRDefault="00BC7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FF" w:rsidRPr="009D2A5B" w:rsidRDefault="00CC24B7" w:rsidP="009D2A5B">
    <w:pPr>
      <w:pStyle w:val="Footer"/>
      <w:tabs>
        <w:tab w:val="right" w:pos="9598"/>
      </w:tabs>
    </w:pPr>
    <w:r w:rsidRPr="009D2A5B">
      <w:rPr>
        <w:b/>
        <w:sz w:val="18"/>
      </w:rPr>
      <w:fldChar w:fldCharType="begin"/>
    </w:r>
    <w:r w:rsidR="008C7AFF" w:rsidRPr="009D2A5B">
      <w:rPr>
        <w:b/>
        <w:sz w:val="18"/>
      </w:rPr>
      <w:instrText xml:space="preserve"> PAGE  \* MERGEFORMAT </w:instrText>
    </w:r>
    <w:r w:rsidRPr="009D2A5B">
      <w:rPr>
        <w:b/>
        <w:sz w:val="18"/>
      </w:rPr>
      <w:fldChar w:fldCharType="separate"/>
    </w:r>
    <w:r w:rsidR="005659C3">
      <w:rPr>
        <w:b/>
        <w:noProof/>
        <w:sz w:val="18"/>
      </w:rPr>
      <w:t>2</w:t>
    </w:r>
    <w:r w:rsidRPr="009D2A5B">
      <w:rPr>
        <w:b/>
        <w:sz w:val="18"/>
      </w:rPr>
      <w:fldChar w:fldCharType="end"/>
    </w:r>
    <w:r w:rsidR="008C7AFF">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FF" w:rsidRPr="009D2A5B" w:rsidRDefault="008C7AFF" w:rsidP="009D2A5B">
    <w:pPr>
      <w:pStyle w:val="Footer"/>
      <w:tabs>
        <w:tab w:val="right" w:pos="9598"/>
      </w:tabs>
      <w:rPr>
        <w:b/>
        <w:sz w:val="18"/>
      </w:rPr>
    </w:pPr>
    <w:r>
      <w:tab/>
    </w:r>
    <w:r w:rsidR="00CC24B7" w:rsidRPr="009D2A5B">
      <w:rPr>
        <w:b/>
        <w:sz w:val="18"/>
      </w:rPr>
      <w:fldChar w:fldCharType="begin"/>
    </w:r>
    <w:r w:rsidRPr="009D2A5B">
      <w:rPr>
        <w:b/>
        <w:sz w:val="18"/>
      </w:rPr>
      <w:instrText xml:space="preserve"> PAGE  \* MERGEFORMAT </w:instrText>
    </w:r>
    <w:r w:rsidR="00CC24B7" w:rsidRPr="009D2A5B">
      <w:rPr>
        <w:b/>
        <w:sz w:val="18"/>
      </w:rPr>
      <w:fldChar w:fldCharType="separate"/>
    </w:r>
    <w:r w:rsidR="000D7449">
      <w:rPr>
        <w:b/>
        <w:noProof/>
        <w:sz w:val="18"/>
      </w:rPr>
      <w:t>3</w:t>
    </w:r>
    <w:r w:rsidR="00CC24B7" w:rsidRPr="009D2A5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09" w:rsidRPr="000B175B" w:rsidRDefault="00BC7D09" w:rsidP="000B175B">
      <w:pPr>
        <w:tabs>
          <w:tab w:val="right" w:pos="2155"/>
        </w:tabs>
        <w:spacing w:after="80"/>
        <w:ind w:left="680"/>
        <w:rPr>
          <w:u w:val="single"/>
        </w:rPr>
      </w:pPr>
      <w:r>
        <w:rPr>
          <w:u w:val="single"/>
        </w:rPr>
        <w:tab/>
      </w:r>
    </w:p>
  </w:footnote>
  <w:footnote w:type="continuationSeparator" w:id="0">
    <w:p w:rsidR="00BC7D09" w:rsidRPr="00FC68B7" w:rsidRDefault="00BC7D09" w:rsidP="00FC68B7">
      <w:pPr>
        <w:tabs>
          <w:tab w:val="left" w:pos="2155"/>
        </w:tabs>
        <w:spacing w:after="80"/>
        <w:ind w:left="680"/>
        <w:rPr>
          <w:u w:val="single"/>
        </w:rPr>
      </w:pPr>
      <w:r>
        <w:rPr>
          <w:u w:val="single"/>
        </w:rPr>
        <w:tab/>
      </w:r>
    </w:p>
  </w:footnote>
  <w:footnote w:type="continuationNotice" w:id="1">
    <w:p w:rsidR="00BC7D09" w:rsidRDefault="00BC7D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FF" w:rsidRPr="00FA7F6B" w:rsidRDefault="008C7AFF" w:rsidP="009D2A5B">
    <w:pPr>
      <w:pStyle w:val="Header"/>
      <w:rPr>
        <w:szCs w:val="18"/>
        <w:lang w:val="fr-CH"/>
      </w:rPr>
    </w:pPr>
    <w:r w:rsidRPr="00FA7F6B">
      <w:rPr>
        <w:szCs w:val="18"/>
        <w:lang w:val="fr-CH"/>
      </w:rPr>
      <w:t>INF.</w:t>
    </w:r>
    <w:r w:rsidR="000D7449">
      <w:rPr>
        <w:szCs w:val="18"/>
        <w:lang w:val="fr-CH"/>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FF" w:rsidRPr="00CD57D2" w:rsidRDefault="008C7AFF" w:rsidP="009D2A5B">
    <w:pPr>
      <w:pStyle w:val="Header"/>
      <w:jc w:val="right"/>
      <w:rPr>
        <w:lang w:val="fr-CH"/>
      </w:rPr>
    </w:pPr>
    <w:r>
      <w:rPr>
        <w:lang w:val="fr-CH"/>
      </w:rPr>
      <w:t>INF.</w:t>
    </w:r>
    <w:r w:rsidR="000D7449">
      <w:rPr>
        <w:lang w:val="fr-CH"/>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85496"/>
    <w:multiLevelType w:val="hybridMultilevel"/>
    <w:tmpl w:val="C04245A0"/>
    <w:lvl w:ilvl="0" w:tplc="04070001">
      <w:start w:val="1"/>
      <w:numFmt w:val="bullet"/>
      <w:lvlText w:val=""/>
      <w:lvlJc w:val="left"/>
      <w:pPr>
        <w:ind w:left="1494" w:hanging="360"/>
      </w:pPr>
      <w:rPr>
        <w:rFonts w:ascii="Symbol" w:hAnsi="Symbol" w:hint="default"/>
      </w:rPr>
    </w:lvl>
    <w:lvl w:ilvl="1" w:tplc="04070003">
      <w:start w:val="1"/>
      <w:numFmt w:val="bullet"/>
      <w:lvlText w:val="o"/>
      <w:lvlJc w:val="left"/>
      <w:pPr>
        <w:ind w:left="2214" w:hanging="360"/>
      </w:pPr>
      <w:rPr>
        <w:rFonts w:ascii="Courier New" w:hAnsi="Courier New" w:cs="Courier New" w:hint="default"/>
      </w:rPr>
    </w:lvl>
    <w:lvl w:ilvl="2" w:tplc="04070005">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6" w15:restartNumberingAfterBreak="0">
    <w:nsid w:val="48011DD7"/>
    <w:multiLevelType w:val="multilevel"/>
    <w:tmpl w:val="0409001D"/>
    <w:numStyleLink w:val="1ai"/>
  </w:abstractNum>
  <w:abstractNum w:abstractNumId="17" w15:restartNumberingAfterBreak="0">
    <w:nsid w:val="4D7F4507"/>
    <w:multiLevelType w:val="hybridMultilevel"/>
    <w:tmpl w:val="D55CBCD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205E84"/>
    <w:multiLevelType w:val="hybridMultilevel"/>
    <w:tmpl w:val="A844B41C"/>
    <w:lvl w:ilvl="0" w:tplc="041D000F">
      <w:start w:val="1"/>
      <w:numFmt w:val="decimal"/>
      <w:lvlText w:val="%1."/>
      <w:lvlJc w:val="left"/>
      <w:pPr>
        <w:ind w:left="2771" w:hanging="360"/>
      </w:pPr>
    </w:lvl>
    <w:lvl w:ilvl="1" w:tplc="041D0019" w:tentative="1">
      <w:start w:val="1"/>
      <w:numFmt w:val="lowerLetter"/>
      <w:lvlText w:val="%2."/>
      <w:lvlJc w:val="left"/>
      <w:pPr>
        <w:ind w:left="3491" w:hanging="360"/>
      </w:pPr>
    </w:lvl>
    <w:lvl w:ilvl="2" w:tplc="041D001B" w:tentative="1">
      <w:start w:val="1"/>
      <w:numFmt w:val="lowerRoman"/>
      <w:lvlText w:val="%3."/>
      <w:lvlJc w:val="right"/>
      <w:pPr>
        <w:ind w:left="4211" w:hanging="180"/>
      </w:pPr>
    </w:lvl>
    <w:lvl w:ilvl="3" w:tplc="041D000F" w:tentative="1">
      <w:start w:val="1"/>
      <w:numFmt w:val="decimal"/>
      <w:lvlText w:val="%4."/>
      <w:lvlJc w:val="left"/>
      <w:pPr>
        <w:ind w:left="4931" w:hanging="360"/>
      </w:pPr>
    </w:lvl>
    <w:lvl w:ilvl="4" w:tplc="041D0019" w:tentative="1">
      <w:start w:val="1"/>
      <w:numFmt w:val="lowerLetter"/>
      <w:lvlText w:val="%5."/>
      <w:lvlJc w:val="left"/>
      <w:pPr>
        <w:ind w:left="5651" w:hanging="360"/>
      </w:pPr>
    </w:lvl>
    <w:lvl w:ilvl="5" w:tplc="041D001B" w:tentative="1">
      <w:start w:val="1"/>
      <w:numFmt w:val="lowerRoman"/>
      <w:lvlText w:val="%6."/>
      <w:lvlJc w:val="right"/>
      <w:pPr>
        <w:ind w:left="6371" w:hanging="180"/>
      </w:pPr>
    </w:lvl>
    <w:lvl w:ilvl="6" w:tplc="041D000F" w:tentative="1">
      <w:start w:val="1"/>
      <w:numFmt w:val="decimal"/>
      <w:lvlText w:val="%7."/>
      <w:lvlJc w:val="left"/>
      <w:pPr>
        <w:ind w:left="7091" w:hanging="360"/>
      </w:pPr>
    </w:lvl>
    <w:lvl w:ilvl="7" w:tplc="041D0019" w:tentative="1">
      <w:start w:val="1"/>
      <w:numFmt w:val="lowerLetter"/>
      <w:lvlText w:val="%8."/>
      <w:lvlJc w:val="left"/>
      <w:pPr>
        <w:ind w:left="7811" w:hanging="360"/>
      </w:pPr>
    </w:lvl>
    <w:lvl w:ilvl="8" w:tplc="041D001B" w:tentative="1">
      <w:start w:val="1"/>
      <w:numFmt w:val="lowerRoman"/>
      <w:lvlText w:val="%9."/>
      <w:lvlJc w:val="right"/>
      <w:pPr>
        <w:ind w:left="8531" w:hanging="180"/>
      </w:pPr>
    </w:lvl>
  </w:abstractNum>
  <w:abstractNum w:abstractNumId="21" w15:restartNumberingAfterBreak="0">
    <w:nsid w:val="78BC0620"/>
    <w:multiLevelType w:val="hybridMultilevel"/>
    <w:tmpl w:val="FCC49FA0"/>
    <w:lvl w:ilvl="0" w:tplc="829294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0"/>
  </w:num>
  <w:num w:numId="14">
    <w:abstractNumId w:val="18"/>
  </w:num>
  <w:num w:numId="15">
    <w:abstractNumId w:val="12"/>
  </w:num>
  <w:num w:numId="16">
    <w:abstractNumId w:val="11"/>
  </w:num>
  <w:num w:numId="17">
    <w:abstractNumId w:val="21"/>
  </w:num>
  <w:num w:numId="18">
    <w:abstractNumId w:val="19"/>
  </w:num>
  <w:num w:numId="19">
    <w:abstractNumId w:val="15"/>
  </w:num>
  <w:num w:numId="20">
    <w:abstractNumId w:val="17"/>
  </w:num>
  <w:num w:numId="21">
    <w:abstractNumId w:val="20"/>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de-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numStart w:val="2"/>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51"/>
    <w:rsid w:val="000035B8"/>
    <w:rsid w:val="00013E97"/>
    <w:rsid w:val="000149A1"/>
    <w:rsid w:val="000218B5"/>
    <w:rsid w:val="000260EE"/>
    <w:rsid w:val="000375AD"/>
    <w:rsid w:val="00037F90"/>
    <w:rsid w:val="00046B0A"/>
    <w:rsid w:val="00046B1F"/>
    <w:rsid w:val="000470B0"/>
    <w:rsid w:val="00047EB7"/>
    <w:rsid w:val="00050F6B"/>
    <w:rsid w:val="00057E97"/>
    <w:rsid w:val="00061528"/>
    <w:rsid w:val="0006361C"/>
    <w:rsid w:val="00067232"/>
    <w:rsid w:val="00072C8C"/>
    <w:rsid w:val="000733B5"/>
    <w:rsid w:val="00081815"/>
    <w:rsid w:val="0008342E"/>
    <w:rsid w:val="00085917"/>
    <w:rsid w:val="00091557"/>
    <w:rsid w:val="000931C0"/>
    <w:rsid w:val="00093840"/>
    <w:rsid w:val="00096262"/>
    <w:rsid w:val="0009761A"/>
    <w:rsid w:val="000A0FD0"/>
    <w:rsid w:val="000A1785"/>
    <w:rsid w:val="000A3752"/>
    <w:rsid w:val="000A58D8"/>
    <w:rsid w:val="000A5CF8"/>
    <w:rsid w:val="000A77BB"/>
    <w:rsid w:val="000B0595"/>
    <w:rsid w:val="000B175B"/>
    <w:rsid w:val="000B3A0F"/>
    <w:rsid w:val="000B4EF7"/>
    <w:rsid w:val="000B633F"/>
    <w:rsid w:val="000B7AA1"/>
    <w:rsid w:val="000B7EDC"/>
    <w:rsid w:val="000C125A"/>
    <w:rsid w:val="000C2C03"/>
    <w:rsid w:val="000C2D2E"/>
    <w:rsid w:val="000C3305"/>
    <w:rsid w:val="000C4D51"/>
    <w:rsid w:val="000C7F79"/>
    <w:rsid w:val="000D1E89"/>
    <w:rsid w:val="000D3D97"/>
    <w:rsid w:val="000D7449"/>
    <w:rsid w:val="000E0415"/>
    <w:rsid w:val="000E5C70"/>
    <w:rsid w:val="000E6237"/>
    <w:rsid w:val="00101DB8"/>
    <w:rsid w:val="00103CC1"/>
    <w:rsid w:val="00104CDA"/>
    <w:rsid w:val="001103AA"/>
    <w:rsid w:val="0011119B"/>
    <w:rsid w:val="0011666B"/>
    <w:rsid w:val="0012118B"/>
    <w:rsid w:val="001211F5"/>
    <w:rsid w:val="001362A8"/>
    <w:rsid w:val="00141383"/>
    <w:rsid w:val="00142AB2"/>
    <w:rsid w:val="00154657"/>
    <w:rsid w:val="00155068"/>
    <w:rsid w:val="001644E3"/>
    <w:rsid w:val="00165F3A"/>
    <w:rsid w:val="00177CE8"/>
    <w:rsid w:val="0018210E"/>
    <w:rsid w:val="00186D7B"/>
    <w:rsid w:val="00193CA7"/>
    <w:rsid w:val="0019451E"/>
    <w:rsid w:val="001A1DCF"/>
    <w:rsid w:val="001A6E55"/>
    <w:rsid w:val="001B08A2"/>
    <w:rsid w:val="001B13A5"/>
    <w:rsid w:val="001B4B04"/>
    <w:rsid w:val="001C03F9"/>
    <w:rsid w:val="001C0917"/>
    <w:rsid w:val="001C5A58"/>
    <w:rsid w:val="001C6663"/>
    <w:rsid w:val="001C7895"/>
    <w:rsid w:val="001D0C8C"/>
    <w:rsid w:val="001D1419"/>
    <w:rsid w:val="001D26DF"/>
    <w:rsid w:val="001D3A03"/>
    <w:rsid w:val="001E0B9E"/>
    <w:rsid w:val="001E29E7"/>
    <w:rsid w:val="001E5415"/>
    <w:rsid w:val="001E7451"/>
    <w:rsid w:val="001E7B67"/>
    <w:rsid w:val="001F679D"/>
    <w:rsid w:val="001F7435"/>
    <w:rsid w:val="00202DA8"/>
    <w:rsid w:val="0021157B"/>
    <w:rsid w:val="00211E0B"/>
    <w:rsid w:val="002221AA"/>
    <w:rsid w:val="0022321E"/>
    <w:rsid w:val="00225730"/>
    <w:rsid w:val="00233955"/>
    <w:rsid w:val="0023539C"/>
    <w:rsid w:val="00236A96"/>
    <w:rsid w:val="0023771B"/>
    <w:rsid w:val="0024023A"/>
    <w:rsid w:val="00243217"/>
    <w:rsid w:val="00246DAC"/>
    <w:rsid w:val="00247BDC"/>
    <w:rsid w:val="00250A58"/>
    <w:rsid w:val="00252290"/>
    <w:rsid w:val="00252EEE"/>
    <w:rsid w:val="00267F5F"/>
    <w:rsid w:val="00280A1D"/>
    <w:rsid w:val="00284DBC"/>
    <w:rsid w:val="00286343"/>
    <w:rsid w:val="00286B4D"/>
    <w:rsid w:val="00291E09"/>
    <w:rsid w:val="002A0CC5"/>
    <w:rsid w:val="002A3C85"/>
    <w:rsid w:val="002A603B"/>
    <w:rsid w:val="002B46EB"/>
    <w:rsid w:val="002B742C"/>
    <w:rsid w:val="002C63B0"/>
    <w:rsid w:val="002D0CE4"/>
    <w:rsid w:val="002D2E24"/>
    <w:rsid w:val="002D4643"/>
    <w:rsid w:val="002D4B6C"/>
    <w:rsid w:val="002E20D5"/>
    <w:rsid w:val="002F175C"/>
    <w:rsid w:val="002F3C64"/>
    <w:rsid w:val="00301D76"/>
    <w:rsid w:val="00302E18"/>
    <w:rsid w:val="0030606F"/>
    <w:rsid w:val="00312976"/>
    <w:rsid w:val="003173A5"/>
    <w:rsid w:val="003229D8"/>
    <w:rsid w:val="00324058"/>
    <w:rsid w:val="0033230E"/>
    <w:rsid w:val="003358CF"/>
    <w:rsid w:val="00335D02"/>
    <w:rsid w:val="0034605E"/>
    <w:rsid w:val="00350BA2"/>
    <w:rsid w:val="00352709"/>
    <w:rsid w:val="00354ED9"/>
    <w:rsid w:val="0035741C"/>
    <w:rsid w:val="003706D8"/>
    <w:rsid w:val="0037107E"/>
    <w:rsid w:val="00371178"/>
    <w:rsid w:val="003754FC"/>
    <w:rsid w:val="00375B70"/>
    <w:rsid w:val="00381A13"/>
    <w:rsid w:val="0038452A"/>
    <w:rsid w:val="003915D3"/>
    <w:rsid w:val="00393A3C"/>
    <w:rsid w:val="003A10AC"/>
    <w:rsid w:val="003A30E1"/>
    <w:rsid w:val="003A6498"/>
    <w:rsid w:val="003A6728"/>
    <w:rsid w:val="003A6810"/>
    <w:rsid w:val="003A7C69"/>
    <w:rsid w:val="003B36D1"/>
    <w:rsid w:val="003B7418"/>
    <w:rsid w:val="003C2CC4"/>
    <w:rsid w:val="003C74DD"/>
    <w:rsid w:val="003D30B0"/>
    <w:rsid w:val="003D3380"/>
    <w:rsid w:val="003D4B23"/>
    <w:rsid w:val="003E0B6D"/>
    <w:rsid w:val="003E47CA"/>
    <w:rsid w:val="003F310D"/>
    <w:rsid w:val="003F7107"/>
    <w:rsid w:val="003F710A"/>
    <w:rsid w:val="004002CE"/>
    <w:rsid w:val="00406D5C"/>
    <w:rsid w:val="00410C89"/>
    <w:rsid w:val="0041397F"/>
    <w:rsid w:val="0041539A"/>
    <w:rsid w:val="00422E03"/>
    <w:rsid w:val="00426B9B"/>
    <w:rsid w:val="004325CB"/>
    <w:rsid w:val="004356D2"/>
    <w:rsid w:val="004428E6"/>
    <w:rsid w:val="00442A83"/>
    <w:rsid w:val="00446D76"/>
    <w:rsid w:val="0045495B"/>
    <w:rsid w:val="00454D98"/>
    <w:rsid w:val="00456890"/>
    <w:rsid w:val="0045737E"/>
    <w:rsid w:val="00463984"/>
    <w:rsid w:val="00463B7B"/>
    <w:rsid w:val="004643FE"/>
    <w:rsid w:val="00470310"/>
    <w:rsid w:val="00471330"/>
    <w:rsid w:val="004757DA"/>
    <w:rsid w:val="0048014F"/>
    <w:rsid w:val="00482DA4"/>
    <w:rsid w:val="0048397A"/>
    <w:rsid w:val="00485C67"/>
    <w:rsid w:val="004A12F2"/>
    <w:rsid w:val="004C2461"/>
    <w:rsid w:val="004C63B1"/>
    <w:rsid w:val="004C648F"/>
    <w:rsid w:val="004C72BF"/>
    <w:rsid w:val="004C7462"/>
    <w:rsid w:val="004C7936"/>
    <w:rsid w:val="004D4E04"/>
    <w:rsid w:val="004D5426"/>
    <w:rsid w:val="004D71EB"/>
    <w:rsid w:val="004E0C05"/>
    <w:rsid w:val="004E1EFB"/>
    <w:rsid w:val="004E77B2"/>
    <w:rsid w:val="004F68B6"/>
    <w:rsid w:val="004F7A1B"/>
    <w:rsid w:val="00503DEB"/>
    <w:rsid w:val="00504B2D"/>
    <w:rsid w:val="00507CE8"/>
    <w:rsid w:val="0052013D"/>
    <w:rsid w:val="0052136D"/>
    <w:rsid w:val="00522B58"/>
    <w:rsid w:val="00523CD7"/>
    <w:rsid w:val="00526FF7"/>
    <w:rsid w:val="0052775E"/>
    <w:rsid w:val="00533685"/>
    <w:rsid w:val="005420F2"/>
    <w:rsid w:val="00545721"/>
    <w:rsid w:val="00546993"/>
    <w:rsid w:val="005523E5"/>
    <w:rsid w:val="00553B62"/>
    <w:rsid w:val="005628B6"/>
    <w:rsid w:val="005659C3"/>
    <w:rsid w:val="00584FAE"/>
    <w:rsid w:val="00586DB8"/>
    <w:rsid w:val="005933E3"/>
    <w:rsid w:val="0059363D"/>
    <w:rsid w:val="00596193"/>
    <w:rsid w:val="005A1668"/>
    <w:rsid w:val="005A280E"/>
    <w:rsid w:val="005A6437"/>
    <w:rsid w:val="005B3DB3"/>
    <w:rsid w:val="005B4E13"/>
    <w:rsid w:val="005C5CC2"/>
    <w:rsid w:val="005D01AA"/>
    <w:rsid w:val="005D0201"/>
    <w:rsid w:val="005D2A29"/>
    <w:rsid w:val="005E6A77"/>
    <w:rsid w:val="005F4EF7"/>
    <w:rsid w:val="005F7B75"/>
    <w:rsid w:val="006001EE"/>
    <w:rsid w:val="00600FA9"/>
    <w:rsid w:val="00603A22"/>
    <w:rsid w:val="00605042"/>
    <w:rsid w:val="00611FC4"/>
    <w:rsid w:val="006162FB"/>
    <w:rsid w:val="006167E8"/>
    <w:rsid w:val="00616EEB"/>
    <w:rsid w:val="006176FB"/>
    <w:rsid w:val="006309EF"/>
    <w:rsid w:val="00633CDB"/>
    <w:rsid w:val="00640B26"/>
    <w:rsid w:val="00642081"/>
    <w:rsid w:val="00644CD3"/>
    <w:rsid w:val="00651B2F"/>
    <w:rsid w:val="00652D0A"/>
    <w:rsid w:val="0066005F"/>
    <w:rsid w:val="00661C95"/>
    <w:rsid w:val="006623D5"/>
    <w:rsid w:val="00662531"/>
    <w:rsid w:val="00662BB6"/>
    <w:rsid w:val="006634C7"/>
    <w:rsid w:val="00667F8F"/>
    <w:rsid w:val="00670BBE"/>
    <w:rsid w:val="006713A7"/>
    <w:rsid w:val="00671F98"/>
    <w:rsid w:val="00673C44"/>
    <w:rsid w:val="00674897"/>
    <w:rsid w:val="00676B85"/>
    <w:rsid w:val="00684C21"/>
    <w:rsid w:val="006A2530"/>
    <w:rsid w:val="006B49F6"/>
    <w:rsid w:val="006B4DDD"/>
    <w:rsid w:val="006C18FA"/>
    <w:rsid w:val="006C3589"/>
    <w:rsid w:val="006D2B94"/>
    <w:rsid w:val="006D317D"/>
    <w:rsid w:val="006D37AF"/>
    <w:rsid w:val="006D51D0"/>
    <w:rsid w:val="006E3B48"/>
    <w:rsid w:val="006E4935"/>
    <w:rsid w:val="006E564B"/>
    <w:rsid w:val="006E7191"/>
    <w:rsid w:val="006E73A7"/>
    <w:rsid w:val="006F303E"/>
    <w:rsid w:val="006F3CCF"/>
    <w:rsid w:val="00702574"/>
    <w:rsid w:val="00703577"/>
    <w:rsid w:val="00705894"/>
    <w:rsid w:val="0071793F"/>
    <w:rsid w:val="0072632A"/>
    <w:rsid w:val="007327D5"/>
    <w:rsid w:val="007418F1"/>
    <w:rsid w:val="00743E81"/>
    <w:rsid w:val="00753674"/>
    <w:rsid w:val="00754592"/>
    <w:rsid w:val="007611CF"/>
    <w:rsid w:val="007612FF"/>
    <w:rsid w:val="007629C8"/>
    <w:rsid w:val="0077047D"/>
    <w:rsid w:val="00781439"/>
    <w:rsid w:val="007816F1"/>
    <w:rsid w:val="0078507B"/>
    <w:rsid w:val="00791AC2"/>
    <w:rsid w:val="00793939"/>
    <w:rsid w:val="00796A62"/>
    <w:rsid w:val="00797575"/>
    <w:rsid w:val="007A1179"/>
    <w:rsid w:val="007A787F"/>
    <w:rsid w:val="007B6BA5"/>
    <w:rsid w:val="007B6C1C"/>
    <w:rsid w:val="007C3390"/>
    <w:rsid w:val="007C4F4B"/>
    <w:rsid w:val="007C5966"/>
    <w:rsid w:val="007D3484"/>
    <w:rsid w:val="007E01E9"/>
    <w:rsid w:val="007E26B9"/>
    <w:rsid w:val="007E63F3"/>
    <w:rsid w:val="007F0F4A"/>
    <w:rsid w:val="007F10A1"/>
    <w:rsid w:val="007F23F5"/>
    <w:rsid w:val="007F29A5"/>
    <w:rsid w:val="007F6611"/>
    <w:rsid w:val="007F70AF"/>
    <w:rsid w:val="007F7106"/>
    <w:rsid w:val="007F7A86"/>
    <w:rsid w:val="007F7AB8"/>
    <w:rsid w:val="00804222"/>
    <w:rsid w:val="008116D7"/>
    <w:rsid w:val="00811920"/>
    <w:rsid w:val="00815AD0"/>
    <w:rsid w:val="00815E91"/>
    <w:rsid w:val="008212E9"/>
    <w:rsid w:val="008242D7"/>
    <w:rsid w:val="00824EA3"/>
    <w:rsid w:val="008257B1"/>
    <w:rsid w:val="008268C5"/>
    <w:rsid w:val="00835C5B"/>
    <w:rsid w:val="00836F65"/>
    <w:rsid w:val="00841EA6"/>
    <w:rsid w:val="00842F17"/>
    <w:rsid w:val="00843767"/>
    <w:rsid w:val="00844141"/>
    <w:rsid w:val="00845E45"/>
    <w:rsid w:val="008544D5"/>
    <w:rsid w:val="00854501"/>
    <w:rsid w:val="008556FB"/>
    <w:rsid w:val="0085672F"/>
    <w:rsid w:val="008679D9"/>
    <w:rsid w:val="008711DC"/>
    <w:rsid w:val="00871389"/>
    <w:rsid w:val="00875C74"/>
    <w:rsid w:val="008767BF"/>
    <w:rsid w:val="008777A4"/>
    <w:rsid w:val="00880848"/>
    <w:rsid w:val="00883999"/>
    <w:rsid w:val="00887652"/>
    <w:rsid w:val="008878DE"/>
    <w:rsid w:val="008979B1"/>
    <w:rsid w:val="008A3058"/>
    <w:rsid w:val="008A6B25"/>
    <w:rsid w:val="008A6C4F"/>
    <w:rsid w:val="008A7F90"/>
    <w:rsid w:val="008B187F"/>
    <w:rsid w:val="008B2335"/>
    <w:rsid w:val="008B27FB"/>
    <w:rsid w:val="008B2B78"/>
    <w:rsid w:val="008B2D85"/>
    <w:rsid w:val="008B5119"/>
    <w:rsid w:val="008C400E"/>
    <w:rsid w:val="008C678F"/>
    <w:rsid w:val="008C7AFF"/>
    <w:rsid w:val="008D7341"/>
    <w:rsid w:val="008E0678"/>
    <w:rsid w:val="008E33CD"/>
    <w:rsid w:val="008E6480"/>
    <w:rsid w:val="008F03A8"/>
    <w:rsid w:val="008F5ACB"/>
    <w:rsid w:val="008F6CE6"/>
    <w:rsid w:val="00907BA5"/>
    <w:rsid w:val="0091190D"/>
    <w:rsid w:val="009223CA"/>
    <w:rsid w:val="00927829"/>
    <w:rsid w:val="00933E40"/>
    <w:rsid w:val="00934137"/>
    <w:rsid w:val="009408BB"/>
    <w:rsid w:val="00940F93"/>
    <w:rsid w:val="00943E66"/>
    <w:rsid w:val="0094558F"/>
    <w:rsid w:val="00946884"/>
    <w:rsid w:val="009536F9"/>
    <w:rsid w:val="00956168"/>
    <w:rsid w:val="00961690"/>
    <w:rsid w:val="0097110C"/>
    <w:rsid w:val="009760F3"/>
    <w:rsid w:val="00977203"/>
    <w:rsid w:val="00995AB4"/>
    <w:rsid w:val="0099754E"/>
    <w:rsid w:val="009A0E8D"/>
    <w:rsid w:val="009B0F25"/>
    <w:rsid w:val="009B1518"/>
    <w:rsid w:val="009B15AA"/>
    <w:rsid w:val="009B26E7"/>
    <w:rsid w:val="009B350F"/>
    <w:rsid w:val="009C454F"/>
    <w:rsid w:val="009C565B"/>
    <w:rsid w:val="009D2486"/>
    <w:rsid w:val="009D2A5B"/>
    <w:rsid w:val="009E1D30"/>
    <w:rsid w:val="009F2BB8"/>
    <w:rsid w:val="00A00A3F"/>
    <w:rsid w:val="00A01489"/>
    <w:rsid w:val="00A12E50"/>
    <w:rsid w:val="00A14388"/>
    <w:rsid w:val="00A1777D"/>
    <w:rsid w:val="00A3009E"/>
    <w:rsid w:val="00A3026E"/>
    <w:rsid w:val="00A30C84"/>
    <w:rsid w:val="00A31D95"/>
    <w:rsid w:val="00A338F1"/>
    <w:rsid w:val="00A44D24"/>
    <w:rsid w:val="00A45808"/>
    <w:rsid w:val="00A46763"/>
    <w:rsid w:val="00A477C4"/>
    <w:rsid w:val="00A533E7"/>
    <w:rsid w:val="00A5402C"/>
    <w:rsid w:val="00A56AAB"/>
    <w:rsid w:val="00A72F22"/>
    <w:rsid w:val="00A7360F"/>
    <w:rsid w:val="00A748A6"/>
    <w:rsid w:val="00A769F4"/>
    <w:rsid w:val="00A776B4"/>
    <w:rsid w:val="00A86F6A"/>
    <w:rsid w:val="00A915B4"/>
    <w:rsid w:val="00A94361"/>
    <w:rsid w:val="00A95D61"/>
    <w:rsid w:val="00A970A8"/>
    <w:rsid w:val="00AA1F98"/>
    <w:rsid w:val="00AA293C"/>
    <w:rsid w:val="00AA5165"/>
    <w:rsid w:val="00AA55D5"/>
    <w:rsid w:val="00AA66C0"/>
    <w:rsid w:val="00AB32F7"/>
    <w:rsid w:val="00AB4050"/>
    <w:rsid w:val="00AC36B7"/>
    <w:rsid w:val="00AC5045"/>
    <w:rsid w:val="00AC6EC4"/>
    <w:rsid w:val="00AD44C2"/>
    <w:rsid w:val="00AD48FA"/>
    <w:rsid w:val="00AE0B20"/>
    <w:rsid w:val="00AE50F3"/>
    <w:rsid w:val="00AF7B8E"/>
    <w:rsid w:val="00B0614C"/>
    <w:rsid w:val="00B101E9"/>
    <w:rsid w:val="00B117CF"/>
    <w:rsid w:val="00B11BB4"/>
    <w:rsid w:val="00B11D71"/>
    <w:rsid w:val="00B12557"/>
    <w:rsid w:val="00B12CA6"/>
    <w:rsid w:val="00B2148A"/>
    <w:rsid w:val="00B21F96"/>
    <w:rsid w:val="00B22BC2"/>
    <w:rsid w:val="00B24F79"/>
    <w:rsid w:val="00B25EB2"/>
    <w:rsid w:val="00B27148"/>
    <w:rsid w:val="00B27885"/>
    <w:rsid w:val="00B30179"/>
    <w:rsid w:val="00B31424"/>
    <w:rsid w:val="00B36690"/>
    <w:rsid w:val="00B421C1"/>
    <w:rsid w:val="00B47633"/>
    <w:rsid w:val="00B51CEC"/>
    <w:rsid w:val="00B552A3"/>
    <w:rsid w:val="00B55C71"/>
    <w:rsid w:val="00B56E4A"/>
    <w:rsid w:val="00B56E9C"/>
    <w:rsid w:val="00B612DF"/>
    <w:rsid w:val="00B61320"/>
    <w:rsid w:val="00B6151A"/>
    <w:rsid w:val="00B61BB6"/>
    <w:rsid w:val="00B63F86"/>
    <w:rsid w:val="00B64B1F"/>
    <w:rsid w:val="00B6553F"/>
    <w:rsid w:val="00B70F1E"/>
    <w:rsid w:val="00B77D05"/>
    <w:rsid w:val="00B8059B"/>
    <w:rsid w:val="00B81206"/>
    <w:rsid w:val="00B81E12"/>
    <w:rsid w:val="00B8394B"/>
    <w:rsid w:val="00B85D76"/>
    <w:rsid w:val="00B87639"/>
    <w:rsid w:val="00B94746"/>
    <w:rsid w:val="00BA4F47"/>
    <w:rsid w:val="00BB1184"/>
    <w:rsid w:val="00BB5635"/>
    <w:rsid w:val="00BB7CD1"/>
    <w:rsid w:val="00BC2725"/>
    <w:rsid w:val="00BC3FA0"/>
    <w:rsid w:val="00BC626B"/>
    <w:rsid w:val="00BC67E1"/>
    <w:rsid w:val="00BC74E9"/>
    <w:rsid w:val="00BC7D09"/>
    <w:rsid w:val="00BE4F17"/>
    <w:rsid w:val="00BF3CC6"/>
    <w:rsid w:val="00BF68A8"/>
    <w:rsid w:val="00BF6B31"/>
    <w:rsid w:val="00C00247"/>
    <w:rsid w:val="00C0468A"/>
    <w:rsid w:val="00C10FE6"/>
    <w:rsid w:val="00C11A03"/>
    <w:rsid w:val="00C11B49"/>
    <w:rsid w:val="00C217A5"/>
    <w:rsid w:val="00C22C0C"/>
    <w:rsid w:val="00C23978"/>
    <w:rsid w:val="00C25E1A"/>
    <w:rsid w:val="00C30215"/>
    <w:rsid w:val="00C33407"/>
    <w:rsid w:val="00C3410A"/>
    <w:rsid w:val="00C43462"/>
    <w:rsid w:val="00C4527F"/>
    <w:rsid w:val="00C45E05"/>
    <w:rsid w:val="00C463DD"/>
    <w:rsid w:val="00C4724C"/>
    <w:rsid w:val="00C605F3"/>
    <w:rsid w:val="00C629A0"/>
    <w:rsid w:val="00C64629"/>
    <w:rsid w:val="00C66F1F"/>
    <w:rsid w:val="00C745C3"/>
    <w:rsid w:val="00C7755F"/>
    <w:rsid w:val="00C77BE5"/>
    <w:rsid w:val="00C97C39"/>
    <w:rsid w:val="00CA39FB"/>
    <w:rsid w:val="00CB2276"/>
    <w:rsid w:val="00CB3E03"/>
    <w:rsid w:val="00CB46A6"/>
    <w:rsid w:val="00CB5F84"/>
    <w:rsid w:val="00CC24B7"/>
    <w:rsid w:val="00CC2A1B"/>
    <w:rsid w:val="00CC5B3B"/>
    <w:rsid w:val="00CD1FCA"/>
    <w:rsid w:val="00CD285E"/>
    <w:rsid w:val="00CD2BAF"/>
    <w:rsid w:val="00CD46A7"/>
    <w:rsid w:val="00CD57D2"/>
    <w:rsid w:val="00CE1761"/>
    <w:rsid w:val="00CE1CFD"/>
    <w:rsid w:val="00CE3E6E"/>
    <w:rsid w:val="00CE4A8F"/>
    <w:rsid w:val="00CE4E67"/>
    <w:rsid w:val="00CF3164"/>
    <w:rsid w:val="00CF7AC0"/>
    <w:rsid w:val="00D13F4D"/>
    <w:rsid w:val="00D2031B"/>
    <w:rsid w:val="00D224BF"/>
    <w:rsid w:val="00D22523"/>
    <w:rsid w:val="00D25FE2"/>
    <w:rsid w:val="00D43252"/>
    <w:rsid w:val="00D44198"/>
    <w:rsid w:val="00D47EEA"/>
    <w:rsid w:val="00D47F36"/>
    <w:rsid w:val="00D5385E"/>
    <w:rsid w:val="00D550D4"/>
    <w:rsid w:val="00D56292"/>
    <w:rsid w:val="00D62742"/>
    <w:rsid w:val="00D7419E"/>
    <w:rsid w:val="00D773DF"/>
    <w:rsid w:val="00D810EE"/>
    <w:rsid w:val="00D876F8"/>
    <w:rsid w:val="00D91A8D"/>
    <w:rsid w:val="00D9255F"/>
    <w:rsid w:val="00D95303"/>
    <w:rsid w:val="00D97453"/>
    <w:rsid w:val="00D978C6"/>
    <w:rsid w:val="00DA3C1C"/>
    <w:rsid w:val="00DA5024"/>
    <w:rsid w:val="00DB1304"/>
    <w:rsid w:val="00DB43CD"/>
    <w:rsid w:val="00DB6E62"/>
    <w:rsid w:val="00DC12A9"/>
    <w:rsid w:val="00DE37C6"/>
    <w:rsid w:val="00DE4970"/>
    <w:rsid w:val="00DE7486"/>
    <w:rsid w:val="00DF418D"/>
    <w:rsid w:val="00E01B7D"/>
    <w:rsid w:val="00E02661"/>
    <w:rsid w:val="00E046DF"/>
    <w:rsid w:val="00E14853"/>
    <w:rsid w:val="00E15557"/>
    <w:rsid w:val="00E21502"/>
    <w:rsid w:val="00E261FA"/>
    <w:rsid w:val="00E26778"/>
    <w:rsid w:val="00E27346"/>
    <w:rsid w:val="00E51E40"/>
    <w:rsid w:val="00E54F0D"/>
    <w:rsid w:val="00E5731F"/>
    <w:rsid w:val="00E62A14"/>
    <w:rsid w:val="00E71BC8"/>
    <w:rsid w:val="00E7260F"/>
    <w:rsid w:val="00E73F5D"/>
    <w:rsid w:val="00E756DA"/>
    <w:rsid w:val="00E77E4E"/>
    <w:rsid w:val="00E836E7"/>
    <w:rsid w:val="00E879F6"/>
    <w:rsid w:val="00E955EE"/>
    <w:rsid w:val="00E96630"/>
    <w:rsid w:val="00E96B8D"/>
    <w:rsid w:val="00EA13FC"/>
    <w:rsid w:val="00EB65AE"/>
    <w:rsid w:val="00EC098C"/>
    <w:rsid w:val="00EC106A"/>
    <w:rsid w:val="00EC32A0"/>
    <w:rsid w:val="00ED7A2A"/>
    <w:rsid w:val="00EE6B3A"/>
    <w:rsid w:val="00EF1D7F"/>
    <w:rsid w:val="00F05E4B"/>
    <w:rsid w:val="00F16B7D"/>
    <w:rsid w:val="00F227A6"/>
    <w:rsid w:val="00F31170"/>
    <w:rsid w:val="00F31E5F"/>
    <w:rsid w:val="00F36F0D"/>
    <w:rsid w:val="00F42999"/>
    <w:rsid w:val="00F51ECD"/>
    <w:rsid w:val="00F57ED1"/>
    <w:rsid w:val="00F6100A"/>
    <w:rsid w:val="00F66565"/>
    <w:rsid w:val="00F8015D"/>
    <w:rsid w:val="00F93781"/>
    <w:rsid w:val="00FA26FD"/>
    <w:rsid w:val="00FA2814"/>
    <w:rsid w:val="00FA42D6"/>
    <w:rsid w:val="00FA7F6B"/>
    <w:rsid w:val="00FB1A29"/>
    <w:rsid w:val="00FB4C10"/>
    <w:rsid w:val="00FB613B"/>
    <w:rsid w:val="00FB7B98"/>
    <w:rsid w:val="00FC1945"/>
    <w:rsid w:val="00FC2EA1"/>
    <w:rsid w:val="00FC3938"/>
    <w:rsid w:val="00FC3C87"/>
    <w:rsid w:val="00FC68B7"/>
    <w:rsid w:val="00FD3588"/>
    <w:rsid w:val="00FE0275"/>
    <w:rsid w:val="00FE106A"/>
    <w:rsid w:val="00FF145D"/>
    <w:rsid w:val="00FF5BE0"/>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C5D1FE1"/>
  <w15:chartTrackingRefBased/>
  <w15:docId w15:val="{DFF9A738-621B-45B7-88DF-E4FB45EE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CC24B7"/>
    <w:pPr>
      <w:spacing w:line="240" w:lineRule="auto"/>
      <w:outlineLvl w:val="1"/>
    </w:pPr>
  </w:style>
  <w:style w:type="paragraph" w:styleId="Heading3">
    <w:name w:val="heading 3"/>
    <w:basedOn w:val="Normal"/>
    <w:next w:val="Normal"/>
    <w:qFormat/>
    <w:rsid w:val="00CC24B7"/>
    <w:pPr>
      <w:spacing w:line="240" w:lineRule="auto"/>
      <w:outlineLvl w:val="2"/>
    </w:pPr>
  </w:style>
  <w:style w:type="paragraph" w:styleId="Heading4">
    <w:name w:val="heading 4"/>
    <w:basedOn w:val="Normal"/>
    <w:next w:val="Normal"/>
    <w:qFormat/>
    <w:rsid w:val="00CC24B7"/>
    <w:pPr>
      <w:spacing w:line="240" w:lineRule="auto"/>
      <w:outlineLvl w:val="3"/>
    </w:pPr>
  </w:style>
  <w:style w:type="paragraph" w:styleId="Heading5">
    <w:name w:val="heading 5"/>
    <w:basedOn w:val="Normal"/>
    <w:next w:val="Normal"/>
    <w:qFormat/>
    <w:rsid w:val="00CC24B7"/>
    <w:pPr>
      <w:spacing w:line="240" w:lineRule="auto"/>
      <w:outlineLvl w:val="4"/>
    </w:pPr>
  </w:style>
  <w:style w:type="paragraph" w:styleId="Heading6">
    <w:name w:val="heading 6"/>
    <w:basedOn w:val="Normal"/>
    <w:next w:val="Normal"/>
    <w:qFormat/>
    <w:rsid w:val="00CC24B7"/>
    <w:pPr>
      <w:spacing w:line="240" w:lineRule="auto"/>
      <w:outlineLvl w:val="5"/>
    </w:pPr>
  </w:style>
  <w:style w:type="paragraph" w:styleId="Heading7">
    <w:name w:val="heading 7"/>
    <w:basedOn w:val="Normal"/>
    <w:next w:val="Normal"/>
    <w:qFormat/>
    <w:rsid w:val="00CC24B7"/>
    <w:pPr>
      <w:spacing w:line="240" w:lineRule="auto"/>
      <w:outlineLvl w:val="6"/>
    </w:pPr>
  </w:style>
  <w:style w:type="paragraph" w:styleId="Heading8">
    <w:name w:val="heading 8"/>
    <w:basedOn w:val="Normal"/>
    <w:next w:val="Normal"/>
    <w:qFormat/>
    <w:rsid w:val="00CC24B7"/>
    <w:pPr>
      <w:spacing w:line="240" w:lineRule="auto"/>
      <w:outlineLvl w:val="7"/>
    </w:pPr>
  </w:style>
  <w:style w:type="paragraph" w:styleId="Heading9">
    <w:name w:val="heading 9"/>
    <w:basedOn w:val="Normal"/>
    <w:next w:val="Normal"/>
    <w:qFormat/>
    <w:rsid w:val="00CC24B7"/>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CC24B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C24B7"/>
    <w:pPr>
      <w:keepNext/>
      <w:keepLines/>
      <w:tabs>
        <w:tab w:val="right" w:pos="851"/>
      </w:tabs>
      <w:spacing w:before="360" w:after="240" w:line="300" w:lineRule="exact"/>
      <w:ind w:left="1134" w:right="1134" w:hanging="1134"/>
    </w:pPr>
    <w:rPr>
      <w:b/>
      <w:sz w:val="28"/>
      <w:lang w:val="x-none"/>
    </w:rPr>
  </w:style>
  <w:style w:type="paragraph" w:customStyle="1" w:styleId="ParaNoG">
    <w:name w:val="_ParaNo._G"/>
    <w:basedOn w:val="SingleTxtG"/>
    <w:rsid w:val="00CC24B7"/>
    <w:pPr>
      <w:numPr>
        <w:numId w:val="13"/>
      </w:numPr>
      <w:tabs>
        <w:tab w:val="clear" w:pos="1494"/>
      </w:tabs>
    </w:pPr>
  </w:style>
  <w:style w:type="paragraph" w:customStyle="1" w:styleId="SingleTxtG">
    <w:name w:val="_ Single Txt_G"/>
    <w:basedOn w:val="Normal"/>
    <w:link w:val="SingleTxtGChar"/>
    <w:qFormat/>
    <w:rsid w:val="00CC24B7"/>
    <w:pPr>
      <w:spacing w:after="120"/>
      <w:ind w:left="1134" w:right="1134"/>
      <w:jc w:val="both"/>
    </w:pPr>
    <w:rPr>
      <w:lang w:val="x-none"/>
    </w:r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sid w:val="00CC24B7"/>
    <w:rPr>
      <w:rFonts w:cs="Courier New"/>
    </w:rPr>
  </w:style>
  <w:style w:type="paragraph" w:styleId="BodyText">
    <w:name w:val="Body Text"/>
    <w:basedOn w:val="Normal"/>
    <w:next w:val="Normal"/>
    <w:semiHidden/>
    <w:rsid w:val="00CC24B7"/>
  </w:style>
  <w:style w:type="paragraph" w:styleId="BodyTextIndent">
    <w:name w:val="Body Text Indent"/>
    <w:basedOn w:val="Normal"/>
    <w:semiHidden/>
    <w:rsid w:val="00CC24B7"/>
    <w:pPr>
      <w:spacing w:after="120"/>
      <w:ind w:left="283"/>
    </w:pPr>
  </w:style>
  <w:style w:type="paragraph" w:styleId="BlockText">
    <w:name w:val="Block Text"/>
    <w:basedOn w:val="Normal"/>
    <w:semiHidden/>
    <w:rsid w:val="00CC24B7"/>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52775E"/>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sid w:val="00CC24B7"/>
    <w:rPr>
      <w:sz w:val="6"/>
    </w:rPr>
  </w:style>
  <w:style w:type="paragraph" w:styleId="CommentText">
    <w:name w:val="annotation text"/>
    <w:basedOn w:val="Normal"/>
    <w:link w:val="CommentTextChar"/>
    <w:semiHidden/>
    <w:rsid w:val="00CC24B7"/>
  </w:style>
  <w:style w:type="character" w:styleId="LineNumber">
    <w:name w:val="line number"/>
    <w:semiHidden/>
    <w:rsid w:val="00CC24B7"/>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qFormat/>
    <w:rsid w:val="00CC24B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C24B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C24B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C24B7"/>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8878DE"/>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lang w:val="x-none"/>
    </w:rPr>
  </w:style>
  <w:style w:type="character" w:customStyle="1" w:styleId="H1GChar">
    <w:name w:val="_ H_1_G Char"/>
    <w:link w:val="H1G"/>
    <w:rsid w:val="001F7435"/>
    <w:rPr>
      <w:b/>
      <w:sz w:val="24"/>
      <w:lang w:val="en-GB" w:eastAsia="en-US" w:bidi="ar-SA"/>
    </w:rPr>
  </w:style>
  <w:style w:type="paragraph" w:styleId="BalloonText">
    <w:name w:val="Balloon Text"/>
    <w:basedOn w:val="Normal"/>
    <w:link w:val="BalloonTextChar"/>
    <w:rsid w:val="00D550D4"/>
    <w:pPr>
      <w:spacing w:line="240" w:lineRule="auto"/>
    </w:pPr>
    <w:rPr>
      <w:rFonts w:ascii="Tahoma" w:hAnsi="Tahoma"/>
      <w:sz w:val="16"/>
      <w:szCs w:val="16"/>
      <w:lang w:val="x-none"/>
    </w:rPr>
  </w:style>
  <w:style w:type="character" w:customStyle="1" w:styleId="BalloonTextChar">
    <w:name w:val="Balloon Text Char"/>
    <w:link w:val="BalloonText"/>
    <w:rsid w:val="00D550D4"/>
    <w:rPr>
      <w:rFonts w:ascii="Tahoma" w:hAnsi="Tahoma" w:cs="Tahoma"/>
      <w:sz w:val="16"/>
      <w:szCs w:val="16"/>
      <w:lang w:eastAsia="en-US"/>
    </w:rPr>
  </w:style>
  <w:style w:type="character" w:customStyle="1" w:styleId="SingleTxtGChar">
    <w:name w:val="_ Single Txt_G Char"/>
    <w:link w:val="SingleTxtG"/>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paragraph" w:customStyle="1" w:styleId="Tabletitle">
    <w:name w:val="Table title"/>
    <w:basedOn w:val="Normal"/>
    <w:next w:val="Normal"/>
    <w:rsid w:val="0022321E"/>
    <w:pPr>
      <w:keepNext/>
      <w:spacing w:before="120" w:after="120" w:line="230" w:lineRule="exact"/>
      <w:jc w:val="center"/>
    </w:pPr>
    <w:rPr>
      <w:rFonts w:ascii="Arial" w:eastAsia="MS Mincho" w:hAnsi="Arial"/>
      <w:b/>
      <w:lang w:eastAsia="fr-FR"/>
    </w:rPr>
  </w:style>
  <w:style w:type="character" w:customStyle="1" w:styleId="HeaderChar">
    <w:name w:val="Header Char"/>
    <w:aliases w:val="6_G Char"/>
    <w:link w:val="Header"/>
    <w:uiPriority w:val="99"/>
    <w:rsid w:val="0022321E"/>
    <w:rPr>
      <w:b/>
      <w:sz w:val="18"/>
      <w:lang w:eastAsia="en-US"/>
    </w:rPr>
  </w:style>
  <w:style w:type="paragraph" w:styleId="ListParagraph">
    <w:name w:val="List Paragraph"/>
    <w:basedOn w:val="Normal"/>
    <w:uiPriority w:val="34"/>
    <w:qFormat/>
    <w:rsid w:val="00236A96"/>
    <w:pPr>
      <w:suppressAutoHyphens w:val="0"/>
      <w:spacing w:after="200" w:line="276" w:lineRule="auto"/>
      <w:ind w:left="720"/>
      <w:contextualSpacing/>
    </w:pPr>
    <w:rPr>
      <w:rFonts w:ascii="Calibri" w:eastAsia="Calibri" w:hAnsi="Calibri"/>
      <w:sz w:val="22"/>
      <w:szCs w:val="22"/>
      <w:lang w:val="en-US"/>
    </w:rPr>
  </w:style>
  <w:style w:type="character" w:customStyle="1" w:styleId="FootnoteTextChar">
    <w:name w:val="Footnote Text Char"/>
    <w:aliases w:val="5_G Char"/>
    <w:link w:val="FootnoteText"/>
    <w:rsid w:val="00A12E50"/>
    <w:rPr>
      <w:sz w:val="18"/>
      <w:lang w:eastAsia="en-US"/>
    </w:rPr>
  </w:style>
  <w:style w:type="character" w:customStyle="1" w:styleId="H23GChar">
    <w:name w:val="_ H_2/3_G Char"/>
    <w:link w:val="H23G"/>
    <w:rsid w:val="00835C5B"/>
    <w:rPr>
      <w:b/>
      <w:lang w:val="en-GB" w:eastAsia="en-US"/>
    </w:rPr>
  </w:style>
  <w:style w:type="paragraph" w:styleId="Revision">
    <w:name w:val="Revision"/>
    <w:hidden/>
    <w:uiPriority w:val="99"/>
    <w:semiHidden/>
    <w:rsid w:val="006634C7"/>
    <w:rPr>
      <w:lang w:val="en-GB"/>
    </w:rPr>
  </w:style>
  <w:style w:type="paragraph" w:styleId="Caption">
    <w:name w:val="caption"/>
    <w:basedOn w:val="Normal"/>
    <w:next w:val="Normal"/>
    <w:semiHidden/>
    <w:unhideWhenUsed/>
    <w:qFormat/>
    <w:rsid w:val="00A30C84"/>
    <w:pPr>
      <w:spacing w:after="200" w:line="240" w:lineRule="auto"/>
    </w:pPr>
    <w:rPr>
      <w:b/>
      <w:bCs/>
      <w:color w:val="5B9BD5"/>
      <w:sz w:val="18"/>
      <w:szCs w:val="18"/>
    </w:rPr>
  </w:style>
  <w:style w:type="paragraph" w:styleId="CommentSubject">
    <w:name w:val="annotation subject"/>
    <w:basedOn w:val="CommentText"/>
    <w:next w:val="CommentText"/>
    <w:link w:val="CommentSubjectChar"/>
    <w:semiHidden/>
    <w:unhideWhenUsed/>
    <w:rsid w:val="00796A62"/>
    <w:rPr>
      <w:b/>
      <w:bCs/>
    </w:rPr>
  </w:style>
  <w:style w:type="character" w:customStyle="1" w:styleId="CommentTextChar">
    <w:name w:val="Comment Text Char"/>
    <w:link w:val="CommentText"/>
    <w:semiHidden/>
    <w:rsid w:val="00796A62"/>
    <w:rPr>
      <w:lang w:val="en-GB" w:eastAsia="en-US"/>
    </w:rPr>
  </w:style>
  <w:style w:type="character" w:customStyle="1" w:styleId="CommentSubjectChar">
    <w:name w:val="Comment Subject Char"/>
    <w:link w:val="CommentSubject"/>
    <w:semiHidden/>
    <w:rsid w:val="00796A6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69646">
      <w:bodyDiv w:val="1"/>
      <w:marLeft w:val="0"/>
      <w:marRight w:val="0"/>
      <w:marTop w:val="0"/>
      <w:marBottom w:val="0"/>
      <w:divBdr>
        <w:top w:val="none" w:sz="0" w:space="0" w:color="auto"/>
        <w:left w:val="none" w:sz="0" w:space="0" w:color="auto"/>
        <w:bottom w:val="none" w:sz="0" w:space="0" w:color="auto"/>
        <w:right w:val="none" w:sz="0" w:space="0" w:color="auto"/>
      </w:divBdr>
    </w:div>
    <w:div w:id="18511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9EB3-00C4-4C97-9B47-7F9FDCDD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780</Words>
  <Characters>4452</Characters>
  <Application>Microsoft Office Word</Application>
  <DocSecurity>0</DocSecurity>
  <Lines>37</Lines>
  <Paragraphs>10</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1126259</vt:lpstr>
      <vt:lpstr>1126259</vt:lpstr>
      <vt:lpstr>1126259</vt:lpstr>
    </vt:vector>
  </TitlesOfParts>
  <Company>CSD</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subject/>
  <dc:creator>BAC</dc:creator>
  <cp:keywords>ECE/TRANS/WP.15/AC.1/2012/8</cp:keywords>
  <dc:description>Final</dc:description>
  <cp:lastModifiedBy>Christine Barrio-Champeau</cp:lastModifiedBy>
  <cp:revision>4</cp:revision>
  <cp:lastPrinted>2017-10-16T07:11:00Z</cp:lastPrinted>
  <dcterms:created xsi:type="dcterms:W3CDTF">2017-10-16T07:41:00Z</dcterms:created>
  <dcterms:modified xsi:type="dcterms:W3CDTF">2017-10-16T07:55:00Z</dcterms:modified>
</cp:coreProperties>
</file>