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FB4F92">
        <w:trPr>
          <w:cantSplit/>
          <w:trHeight w:hRule="exact" w:val="851"/>
        </w:trPr>
        <w:tc>
          <w:tcPr>
            <w:tcW w:w="9639" w:type="dxa"/>
            <w:tcBorders>
              <w:bottom w:val="single" w:sz="4" w:space="0" w:color="auto"/>
            </w:tcBorders>
            <w:vAlign w:val="bottom"/>
          </w:tcPr>
          <w:p w:rsidR="00FB4F92" w:rsidRDefault="00E813E1" w:rsidP="00B950F6">
            <w:pPr>
              <w:jc w:val="right"/>
              <w:rPr>
                <w:b/>
                <w:sz w:val="40"/>
                <w:szCs w:val="40"/>
              </w:rPr>
            </w:pPr>
            <w:r>
              <w:rPr>
                <w:b/>
                <w:sz w:val="40"/>
                <w:szCs w:val="40"/>
              </w:rPr>
              <w:t>UN/SCETDG/52/INF.2</w:t>
            </w:r>
            <w:r w:rsidR="00B950F6">
              <w:rPr>
                <w:b/>
                <w:sz w:val="40"/>
                <w:szCs w:val="40"/>
              </w:rPr>
              <w:t>5</w:t>
            </w:r>
          </w:p>
        </w:tc>
      </w:tr>
      <w:tr w:rsidR="00FB4F92">
        <w:trPr>
          <w:cantSplit/>
          <w:trHeight w:hRule="exact" w:val="2988"/>
        </w:trPr>
        <w:tc>
          <w:tcPr>
            <w:tcW w:w="9639" w:type="dxa"/>
            <w:tcBorders>
              <w:top w:val="single" w:sz="4" w:space="0" w:color="auto"/>
            </w:tcBorders>
          </w:tcPr>
          <w:p w:rsidR="00FB4F92" w:rsidRDefault="00E813E1">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rsidR="00FB4F92" w:rsidRDefault="00E813E1">
            <w:pPr>
              <w:tabs>
                <w:tab w:val="right" w:pos="9639"/>
              </w:tabs>
              <w:spacing w:before="120"/>
              <w:rPr>
                <w:b/>
              </w:rPr>
            </w:pPr>
            <w:r>
              <w:rPr>
                <w:b/>
              </w:rPr>
              <w:t>Sub-Committee of Experts on the Transport of Dangerous Goods</w:t>
            </w:r>
            <w:r>
              <w:rPr>
                <w:b/>
              </w:rPr>
              <w:tab/>
              <w:t>16 November 2017</w:t>
            </w:r>
          </w:p>
          <w:p w:rsidR="00FB4F92" w:rsidRDefault="00E813E1">
            <w:pPr>
              <w:spacing w:before="120"/>
              <w:rPr>
                <w:b/>
              </w:rPr>
            </w:pPr>
            <w:r>
              <w:rPr>
                <w:b/>
              </w:rPr>
              <w:t>Fifty-second session</w:t>
            </w:r>
          </w:p>
          <w:p w:rsidR="00FB4F92" w:rsidRDefault="00E813E1">
            <w:r>
              <w:t>Geneva, 27 November-6 December 2017</w:t>
            </w:r>
          </w:p>
          <w:p w:rsidR="00FB4F92" w:rsidRDefault="00B950F6">
            <w:pPr>
              <w:spacing w:line="240" w:lineRule="exact"/>
            </w:pPr>
            <w:r>
              <w:t>Item 6 (c</w:t>
            </w:r>
            <w:r w:rsidR="00E813E1">
              <w:t>) of the provisional agenda</w:t>
            </w:r>
            <w:r w:rsidR="00E813E1">
              <w:br/>
            </w:r>
            <w:r w:rsidR="00E813E1">
              <w:rPr>
                <w:b/>
              </w:rPr>
              <w:t xml:space="preserve">Miscellaneous proposals for amendments to the Model </w:t>
            </w:r>
            <w:r w:rsidR="00E813E1">
              <w:rPr>
                <w:b/>
              </w:rPr>
              <w:br/>
              <w:t>Regulations on the Transport of Dangerous Goods:</w:t>
            </w:r>
            <w:r w:rsidR="00E813E1">
              <w:rPr>
                <w:b/>
              </w:rPr>
              <w:br/>
            </w:r>
            <w:r w:rsidRPr="00B950F6">
              <w:rPr>
                <w:b/>
              </w:rPr>
              <w:t>portable tanks</w:t>
            </w:r>
          </w:p>
        </w:tc>
      </w:tr>
    </w:tbl>
    <w:p w:rsidR="00B950F6" w:rsidRDefault="00B950F6" w:rsidP="00B950F6">
      <w:pPr>
        <w:pStyle w:val="HChG"/>
      </w:pPr>
      <w:r>
        <w:tab/>
      </w:r>
      <w:r>
        <w:tab/>
      </w:r>
      <w:r w:rsidRPr="00C05682">
        <w:t>Minimum shell thickness for portable tanks used for the carriage of no</w:t>
      </w:r>
      <w:r w:rsidR="0084575D">
        <w:t>n-refrigerated liquefied ga</w:t>
      </w:r>
      <w:r w:rsidR="0022118F">
        <w:t>ses</w:t>
      </w:r>
    </w:p>
    <w:p w:rsidR="00B950F6" w:rsidRPr="00C05682" w:rsidRDefault="00B950F6" w:rsidP="00B950F6">
      <w:pPr>
        <w:pStyle w:val="H1G"/>
      </w:pPr>
      <w:r w:rsidRPr="00C05682">
        <w:tab/>
      </w:r>
      <w:r w:rsidRPr="00C05682">
        <w:tab/>
        <w:t>Transmitted by the expert from Belgium</w:t>
      </w:r>
    </w:p>
    <w:p w:rsidR="00B950F6" w:rsidRPr="00A55E2B" w:rsidRDefault="00B950F6" w:rsidP="00B950F6">
      <w:pPr>
        <w:pStyle w:val="HChG"/>
        <w:rPr>
          <w:b w:val="0"/>
          <w:sz w:val="24"/>
          <w:szCs w:val="24"/>
        </w:rPr>
      </w:pPr>
      <w:r>
        <w:tab/>
      </w:r>
      <w:r>
        <w:tab/>
        <w:t>Introduction</w:t>
      </w:r>
      <w:r w:rsidRPr="00A55E2B">
        <w:rPr>
          <w:b w:val="0"/>
          <w:sz w:val="24"/>
          <w:szCs w:val="24"/>
        </w:rPr>
        <w:t xml:space="preserve"> </w:t>
      </w:r>
    </w:p>
    <w:p w:rsidR="00B950F6" w:rsidRDefault="00B950F6" w:rsidP="00B950F6">
      <w:pPr>
        <w:pStyle w:val="SingleTxtG"/>
      </w:pPr>
      <w:r>
        <w:t>1.</w:t>
      </w:r>
      <w:r>
        <w:tab/>
      </w:r>
      <w:r w:rsidRPr="008F0425">
        <w:t>Paragraph 6.7.3.4.1, applicable for portable tanks intended for the transport of</w:t>
      </w:r>
      <w:r w:rsidR="0084575D">
        <w:t xml:space="preserve"> non-refrigerated liquefied gas</w:t>
      </w:r>
      <w:r w:rsidRPr="008F0425">
        <w:t>es mentions that:</w:t>
      </w:r>
    </w:p>
    <w:p w:rsidR="00B950F6" w:rsidRPr="008F0425" w:rsidRDefault="00B950F6" w:rsidP="00B950F6">
      <w:pPr>
        <w:pStyle w:val="SingleTxtG"/>
        <w:ind w:firstLine="567"/>
      </w:pPr>
      <w:r w:rsidRPr="008F0425">
        <w:t>The minimum shell thickness shall be the greater thickness based on:</w:t>
      </w:r>
    </w:p>
    <w:p w:rsidR="00B950F6" w:rsidRPr="008F0425" w:rsidRDefault="008F22FA" w:rsidP="00B950F6">
      <w:pPr>
        <w:pStyle w:val="SingleTxtG"/>
        <w:ind w:left="1701"/>
      </w:pPr>
      <w:r>
        <w:t>(a)</w:t>
      </w:r>
      <w:r>
        <w:tab/>
      </w:r>
      <w:r w:rsidR="00B950F6" w:rsidRPr="008F0425">
        <w:t>The minimum thickness determined in accordance with the requirements mentioned in 6.7.3.4; and</w:t>
      </w:r>
    </w:p>
    <w:p w:rsidR="00B950F6" w:rsidRPr="008F0425" w:rsidRDefault="008F22FA" w:rsidP="00B950F6">
      <w:pPr>
        <w:pStyle w:val="SingleTxtG"/>
        <w:ind w:left="1701"/>
      </w:pPr>
      <w:r>
        <w:t>(b)</w:t>
      </w:r>
      <w:r>
        <w:tab/>
      </w:r>
      <w:r w:rsidR="00B950F6" w:rsidRPr="008F0425">
        <w:t>The minimum thickness determined in accordance with the recognized pressure vessel code including the requirements in 6.7.3.3</w:t>
      </w:r>
      <w:r w:rsidR="00B950F6">
        <w:t>.</w:t>
      </w:r>
    </w:p>
    <w:p w:rsidR="00B950F6" w:rsidRPr="008F0425" w:rsidRDefault="00B950F6" w:rsidP="00B950F6">
      <w:pPr>
        <w:pStyle w:val="SingleTxtG"/>
      </w:pPr>
      <w:r>
        <w:t>2.</w:t>
      </w:r>
      <w:r>
        <w:tab/>
        <w:t>Quite similarly, p</w:t>
      </w:r>
      <w:r w:rsidRPr="008F0425">
        <w:t>aragraph 6.7.2.4.1, applicable for portable tanks intended for the transport of substances of classes 1 and 3 to 9 mentions that:</w:t>
      </w:r>
    </w:p>
    <w:p w:rsidR="00B950F6" w:rsidRPr="008F0425" w:rsidRDefault="00B950F6" w:rsidP="00B950F6">
      <w:pPr>
        <w:pStyle w:val="SingleTxtG"/>
        <w:ind w:firstLine="567"/>
      </w:pPr>
      <w:r w:rsidRPr="008F0425">
        <w:t>The minimum shell thickness shall be the greater thickness based on:</w:t>
      </w:r>
    </w:p>
    <w:p w:rsidR="00B950F6" w:rsidRPr="008F0425" w:rsidRDefault="008F22FA" w:rsidP="00B950F6">
      <w:pPr>
        <w:pStyle w:val="SingleTxtG"/>
        <w:ind w:left="1701"/>
      </w:pPr>
      <w:r>
        <w:t>(a)</w:t>
      </w:r>
      <w:r>
        <w:tab/>
      </w:r>
      <w:r w:rsidR="00B950F6" w:rsidRPr="008F0425">
        <w:t>The minimum thickness determined in accordance with the requirements of 6.7.2.4.2 to 6.7.2.4.10</w:t>
      </w:r>
    </w:p>
    <w:p w:rsidR="00B950F6" w:rsidRPr="008F0425" w:rsidRDefault="008F22FA" w:rsidP="00B950F6">
      <w:pPr>
        <w:pStyle w:val="SingleTxtG"/>
        <w:ind w:left="1701"/>
      </w:pPr>
      <w:r>
        <w:t>(b)</w:t>
      </w:r>
      <w:r>
        <w:tab/>
      </w:r>
      <w:r w:rsidR="00B950F6" w:rsidRPr="008F0425">
        <w:t>The minimum thickness determined in accordance with the recognized pressure vessel code including the requirements in 6.7.2.3</w:t>
      </w:r>
    </w:p>
    <w:p w:rsidR="00B950F6" w:rsidRPr="008F0425" w:rsidRDefault="008F22FA" w:rsidP="00B950F6">
      <w:pPr>
        <w:pStyle w:val="SingleTxtG"/>
        <w:ind w:left="1701"/>
      </w:pPr>
      <w:r>
        <w:t>(c)</w:t>
      </w:r>
      <w:r>
        <w:tab/>
      </w:r>
      <w:r w:rsidR="00B950F6" w:rsidRPr="008F0425">
        <w:t>The minimum thickness specified in the applicable portable tank instruction indicated in column (10) of table A of chapter 3.2 and described in 4.2.5.2.6 or by a portable tank special provision indicated in column (11) of table A of chapter 3.2 and described in 4.2.5.3</w:t>
      </w:r>
      <w:r w:rsidR="00B950F6">
        <w:t>.</w:t>
      </w:r>
    </w:p>
    <w:p w:rsidR="00B950F6" w:rsidRPr="008F0425" w:rsidRDefault="00B950F6" w:rsidP="00B950F6">
      <w:pPr>
        <w:pStyle w:val="SingleTxtG"/>
      </w:pPr>
      <w:r>
        <w:t>3.</w:t>
      </w:r>
      <w:r>
        <w:tab/>
      </w:r>
      <w:r w:rsidRPr="008F0425">
        <w:t>Additionally, in the last sentence of paragraph 4.2.2.2 it is mentioned that portable tanks used for the carriage of non-refrigerated liquefied gasses should comply with any special provision that is assigned to specific non-refrigerated liquefied gasses in column (11) of the Dangerous Goods List and described in 4.2.5.3.</w:t>
      </w:r>
    </w:p>
    <w:p w:rsidR="00B950F6" w:rsidRPr="008F0425" w:rsidRDefault="00B950F6" w:rsidP="00B950F6">
      <w:pPr>
        <w:pStyle w:val="SingleTxtG"/>
      </w:pPr>
      <w:r>
        <w:t>4.</w:t>
      </w:r>
      <w:r>
        <w:tab/>
        <w:t>Since T50 is the only portable tank instruction that applies t</w:t>
      </w:r>
      <w:r w:rsidR="0084575D">
        <w:t xml:space="preserve">o non-refrigerated </w:t>
      </w:r>
      <w:proofErr w:type="spellStart"/>
      <w:r w:rsidR="0084575D">
        <w:t>liquified</w:t>
      </w:r>
      <w:proofErr w:type="spellEnd"/>
      <w:r w:rsidR="0084575D">
        <w:t xml:space="preserve"> ga</w:t>
      </w:r>
      <w:r>
        <w:t>ses and since T50 does not specify any shell thickness, it does not seem necessary to have a point 6.7.3.4.1 c) similar to 6.7.2.4.1 c). However, g</w:t>
      </w:r>
      <w:r w:rsidRPr="008F0425">
        <w:t>iven that several portable tank special provisions</w:t>
      </w:r>
      <w:r>
        <w:t>,</w:t>
      </w:r>
      <w:r w:rsidRPr="008F0425">
        <w:t xml:space="preserve"> </w:t>
      </w:r>
      <w:r>
        <w:t>putting</w:t>
      </w:r>
      <w:r w:rsidRPr="008F0425">
        <w:t xml:space="preserve"> requirements on the shell thickness</w:t>
      </w:r>
      <w:r>
        <w:t>,</w:t>
      </w:r>
      <w:r w:rsidRPr="008F0425">
        <w:t xml:space="preserve"> indeed apply </w:t>
      </w:r>
      <w:r w:rsidRPr="008F0425">
        <w:lastRenderedPageBreak/>
        <w:t>to non-refrigerated liquefied gasses (TP19 and TP21), there seems to be an inconsistency between paragraph 4.2.2.2, the portable tank special provisions given in column (11) of the Dangerous Goods List and the requirements put forward in paragraph 6.7.3.4.1.</w:t>
      </w:r>
      <w:r>
        <w:t xml:space="preserve"> </w:t>
      </w:r>
    </w:p>
    <w:p w:rsidR="00B950F6" w:rsidRPr="00C05682" w:rsidRDefault="00B950F6" w:rsidP="00B950F6">
      <w:pPr>
        <w:pStyle w:val="HChG"/>
      </w:pPr>
      <w:r>
        <w:tab/>
      </w:r>
      <w:r>
        <w:tab/>
        <w:t>Proposal</w:t>
      </w:r>
    </w:p>
    <w:p w:rsidR="00B950F6" w:rsidRDefault="008F22FA" w:rsidP="00B950F6">
      <w:pPr>
        <w:pStyle w:val="SingleTxtG"/>
      </w:pPr>
      <w:r>
        <w:t>5.</w:t>
      </w:r>
      <w:r>
        <w:tab/>
      </w:r>
      <w:r w:rsidR="00B950F6" w:rsidRPr="008F0425">
        <w:t>Change the text in 6.7.3.4.1 so that it now also refers the users of chapter 6 to the special provisions that must be applied to specifi</w:t>
      </w:r>
      <w:r w:rsidR="0084575D">
        <w:t xml:space="preserve">c non-refrigerated </w:t>
      </w:r>
      <w:proofErr w:type="spellStart"/>
      <w:r w:rsidR="0084575D">
        <w:t>liquifi</w:t>
      </w:r>
      <w:bookmarkStart w:id="0" w:name="_GoBack"/>
      <w:bookmarkEnd w:id="0"/>
      <w:r w:rsidR="0084575D">
        <w:t>ed</w:t>
      </w:r>
      <w:proofErr w:type="spellEnd"/>
      <w:r w:rsidR="0084575D">
        <w:t xml:space="preserve"> ga</w:t>
      </w:r>
      <w:r w:rsidR="00B950F6" w:rsidRPr="008F0425">
        <w:t>ses (new text underlined):</w:t>
      </w:r>
    </w:p>
    <w:p w:rsidR="00B950F6" w:rsidRDefault="00B950F6" w:rsidP="008F22FA">
      <w:pPr>
        <w:pStyle w:val="SingleTxtG"/>
        <w:ind w:firstLine="567"/>
      </w:pPr>
      <w:r w:rsidRPr="008F0425">
        <w:t>The minimum shell thickness shall be the greater thickness based on:</w:t>
      </w:r>
    </w:p>
    <w:p w:rsidR="00B950F6" w:rsidRPr="008F0425" w:rsidRDefault="008F22FA" w:rsidP="00B950F6">
      <w:pPr>
        <w:pStyle w:val="SingleTxtG"/>
        <w:ind w:left="1701"/>
      </w:pPr>
      <w:r>
        <w:t>(a)</w:t>
      </w:r>
      <w:r>
        <w:tab/>
      </w:r>
      <w:r w:rsidR="00B950F6" w:rsidRPr="008F0425">
        <w:t xml:space="preserve">The minimum thickness determined in accordance with the requirements mentioned in 6.7.3.4 </w:t>
      </w:r>
      <w:r w:rsidR="00B950F6" w:rsidRPr="008F0425">
        <w:rPr>
          <w:u w:val="single"/>
        </w:rPr>
        <w:t>and taking into account any portable tank special provision, indicated in column (11) of table A of chapter 3.2 and described in 4.2.5.3</w:t>
      </w:r>
      <w:r w:rsidR="00B950F6" w:rsidRPr="008F0425">
        <w:t>.</w:t>
      </w:r>
      <w:r w:rsidR="00B950F6">
        <w:t xml:space="preserve"> </w:t>
      </w:r>
      <w:proofErr w:type="gramStart"/>
      <w:r w:rsidR="00B950F6">
        <w:t>a</w:t>
      </w:r>
      <w:r w:rsidR="00B950F6" w:rsidRPr="008F0425">
        <w:t>nd</w:t>
      </w:r>
      <w:proofErr w:type="gramEnd"/>
      <w:r w:rsidR="00B950F6">
        <w:t>;</w:t>
      </w:r>
    </w:p>
    <w:p w:rsidR="00B950F6" w:rsidRPr="008F0425" w:rsidRDefault="008F22FA" w:rsidP="00B950F6">
      <w:pPr>
        <w:pStyle w:val="SingleTxtG"/>
        <w:ind w:left="1701"/>
      </w:pPr>
      <w:r>
        <w:t>(b)</w:t>
      </w:r>
      <w:r>
        <w:tab/>
      </w:r>
      <w:r w:rsidR="00B950F6" w:rsidRPr="008F0425">
        <w:t xml:space="preserve">The minimum thickness determined in accordance with the recognized pressure vessel code including the requirements in 6.7.3.3 </w:t>
      </w:r>
      <w:r w:rsidR="00B950F6" w:rsidRPr="008F0425">
        <w:rPr>
          <w:u w:val="single"/>
        </w:rPr>
        <w:t>and taking into account any portable tank special provision, indicated in column (11) of table A of chapter 3.2 and described in 4.2.5.3.</w:t>
      </w:r>
    </w:p>
    <w:p w:rsidR="00B950F6" w:rsidRPr="00B950F6" w:rsidRDefault="00B950F6" w:rsidP="00B950F6">
      <w:pPr>
        <w:pStyle w:val="SingleTxtG"/>
        <w:spacing w:before="240" w:after="0"/>
        <w:jc w:val="center"/>
        <w:rPr>
          <w:u w:val="single"/>
        </w:rPr>
      </w:pPr>
      <w:r>
        <w:rPr>
          <w:u w:val="single"/>
        </w:rPr>
        <w:tab/>
      </w:r>
      <w:r>
        <w:rPr>
          <w:u w:val="single"/>
        </w:rPr>
        <w:tab/>
      </w:r>
      <w:r>
        <w:rPr>
          <w:u w:val="single"/>
        </w:rPr>
        <w:tab/>
      </w:r>
    </w:p>
    <w:p w:rsidR="00B950F6" w:rsidRDefault="00B950F6">
      <w:pPr>
        <w:pStyle w:val="SingleTxtG"/>
      </w:pPr>
    </w:p>
    <w:p w:rsidR="00B950F6" w:rsidRDefault="00B950F6">
      <w:pPr>
        <w:pStyle w:val="SingleTxtG"/>
      </w:pPr>
    </w:p>
    <w:p w:rsidR="00B950F6" w:rsidRDefault="00B950F6">
      <w:pPr>
        <w:pStyle w:val="SingleTxtG"/>
      </w:pPr>
    </w:p>
    <w:p w:rsidR="00B950F6" w:rsidRDefault="00B950F6">
      <w:pPr>
        <w:pStyle w:val="SingleTxtG"/>
      </w:pPr>
    </w:p>
    <w:p w:rsidR="00B950F6" w:rsidRDefault="00B950F6">
      <w:pPr>
        <w:pStyle w:val="SingleTxtG"/>
      </w:pPr>
    </w:p>
    <w:p w:rsidR="00B950F6" w:rsidRDefault="00B950F6">
      <w:pPr>
        <w:pStyle w:val="SingleTxtG"/>
      </w:pPr>
    </w:p>
    <w:sectPr w:rsidR="00B950F6">
      <w:headerReference w:type="even" r:id="rId9"/>
      <w:headerReference w:type="default" r:id="rId10"/>
      <w:footerReference w:type="even" r:id="rId11"/>
      <w:footerReference w:type="default" r:id="rId12"/>
      <w:footnotePr>
        <w:numFmt w:val="chicago"/>
        <w:numRestart w:val="eachPage"/>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F92" w:rsidRDefault="00FB4F92"/>
  </w:endnote>
  <w:endnote w:type="continuationSeparator" w:id="0">
    <w:p w:rsidR="00FB4F92" w:rsidRDefault="00FB4F92"/>
  </w:endnote>
  <w:endnote w:type="continuationNotice" w:id="1">
    <w:p w:rsidR="00FB4F92" w:rsidRDefault="00FB4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92" w:rsidRDefault="00E813E1">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84575D">
      <w:rPr>
        <w:b/>
        <w:noProof/>
        <w:sz w:val="18"/>
      </w:rPr>
      <w:t>2</w:t>
    </w:r>
    <w:r>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92" w:rsidRDefault="00E813E1">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F92" w:rsidRDefault="00E813E1">
      <w:pPr>
        <w:tabs>
          <w:tab w:val="right" w:pos="2155"/>
        </w:tabs>
        <w:spacing w:after="80"/>
        <w:ind w:left="680"/>
        <w:rPr>
          <w:u w:val="single"/>
        </w:rPr>
      </w:pPr>
      <w:r>
        <w:rPr>
          <w:u w:val="single"/>
        </w:rPr>
        <w:tab/>
      </w:r>
    </w:p>
  </w:footnote>
  <w:footnote w:type="continuationSeparator" w:id="0">
    <w:p w:rsidR="00FB4F92" w:rsidRDefault="00E813E1">
      <w:pPr>
        <w:tabs>
          <w:tab w:val="left" w:pos="2155"/>
        </w:tabs>
        <w:spacing w:after="80"/>
        <w:ind w:left="680"/>
        <w:rPr>
          <w:u w:val="single"/>
        </w:rPr>
      </w:pPr>
      <w:r>
        <w:rPr>
          <w:u w:val="single"/>
        </w:rPr>
        <w:tab/>
      </w:r>
    </w:p>
  </w:footnote>
  <w:footnote w:type="continuationNotice" w:id="1">
    <w:p w:rsidR="00FB4F92" w:rsidRDefault="00FB4F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92" w:rsidRDefault="00B950F6">
    <w:pPr>
      <w:pStyle w:val="Header"/>
    </w:pPr>
    <w:r>
      <w:t>UN/SCETDG/52/INF.25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92" w:rsidRDefault="00E813E1">
    <w:pPr>
      <w:pStyle w:val="Header"/>
      <w:jc w:val="right"/>
    </w:pPr>
    <w:r>
      <w:t>UN/SCETDG/37/INF.30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33500E5"/>
    <w:multiLevelType w:val="hybridMultilevel"/>
    <w:tmpl w:val="146CB4FA"/>
    <w:lvl w:ilvl="0" w:tplc="08090001">
      <w:start w:val="1"/>
      <w:numFmt w:val="bullet"/>
      <w:lvlText w:val=""/>
      <w:lvlJc w:val="left"/>
      <w:pPr>
        <w:ind w:left="2418" w:hanging="360"/>
      </w:pPr>
      <w:rPr>
        <w:rFonts w:ascii="Symbol" w:hAnsi="Symbol" w:hint="default"/>
      </w:rPr>
    </w:lvl>
    <w:lvl w:ilvl="1" w:tplc="08090003" w:tentative="1">
      <w:start w:val="1"/>
      <w:numFmt w:val="bullet"/>
      <w:lvlText w:val="o"/>
      <w:lvlJc w:val="left"/>
      <w:pPr>
        <w:ind w:left="3138" w:hanging="360"/>
      </w:pPr>
      <w:rPr>
        <w:rFonts w:ascii="Courier New" w:hAnsi="Courier New" w:cs="Courier New" w:hint="default"/>
      </w:rPr>
    </w:lvl>
    <w:lvl w:ilvl="2" w:tplc="08090005" w:tentative="1">
      <w:start w:val="1"/>
      <w:numFmt w:val="bullet"/>
      <w:lvlText w:val=""/>
      <w:lvlJc w:val="left"/>
      <w:pPr>
        <w:ind w:left="3858" w:hanging="360"/>
      </w:pPr>
      <w:rPr>
        <w:rFonts w:ascii="Wingdings" w:hAnsi="Wingdings" w:hint="default"/>
      </w:rPr>
    </w:lvl>
    <w:lvl w:ilvl="3" w:tplc="08090001" w:tentative="1">
      <w:start w:val="1"/>
      <w:numFmt w:val="bullet"/>
      <w:lvlText w:val=""/>
      <w:lvlJc w:val="left"/>
      <w:pPr>
        <w:ind w:left="4578" w:hanging="360"/>
      </w:pPr>
      <w:rPr>
        <w:rFonts w:ascii="Symbol" w:hAnsi="Symbol" w:hint="default"/>
      </w:rPr>
    </w:lvl>
    <w:lvl w:ilvl="4" w:tplc="08090003" w:tentative="1">
      <w:start w:val="1"/>
      <w:numFmt w:val="bullet"/>
      <w:lvlText w:val="o"/>
      <w:lvlJc w:val="left"/>
      <w:pPr>
        <w:ind w:left="5298" w:hanging="360"/>
      </w:pPr>
      <w:rPr>
        <w:rFonts w:ascii="Courier New" w:hAnsi="Courier New" w:cs="Courier New" w:hint="default"/>
      </w:rPr>
    </w:lvl>
    <w:lvl w:ilvl="5" w:tplc="08090005" w:tentative="1">
      <w:start w:val="1"/>
      <w:numFmt w:val="bullet"/>
      <w:lvlText w:val=""/>
      <w:lvlJc w:val="left"/>
      <w:pPr>
        <w:ind w:left="6018" w:hanging="360"/>
      </w:pPr>
      <w:rPr>
        <w:rFonts w:ascii="Wingdings" w:hAnsi="Wingdings" w:hint="default"/>
      </w:rPr>
    </w:lvl>
    <w:lvl w:ilvl="6" w:tplc="08090001" w:tentative="1">
      <w:start w:val="1"/>
      <w:numFmt w:val="bullet"/>
      <w:lvlText w:val=""/>
      <w:lvlJc w:val="left"/>
      <w:pPr>
        <w:ind w:left="6738" w:hanging="360"/>
      </w:pPr>
      <w:rPr>
        <w:rFonts w:ascii="Symbol" w:hAnsi="Symbol" w:hint="default"/>
      </w:rPr>
    </w:lvl>
    <w:lvl w:ilvl="7" w:tplc="08090003" w:tentative="1">
      <w:start w:val="1"/>
      <w:numFmt w:val="bullet"/>
      <w:lvlText w:val="o"/>
      <w:lvlJc w:val="left"/>
      <w:pPr>
        <w:ind w:left="7458" w:hanging="360"/>
      </w:pPr>
      <w:rPr>
        <w:rFonts w:ascii="Courier New" w:hAnsi="Courier New" w:cs="Courier New" w:hint="default"/>
      </w:rPr>
    </w:lvl>
    <w:lvl w:ilvl="8" w:tplc="08090005" w:tentative="1">
      <w:start w:val="1"/>
      <w:numFmt w:val="bullet"/>
      <w:lvlText w:val=""/>
      <w:lvlJc w:val="left"/>
      <w:pPr>
        <w:ind w:left="8178" w:hanging="360"/>
      </w:pPr>
      <w:rPr>
        <w:rFonts w:ascii="Wingdings" w:hAnsi="Wingdings" w:hint="default"/>
      </w:rPr>
    </w:lvl>
  </w:abstractNum>
  <w:abstractNum w:abstractNumId="2">
    <w:nsid w:val="1D906279"/>
    <w:multiLevelType w:val="hybridMultilevel"/>
    <w:tmpl w:val="71F4296E"/>
    <w:lvl w:ilvl="0" w:tplc="E4F633B4">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313864A9"/>
    <w:multiLevelType w:val="hybridMultilevel"/>
    <w:tmpl w:val="8AEC05F8"/>
    <w:lvl w:ilvl="0" w:tplc="E2F2097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3E3C4C3A"/>
    <w:multiLevelType w:val="hybridMultilevel"/>
    <w:tmpl w:val="B8AE87C4"/>
    <w:lvl w:ilvl="0" w:tplc="8460E27E">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nsid w:val="40CB79FF"/>
    <w:multiLevelType w:val="hybridMultilevel"/>
    <w:tmpl w:val="A9B864D8"/>
    <w:lvl w:ilvl="0" w:tplc="A8EE2D3C">
      <w:start w:val="1"/>
      <w:numFmt w:val="decimal"/>
      <w:lvlText w:val="%1."/>
      <w:lvlJc w:val="left"/>
      <w:pPr>
        <w:ind w:left="1689" w:hanging="55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43740A8D"/>
    <w:multiLevelType w:val="hybridMultilevel"/>
    <w:tmpl w:val="A0FC92E4"/>
    <w:lvl w:ilvl="0" w:tplc="FE78046E">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5006441F"/>
    <w:multiLevelType w:val="hybridMultilevel"/>
    <w:tmpl w:val="1E388A4C"/>
    <w:lvl w:ilvl="0" w:tplc="AACA8D5A">
      <w:start w:val="3"/>
      <w:numFmt w:val="decimal"/>
      <w:lvlText w:val="(%1)"/>
      <w:lvlJc w:val="left"/>
      <w:pPr>
        <w:tabs>
          <w:tab w:val="num" w:pos="720"/>
        </w:tabs>
        <w:ind w:left="720" w:hanging="360"/>
      </w:pPr>
      <w:rPr>
        <w:rFonts w:hint="default"/>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7259BE"/>
    <w:multiLevelType w:val="hybridMultilevel"/>
    <w:tmpl w:val="B8AE87C4"/>
    <w:lvl w:ilvl="0" w:tplc="8460E27E">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nsid w:val="50E2373C"/>
    <w:multiLevelType w:val="hybridMultilevel"/>
    <w:tmpl w:val="4E206F3E"/>
    <w:lvl w:ilvl="0" w:tplc="EB3CE4A0">
      <w:start w:val="1"/>
      <w:numFmt w:val="lowerLetter"/>
      <w:lvlText w:val="(%1)"/>
      <w:lvlJc w:val="lef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1">
    <w:nsid w:val="63ED4CC1"/>
    <w:multiLevelType w:val="hybridMultilevel"/>
    <w:tmpl w:val="980CAA8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67E21ECE"/>
    <w:multiLevelType w:val="hybridMultilevel"/>
    <w:tmpl w:val="9BEAD1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9C37682"/>
    <w:multiLevelType w:val="hybridMultilevel"/>
    <w:tmpl w:val="B8AE87C4"/>
    <w:lvl w:ilvl="0" w:tplc="8460E27E">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0"/>
  </w:num>
  <w:num w:numId="2">
    <w:abstractNumId w:val="13"/>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6"/>
  </w:num>
  <w:num w:numId="10">
    <w:abstractNumId w:val="2"/>
  </w:num>
  <w:num w:numId="11">
    <w:abstractNumId w:val="1"/>
  </w:num>
  <w:num w:numId="12">
    <w:abstractNumId w:val="11"/>
  </w:num>
  <w:num w:numId="13">
    <w:abstractNumId w:val="12"/>
  </w:num>
  <w:num w:numId="14">
    <w:abstractNumId w:val="8"/>
  </w:num>
  <w:num w:numId="15">
    <w:abstractNumId w:val="14"/>
  </w:num>
  <w:num w:numId="1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F92"/>
    <w:rsid w:val="0022118F"/>
    <w:rsid w:val="0084575D"/>
    <w:rsid w:val="00861F8E"/>
    <w:rsid w:val="008F22FA"/>
    <w:rsid w:val="00B950F6"/>
    <w:rsid w:val="00D8588A"/>
    <w:rsid w:val="00E34A3D"/>
    <w:rsid w:val="00E813E1"/>
    <w:rsid w:val="00FB4F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Footer">
    <w:name w:val="footer"/>
    <w:aliases w:val="3_G"/>
    <w:basedOn w:val="Normal"/>
    <w:pPr>
      <w:spacing w:line="240" w:lineRule="auto"/>
    </w:pPr>
    <w:rPr>
      <w:sz w:val="16"/>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ChGChar">
    <w:name w:val="_ H _Ch_G Char"/>
    <w:link w:val="HChG"/>
    <w:rPr>
      <w:b/>
      <w:sz w:val="28"/>
      <w:lang w:val="en-GB" w:eastAsia="en-US" w:bidi="ar-SA"/>
    </w:rPr>
  </w:style>
  <w:style w:type="paragraph" w:styleId="BodyText">
    <w:name w:val="Body Text"/>
    <w:basedOn w:val="Normal"/>
    <w:pPr>
      <w:suppressAutoHyphens w:val="0"/>
      <w:spacing w:line="240" w:lineRule="auto"/>
      <w:jc w:val="both"/>
    </w:pPr>
    <w:rPr>
      <w:sz w:val="24"/>
    </w:rPr>
  </w:style>
  <w:style w:type="paragraph" w:styleId="BodyTextIndent">
    <w:name w:val="Body Text Indent"/>
    <w:basedOn w:val="Normal"/>
    <w:pPr>
      <w:spacing w:after="120"/>
      <w:ind w:left="283"/>
    </w:pPr>
  </w:style>
  <w:style w:type="paragraph" w:customStyle="1" w:styleId="Default">
    <w:name w:val="Default"/>
    <w:pPr>
      <w:widowControl w:val="0"/>
      <w:autoSpaceDE w:val="0"/>
      <w:autoSpaceDN w:val="0"/>
      <w:adjustRightInd w:val="0"/>
    </w:pPr>
    <w:rPr>
      <w:color w:val="000000"/>
      <w:sz w:val="24"/>
      <w:szCs w:val="24"/>
      <w:lang w:val="en-US" w:eastAsia="en-US"/>
    </w:rPr>
  </w:style>
  <w:style w:type="paragraph" w:styleId="BodyText2">
    <w:name w:val="Body Text 2"/>
    <w:basedOn w:val="Normal"/>
    <w:pPr>
      <w:spacing w:after="120" w:line="480" w:lineRule="auto"/>
    </w:pPr>
  </w:style>
  <w:style w:type="character" w:customStyle="1" w:styleId="H1GChar">
    <w:name w:val="_ H_1_G Char"/>
    <w:link w:val="H1G"/>
    <w:rPr>
      <w:b/>
      <w:sz w:val="24"/>
      <w:lang w:eastAsia="en-US"/>
    </w:rPr>
  </w:style>
  <w:style w:type="character" w:customStyle="1" w:styleId="SingleTxtGZchn">
    <w:name w:val="_ Single Txt_G Zchn"/>
    <w:link w:val="SingleTxtG"/>
    <w:rPr>
      <w:lang w:eastAsia="en-US"/>
    </w:rPr>
  </w:style>
  <w:style w:type="paragraph" w:styleId="ListParagraph">
    <w:name w:val="List Paragraph"/>
    <w:basedOn w:val="Normal"/>
    <w:uiPriority w:val="34"/>
    <w:qFormat/>
    <w:rsid w:val="00B950F6"/>
    <w:pPr>
      <w:suppressAutoHyphens w:val="0"/>
      <w:spacing w:line="240" w:lineRule="auto"/>
      <w:ind w:left="720"/>
      <w:jc w:val="both"/>
    </w:pPr>
    <w:rPr>
      <w:rFonts w:eastAsia="SimSu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Footer">
    <w:name w:val="footer"/>
    <w:aliases w:val="3_G"/>
    <w:basedOn w:val="Normal"/>
    <w:pPr>
      <w:spacing w:line="240" w:lineRule="auto"/>
    </w:pPr>
    <w:rPr>
      <w:sz w:val="16"/>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ChGChar">
    <w:name w:val="_ H _Ch_G Char"/>
    <w:link w:val="HChG"/>
    <w:rPr>
      <w:b/>
      <w:sz w:val="28"/>
      <w:lang w:val="en-GB" w:eastAsia="en-US" w:bidi="ar-SA"/>
    </w:rPr>
  </w:style>
  <w:style w:type="paragraph" w:styleId="BodyText">
    <w:name w:val="Body Text"/>
    <w:basedOn w:val="Normal"/>
    <w:pPr>
      <w:suppressAutoHyphens w:val="0"/>
      <w:spacing w:line="240" w:lineRule="auto"/>
      <w:jc w:val="both"/>
    </w:pPr>
    <w:rPr>
      <w:sz w:val="24"/>
    </w:rPr>
  </w:style>
  <w:style w:type="paragraph" w:styleId="BodyTextIndent">
    <w:name w:val="Body Text Indent"/>
    <w:basedOn w:val="Normal"/>
    <w:pPr>
      <w:spacing w:after="120"/>
      <w:ind w:left="283"/>
    </w:pPr>
  </w:style>
  <w:style w:type="paragraph" w:customStyle="1" w:styleId="Default">
    <w:name w:val="Default"/>
    <w:pPr>
      <w:widowControl w:val="0"/>
      <w:autoSpaceDE w:val="0"/>
      <w:autoSpaceDN w:val="0"/>
      <w:adjustRightInd w:val="0"/>
    </w:pPr>
    <w:rPr>
      <w:color w:val="000000"/>
      <w:sz w:val="24"/>
      <w:szCs w:val="24"/>
      <w:lang w:val="en-US" w:eastAsia="en-US"/>
    </w:rPr>
  </w:style>
  <w:style w:type="paragraph" w:styleId="BodyText2">
    <w:name w:val="Body Text 2"/>
    <w:basedOn w:val="Normal"/>
    <w:pPr>
      <w:spacing w:after="120" w:line="480" w:lineRule="auto"/>
    </w:pPr>
  </w:style>
  <w:style w:type="character" w:customStyle="1" w:styleId="H1GChar">
    <w:name w:val="_ H_1_G Char"/>
    <w:link w:val="H1G"/>
    <w:rPr>
      <w:b/>
      <w:sz w:val="24"/>
      <w:lang w:eastAsia="en-US"/>
    </w:rPr>
  </w:style>
  <w:style w:type="character" w:customStyle="1" w:styleId="SingleTxtGZchn">
    <w:name w:val="_ Single Txt_G Zchn"/>
    <w:link w:val="SingleTxtG"/>
    <w:rPr>
      <w:lang w:eastAsia="en-US"/>
    </w:rPr>
  </w:style>
  <w:style w:type="paragraph" w:styleId="ListParagraph">
    <w:name w:val="List Paragraph"/>
    <w:basedOn w:val="Normal"/>
    <w:uiPriority w:val="34"/>
    <w:qFormat/>
    <w:rsid w:val="00B950F6"/>
    <w:pPr>
      <w:suppressAutoHyphens w:val="0"/>
      <w:spacing w:line="240" w:lineRule="auto"/>
      <w:ind w:left="720"/>
      <w:jc w:val="both"/>
    </w:pPr>
    <w:rPr>
      <w:rFonts w:eastAsia="SimSu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01733">
      <w:bodyDiv w:val="1"/>
      <w:marLeft w:val="0"/>
      <w:marRight w:val="0"/>
      <w:marTop w:val="0"/>
      <w:marBottom w:val="0"/>
      <w:divBdr>
        <w:top w:val="none" w:sz="0" w:space="0" w:color="auto"/>
        <w:left w:val="none" w:sz="0" w:space="0" w:color="auto"/>
        <w:bottom w:val="none" w:sz="0" w:space="0" w:color="auto"/>
        <w:right w:val="none" w:sz="0" w:space="0" w:color="auto"/>
      </w:divBdr>
    </w:div>
    <w:div w:id="407658782">
      <w:bodyDiv w:val="1"/>
      <w:marLeft w:val="0"/>
      <w:marRight w:val="0"/>
      <w:marTop w:val="0"/>
      <w:marBottom w:val="0"/>
      <w:divBdr>
        <w:top w:val="none" w:sz="0" w:space="0" w:color="auto"/>
        <w:left w:val="none" w:sz="0" w:space="0" w:color="auto"/>
        <w:bottom w:val="none" w:sz="0" w:space="0" w:color="auto"/>
        <w:right w:val="none" w:sz="0" w:space="0" w:color="auto"/>
      </w:divBdr>
    </w:div>
    <w:div w:id="58144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8BA40-AAF1-44D0-8C0D-E908D2575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17</TotalTime>
  <Pages>2</Pages>
  <Words>522</Words>
  <Characters>2977</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UN/SCEGHS/19/INF</vt:lpstr>
      <vt:lpstr>UN/SCEGHS/19/INF</vt:lpstr>
    </vt:vector>
  </TitlesOfParts>
  <Company>CSD</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6</cp:revision>
  <cp:lastPrinted>2017-11-16T09:36:00Z</cp:lastPrinted>
  <dcterms:created xsi:type="dcterms:W3CDTF">2017-11-16T09:16:00Z</dcterms:created>
  <dcterms:modified xsi:type="dcterms:W3CDTF">2017-11-16T09:36:00Z</dcterms:modified>
</cp:coreProperties>
</file>