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0" w:tblpY="568"/>
        <w:tblOverlap w:val="never"/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99001C" w:rsidRPr="007E344F" w14:paraId="4A314927" w14:textId="77777777" w:rsidTr="00DE47FC">
        <w:trPr>
          <w:cantSplit/>
          <w:trHeight w:hRule="exact" w:val="851"/>
        </w:trPr>
        <w:tc>
          <w:tcPr>
            <w:tcW w:w="9644" w:type="dxa"/>
            <w:tcBorders>
              <w:bottom w:val="single" w:sz="4" w:space="0" w:color="auto"/>
            </w:tcBorders>
          </w:tcPr>
          <w:p w14:paraId="59CDE0AE" w14:textId="2E511E43" w:rsidR="0099001C" w:rsidRPr="007E344F" w:rsidRDefault="0099001C" w:rsidP="00197785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0A07EB">
              <w:rPr>
                <w:b/>
                <w:sz w:val="40"/>
                <w:szCs w:val="40"/>
              </w:rPr>
              <w:t>51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3F30D7">
              <w:rPr>
                <w:b/>
                <w:sz w:val="40"/>
                <w:szCs w:val="40"/>
              </w:rPr>
              <w:t>8</w:t>
            </w:r>
          </w:p>
        </w:tc>
      </w:tr>
      <w:tr w:rsidR="0099001C" w:rsidRPr="007E344F" w14:paraId="0313627A" w14:textId="77777777" w:rsidTr="00197785">
        <w:trPr>
          <w:cantSplit/>
          <w:trHeight w:hRule="exact" w:val="2558"/>
        </w:trPr>
        <w:tc>
          <w:tcPr>
            <w:tcW w:w="9644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3AF669E2" w:rsidR="00A805EB" w:rsidRPr="007E344F" w:rsidRDefault="00A805EB" w:rsidP="00197785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0A07EB">
              <w:rPr>
                <w:b/>
              </w:rPr>
              <w:t>2</w:t>
            </w:r>
            <w:r w:rsidR="003F30D7">
              <w:rPr>
                <w:b/>
              </w:rPr>
              <w:t>9</w:t>
            </w:r>
            <w:r w:rsidR="000A07EB">
              <w:rPr>
                <w:b/>
              </w:rPr>
              <w:t xml:space="preserve"> May 2017</w:t>
            </w:r>
          </w:p>
          <w:p w14:paraId="3F8C9A4F" w14:textId="77777777" w:rsidR="00A805EB" w:rsidRPr="007E344F" w:rsidRDefault="000A07EB" w:rsidP="00197785">
            <w:pPr>
              <w:spacing w:before="120"/>
              <w:rPr>
                <w:b/>
              </w:rPr>
            </w:pPr>
            <w:r>
              <w:rPr>
                <w:b/>
              </w:rPr>
              <w:t>Fifty-first</w:t>
            </w:r>
            <w:r w:rsidR="00DE3A0C" w:rsidRPr="007E344F">
              <w:rPr>
                <w:b/>
              </w:rPr>
              <w:t xml:space="preserve"> </w:t>
            </w:r>
            <w:r w:rsidR="00A805EB" w:rsidRPr="007E344F">
              <w:rPr>
                <w:b/>
              </w:rPr>
              <w:t>session</w:t>
            </w:r>
          </w:p>
          <w:p w14:paraId="1008B220" w14:textId="77777777" w:rsidR="00403098" w:rsidRPr="007E344F" w:rsidRDefault="00403098" w:rsidP="00197785">
            <w:r w:rsidRPr="007E344F">
              <w:t>Geneva</w:t>
            </w:r>
            <w:r w:rsidR="00AA617C">
              <w:t xml:space="preserve">, </w:t>
            </w:r>
            <w:r w:rsidR="000A07EB">
              <w:t>3-7 July 2017</w:t>
            </w:r>
          </w:p>
          <w:p w14:paraId="38A63EE8" w14:textId="77777777" w:rsidR="000A07EB" w:rsidRPr="007B2B1F" w:rsidRDefault="000A07EB" w:rsidP="00197785">
            <w:pPr>
              <w:rPr>
                <w:b/>
              </w:rPr>
            </w:pPr>
            <w:r w:rsidRPr="007B2B1F">
              <w:t>Item 5 (b) of the provisional agenda</w:t>
            </w:r>
            <w:r w:rsidRPr="007B2B1F">
              <w:rPr>
                <w:b/>
              </w:rPr>
              <w:t xml:space="preserve"> </w:t>
            </w:r>
            <w:r w:rsidRPr="007B2B1F">
              <w:rPr>
                <w:b/>
              </w:rPr>
              <w:br/>
              <w:t xml:space="preserve">Transport of gases: miscellaneous </w:t>
            </w:r>
          </w:p>
          <w:p w14:paraId="5CC8167B" w14:textId="77777777" w:rsidR="00317F1A" w:rsidRPr="00D63626" w:rsidRDefault="00317F1A" w:rsidP="00197785">
            <w:pPr>
              <w:spacing w:line="240" w:lineRule="exact"/>
            </w:pPr>
          </w:p>
        </w:tc>
      </w:tr>
    </w:tbl>
    <w:p w14:paraId="19B5841E" w14:textId="77777777" w:rsidR="00100D07" w:rsidRPr="00100D07" w:rsidRDefault="00D63626" w:rsidP="00100D07">
      <w:pPr>
        <w:pStyle w:val="HChG"/>
        <w:rPr>
          <w:lang w:val="en-US"/>
        </w:rPr>
      </w:pPr>
      <w:r>
        <w:tab/>
      </w:r>
      <w:r>
        <w:tab/>
      </w:r>
      <w:r w:rsidR="00197785">
        <w:t xml:space="preserve">Addendum to </w:t>
      </w:r>
      <w:r w:rsidR="00100D07">
        <w:t>Paper ST</w:t>
      </w:r>
      <w:r w:rsidR="00100D07" w:rsidRPr="00100D07">
        <w:rPr>
          <w:lang w:val="en-US"/>
        </w:rPr>
        <w:t>/SG/AC.10/C.3/2017/18</w:t>
      </w:r>
      <w:r w:rsidR="00100D07">
        <w:rPr>
          <w:lang w:val="en-US"/>
        </w:rPr>
        <w:t xml:space="preserve"> – Miscellaneous amendments to Class 2</w:t>
      </w:r>
    </w:p>
    <w:p w14:paraId="639A234D" w14:textId="77777777" w:rsidR="000A07EB" w:rsidRPr="007B2B1F" w:rsidRDefault="000A07EB" w:rsidP="000A07EB">
      <w:pPr>
        <w:pStyle w:val="H1G"/>
        <w:jc w:val="both"/>
      </w:pPr>
      <w:r w:rsidRPr="007B2B1F">
        <w:tab/>
      </w:r>
      <w:r w:rsidRPr="007B2B1F">
        <w:tab/>
        <w:t>Transmitted by the International Organisation for Standardisation (ISO)</w:t>
      </w:r>
    </w:p>
    <w:p w14:paraId="2B493EDB" w14:textId="77777777" w:rsidR="000A07EB" w:rsidRDefault="000A07EB" w:rsidP="000A07EB">
      <w:pPr>
        <w:pStyle w:val="HChG"/>
      </w:pPr>
      <w:r w:rsidRPr="007B2B1F">
        <w:tab/>
      </w:r>
      <w:r w:rsidRPr="007B2B1F">
        <w:tab/>
        <w:t>Introduction</w:t>
      </w:r>
    </w:p>
    <w:p w14:paraId="33FD1108" w14:textId="667B2B7A" w:rsidR="000A07EB" w:rsidRDefault="00100D07" w:rsidP="00724962">
      <w:pPr>
        <w:ind w:left="1134" w:right="1134"/>
        <w:jc w:val="both"/>
      </w:pPr>
      <w:r>
        <w:t>1.</w:t>
      </w:r>
      <w:r>
        <w:tab/>
      </w:r>
      <w:r w:rsidR="00F4068E">
        <w:t>Pr</w:t>
      </w:r>
      <w:r w:rsidR="009334FE">
        <w:t>o</w:t>
      </w:r>
      <w:r w:rsidR="00F4068E">
        <w:t xml:space="preserve">posal </w:t>
      </w:r>
      <w:r w:rsidR="009334FE">
        <w:t xml:space="preserve">2 in paper 2017/18 suggests adding a note </w:t>
      </w:r>
      <w:r w:rsidR="00FC715F">
        <w:t xml:space="preserve">in 6.2.2.7.2 (c) </w:t>
      </w:r>
      <w:r w:rsidR="009334FE">
        <w:t xml:space="preserve">explaining what is meant by </w:t>
      </w:r>
      <w:r w:rsidR="003F30D7">
        <w:t>“</w:t>
      </w:r>
      <w:r w:rsidR="009334FE">
        <w:t xml:space="preserve">the </w:t>
      </w:r>
      <w:r w:rsidR="003F30D7">
        <w:t>country of approval”</w:t>
      </w:r>
      <w:r w:rsidR="00FC715F">
        <w:t xml:space="preserve">. </w:t>
      </w:r>
      <w:r w:rsidR="00334311">
        <w:t>The text of 6.2.2.7.2 (c) is repeated in 6.2.2.9.2 (c) w</w:t>
      </w:r>
      <w:r w:rsidR="00FC715F">
        <w:t>here</w:t>
      </w:r>
      <w:r w:rsidR="00334311">
        <w:t xml:space="preserve"> the marks </w:t>
      </w:r>
      <w:r w:rsidR="00724962">
        <w:t>to be applied to</w:t>
      </w:r>
      <w:r w:rsidR="00334311">
        <w:t xml:space="preserve"> UN metal hydride storage systems</w:t>
      </w:r>
      <w:r w:rsidR="00FC715F">
        <w:t xml:space="preserve"> are specified</w:t>
      </w:r>
      <w:r w:rsidR="00334311">
        <w:t>.</w:t>
      </w:r>
      <w:r w:rsidR="003F30D7">
        <w:t xml:space="preserve"> </w:t>
      </w:r>
      <w:r w:rsidR="00724962">
        <w:t xml:space="preserve">This paper therefore proposes to add the same </w:t>
      </w:r>
      <w:r w:rsidR="00E31970">
        <w:t xml:space="preserve">explanatory </w:t>
      </w:r>
      <w:r w:rsidR="00724962">
        <w:t xml:space="preserve">note in </w:t>
      </w:r>
      <w:r w:rsidR="00FC715F">
        <w:t>6.2.2.9.2 (c)</w:t>
      </w:r>
      <w:r w:rsidR="00724962">
        <w:t xml:space="preserve"> also. </w:t>
      </w:r>
      <w:r w:rsidR="00DE47FC">
        <w:t xml:space="preserve"> </w:t>
      </w:r>
    </w:p>
    <w:p w14:paraId="0E831F99" w14:textId="77777777" w:rsidR="00724962" w:rsidRDefault="00724962" w:rsidP="00724962">
      <w:pPr>
        <w:pStyle w:val="HChG"/>
      </w:pPr>
      <w:r>
        <w:tab/>
      </w:r>
      <w:r>
        <w:tab/>
        <w:t xml:space="preserve">Revised </w:t>
      </w:r>
      <w:r w:rsidRPr="00724962">
        <w:t>Proposal</w:t>
      </w:r>
      <w:r>
        <w:t xml:space="preserve"> 2</w:t>
      </w:r>
    </w:p>
    <w:p w14:paraId="575FF331" w14:textId="77777777" w:rsidR="00724962" w:rsidRPr="00724962" w:rsidRDefault="00724962" w:rsidP="00724962">
      <w:pPr>
        <w:ind w:left="1134" w:right="1134"/>
        <w:jc w:val="both"/>
        <w:rPr>
          <w:lang w:val="en-US"/>
        </w:rPr>
      </w:pPr>
      <w:r>
        <w:t>2.</w:t>
      </w:r>
      <w:r>
        <w:tab/>
      </w:r>
      <w:r w:rsidRPr="00724962">
        <w:rPr>
          <w:lang w:val="en-US"/>
        </w:rPr>
        <w:t>Add the following new Note immediately after 6.2.2.7.2 (c) </w:t>
      </w:r>
      <w:r>
        <w:rPr>
          <w:lang w:val="en-US"/>
        </w:rPr>
        <w:t>and 6.2.2.9.2 (c)</w:t>
      </w:r>
    </w:p>
    <w:p w14:paraId="17018B00" w14:textId="77777777" w:rsidR="00724962" w:rsidRDefault="00724962" w:rsidP="00724962">
      <w:pPr>
        <w:ind w:left="1134" w:right="1134"/>
        <w:jc w:val="both"/>
        <w:rPr>
          <w:b/>
          <w:bCs/>
          <w:i/>
          <w:iCs/>
          <w:lang w:val="en-US"/>
        </w:rPr>
      </w:pPr>
    </w:p>
    <w:p w14:paraId="313E3D91" w14:textId="77777777" w:rsidR="00724962" w:rsidRPr="00724962" w:rsidRDefault="00724962" w:rsidP="00724962">
      <w:pPr>
        <w:ind w:left="1134" w:right="1134"/>
        <w:jc w:val="both"/>
        <w:rPr>
          <w:lang w:val="en-US"/>
        </w:rPr>
      </w:pPr>
      <w:r w:rsidRPr="00724962">
        <w:rPr>
          <w:b/>
          <w:bCs/>
          <w:i/>
          <w:iCs/>
          <w:lang w:val="en-US"/>
        </w:rPr>
        <w:t xml:space="preserve">NOTE: </w:t>
      </w:r>
      <w:r w:rsidRPr="00724962">
        <w:rPr>
          <w:i/>
          <w:iCs/>
          <w:lang w:val="en-US"/>
        </w:rPr>
        <w:t>The country of approval shall be understood to be the country that approved the body which inspected the individual receptacle at the time of manufacture. </w:t>
      </w:r>
    </w:p>
    <w:p w14:paraId="3BCCB0DA" w14:textId="77777777" w:rsidR="00724962" w:rsidRPr="00724962" w:rsidRDefault="00724962" w:rsidP="00724962">
      <w:pPr>
        <w:ind w:left="1134"/>
      </w:pPr>
    </w:p>
    <w:p w14:paraId="36A9787B" w14:textId="77777777" w:rsidR="00D63626" w:rsidRPr="003F30D7" w:rsidRDefault="00724962" w:rsidP="00724962">
      <w:pPr>
        <w:jc w:val="center"/>
      </w:pPr>
      <w:r w:rsidRPr="003F30D7">
        <w:t>_____________________</w:t>
      </w:r>
    </w:p>
    <w:sectPr w:rsidR="00D63626" w:rsidRPr="003F30D7" w:rsidSect="00990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50812" w14:textId="77777777" w:rsidR="00535F9E" w:rsidRDefault="00535F9E"/>
  </w:endnote>
  <w:endnote w:type="continuationSeparator" w:id="0">
    <w:p w14:paraId="5E887D0C" w14:textId="77777777" w:rsidR="00535F9E" w:rsidRDefault="00535F9E"/>
  </w:endnote>
  <w:endnote w:type="continuationNotice" w:id="1">
    <w:p w14:paraId="5D136279" w14:textId="77777777" w:rsidR="00535F9E" w:rsidRDefault="00535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3016" w14:textId="77777777"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99A7" w14:textId="77777777"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8FA04" w14:textId="1E3FE055" w:rsidR="00DE47FC" w:rsidRPr="003F30D7" w:rsidRDefault="00DE47FC" w:rsidP="003F3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125B" w14:textId="77777777" w:rsidR="00535F9E" w:rsidRPr="000B175B" w:rsidRDefault="00535F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2A7139" w14:textId="77777777" w:rsidR="00535F9E" w:rsidRPr="00FC68B7" w:rsidRDefault="00535F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4D4DB0" w14:textId="77777777" w:rsidR="00535F9E" w:rsidRDefault="00535F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E4FF" w14:textId="77777777" w:rsidR="00DE47FC" w:rsidRPr="0099001C" w:rsidRDefault="00DE47FC" w:rsidP="00DE3A0C">
    <w:pPr>
      <w:pStyle w:val="Header"/>
    </w:pPr>
    <w:r>
      <w:t>UN/SCETDG/37/INF.30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0B807" w14:textId="77777777" w:rsidR="00DE47FC" w:rsidRPr="0099001C" w:rsidRDefault="00DE47FC" w:rsidP="00DE3A0C">
    <w:pPr>
      <w:pStyle w:val="Header"/>
      <w:jc w:val="right"/>
    </w:pPr>
    <w:r w:rsidRPr="007E344F">
      <w:t>UN/SCETDG/37/INF.</w:t>
    </w:r>
    <w:r>
      <w:t>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737A8" w14:textId="77777777" w:rsidR="00DE47FC" w:rsidRDefault="00DE47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4378"/>
    <w:rsid w:val="0003119F"/>
    <w:rsid w:val="00050F6B"/>
    <w:rsid w:val="00072C8C"/>
    <w:rsid w:val="000931C0"/>
    <w:rsid w:val="0009555B"/>
    <w:rsid w:val="000A07EB"/>
    <w:rsid w:val="000B175B"/>
    <w:rsid w:val="000B3A0F"/>
    <w:rsid w:val="000C6041"/>
    <w:rsid w:val="000E0415"/>
    <w:rsid w:val="00100D07"/>
    <w:rsid w:val="00111DF0"/>
    <w:rsid w:val="001220B8"/>
    <w:rsid w:val="00150F95"/>
    <w:rsid w:val="00161D70"/>
    <w:rsid w:val="00180C41"/>
    <w:rsid w:val="00197785"/>
    <w:rsid w:val="001A0FC9"/>
    <w:rsid w:val="001B2357"/>
    <w:rsid w:val="001B4B04"/>
    <w:rsid w:val="001B5ACD"/>
    <w:rsid w:val="001C6663"/>
    <w:rsid w:val="001C7895"/>
    <w:rsid w:val="001D26DF"/>
    <w:rsid w:val="001D3183"/>
    <w:rsid w:val="001E0674"/>
    <w:rsid w:val="00201ADA"/>
    <w:rsid w:val="002101F1"/>
    <w:rsid w:val="00211E0B"/>
    <w:rsid w:val="0022014D"/>
    <w:rsid w:val="002405A7"/>
    <w:rsid w:val="00274D48"/>
    <w:rsid w:val="00284DC3"/>
    <w:rsid w:val="002A78B1"/>
    <w:rsid w:val="002C5CF3"/>
    <w:rsid w:val="002E21F0"/>
    <w:rsid w:val="002E42C4"/>
    <w:rsid w:val="00307FFE"/>
    <w:rsid w:val="003107FA"/>
    <w:rsid w:val="00314A63"/>
    <w:rsid w:val="00317F1A"/>
    <w:rsid w:val="003229D8"/>
    <w:rsid w:val="00334311"/>
    <w:rsid w:val="0033745A"/>
    <w:rsid w:val="003452D6"/>
    <w:rsid w:val="003503B1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F1ED3"/>
    <w:rsid w:val="003F30D7"/>
    <w:rsid w:val="00403098"/>
    <w:rsid w:val="00404E53"/>
    <w:rsid w:val="00417B26"/>
    <w:rsid w:val="004270F6"/>
    <w:rsid w:val="004325CB"/>
    <w:rsid w:val="00437DB4"/>
    <w:rsid w:val="00446DE4"/>
    <w:rsid w:val="0045190E"/>
    <w:rsid w:val="00451982"/>
    <w:rsid w:val="00453178"/>
    <w:rsid w:val="004A41CA"/>
    <w:rsid w:val="004E302A"/>
    <w:rsid w:val="004F15A6"/>
    <w:rsid w:val="004F537F"/>
    <w:rsid w:val="00503228"/>
    <w:rsid w:val="00504608"/>
    <w:rsid w:val="00505384"/>
    <w:rsid w:val="00510C3B"/>
    <w:rsid w:val="00535F9E"/>
    <w:rsid w:val="005420F2"/>
    <w:rsid w:val="0054603C"/>
    <w:rsid w:val="005627B5"/>
    <w:rsid w:val="00564203"/>
    <w:rsid w:val="00564A8C"/>
    <w:rsid w:val="005A3220"/>
    <w:rsid w:val="005B3DB3"/>
    <w:rsid w:val="005D1C32"/>
    <w:rsid w:val="005F0DD1"/>
    <w:rsid w:val="005F72E1"/>
    <w:rsid w:val="00600B19"/>
    <w:rsid w:val="00602B95"/>
    <w:rsid w:val="00611FC4"/>
    <w:rsid w:val="006176FB"/>
    <w:rsid w:val="00627ED0"/>
    <w:rsid w:val="0063050A"/>
    <w:rsid w:val="00640B26"/>
    <w:rsid w:val="0066387E"/>
    <w:rsid w:val="00665595"/>
    <w:rsid w:val="00685B23"/>
    <w:rsid w:val="006A7392"/>
    <w:rsid w:val="006B7086"/>
    <w:rsid w:val="006E32FA"/>
    <w:rsid w:val="006E3B52"/>
    <w:rsid w:val="006E535C"/>
    <w:rsid w:val="006E564B"/>
    <w:rsid w:val="006F73EE"/>
    <w:rsid w:val="00701292"/>
    <w:rsid w:val="007017DA"/>
    <w:rsid w:val="00724962"/>
    <w:rsid w:val="0072632A"/>
    <w:rsid w:val="007303B2"/>
    <w:rsid w:val="00730810"/>
    <w:rsid w:val="00732639"/>
    <w:rsid w:val="00733AAE"/>
    <w:rsid w:val="0079511F"/>
    <w:rsid w:val="00797762"/>
    <w:rsid w:val="007B4BEC"/>
    <w:rsid w:val="007B6BA5"/>
    <w:rsid w:val="007B7918"/>
    <w:rsid w:val="007C3390"/>
    <w:rsid w:val="007C4F4B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414"/>
    <w:rsid w:val="008242D7"/>
    <w:rsid w:val="00827E05"/>
    <w:rsid w:val="008311A3"/>
    <w:rsid w:val="00835EB6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F02A0"/>
    <w:rsid w:val="008F321A"/>
    <w:rsid w:val="00906526"/>
    <w:rsid w:val="00907AD2"/>
    <w:rsid w:val="009111C7"/>
    <w:rsid w:val="00915D65"/>
    <w:rsid w:val="0092654D"/>
    <w:rsid w:val="009334FE"/>
    <w:rsid w:val="00963CBA"/>
    <w:rsid w:val="00974A8D"/>
    <w:rsid w:val="0099001C"/>
    <w:rsid w:val="00991261"/>
    <w:rsid w:val="009A00F2"/>
    <w:rsid w:val="009A1A51"/>
    <w:rsid w:val="009D04D9"/>
    <w:rsid w:val="009D2BF9"/>
    <w:rsid w:val="009F277A"/>
    <w:rsid w:val="009F3A17"/>
    <w:rsid w:val="009F3AEC"/>
    <w:rsid w:val="00A11117"/>
    <w:rsid w:val="00A1427D"/>
    <w:rsid w:val="00A178D3"/>
    <w:rsid w:val="00A36006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D741B"/>
    <w:rsid w:val="00AE1A34"/>
    <w:rsid w:val="00B16223"/>
    <w:rsid w:val="00B30179"/>
    <w:rsid w:val="00B33EC0"/>
    <w:rsid w:val="00B81E12"/>
    <w:rsid w:val="00B82575"/>
    <w:rsid w:val="00B84573"/>
    <w:rsid w:val="00B902A6"/>
    <w:rsid w:val="00BA02A0"/>
    <w:rsid w:val="00BA177E"/>
    <w:rsid w:val="00BA1781"/>
    <w:rsid w:val="00BB2C95"/>
    <w:rsid w:val="00BC413E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36701"/>
    <w:rsid w:val="00C41A28"/>
    <w:rsid w:val="00C463DD"/>
    <w:rsid w:val="00C745C3"/>
    <w:rsid w:val="00CE4A8F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1BB9"/>
    <w:rsid w:val="00D83CD1"/>
    <w:rsid w:val="00D87B56"/>
    <w:rsid w:val="00D978C6"/>
    <w:rsid w:val="00DA67AD"/>
    <w:rsid w:val="00DB5D0F"/>
    <w:rsid w:val="00DB5E48"/>
    <w:rsid w:val="00DC3242"/>
    <w:rsid w:val="00DD6A25"/>
    <w:rsid w:val="00DE3A0C"/>
    <w:rsid w:val="00DE47FC"/>
    <w:rsid w:val="00DF12F7"/>
    <w:rsid w:val="00E02C81"/>
    <w:rsid w:val="00E130AB"/>
    <w:rsid w:val="00E31970"/>
    <w:rsid w:val="00E56114"/>
    <w:rsid w:val="00E61967"/>
    <w:rsid w:val="00E66A1A"/>
    <w:rsid w:val="00E7260F"/>
    <w:rsid w:val="00E87921"/>
    <w:rsid w:val="00E903CF"/>
    <w:rsid w:val="00E96630"/>
    <w:rsid w:val="00EA264E"/>
    <w:rsid w:val="00ED7A2A"/>
    <w:rsid w:val="00EE20B2"/>
    <w:rsid w:val="00EF1D7F"/>
    <w:rsid w:val="00F033C8"/>
    <w:rsid w:val="00F10CCD"/>
    <w:rsid w:val="00F16F22"/>
    <w:rsid w:val="00F4068E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C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1B8B-1F3C-48D3-A89F-CC274AD3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</cp:revision>
  <cp:lastPrinted>2016-10-27T05:45:00Z</cp:lastPrinted>
  <dcterms:created xsi:type="dcterms:W3CDTF">2017-05-30T05:36:00Z</dcterms:created>
  <dcterms:modified xsi:type="dcterms:W3CDTF">2017-05-30T05:36:00Z</dcterms:modified>
</cp:coreProperties>
</file>