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E30E3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E30E39" w:rsidP="00E30E39">
            <w:pPr>
              <w:jc w:val="right"/>
            </w:pPr>
            <w:r w:rsidRPr="00E30E39">
              <w:rPr>
                <w:sz w:val="40"/>
              </w:rPr>
              <w:t>ST</w:t>
            </w:r>
            <w:r>
              <w:t>/SG/AC.10/C.3/104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30E39" w:rsidP="00F01738">
            <w:pPr>
              <w:spacing w:before="240"/>
            </w:pPr>
            <w:r>
              <w:t>Distr. générale</w:t>
            </w:r>
          </w:p>
          <w:p w:rsidR="00E30E39" w:rsidRDefault="00E30E39" w:rsidP="00E30E39">
            <w:pPr>
              <w:spacing w:line="240" w:lineRule="exact"/>
            </w:pPr>
            <w:r>
              <w:t>15 janvier 2018</w:t>
            </w:r>
          </w:p>
          <w:p w:rsidR="00E30E39" w:rsidRDefault="00E30E39" w:rsidP="00E30E39">
            <w:pPr>
              <w:spacing w:line="240" w:lineRule="exact"/>
            </w:pPr>
            <w:r>
              <w:t>Français</w:t>
            </w:r>
          </w:p>
          <w:p w:rsidR="00E30E39" w:rsidRPr="00DB58B5" w:rsidRDefault="00E30E39" w:rsidP="00E30E39">
            <w:pPr>
              <w:spacing w:line="240" w:lineRule="exact"/>
            </w:pPr>
            <w:r>
              <w:t>Original : anglais</w:t>
            </w:r>
          </w:p>
        </w:tc>
      </w:tr>
    </w:tbl>
    <w:p w:rsidR="00E30E39" w:rsidRPr="00CA0680" w:rsidRDefault="00E30E39" w:rsidP="005D0100">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E30E39" w:rsidRPr="009D5CDE" w:rsidRDefault="00E30E39" w:rsidP="005D0100">
      <w:pPr>
        <w:spacing w:before="120"/>
        <w:rPr>
          <w:b/>
          <w:bCs/>
          <w:sz w:val="24"/>
        </w:rPr>
      </w:pPr>
      <w:bookmarkStart w:id="1" w:name="_Hlk507352766"/>
      <w:r w:rsidRPr="00CA0680">
        <w:rPr>
          <w:b/>
        </w:rPr>
        <w:t>Sous</w:t>
      </w:r>
      <w:r>
        <w:rPr>
          <w:b/>
        </w:rPr>
        <w:t>-</w:t>
      </w:r>
      <w:r w:rsidRPr="00CA0680">
        <w:rPr>
          <w:b/>
        </w:rPr>
        <w:t>Comité d</w:t>
      </w:r>
      <w:r>
        <w:rPr>
          <w:b/>
        </w:rPr>
        <w:t>’</w:t>
      </w:r>
      <w:r w:rsidRPr="00CA0680">
        <w:rPr>
          <w:b/>
        </w:rPr>
        <w:t>experts du transport des marchandises dangereuses</w:t>
      </w:r>
      <w:bookmarkEnd w:id="1"/>
    </w:p>
    <w:p w:rsidR="00E30E39" w:rsidRPr="00DE4FBC" w:rsidRDefault="00E30E39" w:rsidP="005D0100">
      <w:pPr>
        <w:pStyle w:val="HChG"/>
        <w:rPr>
          <w:lang w:val="fr-FR"/>
        </w:rPr>
      </w:pPr>
      <w:r w:rsidRPr="00DE4FBC">
        <w:rPr>
          <w:lang w:val="fr-FR"/>
        </w:rPr>
        <w:tab/>
      </w:r>
      <w:r w:rsidRPr="00DE4FBC">
        <w:rPr>
          <w:lang w:val="fr-FR"/>
        </w:rPr>
        <w:tab/>
        <w:t>R</w:t>
      </w:r>
      <w:r>
        <w:rPr>
          <w:lang w:val="fr-FR"/>
        </w:rPr>
        <w:t>ap</w:t>
      </w:r>
      <w:r w:rsidRPr="00DE4FBC">
        <w:rPr>
          <w:lang w:val="fr-FR"/>
        </w:rPr>
        <w:t xml:space="preserve">port </w:t>
      </w:r>
      <w:r>
        <w:rPr>
          <w:lang w:val="fr-FR"/>
        </w:rPr>
        <w:t xml:space="preserve">du </w:t>
      </w:r>
      <w:r w:rsidRPr="00CA0680">
        <w:t>Sous</w:t>
      </w:r>
      <w:r>
        <w:t>-</w:t>
      </w:r>
      <w:r w:rsidRPr="00CA0680">
        <w:t>Comité d</w:t>
      </w:r>
      <w:r>
        <w:t>’</w:t>
      </w:r>
      <w:r w:rsidRPr="00CA0680">
        <w:t xml:space="preserve">experts </w:t>
      </w:r>
      <w:r w:rsidR="005D0100">
        <w:br/>
      </w:r>
      <w:r w:rsidRPr="00CA0680">
        <w:t>du transport des marchandises dangereuses</w:t>
      </w:r>
      <w:r w:rsidRPr="00DE4FBC">
        <w:rPr>
          <w:lang w:val="fr-FR"/>
        </w:rPr>
        <w:t xml:space="preserve"> </w:t>
      </w:r>
      <w:r w:rsidR="005D0100">
        <w:rPr>
          <w:lang w:val="fr-FR"/>
        </w:rPr>
        <w:br/>
      </w:r>
      <w:r>
        <w:rPr>
          <w:lang w:val="fr-FR"/>
        </w:rPr>
        <w:t xml:space="preserve">sur sa cinquante-deuxième </w:t>
      </w:r>
      <w:r w:rsidRPr="00DE4FBC">
        <w:rPr>
          <w:lang w:val="fr-FR"/>
        </w:rPr>
        <w:t>session</w:t>
      </w:r>
    </w:p>
    <w:p w:rsidR="00E30E39" w:rsidRDefault="00E30E39" w:rsidP="005D0100">
      <w:pPr>
        <w:pStyle w:val="H56G"/>
        <w:rPr>
          <w:lang w:val="fr-FR"/>
        </w:rPr>
      </w:pPr>
      <w:r w:rsidRPr="00DE4FBC">
        <w:rPr>
          <w:lang w:val="fr-FR"/>
        </w:rPr>
        <w:tab/>
      </w:r>
      <w:r w:rsidRPr="00DE4FBC">
        <w:rPr>
          <w:lang w:val="fr-FR"/>
        </w:rPr>
        <w:tab/>
      </w:r>
      <w:r w:rsidR="005D0100">
        <w:rPr>
          <w:lang w:val="fr-FR"/>
        </w:rPr>
        <w:t xml:space="preserve">tenue </w:t>
      </w:r>
      <w:r>
        <w:rPr>
          <w:lang w:val="fr-FR"/>
        </w:rPr>
        <w:t>à</w:t>
      </w:r>
      <w:r w:rsidRPr="00DE4FBC">
        <w:rPr>
          <w:lang w:val="fr-FR"/>
        </w:rPr>
        <w:t xml:space="preserve"> </w:t>
      </w:r>
      <w:r w:rsidRPr="00A00C19">
        <w:rPr>
          <w:lang w:val="fr-FR"/>
        </w:rPr>
        <w:t>Genève</w:t>
      </w:r>
      <w:r>
        <w:rPr>
          <w:lang w:val="fr-FR"/>
        </w:rPr>
        <w:t xml:space="preserve"> du</w:t>
      </w:r>
      <w:r w:rsidRPr="00A00C19">
        <w:rPr>
          <w:lang w:val="fr-FR"/>
        </w:rPr>
        <w:t xml:space="preserve"> 27</w:t>
      </w:r>
      <w:r w:rsidR="005D0100">
        <w:rPr>
          <w:lang w:val="fr-FR"/>
        </w:rPr>
        <w:t> </w:t>
      </w:r>
      <w:r w:rsidRPr="00A00C19">
        <w:rPr>
          <w:lang w:val="fr-FR"/>
        </w:rPr>
        <w:t>novembre</w:t>
      </w:r>
      <w:r>
        <w:rPr>
          <w:lang w:val="fr-FR"/>
        </w:rPr>
        <w:t xml:space="preserve"> au </w:t>
      </w:r>
      <w:r w:rsidRPr="00A00C19">
        <w:rPr>
          <w:lang w:val="fr-FR"/>
        </w:rPr>
        <w:t>6</w:t>
      </w:r>
      <w:r w:rsidR="005D0100">
        <w:rPr>
          <w:lang w:val="fr-FR"/>
        </w:rPr>
        <w:t> </w:t>
      </w:r>
      <w:r w:rsidRPr="00A00C19">
        <w:rPr>
          <w:lang w:val="fr-FR"/>
        </w:rPr>
        <w:t>décembre 2017</w:t>
      </w:r>
    </w:p>
    <w:p w:rsidR="005D0100" w:rsidRPr="005D0100" w:rsidRDefault="005D0100" w:rsidP="005D0100">
      <w:pPr>
        <w:spacing w:before="240" w:after="120"/>
        <w:rPr>
          <w:sz w:val="28"/>
        </w:rPr>
      </w:pPr>
      <w:r w:rsidRPr="005D0100">
        <w:rPr>
          <w:sz w:val="28"/>
        </w:rPr>
        <w:t>Table des matières</w:t>
      </w:r>
    </w:p>
    <w:p w:rsidR="005D0100" w:rsidRPr="005D0100" w:rsidRDefault="005D0100" w:rsidP="005D0100">
      <w:pPr>
        <w:tabs>
          <w:tab w:val="right" w:pos="8929"/>
          <w:tab w:val="right" w:pos="9638"/>
        </w:tabs>
        <w:spacing w:after="120"/>
        <w:ind w:left="283"/>
        <w:rPr>
          <w:i/>
          <w:sz w:val="18"/>
        </w:rPr>
      </w:pPr>
      <w:r w:rsidRPr="005D0100">
        <w:rPr>
          <w:i/>
          <w:sz w:val="18"/>
        </w:rPr>
        <w:tab/>
        <w:t>Paragraphes</w:t>
      </w:r>
      <w:r w:rsidRPr="005D0100">
        <w:rPr>
          <w:i/>
          <w:sz w:val="18"/>
        </w:rPr>
        <w:tab/>
        <w:t>Page</w:t>
      </w:r>
    </w:p>
    <w:p w:rsidR="005D0100" w:rsidRDefault="005D0100" w:rsidP="005D0100">
      <w:pPr>
        <w:tabs>
          <w:tab w:val="right" w:pos="850"/>
          <w:tab w:val="right" w:leader="dot" w:pos="7654"/>
          <w:tab w:val="right" w:pos="8929"/>
          <w:tab w:val="right" w:pos="9638"/>
        </w:tabs>
        <w:spacing w:after="120"/>
        <w:ind w:left="1134" w:hanging="1134"/>
      </w:pPr>
      <w:r>
        <w:tab/>
        <w:t>I.</w:t>
      </w:r>
      <w:r>
        <w:tab/>
      </w:r>
      <w:r w:rsidR="001678E3">
        <w:t>Participation</w:t>
      </w:r>
      <w:r>
        <w:tab/>
      </w:r>
      <w:r>
        <w:tab/>
      </w:r>
      <w:r w:rsidR="003A61EB">
        <w:t>1−6</w:t>
      </w:r>
      <w:r>
        <w:tab/>
      </w:r>
      <w:r w:rsidR="00C013B0">
        <w:t>5</w:t>
      </w:r>
    </w:p>
    <w:p w:rsidR="005D0100" w:rsidRDefault="005D0100" w:rsidP="005D0100">
      <w:pPr>
        <w:tabs>
          <w:tab w:val="right" w:pos="850"/>
          <w:tab w:val="right" w:leader="dot" w:pos="7654"/>
          <w:tab w:val="right" w:pos="8929"/>
          <w:tab w:val="right" w:pos="9638"/>
        </w:tabs>
        <w:spacing w:after="120"/>
        <w:ind w:left="1134" w:hanging="1134"/>
      </w:pPr>
      <w:r>
        <w:tab/>
        <w:t>II.</w:t>
      </w:r>
      <w:r>
        <w:tab/>
      </w:r>
      <w:r w:rsidR="001678E3" w:rsidRPr="00515447">
        <w:t>Questions administratives</w:t>
      </w:r>
      <w:r>
        <w:tab/>
      </w:r>
      <w:r>
        <w:tab/>
      </w:r>
      <w:r w:rsidR="003A61EB">
        <w:t>7−9</w:t>
      </w:r>
      <w:r>
        <w:tab/>
      </w:r>
      <w:r w:rsidR="00C013B0">
        <w:t>5</w:t>
      </w:r>
    </w:p>
    <w:p w:rsidR="005D0100" w:rsidRDefault="005D0100" w:rsidP="005D0100">
      <w:pPr>
        <w:tabs>
          <w:tab w:val="right" w:pos="850"/>
          <w:tab w:val="right" w:leader="dot" w:pos="7654"/>
          <w:tab w:val="right" w:pos="8929"/>
          <w:tab w:val="right" w:pos="9638"/>
        </w:tabs>
        <w:spacing w:after="120"/>
        <w:ind w:left="1134" w:hanging="1134"/>
      </w:pPr>
      <w:r>
        <w:tab/>
        <w:t>III.</w:t>
      </w:r>
      <w:r>
        <w:tab/>
      </w:r>
      <w:r w:rsidR="001678E3" w:rsidRPr="00A964ED">
        <w:t>Adoption de l</w:t>
      </w:r>
      <w:r w:rsidR="001678E3">
        <w:t>’</w:t>
      </w:r>
      <w:r w:rsidR="001678E3" w:rsidRPr="00A964ED">
        <w:t>ordre du jour (point 1 de l</w:t>
      </w:r>
      <w:r w:rsidR="001678E3">
        <w:t>’</w:t>
      </w:r>
      <w:r w:rsidR="001678E3" w:rsidRPr="00A964ED">
        <w:t>ordre du jour)</w:t>
      </w:r>
      <w:r>
        <w:tab/>
      </w:r>
      <w:r>
        <w:tab/>
      </w:r>
      <w:r w:rsidR="003A61EB">
        <w:t>10</w:t>
      </w:r>
      <w:r>
        <w:tab/>
      </w:r>
      <w:r w:rsidR="00C013B0">
        <w:t>6</w:t>
      </w:r>
    </w:p>
    <w:p w:rsidR="005D0100" w:rsidRDefault="005D0100" w:rsidP="005D0100">
      <w:pPr>
        <w:tabs>
          <w:tab w:val="right" w:pos="850"/>
          <w:tab w:val="right" w:leader="dot" w:pos="7654"/>
          <w:tab w:val="right" w:pos="8929"/>
          <w:tab w:val="right" w:pos="9638"/>
        </w:tabs>
        <w:spacing w:after="120"/>
        <w:ind w:left="1134" w:hanging="1134"/>
      </w:pPr>
      <w:r>
        <w:tab/>
        <w:t>IV.</w:t>
      </w:r>
      <w:r>
        <w:tab/>
      </w:r>
      <w:r w:rsidR="001678E3" w:rsidRPr="00435232">
        <w:t>Explosifs et questions connexes (point 2 de l</w:t>
      </w:r>
      <w:r w:rsidR="001678E3">
        <w:t>’</w:t>
      </w:r>
      <w:r w:rsidR="001678E3" w:rsidRPr="00435232">
        <w:t>ordre du jour)</w:t>
      </w:r>
      <w:r>
        <w:tab/>
      </w:r>
      <w:r>
        <w:tab/>
      </w:r>
      <w:r w:rsidR="00C849C6">
        <w:t>11−41</w:t>
      </w:r>
      <w:r>
        <w:tab/>
      </w:r>
      <w:r w:rsidR="00C013B0">
        <w:t>6</w:t>
      </w:r>
    </w:p>
    <w:p w:rsidR="001678E3" w:rsidRDefault="001678E3" w:rsidP="005D0100">
      <w:pPr>
        <w:tabs>
          <w:tab w:val="right" w:pos="850"/>
          <w:tab w:val="right" w:leader="dot" w:pos="7654"/>
          <w:tab w:val="right" w:pos="8929"/>
          <w:tab w:val="right" w:pos="9638"/>
        </w:tabs>
        <w:spacing w:after="120"/>
        <w:ind w:left="1134" w:hanging="1134"/>
      </w:pPr>
      <w:r>
        <w:tab/>
      </w:r>
      <w:r>
        <w:tab/>
      </w:r>
      <w:r w:rsidRPr="008943FD">
        <w:t>Rapport du Groupe de travail des explosifs</w:t>
      </w:r>
      <w:r>
        <w:tab/>
      </w:r>
      <w:r>
        <w:tab/>
      </w:r>
      <w:r w:rsidR="003A61EB">
        <w:t>13</w:t>
      </w:r>
      <w:r>
        <w:tab/>
      </w:r>
      <w:r w:rsidR="00C013B0">
        <w:t>6</w:t>
      </w:r>
    </w:p>
    <w:p w:rsidR="005D0100" w:rsidRDefault="005D0100" w:rsidP="005D0100">
      <w:pPr>
        <w:tabs>
          <w:tab w:val="right" w:leader="dot" w:pos="7654"/>
          <w:tab w:val="right" w:pos="8929"/>
          <w:tab w:val="right" w:pos="9638"/>
        </w:tabs>
        <w:spacing w:after="120"/>
        <w:ind w:left="1559" w:hanging="425"/>
      </w:pPr>
      <w:r>
        <w:t>A.</w:t>
      </w:r>
      <w:r>
        <w:tab/>
      </w:r>
      <w:r w:rsidR="001678E3">
        <w:t xml:space="preserve">Révision des épreuves de la série </w:t>
      </w:r>
      <w:r w:rsidR="001678E3" w:rsidRPr="00DE4FBC">
        <w:rPr>
          <w:lang w:val="fr-FR"/>
        </w:rPr>
        <w:t>6</w:t>
      </w:r>
      <w:r>
        <w:tab/>
      </w:r>
      <w:r>
        <w:tab/>
      </w:r>
      <w:r w:rsidR="003A61EB">
        <w:t>14−15</w:t>
      </w:r>
      <w:r>
        <w:tab/>
      </w:r>
      <w:r w:rsidR="00C013B0">
        <w:t>6</w:t>
      </w:r>
    </w:p>
    <w:p w:rsidR="005D0100" w:rsidRDefault="005D0100" w:rsidP="005D0100">
      <w:pPr>
        <w:tabs>
          <w:tab w:val="right" w:leader="dot" w:pos="7654"/>
          <w:tab w:val="right" w:pos="8929"/>
          <w:tab w:val="right" w:pos="9638"/>
        </w:tabs>
        <w:spacing w:after="120"/>
        <w:ind w:left="1559" w:hanging="425"/>
      </w:pPr>
      <w:r>
        <w:t>B.</w:t>
      </w:r>
      <w:r>
        <w:tab/>
      </w:r>
      <w:r w:rsidR="001678E3" w:rsidRPr="00B5193C">
        <w:rPr>
          <w:lang w:val="fr-FR"/>
        </w:rPr>
        <w:t>Révision des épreuves des parties I, II et III du Manuel d</w:t>
      </w:r>
      <w:r w:rsidR="001678E3">
        <w:rPr>
          <w:lang w:val="fr-FR"/>
        </w:rPr>
        <w:t>’</w:t>
      </w:r>
      <w:r w:rsidR="001678E3" w:rsidRPr="00B5193C">
        <w:rPr>
          <w:lang w:val="fr-FR"/>
        </w:rPr>
        <w:t xml:space="preserve">épreuves </w:t>
      </w:r>
      <w:r w:rsidR="001678E3">
        <w:rPr>
          <w:lang w:val="fr-FR"/>
        </w:rPr>
        <w:br/>
      </w:r>
      <w:r w:rsidR="001678E3" w:rsidRPr="00B5193C">
        <w:rPr>
          <w:lang w:val="fr-FR"/>
        </w:rPr>
        <w:t>et de critères</w:t>
      </w:r>
      <w:r>
        <w:tab/>
      </w:r>
      <w:r>
        <w:tab/>
      </w:r>
      <w:r w:rsidR="003A61EB">
        <w:t>16</w:t>
      </w:r>
      <w:r>
        <w:tab/>
      </w:r>
      <w:r w:rsidR="00C013B0">
        <w:t>7</w:t>
      </w:r>
    </w:p>
    <w:p w:rsidR="005D0100" w:rsidRDefault="005D0100" w:rsidP="005D0100">
      <w:pPr>
        <w:tabs>
          <w:tab w:val="right" w:leader="dot" w:pos="7654"/>
          <w:tab w:val="right" w:pos="8929"/>
          <w:tab w:val="right" w:pos="9638"/>
        </w:tabs>
        <w:spacing w:after="120"/>
        <w:ind w:left="1559" w:hanging="425"/>
      </w:pPr>
      <w:r>
        <w:t>C.</w:t>
      </w:r>
      <w:r>
        <w:tab/>
      </w:r>
      <w:r w:rsidR="001678E3" w:rsidRPr="00B5193C">
        <w:rPr>
          <w:lang w:val="fr-FR"/>
        </w:rPr>
        <w:t>Détonateurs électroniques</w:t>
      </w:r>
      <w:r>
        <w:tab/>
      </w:r>
      <w:r>
        <w:tab/>
      </w:r>
      <w:r w:rsidR="003A61EB">
        <w:t>17</w:t>
      </w:r>
      <w:r>
        <w:tab/>
      </w:r>
      <w:r w:rsidR="00C013B0">
        <w:t>7</w:t>
      </w:r>
    </w:p>
    <w:p w:rsidR="005D0100" w:rsidRDefault="005D0100" w:rsidP="005D0100">
      <w:pPr>
        <w:tabs>
          <w:tab w:val="right" w:leader="dot" w:pos="7654"/>
          <w:tab w:val="right" w:pos="8929"/>
          <w:tab w:val="right" w:pos="9638"/>
        </w:tabs>
        <w:spacing w:after="120"/>
        <w:ind w:left="1559" w:hanging="425"/>
      </w:pPr>
      <w:r>
        <w:t>D.</w:t>
      </w:r>
      <w:r>
        <w:tab/>
      </w:r>
      <w:r w:rsidR="001678E3" w:rsidRPr="00D00697">
        <w:rPr>
          <w:lang w:val="fr-FR"/>
        </w:rPr>
        <w:t>Directives concernant l</w:t>
      </w:r>
      <w:r w:rsidR="001678E3">
        <w:rPr>
          <w:lang w:val="fr-FR"/>
        </w:rPr>
        <w:t>’</w:t>
      </w:r>
      <w:r w:rsidR="001678E3" w:rsidRPr="00D00697">
        <w:rPr>
          <w:lang w:val="fr-FR"/>
        </w:rPr>
        <w:t xml:space="preserve">application des </w:t>
      </w:r>
      <w:r w:rsidR="001678E3">
        <w:rPr>
          <w:lang w:val="fr-FR"/>
        </w:rPr>
        <w:t>épreuves</w:t>
      </w:r>
      <w:r w:rsidR="001678E3" w:rsidRPr="00D00697">
        <w:rPr>
          <w:lang w:val="fr-FR"/>
        </w:rPr>
        <w:t xml:space="preserve"> des séries 3 et 4</w:t>
      </w:r>
      <w:r>
        <w:tab/>
      </w:r>
      <w:r>
        <w:tab/>
      </w:r>
      <w:r w:rsidR="003A61EB">
        <w:t>18</w:t>
      </w:r>
      <w:r>
        <w:tab/>
      </w:r>
      <w:r w:rsidR="00C013B0">
        <w:t>7</w:t>
      </w:r>
    </w:p>
    <w:p w:rsidR="005D0100" w:rsidRDefault="005D0100" w:rsidP="005D0100">
      <w:pPr>
        <w:tabs>
          <w:tab w:val="right" w:leader="dot" w:pos="7654"/>
          <w:tab w:val="right" w:pos="8929"/>
          <w:tab w:val="right" w:pos="9638"/>
        </w:tabs>
        <w:spacing w:after="120"/>
        <w:ind w:left="1559" w:hanging="425"/>
      </w:pPr>
      <w:r>
        <w:t>E.</w:t>
      </w:r>
      <w:r>
        <w:tab/>
      </w:r>
      <w:r w:rsidR="001678E3" w:rsidRPr="00697C97">
        <w:rPr>
          <w:lang w:val="fr-FR"/>
        </w:rPr>
        <w:t>Épreuves de stabilité pour la cellulose industrielle</w:t>
      </w:r>
      <w:r>
        <w:tab/>
      </w:r>
      <w:r>
        <w:tab/>
      </w:r>
      <w:r w:rsidR="003A61EB">
        <w:t>19−22</w:t>
      </w:r>
      <w:r>
        <w:tab/>
      </w:r>
      <w:r w:rsidR="00C013B0">
        <w:t>7</w:t>
      </w:r>
    </w:p>
    <w:p w:rsidR="005D0100" w:rsidRDefault="005D0100" w:rsidP="005D0100">
      <w:pPr>
        <w:tabs>
          <w:tab w:val="right" w:leader="dot" w:pos="7654"/>
          <w:tab w:val="right" w:pos="8929"/>
          <w:tab w:val="right" w:pos="9638"/>
        </w:tabs>
        <w:spacing w:after="120"/>
        <w:ind w:left="1559" w:hanging="425"/>
      </w:pPr>
      <w:r>
        <w:t>F.</w:t>
      </w:r>
      <w:r>
        <w:tab/>
      </w:r>
      <w:r w:rsidR="001678E3" w:rsidRPr="00D21CDD">
        <w:rPr>
          <w:lang w:val="fr-FR"/>
        </w:rPr>
        <w:t xml:space="preserve">Application des dispositions relatives à la sûreté aux explosifs </w:t>
      </w:r>
      <w:r w:rsidR="001678E3">
        <w:rPr>
          <w:lang w:val="fr-FR"/>
        </w:rPr>
        <w:br/>
      </w:r>
      <w:r w:rsidR="001678E3" w:rsidRPr="00D21CDD">
        <w:rPr>
          <w:lang w:val="fr-FR"/>
        </w:rPr>
        <w:t>relevant de rubriques n.s.a</w:t>
      </w:r>
      <w:r w:rsidR="001678E3">
        <w:rPr>
          <w:lang w:val="fr-FR"/>
        </w:rPr>
        <w:t>.</w:t>
      </w:r>
      <w:r>
        <w:tab/>
      </w:r>
      <w:r>
        <w:tab/>
      </w:r>
      <w:r w:rsidR="003A61EB">
        <w:t>23</w:t>
      </w:r>
      <w:r>
        <w:tab/>
      </w:r>
      <w:r w:rsidR="00C013B0">
        <w:t>7</w:t>
      </w:r>
    </w:p>
    <w:p w:rsidR="005D0100" w:rsidRDefault="005D0100" w:rsidP="005D0100">
      <w:pPr>
        <w:tabs>
          <w:tab w:val="right" w:leader="dot" w:pos="7654"/>
          <w:tab w:val="right" w:pos="8929"/>
          <w:tab w:val="right" w:pos="9638"/>
        </w:tabs>
        <w:spacing w:after="120"/>
        <w:ind w:left="1559" w:hanging="425"/>
      </w:pPr>
      <w:r>
        <w:t>G.</w:t>
      </w:r>
      <w:r>
        <w:tab/>
      </w:r>
      <w:r w:rsidR="001678E3" w:rsidRPr="00B93108">
        <w:rPr>
          <w:lang w:val="fr-FR"/>
        </w:rPr>
        <w:t>Révision des instructions d</w:t>
      </w:r>
      <w:r w:rsidR="001678E3">
        <w:rPr>
          <w:lang w:val="fr-FR"/>
        </w:rPr>
        <w:t>’</w:t>
      </w:r>
      <w:r w:rsidR="001678E3" w:rsidRPr="00B93108">
        <w:rPr>
          <w:lang w:val="fr-FR"/>
        </w:rPr>
        <w:t>emballage pour les explosifs</w:t>
      </w:r>
      <w:r>
        <w:tab/>
      </w:r>
      <w:r>
        <w:tab/>
      </w:r>
      <w:r w:rsidR="003A61EB">
        <w:t>24</w:t>
      </w:r>
      <w:r>
        <w:tab/>
      </w:r>
      <w:r w:rsidR="00C013B0">
        <w:t>8</w:t>
      </w:r>
    </w:p>
    <w:p w:rsidR="005D0100" w:rsidRDefault="005D0100" w:rsidP="005D0100">
      <w:pPr>
        <w:tabs>
          <w:tab w:val="right" w:leader="dot" w:pos="7654"/>
          <w:tab w:val="right" w:pos="8929"/>
          <w:tab w:val="right" w:pos="9638"/>
        </w:tabs>
        <w:spacing w:after="120"/>
        <w:ind w:left="1559" w:hanging="425"/>
      </w:pPr>
      <w:r>
        <w:t>H.</w:t>
      </w:r>
      <w:r>
        <w:tab/>
      </w:r>
      <w:r w:rsidR="001678E3" w:rsidRPr="00B93108">
        <w:rPr>
          <w:lang w:val="fr-FR"/>
        </w:rPr>
        <w:t>Classement des articles sous le N</w:t>
      </w:r>
      <w:r w:rsidR="001678E3" w:rsidRPr="00B93108">
        <w:rPr>
          <w:vertAlign w:val="superscript"/>
          <w:lang w:val="fr-FR"/>
        </w:rPr>
        <w:t>o</w:t>
      </w:r>
      <w:r w:rsidR="001678E3">
        <w:rPr>
          <w:lang w:val="fr-FR"/>
        </w:rPr>
        <w:t> </w:t>
      </w:r>
      <w:r w:rsidR="001678E3" w:rsidRPr="00B93108">
        <w:rPr>
          <w:lang w:val="fr-FR"/>
        </w:rPr>
        <w:t>ONU 0349</w:t>
      </w:r>
      <w:r>
        <w:tab/>
      </w:r>
      <w:r>
        <w:tab/>
      </w:r>
      <w:r w:rsidR="003A61EB">
        <w:t>25</w:t>
      </w:r>
      <w:r>
        <w:tab/>
      </w:r>
      <w:r w:rsidR="00C013B0">
        <w:t>8</w:t>
      </w:r>
    </w:p>
    <w:p w:rsidR="005D0100" w:rsidRDefault="005D0100" w:rsidP="005D0100">
      <w:pPr>
        <w:tabs>
          <w:tab w:val="right" w:leader="dot" w:pos="7654"/>
          <w:tab w:val="right" w:pos="8929"/>
          <w:tab w:val="right" w:pos="9638"/>
        </w:tabs>
        <w:spacing w:after="120"/>
        <w:ind w:left="1559" w:hanging="425"/>
      </w:pPr>
      <w:r>
        <w:t>I.</w:t>
      </w:r>
      <w:r>
        <w:tab/>
      </w:r>
      <w:r w:rsidR="001678E3" w:rsidRPr="007A7DAB">
        <w:rPr>
          <w:lang w:val="fr-FR"/>
        </w:rPr>
        <w:t>Révision du chapitre 2.1 du SGH</w:t>
      </w:r>
      <w:r>
        <w:tab/>
      </w:r>
      <w:r>
        <w:tab/>
      </w:r>
      <w:r w:rsidR="003A61EB">
        <w:t>26−30</w:t>
      </w:r>
      <w:r>
        <w:tab/>
      </w:r>
      <w:r w:rsidR="00C013B0">
        <w:t>8</w:t>
      </w:r>
    </w:p>
    <w:p w:rsidR="005D0100" w:rsidRDefault="005D0100" w:rsidP="005D0100">
      <w:pPr>
        <w:tabs>
          <w:tab w:val="right" w:leader="dot" w:pos="7654"/>
          <w:tab w:val="right" w:pos="8929"/>
          <w:tab w:val="right" w:pos="9638"/>
        </w:tabs>
        <w:spacing w:after="120"/>
        <w:ind w:left="1559" w:hanging="425"/>
      </w:pPr>
      <w:r>
        <w:t>J.</w:t>
      </w:r>
      <w:r>
        <w:tab/>
      </w:r>
      <w:r w:rsidR="001678E3">
        <w:rPr>
          <w:lang w:val="fr-FR"/>
        </w:rPr>
        <w:t>Divers</w:t>
      </w:r>
      <w:r>
        <w:tab/>
      </w:r>
      <w:r>
        <w:tab/>
      </w:r>
      <w:r w:rsidR="003A61EB">
        <w:t>31−41</w:t>
      </w:r>
      <w:r>
        <w:tab/>
      </w:r>
      <w:r w:rsidR="00C849C6">
        <w:t>9</w:t>
      </w:r>
    </w:p>
    <w:p w:rsidR="005D0100" w:rsidRDefault="005D0100" w:rsidP="005D0100">
      <w:pPr>
        <w:tabs>
          <w:tab w:val="right" w:leader="dot" w:pos="7654"/>
          <w:tab w:val="right" w:pos="8929"/>
          <w:tab w:val="right" w:pos="9638"/>
        </w:tabs>
        <w:spacing w:after="120"/>
        <w:ind w:left="1984" w:hanging="425"/>
      </w:pPr>
      <w:r>
        <w:t>1.</w:t>
      </w:r>
      <w:r>
        <w:tab/>
      </w:r>
      <w:r w:rsidR="001678E3">
        <w:rPr>
          <w:lang w:val="fr-FR"/>
        </w:rPr>
        <w:t>T</w:t>
      </w:r>
      <w:r w:rsidR="001678E3" w:rsidRPr="001561F2">
        <w:rPr>
          <w:lang w:val="fr-FR"/>
        </w:rPr>
        <w:t>ransport d</w:t>
      </w:r>
      <w:r w:rsidR="001678E3">
        <w:rPr>
          <w:lang w:val="fr-FR"/>
        </w:rPr>
        <w:t>’</w:t>
      </w:r>
      <w:r w:rsidR="001678E3" w:rsidRPr="001561F2">
        <w:rPr>
          <w:lang w:val="fr-FR"/>
        </w:rPr>
        <w:t xml:space="preserve">expéditions contrôlées </w:t>
      </w:r>
      <w:r w:rsidR="001678E3">
        <w:rPr>
          <w:lang w:val="fr-FR"/>
        </w:rPr>
        <w:t>de petites</w:t>
      </w:r>
      <w:r w:rsidR="001678E3" w:rsidRPr="001561F2">
        <w:rPr>
          <w:lang w:val="fr-FR"/>
        </w:rPr>
        <w:t xml:space="preserve"> </w:t>
      </w:r>
      <w:r w:rsidR="001678E3" w:rsidRPr="00DE4FBC">
        <w:rPr>
          <w:lang w:val="fr-FR"/>
        </w:rPr>
        <w:t>quantit</w:t>
      </w:r>
      <w:r w:rsidR="001678E3">
        <w:rPr>
          <w:lang w:val="fr-FR"/>
        </w:rPr>
        <w:t>é</w:t>
      </w:r>
      <w:r w:rsidR="001678E3" w:rsidRPr="00DE4FBC">
        <w:rPr>
          <w:lang w:val="fr-FR"/>
        </w:rPr>
        <w:t xml:space="preserve">s </w:t>
      </w:r>
      <w:r w:rsidR="001678E3">
        <w:rPr>
          <w:lang w:val="fr-FR"/>
        </w:rPr>
        <w:t>d’</w:t>
      </w:r>
      <w:r w:rsidR="001678E3" w:rsidRPr="001561F2">
        <w:rPr>
          <w:lang w:val="fr-FR"/>
        </w:rPr>
        <w:t>explosifs</w:t>
      </w:r>
      <w:r>
        <w:tab/>
      </w:r>
      <w:r>
        <w:tab/>
      </w:r>
      <w:r w:rsidR="003A61EB">
        <w:t>31−32</w:t>
      </w:r>
      <w:r>
        <w:tab/>
      </w:r>
      <w:r w:rsidR="00C849C6">
        <w:t>9</w:t>
      </w:r>
    </w:p>
    <w:p w:rsidR="005D0100" w:rsidRDefault="005D0100" w:rsidP="005D0100">
      <w:pPr>
        <w:tabs>
          <w:tab w:val="right" w:leader="dot" w:pos="7654"/>
          <w:tab w:val="right" w:pos="8929"/>
          <w:tab w:val="right" w:pos="9638"/>
        </w:tabs>
        <w:spacing w:after="120"/>
        <w:ind w:left="1984" w:hanging="425"/>
      </w:pPr>
      <w:r>
        <w:t>2.</w:t>
      </w:r>
      <w:r>
        <w:tab/>
      </w:r>
      <w:r w:rsidR="001678E3" w:rsidRPr="00E17F06">
        <w:rPr>
          <w:lang w:val="fr-FR"/>
        </w:rPr>
        <w:t>Transport d</w:t>
      </w:r>
      <w:r w:rsidR="001678E3">
        <w:rPr>
          <w:lang w:val="fr-FR"/>
        </w:rPr>
        <w:t>’</w:t>
      </w:r>
      <w:r w:rsidR="001678E3" w:rsidRPr="00E17F06">
        <w:rPr>
          <w:lang w:val="fr-FR"/>
        </w:rPr>
        <w:t>échantillons énergétiques en vue d</w:t>
      </w:r>
      <w:r w:rsidR="001678E3">
        <w:rPr>
          <w:lang w:val="fr-FR"/>
        </w:rPr>
        <w:t>’</w:t>
      </w:r>
      <w:r w:rsidR="001678E3" w:rsidRPr="00E17F06">
        <w:rPr>
          <w:lang w:val="fr-FR"/>
        </w:rPr>
        <w:t xml:space="preserve">essais </w:t>
      </w:r>
      <w:r w:rsidR="001678E3">
        <w:rPr>
          <w:lang w:val="fr-FR"/>
        </w:rPr>
        <w:br/>
      </w:r>
      <w:r w:rsidR="001678E3" w:rsidRPr="00E17F06">
        <w:rPr>
          <w:lang w:val="fr-FR"/>
        </w:rPr>
        <w:t>complémentaires</w:t>
      </w:r>
      <w:r>
        <w:tab/>
      </w:r>
      <w:r>
        <w:tab/>
      </w:r>
      <w:r w:rsidR="003A61EB">
        <w:t>33</w:t>
      </w:r>
      <w:r>
        <w:tab/>
      </w:r>
      <w:r w:rsidR="00C013B0">
        <w:t>9</w:t>
      </w:r>
    </w:p>
    <w:p w:rsidR="005D0100" w:rsidRDefault="005D0100" w:rsidP="00A943CE">
      <w:pPr>
        <w:keepNext/>
        <w:keepLines/>
        <w:tabs>
          <w:tab w:val="right" w:leader="dot" w:pos="7654"/>
          <w:tab w:val="right" w:pos="8929"/>
          <w:tab w:val="right" w:pos="9638"/>
        </w:tabs>
        <w:spacing w:after="120"/>
        <w:ind w:left="1984" w:hanging="425"/>
      </w:pPr>
      <w:r>
        <w:lastRenderedPageBreak/>
        <w:t>3.</w:t>
      </w:r>
      <w:r>
        <w:tab/>
      </w:r>
      <w:r w:rsidR="001678E3" w:rsidRPr="00A51C50">
        <w:rPr>
          <w:lang w:val="fr-FR"/>
        </w:rPr>
        <w:t>N</w:t>
      </w:r>
      <w:r w:rsidR="001678E3" w:rsidRPr="00A51C50">
        <w:rPr>
          <w:vertAlign w:val="superscript"/>
          <w:lang w:val="fr-FR"/>
        </w:rPr>
        <w:t>o</w:t>
      </w:r>
      <w:r w:rsidR="001678E3">
        <w:rPr>
          <w:lang w:val="fr-FR"/>
        </w:rPr>
        <w:t> </w:t>
      </w:r>
      <w:r w:rsidR="001678E3" w:rsidRPr="00A51C50">
        <w:rPr>
          <w:lang w:val="fr-FR"/>
        </w:rPr>
        <w:t>ONU 0222 Nitrate d</w:t>
      </w:r>
      <w:r w:rsidR="001678E3">
        <w:rPr>
          <w:lang w:val="fr-FR"/>
        </w:rPr>
        <w:t>’</w:t>
      </w:r>
      <w:r w:rsidR="001678E3" w:rsidRPr="00A51C50">
        <w:rPr>
          <w:lang w:val="fr-FR"/>
        </w:rPr>
        <w:t>ammonium</w:t>
      </w:r>
      <w:r>
        <w:tab/>
      </w:r>
      <w:r>
        <w:tab/>
      </w:r>
      <w:r w:rsidR="003A61EB">
        <w:t>34</w:t>
      </w:r>
      <w:r>
        <w:tab/>
      </w:r>
      <w:r w:rsidR="00C013B0">
        <w:t>9</w:t>
      </w:r>
    </w:p>
    <w:p w:rsidR="005D0100" w:rsidRDefault="005D0100" w:rsidP="005D0100">
      <w:pPr>
        <w:tabs>
          <w:tab w:val="right" w:leader="dot" w:pos="7654"/>
          <w:tab w:val="right" w:pos="8929"/>
          <w:tab w:val="right" w:pos="9638"/>
        </w:tabs>
        <w:spacing w:after="120"/>
        <w:ind w:left="1984" w:hanging="425"/>
      </w:pPr>
      <w:r>
        <w:t>4.</w:t>
      </w:r>
      <w:r>
        <w:tab/>
      </w:r>
      <w:r w:rsidR="001678E3" w:rsidRPr="00A51C50">
        <w:rPr>
          <w:lang w:val="fr-FR"/>
        </w:rPr>
        <w:t>Proposition de création d</w:t>
      </w:r>
      <w:r w:rsidR="001678E3">
        <w:rPr>
          <w:lang w:val="fr-FR"/>
        </w:rPr>
        <w:t>’</w:t>
      </w:r>
      <w:r w:rsidR="001678E3" w:rsidRPr="00A51C50">
        <w:rPr>
          <w:lang w:val="fr-FR"/>
        </w:rPr>
        <w:t xml:space="preserve">un nouveau numéro ONU pour les mines </w:t>
      </w:r>
      <w:r w:rsidR="001678E3">
        <w:rPr>
          <w:lang w:val="fr-FR"/>
        </w:rPr>
        <w:br/>
      </w:r>
      <w:r w:rsidR="001678E3" w:rsidRPr="00A51C50">
        <w:rPr>
          <w:lang w:val="fr-FR"/>
        </w:rPr>
        <w:t>à charge d</w:t>
      </w:r>
      <w:r w:rsidR="001678E3">
        <w:rPr>
          <w:lang w:val="fr-FR"/>
        </w:rPr>
        <w:t>’</w:t>
      </w:r>
      <w:r w:rsidR="001678E3" w:rsidRPr="00A51C50">
        <w:rPr>
          <w:lang w:val="fr-FR"/>
        </w:rPr>
        <w:t>éclatement 1.6D</w:t>
      </w:r>
      <w:r>
        <w:tab/>
      </w:r>
      <w:r>
        <w:tab/>
      </w:r>
      <w:r w:rsidR="003A61EB">
        <w:t>35</w:t>
      </w:r>
      <w:r>
        <w:tab/>
      </w:r>
      <w:r w:rsidR="00C849C6">
        <w:t>10</w:t>
      </w:r>
    </w:p>
    <w:p w:rsidR="005D0100" w:rsidRDefault="005D0100" w:rsidP="005D0100">
      <w:pPr>
        <w:tabs>
          <w:tab w:val="right" w:leader="dot" w:pos="7654"/>
          <w:tab w:val="right" w:pos="8929"/>
          <w:tab w:val="right" w:pos="9638"/>
        </w:tabs>
        <w:spacing w:after="120"/>
        <w:ind w:left="1984" w:hanging="425"/>
      </w:pPr>
      <w:r>
        <w:t>5.</w:t>
      </w:r>
      <w:r>
        <w:tab/>
      </w:r>
      <w:r w:rsidR="001678E3" w:rsidRPr="006506E7">
        <w:rPr>
          <w:lang w:val="fr-FR"/>
        </w:rPr>
        <w:t xml:space="preserve">Extension du tableau de classification par défaut des feux </w:t>
      </w:r>
      <w:r w:rsidR="001678E3">
        <w:rPr>
          <w:lang w:val="fr-FR"/>
        </w:rPr>
        <w:br/>
      </w:r>
      <w:r w:rsidR="001678E3" w:rsidRPr="006506E7">
        <w:rPr>
          <w:lang w:val="fr-FR"/>
        </w:rPr>
        <w:t>d</w:t>
      </w:r>
      <w:r w:rsidR="001678E3">
        <w:rPr>
          <w:lang w:val="fr-FR"/>
        </w:rPr>
        <w:t>’</w:t>
      </w:r>
      <w:r w:rsidR="001678E3" w:rsidRPr="006506E7">
        <w:rPr>
          <w:lang w:val="fr-FR"/>
        </w:rPr>
        <w:t>artifice pour</w:t>
      </w:r>
      <w:r w:rsidR="001678E3">
        <w:rPr>
          <w:lang w:val="fr-FR"/>
        </w:rPr>
        <w:t xml:space="preserve"> </w:t>
      </w:r>
      <w:r w:rsidR="001678E3" w:rsidRPr="006506E7">
        <w:rPr>
          <w:lang w:val="fr-FR"/>
        </w:rPr>
        <w:t>le</w:t>
      </w:r>
      <w:r w:rsidR="001678E3">
        <w:rPr>
          <w:lang w:val="fr-FR"/>
        </w:rPr>
        <w:t xml:space="preserve"> </w:t>
      </w:r>
      <w:r w:rsidR="001678E3" w:rsidRPr="006506E7">
        <w:rPr>
          <w:lang w:val="fr-FR"/>
        </w:rPr>
        <w:t>N</w:t>
      </w:r>
      <w:r w:rsidR="001678E3" w:rsidRPr="006506E7">
        <w:rPr>
          <w:vertAlign w:val="superscript"/>
          <w:lang w:val="fr-FR"/>
        </w:rPr>
        <w:t>o</w:t>
      </w:r>
      <w:r w:rsidR="001678E3">
        <w:rPr>
          <w:lang w:val="fr-FR"/>
        </w:rPr>
        <w:t> </w:t>
      </w:r>
      <w:r w:rsidR="001678E3" w:rsidRPr="006506E7">
        <w:rPr>
          <w:lang w:val="fr-FR"/>
        </w:rPr>
        <w:t>ONU</w:t>
      </w:r>
      <w:r w:rsidR="001678E3">
        <w:rPr>
          <w:lang w:val="fr-FR"/>
        </w:rPr>
        <w:t> </w:t>
      </w:r>
      <w:r w:rsidR="001678E3" w:rsidRPr="006506E7">
        <w:rPr>
          <w:lang w:val="fr-FR"/>
        </w:rPr>
        <w:t>0431 (articles pyrotechniques</w:t>
      </w:r>
      <w:r w:rsidR="001678E3" w:rsidRPr="00DE4FBC">
        <w:rPr>
          <w:lang w:val="fr-FR"/>
        </w:rPr>
        <w:t>)</w:t>
      </w:r>
      <w:r>
        <w:tab/>
      </w:r>
      <w:r>
        <w:tab/>
      </w:r>
      <w:r w:rsidR="003A61EB">
        <w:t>36</w:t>
      </w:r>
      <w:r>
        <w:tab/>
      </w:r>
      <w:r w:rsidR="00C013B0">
        <w:t>10</w:t>
      </w:r>
    </w:p>
    <w:p w:rsidR="005D0100" w:rsidRDefault="005D0100" w:rsidP="005D0100">
      <w:pPr>
        <w:tabs>
          <w:tab w:val="right" w:leader="dot" w:pos="7654"/>
          <w:tab w:val="right" w:pos="8929"/>
          <w:tab w:val="right" w:pos="9638"/>
        </w:tabs>
        <w:spacing w:after="120"/>
        <w:ind w:left="1984" w:hanging="425"/>
      </w:pPr>
      <w:r>
        <w:t>6.</w:t>
      </w:r>
      <w:r>
        <w:tab/>
      </w:r>
      <w:r w:rsidR="001678E3" w:rsidRPr="00EE6666">
        <w:rPr>
          <w:lang w:val="fr-FR"/>
        </w:rPr>
        <w:t>Dispositifs de sécurité (N</w:t>
      </w:r>
      <w:r w:rsidR="001678E3" w:rsidRPr="00EE6666">
        <w:rPr>
          <w:vertAlign w:val="superscript"/>
          <w:lang w:val="fr-FR"/>
        </w:rPr>
        <w:t>o</w:t>
      </w:r>
      <w:r w:rsidR="001678E3" w:rsidRPr="00EE6666">
        <w:rPr>
          <w:lang w:val="fr-FR"/>
        </w:rPr>
        <w:t xml:space="preserve"> ONU 3268</w:t>
      </w:r>
      <w:r w:rsidR="001678E3" w:rsidRPr="00DE4FBC">
        <w:rPr>
          <w:lang w:val="fr-FR"/>
        </w:rPr>
        <w:t>)</w:t>
      </w:r>
      <w:r>
        <w:tab/>
      </w:r>
      <w:r>
        <w:tab/>
      </w:r>
      <w:r w:rsidR="003A61EB">
        <w:t>37−39</w:t>
      </w:r>
      <w:r>
        <w:tab/>
      </w:r>
      <w:r w:rsidR="00C013B0">
        <w:t>10</w:t>
      </w:r>
    </w:p>
    <w:p w:rsidR="005D0100" w:rsidRDefault="005D0100" w:rsidP="005D0100">
      <w:pPr>
        <w:tabs>
          <w:tab w:val="right" w:leader="dot" w:pos="7654"/>
          <w:tab w:val="right" w:pos="8929"/>
          <w:tab w:val="right" w:pos="9638"/>
        </w:tabs>
        <w:spacing w:after="120"/>
        <w:ind w:left="1984" w:hanging="425"/>
      </w:pPr>
      <w:r>
        <w:t>7.</w:t>
      </w:r>
      <w:r>
        <w:tab/>
      </w:r>
      <w:r w:rsidR="001678E3">
        <w:t xml:space="preserve">Classement des explosifs désensibilisés aux fins de la distribution </w:t>
      </w:r>
      <w:r w:rsidR="001678E3">
        <w:br/>
        <w:t>et de l’utilisation</w:t>
      </w:r>
      <w:r w:rsidR="001678E3" w:rsidRPr="00DE4FBC">
        <w:rPr>
          <w:lang w:val="fr-FR"/>
        </w:rPr>
        <w:t xml:space="preserve"> </w:t>
      </w:r>
      <w:r w:rsidR="001678E3" w:rsidRPr="00D55792">
        <w:rPr>
          <w:lang w:val="fr-FR"/>
        </w:rPr>
        <w:t>conformément au chapitre 2.17 du SGH</w:t>
      </w:r>
      <w:r>
        <w:tab/>
      </w:r>
      <w:r>
        <w:tab/>
      </w:r>
      <w:r w:rsidR="003A61EB">
        <w:t>40−41</w:t>
      </w:r>
      <w:r>
        <w:tab/>
      </w:r>
      <w:r w:rsidR="00C013B0">
        <w:t>10</w:t>
      </w:r>
    </w:p>
    <w:p w:rsidR="005D0100" w:rsidRDefault="005D0100" w:rsidP="005D0100">
      <w:pPr>
        <w:tabs>
          <w:tab w:val="right" w:pos="850"/>
          <w:tab w:val="right" w:leader="dot" w:pos="7654"/>
          <w:tab w:val="right" w:pos="8929"/>
          <w:tab w:val="right" w:pos="9638"/>
        </w:tabs>
        <w:spacing w:after="120"/>
        <w:ind w:left="1134" w:hanging="1134"/>
      </w:pPr>
      <w:r>
        <w:tab/>
        <w:t>V.</w:t>
      </w:r>
      <w:r>
        <w:tab/>
      </w:r>
      <w:r w:rsidR="001678E3" w:rsidRPr="00B41EB8">
        <w:rPr>
          <w:lang w:val="fr-FR"/>
        </w:rPr>
        <w:t>Inscription, classement et emballage (point 3 de l</w:t>
      </w:r>
      <w:r w:rsidR="001678E3">
        <w:rPr>
          <w:lang w:val="fr-FR"/>
        </w:rPr>
        <w:t>’</w:t>
      </w:r>
      <w:r w:rsidR="001678E3" w:rsidRPr="00B41EB8">
        <w:rPr>
          <w:lang w:val="fr-FR"/>
        </w:rPr>
        <w:t>ordre du jour)</w:t>
      </w:r>
      <w:r>
        <w:tab/>
      </w:r>
      <w:r>
        <w:tab/>
      </w:r>
      <w:r w:rsidR="003A61EB">
        <w:t>42−52</w:t>
      </w:r>
      <w:r>
        <w:tab/>
      </w:r>
      <w:r w:rsidR="004F3948">
        <w:t>11</w:t>
      </w:r>
    </w:p>
    <w:p w:rsidR="005D0100" w:rsidRDefault="005D0100" w:rsidP="005D0100">
      <w:pPr>
        <w:tabs>
          <w:tab w:val="right" w:leader="dot" w:pos="7654"/>
          <w:tab w:val="right" w:pos="8929"/>
          <w:tab w:val="right" w:pos="9638"/>
        </w:tabs>
        <w:spacing w:after="120"/>
        <w:ind w:left="1559" w:hanging="425"/>
      </w:pPr>
      <w:r>
        <w:t>A.</w:t>
      </w:r>
      <w:r>
        <w:tab/>
      </w:r>
      <w:r w:rsidR="001678E3" w:rsidRPr="00B41EB8">
        <w:rPr>
          <w:lang w:val="fr-FR"/>
        </w:rPr>
        <w:t xml:space="preserve">Extension du nom et de la description du </w:t>
      </w:r>
      <w:r w:rsidR="001678E3">
        <w:rPr>
          <w:lang w:val="fr-FR"/>
        </w:rPr>
        <w:t>numéro</w:t>
      </w:r>
      <w:r w:rsidR="001678E3" w:rsidRPr="00B41EB8">
        <w:rPr>
          <w:lang w:val="fr-FR"/>
        </w:rPr>
        <w:t xml:space="preserve"> ONU 2990 </w:t>
      </w:r>
      <w:r w:rsidR="001678E3">
        <w:rPr>
          <w:lang w:val="fr-FR"/>
        </w:rPr>
        <w:br/>
      </w:r>
      <w:r w:rsidR="001678E3" w:rsidRPr="00B41EB8">
        <w:rPr>
          <w:lang w:val="fr-FR"/>
        </w:rPr>
        <w:t>Engins de</w:t>
      </w:r>
      <w:r w:rsidR="001678E3">
        <w:rPr>
          <w:lang w:val="fr-FR"/>
        </w:rPr>
        <w:t xml:space="preserve"> </w:t>
      </w:r>
      <w:r w:rsidR="001678E3" w:rsidRPr="00B41EB8">
        <w:rPr>
          <w:lang w:val="fr-FR"/>
        </w:rPr>
        <w:t>sauvetage autogonflables, Classe 9</w:t>
      </w:r>
      <w:r>
        <w:tab/>
      </w:r>
      <w:r>
        <w:tab/>
      </w:r>
      <w:r w:rsidR="003A61EB">
        <w:t>42−43</w:t>
      </w:r>
      <w:r>
        <w:tab/>
      </w:r>
      <w:r w:rsidR="004F3948">
        <w:t>11</w:t>
      </w:r>
    </w:p>
    <w:p w:rsidR="005D0100" w:rsidRDefault="005D0100" w:rsidP="005D0100">
      <w:pPr>
        <w:tabs>
          <w:tab w:val="right" w:leader="dot" w:pos="7654"/>
          <w:tab w:val="right" w:pos="8929"/>
          <w:tab w:val="right" w:pos="9638"/>
        </w:tabs>
        <w:spacing w:after="120"/>
        <w:ind w:left="1559" w:hanging="425"/>
      </w:pPr>
      <w:r>
        <w:t>B.</w:t>
      </w:r>
      <w:r>
        <w:tab/>
      </w:r>
      <w:r w:rsidR="001678E3">
        <w:t xml:space="preserve">Nouvelle rubrique pour le numéro ONU 1390 Amidures de métaux </w:t>
      </w:r>
      <w:r w:rsidR="00294EC9">
        <w:br/>
      </w:r>
      <w:r w:rsidR="001678E3">
        <w:t>alcalins, groupe d’emballage I</w:t>
      </w:r>
      <w:r>
        <w:tab/>
      </w:r>
      <w:r>
        <w:tab/>
      </w:r>
      <w:r w:rsidR="003A61EB">
        <w:t>44−45</w:t>
      </w:r>
      <w:r>
        <w:tab/>
      </w:r>
      <w:r w:rsidR="004F3948">
        <w:t>11</w:t>
      </w:r>
    </w:p>
    <w:p w:rsidR="005D0100" w:rsidRDefault="005D0100" w:rsidP="005D0100">
      <w:pPr>
        <w:tabs>
          <w:tab w:val="right" w:leader="dot" w:pos="7654"/>
          <w:tab w:val="right" w:pos="8929"/>
          <w:tab w:val="right" w:pos="9638"/>
        </w:tabs>
        <w:spacing w:after="120"/>
        <w:ind w:left="1559" w:hanging="425"/>
      </w:pPr>
      <w:r>
        <w:t>C.</w:t>
      </w:r>
      <w:r>
        <w:tab/>
      </w:r>
      <w:r w:rsidR="00294EC9">
        <w:t xml:space="preserve">Affectation aux groupes d’emballage dans le cas de la division 6.2 </w:t>
      </w:r>
      <w:r w:rsidR="00294EC9">
        <w:br/>
        <w:t>(matières infectieuses</w:t>
      </w:r>
      <w:r w:rsidR="00294EC9" w:rsidRPr="00DE4FBC">
        <w:rPr>
          <w:lang w:val="fr-FR"/>
        </w:rPr>
        <w:t>)</w:t>
      </w:r>
      <w:r>
        <w:tab/>
      </w:r>
      <w:r>
        <w:tab/>
      </w:r>
      <w:r w:rsidR="003A61EB">
        <w:t>46</w:t>
      </w:r>
      <w:r>
        <w:tab/>
      </w:r>
      <w:r w:rsidR="004F3948">
        <w:t>11</w:t>
      </w:r>
    </w:p>
    <w:p w:rsidR="005D0100" w:rsidRDefault="005D0100" w:rsidP="005D0100">
      <w:pPr>
        <w:tabs>
          <w:tab w:val="right" w:leader="dot" w:pos="7654"/>
          <w:tab w:val="right" w:pos="8929"/>
          <w:tab w:val="right" w:pos="9638"/>
        </w:tabs>
        <w:spacing w:after="120"/>
        <w:ind w:left="1559" w:hanging="425"/>
      </w:pPr>
      <w:r>
        <w:t>D.</w:t>
      </w:r>
      <w:r>
        <w:tab/>
      </w:r>
      <w:r w:rsidR="00294EC9">
        <w:t>Matières qui polymérisent − N</w:t>
      </w:r>
      <w:r w:rsidR="00294EC9" w:rsidRPr="003D2206">
        <w:rPr>
          <w:vertAlign w:val="superscript"/>
        </w:rPr>
        <w:t>os</w:t>
      </w:r>
      <w:r w:rsidR="00294EC9">
        <w:t xml:space="preserve"> ONU 2522 et 2383</w:t>
      </w:r>
      <w:r>
        <w:tab/>
      </w:r>
      <w:r>
        <w:tab/>
      </w:r>
      <w:r w:rsidR="003A61EB">
        <w:t>47</w:t>
      </w:r>
      <w:r>
        <w:tab/>
      </w:r>
      <w:r w:rsidR="00C849C6">
        <w:t>12</w:t>
      </w:r>
    </w:p>
    <w:p w:rsidR="005D0100" w:rsidRDefault="005D0100" w:rsidP="005D0100">
      <w:pPr>
        <w:tabs>
          <w:tab w:val="right" w:leader="dot" w:pos="7654"/>
          <w:tab w:val="right" w:pos="8929"/>
          <w:tab w:val="right" w:pos="9638"/>
        </w:tabs>
        <w:spacing w:after="120"/>
        <w:ind w:left="1559" w:hanging="425"/>
      </w:pPr>
      <w:r>
        <w:t>E.</w:t>
      </w:r>
      <w:r>
        <w:tab/>
      </w:r>
      <w:r w:rsidR="00294EC9">
        <w:t>Application de l’instruction d’emballage P003 aux grands objets</w:t>
      </w:r>
      <w:r>
        <w:tab/>
      </w:r>
      <w:r>
        <w:tab/>
      </w:r>
      <w:r w:rsidR="003A61EB">
        <w:t>48</w:t>
      </w:r>
      <w:r>
        <w:tab/>
      </w:r>
      <w:r w:rsidR="00C849C6">
        <w:t>12</w:t>
      </w:r>
    </w:p>
    <w:p w:rsidR="005D0100" w:rsidRDefault="005D0100" w:rsidP="005D0100">
      <w:pPr>
        <w:tabs>
          <w:tab w:val="right" w:leader="dot" w:pos="7654"/>
          <w:tab w:val="right" w:pos="8929"/>
          <w:tab w:val="right" w:pos="9638"/>
        </w:tabs>
        <w:spacing w:after="120"/>
        <w:ind w:left="1559" w:hanging="425"/>
      </w:pPr>
      <w:r>
        <w:t>F.</w:t>
      </w:r>
      <w:r>
        <w:tab/>
      </w:r>
      <w:r w:rsidR="00294EC9" w:rsidRPr="00D3405C">
        <w:rPr>
          <w:lang w:val="fr-FR"/>
        </w:rPr>
        <w:t xml:space="preserve">Marquage multiple des emballages (y compris les grands récipients </w:t>
      </w:r>
      <w:r w:rsidR="00294EC9">
        <w:rPr>
          <w:lang w:val="fr-FR"/>
        </w:rPr>
        <w:br/>
      </w:r>
      <w:r w:rsidR="00294EC9" w:rsidRPr="00D3405C">
        <w:rPr>
          <w:lang w:val="fr-FR"/>
        </w:rPr>
        <w:t xml:space="preserve">pour vrac et les grands emballages), indiquant la conformité </w:t>
      </w:r>
      <w:r w:rsidR="00294EC9">
        <w:rPr>
          <w:lang w:val="fr-FR"/>
        </w:rPr>
        <w:br/>
      </w:r>
      <w:r w:rsidR="00294EC9" w:rsidRPr="00D3405C">
        <w:rPr>
          <w:lang w:val="fr-FR"/>
        </w:rPr>
        <w:t>avec plus d</w:t>
      </w:r>
      <w:r w:rsidR="00294EC9">
        <w:rPr>
          <w:lang w:val="fr-FR"/>
        </w:rPr>
        <w:t>’</w:t>
      </w:r>
      <w:r w:rsidR="00294EC9" w:rsidRPr="00D3405C">
        <w:rPr>
          <w:lang w:val="fr-FR"/>
        </w:rPr>
        <w:t>un modèle type éprouvé avec succès</w:t>
      </w:r>
      <w:r>
        <w:tab/>
      </w:r>
      <w:r>
        <w:tab/>
      </w:r>
      <w:r w:rsidR="003A61EB">
        <w:t>49</w:t>
      </w:r>
      <w:r>
        <w:tab/>
      </w:r>
      <w:r w:rsidR="004F3948">
        <w:t>12</w:t>
      </w:r>
    </w:p>
    <w:p w:rsidR="005D0100" w:rsidRDefault="005D0100" w:rsidP="005D0100">
      <w:pPr>
        <w:tabs>
          <w:tab w:val="right" w:leader="dot" w:pos="7654"/>
          <w:tab w:val="right" w:pos="8929"/>
          <w:tab w:val="right" w:pos="9638"/>
        </w:tabs>
        <w:spacing w:after="120"/>
        <w:ind w:left="1559" w:hanging="425"/>
      </w:pPr>
      <w:r>
        <w:t>G.</w:t>
      </w:r>
      <w:r>
        <w:tab/>
      </w:r>
      <w:r w:rsidR="00294EC9" w:rsidRPr="00EE13A0">
        <w:rPr>
          <w:lang w:val="fr-FR"/>
        </w:rPr>
        <w:t>Proposition d</w:t>
      </w:r>
      <w:r w:rsidR="00294EC9">
        <w:rPr>
          <w:lang w:val="fr-FR"/>
        </w:rPr>
        <w:t>’</w:t>
      </w:r>
      <w:r w:rsidR="00294EC9" w:rsidRPr="00EE13A0">
        <w:rPr>
          <w:lang w:val="fr-FR"/>
        </w:rPr>
        <w:t xml:space="preserve">ajout de numéros ONU pour les gaz pyrophoriques </w:t>
      </w:r>
      <w:r w:rsidR="00294EC9">
        <w:rPr>
          <w:lang w:val="fr-FR"/>
        </w:rPr>
        <w:br/>
      </w:r>
      <w:r w:rsidR="00294EC9" w:rsidRPr="00EE13A0">
        <w:rPr>
          <w:lang w:val="fr-FR"/>
        </w:rPr>
        <w:t>et</w:t>
      </w:r>
      <w:r w:rsidR="00294EC9">
        <w:rPr>
          <w:lang w:val="fr-FR"/>
        </w:rPr>
        <w:t xml:space="preserve"> </w:t>
      </w:r>
      <w:r w:rsidR="00294EC9" w:rsidRPr="00EE13A0">
        <w:rPr>
          <w:lang w:val="fr-FR"/>
        </w:rPr>
        <w:t>d</w:t>
      </w:r>
      <w:r w:rsidR="00294EC9">
        <w:rPr>
          <w:lang w:val="fr-FR"/>
        </w:rPr>
        <w:t>’</w:t>
      </w:r>
      <w:r w:rsidR="00294EC9" w:rsidRPr="00EE13A0">
        <w:rPr>
          <w:lang w:val="fr-FR"/>
        </w:rPr>
        <w:t>ajout de critères pour les gaz pyrophoriques dans la division 2.1</w:t>
      </w:r>
      <w:r>
        <w:tab/>
      </w:r>
      <w:r>
        <w:tab/>
      </w:r>
      <w:r w:rsidR="003A61EB">
        <w:t>50−51</w:t>
      </w:r>
      <w:r>
        <w:tab/>
      </w:r>
      <w:r w:rsidR="004F3948">
        <w:t>12</w:t>
      </w:r>
    </w:p>
    <w:p w:rsidR="005D0100" w:rsidRDefault="005D0100" w:rsidP="005D0100">
      <w:pPr>
        <w:tabs>
          <w:tab w:val="right" w:leader="dot" w:pos="7654"/>
          <w:tab w:val="right" w:pos="8929"/>
          <w:tab w:val="right" w:pos="9638"/>
        </w:tabs>
        <w:spacing w:after="120"/>
        <w:ind w:left="1559" w:hanging="425"/>
      </w:pPr>
      <w:r>
        <w:t>H.</w:t>
      </w:r>
      <w:r>
        <w:tab/>
      </w:r>
      <w:r w:rsidR="00294EC9" w:rsidRPr="003F611B">
        <w:rPr>
          <w:lang w:val="fr-FR"/>
        </w:rPr>
        <w:t>Révision de l</w:t>
      </w:r>
      <w:r w:rsidR="00294EC9">
        <w:rPr>
          <w:lang w:val="fr-FR"/>
        </w:rPr>
        <w:t>’</w:t>
      </w:r>
      <w:r w:rsidR="00294EC9" w:rsidRPr="003F611B">
        <w:rPr>
          <w:lang w:val="fr-FR"/>
        </w:rPr>
        <w:t>instruction d</w:t>
      </w:r>
      <w:r w:rsidR="00294EC9">
        <w:rPr>
          <w:lang w:val="fr-FR"/>
        </w:rPr>
        <w:t>’</w:t>
      </w:r>
      <w:r w:rsidR="00294EC9" w:rsidRPr="003F611B">
        <w:rPr>
          <w:lang w:val="fr-FR"/>
        </w:rPr>
        <w:t>emballage P801</w:t>
      </w:r>
      <w:r>
        <w:tab/>
      </w:r>
      <w:r>
        <w:tab/>
      </w:r>
      <w:r w:rsidR="003A61EB">
        <w:t>52</w:t>
      </w:r>
      <w:r>
        <w:tab/>
      </w:r>
      <w:r w:rsidR="004F3948">
        <w:t>12</w:t>
      </w:r>
    </w:p>
    <w:p w:rsidR="005D0100" w:rsidRDefault="005D0100" w:rsidP="005D0100">
      <w:pPr>
        <w:tabs>
          <w:tab w:val="right" w:pos="850"/>
          <w:tab w:val="right" w:leader="dot" w:pos="7654"/>
          <w:tab w:val="right" w:pos="8929"/>
          <w:tab w:val="right" w:pos="9638"/>
        </w:tabs>
        <w:spacing w:after="120"/>
        <w:ind w:left="1134" w:hanging="1134"/>
      </w:pPr>
      <w:r>
        <w:tab/>
        <w:t>VI.</w:t>
      </w:r>
      <w:r>
        <w:tab/>
      </w:r>
      <w:r w:rsidR="00294EC9" w:rsidRPr="003F611B">
        <w:rPr>
          <w:lang w:val="fr-FR"/>
        </w:rPr>
        <w:t>Systèmes de stockage de l</w:t>
      </w:r>
      <w:r w:rsidR="00294EC9">
        <w:rPr>
          <w:lang w:val="fr-FR"/>
        </w:rPr>
        <w:t>’</w:t>
      </w:r>
      <w:r w:rsidR="00294EC9" w:rsidRPr="003F611B">
        <w:rPr>
          <w:lang w:val="fr-FR"/>
        </w:rPr>
        <w:t>électricité (point 4 de l</w:t>
      </w:r>
      <w:r w:rsidR="00294EC9">
        <w:rPr>
          <w:lang w:val="fr-FR"/>
        </w:rPr>
        <w:t>’</w:t>
      </w:r>
      <w:r w:rsidR="00294EC9" w:rsidRPr="003F611B">
        <w:rPr>
          <w:lang w:val="fr-FR"/>
        </w:rPr>
        <w:t>ordre du jour)</w:t>
      </w:r>
      <w:r>
        <w:tab/>
      </w:r>
      <w:r>
        <w:tab/>
      </w:r>
      <w:r w:rsidR="003A61EB">
        <w:t>53−64</w:t>
      </w:r>
      <w:r>
        <w:tab/>
      </w:r>
      <w:r w:rsidR="00C849C6">
        <w:t>13</w:t>
      </w:r>
    </w:p>
    <w:p w:rsidR="005D0100" w:rsidRDefault="005D0100" w:rsidP="005D0100">
      <w:pPr>
        <w:tabs>
          <w:tab w:val="right" w:leader="dot" w:pos="7654"/>
          <w:tab w:val="right" w:pos="8929"/>
          <w:tab w:val="right" w:pos="9638"/>
        </w:tabs>
        <w:spacing w:after="120"/>
        <w:ind w:left="1559" w:hanging="425"/>
      </w:pPr>
      <w:r>
        <w:t>A.</w:t>
      </w:r>
      <w:r>
        <w:tab/>
      </w:r>
      <w:r w:rsidR="00294EC9" w:rsidRPr="003F611B">
        <w:rPr>
          <w:lang w:val="fr-FR"/>
        </w:rPr>
        <w:t>Épreuves des batteries au lithium</w:t>
      </w:r>
      <w:r>
        <w:tab/>
      </w:r>
      <w:r>
        <w:tab/>
      </w:r>
      <w:r w:rsidR="003A61EB">
        <w:t>53−55</w:t>
      </w:r>
      <w:r>
        <w:tab/>
      </w:r>
      <w:r w:rsidR="00C849C6">
        <w:t>13</w:t>
      </w:r>
    </w:p>
    <w:p w:rsidR="005D0100" w:rsidRDefault="005D0100" w:rsidP="005D0100">
      <w:pPr>
        <w:tabs>
          <w:tab w:val="right" w:leader="dot" w:pos="7654"/>
          <w:tab w:val="right" w:pos="8929"/>
          <w:tab w:val="right" w:pos="9638"/>
        </w:tabs>
        <w:spacing w:after="120"/>
        <w:ind w:left="1559" w:hanging="425"/>
      </w:pPr>
      <w:r>
        <w:t>B.</w:t>
      </w:r>
      <w:r>
        <w:tab/>
      </w:r>
      <w:r w:rsidR="00294EC9" w:rsidRPr="00E17D0F">
        <w:t>Système de classification des piles au lithium en fonction du danger</w:t>
      </w:r>
      <w:r>
        <w:tab/>
      </w:r>
      <w:r>
        <w:tab/>
      </w:r>
      <w:r w:rsidR="003A61EB">
        <w:t>56</w:t>
      </w:r>
      <w:r>
        <w:tab/>
      </w:r>
      <w:r w:rsidR="004F3948">
        <w:t>13</w:t>
      </w:r>
    </w:p>
    <w:p w:rsidR="005D0100" w:rsidRDefault="005D0100" w:rsidP="005D0100">
      <w:pPr>
        <w:tabs>
          <w:tab w:val="right" w:leader="dot" w:pos="7654"/>
          <w:tab w:val="right" w:pos="8929"/>
          <w:tab w:val="right" w:pos="9638"/>
        </w:tabs>
        <w:spacing w:after="120"/>
        <w:ind w:left="1559" w:hanging="425"/>
      </w:pPr>
      <w:r>
        <w:t>C.</w:t>
      </w:r>
      <w:r>
        <w:tab/>
      </w:r>
      <w:r w:rsidR="00294EC9" w:rsidRPr="00E17D0F">
        <w:t>Dispositions relatives au transport</w:t>
      </w:r>
      <w:r>
        <w:tab/>
      </w:r>
      <w:r>
        <w:tab/>
      </w:r>
      <w:r w:rsidR="003A61EB">
        <w:t>57</w:t>
      </w:r>
      <w:r>
        <w:tab/>
      </w:r>
      <w:r w:rsidR="004F3948">
        <w:t>13</w:t>
      </w:r>
    </w:p>
    <w:p w:rsidR="005D0100" w:rsidRDefault="005D0100" w:rsidP="005D0100">
      <w:pPr>
        <w:tabs>
          <w:tab w:val="right" w:leader="dot" w:pos="7654"/>
          <w:tab w:val="right" w:pos="8929"/>
          <w:tab w:val="right" w:pos="9638"/>
        </w:tabs>
        <w:spacing w:after="120"/>
        <w:ind w:left="1559" w:hanging="425"/>
      </w:pPr>
      <w:r>
        <w:t>D.</w:t>
      </w:r>
      <w:r>
        <w:tab/>
      </w:r>
      <w:r w:rsidR="00294EC9">
        <w:t>Piles et b</w:t>
      </w:r>
      <w:r w:rsidR="00294EC9" w:rsidRPr="00E17D0F">
        <w:t>atteries au lithium endommagées ou défectueuses</w:t>
      </w:r>
      <w:r>
        <w:tab/>
      </w:r>
      <w:r>
        <w:tab/>
      </w:r>
      <w:r w:rsidR="003A61EB">
        <w:t>58−61</w:t>
      </w:r>
      <w:r>
        <w:tab/>
      </w:r>
      <w:r w:rsidR="00C849C6">
        <w:t>14</w:t>
      </w:r>
    </w:p>
    <w:p w:rsidR="005D0100" w:rsidRDefault="005D0100" w:rsidP="005D0100">
      <w:pPr>
        <w:tabs>
          <w:tab w:val="right" w:leader="dot" w:pos="7654"/>
          <w:tab w:val="right" w:pos="8929"/>
          <w:tab w:val="right" w:pos="9638"/>
        </w:tabs>
        <w:spacing w:after="120"/>
        <w:ind w:left="1559" w:hanging="425"/>
      </w:pPr>
      <w:r>
        <w:t>E.</w:t>
      </w:r>
      <w:r>
        <w:tab/>
      </w:r>
      <w:r w:rsidR="00294EC9" w:rsidRPr="00E17D0F">
        <w:t>Batteries au sodium ionique</w:t>
      </w:r>
      <w:r>
        <w:tab/>
      </w:r>
      <w:r>
        <w:tab/>
      </w:r>
      <w:r w:rsidR="003A61EB">
        <w:t>62</w:t>
      </w:r>
      <w:r>
        <w:tab/>
      </w:r>
      <w:r w:rsidR="004F3948">
        <w:t>14</w:t>
      </w:r>
    </w:p>
    <w:p w:rsidR="005D0100" w:rsidRDefault="005D0100" w:rsidP="005D0100">
      <w:pPr>
        <w:tabs>
          <w:tab w:val="right" w:leader="dot" w:pos="7654"/>
          <w:tab w:val="right" w:pos="8929"/>
          <w:tab w:val="right" w:pos="9638"/>
        </w:tabs>
        <w:spacing w:after="120"/>
        <w:ind w:left="1559" w:hanging="425"/>
      </w:pPr>
      <w:r>
        <w:t>F.</w:t>
      </w:r>
      <w:r>
        <w:tab/>
      </w:r>
      <w:r w:rsidR="00294EC9" w:rsidRPr="00E17D0F">
        <w:t>Questions diverses</w:t>
      </w:r>
      <w:r>
        <w:tab/>
      </w:r>
      <w:r>
        <w:tab/>
      </w:r>
      <w:r w:rsidR="003A61EB">
        <w:t>63−64</w:t>
      </w:r>
      <w:r>
        <w:tab/>
      </w:r>
      <w:r w:rsidR="004F3948">
        <w:t>14</w:t>
      </w:r>
    </w:p>
    <w:p w:rsidR="003A61EB" w:rsidRDefault="003A61EB" w:rsidP="005D0100">
      <w:pPr>
        <w:tabs>
          <w:tab w:val="right" w:leader="dot" w:pos="7654"/>
          <w:tab w:val="right" w:pos="8929"/>
          <w:tab w:val="right" w:pos="9638"/>
        </w:tabs>
        <w:spacing w:after="120"/>
        <w:ind w:left="1559" w:hanging="425"/>
      </w:pPr>
      <w:r>
        <w:tab/>
      </w:r>
      <w:r w:rsidRPr="00E17D0F">
        <w:t xml:space="preserve">Parties tenues de mettre à disposition le résumé du procès-verbal </w:t>
      </w:r>
      <w:r>
        <w:br/>
      </w:r>
      <w:r w:rsidRPr="00E17D0F">
        <w:t>d</w:t>
      </w:r>
      <w:r>
        <w:t>’</w:t>
      </w:r>
      <w:r w:rsidRPr="00E17D0F">
        <w:t>épreuve concernant les piles et batteries au lithium</w:t>
      </w:r>
      <w:r>
        <w:tab/>
      </w:r>
      <w:r>
        <w:tab/>
        <w:t>63−64</w:t>
      </w:r>
      <w:r>
        <w:tab/>
      </w:r>
      <w:r w:rsidR="004F3948">
        <w:t>14</w:t>
      </w:r>
    </w:p>
    <w:p w:rsidR="005D0100" w:rsidRDefault="005D0100" w:rsidP="005D0100">
      <w:pPr>
        <w:tabs>
          <w:tab w:val="right" w:pos="850"/>
          <w:tab w:val="right" w:leader="dot" w:pos="7654"/>
          <w:tab w:val="right" w:pos="8929"/>
          <w:tab w:val="right" w:pos="9638"/>
        </w:tabs>
        <w:spacing w:after="120"/>
        <w:ind w:left="1134" w:hanging="1134"/>
      </w:pPr>
      <w:r>
        <w:tab/>
        <w:t>VII.</w:t>
      </w:r>
      <w:r>
        <w:tab/>
      </w:r>
      <w:r w:rsidR="00294EC9">
        <w:t>Transport de gaz (point 5 de l’ordre du jour)</w:t>
      </w:r>
      <w:r>
        <w:tab/>
      </w:r>
      <w:r>
        <w:tab/>
      </w:r>
      <w:r w:rsidR="003A61EB">
        <w:t>65−68</w:t>
      </w:r>
      <w:r>
        <w:tab/>
      </w:r>
      <w:r w:rsidR="00C849C6">
        <w:t>15</w:t>
      </w:r>
    </w:p>
    <w:p w:rsidR="005D0100" w:rsidRDefault="005D0100" w:rsidP="005D0100">
      <w:pPr>
        <w:tabs>
          <w:tab w:val="right" w:leader="dot" w:pos="7654"/>
          <w:tab w:val="right" w:pos="8929"/>
          <w:tab w:val="right" w:pos="9638"/>
        </w:tabs>
        <w:spacing w:after="120"/>
        <w:ind w:left="1559" w:hanging="425"/>
      </w:pPr>
      <w:r>
        <w:t>A.</w:t>
      </w:r>
      <w:r>
        <w:tab/>
      </w:r>
      <w:r w:rsidR="00294EC9" w:rsidRPr="00CD78DA">
        <w:rPr>
          <w:lang w:val="fr-FR"/>
        </w:rPr>
        <w:t>Reconnaissance universelle des récipients à pression ONU et non-ONU</w:t>
      </w:r>
      <w:r>
        <w:tab/>
      </w:r>
      <w:r>
        <w:tab/>
      </w:r>
      <w:r w:rsidR="003A61EB">
        <w:t>65</w:t>
      </w:r>
      <w:r>
        <w:tab/>
      </w:r>
      <w:r w:rsidR="00C849C6">
        <w:t>15</w:t>
      </w:r>
    </w:p>
    <w:p w:rsidR="005D0100" w:rsidRDefault="005D0100" w:rsidP="005D0100">
      <w:pPr>
        <w:tabs>
          <w:tab w:val="right" w:leader="dot" w:pos="7654"/>
          <w:tab w:val="right" w:pos="8929"/>
          <w:tab w:val="right" w:pos="9638"/>
        </w:tabs>
        <w:spacing w:after="120"/>
        <w:ind w:left="1559" w:hanging="425"/>
      </w:pPr>
      <w:r>
        <w:t>B.</w:t>
      </w:r>
      <w:r>
        <w:tab/>
      </w:r>
      <w:r w:rsidR="00294EC9">
        <w:t>Divers</w:t>
      </w:r>
      <w:r>
        <w:tab/>
      </w:r>
      <w:r>
        <w:tab/>
      </w:r>
      <w:r w:rsidR="003A61EB">
        <w:t>66−68</w:t>
      </w:r>
      <w:r>
        <w:tab/>
      </w:r>
      <w:r w:rsidR="00C849C6">
        <w:t>15</w:t>
      </w:r>
    </w:p>
    <w:p w:rsidR="005D0100" w:rsidRDefault="005D0100" w:rsidP="005D0100">
      <w:pPr>
        <w:tabs>
          <w:tab w:val="right" w:leader="dot" w:pos="7654"/>
          <w:tab w:val="right" w:pos="8929"/>
          <w:tab w:val="right" w:pos="9638"/>
        </w:tabs>
        <w:spacing w:after="120"/>
        <w:ind w:left="1984" w:hanging="425"/>
      </w:pPr>
      <w:r>
        <w:t>1.</w:t>
      </w:r>
      <w:r>
        <w:tab/>
      </w:r>
      <w:r w:rsidR="00294EC9">
        <w:t>Dispositions relatives aux fermetures des récipients à pression</w:t>
      </w:r>
      <w:r>
        <w:tab/>
      </w:r>
      <w:r>
        <w:tab/>
      </w:r>
      <w:r w:rsidR="003A61EB">
        <w:t>66</w:t>
      </w:r>
      <w:r>
        <w:tab/>
      </w:r>
      <w:r w:rsidR="00C849C6">
        <w:t>15</w:t>
      </w:r>
    </w:p>
    <w:p w:rsidR="005D0100" w:rsidRDefault="005D0100" w:rsidP="005D0100">
      <w:pPr>
        <w:tabs>
          <w:tab w:val="right" w:leader="dot" w:pos="7654"/>
          <w:tab w:val="right" w:pos="8929"/>
          <w:tab w:val="right" w:pos="9638"/>
        </w:tabs>
        <w:spacing w:after="120"/>
        <w:ind w:left="1984" w:hanging="425"/>
      </w:pPr>
      <w:r>
        <w:t>2.</w:t>
      </w:r>
      <w:r>
        <w:tab/>
      </w:r>
      <w:r w:rsidR="00294EC9">
        <w:t xml:space="preserve">Transport de systèmes de confinement de gaz − affectation </w:t>
      </w:r>
      <w:r w:rsidR="00294EC9">
        <w:br/>
        <w:t>de la disposition spéciale 392 aux gaz de la division 2.2</w:t>
      </w:r>
      <w:r>
        <w:tab/>
      </w:r>
      <w:r>
        <w:tab/>
      </w:r>
      <w:r w:rsidR="003A61EB">
        <w:t>67−68</w:t>
      </w:r>
      <w:r>
        <w:tab/>
      </w:r>
      <w:r w:rsidR="004F3948">
        <w:t>15</w:t>
      </w:r>
    </w:p>
    <w:p w:rsidR="005D0100" w:rsidRDefault="005D0100" w:rsidP="005D0100">
      <w:pPr>
        <w:tabs>
          <w:tab w:val="right" w:pos="850"/>
          <w:tab w:val="right" w:leader="dot" w:pos="7654"/>
          <w:tab w:val="right" w:pos="8929"/>
          <w:tab w:val="right" w:pos="9638"/>
        </w:tabs>
        <w:spacing w:after="120"/>
        <w:ind w:left="1134" w:hanging="1134"/>
      </w:pPr>
      <w:r>
        <w:tab/>
        <w:t>VIII.</w:t>
      </w:r>
      <w:r>
        <w:tab/>
      </w:r>
      <w:r w:rsidR="00294EC9">
        <w:t xml:space="preserve">Propositions diverses d’amendements au Règlement type pour le transport </w:t>
      </w:r>
      <w:r w:rsidR="00294EC9">
        <w:br/>
        <w:t xml:space="preserve">des marchandises dangereuses </w:t>
      </w:r>
      <w:r w:rsidR="00294EC9" w:rsidRPr="00DE4FBC">
        <w:rPr>
          <w:lang w:val="fr-FR"/>
        </w:rPr>
        <w:t>(</w:t>
      </w:r>
      <w:r w:rsidR="00294EC9">
        <w:rPr>
          <w:lang w:val="fr-FR"/>
        </w:rPr>
        <w:t xml:space="preserve">point </w:t>
      </w:r>
      <w:r w:rsidR="00294EC9" w:rsidRPr="00DE4FBC">
        <w:rPr>
          <w:lang w:val="fr-FR"/>
        </w:rPr>
        <w:t>6</w:t>
      </w:r>
      <w:r w:rsidR="00294EC9">
        <w:rPr>
          <w:lang w:val="fr-FR"/>
        </w:rPr>
        <w:t xml:space="preserve"> de l’ordre du jour)</w:t>
      </w:r>
      <w:r>
        <w:tab/>
      </w:r>
      <w:r>
        <w:tab/>
      </w:r>
      <w:r w:rsidR="003A61EB">
        <w:t>69−84</w:t>
      </w:r>
      <w:r>
        <w:tab/>
      </w:r>
      <w:r w:rsidR="004F3948">
        <w:t>15</w:t>
      </w:r>
    </w:p>
    <w:p w:rsidR="005D0100" w:rsidRDefault="005D0100" w:rsidP="005D0100">
      <w:pPr>
        <w:tabs>
          <w:tab w:val="right" w:leader="dot" w:pos="7654"/>
          <w:tab w:val="right" w:pos="8929"/>
          <w:tab w:val="right" w:pos="9638"/>
        </w:tabs>
        <w:spacing w:after="120"/>
        <w:ind w:left="1559" w:hanging="425"/>
      </w:pPr>
      <w:r>
        <w:t>A.</w:t>
      </w:r>
      <w:r>
        <w:tab/>
      </w:r>
      <w:r w:rsidR="00294EC9">
        <w:t>Marquage et emballage</w:t>
      </w:r>
      <w:r>
        <w:tab/>
      </w:r>
      <w:r>
        <w:tab/>
      </w:r>
      <w:r w:rsidR="003A61EB">
        <w:t>69</w:t>
      </w:r>
      <w:r>
        <w:tab/>
      </w:r>
      <w:r w:rsidR="004F3948">
        <w:t>15</w:t>
      </w:r>
    </w:p>
    <w:p w:rsidR="003A61EB" w:rsidRDefault="003A61EB" w:rsidP="005D0100">
      <w:pPr>
        <w:tabs>
          <w:tab w:val="right" w:leader="dot" w:pos="7654"/>
          <w:tab w:val="right" w:pos="8929"/>
          <w:tab w:val="right" w:pos="9638"/>
        </w:tabs>
        <w:spacing w:after="120"/>
        <w:ind w:left="1559" w:hanging="425"/>
      </w:pPr>
      <w:r>
        <w:tab/>
        <w:t>Dimension de la marque du numéro ONU sur les colis</w:t>
      </w:r>
      <w:r>
        <w:tab/>
      </w:r>
      <w:r>
        <w:tab/>
        <w:t>69</w:t>
      </w:r>
      <w:r>
        <w:tab/>
      </w:r>
      <w:r w:rsidR="004F3948">
        <w:t>15</w:t>
      </w:r>
    </w:p>
    <w:p w:rsidR="005D0100" w:rsidRDefault="005D0100" w:rsidP="005D0100">
      <w:pPr>
        <w:tabs>
          <w:tab w:val="right" w:leader="dot" w:pos="7654"/>
          <w:tab w:val="right" w:pos="8929"/>
          <w:tab w:val="right" w:pos="9638"/>
        </w:tabs>
        <w:spacing w:after="120"/>
        <w:ind w:left="1559" w:hanging="425"/>
      </w:pPr>
      <w:r>
        <w:t>B.</w:t>
      </w:r>
      <w:r>
        <w:tab/>
      </w:r>
      <w:r w:rsidR="00294EC9">
        <w:t>Emballages</w:t>
      </w:r>
      <w:r>
        <w:tab/>
      </w:r>
      <w:r>
        <w:tab/>
      </w:r>
      <w:r w:rsidR="003A61EB">
        <w:t>70−74</w:t>
      </w:r>
      <w:r>
        <w:tab/>
      </w:r>
      <w:r w:rsidR="004F3948">
        <w:t>15</w:t>
      </w:r>
    </w:p>
    <w:p w:rsidR="005D0100" w:rsidRDefault="005D0100" w:rsidP="005D0100">
      <w:pPr>
        <w:tabs>
          <w:tab w:val="right" w:leader="dot" w:pos="7654"/>
          <w:tab w:val="right" w:pos="8929"/>
          <w:tab w:val="right" w:pos="9638"/>
        </w:tabs>
        <w:spacing w:after="120"/>
        <w:ind w:left="1984" w:hanging="425"/>
      </w:pPr>
      <w:r>
        <w:lastRenderedPageBreak/>
        <w:t>1.</w:t>
      </w:r>
      <w:r>
        <w:tab/>
      </w:r>
      <w:r w:rsidR="00294EC9">
        <w:t xml:space="preserve">Épreuve de chute pour les grands récipients pour vrac, et les grands </w:t>
      </w:r>
      <w:r w:rsidR="00294EC9">
        <w:br/>
        <w:t xml:space="preserve">emballages en plastique et ceux contenant des récipients ou emballages </w:t>
      </w:r>
      <w:r w:rsidR="00294EC9">
        <w:br/>
        <w:t>intérieurs en plastique − Durée du conditionnement à -18 °C</w:t>
      </w:r>
      <w:r>
        <w:tab/>
      </w:r>
      <w:r>
        <w:tab/>
      </w:r>
      <w:r w:rsidR="003A61EB">
        <w:t>70</w:t>
      </w:r>
      <w:r>
        <w:tab/>
      </w:r>
      <w:r w:rsidR="004F3948">
        <w:t>15</w:t>
      </w:r>
    </w:p>
    <w:p w:rsidR="005D0100" w:rsidRDefault="005D0100" w:rsidP="005D0100">
      <w:pPr>
        <w:tabs>
          <w:tab w:val="right" w:leader="dot" w:pos="7654"/>
          <w:tab w:val="right" w:pos="8929"/>
          <w:tab w:val="right" w:pos="9638"/>
        </w:tabs>
        <w:spacing w:after="120"/>
        <w:ind w:left="1984" w:hanging="425"/>
      </w:pPr>
      <w:r>
        <w:t>2.</w:t>
      </w:r>
      <w:r>
        <w:tab/>
      </w:r>
      <w:r w:rsidR="00294EC9">
        <w:t xml:space="preserve">Entretien régulier des </w:t>
      </w:r>
      <w:r w:rsidR="00294EC9" w:rsidRPr="009C477E">
        <w:t xml:space="preserve">grands récipients pour vrac </w:t>
      </w:r>
      <w:r w:rsidR="00294EC9">
        <w:t>rigides</w:t>
      </w:r>
      <w:r>
        <w:tab/>
      </w:r>
      <w:r>
        <w:tab/>
      </w:r>
      <w:r w:rsidR="003A61EB">
        <w:t>71</w:t>
      </w:r>
      <w:r>
        <w:tab/>
      </w:r>
      <w:r w:rsidR="00C849C6">
        <w:t>16</w:t>
      </w:r>
    </w:p>
    <w:p w:rsidR="005D0100" w:rsidRDefault="005D0100" w:rsidP="005D0100">
      <w:pPr>
        <w:tabs>
          <w:tab w:val="right" w:leader="dot" w:pos="7654"/>
          <w:tab w:val="right" w:pos="8929"/>
          <w:tab w:val="right" w:pos="9638"/>
        </w:tabs>
        <w:spacing w:after="120"/>
        <w:ind w:left="1984" w:hanging="425"/>
      </w:pPr>
      <w:r>
        <w:t>3.</w:t>
      </w:r>
      <w:r>
        <w:tab/>
      </w:r>
      <w:r w:rsidR="00294EC9">
        <w:t xml:space="preserve">Marques additionnelles concernant la charge de gerbage minimale </w:t>
      </w:r>
      <w:r w:rsidR="00294EC9">
        <w:br/>
        <w:t xml:space="preserve">des </w:t>
      </w:r>
      <w:r w:rsidR="00294EC9" w:rsidRPr="009C477E">
        <w:t>grands récipients pour vrac</w:t>
      </w:r>
      <w:r>
        <w:tab/>
      </w:r>
      <w:r>
        <w:tab/>
      </w:r>
      <w:r w:rsidR="003A61EB">
        <w:t>72−73</w:t>
      </w:r>
      <w:r>
        <w:tab/>
      </w:r>
      <w:r w:rsidR="00C849C6">
        <w:t>16</w:t>
      </w:r>
    </w:p>
    <w:p w:rsidR="005D0100" w:rsidRDefault="005D0100" w:rsidP="005D0100">
      <w:pPr>
        <w:tabs>
          <w:tab w:val="right" w:leader="dot" w:pos="7654"/>
          <w:tab w:val="right" w:pos="8929"/>
          <w:tab w:val="right" w:pos="9638"/>
        </w:tabs>
        <w:spacing w:after="120"/>
        <w:ind w:left="1984" w:hanging="425"/>
      </w:pPr>
      <w:r>
        <w:t>4.</w:t>
      </w:r>
      <w:r>
        <w:tab/>
      </w:r>
      <w:r w:rsidR="00294EC9">
        <w:t xml:space="preserve">Utilisation des emballages homologués pour les liquides </w:t>
      </w:r>
      <w:r w:rsidR="00294EC9">
        <w:br/>
        <w:t>pour le transport des matières solides</w:t>
      </w:r>
      <w:r>
        <w:tab/>
      </w:r>
      <w:r>
        <w:tab/>
      </w:r>
      <w:r w:rsidR="003A61EB">
        <w:t>74</w:t>
      </w:r>
      <w:r>
        <w:tab/>
      </w:r>
      <w:r w:rsidR="004F3948">
        <w:t>16</w:t>
      </w:r>
    </w:p>
    <w:p w:rsidR="005D0100" w:rsidRDefault="005D0100" w:rsidP="005D0100">
      <w:pPr>
        <w:tabs>
          <w:tab w:val="right" w:leader="dot" w:pos="7654"/>
          <w:tab w:val="right" w:pos="8929"/>
          <w:tab w:val="right" w:pos="9638"/>
        </w:tabs>
        <w:spacing w:after="120"/>
        <w:ind w:left="1559" w:hanging="425"/>
      </w:pPr>
      <w:r>
        <w:t>C.</w:t>
      </w:r>
      <w:r>
        <w:tab/>
      </w:r>
      <w:r w:rsidR="00294EC9" w:rsidRPr="00D3405C">
        <w:rPr>
          <w:lang w:val="fr-FR"/>
        </w:rPr>
        <w:t>Citernes mobiles</w:t>
      </w:r>
      <w:r>
        <w:tab/>
      </w:r>
      <w:r>
        <w:tab/>
      </w:r>
      <w:r w:rsidR="003A61EB">
        <w:t>75−82</w:t>
      </w:r>
      <w:r>
        <w:tab/>
      </w:r>
      <w:r w:rsidR="004F3948">
        <w:t>16</w:t>
      </w:r>
    </w:p>
    <w:p w:rsidR="005D0100" w:rsidRDefault="005D0100" w:rsidP="005D0100">
      <w:pPr>
        <w:tabs>
          <w:tab w:val="right" w:leader="dot" w:pos="7654"/>
          <w:tab w:val="right" w:pos="8929"/>
          <w:tab w:val="right" w:pos="9638"/>
        </w:tabs>
        <w:spacing w:after="120"/>
        <w:ind w:left="1984" w:hanging="425"/>
      </w:pPr>
      <w:r>
        <w:t>1.</w:t>
      </w:r>
      <w:r>
        <w:tab/>
      </w:r>
      <w:r w:rsidR="00294EC9">
        <w:t>Contrôle des dispositifs de décompression</w:t>
      </w:r>
      <w:r>
        <w:tab/>
      </w:r>
      <w:r>
        <w:tab/>
      </w:r>
      <w:r w:rsidR="003A61EB">
        <w:t>75−76</w:t>
      </w:r>
      <w:r>
        <w:tab/>
      </w:r>
      <w:r w:rsidR="004F3948">
        <w:t>16</w:t>
      </w:r>
    </w:p>
    <w:p w:rsidR="005D0100" w:rsidRDefault="005D0100" w:rsidP="005D0100">
      <w:pPr>
        <w:tabs>
          <w:tab w:val="right" w:leader="dot" w:pos="7654"/>
          <w:tab w:val="right" w:pos="8929"/>
          <w:tab w:val="right" w:pos="9638"/>
        </w:tabs>
        <w:spacing w:after="120"/>
        <w:ind w:left="1984" w:hanging="425"/>
      </w:pPr>
      <w:r>
        <w:t>2.</w:t>
      </w:r>
      <w:r>
        <w:tab/>
      </w:r>
      <w:r w:rsidR="00294EC9">
        <w:t>Épreuve de chute pour les citernes</w:t>
      </w:r>
      <w:r w:rsidR="000100EE">
        <w:t xml:space="preserve"> </w:t>
      </w:r>
      <w:r w:rsidR="00294EC9">
        <w:t xml:space="preserve">mobiles et les </w:t>
      </w:r>
      <w:r w:rsidR="00294EC9" w:rsidRPr="00891C97">
        <w:t xml:space="preserve">conteneurs à gaz </w:t>
      </w:r>
      <w:r w:rsidR="00294EC9">
        <w:br/>
      </w:r>
      <w:r w:rsidR="00294EC9" w:rsidRPr="00891C97">
        <w:t>à éléments multiples</w:t>
      </w:r>
      <w:r w:rsidR="00294EC9">
        <w:t xml:space="preserve"> : proposition de révision de la section 41 </w:t>
      </w:r>
      <w:r w:rsidR="00294EC9">
        <w:br/>
        <w:t>du Manuel d’épreuves et de critères</w:t>
      </w:r>
      <w:r>
        <w:tab/>
      </w:r>
      <w:r>
        <w:tab/>
      </w:r>
      <w:r w:rsidR="003A61EB">
        <w:t>77</w:t>
      </w:r>
      <w:r>
        <w:tab/>
      </w:r>
      <w:r w:rsidR="00C849C6">
        <w:t>17</w:t>
      </w:r>
    </w:p>
    <w:p w:rsidR="005D0100" w:rsidRDefault="005D0100" w:rsidP="005D0100">
      <w:pPr>
        <w:tabs>
          <w:tab w:val="right" w:leader="dot" w:pos="7654"/>
          <w:tab w:val="right" w:pos="8929"/>
          <w:tab w:val="right" w:pos="9638"/>
        </w:tabs>
        <w:spacing w:after="120"/>
        <w:ind w:left="1984" w:hanging="425"/>
      </w:pPr>
      <w:r>
        <w:t>3.</w:t>
      </w:r>
      <w:r>
        <w:tab/>
      </w:r>
      <w:r w:rsidR="00294EC9">
        <w:t xml:space="preserve">Épaisseur minimale des réservoirs de citernes mobiles utilisées </w:t>
      </w:r>
      <w:r w:rsidR="00294EC9">
        <w:br/>
        <w:t>pour le transport de</w:t>
      </w:r>
      <w:r w:rsidR="00294EC9">
        <w:rPr>
          <w:sz w:val="24"/>
        </w:rPr>
        <w:t xml:space="preserve"> </w:t>
      </w:r>
      <w:r w:rsidR="00294EC9">
        <w:t>gaz liquéfiés non réfrigérés</w:t>
      </w:r>
      <w:r>
        <w:tab/>
      </w:r>
      <w:r>
        <w:tab/>
      </w:r>
      <w:r w:rsidR="003A61EB">
        <w:t>78</w:t>
      </w:r>
      <w:r>
        <w:tab/>
      </w:r>
      <w:r w:rsidR="00C849C6">
        <w:t>17</w:t>
      </w:r>
    </w:p>
    <w:p w:rsidR="005D0100" w:rsidRDefault="005D0100" w:rsidP="005D0100">
      <w:pPr>
        <w:tabs>
          <w:tab w:val="right" w:leader="dot" w:pos="7654"/>
          <w:tab w:val="right" w:pos="8929"/>
          <w:tab w:val="right" w:pos="9638"/>
        </w:tabs>
        <w:spacing w:after="120"/>
        <w:ind w:left="1984" w:hanging="425"/>
      </w:pPr>
      <w:r>
        <w:t>4.</w:t>
      </w:r>
      <w:r>
        <w:tab/>
      </w:r>
      <w:r w:rsidR="00294EC9">
        <w:t>Clarification de la disposition spéciale TP19</w:t>
      </w:r>
      <w:r>
        <w:tab/>
      </w:r>
      <w:r>
        <w:tab/>
      </w:r>
      <w:r w:rsidR="003A61EB">
        <w:t>79</w:t>
      </w:r>
      <w:r>
        <w:tab/>
      </w:r>
      <w:r w:rsidR="00C849C6">
        <w:t>17</w:t>
      </w:r>
    </w:p>
    <w:p w:rsidR="005D0100" w:rsidRDefault="005D0100" w:rsidP="005D0100">
      <w:pPr>
        <w:tabs>
          <w:tab w:val="right" w:leader="dot" w:pos="7654"/>
          <w:tab w:val="right" w:pos="8929"/>
          <w:tab w:val="right" w:pos="9638"/>
        </w:tabs>
        <w:spacing w:after="120"/>
        <w:ind w:left="1984" w:hanging="425"/>
      </w:pPr>
      <w:r>
        <w:t>5.</w:t>
      </w:r>
      <w:r>
        <w:tab/>
      </w:r>
      <w:r w:rsidR="00294EC9" w:rsidRPr="00D3405C">
        <w:rPr>
          <w:lang w:val="fr-FR"/>
        </w:rPr>
        <w:t>Citernes mobiles en matière plastique renforcée de fibres</w:t>
      </w:r>
      <w:r>
        <w:tab/>
      </w:r>
      <w:r>
        <w:tab/>
      </w:r>
      <w:r w:rsidR="003A61EB">
        <w:t>80−81</w:t>
      </w:r>
      <w:r>
        <w:tab/>
      </w:r>
      <w:r w:rsidR="004F3948">
        <w:t>17</w:t>
      </w:r>
    </w:p>
    <w:p w:rsidR="005D0100" w:rsidRDefault="005D0100" w:rsidP="005D0100">
      <w:pPr>
        <w:tabs>
          <w:tab w:val="right" w:leader="dot" w:pos="7654"/>
          <w:tab w:val="right" w:pos="8929"/>
          <w:tab w:val="right" w:pos="9638"/>
        </w:tabs>
        <w:spacing w:after="120"/>
        <w:ind w:left="1984" w:hanging="425"/>
      </w:pPr>
      <w:r>
        <w:t>6.</w:t>
      </w:r>
      <w:r>
        <w:tab/>
      </w:r>
      <w:r w:rsidR="00294EC9" w:rsidRPr="00D3405C">
        <w:rPr>
          <w:lang w:val="fr-FR"/>
        </w:rPr>
        <w:t xml:space="preserve">Dispositions relatives aux renseignements sur le temps de retenue </w:t>
      </w:r>
      <w:r w:rsidR="00294EC9">
        <w:rPr>
          <w:lang w:val="fr-FR"/>
        </w:rPr>
        <w:br/>
      </w:r>
      <w:r w:rsidR="00294EC9" w:rsidRPr="00D3405C">
        <w:rPr>
          <w:lang w:val="fr-FR"/>
        </w:rPr>
        <w:t>dans le document de transport</w:t>
      </w:r>
      <w:r>
        <w:tab/>
      </w:r>
      <w:r>
        <w:tab/>
      </w:r>
      <w:r w:rsidR="003A61EB">
        <w:t>82</w:t>
      </w:r>
      <w:r>
        <w:tab/>
      </w:r>
      <w:r w:rsidR="00C849C6">
        <w:t>18</w:t>
      </w:r>
    </w:p>
    <w:p w:rsidR="005D0100" w:rsidRDefault="005D0100" w:rsidP="005D0100">
      <w:pPr>
        <w:tabs>
          <w:tab w:val="right" w:leader="dot" w:pos="7654"/>
          <w:tab w:val="right" w:pos="8929"/>
          <w:tab w:val="right" w:pos="9638"/>
        </w:tabs>
        <w:spacing w:after="120"/>
        <w:ind w:left="1559" w:hanging="425"/>
      </w:pPr>
      <w:r>
        <w:t>D.</w:t>
      </w:r>
      <w:r>
        <w:tab/>
      </w:r>
      <w:r w:rsidR="00294EC9">
        <w:t>Autres propositions diverses</w:t>
      </w:r>
      <w:r>
        <w:tab/>
      </w:r>
      <w:r>
        <w:tab/>
      </w:r>
      <w:r w:rsidR="003A61EB">
        <w:t>83−84</w:t>
      </w:r>
      <w:r>
        <w:tab/>
      </w:r>
      <w:r w:rsidR="00C849C6">
        <w:t>18</w:t>
      </w:r>
    </w:p>
    <w:p w:rsidR="005D0100" w:rsidRDefault="005D0100" w:rsidP="005D0100">
      <w:pPr>
        <w:tabs>
          <w:tab w:val="right" w:leader="dot" w:pos="7654"/>
          <w:tab w:val="right" w:pos="8929"/>
          <w:tab w:val="right" w:pos="9638"/>
        </w:tabs>
        <w:spacing w:after="120"/>
        <w:ind w:left="1984" w:hanging="425"/>
      </w:pPr>
      <w:r>
        <w:t>1.</w:t>
      </w:r>
      <w:r>
        <w:tab/>
      </w:r>
      <w:r w:rsidR="00294EC9">
        <w:t>Rectificatifs relatifs aux modèles d’étiquette n</w:t>
      </w:r>
      <w:r w:rsidR="00294EC9" w:rsidRPr="00542D2E">
        <w:rPr>
          <w:vertAlign w:val="superscript"/>
        </w:rPr>
        <w:t>os</w:t>
      </w:r>
      <w:r w:rsidR="00294EC9">
        <w:t xml:space="preserve"> 7A, 7B et 7C </w:t>
      </w:r>
      <w:r w:rsidR="00294EC9">
        <w:br/>
        <w:t>au paragraphe 5.2.2.2.2</w:t>
      </w:r>
      <w:r>
        <w:tab/>
      </w:r>
      <w:r>
        <w:tab/>
      </w:r>
      <w:r w:rsidR="003A61EB">
        <w:t>83</w:t>
      </w:r>
      <w:r>
        <w:tab/>
      </w:r>
      <w:r w:rsidR="00C849C6">
        <w:t>18</w:t>
      </w:r>
    </w:p>
    <w:p w:rsidR="005D0100" w:rsidRDefault="005D0100" w:rsidP="005D0100">
      <w:pPr>
        <w:tabs>
          <w:tab w:val="right" w:leader="dot" w:pos="7654"/>
          <w:tab w:val="right" w:pos="8929"/>
          <w:tab w:val="right" w:pos="9638"/>
        </w:tabs>
        <w:spacing w:after="120"/>
        <w:ind w:left="1984" w:hanging="425"/>
      </w:pPr>
      <w:r>
        <w:t>2.</w:t>
      </w:r>
      <w:r>
        <w:tab/>
      </w:r>
      <w:r w:rsidR="00294EC9" w:rsidRPr="00D3405C">
        <w:rPr>
          <w:lang w:val="fr-FR"/>
        </w:rPr>
        <w:t>Propositions d</w:t>
      </w:r>
      <w:r w:rsidR="00294EC9">
        <w:rPr>
          <w:lang w:val="fr-FR"/>
        </w:rPr>
        <w:t>’</w:t>
      </w:r>
      <w:r w:rsidR="00294EC9" w:rsidRPr="00D3405C">
        <w:rPr>
          <w:lang w:val="fr-FR"/>
        </w:rPr>
        <w:t xml:space="preserve">amendements à la section </w:t>
      </w:r>
      <w:r w:rsidR="00294EC9" w:rsidRPr="00DE4FBC">
        <w:rPr>
          <w:lang w:val="fr-FR"/>
        </w:rPr>
        <w:t>5.5.3</w:t>
      </w:r>
      <w:r>
        <w:tab/>
      </w:r>
      <w:r>
        <w:tab/>
      </w:r>
      <w:r w:rsidR="003A61EB">
        <w:t>84</w:t>
      </w:r>
      <w:r>
        <w:tab/>
      </w:r>
      <w:r w:rsidR="004F3948">
        <w:t>18</w:t>
      </w:r>
    </w:p>
    <w:p w:rsidR="005D0100" w:rsidRDefault="005D0100" w:rsidP="005D0100">
      <w:pPr>
        <w:tabs>
          <w:tab w:val="right" w:pos="850"/>
          <w:tab w:val="right" w:leader="dot" w:pos="7654"/>
          <w:tab w:val="right" w:pos="8929"/>
          <w:tab w:val="right" w:pos="9638"/>
        </w:tabs>
        <w:spacing w:after="120"/>
        <w:ind w:left="1134" w:hanging="1134"/>
      </w:pPr>
      <w:r>
        <w:tab/>
        <w:t>IX.</w:t>
      </w:r>
      <w:r>
        <w:tab/>
      </w:r>
      <w:r w:rsidR="00294EC9" w:rsidRPr="00D3405C">
        <w:rPr>
          <w:lang w:val="fr-FR"/>
        </w:rPr>
        <w:t xml:space="preserve">Harmonisation générale </w:t>
      </w:r>
      <w:r w:rsidR="00294EC9">
        <w:rPr>
          <w:lang w:val="fr-FR"/>
        </w:rPr>
        <w:t xml:space="preserve">des règlements de transport </w:t>
      </w:r>
      <w:r w:rsidR="00294EC9" w:rsidRPr="00D3405C">
        <w:rPr>
          <w:lang w:val="fr-FR"/>
        </w:rPr>
        <w:t xml:space="preserve">des marchandises </w:t>
      </w:r>
      <w:r w:rsidR="00294EC9">
        <w:rPr>
          <w:lang w:val="fr-FR"/>
        </w:rPr>
        <w:br/>
      </w:r>
      <w:r w:rsidR="00294EC9" w:rsidRPr="00D3405C">
        <w:rPr>
          <w:lang w:val="fr-FR"/>
        </w:rPr>
        <w:t>dang</w:t>
      </w:r>
      <w:r w:rsidR="00294EC9">
        <w:rPr>
          <w:lang w:val="fr-FR"/>
        </w:rPr>
        <w:t xml:space="preserve">ereuses avec le Règlement type </w:t>
      </w:r>
      <w:r w:rsidR="00294EC9" w:rsidRPr="00D3405C">
        <w:rPr>
          <w:lang w:val="fr-FR"/>
        </w:rPr>
        <w:t>(point 7 de l</w:t>
      </w:r>
      <w:r w:rsidR="00294EC9">
        <w:rPr>
          <w:lang w:val="fr-FR"/>
        </w:rPr>
        <w:t>’</w:t>
      </w:r>
      <w:r w:rsidR="00294EC9" w:rsidRPr="00D3405C">
        <w:rPr>
          <w:lang w:val="fr-FR"/>
        </w:rPr>
        <w:t>ordre du jour</w:t>
      </w:r>
      <w:r w:rsidR="00294EC9">
        <w:t>)</w:t>
      </w:r>
      <w:r>
        <w:tab/>
      </w:r>
      <w:r>
        <w:tab/>
      </w:r>
      <w:r w:rsidR="003A61EB">
        <w:t>85−92</w:t>
      </w:r>
      <w:r>
        <w:tab/>
      </w:r>
      <w:r w:rsidR="004F3948">
        <w:t>18</w:t>
      </w:r>
    </w:p>
    <w:p w:rsidR="005D0100" w:rsidRDefault="005D0100" w:rsidP="005D0100">
      <w:pPr>
        <w:tabs>
          <w:tab w:val="right" w:leader="dot" w:pos="7654"/>
          <w:tab w:val="right" w:pos="8929"/>
          <w:tab w:val="right" w:pos="9638"/>
        </w:tabs>
        <w:spacing w:after="120"/>
        <w:ind w:left="1984" w:hanging="425"/>
      </w:pPr>
      <w:r>
        <w:t>1.</w:t>
      </w:r>
      <w:r>
        <w:tab/>
      </w:r>
      <w:r w:rsidR="00294EC9">
        <w:t>Recommandations du « Dangerous Goods Panel » de l’OACI</w:t>
      </w:r>
      <w:r>
        <w:tab/>
      </w:r>
      <w:r>
        <w:tab/>
      </w:r>
      <w:r w:rsidR="003A61EB">
        <w:t>85−86</w:t>
      </w:r>
      <w:r>
        <w:tab/>
      </w:r>
      <w:r w:rsidR="004F3948">
        <w:t>18</w:t>
      </w:r>
    </w:p>
    <w:p w:rsidR="005D0100" w:rsidRDefault="005D0100" w:rsidP="005D0100">
      <w:pPr>
        <w:tabs>
          <w:tab w:val="right" w:leader="dot" w:pos="7654"/>
          <w:tab w:val="right" w:pos="8929"/>
          <w:tab w:val="right" w:pos="9638"/>
        </w:tabs>
        <w:spacing w:after="120"/>
        <w:ind w:left="1984" w:hanging="425"/>
      </w:pPr>
      <w:r>
        <w:t>2.</w:t>
      </w:r>
      <w:r>
        <w:tab/>
      </w:r>
      <w:r w:rsidR="00294EC9">
        <w:t xml:space="preserve">Activités de l’OMI (Sous-Comité du transport des cargaisons </w:t>
      </w:r>
      <w:r w:rsidR="00294EC9">
        <w:br/>
      </w:r>
      <w:r w:rsidR="00B916C5">
        <w:t>et conteneurs CCC</w:t>
      </w:r>
      <w:r w:rsidR="00294EC9">
        <w:t xml:space="preserve">4) et du Groupe des questions techniques </w:t>
      </w:r>
      <w:r w:rsidR="00294EC9">
        <w:br/>
        <w:t>et éditoriales (E&amp;T 28</w:t>
      </w:r>
      <w:r w:rsidR="00294EC9" w:rsidRPr="00DE4FBC">
        <w:rPr>
          <w:lang w:val="fr-FR"/>
        </w:rPr>
        <w:t>)</w:t>
      </w:r>
      <w:r>
        <w:tab/>
      </w:r>
      <w:r>
        <w:tab/>
      </w:r>
      <w:r w:rsidR="003A61EB">
        <w:t>87</w:t>
      </w:r>
      <w:r>
        <w:tab/>
      </w:r>
      <w:r w:rsidR="004F3948">
        <w:t>18</w:t>
      </w:r>
    </w:p>
    <w:p w:rsidR="005D0100" w:rsidRDefault="005D0100" w:rsidP="005D0100">
      <w:pPr>
        <w:tabs>
          <w:tab w:val="right" w:leader="dot" w:pos="7654"/>
          <w:tab w:val="right" w:pos="8929"/>
          <w:tab w:val="right" w:pos="9638"/>
        </w:tabs>
        <w:spacing w:after="120"/>
        <w:ind w:left="1984" w:hanging="425"/>
      </w:pPr>
      <w:r>
        <w:t>3.</w:t>
      </w:r>
      <w:r>
        <w:tab/>
      </w:r>
      <w:r w:rsidR="00294EC9" w:rsidRPr="00D3405C">
        <w:rPr>
          <w:lang w:val="fr-FR"/>
        </w:rPr>
        <w:t xml:space="preserve">Corrections de forme à la vingtième édition révisée </w:t>
      </w:r>
      <w:r w:rsidR="00294EC9">
        <w:rPr>
          <w:lang w:val="fr-FR"/>
        </w:rPr>
        <w:br/>
      </w:r>
      <w:r w:rsidR="00294EC9" w:rsidRPr="00D3405C">
        <w:rPr>
          <w:lang w:val="fr-FR"/>
        </w:rPr>
        <w:t>du Règlement type</w:t>
      </w:r>
      <w:r>
        <w:tab/>
      </w:r>
      <w:r>
        <w:tab/>
      </w:r>
      <w:r w:rsidR="003A61EB">
        <w:t>88−89</w:t>
      </w:r>
      <w:r>
        <w:tab/>
      </w:r>
      <w:r w:rsidR="00C849C6">
        <w:t>19</w:t>
      </w:r>
    </w:p>
    <w:p w:rsidR="005D0100" w:rsidRDefault="005D0100" w:rsidP="005D0100">
      <w:pPr>
        <w:tabs>
          <w:tab w:val="right" w:leader="dot" w:pos="7654"/>
          <w:tab w:val="right" w:pos="8929"/>
          <w:tab w:val="right" w:pos="9638"/>
        </w:tabs>
        <w:spacing w:after="120"/>
        <w:ind w:left="1984" w:hanging="425"/>
      </w:pPr>
      <w:r>
        <w:t>4.</w:t>
      </w:r>
      <w:r>
        <w:tab/>
      </w:r>
      <w:r w:rsidR="00294EC9" w:rsidRPr="00DA3141">
        <w:t xml:space="preserve">Nom et description du </w:t>
      </w:r>
      <w:r w:rsidR="00294EC9">
        <w:t>numéro </w:t>
      </w:r>
      <w:r w:rsidR="00294EC9" w:rsidRPr="00DA3141">
        <w:t>ONU 3363</w:t>
      </w:r>
      <w:r>
        <w:tab/>
      </w:r>
      <w:r>
        <w:tab/>
      </w:r>
      <w:r w:rsidR="003A61EB">
        <w:t>90−92</w:t>
      </w:r>
      <w:r>
        <w:tab/>
      </w:r>
      <w:r w:rsidR="00C849C6">
        <w:t>19</w:t>
      </w:r>
    </w:p>
    <w:p w:rsidR="005D0100" w:rsidRDefault="005D0100" w:rsidP="005D0100">
      <w:pPr>
        <w:tabs>
          <w:tab w:val="right" w:pos="850"/>
          <w:tab w:val="right" w:leader="dot" w:pos="7654"/>
          <w:tab w:val="right" w:pos="8929"/>
          <w:tab w:val="right" w:pos="9638"/>
        </w:tabs>
        <w:spacing w:after="120"/>
        <w:ind w:left="1134" w:hanging="1134"/>
      </w:pPr>
      <w:r>
        <w:tab/>
        <w:t>X.</w:t>
      </w:r>
      <w:r>
        <w:tab/>
      </w:r>
      <w:r w:rsidR="00294EC9" w:rsidRPr="003F611B">
        <w:rPr>
          <w:lang w:val="fr-FR"/>
        </w:rPr>
        <w:t>Coopération avec l</w:t>
      </w:r>
      <w:r w:rsidR="00294EC9">
        <w:rPr>
          <w:lang w:val="fr-FR"/>
        </w:rPr>
        <w:t>’</w:t>
      </w:r>
      <w:r w:rsidR="00294EC9" w:rsidRPr="003F611B">
        <w:rPr>
          <w:lang w:val="fr-FR"/>
        </w:rPr>
        <w:t>Agence internationale de l</w:t>
      </w:r>
      <w:r w:rsidR="00294EC9">
        <w:rPr>
          <w:lang w:val="fr-FR"/>
        </w:rPr>
        <w:t>’</w:t>
      </w:r>
      <w:r w:rsidR="00294EC9" w:rsidRPr="003F611B">
        <w:rPr>
          <w:lang w:val="fr-FR"/>
        </w:rPr>
        <w:t xml:space="preserve">énergie atomique </w:t>
      </w:r>
      <w:r w:rsidR="00294EC9">
        <w:rPr>
          <w:lang w:val="fr-FR"/>
        </w:rPr>
        <w:br/>
      </w:r>
      <w:r w:rsidR="00294EC9" w:rsidRPr="003F611B">
        <w:rPr>
          <w:lang w:val="fr-FR"/>
        </w:rPr>
        <w:t>(point 8 de l</w:t>
      </w:r>
      <w:r w:rsidR="00294EC9">
        <w:rPr>
          <w:lang w:val="fr-FR"/>
        </w:rPr>
        <w:t>’</w:t>
      </w:r>
      <w:r w:rsidR="00294EC9" w:rsidRPr="003F611B">
        <w:rPr>
          <w:lang w:val="fr-FR"/>
        </w:rPr>
        <w:t>ordre du jour</w:t>
      </w:r>
      <w:r w:rsidR="00294EC9" w:rsidRPr="00DE4FBC">
        <w:rPr>
          <w:lang w:val="fr-FR"/>
        </w:rPr>
        <w:t>)</w:t>
      </w:r>
      <w:r>
        <w:tab/>
      </w:r>
      <w:r>
        <w:tab/>
      </w:r>
      <w:r w:rsidR="003A61EB">
        <w:t>93</w:t>
      </w:r>
      <w:r>
        <w:tab/>
      </w:r>
      <w:r w:rsidR="004F3948">
        <w:t>19</w:t>
      </w:r>
    </w:p>
    <w:p w:rsidR="005D0100" w:rsidRDefault="005D0100" w:rsidP="005D0100">
      <w:pPr>
        <w:tabs>
          <w:tab w:val="right" w:pos="850"/>
          <w:tab w:val="right" w:leader="dot" w:pos="7654"/>
          <w:tab w:val="right" w:pos="8929"/>
          <w:tab w:val="right" w:pos="9638"/>
        </w:tabs>
        <w:spacing w:after="120"/>
        <w:ind w:left="1134" w:hanging="1134"/>
      </w:pPr>
      <w:r>
        <w:tab/>
        <w:t>XI.</w:t>
      </w:r>
      <w:r>
        <w:tab/>
      </w:r>
      <w:r w:rsidR="00294EC9">
        <w:t>Principes directeurs du Règlement type</w:t>
      </w:r>
      <w:r w:rsidR="00294EC9" w:rsidRPr="00DE4FBC">
        <w:rPr>
          <w:lang w:val="fr-FR"/>
        </w:rPr>
        <w:t xml:space="preserve"> (</w:t>
      </w:r>
      <w:r w:rsidR="00294EC9">
        <w:rPr>
          <w:lang w:val="fr-FR"/>
        </w:rPr>
        <w:t>point </w:t>
      </w:r>
      <w:r w:rsidR="00294EC9" w:rsidRPr="00DE4FBC">
        <w:rPr>
          <w:lang w:val="fr-FR"/>
        </w:rPr>
        <w:t>9</w:t>
      </w:r>
      <w:r w:rsidR="00294EC9">
        <w:rPr>
          <w:lang w:val="fr-FR"/>
        </w:rPr>
        <w:t xml:space="preserve"> </w:t>
      </w:r>
      <w:r w:rsidR="00294EC9" w:rsidRPr="00F73FF1">
        <w:rPr>
          <w:lang w:val="fr-FR"/>
        </w:rPr>
        <w:t>de l</w:t>
      </w:r>
      <w:r w:rsidR="00294EC9">
        <w:rPr>
          <w:lang w:val="fr-FR"/>
        </w:rPr>
        <w:t>’</w:t>
      </w:r>
      <w:r w:rsidR="00294EC9" w:rsidRPr="00F73FF1">
        <w:rPr>
          <w:lang w:val="fr-FR"/>
        </w:rPr>
        <w:t>ordre du jour</w:t>
      </w:r>
      <w:r w:rsidR="00294EC9" w:rsidRPr="00DE4FBC">
        <w:rPr>
          <w:lang w:val="fr-FR"/>
        </w:rPr>
        <w:t>)</w:t>
      </w:r>
      <w:r>
        <w:tab/>
      </w:r>
      <w:r>
        <w:tab/>
      </w:r>
      <w:r w:rsidR="003A61EB">
        <w:t>94</w:t>
      </w:r>
      <w:r>
        <w:tab/>
      </w:r>
      <w:r w:rsidR="00C849C6">
        <w:t>20</w:t>
      </w:r>
    </w:p>
    <w:p w:rsidR="005D0100" w:rsidRDefault="005D0100" w:rsidP="005D0100">
      <w:pPr>
        <w:tabs>
          <w:tab w:val="right" w:pos="850"/>
          <w:tab w:val="right" w:leader="dot" w:pos="7654"/>
          <w:tab w:val="right" w:pos="8929"/>
          <w:tab w:val="right" w:pos="9638"/>
        </w:tabs>
        <w:spacing w:after="120"/>
        <w:ind w:left="1134" w:hanging="1134"/>
      </w:pPr>
      <w:r>
        <w:tab/>
        <w:t>XII.</w:t>
      </w:r>
      <w:r>
        <w:tab/>
      </w:r>
      <w:r w:rsidR="00294EC9" w:rsidRPr="00963714">
        <w:t xml:space="preserve">Questions relatives au Système général harmonisé de classification </w:t>
      </w:r>
      <w:r w:rsidR="00294EC9">
        <w:br/>
      </w:r>
      <w:r w:rsidR="00294EC9" w:rsidRPr="00963714">
        <w:t>et</w:t>
      </w:r>
      <w:r w:rsidR="00294EC9">
        <w:t xml:space="preserve"> </w:t>
      </w:r>
      <w:r w:rsidR="00294EC9" w:rsidRPr="00963714">
        <w:t>d</w:t>
      </w:r>
      <w:r w:rsidR="00294EC9">
        <w:t>’</w:t>
      </w:r>
      <w:r w:rsidR="00294EC9" w:rsidRPr="00963714">
        <w:t>étiquetage des produits chimiques (SGH)</w:t>
      </w:r>
      <w:r w:rsidR="00294EC9" w:rsidRPr="00EE13A0">
        <w:rPr>
          <w:lang w:val="fr-FR"/>
        </w:rPr>
        <w:t xml:space="preserve"> (point 10 de l</w:t>
      </w:r>
      <w:r w:rsidR="00294EC9">
        <w:rPr>
          <w:lang w:val="fr-FR"/>
        </w:rPr>
        <w:t>’</w:t>
      </w:r>
      <w:r w:rsidR="00294EC9" w:rsidRPr="00EE13A0">
        <w:rPr>
          <w:lang w:val="fr-FR"/>
        </w:rPr>
        <w:t>ordre du jour)</w:t>
      </w:r>
      <w:r>
        <w:tab/>
      </w:r>
      <w:r>
        <w:tab/>
      </w:r>
      <w:r w:rsidR="003A61EB">
        <w:t>95−99</w:t>
      </w:r>
      <w:r>
        <w:tab/>
      </w:r>
      <w:r w:rsidR="00C849C6">
        <w:t>20</w:t>
      </w:r>
    </w:p>
    <w:p w:rsidR="005D0100" w:rsidRDefault="005D0100" w:rsidP="005D0100">
      <w:pPr>
        <w:tabs>
          <w:tab w:val="right" w:leader="dot" w:pos="7654"/>
          <w:tab w:val="right" w:pos="8929"/>
          <w:tab w:val="right" w:pos="9638"/>
        </w:tabs>
        <w:spacing w:after="120"/>
        <w:ind w:left="1559" w:hanging="425"/>
      </w:pPr>
      <w:r>
        <w:t>A.</w:t>
      </w:r>
      <w:r>
        <w:tab/>
      </w:r>
      <w:r w:rsidR="00294EC9">
        <w:t>Critères relatifs à l’hydroréactivité</w:t>
      </w:r>
      <w:r>
        <w:tab/>
      </w:r>
      <w:r>
        <w:tab/>
      </w:r>
      <w:r w:rsidR="003A61EB">
        <w:t>95</w:t>
      </w:r>
      <w:r>
        <w:tab/>
      </w:r>
      <w:r w:rsidR="00C849C6">
        <w:t>20</w:t>
      </w:r>
    </w:p>
    <w:p w:rsidR="005D0100" w:rsidRDefault="005D0100" w:rsidP="005D0100">
      <w:pPr>
        <w:tabs>
          <w:tab w:val="right" w:leader="dot" w:pos="7654"/>
          <w:tab w:val="right" w:pos="8929"/>
          <w:tab w:val="right" w:pos="9638"/>
        </w:tabs>
        <w:spacing w:after="120"/>
        <w:ind w:left="1559" w:hanging="425"/>
      </w:pPr>
      <w:r>
        <w:t>B.</w:t>
      </w:r>
      <w:r>
        <w:tab/>
      </w:r>
      <w:r w:rsidR="00294EC9" w:rsidRPr="00EE13A0">
        <w:rPr>
          <w:lang w:val="fr-FR"/>
        </w:rPr>
        <w:t>Épreuves relatives aux matières comburantes</w:t>
      </w:r>
      <w:r>
        <w:tab/>
      </w:r>
      <w:r>
        <w:tab/>
      </w:r>
      <w:r w:rsidR="003A61EB">
        <w:t>96</w:t>
      </w:r>
      <w:r>
        <w:tab/>
      </w:r>
      <w:r w:rsidR="00C849C6">
        <w:t>20</w:t>
      </w:r>
    </w:p>
    <w:p w:rsidR="005D0100" w:rsidRDefault="005D0100" w:rsidP="005D0100">
      <w:pPr>
        <w:tabs>
          <w:tab w:val="right" w:leader="dot" w:pos="7654"/>
          <w:tab w:val="right" w:pos="8929"/>
          <w:tab w:val="right" w:pos="9638"/>
        </w:tabs>
        <w:spacing w:after="120"/>
        <w:ind w:left="1559" w:hanging="425"/>
      </w:pPr>
      <w:r>
        <w:t>C.</w:t>
      </w:r>
      <w:r>
        <w:tab/>
      </w:r>
      <w:r w:rsidR="00294EC9">
        <w:t>Mise à jour des références aux directives de l’OCDE</w:t>
      </w:r>
      <w:r>
        <w:tab/>
      </w:r>
      <w:r>
        <w:tab/>
      </w:r>
      <w:r w:rsidR="003A61EB">
        <w:t>97</w:t>
      </w:r>
      <w:r>
        <w:tab/>
      </w:r>
      <w:r w:rsidR="004F3948">
        <w:t>20</w:t>
      </w:r>
    </w:p>
    <w:p w:rsidR="005D0100" w:rsidRDefault="005D0100" w:rsidP="005D0100">
      <w:pPr>
        <w:tabs>
          <w:tab w:val="right" w:leader="dot" w:pos="7654"/>
          <w:tab w:val="right" w:pos="8929"/>
          <w:tab w:val="right" w:pos="9638"/>
        </w:tabs>
        <w:spacing w:after="120"/>
        <w:ind w:left="1559" w:hanging="425"/>
      </w:pPr>
      <w:r>
        <w:t>D.</w:t>
      </w:r>
      <w:r>
        <w:tab/>
      </w:r>
      <w:r w:rsidR="00294EC9">
        <w:t>Utilisation du Manuel d’épreuves et de critères dans le contexte du SGH</w:t>
      </w:r>
      <w:r>
        <w:tab/>
      </w:r>
      <w:r>
        <w:tab/>
      </w:r>
      <w:r w:rsidR="003A61EB">
        <w:t>98</w:t>
      </w:r>
      <w:r>
        <w:tab/>
      </w:r>
      <w:r w:rsidR="004F3948">
        <w:t>20</w:t>
      </w:r>
    </w:p>
    <w:p w:rsidR="005D0100" w:rsidRDefault="005D0100" w:rsidP="005D0100">
      <w:pPr>
        <w:tabs>
          <w:tab w:val="right" w:leader="dot" w:pos="7654"/>
          <w:tab w:val="right" w:pos="8929"/>
          <w:tab w:val="right" w:pos="9638"/>
        </w:tabs>
        <w:spacing w:after="120"/>
        <w:ind w:left="1559" w:hanging="425"/>
      </w:pPr>
      <w:r>
        <w:t>E.</w:t>
      </w:r>
      <w:r>
        <w:tab/>
      </w:r>
      <w:r w:rsidR="00294EC9">
        <w:t>Divers</w:t>
      </w:r>
      <w:r>
        <w:tab/>
      </w:r>
      <w:r>
        <w:tab/>
      </w:r>
      <w:r w:rsidR="003A61EB">
        <w:t>99</w:t>
      </w:r>
      <w:r>
        <w:tab/>
      </w:r>
      <w:r w:rsidR="004F3948">
        <w:t>20</w:t>
      </w:r>
    </w:p>
    <w:p w:rsidR="005D0100" w:rsidRDefault="005D0100" w:rsidP="00A943CE">
      <w:pPr>
        <w:keepNext/>
        <w:tabs>
          <w:tab w:val="right" w:pos="850"/>
          <w:tab w:val="right" w:leader="dot" w:pos="7654"/>
          <w:tab w:val="right" w:pos="8929"/>
          <w:tab w:val="right" w:pos="9638"/>
        </w:tabs>
        <w:spacing w:after="120"/>
        <w:ind w:left="1134" w:hanging="1134"/>
      </w:pPr>
      <w:r>
        <w:lastRenderedPageBreak/>
        <w:tab/>
        <w:t>XIII.</w:t>
      </w:r>
      <w:r>
        <w:tab/>
      </w:r>
      <w:r w:rsidR="00294EC9" w:rsidRPr="003F611B">
        <w:rPr>
          <w:lang w:val="fr-FR"/>
        </w:rPr>
        <w:t>Questions diverses (point 11 de l</w:t>
      </w:r>
      <w:r w:rsidR="00294EC9">
        <w:rPr>
          <w:lang w:val="fr-FR"/>
        </w:rPr>
        <w:t>’ordre du jour</w:t>
      </w:r>
      <w:r w:rsidR="00294EC9" w:rsidRPr="00DE4FBC">
        <w:rPr>
          <w:lang w:val="fr-FR"/>
        </w:rPr>
        <w:t>)</w:t>
      </w:r>
      <w:r>
        <w:tab/>
      </w:r>
      <w:r>
        <w:tab/>
      </w:r>
      <w:r w:rsidR="003A61EB">
        <w:t>100−102</w:t>
      </w:r>
      <w:r>
        <w:tab/>
      </w:r>
      <w:r w:rsidR="00C849C6">
        <w:t>21</w:t>
      </w:r>
    </w:p>
    <w:p w:rsidR="005D0100" w:rsidRPr="00294EC9" w:rsidRDefault="005D0100" w:rsidP="00A943CE">
      <w:pPr>
        <w:keepNext/>
        <w:tabs>
          <w:tab w:val="right" w:pos="850"/>
          <w:tab w:val="right" w:leader="dot" w:pos="7654"/>
          <w:tab w:val="right" w:pos="8929"/>
          <w:tab w:val="right" w:pos="9638"/>
        </w:tabs>
        <w:spacing w:after="120"/>
        <w:ind w:left="1134" w:hanging="1134"/>
      </w:pPr>
      <w:r>
        <w:tab/>
      </w:r>
      <w:r>
        <w:tab/>
      </w:r>
      <w:r w:rsidR="00294EC9" w:rsidRPr="00294EC9">
        <w:rPr>
          <w:lang w:val="fr-FR"/>
        </w:rPr>
        <w:t>Champ d’application de la section 1.1.1.2 du Règlement type</w:t>
      </w:r>
      <w:r w:rsidRPr="00294EC9">
        <w:tab/>
      </w:r>
      <w:r w:rsidRPr="00294EC9">
        <w:tab/>
      </w:r>
      <w:r w:rsidR="003A61EB">
        <w:t>100</w:t>
      </w:r>
      <w:r w:rsidRPr="00294EC9">
        <w:tab/>
      </w:r>
      <w:r w:rsidR="00C849C6">
        <w:t>21</w:t>
      </w:r>
    </w:p>
    <w:p w:rsidR="00DF1EB2" w:rsidRDefault="00DF1EB2" w:rsidP="00DF1EB2">
      <w:pPr>
        <w:tabs>
          <w:tab w:val="right" w:pos="850"/>
          <w:tab w:val="right" w:leader="dot" w:pos="7654"/>
          <w:tab w:val="right" w:pos="8929"/>
          <w:tab w:val="right" w:pos="9638"/>
        </w:tabs>
        <w:spacing w:after="120"/>
        <w:ind w:left="1134" w:hanging="1134"/>
      </w:pPr>
      <w:r>
        <w:tab/>
      </w:r>
      <w:r>
        <w:tab/>
      </w:r>
      <w:r w:rsidR="00294EC9" w:rsidRPr="00206DE1">
        <w:rPr>
          <w:lang w:val="fr-FR"/>
        </w:rPr>
        <w:t>Hommages à M.</w:t>
      </w:r>
      <w:r w:rsidR="00294EC9">
        <w:rPr>
          <w:lang w:val="fr-FR"/>
        </w:rPr>
        <w:t> </w:t>
      </w:r>
      <w:r w:rsidR="00294EC9" w:rsidRPr="00206DE1">
        <w:rPr>
          <w:lang w:val="fr-FR"/>
        </w:rPr>
        <w:t>O.</w:t>
      </w:r>
      <w:r w:rsidR="00294EC9">
        <w:rPr>
          <w:lang w:val="fr-FR"/>
        </w:rPr>
        <w:t> </w:t>
      </w:r>
      <w:r w:rsidR="00294EC9" w:rsidRPr="00206DE1">
        <w:rPr>
          <w:lang w:val="fr-FR"/>
        </w:rPr>
        <w:t>Kervella (secrétariat), M.</w:t>
      </w:r>
      <w:r w:rsidR="00294EC9">
        <w:rPr>
          <w:lang w:val="fr-FR"/>
        </w:rPr>
        <w:t> </w:t>
      </w:r>
      <w:r w:rsidR="00294EC9" w:rsidRPr="00206DE1">
        <w:rPr>
          <w:lang w:val="fr-FR"/>
        </w:rPr>
        <w:t>J.</w:t>
      </w:r>
      <w:r w:rsidR="00294EC9">
        <w:rPr>
          <w:lang w:val="fr-FR"/>
        </w:rPr>
        <w:t> </w:t>
      </w:r>
      <w:r w:rsidR="00294EC9" w:rsidRPr="00206DE1">
        <w:rPr>
          <w:lang w:val="fr-FR"/>
        </w:rPr>
        <w:t xml:space="preserve">Mayers (Royaume-Uni) </w:t>
      </w:r>
      <w:r w:rsidR="00294EC9">
        <w:rPr>
          <w:lang w:val="fr-FR"/>
        </w:rPr>
        <w:br/>
      </w:r>
      <w:r w:rsidR="00294EC9" w:rsidRPr="00206DE1">
        <w:rPr>
          <w:lang w:val="fr-FR"/>
        </w:rPr>
        <w:t>et M</w:t>
      </w:r>
      <w:r w:rsidR="00294EC9" w:rsidRPr="00206DE1">
        <w:rPr>
          <w:vertAlign w:val="superscript"/>
          <w:lang w:val="fr-FR"/>
        </w:rPr>
        <w:t>me</w:t>
      </w:r>
      <w:r w:rsidR="00294EC9">
        <w:rPr>
          <w:lang w:val="fr-FR"/>
        </w:rPr>
        <w:t> </w:t>
      </w:r>
      <w:r w:rsidR="00294EC9" w:rsidRPr="00206DE1">
        <w:rPr>
          <w:lang w:val="fr-FR"/>
        </w:rPr>
        <w:t>T.</w:t>
      </w:r>
      <w:r w:rsidR="00294EC9">
        <w:rPr>
          <w:lang w:val="fr-FR"/>
        </w:rPr>
        <w:t> </w:t>
      </w:r>
      <w:r w:rsidR="00294EC9" w:rsidRPr="00206DE1">
        <w:rPr>
          <w:lang w:val="fr-FR"/>
        </w:rPr>
        <w:t>J.</w:t>
      </w:r>
      <w:r w:rsidR="00294EC9">
        <w:rPr>
          <w:lang w:val="fr-FR"/>
        </w:rPr>
        <w:t> </w:t>
      </w:r>
      <w:r w:rsidR="00294EC9" w:rsidRPr="00206DE1">
        <w:rPr>
          <w:lang w:val="fr-FR"/>
        </w:rPr>
        <w:t>Ness (Norvège)</w:t>
      </w:r>
      <w:r>
        <w:tab/>
      </w:r>
      <w:r>
        <w:tab/>
      </w:r>
      <w:r w:rsidR="003A61EB">
        <w:t>101−102</w:t>
      </w:r>
      <w:r>
        <w:tab/>
      </w:r>
      <w:r w:rsidR="00C849C6">
        <w:t>21</w:t>
      </w:r>
    </w:p>
    <w:p w:rsidR="00DF1EB2" w:rsidRDefault="00DF1EB2" w:rsidP="00A943CE">
      <w:pPr>
        <w:tabs>
          <w:tab w:val="right" w:pos="850"/>
          <w:tab w:val="right" w:leader="dot" w:pos="7654"/>
          <w:tab w:val="right" w:pos="8929"/>
          <w:tab w:val="right" w:pos="9638"/>
        </w:tabs>
        <w:spacing w:after="240"/>
        <w:ind w:left="1134" w:hanging="1134"/>
      </w:pPr>
      <w:r>
        <w:tab/>
        <w:t>XIV.</w:t>
      </w:r>
      <w:r>
        <w:tab/>
      </w:r>
      <w:r w:rsidR="00872C2A" w:rsidRPr="003F611B">
        <w:rPr>
          <w:lang w:val="fr-FR"/>
        </w:rPr>
        <w:t>Adoption du rapport (point 12 de l</w:t>
      </w:r>
      <w:r w:rsidR="00872C2A">
        <w:rPr>
          <w:lang w:val="fr-FR"/>
        </w:rPr>
        <w:t>’</w:t>
      </w:r>
      <w:r w:rsidR="00872C2A" w:rsidRPr="003F611B">
        <w:rPr>
          <w:lang w:val="fr-FR"/>
        </w:rPr>
        <w:t>ordre du jour</w:t>
      </w:r>
      <w:r w:rsidR="00872C2A" w:rsidRPr="00DE4FBC">
        <w:rPr>
          <w:lang w:val="fr-FR"/>
        </w:rPr>
        <w:t>)</w:t>
      </w:r>
      <w:r>
        <w:tab/>
      </w:r>
      <w:r>
        <w:tab/>
      </w:r>
      <w:r w:rsidR="003A61EB">
        <w:t>103</w:t>
      </w:r>
      <w:r>
        <w:tab/>
      </w:r>
      <w:r w:rsidR="004F3948">
        <w:t>21</w:t>
      </w:r>
    </w:p>
    <w:p w:rsidR="005D0100" w:rsidRPr="00C849C6" w:rsidRDefault="005D0100" w:rsidP="005D0100">
      <w:pPr>
        <w:tabs>
          <w:tab w:val="right" w:pos="850"/>
        </w:tabs>
        <w:spacing w:after="120"/>
        <w:rPr>
          <w:lang w:val="en-US"/>
        </w:rPr>
      </w:pPr>
      <w:r>
        <w:tab/>
      </w:r>
      <w:r w:rsidRPr="00C849C6">
        <w:rPr>
          <w:lang w:val="en-US"/>
        </w:rPr>
        <w:t>Annexes</w:t>
      </w:r>
    </w:p>
    <w:p w:rsidR="005D0100" w:rsidRPr="00242C8A" w:rsidRDefault="005D0100" w:rsidP="005D0100">
      <w:pPr>
        <w:tabs>
          <w:tab w:val="right" w:pos="850"/>
          <w:tab w:val="right" w:leader="dot" w:pos="8929"/>
          <w:tab w:val="right" w:pos="9638"/>
        </w:tabs>
        <w:spacing w:after="120"/>
        <w:ind w:left="1134" w:hanging="1134"/>
        <w:rPr>
          <w:lang w:val="en-US"/>
        </w:rPr>
      </w:pPr>
      <w:r w:rsidRPr="00C849C6">
        <w:rPr>
          <w:lang w:val="en-US"/>
        </w:rPr>
        <w:tab/>
      </w:r>
      <w:r w:rsidRPr="00242C8A">
        <w:rPr>
          <w:lang w:val="en-US"/>
        </w:rPr>
        <w:t>I.</w:t>
      </w:r>
      <w:r w:rsidRPr="00242C8A">
        <w:rPr>
          <w:lang w:val="en-US"/>
        </w:rPr>
        <w:tab/>
      </w:r>
      <w:r w:rsidR="00242C8A" w:rsidRPr="00242C8A">
        <w:rPr>
          <w:lang w:val="en-US"/>
        </w:rPr>
        <w:t xml:space="preserve">Corrections to the twentieth revised edition of the Recommendations on the Transport </w:t>
      </w:r>
      <w:r w:rsidR="00242C8A">
        <w:rPr>
          <w:lang w:val="en-US"/>
        </w:rPr>
        <w:br/>
      </w:r>
      <w:r w:rsidR="00242C8A" w:rsidRPr="00242C8A">
        <w:rPr>
          <w:lang w:val="en-US"/>
        </w:rPr>
        <w:t>of Dangerous Goods, Model Regulations (ST/SG/AC.10/1/Rev.20</w:t>
      </w:r>
      <w:r w:rsidR="00242C8A">
        <w:rPr>
          <w:lang w:val="en-US"/>
        </w:rPr>
        <w:t>)</w:t>
      </w:r>
      <w:r w:rsidR="00242C8A" w:rsidRPr="00242C8A">
        <w:rPr>
          <w:rStyle w:val="FootnoteReference"/>
          <w:sz w:val="20"/>
          <w:vertAlign w:val="baseline"/>
          <w:lang w:val="en-US"/>
        </w:rPr>
        <w:footnoteReference w:customMarkFollows="1" w:id="2"/>
        <w:t>*</w:t>
      </w:r>
    </w:p>
    <w:p w:rsidR="00DF1EB2" w:rsidRPr="00242C8A" w:rsidRDefault="00DF1EB2" w:rsidP="005D0100">
      <w:pPr>
        <w:tabs>
          <w:tab w:val="right" w:pos="850"/>
          <w:tab w:val="right" w:leader="dot" w:pos="8929"/>
          <w:tab w:val="right" w:pos="9638"/>
        </w:tabs>
        <w:spacing w:after="120"/>
        <w:ind w:left="1134" w:hanging="1134"/>
        <w:rPr>
          <w:lang w:val="en-US"/>
        </w:rPr>
      </w:pPr>
      <w:r w:rsidRPr="00242C8A">
        <w:rPr>
          <w:lang w:val="en-US"/>
        </w:rPr>
        <w:tab/>
        <w:t>II.</w:t>
      </w:r>
      <w:r w:rsidRPr="00242C8A">
        <w:rPr>
          <w:lang w:val="en-US"/>
        </w:rPr>
        <w:tab/>
      </w:r>
      <w:r w:rsidR="00242C8A" w:rsidRPr="00242C8A">
        <w:rPr>
          <w:lang w:val="en-US"/>
        </w:rPr>
        <w:t xml:space="preserve">Draft amendments to the twentieth revised edition of the Recommendations </w:t>
      </w:r>
      <w:r w:rsidR="00242C8A">
        <w:rPr>
          <w:lang w:val="en-US"/>
        </w:rPr>
        <w:br/>
      </w:r>
      <w:r w:rsidR="00242C8A" w:rsidRPr="00242C8A">
        <w:rPr>
          <w:lang w:val="en-US"/>
        </w:rPr>
        <w:t>on the Transport of Dangerous Goods, Model Regulations (ST/SG/AC.10/1/Rev.20)*</w:t>
      </w:r>
    </w:p>
    <w:p w:rsidR="00DF1EB2" w:rsidRPr="00242C8A" w:rsidRDefault="00DF1EB2" w:rsidP="005D0100">
      <w:pPr>
        <w:tabs>
          <w:tab w:val="right" w:pos="850"/>
          <w:tab w:val="right" w:leader="dot" w:pos="8929"/>
          <w:tab w:val="right" w:pos="9638"/>
        </w:tabs>
        <w:spacing w:after="120"/>
        <w:ind w:left="1134" w:hanging="1134"/>
        <w:rPr>
          <w:lang w:val="en-US"/>
        </w:rPr>
      </w:pPr>
      <w:r w:rsidRPr="00242C8A">
        <w:rPr>
          <w:lang w:val="en-US"/>
        </w:rPr>
        <w:tab/>
        <w:t>III.</w:t>
      </w:r>
      <w:r w:rsidRPr="00242C8A">
        <w:rPr>
          <w:lang w:val="en-US"/>
        </w:rPr>
        <w:tab/>
      </w:r>
      <w:r w:rsidR="00242C8A" w:rsidRPr="00242C8A">
        <w:rPr>
          <w:lang w:val="en-US"/>
        </w:rPr>
        <w:t xml:space="preserve">Draft amendments to the sixth revised edition of the Recommendations </w:t>
      </w:r>
      <w:r w:rsidR="00242C8A">
        <w:rPr>
          <w:lang w:val="en-US"/>
        </w:rPr>
        <w:br/>
      </w:r>
      <w:r w:rsidR="00242C8A" w:rsidRPr="00242C8A">
        <w:rPr>
          <w:lang w:val="en-US"/>
        </w:rPr>
        <w:t xml:space="preserve">on the Transport of Dangerous Goods, Manual of Tests and Criteria (ST/SG/AC.10/11/Rev.6) </w:t>
      </w:r>
      <w:r w:rsidR="00242C8A" w:rsidRPr="00242C8A">
        <w:rPr>
          <w:lang w:val="en-US"/>
        </w:rPr>
        <w:br/>
        <w:t>(as amended in accordance with ST/SG/AC.10/44/Add.2)*</w:t>
      </w:r>
    </w:p>
    <w:p w:rsidR="005D0100" w:rsidRPr="005D0100" w:rsidRDefault="00CD1DD3" w:rsidP="00CD1DD3">
      <w:pPr>
        <w:pStyle w:val="HChG"/>
      </w:pPr>
      <w:r w:rsidRPr="00C849C6">
        <w:br w:type="page"/>
      </w:r>
      <w:r w:rsidRPr="00C849C6">
        <w:lastRenderedPageBreak/>
        <w:tab/>
      </w:r>
      <w:r>
        <w:t>I.</w:t>
      </w:r>
      <w:r>
        <w:tab/>
        <w:t>Participation</w:t>
      </w:r>
    </w:p>
    <w:p w:rsidR="00E30E39" w:rsidRPr="006D2A01" w:rsidRDefault="00E30E39" w:rsidP="00CD1DD3">
      <w:pPr>
        <w:pStyle w:val="SingleTxtG"/>
      </w:pPr>
      <w:r w:rsidRPr="006D2A01">
        <w:t>1.</w:t>
      </w:r>
      <w:r w:rsidRPr="006D2A01">
        <w:tab/>
        <w:t>Le Sous-Comité d</w:t>
      </w:r>
      <w:r>
        <w:t>’</w:t>
      </w:r>
      <w:r w:rsidRPr="006D2A01">
        <w:t xml:space="preserve">experts du transport des marchandises dangereuses a tenu </w:t>
      </w:r>
      <w:r w:rsidR="005D0100">
        <w:t xml:space="preserve">sa </w:t>
      </w:r>
      <w:r w:rsidRPr="006D2A01">
        <w:t>cinquante</w:t>
      </w:r>
      <w:r>
        <w:t>-</w:t>
      </w:r>
      <w:r w:rsidRPr="006D2A01">
        <w:t>deuxième session du</w:t>
      </w:r>
      <w:r w:rsidR="00A943CE">
        <w:t xml:space="preserve"> </w:t>
      </w:r>
      <w:r w:rsidRPr="006D2A01">
        <w:t>27</w:t>
      </w:r>
      <w:r w:rsidR="00A943CE">
        <w:t> </w:t>
      </w:r>
      <w:r w:rsidRPr="006D2A01">
        <w:t>novembre au 6</w:t>
      </w:r>
      <w:r w:rsidR="00A943CE">
        <w:t> </w:t>
      </w:r>
      <w:r w:rsidRPr="006D2A01">
        <w:t>décembre 2017</w:t>
      </w:r>
      <w:r>
        <w:t>,</w:t>
      </w:r>
      <w:r w:rsidRPr="006D2A01">
        <w:t xml:space="preserve"> sous la présidence de M. D. Pfund (</w:t>
      </w:r>
      <w:r>
        <w:t>É</w:t>
      </w:r>
      <w:r w:rsidRPr="006D2A01">
        <w:t>tats-Unis d</w:t>
      </w:r>
      <w:r>
        <w:t>’</w:t>
      </w:r>
      <w:r w:rsidRPr="006D2A01">
        <w:t>Amérique) et la vice-présidence de M. C. Pfauvadel (France).</w:t>
      </w:r>
    </w:p>
    <w:p w:rsidR="00E30E39" w:rsidRPr="006D2A01" w:rsidRDefault="00E30E39" w:rsidP="00CD1DD3">
      <w:pPr>
        <w:pStyle w:val="SingleTxtG"/>
      </w:pPr>
      <w:r w:rsidRPr="006D2A01">
        <w:t>2.</w:t>
      </w:r>
      <w:r w:rsidRPr="006D2A01">
        <w:tab/>
        <w:t>Ont participé à cette session des experts des pays suivants</w:t>
      </w:r>
      <w:r w:rsidR="00A943CE">
        <w:t> </w:t>
      </w:r>
      <w:r w:rsidRPr="006D2A01">
        <w:t>: Afrique du Sud, Allemagne, Argentine, Australie, Autriche, Belgique, Brésil, Canada, Chine, Espagne, États-Unis d</w:t>
      </w:r>
      <w:r>
        <w:t>’</w:t>
      </w:r>
      <w:r w:rsidRPr="006D2A01">
        <w:t>Amérique, Fédération de Russie, Finlande, France, Italie, Japon, Norvège, Pays-Bas, Pologne, Portugal, République de Corée, Royaume-Uni, Suède et Suisse.</w:t>
      </w:r>
    </w:p>
    <w:p w:rsidR="00E30E39" w:rsidRPr="006D2A01" w:rsidRDefault="00E30E39" w:rsidP="00CD1DD3">
      <w:pPr>
        <w:pStyle w:val="SingleTxtG"/>
      </w:pPr>
      <w:r w:rsidRPr="006D2A01">
        <w:t>3.</w:t>
      </w:r>
      <w:r w:rsidRPr="006D2A01">
        <w:tab/>
        <w:t>En vertu de l</w:t>
      </w:r>
      <w:r>
        <w:t>’</w:t>
      </w:r>
      <w:r w:rsidRPr="006D2A01">
        <w:t>article 72 du Règlement intérieur du Conseil économique et social, des</w:t>
      </w:r>
      <w:r w:rsidR="00A943CE">
        <w:t xml:space="preserve"> </w:t>
      </w:r>
      <w:r w:rsidRPr="006D2A01">
        <w:t>observateurs du Qatar, de la Roumanie et de la Slovaquie ont également participé.</w:t>
      </w:r>
    </w:p>
    <w:p w:rsidR="00E30E39" w:rsidRPr="006D2A01" w:rsidRDefault="00E30E39" w:rsidP="00CD1DD3">
      <w:pPr>
        <w:pStyle w:val="SingleTxtG"/>
      </w:pPr>
      <w:r w:rsidRPr="006D2A01">
        <w:t>4.</w:t>
      </w:r>
      <w:r w:rsidRPr="006D2A01">
        <w:tab/>
        <w:t>L</w:t>
      </w:r>
      <w:r>
        <w:t>’</w:t>
      </w:r>
      <w:r w:rsidRPr="006D2A01">
        <w:t>Organisation intergouvernementale pour les transports internationaux ferroviaires (OTIF)</w:t>
      </w:r>
      <w:r w:rsidR="00C849C6">
        <w:t xml:space="preserve"> </w:t>
      </w:r>
      <w:r>
        <w:t>et l’</w:t>
      </w:r>
      <w:r w:rsidRPr="006D2A01">
        <w:t>Union européenne</w:t>
      </w:r>
      <w:r>
        <w:t xml:space="preserve"> </w:t>
      </w:r>
      <w:r w:rsidRPr="006D2A01">
        <w:t>étaient également représentées.</w:t>
      </w:r>
    </w:p>
    <w:p w:rsidR="00E30E39" w:rsidRPr="006D2A01" w:rsidRDefault="00E30E39" w:rsidP="00CD1DD3">
      <w:pPr>
        <w:pStyle w:val="SingleTxtG"/>
      </w:pPr>
      <w:r w:rsidRPr="006D2A01">
        <w:t>5.</w:t>
      </w:r>
      <w:r w:rsidRPr="006D2A01">
        <w:tab/>
        <w:t>Des représentants de l</w:t>
      </w:r>
      <w:r>
        <w:t>’</w:t>
      </w:r>
      <w:r w:rsidRPr="006D2A01">
        <w:t>Organisation de l</w:t>
      </w:r>
      <w:r>
        <w:t>’</w:t>
      </w:r>
      <w:r w:rsidRPr="006D2A01">
        <w:t>aviation civile internationale (OACI), de l</w:t>
      </w:r>
      <w:r>
        <w:t>’</w:t>
      </w:r>
      <w:r w:rsidRPr="006D2A01">
        <w:t>Organisation maritime internationale (OMI), de l</w:t>
      </w:r>
      <w:r>
        <w:t>’</w:t>
      </w:r>
      <w:r w:rsidRPr="006D2A01">
        <w:t xml:space="preserve">Organisation </w:t>
      </w:r>
      <w:r>
        <w:t>mondiale</w:t>
      </w:r>
      <w:r w:rsidRPr="006D2A01">
        <w:t xml:space="preserve"> de la </w:t>
      </w:r>
      <w:r>
        <w:t>S</w:t>
      </w:r>
      <w:r w:rsidRPr="006D2A01">
        <w:t>anté (OMS) et de l</w:t>
      </w:r>
      <w:r>
        <w:t>’</w:t>
      </w:r>
      <w:r w:rsidRPr="006D2A01">
        <w:t>Organisation des Nations Unies pour l</w:t>
      </w:r>
      <w:r>
        <w:t>’a</w:t>
      </w:r>
      <w:r w:rsidRPr="006D2A01">
        <w:t>limentation et l</w:t>
      </w:r>
      <w:r>
        <w:t>’a</w:t>
      </w:r>
      <w:r w:rsidRPr="006D2A01">
        <w:t>griculture (FAO) étaient également présents.</w:t>
      </w:r>
    </w:p>
    <w:p w:rsidR="00E30E39" w:rsidRPr="006D2A01" w:rsidRDefault="00E30E39" w:rsidP="00CD1DD3">
      <w:pPr>
        <w:pStyle w:val="SingleTxtG"/>
      </w:pPr>
      <w:r w:rsidRPr="006D2A01">
        <w:t>6.</w:t>
      </w:r>
      <w:r w:rsidRPr="006D2A01">
        <w:tab/>
      </w:r>
      <w:r>
        <w:rPr>
          <w:lang w:val="fr-FR"/>
        </w:rPr>
        <w:t>O</w:t>
      </w:r>
      <w:r w:rsidRPr="006D2A01">
        <w:rPr>
          <w:lang w:val="fr-FR"/>
        </w:rPr>
        <w:t xml:space="preserve">nt participé aux débats sur des points intéressant leur organisation </w:t>
      </w:r>
      <w:r>
        <w:rPr>
          <w:lang w:val="fr-FR"/>
        </w:rPr>
        <w:t>d</w:t>
      </w:r>
      <w:r w:rsidRPr="006D2A01">
        <w:rPr>
          <w:lang w:val="fr-FR"/>
        </w:rPr>
        <w:t>es représentants des organisations non gouvernementales suivantes</w:t>
      </w:r>
      <w:r w:rsidR="00A943CE">
        <w:rPr>
          <w:lang w:val="fr-FR"/>
        </w:rPr>
        <w:t> </w:t>
      </w:r>
      <w:r w:rsidRPr="006D2A01">
        <w:rPr>
          <w:lang w:val="fr-FR"/>
        </w:rPr>
        <w:t xml:space="preserve">: Association des </w:t>
      </w:r>
      <w:r>
        <w:rPr>
          <w:lang w:val="fr-FR"/>
        </w:rPr>
        <w:t>f</w:t>
      </w:r>
      <w:r w:rsidRPr="006D2A01">
        <w:rPr>
          <w:lang w:val="fr-FR"/>
        </w:rPr>
        <w:t xml:space="preserve">abricants </w:t>
      </w:r>
      <w:r>
        <w:rPr>
          <w:lang w:val="fr-FR"/>
        </w:rPr>
        <w:t>e</w:t>
      </w:r>
      <w:r w:rsidRPr="006D2A01">
        <w:rPr>
          <w:lang w:val="fr-FR"/>
        </w:rPr>
        <w:t xml:space="preserve">uropéens de </w:t>
      </w:r>
      <w:r>
        <w:rPr>
          <w:lang w:val="fr-FR"/>
        </w:rPr>
        <w:t>m</w:t>
      </w:r>
      <w:r w:rsidRPr="006D2A01">
        <w:rPr>
          <w:lang w:val="fr-FR"/>
        </w:rPr>
        <w:t xml:space="preserve">unitions de </w:t>
      </w:r>
      <w:r>
        <w:rPr>
          <w:lang w:val="fr-FR"/>
        </w:rPr>
        <w:t>s</w:t>
      </w:r>
      <w:r w:rsidRPr="006D2A01">
        <w:rPr>
          <w:lang w:val="fr-FR"/>
        </w:rPr>
        <w:t>port (AFEMS)</w:t>
      </w:r>
      <w:r w:rsidR="00A943CE">
        <w:rPr>
          <w:lang w:val="fr-FR"/>
        </w:rPr>
        <w:t> </w:t>
      </w:r>
      <w:r w:rsidRPr="006D2A01">
        <w:rPr>
          <w:lang w:val="fr-FR"/>
        </w:rPr>
        <w:t>; Association du transport aérien international (IATA)</w:t>
      </w:r>
      <w:r w:rsidR="00A943CE">
        <w:rPr>
          <w:lang w:val="fr-FR"/>
        </w:rPr>
        <w:t> </w:t>
      </w:r>
      <w:r w:rsidRPr="006D2A01">
        <w:rPr>
          <w:lang w:val="fr-FR"/>
        </w:rPr>
        <w:t>; Association européenne des gaz industriels (EIGA)</w:t>
      </w:r>
      <w:r w:rsidR="00A943CE">
        <w:rPr>
          <w:lang w:val="fr-FR"/>
        </w:rPr>
        <w:t> </w:t>
      </w:r>
      <w:r w:rsidRPr="006D2A01">
        <w:rPr>
          <w:lang w:val="fr-FR"/>
        </w:rPr>
        <w:t>; Australian Explosives Industry Safety Group (AEISG)</w:t>
      </w:r>
      <w:r w:rsidR="00A943CE">
        <w:rPr>
          <w:lang w:val="fr-FR"/>
        </w:rPr>
        <w:t> </w:t>
      </w:r>
      <w:r w:rsidRPr="006D2A01">
        <w:rPr>
          <w:lang w:val="fr-FR"/>
        </w:rPr>
        <w:t>; Compressed Gas Association (CGA)</w:t>
      </w:r>
      <w:r w:rsidR="00A943CE">
        <w:rPr>
          <w:lang w:val="fr-FR"/>
        </w:rPr>
        <w:t> </w:t>
      </w:r>
      <w:r w:rsidRPr="006D2A01">
        <w:rPr>
          <w:lang w:val="fr-FR"/>
        </w:rPr>
        <w:t>; Conseil européen de l</w:t>
      </w:r>
      <w:r>
        <w:rPr>
          <w:lang w:val="fr-FR"/>
        </w:rPr>
        <w:t>’</w:t>
      </w:r>
      <w:r w:rsidRPr="006D2A01">
        <w:rPr>
          <w:lang w:val="fr-FR"/>
        </w:rPr>
        <w:t>industrie chimique (CEFIC)</w:t>
      </w:r>
      <w:r w:rsidR="00A943CE">
        <w:rPr>
          <w:lang w:val="fr-FR"/>
        </w:rPr>
        <w:t> </w:t>
      </w:r>
      <w:r w:rsidRPr="006D2A01">
        <w:rPr>
          <w:lang w:val="fr-FR"/>
        </w:rPr>
        <w:t>; Conseil international des peintures et des encres d</w:t>
      </w:r>
      <w:r>
        <w:rPr>
          <w:lang w:val="fr-FR"/>
        </w:rPr>
        <w:t>’</w:t>
      </w:r>
      <w:r w:rsidRPr="006D2A01">
        <w:rPr>
          <w:lang w:val="fr-FR"/>
        </w:rPr>
        <w:t>imprimerie (IPPIC)</w:t>
      </w:r>
      <w:r w:rsidR="00A943CE">
        <w:rPr>
          <w:lang w:val="fr-FR"/>
        </w:rPr>
        <w:t> </w:t>
      </w:r>
      <w:r w:rsidRPr="006D2A01">
        <w:rPr>
          <w:lang w:val="fr-FR"/>
        </w:rPr>
        <w:t>; Cosmetics Europe</w:t>
      </w:r>
      <w:r w:rsidR="00A943CE">
        <w:rPr>
          <w:lang w:val="fr-FR"/>
        </w:rPr>
        <w:t> </w:t>
      </w:r>
      <w:r w:rsidRPr="006D2A01">
        <w:rPr>
          <w:lang w:val="fr-FR"/>
        </w:rPr>
        <w:t>; Council on Safe Transportation of Hazardous Articles (COSTHA)</w:t>
      </w:r>
      <w:r w:rsidR="00A943CE">
        <w:rPr>
          <w:lang w:val="fr-FR"/>
        </w:rPr>
        <w:t> </w:t>
      </w:r>
      <w:r w:rsidRPr="006D2A01">
        <w:rPr>
          <w:lang w:val="fr-FR"/>
        </w:rPr>
        <w:t>; Dangerous Goods Advisory Council (DGAC)</w:t>
      </w:r>
      <w:r w:rsidR="00A943CE">
        <w:rPr>
          <w:lang w:val="fr-FR"/>
        </w:rPr>
        <w:t> </w:t>
      </w:r>
      <w:r w:rsidRPr="006D2A01">
        <w:rPr>
          <w:lang w:val="fr-FR"/>
        </w:rPr>
        <w:t>; Dangerous Goods Trainers Association (DGTA)</w:t>
      </w:r>
      <w:r w:rsidR="00A943CE">
        <w:rPr>
          <w:lang w:val="fr-FR"/>
        </w:rPr>
        <w:t> </w:t>
      </w:r>
      <w:r w:rsidRPr="006D2A01">
        <w:rPr>
          <w:lang w:val="fr-FR"/>
        </w:rPr>
        <w:t>; European Association for Advanced Rechargeable Batteries (RECHARGE)</w:t>
      </w:r>
      <w:r w:rsidR="00A943CE">
        <w:rPr>
          <w:lang w:val="fr-FR"/>
        </w:rPr>
        <w:t> </w:t>
      </w:r>
      <w:r w:rsidRPr="006D2A01">
        <w:rPr>
          <w:lang w:val="fr-FR"/>
        </w:rPr>
        <w:t>; European Industrial Gases Association (EIGA)</w:t>
      </w:r>
      <w:r w:rsidR="00A943CE">
        <w:rPr>
          <w:lang w:val="fr-FR"/>
        </w:rPr>
        <w:t> </w:t>
      </w:r>
      <w:r w:rsidRPr="006D2A01">
        <w:rPr>
          <w:lang w:val="fr-FR"/>
        </w:rPr>
        <w:t>; Institute of Makers of Explosives (IME)</w:t>
      </w:r>
      <w:r w:rsidR="00A943CE">
        <w:rPr>
          <w:lang w:val="fr-FR"/>
        </w:rPr>
        <w:t> </w:t>
      </w:r>
      <w:r w:rsidRPr="006D2A01">
        <w:rPr>
          <w:lang w:val="fr-FR"/>
        </w:rPr>
        <w:t>; International Confederation of Container Reconditioners (ICCR)</w:t>
      </w:r>
      <w:r w:rsidR="00A943CE">
        <w:rPr>
          <w:lang w:val="fr-FR"/>
        </w:rPr>
        <w:t> </w:t>
      </w:r>
      <w:r w:rsidRPr="006D2A01">
        <w:rPr>
          <w:lang w:val="fr-FR"/>
        </w:rPr>
        <w:t>; International Confederation of Plastics Packaging Manufacturers (ICPP)</w:t>
      </w:r>
      <w:r w:rsidR="00A943CE">
        <w:rPr>
          <w:lang w:val="fr-FR"/>
        </w:rPr>
        <w:t> </w:t>
      </w:r>
      <w:r w:rsidRPr="006D2A01">
        <w:rPr>
          <w:lang w:val="fr-FR"/>
        </w:rPr>
        <w:t>; International Council of Intermediate Bulk Container Associations (ICIBCA)</w:t>
      </w:r>
      <w:r w:rsidR="00A943CE">
        <w:rPr>
          <w:lang w:val="fr-FR"/>
        </w:rPr>
        <w:t> </w:t>
      </w:r>
      <w:r w:rsidRPr="006D2A01">
        <w:rPr>
          <w:lang w:val="fr-FR"/>
        </w:rPr>
        <w:t>;</w:t>
      </w:r>
      <w:r w:rsidRPr="00A943CE">
        <w:rPr>
          <w:noProof/>
          <w:szCs w:val="17"/>
        </w:rPr>
        <w:t xml:space="preserve"> </w:t>
      </w:r>
      <w:r w:rsidRPr="006D2A01">
        <w:rPr>
          <w:noProof/>
          <w:szCs w:val="17"/>
        </w:rPr>
        <w:t>International Dangerous Goods and Containers Association (IDGCA)</w:t>
      </w:r>
      <w:r w:rsidR="00A943CE">
        <w:rPr>
          <w:noProof/>
          <w:szCs w:val="17"/>
        </w:rPr>
        <w:t> </w:t>
      </w:r>
      <w:r w:rsidRPr="006D2A01">
        <w:rPr>
          <w:noProof/>
          <w:szCs w:val="17"/>
        </w:rPr>
        <w:t>;</w:t>
      </w:r>
      <w:r>
        <w:rPr>
          <w:noProof/>
          <w:szCs w:val="17"/>
        </w:rPr>
        <w:t xml:space="preserve"> </w:t>
      </w:r>
      <w:r w:rsidRPr="006D2A01">
        <w:rPr>
          <w:lang w:val="fr-FR"/>
        </w:rPr>
        <w:t>International Fibre Drum Institute (IFDI)</w:t>
      </w:r>
      <w:r w:rsidR="00A943CE">
        <w:rPr>
          <w:lang w:val="fr-FR"/>
        </w:rPr>
        <w:t> </w:t>
      </w:r>
      <w:r w:rsidRPr="006D2A01">
        <w:rPr>
          <w:lang w:val="fr-FR"/>
        </w:rPr>
        <w:t>; Kilo</w:t>
      </w:r>
      <w:r>
        <w:rPr>
          <w:lang w:val="fr-FR"/>
        </w:rPr>
        <w:t>F</w:t>
      </w:r>
      <w:r w:rsidRPr="006D2A01">
        <w:rPr>
          <w:lang w:val="fr-FR"/>
        </w:rPr>
        <w:t>arad International (</w:t>
      </w:r>
      <w:r>
        <w:rPr>
          <w:lang w:val="fr-FR"/>
        </w:rPr>
        <w:t>K</w:t>
      </w:r>
      <w:r w:rsidRPr="006D2A01">
        <w:rPr>
          <w:lang w:val="fr-FR"/>
        </w:rPr>
        <w:t>FI)</w:t>
      </w:r>
      <w:r w:rsidR="00A943CE">
        <w:rPr>
          <w:lang w:val="fr-FR"/>
        </w:rPr>
        <w:t> </w:t>
      </w:r>
      <w:r w:rsidRPr="006D2A01">
        <w:rPr>
          <w:lang w:val="fr-FR"/>
        </w:rPr>
        <w:t>; Medical Device Battery Transport Council (MDBTC)</w:t>
      </w:r>
      <w:r w:rsidR="00A943CE">
        <w:rPr>
          <w:lang w:val="fr-FR"/>
        </w:rPr>
        <w:t> </w:t>
      </w:r>
      <w:r w:rsidRPr="006D2A01">
        <w:rPr>
          <w:lang w:val="fr-FR"/>
        </w:rPr>
        <w:t xml:space="preserve">; Organisation internationale des </w:t>
      </w:r>
      <w:r>
        <w:rPr>
          <w:lang w:val="fr-FR"/>
        </w:rPr>
        <w:t>c</w:t>
      </w:r>
      <w:r w:rsidRPr="006D2A01">
        <w:rPr>
          <w:lang w:val="fr-FR"/>
        </w:rPr>
        <w:t>onstructeurs automobiles (OICA)</w:t>
      </w:r>
      <w:r w:rsidR="00A943CE">
        <w:rPr>
          <w:lang w:val="fr-FR"/>
        </w:rPr>
        <w:t> </w:t>
      </w:r>
      <w:r w:rsidRPr="006D2A01">
        <w:rPr>
          <w:lang w:val="fr-FR"/>
        </w:rPr>
        <w:t>; Portable Rechargeable Battery Association (PRBA)</w:t>
      </w:r>
      <w:r w:rsidR="00A943CE">
        <w:rPr>
          <w:lang w:val="fr-FR"/>
        </w:rPr>
        <w:t> </w:t>
      </w:r>
      <w:r w:rsidRPr="006D2A01">
        <w:rPr>
          <w:lang w:val="fr-FR"/>
        </w:rPr>
        <w:t>; Sporting Arms and Ammunition Manufacturers</w:t>
      </w:r>
      <w:r>
        <w:rPr>
          <w:lang w:val="fr-FR"/>
        </w:rPr>
        <w:t xml:space="preserve">’ </w:t>
      </w:r>
      <w:r w:rsidRPr="006D2A01">
        <w:rPr>
          <w:lang w:val="fr-FR"/>
        </w:rPr>
        <w:t>Institute (SAAMI).</w:t>
      </w:r>
    </w:p>
    <w:p w:rsidR="00E30E39" w:rsidRPr="00515447" w:rsidRDefault="00E30E39" w:rsidP="00CD1DD3">
      <w:pPr>
        <w:pStyle w:val="HChG"/>
      </w:pPr>
      <w:r w:rsidRPr="00515447">
        <w:tab/>
        <w:t>II.</w:t>
      </w:r>
      <w:r w:rsidRPr="00515447">
        <w:tab/>
        <w:t>Questions administratives</w:t>
      </w:r>
    </w:p>
    <w:p w:rsidR="00E30E39" w:rsidRPr="00515447" w:rsidRDefault="00E30E39" w:rsidP="00CD1DD3">
      <w:pPr>
        <w:pStyle w:val="SingleTxtG"/>
      </w:pPr>
      <w:r w:rsidRPr="00515447">
        <w:t>7.</w:t>
      </w:r>
      <w:r w:rsidRPr="00515447">
        <w:tab/>
      </w:r>
      <w:r>
        <w:t>L</w:t>
      </w:r>
      <w:r w:rsidRPr="00515447">
        <w:t xml:space="preserve">e Sous-Comité a noté que, comme annoncé à </w:t>
      </w:r>
      <w:r>
        <w:t>s</w:t>
      </w:r>
      <w:r w:rsidRPr="00515447">
        <w:t xml:space="preserve">a session </w:t>
      </w:r>
      <w:r>
        <w:t xml:space="preserve">précédente </w:t>
      </w:r>
      <w:r w:rsidRPr="00515447">
        <w:t>(</w:t>
      </w:r>
      <w:r>
        <w:t xml:space="preserve">document </w:t>
      </w:r>
      <w:r w:rsidRPr="00515447">
        <w:t>ST/SG/AC.10/C.3/102, par</w:t>
      </w:r>
      <w:r>
        <w:t>.</w:t>
      </w:r>
      <w:r w:rsidR="00A943CE">
        <w:t> </w:t>
      </w:r>
      <w:r w:rsidRPr="00515447">
        <w:t>99</w:t>
      </w:r>
      <w:r>
        <w:t xml:space="preserve"> à </w:t>
      </w:r>
      <w:r w:rsidRPr="00515447">
        <w:t>102) son secrétaire partirait à la retraite le 30 novembre. Il</w:t>
      </w:r>
      <w:r w:rsidR="00A943CE">
        <w:t> </w:t>
      </w:r>
      <w:r w:rsidRPr="00515447">
        <w:t>a noté également que son président, son vice-président, et plusieurs délégations avaient écrit à la Secrétaire exécutive de la Commission économique des Nations Unies pour l</w:t>
      </w:r>
      <w:r>
        <w:t>’</w:t>
      </w:r>
      <w:r w:rsidRPr="00515447">
        <w:t>Europe pour demander que soit appliquée la résolution 70/244 de l</w:t>
      </w:r>
      <w:r>
        <w:t>’</w:t>
      </w:r>
      <w:r w:rsidRPr="00515447">
        <w:t>Assemblée générale qui permett</w:t>
      </w:r>
      <w:r>
        <w:t>r</w:t>
      </w:r>
      <w:r w:rsidRPr="00515447">
        <w:t>ait à son secrétaire de prendre sa retraite à 65</w:t>
      </w:r>
      <w:r w:rsidR="00A943CE">
        <w:t> </w:t>
      </w:r>
      <w:r w:rsidRPr="00515447">
        <w:t>ans. Ces lettres attiraient l</w:t>
      </w:r>
      <w:r>
        <w:t>’</w:t>
      </w:r>
      <w:r w:rsidRPr="00515447">
        <w:t>attention sur la charge de travail particulièrement importante de la section des marchandises dangereuses et cargaisons spéciales dans cette période cruciale de la période biennale, et des conséquences particulièrement négatives qui résulteraient d</w:t>
      </w:r>
      <w:r>
        <w:t>’</w:t>
      </w:r>
      <w:r w:rsidRPr="00515447">
        <w:t>une vacance de poste dans les mois à venir. Le Sous-Comité a déploré que ces lettres soient restées sans réponse.</w:t>
      </w:r>
    </w:p>
    <w:p w:rsidR="00E30E39" w:rsidRPr="00515447" w:rsidRDefault="00E30E39" w:rsidP="00CD1DD3">
      <w:pPr>
        <w:pStyle w:val="SingleTxtG"/>
      </w:pPr>
      <w:r w:rsidRPr="00515447">
        <w:t>8.</w:t>
      </w:r>
      <w:r w:rsidRPr="00515447">
        <w:tab/>
        <w:t xml:space="preserve">Le Sous-Comité a noté que, comme annoncé à </w:t>
      </w:r>
      <w:r>
        <w:t>s</w:t>
      </w:r>
      <w:r w:rsidRPr="00515447">
        <w:t>a session</w:t>
      </w:r>
      <w:r>
        <w:t xml:space="preserve"> précédente</w:t>
      </w:r>
      <w:r w:rsidRPr="00515447">
        <w:t>, un avis de vacance d</w:t>
      </w:r>
      <w:r>
        <w:t>u</w:t>
      </w:r>
      <w:r w:rsidRPr="00515447">
        <w:t xml:space="preserve"> poste de chef de section avait été publié au cours de l</w:t>
      </w:r>
      <w:r>
        <w:t>’</w:t>
      </w:r>
      <w:r w:rsidRPr="00515447">
        <w:t xml:space="preserve">été et </w:t>
      </w:r>
      <w:r>
        <w:t xml:space="preserve">que </w:t>
      </w:r>
      <w:r w:rsidRPr="00515447">
        <w:t xml:space="preserve">des candidatures </w:t>
      </w:r>
      <w:r>
        <w:t>à</w:t>
      </w:r>
      <w:r w:rsidRPr="00515447">
        <w:t xml:space="preserve"> </w:t>
      </w:r>
      <w:r>
        <w:t>c</w:t>
      </w:r>
      <w:r w:rsidRPr="00515447">
        <w:t>e poste avaient été reçues jusqu</w:t>
      </w:r>
      <w:r>
        <w:t>’</w:t>
      </w:r>
      <w:r w:rsidRPr="00515447">
        <w:t xml:space="preserve">à la date </w:t>
      </w:r>
      <w:r>
        <w:t>limite</w:t>
      </w:r>
      <w:r w:rsidRPr="00515447">
        <w:t xml:space="preserve"> du 16</w:t>
      </w:r>
      <w:r w:rsidR="00A943CE">
        <w:t> </w:t>
      </w:r>
      <w:r w:rsidRPr="00515447">
        <w:t>septembre 2017. Toutefois</w:t>
      </w:r>
      <w:r>
        <w:t>,</w:t>
      </w:r>
      <w:r w:rsidRPr="00515447">
        <w:t xml:space="preserve"> la procédure de recrutement avait été mis</w:t>
      </w:r>
      <w:r>
        <w:t>e</w:t>
      </w:r>
      <w:r w:rsidRPr="00515447">
        <w:t xml:space="preserve"> en veille en attendant </w:t>
      </w:r>
      <w:r>
        <w:t xml:space="preserve">la prise de </w:t>
      </w:r>
      <w:r w:rsidRPr="00A943CE">
        <w:rPr>
          <w:spacing w:val="-2"/>
        </w:rPr>
        <w:lastRenderedPageBreak/>
        <w:t>fonctions du nouveau directeur de la Division des transports durables, M.</w:t>
      </w:r>
      <w:r w:rsidR="00A943CE" w:rsidRPr="00A943CE">
        <w:rPr>
          <w:spacing w:val="-2"/>
        </w:rPr>
        <w:t> </w:t>
      </w:r>
      <w:r w:rsidRPr="00A943CE">
        <w:rPr>
          <w:spacing w:val="-2"/>
        </w:rPr>
        <w:t>Yuwei</w:t>
      </w:r>
      <w:r w:rsidR="00A943CE" w:rsidRPr="00A943CE">
        <w:rPr>
          <w:spacing w:val="-2"/>
        </w:rPr>
        <w:t> </w:t>
      </w:r>
      <w:r w:rsidRPr="00A943CE">
        <w:rPr>
          <w:spacing w:val="-2"/>
        </w:rPr>
        <w:t>Li</w:t>
      </w:r>
      <w:r w:rsidR="00A943CE" w:rsidRPr="00A943CE">
        <w:rPr>
          <w:spacing w:val="-2"/>
        </w:rPr>
        <w:t> </w:t>
      </w:r>
      <w:r w:rsidRPr="00A943CE">
        <w:rPr>
          <w:spacing w:val="-2"/>
        </w:rPr>
        <w:t>(Chine),</w:t>
      </w:r>
      <w:r w:rsidRPr="00515447">
        <w:t xml:space="preserve"> en février 2018. Le Sous-Comité a estimé que ce poste ne devait pas rester vacant et a demandé, </w:t>
      </w:r>
      <w:r>
        <w:t>étant donné que</w:t>
      </w:r>
      <w:r w:rsidRPr="00515447">
        <w:t xml:space="preserve"> le budget exist</w:t>
      </w:r>
      <w:r>
        <w:t>ait</w:t>
      </w:r>
      <w:r w:rsidRPr="00515447">
        <w:t>, qu</w:t>
      </w:r>
      <w:r>
        <w:t>’</w:t>
      </w:r>
      <w:r w:rsidRPr="00515447">
        <w:t xml:space="preserve">il soit pourvu immédiatement </w:t>
      </w:r>
      <w:r>
        <w:t>à titre</w:t>
      </w:r>
      <w:r w:rsidRPr="00515447">
        <w:t xml:space="preserve"> intérim</w:t>
      </w:r>
      <w:r>
        <w:t>aire</w:t>
      </w:r>
      <w:r w:rsidRPr="00515447">
        <w:t xml:space="preserve"> dans le respect des règles administratives</w:t>
      </w:r>
      <w:r>
        <w:t>,</w:t>
      </w:r>
      <w:r w:rsidRPr="00515447">
        <w:t xml:space="preserve"> soit en prolongeant le contrat du titulaire actuel pendant cette période, soit en y affectant temporairement un autre fonctionnaire compétent. Il a également exprimé ses remerciements au personnel de la section pour s</w:t>
      </w:r>
      <w:r>
        <w:t>’</w:t>
      </w:r>
      <w:r w:rsidRPr="00515447">
        <w:t xml:space="preserve">être porté volontaire </w:t>
      </w:r>
      <w:r>
        <w:t>afin d’</w:t>
      </w:r>
      <w:r w:rsidRPr="00515447">
        <w:t xml:space="preserve">éviter les perturbations liées </w:t>
      </w:r>
      <w:r>
        <w:t>au départ en retraite</w:t>
      </w:r>
      <w:r w:rsidRPr="00515447">
        <w:t xml:space="preserve"> de leur chef en cours de session.</w:t>
      </w:r>
    </w:p>
    <w:p w:rsidR="00E30E39" w:rsidRPr="00515447" w:rsidRDefault="00E30E39" w:rsidP="00CD1DD3">
      <w:pPr>
        <w:pStyle w:val="SingleTxtG"/>
      </w:pPr>
      <w:r w:rsidRPr="00515447">
        <w:t>9.</w:t>
      </w:r>
      <w:r w:rsidRPr="00515447">
        <w:tab/>
        <w:t xml:space="preserve">Le Sous-Comité a noté également que le poste P2 de la </w:t>
      </w:r>
      <w:r>
        <w:t>S</w:t>
      </w:r>
      <w:r w:rsidRPr="00515447">
        <w:t xml:space="preserve">ection, </w:t>
      </w:r>
      <w:r>
        <w:t xml:space="preserve">qui était </w:t>
      </w:r>
      <w:r w:rsidRPr="00515447">
        <w:t>vacant depuis novembre 2015</w:t>
      </w:r>
      <w:r>
        <w:t>,</w:t>
      </w:r>
      <w:r w:rsidRPr="00515447">
        <w:t xml:space="preserve"> n</w:t>
      </w:r>
      <w:r>
        <w:t>’</w:t>
      </w:r>
      <w:r w:rsidRPr="00515447">
        <w:t xml:space="preserve">avait toujours pas été pourvu </w:t>
      </w:r>
      <w:r>
        <w:t xml:space="preserve">à titre permanent </w:t>
      </w:r>
      <w:r w:rsidRPr="00515447">
        <w:t xml:space="preserve">et que la personne </w:t>
      </w:r>
      <w:r>
        <w:t>l’</w:t>
      </w:r>
      <w:r w:rsidRPr="00515447">
        <w:t xml:space="preserve">occupant </w:t>
      </w:r>
      <w:r>
        <w:t xml:space="preserve">à titre </w:t>
      </w:r>
      <w:r w:rsidRPr="00515447">
        <w:t xml:space="preserve">temporaire ne pourrait pas </w:t>
      </w:r>
      <w:r>
        <w:t xml:space="preserve">continuer à le faire </w:t>
      </w:r>
      <w:r w:rsidRPr="00515447">
        <w:t>après le 5</w:t>
      </w:r>
      <w:r w:rsidR="00A943CE">
        <w:t> </w:t>
      </w:r>
      <w:r w:rsidRPr="00515447">
        <w:t xml:space="preserve">février 2018 pour des raisons administratives. Le Sous-Comité a </w:t>
      </w:r>
      <w:r>
        <w:t xml:space="preserve">demandé au </w:t>
      </w:r>
      <w:r w:rsidRPr="00515447">
        <w:t xml:space="preserve">secrétariat de prendre les mesures appropriées pour assurer que ce poste soit pourvu par </w:t>
      </w:r>
      <w:r>
        <w:t xml:space="preserve">un fonctionnaire </w:t>
      </w:r>
      <w:r w:rsidRPr="00515447">
        <w:t>qualifié dès cette date.</w:t>
      </w:r>
    </w:p>
    <w:p w:rsidR="00E30E39" w:rsidRPr="00A964ED" w:rsidRDefault="00E30E39" w:rsidP="00CD1DD3">
      <w:pPr>
        <w:pStyle w:val="HChG"/>
      </w:pPr>
      <w:r w:rsidRPr="00A964ED">
        <w:tab/>
        <w:t>III.</w:t>
      </w:r>
      <w:r w:rsidRPr="00A964ED">
        <w:tab/>
        <w:t>Adoption de l</w:t>
      </w:r>
      <w:r>
        <w:t>’</w:t>
      </w:r>
      <w:r w:rsidRPr="00A964ED">
        <w:t>ordre du jour (point 1 de l</w:t>
      </w:r>
      <w:r>
        <w:t>’</w:t>
      </w:r>
      <w:r w:rsidRPr="00A964ED">
        <w:t>ordre du jour)</w:t>
      </w:r>
    </w:p>
    <w:p w:rsidR="00E30E39" w:rsidRPr="00A964ED" w:rsidRDefault="00E30E39" w:rsidP="00CD1DD3">
      <w:pPr>
        <w:pStyle w:val="SingleTxtG"/>
        <w:tabs>
          <w:tab w:val="left" w:pos="3119"/>
        </w:tabs>
        <w:ind w:left="3119" w:hanging="1985"/>
        <w:jc w:val="left"/>
      </w:pPr>
      <w:r w:rsidRPr="00A964ED">
        <w:rPr>
          <w:i/>
        </w:rPr>
        <w:t>Documents</w:t>
      </w:r>
      <w:r w:rsidR="00CD1DD3">
        <w:rPr>
          <w:i/>
        </w:rPr>
        <w:t> </w:t>
      </w:r>
      <w:r w:rsidR="00CD1DD3">
        <w:t>:</w:t>
      </w:r>
      <w:r w:rsidR="00CD1DD3">
        <w:tab/>
      </w:r>
      <w:r w:rsidRPr="00A964ED">
        <w:t>ST/SG/AC.10/C.3/103 (</w:t>
      </w:r>
      <w:r>
        <w:t>o</w:t>
      </w:r>
      <w:r w:rsidRPr="00A964ED">
        <w:t>rdre du jour provisoire)</w:t>
      </w:r>
      <w:r w:rsidR="00CD1DD3">
        <w:t xml:space="preserve"> </w:t>
      </w:r>
      <w:r w:rsidRPr="00A964ED">
        <w:t>ST/SG/AC.10/C.3/103/Add.1 (</w:t>
      </w:r>
      <w:r>
        <w:t>l</w:t>
      </w:r>
      <w:r w:rsidRPr="00A964ED">
        <w:t>iste des documents).</w:t>
      </w:r>
    </w:p>
    <w:p w:rsidR="00E30E39" w:rsidRPr="00A964ED" w:rsidRDefault="00E30E39" w:rsidP="00CD1DD3">
      <w:pPr>
        <w:pStyle w:val="SingleTxtG"/>
        <w:tabs>
          <w:tab w:val="left" w:pos="3119"/>
        </w:tabs>
        <w:ind w:left="3119" w:hanging="1985"/>
        <w:jc w:val="left"/>
      </w:pPr>
      <w:r w:rsidRPr="00A964ED">
        <w:rPr>
          <w:i/>
        </w:rPr>
        <w:t>Documents informels</w:t>
      </w:r>
      <w:r w:rsidR="00CD1DD3">
        <w:rPr>
          <w:i/>
        </w:rPr>
        <w:t> </w:t>
      </w:r>
      <w:r w:rsidR="00CD1DD3">
        <w:t>:</w:t>
      </w:r>
      <w:r w:rsidR="00CD1DD3">
        <w:tab/>
      </w:r>
      <w:r w:rsidRPr="00A964ED">
        <w:t>INF.1 et 2 (</w:t>
      </w:r>
      <w:r>
        <w:t>l</w:t>
      </w:r>
      <w:r w:rsidRPr="00A964ED">
        <w:t>iste des documents)</w:t>
      </w:r>
      <w:r w:rsidRPr="00A964ED">
        <w:br/>
        <w:t>INF.19 (</w:t>
      </w:r>
      <w:r>
        <w:t>c</w:t>
      </w:r>
      <w:r w:rsidRPr="00A964ED">
        <w:t>alendrier provisoire)</w:t>
      </w:r>
      <w:r w:rsidRPr="00A964ED">
        <w:br/>
        <w:t>INF.30 (</w:t>
      </w:r>
      <w:r>
        <w:t>r</w:t>
      </w:r>
      <w:r w:rsidRPr="00A964ED">
        <w:t>éception organisée par les ONG)</w:t>
      </w:r>
      <w:r w:rsidR="00CD1DD3">
        <w:t>.</w:t>
      </w:r>
    </w:p>
    <w:p w:rsidR="00E30E39" w:rsidRPr="00A964ED" w:rsidRDefault="00E30E39" w:rsidP="00CD1DD3">
      <w:pPr>
        <w:pStyle w:val="SingleTxtG"/>
      </w:pPr>
      <w:r w:rsidRPr="00A964ED">
        <w:t>10.</w:t>
      </w:r>
      <w:r w:rsidRPr="00A964ED">
        <w:tab/>
        <w:t>Le Sous-Comité a adopté l</w:t>
      </w:r>
      <w:r>
        <w:t>’</w:t>
      </w:r>
      <w:r w:rsidRPr="00A964ED">
        <w:t>ordre du jour provisoire établi par le secrétariat après l</w:t>
      </w:r>
      <w:r>
        <w:t>’</w:t>
      </w:r>
      <w:r w:rsidRPr="00A964ED">
        <w:t>avoir modifié pour tenir compte des documents informels INF.1 à</w:t>
      </w:r>
      <w:r w:rsidR="00A943CE">
        <w:t xml:space="preserve"> </w:t>
      </w:r>
      <w:r>
        <w:t>61</w:t>
      </w:r>
      <w:r w:rsidRPr="00A964ED">
        <w:t>.</w:t>
      </w:r>
    </w:p>
    <w:p w:rsidR="00E30E39" w:rsidRPr="00435232" w:rsidRDefault="00E30E39" w:rsidP="00CD1DD3">
      <w:pPr>
        <w:pStyle w:val="HChG"/>
      </w:pPr>
      <w:r w:rsidRPr="00435232">
        <w:tab/>
        <w:t>IV.</w:t>
      </w:r>
      <w:r w:rsidRPr="00435232">
        <w:tab/>
        <w:t>Explosifs et questions connexes (point 2 de l</w:t>
      </w:r>
      <w:r>
        <w:t>’</w:t>
      </w:r>
      <w:r w:rsidRPr="00435232">
        <w:t>ordre du jour)</w:t>
      </w:r>
    </w:p>
    <w:p w:rsidR="00E30E39" w:rsidRPr="00435232" w:rsidRDefault="00E30E39" w:rsidP="00CD1DD3">
      <w:pPr>
        <w:pStyle w:val="SingleTxtG"/>
      </w:pPr>
      <w:r w:rsidRPr="00435232">
        <w:t>11.</w:t>
      </w:r>
      <w:r w:rsidRPr="00435232">
        <w:tab/>
        <w:t>Après un examen préliminaire en séance plénière, la plupart des questions relatives à ce point de l</w:t>
      </w:r>
      <w:r>
        <w:t>’</w:t>
      </w:r>
      <w:r w:rsidRPr="00435232">
        <w:t>ordre du jour ont été renvoyées au Groupe de travail des explosifs, qui s</w:t>
      </w:r>
      <w:r>
        <w:t>’</w:t>
      </w:r>
      <w:r w:rsidRPr="00435232">
        <w:t xml:space="preserve">est </w:t>
      </w:r>
      <w:r w:rsidRPr="00A943CE">
        <w:rPr>
          <w:spacing w:val="-2"/>
        </w:rPr>
        <w:t>réuni du 27</w:t>
      </w:r>
      <w:r w:rsidR="00A943CE" w:rsidRPr="00A943CE">
        <w:rPr>
          <w:spacing w:val="-2"/>
        </w:rPr>
        <w:t> </w:t>
      </w:r>
      <w:r w:rsidRPr="00A943CE">
        <w:rPr>
          <w:spacing w:val="-2"/>
        </w:rPr>
        <w:t>novembre au 1</w:t>
      </w:r>
      <w:r w:rsidRPr="00A943CE">
        <w:rPr>
          <w:spacing w:val="-2"/>
          <w:vertAlign w:val="superscript"/>
        </w:rPr>
        <w:t>e</w:t>
      </w:r>
      <w:r w:rsidR="00A943CE" w:rsidRPr="00A943CE">
        <w:rPr>
          <w:spacing w:val="-2"/>
          <w:vertAlign w:val="superscript"/>
        </w:rPr>
        <w:t>r</w:t>
      </w:r>
      <w:r w:rsidR="00A943CE" w:rsidRPr="00A943CE">
        <w:rPr>
          <w:spacing w:val="-2"/>
        </w:rPr>
        <w:t> </w:t>
      </w:r>
      <w:r w:rsidRPr="00A943CE">
        <w:rPr>
          <w:spacing w:val="-2"/>
        </w:rPr>
        <w:t>décembre 2017, sous la présidence de M.</w:t>
      </w:r>
      <w:r w:rsidR="00A943CE" w:rsidRPr="00A943CE">
        <w:rPr>
          <w:spacing w:val="-2"/>
        </w:rPr>
        <w:t> </w:t>
      </w:r>
      <w:r w:rsidRPr="00A943CE">
        <w:rPr>
          <w:spacing w:val="-2"/>
        </w:rPr>
        <w:t>E. de Jong (Pays-Bas).</w:t>
      </w:r>
    </w:p>
    <w:p w:rsidR="00E30E39" w:rsidRPr="00435232" w:rsidRDefault="00E30E39" w:rsidP="00CD1DD3">
      <w:pPr>
        <w:pStyle w:val="SingleTxtG"/>
      </w:pPr>
      <w:r w:rsidRPr="00435232">
        <w:t>12.</w:t>
      </w:r>
      <w:r w:rsidRPr="00435232">
        <w:tab/>
        <w:t>De même</w:t>
      </w:r>
      <w:r>
        <w:t>,</w:t>
      </w:r>
      <w:r w:rsidRPr="00435232">
        <w:t xml:space="preserve"> les documents informels INF.3 et Add.1</w:t>
      </w:r>
      <w:r w:rsidR="00A943CE">
        <w:t xml:space="preserve"> et </w:t>
      </w:r>
      <w:r w:rsidRPr="00435232">
        <w:t>2, INF.13 et INF.28 relatifs à l</w:t>
      </w:r>
      <w:r>
        <w:t>’</w:t>
      </w:r>
      <w:r w:rsidRPr="00435232">
        <w:t>utilisation du Manuel d</w:t>
      </w:r>
      <w:r>
        <w:t>’</w:t>
      </w:r>
      <w:r w:rsidRPr="00435232">
        <w:t>épreuves et de critères dans le contexte du SGH figurant sous le point</w:t>
      </w:r>
      <w:r>
        <w:t> </w:t>
      </w:r>
      <w:r w:rsidRPr="00435232">
        <w:t>10</w:t>
      </w:r>
      <w:r>
        <w:t xml:space="preserve"> de l’ordre du jour, ainsi que le document informel INF.32 portant sur les dispositifs de sécurité,</w:t>
      </w:r>
      <w:r w:rsidRPr="00435232">
        <w:t xml:space="preserve"> </w:t>
      </w:r>
      <w:r>
        <w:t xml:space="preserve">soumis au titre du point 3 de l’ordre du jour, </w:t>
      </w:r>
      <w:r w:rsidRPr="00435232">
        <w:t xml:space="preserve">ont </w:t>
      </w:r>
      <w:r>
        <w:t xml:space="preserve">aussi </w:t>
      </w:r>
      <w:r w:rsidRPr="00435232">
        <w:t>été renvoyés au Groupe de travail des explosifs.</w:t>
      </w:r>
    </w:p>
    <w:p w:rsidR="00E30E39" w:rsidRPr="008943FD" w:rsidRDefault="00E30E39" w:rsidP="00CD1DD3">
      <w:pPr>
        <w:pStyle w:val="H23G"/>
      </w:pPr>
      <w:r w:rsidRPr="008943FD">
        <w:tab/>
      </w:r>
      <w:r w:rsidRPr="008943FD">
        <w:tab/>
        <w:t>Rapport du Groupe de travail des explosifs</w:t>
      </w:r>
    </w:p>
    <w:p w:rsidR="00E30E39" w:rsidRPr="008943FD" w:rsidRDefault="00E30E39" w:rsidP="00CD1DD3">
      <w:pPr>
        <w:pStyle w:val="SingleTxtG"/>
        <w:tabs>
          <w:tab w:val="left" w:pos="3119"/>
        </w:tabs>
        <w:ind w:left="3119" w:hanging="1985"/>
        <w:jc w:val="left"/>
      </w:pPr>
      <w:r w:rsidRPr="008943FD">
        <w:rPr>
          <w:i/>
          <w:iCs/>
        </w:rPr>
        <w:t>Document informel </w:t>
      </w:r>
      <w:r w:rsidRPr="008943FD">
        <w:rPr>
          <w:iCs/>
        </w:rPr>
        <w:t>:</w:t>
      </w:r>
      <w:r w:rsidRPr="008943FD">
        <w:rPr>
          <w:i/>
          <w:iCs/>
        </w:rPr>
        <w:t xml:space="preserve"> </w:t>
      </w:r>
      <w:r w:rsidRPr="008943FD">
        <w:rPr>
          <w:i/>
          <w:iCs/>
        </w:rPr>
        <w:tab/>
      </w:r>
      <w:r w:rsidRPr="008943FD">
        <w:t>INF.53 et Add.1</w:t>
      </w:r>
      <w:r>
        <w:t xml:space="preserve"> et </w:t>
      </w:r>
      <w:r w:rsidRPr="008943FD">
        <w:t>2 (Président du Groupe de travail)</w:t>
      </w:r>
      <w:r w:rsidR="00CD1DD3">
        <w:t>.</w:t>
      </w:r>
    </w:p>
    <w:p w:rsidR="00E30E39" w:rsidRPr="00DE4FBC" w:rsidRDefault="00E30E39" w:rsidP="00CD1DD3">
      <w:pPr>
        <w:pStyle w:val="SingleTxtG"/>
        <w:rPr>
          <w:lang w:val="fr-FR"/>
        </w:rPr>
      </w:pPr>
      <w:r w:rsidRPr="00DE4FBC">
        <w:rPr>
          <w:lang w:val="fr-FR"/>
        </w:rPr>
        <w:t>13.</w:t>
      </w:r>
      <w:r w:rsidRPr="00DE4FBC">
        <w:rPr>
          <w:lang w:val="fr-FR"/>
        </w:rPr>
        <w:tab/>
      </w:r>
      <w:r w:rsidRPr="00F25D2B">
        <w:t xml:space="preserve">Ayant examiné le rapport du Groupe de travail des explosifs </w:t>
      </w:r>
      <w:r>
        <w:t xml:space="preserve">présenté </w:t>
      </w:r>
      <w:r w:rsidRPr="00F25D2B">
        <w:t xml:space="preserve">par son président, le Sous-Comité </w:t>
      </w:r>
      <w:r>
        <w:t xml:space="preserve">a pris note des </w:t>
      </w:r>
      <w:r w:rsidRPr="00F25D2B">
        <w:t>conclusions ci-après pour chaque question à l</w:t>
      </w:r>
      <w:r>
        <w:t>’</w:t>
      </w:r>
      <w:r w:rsidRPr="00F25D2B">
        <w:t>examen au titre du point 2 de l</w:t>
      </w:r>
      <w:r>
        <w:t>’</w:t>
      </w:r>
      <w:r w:rsidRPr="00F25D2B">
        <w:t>ordre du jour.</w:t>
      </w:r>
    </w:p>
    <w:p w:rsidR="00E30E39" w:rsidRPr="00DE4FBC" w:rsidRDefault="00E30E39" w:rsidP="00CD1DD3">
      <w:pPr>
        <w:pStyle w:val="H1G"/>
        <w:rPr>
          <w:lang w:val="fr-FR"/>
        </w:rPr>
      </w:pPr>
      <w:r w:rsidRPr="00DE4FBC">
        <w:rPr>
          <w:lang w:val="fr-FR"/>
        </w:rPr>
        <w:tab/>
        <w:t>A.</w:t>
      </w:r>
      <w:r w:rsidRPr="00DE4FBC">
        <w:rPr>
          <w:lang w:val="fr-FR"/>
        </w:rPr>
        <w:tab/>
      </w:r>
      <w:r>
        <w:t xml:space="preserve">Révision des épreuves de la série </w:t>
      </w:r>
      <w:r w:rsidRPr="00DE4FBC">
        <w:rPr>
          <w:lang w:val="fr-FR"/>
        </w:rPr>
        <w:t>6</w:t>
      </w:r>
    </w:p>
    <w:p w:rsidR="00E30E39" w:rsidRPr="00CD1DD3" w:rsidRDefault="00E30E39" w:rsidP="00CD1DD3">
      <w:pPr>
        <w:pStyle w:val="SingleTxtG"/>
        <w:tabs>
          <w:tab w:val="left" w:pos="3119"/>
        </w:tabs>
        <w:ind w:left="3119" w:hanging="1985"/>
        <w:jc w:val="left"/>
      </w:pPr>
      <w:r w:rsidRPr="00CD1DD3">
        <w:rPr>
          <w:i/>
          <w:iCs/>
        </w:rPr>
        <w:t>Document</w:t>
      </w:r>
      <w:r w:rsidR="00CD1DD3" w:rsidRPr="00CD1DD3">
        <w:rPr>
          <w:i/>
          <w:iCs/>
        </w:rPr>
        <w:t>s </w:t>
      </w:r>
      <w:r w:rsidRPr="00CD1DD3">
        <w:rPr>
          <w:iCs/>
        </w:rPr>
        <w:t>:</w:t>
      </w:r>
      <w:r w:rsidR="00CD1DD3">
        <w:tab/>
      </w:r>
      <w:r w:rsidRPr="00CD1DD3">
        <w:t>ST/SG/AC.10/C.3/2017/50 (SAAMI)</w:t>
      </w:r>
      <w:r w:rsidR="00CD1DD3">
        <w:t>.</w:t>
      </w:r>
    </w:p>
    <w:p w:rsidR="00E30E39" w:rsidRPr="00DE4FBC" w:rsidRDefault="00E30E39" w:rsidP="00CD1DD3">
      <w:pPr>
        <w:pStyle w:val="SingleTxtG"/>
        <w:tabs>
          <w:tab w:val="left" w:pos="3119"/>
        </w:tabs>
        <w:ind w:left="3119" w:hanging="1985"/>
        <w:jc w:val="left"/>
        <w:rPr>
          <w:lang w:val="fr-FR"/>
        </w:rPr>
      </w:pPr>
      <w:r>
        <w:rPr>
          <w:i/>
          <w:iCs/>
          <w:lang w:val="fr-FR"/>
        </w:rPr>
        <w:t>D</w:t>
      </w:r>
      <w:r w:rsidRPr="00DE4FBC">
        <w:rPr>
          <w:i/>
          <w:iCs/>
          <w:lang w:val="fr-FR"/>
        </w:rPr>
        <w:t>ocument</w:t>
      </w:r>
      <w:r w:rsidRPr="00A63FDD">
        <w:rPr>
          <w:i/>
          <w:iCs/>
          <w:lang w:val="fr-FR"/>
        </w:rPr>
        <w:t xml:space="preserve"> </w:t>
      </w:r>
      <w:r>
        <w:rPr>
          <w:i/>
          <w:iCs/>
          <w:lang w:val="fr-FR"/>
        </w:rPr>
        <w:t>i</w:t>
      </w:r>
      <w:r w:rsidRPr="00DE4FBC">
        <w:rPr>
          <w:i/>
          <w:iCs/>
          <w:lang w:val="fr-FR"/>
        </w:rPr>
        <w:t>nform</w:t>
      </w:r>
      <w:r>
        <w:rPr>
          <w:i/>
          <w:iCs/>
          <w:lang w:val="fr-FR"/>
        </w:rPr>
        <w:t>e</w:t>
      </w:r>
      <w:r w:rsidRPr="00DE4FBC">
        <w:rPr>
          <w:i/>
          <w:iCs/>
          <w:lang w:val="fr-FR"/>
        </w:rPr>
        <w:t>l</w:t>
      </w:r>
      <w:r w:rsidR="00CD1DD3">
        <w:rPr>
          <w:i/>
          <w:iCs/>
          <w:lang w:val="fr-FR"/>
        </w:rPr>
        <w:t> </w:t>
      </w:r>
      <w:r w:rsidRPr="00CD1DD3">
        <w:rPr>
          <w:iCs/>
          <w:lang w:val="fr-FR"/>
        </w:rPr>
        <w:t xml:space="preserve">: </w:t>
      </w:r>
      <w:r w:rsidRPr="00DE4FBC">
        <w:rPr>
          <w:i/>
          <w:iCs/>
          <w:lang w:val="fr-FR"/>
        </w:rPr>
        <w:tab/>
      </w:r>
      <w:r w:rsidRPr="00DE4FBC">
        <w:rPr>
          <w:lang w:val="fr-FR"/>
        </w:rPr>
        <w:t>INF.53 (</w:t>
      </w:r>
      <w:r>
        <w:rPr>
          <w:lang w:val="fr-FR"/>
        </w:rPr>
        <w:t>Président du Groupe de travail</w:t>
      </w:r>
      <w:r w:rsidRPr="00DE4FBC">
        <w:rPr>
          <w:lang w:val="fr-FR"/>
        </w:rPr>
        <w:t>)</w:t>
      </w:r>
      <w:r w:rsidR="00CD1DD3">
        <w:rPr>
          <w:lang w:val="fr-FR"/>
        </w:rPr>
        <w:t>.</w:t>
      </w:r>
    </w:p>
    <w:p w:rsidR="00E30E39" w:rsidRDefault="00E30E39" w:rsidP="00CD1DD3">
      <w:pPr>
        <w:pStyle w:val="SingleTxtG"/>
        <w:rPr>
          <w:lang w:val="fr-FR"/>
        </w:rPr>
      </w:pPr>
      <w:r w:rsidRPr="00DE4FBC">
        <w:rPr>
          <w:lang w:val="fr-FR"/>
        </w:rPr>
        <w:t>14.</w:t>
      </w:r>
      <w:r w:rsidRPr="00DE4FBC">
        <w:rPr>
          <w:lang w:val="fr-FR"/>
        </w:rPr>
        <w:tab/>
      </w:r>
      <w:r w:rsidRPr="00A63FDD">
        <w:rPr>
          <w:lang w:val="fr-FR"/>
        </w:rPr>
        <w:t>Le Sous-Comité a noté que le Groupe de travail appuyait en principe la révision du critère de perturbation pour l</w:t>
      </w:r>
      <w:r>
        <w:rPr>
          <w:lang w:val="fr-FR"/>
        </w:rPr>
        <w:t>’</w:t>
      </w:r>
      <w:r w:rsidR="00A943CE">
        <w:rPr>
          <w:lang w:val="fr-FR"/>
        </w:rPr>
        <w:t>épreuve 6 </w:t>
      </w:r>
      <w:r w:rsidRPr="00A63FDD">
        <w:rPr>
          <w:lang w:val="fr-FR"/>
        </w:rPr>
        <w:t xml:space="preserve">d) ainsi que </w:t>
      </w:r>
      <w:r>
        <w:rPr>
          <w:lang w:val="fr-FR"/>
        </w:rPr>
        <w:t>d’</w:t>
      </w:r>
      <w:r w:rsidRPr="00A63FDD">
        <w:rPr>
          <w:lang w:val="fr-FR"/>
        </w:rPr>
        <w:t>autres critères d</w:t>
      </w:r>
      <w:r>
        <w:rPr>
          <w:lang w:val="fr-FR"/>
        </w:rPr>
        <w:t>’</w:t>
      </w:r>
      <w:r w:rsidRPr="00A63FDD">
        <w:rPr>
          <w:lang w:val="fr-FR"/>
        </w:rPr>
        <w:t xml:space="preserve">acceptation </w:t>
      </w:r>
      <w:r>
        <w:rPr>
          <w:lang w:val="fr-FR"/>
        </w:rPr>
        <w:t>de cette même épreuve</w:t>
      </w:r>
      <w:r w:rsidRPr="00A63FDD">
        <w:rPr>
          <w:lang w:val="fr-FR"/>
        </w:rPr>
        <w:t>, afin d</w:t>
      </w:r>
      <w:r>
        <w:rPr>
          <w:lang w:val="fr-FR"/>
        </w:rPr>
        <w:t xml:space="preserve">’en </w:t>
      </w:r>
      <w:r w:rsidRPr="00A63FDD">
        <w:rPr>
          <w:lang w:val="fr-FR"/>
        </w:rPr>
        <w:t>éliminer ou réduire au minimum la subjectivité. Il a été suggéré qu</w:t>
      </w:r>
      <w:r>
        <w:rPr>
          <w:lang w:val="fr-FR"/>
        </w:rPr>
        <w:t>’</w:t>
      </w:r>
      <w:r w:rsidRPr="00A63FDD">
        <w:rPr>
          <w:lang w:val="fr-FR"/>
        </w:rPr>
        <w:t xml:space="preserve">une définition des </w:t>
      </w:r>
      <w:r>
        <w:rPr>
          <w:lang w:val="fr-FR"/>
        </w:rPr>
        <w:t>« </w:t>
      </w:r>
      <w:r w:rsidRPr="00A63FDD">
        <w:rPr>
          <w:lang w:val="fr-FR"/>
        </w:rPr>
        <w:t>effets dangereux</w:t>
      </w:r>
      <w:r>
        <w:rPr>
          <w:lang w:val="fr-FR"/>
        </w:rPr>
        <w:t> »</w:t>
      </w:r>
      <w:r w:rsidRPr="00A63FDD">
        <w:rPr>
          <w:lang w:val="fr-FR"/>
        </w:rPr>
        <w:t xml:space="preserve"> pourrait être utile </w:t>
      </w:r>
      <w:r>
        <w:rPr>
          <w:lang w:val="fr-FR"/>
        </w:rPr>
        <w:t>dans le cadre de</w:t>
      </w:r>
      <w:r w:rsidRPr="00A63FDD">
        <w:rPr>
          <w:lang w:val="fr-FR"/>
        </w:rPr>
        <w:t xml:space="preserve"> cette révision</w:t>
      </w:r>
      <w:r>
        <w:rPr>
          <w:lang w:val="fr-FR"/>
        </w:rPr>
        <w:t>.</w:t>
      </w:r>
    </w:p>
    <w:p w:rsidR="00E30E39" w:rsidRPr="00DE4FBC" w:rsidRDefault="00E30E39" w:rsidP="00CD1DD3">
      <w:pPr>
        <w:pStyle w:val="SingleTxtG"/>
        <w:rPr>
          <w:lang w:val="fr-FR"/>
        </w:rPr>
      </w:pPr>
      <w:r w:rsidRPr="00DE4FBC">
        <w:rPr>
          <w:lang w:val="fr-FR"/>
        </w:rPr>
        <w:lastRenderedPageBreak/>
        <w:t>15.</w:t>
      </w:r>
      <w:r w:rsidRPr="00DE4FBC">
        <w:rPr>
          <w:lang w:val="fr-FR"/>
        </w:rPr>
        <w:tab/>
      </w:r>
      <w:r w:rsidRPr="00473C46">
        <w:rPr>
          <w:lang w:val="fr-FR"/>
        </w:rPr>
        <w:t>Le Sous-Comité a noté que le représentant du SAAMI examinerait les observations formulées par le Groupe de travail et pourrait soumettre une proposition révisée à sa session suivante</w:t>
      </w:r>
      <w:r w:rsidRPr="00DE4FBC">
        <w:rPr>
          <w:lang w:val="fr-FR"/>
        </w:rPr>
        <w:t>.</w:t>
      </w:r>
    </w:p>
    <w:p w:rsidR="00E30E39" w:rsidRPr="00DE4FBC" w:rsidRDefault="00E30E39" w:rsidP="00CD1DD3">
      <w:pPr>
        <w:pStyle w:val="H1G"/>
        <w:rPr>
          <w:lang w:val="fr-FR"/>
        </w:rPr>
      </w:pPr>
      <w:r w:rsidRPr="00DE4FBC">
        <w:rPr>
          <w:lang w:val="fr-FR"/>
        </w:rPr>
        <w:tab/>
        <w:t>B.</w:t>
      </w:r>
      <w:r w:rsidRPr="00DE4FBC">
        <w:rPr>
          <w:lang w:val="fr-FR"/>
        </w:rPr>
        <w:tab/>
      </w:r>
      <w:r w:rsidRPr="00B5193C">
        <w:rPr>
          <w:lang w:val="fr-FR"/>
        </w:rPr>
        <w:t>Révision des épreuves des parties I, II et III du Manuel d</w:t>
      </w:r>
      <w:r>
        <w:rPr>
          <w:lang w:val="fr-FR"/>
        </w:rPr>
        <w:t>’</w:t>
      </w:r>
      <w:r w:rsidRPr="00B5193C">
        <w:rPr>
          <w:lang w:val="fr-FR"/>
        </w:rPr>
        <w:t xml:space="preserve">épreuves </w:t>
      </w:r>
      <w:r w:rsidR="00A943CE">
        <w:rPr>
          <w:lang w:val="fr-FR"/>
        </w:rPr>
        <w:br/>
      </w:r>
      <w:r w:rsidRPr="00B5193C">
        <w:rPr>
          <w:lang w:val="fr-FR"/>
        </w:rPr>
        <w:t>et de critères</w:t>
      </w:r>
    </w:p>
    <w:p w:rsidR="00E30E39" w:rsidRPr="00DE4FBC" w:rsidRDefault="00E30E39" w:rsidP="00CD1DD3">
      <w:pPr>
        <w:pStyle w:val="SingleTxtG"/>
        <w:rPr>
          <w:lang w:val="fr-FR"/>
        </w:rPr>
      </w:pPr>
      <w:r w:rsidRPr="00DE4FBC">
        <w:rPr>
          <w:lang w:val="fr-FR"/>
        </w:rPr>
        <w:t>16.</w:t>
      </w:r>
      <w:r w:rsidRPr="00DE4FBC">
        <w:rPr>
          <w:lang w:val="fr-FR"/>
        </w:rPr>
        <w:tab/>
      </w:r>
      <w:r w:rsidRPr="00B5193C">
        <w:rPr>
          <w:lang w:val="fr-FR"/>
        </w:rPr>
        <w:t>Aucun document n</w:t>
      </w:r>
      <w:r>
        <w:rPr>
          <w:lang w:val="fr-FR"/>
        </w:rPr>
        <w:t>’</w:t>
      </w:r>
      <w:r w:rsidRPr="00B5193C">
        <w:rPr>
          <w:lang w:val="fr-FR"/>
        </w:rPr>
        <w:t>ayant été soumis au titre de ce point de l</w:t>
      </w:r>
      <w:r>
        <w:rPr>
          <w:lang w:val="fr-FR"/>
        </w:rPr>
        <w:t>’</w:t>
      </w:r>
      <w:r w:rsidRPr="00B5193C">
        <w:rPr>
          <w:lang w:val="fr-FR"/>
        </w:rPr>
        <w:t>ordre du jour, cette question n</w:t>
      </w:r>
      <w:r>
        <w:rPr>
          <w:lang w:val="fr-FR"/>
        </w:rPr>
        <w:t>’</w:t>
      </w:r>
      <w:r w:rsidRPr="00B5193C">
        <w:rPr>
          <w:lang w:val="fr-FR"/>
        </w:rPr>
        <w:t>a pas été abordée</w:t>
      </w:r>
      <w:r w:rsidRPr="00DE4FBC">
        <w:rPr>
          <w:lang w:val="fr-FR"/>
        </w:rPr>
        <w:t>.</w:t>
      </w:r>
    </w:p>
    <w:p w:rsidR="00E30E39" w:rsidRPr="00DE4FBC" w:rsidRDefault="00E30E39" w:rsidP="00CD1DD3">
      <w:pPr>
        <w:pStyle w:val="H1G"/>
        <w:rPr>
          <w:lang w:val="fr-FR"/>
        </w:rPr>
      </w:pPr>
      <w:r w:rsidRPr="00DE4FBC">
        <w:rPr>
          <w:lang w:val="fr-FR"/>
        </w:rPr>
        <w:tab/>
        <w:t>C.</w:t>
      </w:r>
      <w:r w:rsidRPr="00DE4FBC">
        <w:rPr>
          <w:lang w:val="fr-FR"/>
        </w:rPr>
        <w:tab/>
      </w:r>
      <w:r w:rsidRPr="00B5193C">
        <w:rPr>
          <w:lang w:val="fr-FR"/>
        </w:rPr>
        <w:t>Détonateurs électroniques</w:t>
      </w:r>
    </w:p>
    <w:p w:rsidR="00E30E39" w:rsidRPr="00DE4FBC" w:rsidRDefault="00E30E39" w:rsidP="00CD1DD3">
      <w:pPr>
        <w:pStyle w:val="SingleTxtG"/>
        <w:rPr>
          <w:lang w:val="fr-FR"/>
        </w:rPr>
      </w:pPr>
      <w:r w:rsidRPr="00DE4FBC">
        <w:rPr>
          <w:lang w:val="fr-FR"/>
        </w:rPr>
        <w:t>17.</w:t>
      </w:r>
      <w:r w:rsidRPr="00DE4FBC">
        <w:rPr>
          <w:lang w:val="fr-FR"/>
        </w:rPr>
        <w:tab/>
      </w:r>
      <w:r w:rsidRPr="00B5193C">
        <w:rPr>
          <w:lang w:val="fr-FR"/>
        </w:rPr>
        <w:t>Aucun document n</w:t>
      </w:r>
      <w:r>
        <w:rPr>
          <w:lang w:val="fr-FR"/>
        </w:rPr>
        <w:t>’</w:t>
      </w:r>
      <w:r w:rsidRPr="00B5193C">
        <w:rPr>
          <w:lang w:val="fr-FR"/>
        </w:rPr>
        <w:t>ayant été soumis au titre de ce point de l</w:t>
      </w:r>
      <w:r>
        <w:rPr>
          <w:lang w:val="fr-FR"/>
        </w:rPr>
        <w:t>’</w:t>
      </w:r>
      <w:r w:rsidRPr="00B5193C">
        <w:rPr>
          <w:lang w:val="fr-FR"/>
        </w:rPr>
        <w:t>ordre du jour, cette question n</w:t>
      </w:r>
      <w:r>
        <w:rPr>
          <w:lang w:val="fr-FR"/>
        </w:rPr>
        <w:t>’</w:t>
      </w:r>
      <w:r w:rsidRPr="00B5193C">
        <w:rPr>
          <w:lang w:val="fr-FR"/>
        </w:rPr>
        <w:t>a pas été abordée</w:t>
      </w:r>
      <w:r w:rsidRPr="00DE4FBC">
        <w:rPr>
          <w:lang w:val="fr-FR"/>
        </w:rPr>
        <w:t>.</w:t>
      </w:r>
    </w:p>
    <w:p w:rsidR="00E30E39" w:rsidRPr="00DE4FBC" w:rsidRDefault="00E30E39" w:rsidP="00CD1DD3">
      <w:pPr>
        <w:pStyle w:val="H1G"/>
        <w:rPr>
          <w:lang w:val="fr-FR"/>
        </w:rPr>
      </w:pPr>
      <w:r w:rsidRPr="00DE4FBC">
        <w:rPr>
          <w:lang w:val="fr-FR"/>
        </w:rPr>
        <w:tab/>
        <w:t>D.</w:t>
      </w:r>
      <w:r w:rsidRPr="00DE4FBC">
        <w:rPr>
          <w:lang w:val="fr-FR"/>
        </w:rPr>
        <w:tab/>
      </w:r>
      <w:r w:rsidRPr="00D00697">
        <w:rPr>
          <w:lang w:val="fr-FR"/>
        </w:rPr>
        <w:t>Directives concernant l</w:t>
      </w:r>
      <w:r>
        <w:rPr>
          <w:lang w:val="fr-FR"/>
        </w:rPr>
        <w:t>’</w:t>
      </w:r>
      <w:r w:rsidRPr="00D00697">
        <w:rPr>
          <w:lang w:val="fr-FR"/>
        </w:rPr>
        <w:t xml:space="preserve">application des </w:t>
      </w:r>
      <w:r>
        <w:rPr>
          <w:lang w:val="fr-FR"/>
        </w:rPr>
        <w:t>épreuves</w:t>
      </w:r>
      <w:r w:rsidRPr="00D00697">
        <w:rPr>
          <w:lang w:val="fr-FR"/>
        </w:rPr>
        <w:t xml:space="preserve"> des séries 3 et 4</w:t>
      </w:r>
    </w:p>
    <w:p w:rsidR="00E30E39" w:rsidRPr="00DE4FBC" w:rsidRDefault="00E30E39" w:rsidP="00CD1DD3">
      <w:pPr>
        <w:pStyle w:val="SingleTxtG"/>
        <w:rPr>
          <w:lang w:val="fr-FR"/>
        </w:rPr>
      </w:pPr>
      <w:r w:rsidRPr="00DE4FBC">
        <w:rPr>
          <w:lang w:val="fr-FR"/>
        </w:rPr>
        <w:t>18.</w:t>
      </w:r>
      <w:r w:rsidRPr="00DE4FBC">
        <w:rPr>
          <w:lang w:val="fr-FR"/>
        </w:rPr>
        <w:tab/>
      </w:r>
      <w:bookmarkStart w:id="2" w:name="_Hlk507490885"/>
      <w:r w:rsidRPr="00B5193C">
        <w:rPr>
          <w:lang w:val="fr-FR"/>
        </w:rPr>
        <w:t>Aucun document n</w:t>
      </w:r>
      <w:r>
        <w:rPr>
          <w:lang w:val="fr-FR"/>
        </w:rPr>
        <w:t>’</w:t>
      </w:r>
      <w:r w:rsidRPr="00B5193C">
        <w:rPr>
          <w:lang w:val="fr-FR"/>
        </w:rPr>
        <w:t>ayant été soumis au titre de ce point de l</w:t>
      </w:r>
      <w:r>
        <w:rPr>
          <w:lang w:val="fr-FR"/>
        </w:rPr>
        <w:t>’</w:t>
      </w:r>
      <w:r w:rsidRPr="00B5193C">
        <w:rPr>
          <w:lang w:val="fr-FR"/>
        </w:rPr>
        <w:t>ordre du jour, cette question n</w:t>
      </w:r>
      <w:r>
        <w:rPr>
          <w:lang w:val="fr-FR"/>
        </w:rPr>
        <w:t>’</w:t>
      </w:r>
      <w:r w:rsidRPr="00B5193C">
        <w:rPr>
          <w:lang w:val="fr-FR"/>
        </w:rPr>
        <w:t>a pas été abordée</w:t>
      </w:r>
      <w:bookmarkEnd w:id="2"/>
      <w:r w:rsidRPr="00DE4FBC">
        <w:rPr>
          <w:lang w:val="fr-FR"/>
        </w:rPr>
        <w:t>.</w:t>
      </w:r>
    </w:p>
    <w:p w:rsidR="00E30E39" w:rsidRPr="00DE4FBC" w:rsidRDefault="00E30E39" w:rsidP="00CD1DD3">
      <w:pPr>
        <w:pStyle w:val="H1G"/>
        <w:rPr>
          <w:lang w:val="fr-FR"/>
        </w:rPr>
      </w:pPr>
      <w:r w:rsidRPr="00DE4FBC">
        <w:rPr>
          <w:lang w:val="fr-FR"/>
        </w:rPr>
        <w:tab/>
        <w:t>E.</w:t>
      </w:r>
      <w:r w:rsidRPr="00DE4FBC">
        <w:rPr>
          <w:lang w:val="fr-FR"/>
        </w:rPr>
        <w:tab/>
      </w:r>
      <w:r w:rsidRPr="00697C97">
        <w:rPr>
          <w:lang w:val="fr-FR"/>
        </w:rPr>
        <w:t>Épreuves de stabilité pour la cellulose industrielle</w:t>
      </w:r>
    </w:p>
    <w:p w:rsidR="00E30E39" w:rsidRPr="00DE4FBC" w:rsidRDefault="00E30E39" w:rsidP="00CD1DD3">
      <w:pPr>
        <w:pStyle w:val="SingleTxtG"/>
        <w:tabs>
          <w:tab w:val="left" w:pos="3119"/>
        </w:tabs>
        <w:ind w:left="3119" w:hanging="1985"/>
        <w:jc w:val="left"/>
        <w:rPr>
          <w:lang w:val="fr-FR"/>
        </w:rPr>
      </w:pPr>
      <w:r w:rsidRPr="00DE4FBC">
        <w:rPr>
          <w:i/>
          <w:iCs/>
          <w:lang w:val="fr-FR"/>
        </w:rPr>
        <w:t>Document</w:t>
      </w:r>
      <w:r w:rsidR="00CD1DD3">
        <w:rPr>
          <w:i/>
          <w:iCs/>
          <w:lang w:val="fr-FR"/>
        </w:rPr>
        <w:t>s </w:t>
      </w:r>
      <w:r w:rsidRPr="00CD1DD3">
        <w:rPr>
          <w:iCs/>
          <w:lang w:val="fr-FR"/>
        </w:rPr>
        <w:t>:</w:t>
      </w:r>
      <w:r w:rsidRPr="00DE4FBC">
        <w:rPr>
          <w:lang w:val="fr-FR"/>
        </w:rPr>
        <w:tab/>
        <w:t>ST/SG/AC.10/C.3/2017/35 (</w:t>
      </w:r>
      <w:r>
        <w:rPr>
          <w:lang w:val="fr-FR"/>
        </w:rPr>
        <w:t>Allemagne</w:t>
      </w:r>
      <w:r w:rsidRPr="00DE4FBC">
        <w:rPr>
          <w:lang w:val="fr-FR"/>
        </w:rPr>
        <w:t>)</w:t>
      </w:r>
      <w:r w:rsidR="00CD1DD3">
        <w:rPr>
          <w:lang w:val="fr-FR"/>
        </w:rPr>
        <w:t>.</w:t>
      </w:r>
    </w:p>
    <w:p w:rsidR="00E30E39" w:rsidRPr="00DE4FBC" w:rsidRDefault="00E30E39" w:rsidP="00CD1DD3">
      <w:pPr>
        <w:pStyle w:val="SingleTxtG"/>
        <w:tabs>
          <w:tab w:val="left" w:pos="3119"/>
        </w:tabs>
        <w:ind w:left="3119" w:hanging="1985"/>
        <w:jc w:val="left"/>
        <w:rPr>
          <w:lang w:val="fr-FR"/>
        </w:rPr>
      </w:pPr>
      <w:r>
        <w:rPr>
          <w:i/>
          <w:iCs/>
          <w:lang w:val="fr-FR"/>
        </w:rPr>
        <w:t>D</w:t>
      </w:r>
      <w:r w:rsidRPr="00DE4FBC">
        <w:rPr>
          <w:i/>
          <w:iCs/>
          <w:lang w:val="fr-FR"/>
        </w:rPr>
        <w:t>ocuments</w:t>
      </w:r>
      <w:r w:rsidRPr="00697C97">
        <w:rPr>
          <w:i/>
          <w:iCs/>
          <w:lang w:val="fr-FR"/>
        </w:rPr>
        <w:t xml:space="preserve"> </w:t>
      </w:r>
      <w:r>
        <w:rPr>
          <w:i/>
          <w:iCs/>
          <w:lang w:val="fr-FR"/>
        </w:rPr>
        <w:t>i</w:t>
      </w:r>
      <w:r w:rsidRPr="00DE4FBC">
        <w:rPr>
          <w:i/>
          <w:iCs/>
          <w:lang w:val="fr-FR"/>
        </w:rPr>
        <w:t>nform</w:t>
      </w:r>
      <w:r>
        <w:rPr>
          <w:i/>
          <w:iCs/>
          <w:lang w:val="fr-FR"/>
        </w:rPr>
        <w:t>e</w:t>
      </w:r>
      <w:r w:rsidRPr="00DE4FBC">
        <w:rPr>
          <w:i/>
          <w:iCs/>
          <w:lang w:val="fr-FR"/>
        </w:rPr>
        <w:t>l</w:t>
      </w:r>
      <w:r>
        <w:rPr>
          <w:i/>
          <w:iCs/>
          <w:lang w:val="fr-FR"/>
        </w:rPr>
        <w:t>s</w:t>
      </w:r>
      <w:r w:rsidR="00CD1DD3">
        <w:rPr>
          <w:i/>
          <w:iCs/>
          <w:lang w:val="fr-FR"/>
        </w:rPr>
        <w:t> </w:t>
      </w:r>
      <w:r w:rsidRPr="00CD1DD3">
        <w:rPr>
          <w:iCs/>
          <w:lang w:val="fr-FR"/>
        </w:rPr>
        <w:t>:</w:t>
      </w:r>
      <w:r w:rsidRPr="00DE4FBC">
        <w:rPr>
          <w:i/>
          <w:iCs/>
          <w:lang w:val="fr-FR"/>
        </w:rPr>
        <w:t xml:space="preserve"> </w:t>
      </w:r>
      <w:r w:rsidRPr="00DE4FBC">
        <w:rPr>
          <w:i/>
          <w:iCs/>
          <w:lang w:val="fr-FR"/>
        </w:rPr>
        <w:tab/>
      </w:r>
      <w:r w:rsidRPr="00DE4FBC">
        <w:rPr>
          <w:lang w:val="fr-FR"/>
        </w:rPr>
        <w:t>INF.6 (CEFIC)</w:t>
      </w:r>
      <w:r w:rsidR="00CD1DD3">
        <w:rPr>
          <w:lang w:val="fr-FR"/>
        </w:rPr>
        <w:br/>
      </w:r>
      <w:r w:rsidRPr="00DE4FBC">
        <w:rPr>
          <w:iCs/>
          <w:lang w:val="fr-FR"/>
        </w:rPr>
        <w:t>INF.</w:t>
      </w:r>
      <w:r w:rsidRPr="00DE4FBC">
        <w:rPr>
          <w:lang w:val="fr-FR"/>
        </w:rPr>
        <w:t>53 (</w:t>
      </w:r>
      <w:r w:rsidRPr="00697C97">
        <w:rPr>
          <w:lang w:val="fr-FR"/>
        </w:rPr>
        <w:t>Président du Groupe de travail</w:t>
      </w:r>
      <w:r w:rsidRPr="00DE4FBC">
        <w:rPr>
          <w:lang w:val="fr-FR"/>
        </w:rPr>
        <w:t>)</w:t>
      </w:r>
      <w:r w:rsidR="00CD1DD3">
        <w:rPr>
          <w:lang w:val="fr-FR"/>
        </w:rPr>
        <w:t>.</w:t>
      </w:r>
    </w:p>
    <w:p w:rsidR="00E30E39" w:rsidRPr="00F20B63" w:rsidRDefault="00E30E39" w:rsidP="00CD1DD3">
      <w:pPr>
        <w:pStyle w:val="SingleTxtG"/>
        <w:rPr>
          <w:lang w:val="fr-FR"/>
        </w:rPr>
      </w:pPr>
      <w:r w:rsidRPr="00DE4FBC">
        <w:rPr>
          <w:lang w:val="fr-FR"/>
        </w:rPr>
        <w:t>19.</w:t>
      </w:r>
      <w:r w:rsidRPr="00DE4FBC">
        <w:rPr>
          <w:lang w:val="fr-FR"/>
        </w:rPr>
        <w:tab/>
      </w:r>
      <w:r w:rsidRPr="00F20B63">
        <w:rPr>
          <w:lang w:val="fr-FR"/>
        </w:rPr>
        <w:t xml:space="preserve">Le Sous-Comité a noté que le Groupe de travail avait globalement approuvé les descriptions des épreuves proposées dans le document informel INF.6 et a noté que les textes devaient </w:t>
      </w:r>
      <w:r>
        <w:rPr>
          <w:lang w:val="fr-FR"/>
        </w:rPr>
        <w:t xml:space="preserve">encore </w:t>
      </w:r>
      <w:r w:rsidRPr="00F20B63">
        <w:rPr>
          <w:lang w:val="fr-FR"/>
        </w:rPr>
        <w:t xml:space="preserve">être affinés. Il a également noté que, pour répondre aux préoccupations exprimées au sujet de la mise en œuvre </w:t>
      </w:r>
      <w:r>
        <w:rPr>
          <w:lang w:val="fr-FR"/>
        </w:rPr>
        <w:t>concernant</w:t>
      </w:r>
      <w:r w:rsidRPr="00F20B63">
        <w:rPr>
          <w:lang w:val="fr-FR"/>
        </w:rPr>
        <w:t xml:space="preserve"> la nitrocellulose de classe 1 par rapport à la nitrocellulose de la division 4.1, le Groupe de travail avait examiné et provisoirement approuvé le texte de deux nouvelles dispositions spéciales (une pour les rubriques de la classe 1 et une autre pour celles de la division 4.1).</w:t>
      </w:r>
    </w:p>
    <w:p w:rsidR="00E30E39" w:rsidRPr="0041378F" w:rsidRDefault="00E30E39" w:rsidP="00CD1DD3">
      <w:pPr>
        <w:pStyle w:val="SingleTxtG"/>
        <w:rPr>
          <w:lang w:val="fr-FR"/>
        </w:rPr>
      </w:pPr>
      <w:r w:rsidRPr="00DE4FBC">
        <w:rPr>
          <w:lang w:val="fr-FR"/>
        </w:rPr>
        <w:t>20.</w:t>
      </w:r>
      <w:r w:rsidRPr="00DE4FBC">
        <w:rPr>
          <w:lang w:val="fr-FR"/>
        </w:rPr>
        <w:tab/>
      </w:r>
      <w:r w:rsidRPr="0041378F">
        <w:rPr>
          <w:lang w:val="fr-FR"/>
        </w:rPr>
        <w:t>Le Sous-Comité a également noté qu</w:t>
      </w:r>
      <w:r>
        <w:rPr>
          <w:lang w:val="fr-FR"/>
        </w:rPr>
        <w:t>’</w:t>
      </w:r>
      <w:r w:rsidRPr="0041378F">
        <w:rPr>
          <w:lang w:val="fr-FR"/>
        </w:rPr>
        <w:t>en réponse à une question posée par l</w:t>
      </w:r>
      <w:r>
        <w:rPr>
          <w:lang w:val="fr-FR"/>
        </w:rPr>
        <w:t>’</w:t>
      </w:r>
      <w:r w:rsidRPr="0041378F">
        <w:rPr>
          <w:lang w:val="fr-FR"/>
        </w:rPr>
        <w:t>expert de la Chine, le Groupe de travail avait conclu qu</w:t>
      </w:r>
      <w:r>
        <w:rPr>
          <w:lang w:val="fr-FR"/>
        </w:rPr>
        <w:t>’</w:t>
      </w:r>
      <w:r w:rsidRPr="0041378F">
        <w:rPr>
          <w:lang w:val="fr-FR"/>
        </w:rPr>
        <w:t>aucune disposition spéciale n</w:t>
      </w:r>
      <w:r>
        <w:rPr>
          <w:lang w:val="fr-FR"/>
        </w:rPr>
        <w:t>’</w:t>
      </w:r>
      <w:r w:rsidRPr="0041378F">
        <w:rPr>
          <w:lang w:val="fr-FR"/>
        </w:rPr>
        <w:t>était nécessaire pour le numéro ONU 2059, étant donné que la matière première utilisée pour préparer ces solutions était déjà soumise aux dispositions spéciales et que les épreuves ne pouvaient pas être effectuées sur les solutions elles-mêmes</w:t>
      </w:r>
      <w:r>
        <w:rPr>
          <w:lang w:val="fr-FR"/>
        </w:rPr>
        <w:t>.</w:t>
      </w:r>
    </w:p>
    <w:p w:rsidR="00E30E39" w:rsidRPr="00DE4FBC" w:rsidRDefault="00E30E39" w:rsidP="00CD1DD3">
      <w:pPr>
        <w:pStyle w:val="SingleTxtG"/>
        <w:rPr>
          <w:lang w:val="fr-FR"/>
        </w:rPr>
      </w:pPr>
      <w:r w:rsidRPr="00DE4FBC">
        <w:rPr>
          <w:lang w:val="fr-FR"/>
        </w:rPr>
        <w:t>21.</w:t>
      </w:r>
      <w:r w:rsidRPr="00DE4FBC">
        <w:rPr>
          <w:lang w:val="fr-FR"/>
        </w:rPr>
        <w:tab/>
      </w:r>
      <w:r w:rsidRPr="003F3E3B">
        <w:rPr>
          <w:lang w:val="fr-FR"/>
        </w:rPr>
        <w:t>En ce qui concernait la nécessité éventuelle de prévoir des dispositions transitoires, le Sous-Comité a noté que le Groupe de travail avait conclu que, étant donné que l</w:t>
      </w:r>
      <w:r>
        <w:rPr>
          <w:lang w:val="fr-FR"/>
        </w:rPr>
        <w:t>’</w:t>
      </w:r>
      <w:r w:rsidRPr="003F3E3B">
        <w:rPr>
          <w:lang w:val="fr-FR"/>
        </w:rPr>
        <w:t>essai actuel de stabilité thermique à 75</w:t>
      </w:r>
      <w:r w:rsidR="00A943CE">
        <w:rPr>
          <w:lang w:val="fr-FR"/>
        </w:rPr>
        <w:t> </w:t>
      </w:r>
      <w:r w:rsidRPr="003F3E3B">
        <w:rPr>
          <w:lang w:val="fr-FR"/>
        </w:rPr>
        <w:t>°C n</w:t>
      </w:r>
      <w:r>
        <w:rPr>
          <w:lang w:val="fr-FR"/>
        </w:rPr>
        <w:t>’</w:t>
      </w:r>
      <w:r w:rsidRPr="003F3E3B">
        <w:rPr>
          <w:lang w:val="fr-FR"/>
        </w:rPr>
        <w:t>était pas suffisamment fiable pour garantir la stabilité à long terme, aucune disposition transitoire n</w:t>
      </w:r>
      <w:r>
        <w:rPr>
          <w:lang w:val="fr-FR"/>
        </w:rPr>
        <w:t>’</w:t>
      </w:r>
      <w:r w:rsidRPr="003F3E3B">
        <w:rPr>
          <w:lang w:val="fr-FR"/>
        </w:rPr>
        <w:t>était nécessaire</w:t>
      </w:r>
      <w:r w:rsidRPr="00DE4FBC">
        <w:rPr>
          <w:lang w:val="fr-FR"/>
        </w:rPr>
        <w:t xml:space="preserve">. </w:t>
      </w:r>
    </w:p>
    <w:p w:rsidR="00E30E39" w:rsidRPr="00DE4FBC" w:rsidRDefault="00E30E39" w:rsidP="00CD1DD3">
      <w:pPr>
        <w:pStyle w:val="SingleTxtG"/>
        <w:rPr>
          <w:lang w:val="fr-FR"/>
        </w:rPr>
      </w:pPr>
      <w:r w:rsidRPr="00DE4FBC">
        <w:rPr>
          <w:lang w:val="fr-FR"/>
        </w:rPr>
        <w:t>22.</w:t>
      </w:r>
      <w:r w:rsidRPr="00DE4FBC">
        <w:rPr>
          <w:lang w:val="fr-FR"/>
        </w:rPr>
        <w:tab/>
      </w:r>
      <w:r w:rsidRPr="00E15F43">
        <w:rPr>
          <w:lang w:val="fr-FR"/>
        </w:rPr>
        <w:t>Le Sous-Comité a enfin noté qu</w:t>
      </w:r>
      <w:r>
        <w:rPr>
          <w:lang w:val="fr-FR"/>
        </w:rPr>
        <w:t>’</w:t>
      </w:r>
      <w:r w:rsidRPr="00E15F43">
        <w:rPr>
          <w:lang w:val="fr-FR"/>
        </w:rPr>
        <w:t>une proposition révisée serait soumise à sa session suivante. Le représentant du CEFIC et l</w:t>
      </w:r>
      <w:r>
        <w:rPr>
          <w:lang w:val="fr-FR"/>
        </w:rPr>
        <w:t>’</w:t>
      </w:r>
      <w:r w:rsidRPr="00E15F43">
        <w:rPr>
          <w:lang w:val="fr-FR"/>
        </w:rPr>
        <w:t>expert de l</w:t>
      </w:r>
      <w:r>
        <w:rPr>
          <w:lang w:val="fr-FR"/>
        </w:rPr>
        <w:t>’</w:t>
      </w:r>
      <w:r w:rsidRPr="00E15F43">
        <w:rPr>
          <w:lang w:val="fr-FR"/>
        </w:rPr>
        <w:t>Allemagne ont invité les autres experts intéressés à leur communiquer leurs observations avant le 1</w:t>
      </w:r>
      <w:r w:rsidRPr="00E15F43">
        <w:rPr>
          <w:vertAlign w:val="superscript"/>
          <w:lang w:val="fr-FR"/>
        </w:rPr>
        <w:t>er</w:t>
      </w:r>
      <w:r>
        <w:rPr>
          <w:lang w:val="fr-FR"/>
        </w:rPr>
        <w:t> </w:t>
      </w:r>
      <w:r w:rsidRPr="00E15F43">
        <w:rPr>
          <w:lang w:val="fr-FR"/>
        </w:rPr>
        <w:t>février 2018</w:t>
      </w:r>
      <w:r w:rsidRPr="00DE4FBC">
        <w:rPr>
          <w:lang w:val="fr-FR"/>
        </w:rPr>
        <w:t>.</w:t>
      </w:r>
    </w:p>
    <w:p w:rsidR="00E30E39" w:rsidRPr="00DE4FBC" w:rsidRDefault="00E30E39" w:rsidP="00CD1DD3">
      <w:pPr>
        <w:pStyle w:val="H1G"/>
        <w:rPr>
          <w:lang w:val="fr-FR"/>
        </w:rPr>
      </w:pPr>
      <w:r w:rsidRPr="00DE4FBC">
        <w:rPr>
          <w:lang w:val="fr-FR"/>
        </w:rPr>
        <w:tab/>
        <w:t>F.</w:t>
      </w:r>
      <w:r w:rsidRPr="00DE4FBC">
        <w:rPr>
          <w:lang w:val="fr-FR"/>
        </w:rPr>
        <w:tab/>
      </w:r>
      <w:r w:rsidRPr="00D21CDD">
        <w:rPr>
          <w:lang w:val="fr-FR"/>
        </w:rPr>
        <w:t xml:space="preserve">Application des dispositions relatives à la sûreté aux explosifs </w:t>
      </w:r>
      <w:r w:rsidR="00A943CE">
        <w:rPr>
          <w:lang w:val="fr-FR"/>
        </w:rPr>
        <w:br/>
      </w:r>
      <w:r w:rsidRPr="00D21CDD">
        <w:rPr>
          <w:lang w:val="fr-FR"/>
        </w:rPr>
        <w:t>relevant de rubriques n.s.a</w:t>
      </w:r>
      <w:r>
        <w:rPr>
          <w:lang w:val="fr-FR"/>
        </w:rPr>
        <w:t>.</w:t>
      </w:r>
    </w:p>
    <w:p w:rsidR="00E30E39" w:rsidRPr="00DE4FBC" w:rsidRDefault="00CD1DD3" w:rsidP="00CD1DD3">
      <w:pPr>
        <w:pStyle w:val="SingleTxtG"/>
        <w:tabs>
          <w:tab w:val="left" w:pos="3119"/>
        </w:tabs>
        <w:ind w:left="3119" w:hanging="1985"/>
        <w:jc w:val="left"/>
        <w:rPr>
          <w:lang w:val="fr-FR"/>
        </w:rPr>
      </w:pPr>
      <w:r w:rsidRPr="00CD1DD3">
        <w:rPr>
          <w:i/>
        </w:rPr>
        <w:t>Document</w:t>
      </w:r>
      <w:r>
        <w:rPr>
          <w:i/>
        </w:rPr>
        <w:t>s </w:t>
      </w:r>
      <w:r w:rsidR="00E30E39" w:rsidRPr="00CD1DD3">
        <w:rPr>
          <w:iCs/>
          <w:lang w:val="fr-FR"/>
        </w:rPr>
        <w:t>:</w:t>
      </w:r>
      <w:r w:rsidR="00E30E39" w:rsidRPr="00DE4FBC">
        <w:rPr>
          <w:lang w:val="fr-FR"/>
        </w:rPr>
        <w:tab/>
        <w:t>ST/SG/AC.10/C.3/2017/47 (</w:t>
      </w:r>
      <w:r w:rsidR="00E30E39">
        <w:rPr>
          <w:lang w:val="fr-FR"/>
        </w:rPr>
        <w:t>Royaume-</w:t>
      </w:r>
      <w:r w:rsidR="00E30E39" w:rsidRPr="00DE4FBC">
        <w:rPr>
          <w:lang w:val="fr-FR"/>
        </w:rPr>
        <w:t>Uni)</w:t>
      </w:r>
      <w:r>
        <w:rPr>
          <w:lang w:val="fr-FR"/>
        </w:rPr>
        <w:t>.</w:t>
      </w:r>
    </w:p>
    <w:p w:rsidR="00E30E39" w:rsidRPr="00DE4FBC" w:rsidRDefault="00E30E39" w:rsidP="00CD1DD3">
      <w:pPr>
        <w:pStyle w:val="SingleTxtG"/>
        <w:tabs>
          <w:tab w:val="left" w:pos="3119"/>
        </w:tabs>
        <w:ind w:left="3119" w:hanging="1985"/>
        <w:jc w:val="left"/>
        <w:rPr>
          <w:lang w:val="fr-FR"/>
        </w:rPr>
      </w:pPr>
      <w:r w:rsidRPr="00D47FD1">
        <w:rPr>
          <w:i/>
          <w:iCs/>
          <w:lang w:val="fr-FR"/>
        </w:rPr>
        <w:t>Document informel</w:t>
      </w:r>
      <w:r w:rsidR="00CD1DD3">
        <w:rPr>
          <w:i/>
          <w:iCs/>
          <w:lang w:val="fr-FR"/>
        </w:rPr>
        <w:t> </w:t>
      </w:r>
      <w:r w:rsidR="00A943CE">
        <w:rPr>
          <w:iCs/>
          <w:lang w:val="fr-FR"/>
        </w:rPr>
        <w:t>:</w:t>
      </w:r>
      <w:r w:rsidRPr="00DE4FBC">
        <w:rPr>
          <w:i/>
          <w:iCs/>
          <w:lang w:val="fr-FR"/>
        </w:rPr>
        <w:tab/>
      </w:r>
      <w:r w:rsidRPr="00DE4FBC">
        <w:rPr>
          <w:iCs/>
          <w:lang w:val="fr-FR"/>
        </w:rPr>
        <w:t>INF.</w:t>
      </w:r>
      <w:r w:rsidRPr="00DE4FBC">
        <w:rPr>
          <w:lang w:val="fr-FR"/>
        </w:rPr>
        <w:t>53 (</w:t>
      </w:r>
      <w:r w:rsidRPr="00D47FD1">
        <w:rPr>
          <w:lang w:val="fr-FR"/>
        </w:rPr>
        <w:t>Président du Groupe de travail</w:t>
      </w:r>
      <w:r w:rsidRPr="00DE4FBC">
        <w:rPr>
          <w:lang w:val="fr-FR"/>
        </w:rPr>
        <w:t>)</w:t>
      </w:r>
      <w:r w:rsidR="00CD1DD3">
        <w:rPr>
          <w:lang w:val="fr-FR"/>
        </w:rPr>
        <w:t>.</w:t>
      </w:r>
    </w:p>
    <w:p w:rsidR="00E30E39" w:rsidRPr="00DE4FBC" w:rsidRDefault="00E30E39" w:rsidP="00CD1DD3">
      <w:pPr>
        <w:pStyle w:val="SingleTxtG"/>
        <w:rPr>
          <w:lang w:val="fr-FR"/>
        </w:rPr>
      </w:pPr>
      <w:r w:rsidRPr="00DE4FBC">
        <w:rPr>
          <w:lang w:val="fr-FR"/>
        </w:rPr>
        <w:lastRenderedPageBreak/>
        <w:t>23.</w:t>
      </w:r>
      <w:r w:rsidRPr="00DE4FBC">
        <w:rPr>
          <w:lang w:val="fr-FR"/>
        </w:rPr>
        <w:tab/>
      </w:r>
      <w:r w:rsidRPr="00FB0641">
        <w:rPr>
          <w:lang w:val="fr-FR"/>
        </w:rPr>
        <w:t>Notant que le Groupe de travail avait appuyé à l</w:t>
      </w:r>
      <w:r>
        <w:rPr>
          <w:lang w:val="fr-FR"/>
        </w:rPr>
        <w:t>’</w:t>
      </w:r>
      <w:r w:rsidRPr="00FB0641">
        <w:rPr>
          <w:lang w:val="fr-FR"/>
        </w:rPr>
        <w:t>unanimité la proposition figurant dans le document ST/SG/AC.10/C.3/2017/47, le Sous-Comité a décidé d</w:t>
      </w:r>
      <w:r>
        <w:rPr>
          <w:lang w:val="fr-FR"/>
        </w:rPr>
        <w:t>’</w:t>
      </w:r>
      <w:r w:rsidRPr="00FB0641">
        <w:rPr>
          <w:lang w:val="fr-FR"/>
        </w:rPr>
        <w:t>adopter l</w:t>
      </w:r>
      <w:r>
        <w:rPr>
          <w:lang w:val="fr-FR"/>
        </w:rPr>
        <w:t>’</w:t>
      </w:r>
      <w:r w:rsidRPr="00FB0641">
        <w:rPr>
          <w:lang w:val="fr-FR"/>
        </w:rPr>
        <w:t xml:space="preserve">amendement au tableau 1.4.1 tel que proposé (voir annexe </w:t>
      </w:r>
      <w:r w:rsidRPr="00DE4FBC">
        <w:rPr>
          <w:lang w:val="fr-FR"/>
        </w:rPr>
        <w:t>II).</w:t>
      </w:r>
      <w:r>
        <w:rPr>
          <w:lang w:val="fr-FR"/>
        </w:rPr>
        <w:t xml:space="preserve"> </w:t>
      </w:r>
    </w:p>
    <w:p w:rsidR="00E30E39" w:rsidRPr="00DE4FBC" w:rsidRDefault="00E30E39" w:rsidP="00CD1DD3">
      <w:pPr>
        <w:pStyle w:val="H1G"/>
        <w:rPr>
          <w:lang w:val="fr-FR"/>
        </w:rPr>
      </w:pPr>
      <w:r w:rsidRPr="00DE4FBC">
        <w:rPr>
          <w:lang w:val="fr-FR"/>
        </w:rPr>
        <w:tab/>
        <w:t>G.</w:t>
      </w:r>
      <w:r w:rsidRPr="00DE4FBC">
        <w:rPr>
          <w:lang w:val="fr-FR"/>
        </w:rPr>
        <w:tab/>
      </w:r>
      <w:r w:rsidRPr="00B93108">
        <w:rPr>
          <w:lang w:val="fr-FR"/>
        </w:rPr>
        <w:t>Révision des instructions d</w:t>
      </w:r>
      <w:r>
        <w:rPr>
          <w:lang w:val="fr-FR"/>
        </w:rPr>
        <w:t>’</w:t>
      </w:r>
      <w:r w:rsidRPr="00B93108">
        <w:rPr>
          <w:lang w:val="fr-FR"/>
        </w:rPr>
        <w:t>emballage pour les explosifs</w:t>
      </w:r>
    </w:p>
    <w:p w:rsidR="00E30E39" w:rsidRPr="00CD1DD3" w:rsidRDefault="00E30E39" w:rsidP="00CD1DD3">
      <w:pPr>
        <w:pStyle w:val="SingleTxtG"/>
        <w:tabs>
          <w:tab w:val="left" w:pos="3119"/>
        </w:tabs>
        <w:ind w:left="3119" w:hanging="1985"/>
        <w:jc w:val="left"/>
      </w:pPr>
      <w:r w:rsidRPr="00CD1DD3">
        <w:rPr>
          <w:i/>
        </w:rPr>
        <w:t>Document</w:t>
      </w:r>
      <w:r w:rsidR="00CD1DD3">
        <w:rPr>
          <w:i/>
        </w:rPr>
        <w:t>s </w:t>
      </w:r>
      <w:r w:rsidRPr="00CD1DD3">
        <w:t>:</w:t>
      </w:r>
      <w:r w:rsidRPr="00CD1DD3">
        <w:rPr>
          <w:i/>
        </w:rPr>
        <w:tab/>
      </w:r>
      <w:r w:rsidRPr="00CD1DD3">
        <w:t>ST/SG/AC.10/C.3/2017/48 (Royaume-Uni)</w:t>
      </w:r>
      <w:r w:rsidR="00CD1DD3">
        <w:t>.</w:t>
      </w:r>
    </w:p>
    <w:p w:rsidR="00E30E39" w:rsidRPr="00DE4FBC" w:rsidRDefault="00E30E39" w:rsidP="00CD1DD3">
      <w:pPr>
        <w:pStyle w:val="SingleTxtG"/>
        <w:tabs>
          <w:tab w:val="left" w:pos="3119"/>
        </w:tabs>
        <w:ind w:left="3119" w:hanging="1985"/>
        <w:jc w:val="left"/>
        <w:rPr>
          <w:lang w:val="fr-FR"/>
        </w:rPr>
      </w:pPr>
      <w:r>
        <w:rPr>
          <w:i/>
          <w:iCs/>
          <w:lang w:val="fr-FR"/>
        </w:rPr>
        <w:t>D</w:t>
      </w:r>
      <w:r w:rsidRPr="00DE4FBC">
        <w:rPr>
          <w:i/>
          <w:iCs/>
          <w:lang w:val="fr-FR"/>
        </w:rPr>
        <w:t>ocuments</w:t>
      </w:r>
      <w:r>
        <w:rPr>
          <w:i/>
          <w:iCs/>
          <w:lang w:val="fr-FR"/>
        </w:rPr>
        <w:t xml:space="preserve"> </w:t>
      </w:r>
      <w:r w:rsidRPr="00D47FD1">
        <w:rPr>
          <w:i/>
          <w:iCs/>
          <w:lang w:val="fr-FR"/>
        </w:rPr>
        <w:t>informel</w:t>
      </w:r>
      <w:r>
        <w:rPr>
          <w:i/>
          <w:iCs/>
          <w:lang w:val="fr-FR"/>
        </w:rPr>
        <w:t>s</w:t>
      </w:r>
      <w:r w:rsidR="00CD1DD3">
        <w:rPr>
          <w:i/>
          <w:iCs/>
          <w:lang w:val="fr-FR"/>
        </w:rPr>
        <w:t> </w:t>
      </w:r>
      <w:r w:rsidR="00CD1DD3">
        <w:rPr>
          <w:iCs/>
          <w:lang w:val="fr-FR"/>
        </w:rPr>
        <w:t>:</w:t>
      </w:r>
      <w:r w:rsidRPr="00DE4FBC">
        <w:rPr>
          <w:i/>
          <w:iCs/>
          <w:lang w:val="fr-FR"/>
        </w:rPr>
        <w:tab/>
      </w:r>
      <w:r w:rsidRPr="00DE4FBC">
        <w:rPr>
          <w:lang w:val="fr-FR"/>
        </w:rPr>
        <w:t>INF.40 (Canada)</w:t>
      </w:r>
      <w:r w:rsidR="00CD1DD3">
        <w:rPr>
          <w:lang w:val="fr-FR"/>
        </w:rPr>
        <w:br/>
      </w:r>
      <w:r w:rsidRPr="00DE4FBC">
        <w:rPr>
          <w:iCs/>
          <w:lang w:val="fr-FR"/>
        </w:rPr>
        <w:t>INF.</w:t>
      </w:r>
      <w:r w:rsidRPr="00DE4FBC">
        <w:rPr>
          <w:lang w:val="fr-FR"/>
        </w:rPr>
        <w:t>53 (</w:t>
      </w:r>
      <w:r w:rsidRPr="00D47FD1">
        <w:rPr>
          <w:lang w:val="fr-FR"/>
        </w:rPr>
        <w:t>Président du Groupe de travail</w:t>
      </w:r>
      <w:r w:rsidRPr="00DE4FBC">
        <w:rPr>
          <w:lang w:val="fr-FR"/>
        </w:rPr>
        <w:t>)</w:t>
      </w:r>
      <w:r w:rsidR="00CD1DD3">
        <w:rPr>
          <w:lang w:val="fr-FR"/>
        </w:rPr>
        <w:t>.</w:t>
      </w:r>
    </w:p>
    <w:p w:rsidR="00E30E39" w:rsidRPr="00B93108" w:rsidRDefault="00E30E39" w:rsidP="00CD1DD3">
      <w:pPr>
        <w:pStyle w:val="SingleTxtG"/>
        <w:rPr>
          <w:lang w:val="fr-FR"/>
        </w:rPr>
      </w:pPr>
      <w:r w:rsidRPr="00DE4FBC">
        <w:rPr>
          <w:lang w:val="fr-FR"/>
        </w:rPr>
        <w:t>24.</w:t>
      </w:r>
      <w:r w:rsidRPr="00DE4FBC">
        <w:rPr>
          <w:lang w:val="fr-FR"/>
        </w:rPr>
        <w:tab/>
      </w:r>
      <w:r w:rsidRPr="00B93108">
        <w:rPr>
          <w:lang w:val="fr-FR"/>
        </w:rPr>
        <w:t>Le Sous-Comité a noté que le Groupe de travail n</w:t>
      </w:r>
      <w:r>
        <w:rPr>
          <w:lang w:val="fr-FR"/>
        </w:rPr>
        <w:t>’</w:t>
      </w:r>
      <w:r w:rsidRPr="00B93108">
        <w:rPr>
          <w:lang w:val="fr-FR"/>
        </w:rPr>
        <w:t>était pas parvenu à un consensus sur les propositions figurant dans le document ST/SG/AC.10/C.3/2017/48 et dans le document informel INF.40, bien qu</w:t>
      </w:r>
      <w:r>
        <w:rPr>
          <w:lang w:val="fr-FR"/>
        </w:rPr>
        <w:t>’</w:t>
      </w:r>
      <w:r w:rsidRPr="00B93108">
        <w:rPr>
          <w:lang w:val="fr-FR"/>
        </w:rPr>
        <w:t>un certain soutien ait été exprimé en faveur de ces deux documents. Le Sous-Comité a été informé que l</w:t>
      </w:r>
      <w:r>
        <w:rPr>
          <w:lang w:val="fr-FR"/>
        </w:rPr>
        <w:t>’</w:t>
      </w:r>
      <w:r w:rsidRPr="00B93108">
        <w:rPr>
          <w:lang w:val="fr-FR"/>
        </w:rPr>
        <w:t>expert du Royaume-Uni examinerait les observations formulées par le Groupe de travail et pourrait soumettre une proposition révisée à la session suivante</w:t>
      </w:r>
      <w:r>
        <w:rPr>
          <w:lang w:val="fr-FR"/>
        </w:rPr>
        <w:t>.</w:t>
      </w:r>
    </w:p>
    <w:p w:rsidR="00E30E39" w:rsidRPr="00DE4FBC" w:rsidRDefault="00E30E39" w:rsidP="00CD1DD3">
      <w:pPr>
        <w:pStyle w:val="H1G"/>
        <w:rPr>
          <w:lang w:val="fr-FR"/>
        </w:rPr>
      </w:pPr>
      <w:r w:rsidRPr="00DE4FBC">
        <w:rPr>
          <w:lang w:val="fr-FR"/>
        </w:rPr>
        <w:tab/>
        <w:t>H.</w:t>
      </w:r>
      <w:r w:rsidRPr="00DE4FBC">
        <w:rPr>
          <w:lang w:val="fr-FR"/>
        </w:rPr>
        <w:tab/>
      </w:r>
      <w:r w:rsidRPr="00B93108">
        <w:rPr>
          <w:lang w:val="fr-FR"/>
        </w:rPr>
        <w:t>Classement des articles sous le N</w:t>
      </w:r>
      <w:r w:rsidRPr="00B93108">
        <w:rPr>
          <w:vertAlign w:val="superscript"/>
          <w:lang w:val="fr-FR"/>
        </w:rPr>
        <w:t>o</w:t>
      </w:r>
      <w:r w:rsidR="00CD1DD3">
        <w:rPr>
          <w:lang w:val="fr-FR"/>
        </w:rPr>
        <w:t> </w:t>
      </w:r>
      <w:r w:rsidRPr="00B93108">
        <w:rPr>
          <w:lang w:val="fr-FR"/>
        </w:rPr>
        <w:t>ONU 0349</w:t>
      </w:r>
    </w:p>
    <w:p w:rsidR="00E30E39" w:rsidRPr="00DE4FBC" w:rsidRDefault="00E30E39" w:rsidP="00CD1DD3">
      <w:pPr>
        <w:pStyle w:val="SingleTxtG"/>
        <w:rPr>
          <w:lang w:val="fr-FR"/>
        </w:rPr>
      </w:pPr>
      <w:r w:rsidRPr="00DE4FBC">
        <w:rPr>
          <w:lang w:val="fr-FR"/>
        </w:rPr>
        <w:t>25.</w:t>
      </w:r>
      <w:r w:rsidRPr="00DE4FBC">
        <w:rPr>
          <w:lang w:val="fr-FR"/>
        </w:rPr>
        <w:tab/>
      </w:r>
      <w:r w:rsidRPr="00B5193C">
        <w:rPr>
          <w:lang w:val="fr-FR"/>
        </w:rPr>
        <w:t>Aucun document n</w:t>
      </w:r>
      <w:r>
        <w:rPr>
          <w:lang w:val="fr-FR"/>
        </w:rPr>
        <w:t>’</w:t>
      </w:r>
      <w:r w:rsidRPr="00B5193C">
        <w:rPr>
          <w:lang w:val="fr-FR"/>
        </w:rPr>
        <w:t>ayant été soumis au titre de ce point de l</w:t>
      </w:r>
      <w:r>
        <w:rPr>
          <w:lang w:val="fr-FR"/>
        </w:rPr>
        <w:t>’</w:t>
      </w:r>
      <w:r w:rsidRPr="00B5193C">
        <w:rPr>
          <w:lang w:val="fr-FR"/>
        </w:rPr>
        <w:t>ordre du jour, cette question n</w:t>
      </w:r>
      <w:r>
        <w:rPr>
          <w:lang w:val="fr-FR"/>
        </w:rPr>
        <w:t>’</w:t>
      </w:r>
      <w:r w:rsidRPr="00B5193C">
        <w:rPr>
          <w:lang w:val="fr-FR"/>
        </w:rPr>
        <w:t>a pas été abordée</w:t>
      </w:r>
      <w:r w:rsidRPr="00DE4FBC">
        <w:rPr>
          <w:lang w:val="fr-FR"/>
        </w:rPr>
        <w:t>.</w:t>
      </w:r>
    </w:p>
    <w:p w:rsidR="00E30E39" w:rsidRPr="00DE4FBC" w:rsidRDefault="00E30E39" w:rsidP="00CD1DD3">
      <w:pPr>
        <w:pStyle w:val="H1G"/>
        <w:rPr>
          <w:lang w:val="fr-FR"/>
        </w:rPr>
      </w:pPr>
      <w:r w:rsidRPr="00DE4FBC">
        <w:rPr>
          <w:lang w:val="fr-FR"/>
        </w:rPr>
        <w:tab/>
        <w:t>I.</w:t>
      </w:r>
      <w:r w:rsidRPr="00DE4FBC">
        <w:rPr>
          <w:lang w:val="fr-FR"/>
        </w:rPr>
        <w:tab/>
      </w:r>
      <w:r w:rsidRPr="007A7DAB">
        <w:rPr>
          <w:lang w:val="fr-FR"/>
        </w:rPr>
        <w:t>Révision du chapitre 2.1 du SGH</w:t>
      </w:r>
    </w:p>
    <w:p w:rsidR="00E30E39" w:rsidRPr="00DE4FBC" w:rsidRDefault="00E30E39" w:rsidP="00CD1DD3">
      <w:pPr>
        <w:pStyle w:val="SingleTxtG"/>
        <w:tabs>
          <w:tab w:val="left" w:pos="3119"/>
        </w:tabs>
        <w:ind w:left="3119" w:hanging="1985"/>
        <w:jc w:val="left"/>
        <w:rPr>
          <w:lang w:val="fr-FR"/>
        </w:rPr>
      </w:pPr>
      <w:r w:rsidRPr="0019798A">
        <w:rPr>
          <w:i/>
          <w:iCs/>
          <w:lang w:val="fr-FR"/>
        </w:rPr>
        <w:t>Documents informels</w:t>
      </w:r>
      <w:r w:rsidR="00CD1DD3">
        <w:rPr>
          <w:i/>
          <w:iCs/>
          <w:lang w:val="fr-FR"/>
        </w:rPr>
        <w:t> </w:t>
      </w:r>
      <w:r w:rsidR="00CD1DD3">
        <w:t>:</w:t>
      </w:r>
      <w:r w:rsidRPr="00DE4FBC">
        <w:rPr>
          <w:i/>
          <w:iCs/>
          <w:lang w:val="fr-FR"/>
        </w:rPr>
        <w:tab/>
      </w:r>
      <w:r w:rsidRPr="00DE4FBC">
        <w:rPr>
          <w:lang w:val="fr-FR"/>
        </w:rPr>
        <w:t>INF.20 (</w:t>
      </w:r>
      <w:r>
        <w:rPr>
          <w:lang w:val="fr-FR"/>
        </w:rPr>
        <w:t>Suède</w:t>
      </w:r>
      <w:r w:rsidRPr="00DE4FBC">
        <w:rPr>
          <w:lang w:val="fr-FR"/>
        </w:rPr>
        <w:t>)</w:t>
      </w:r>
      <w:r w:rsidR="00CD1DD3">
        <w:rPr>
          <w:lang w:val="fr-FR"/>
        </w:rPr>
        <w:br/>
      </w:r>
      <w:r w:rsidRPr="00DE4FBC">
        <w:rPr>
          <w:iCs/>
          <w:lang w:val="fr-FR"/>
        </w:rPr>
        <w:t>INF.53 (</w:t>
      </w:r>
      <w:r w:rsidRPr="0019798A">
        <w:rPr>
          <w:iCs/>
          <w:lang w:val="fr-FR"/>
        </w:rPr>
        <w:t>Président du Groupe de travail</w:t>
      </w:r>
      <w:r w:rsidRPr="00DE4FBC">
        <w:rPr>
          <w:iCs/>
          <w:lang w:val="fr-FR"/>
        </w:rPr>
        <w:t>)</w:t>
      </w:r>
      <w:r w:rsidR="00CD1DD3">
        <w:rPr>
          <w:iCs/>
          <w:lang w:val="fr-FR"/>
        </w:rPr>
        <w:br/>
      </w:r>
      <w:r w:rsidRPr="00DE4FBC">
        <w:rPr>
          <w:iCs/>
          <w:lang w:val="fr-FR"/>
        </w:rPr>
        <w:t>INF.57 (</w:t>
      </w:r>
      <w:r w:rsidRPr="0019798A">
        <w:rPr>
          <w:iCs/>
          <w:lang w:val="fr-FR"/>
        </w:rPr>
        <w:t>Suède</w:t>
      </w:r>
      <w:r w:rsidRPr="00DE4FBC">
        <w:rPr>
          <w:iCs/>
          <w:lang w:val="fr-FR"/>
        </w:rPr>
        <w:t>)</w:t>
      </w:r>
      <w:r w:rsidR="00CD1DD3">
        <w:rPr>
          <w:iCs/>
          <w:lang w:val="fr-FR"/>
        </w:rPr>
        <w:t>.</w:t>
      </w:r>
    </w:p>
    <w:p w:rsidR="00E30E39" w:rsidRPr="00DE4FBC" w:rsidRDefault="00E30E39" w:rsidP="007C6B0C">
      <w:pPr>
        <w:pStyle w:val="SingleTxtG"/>
        <w:rPr>
          <w:lang w:val="fr-FR"/>
        </w:rPr>
      </w:pPr>
      <w:r w:rsidRPr="00DE4FBC">
        <w:rPr>
          <w:lang w:val="fr-FR"/>
        </w:rPr>
        <w:t>26.</w:t>
      </w:r>
      <w:r w:rsidRPr="00DE4FBC">
        <w:rPr>
          <w:lang w:val="fr-FR"/>
        </w:rPr>
        <w:tab/>
      </w:r>
      <w:r w:rsidRPr="00750B28">
        <w:rPr>
          <w:lang w:val="fr-FR"/>
        </w:rPr>
        <w:t>Le Sous-Comité a noté que le Groupe de travail avait examiné</w:t>
      </w:r>
      <w:r>
        <w:rPr>
          <w:lang w:val="fr-FR"/>
        </w:rPr>
        <w:t>,</w:t>
      </w:r>
      <w:r w:rsidRPr="00163352">
        <w:rPr>
          <w:lang w:val="fr-FR"/>
        </w:rPr>
        <w:t xml:space="preserve"> </w:t>
      </w:r>
      <w:r w:rsidRPr="00750B28">
        <w:rPr>
          <w:lang w:val="fr-FR"/>
        </w:rPr>
        <w:t>lors d</w:t>
      </w:r>
      <w:r>
        <w:rPr>
          <w:lang w:val="fr-FR"/>
        </w:rPr>
        <w:t>’</w:t>
      </w:r>
      <w:r w:rsidRPr="00750B28">
        <w:rPr>
          <w:lang w:val="fr-FR"/>
        </w:rPr>
        <w:t>une session informelle tenue le jeudi 30</w:t>
      </w:r>
      <w:r w:rsidR="00A943CE">
        <w:rPr>
          <w:lang w:val="fr-FR"/>
        </w:rPr>
        <w:t> </w:t>
      </w:r>
      <w:r w:rsidRPr="00750B28">
        <w:rPr>
          <w:lang w:val="fr-FR"/>
        </w:rPr>
        <w:t>décembre</w:t>
      </w:r>
      <w:r>
        <w:rPr>
          <w:lang w:val="fr-FR"/>
        </w:rPr>
        <w:t>,</w:t>
      </w:r>
      <w:r w:rsidRPr="00750B28">
        <w:rPr>
          <w:lang w:val="fr-FR"/>
        </w:rPr>
        <w:t xml:space="preserve"> les deux différents projets de classification des explosifs présentés dans les annexes du document INF.20</w:t>
      </w:r>
      <w:r w:rsidRPr="00DE4FBC">
        <w:rPr>
          <w:lang w:val="fr-FR"/>
        </w:rPr>
        <w:t xml:space="preserve">. </w:t>
      </w:r>
    </w:p>
    <w:p w:rsidR="00E30E39" w:rsidRPr="00DE4FBC" w:rsidRDefault="00E30E39" w:rsidP="007C6B0C">
      <w:pPr>
        <w:pStyle w:val="SingleTxtG"/>
        <w:rPr>
          <w:lang w:val="fr-FR"/>
        </w:rPr>
      </w:pPr>
      <w:r w:rsidRPr="00DE4FBC">
        <w:rPr>
          <w:lang w:val="fr-FR"/>
        </w:rPr>
        <w:t>27.</w:t>
      </w:r>
      <w:r w:rsidRPr="00DE4FBC">
        <w:rPr>
          <w:lang w:val="fr-FR"/>
        </w:rPr>
        <w:tab/>
      </w:r>
      <w:r w:rsidRPr="00362996">
        <w:rPr>
          <w:lang w:val="fr-FR"/>
        </w:rPr>
        <w:t>Les débats qui ont suivi, auxquels a participé le groupe informel par correspondance sur la révision du chapitre</w:t>
      </w:r>
      <w:r w:rsidR="00A943CE">
        <w:rPr>
          <w:lang w:val="fr-FR"/>
        </w:rPr>
        <w:t> </w:t>
      </w:r>
      <w:r w:rsidRPr="00362996">
        <w:rPr>
          <w:lang w:val="fr-FR"/>
        </w:rPr>
        <w:t xml:space="preserve">2.1 du SGH, ont abouti à un système et à des critères de classification provisoirement uniques, </w:t>
      </w:r>
      <w:r>
        <w:rPr>
          <w:lang w:val="fr-FR"/>
        </w:rPr>
        <w:t xml:space="preserve">tel que décrit </w:t>
      </w:r>
      <w:r w:rsidRPr="00362996">
        <w:rPr>
          <w:lang w:val="fr-FR"/>
        </w:rPr>
        <w:t>dans le document informel INF.57</w:t>
      </w:r>
      <w:r w:rsidRPr="00DE4FBC">
        <w:rPr>
          <w:lang w:val="fr-FR"/>
        </w:rPr>
        <w:t>.</w:t>
      </w:r>
    </w:p>
    <w:p w:rsidR="00E30E39" w:rsidRPr="00DE4FBC" w:rsidRDefault="00E30E39" w:rsidP="007C6B0C">
      <w:pPr>
        <w:pStyle w:val="SingleTxtG"/>
        <w:rPr>
          <w:lang w:val="fr-FR"/>
        </w:rPr>
      </w:pPr>
      <w:r w:rsidRPr="00DE4FBC">
        <w:rPr>
          <w:lang w:val="fr-FR"/>
        </w:rPr>
        <w:t>28.</w:t>
      </w:r>
      <w:r w:rsidRPr="00DE4FBC">
        <w:rPr>
          <w:lang w:val="fr-FR"/>
        </w:rPr>
        <w:tab/>
      </w:r>
      <w:r w:rsidRPr="0019264C">
        <w:rPr>
          <w:lang w:val="fr-FR"/>
        </w:rPr>
        <w:t>Le représentant du SAAMI a expliqué que l</w:t>
      </w:r>
      <w:r>
        <w:rPr>
          <w:lang w:val="fr-FR"/>
        </w:rPr>
        <w:t>’</w:t>
      </w:r>
      <w:r w:rsidRPr="0019264C">
        <w:rPr>
          <w:lang w:val="fr-FR"/>
        </w:rPr>
        <w:t>idée de regrouper la plupart des divisions en une seule sous-catégorie dans le SGH était destinée à la communication des risques et qu</w:t>
      </w:r>
      <w:r>
        <w:rPr>
          <w:lang w:val="fr-FR"/>
        </w:rPr>
        <w:t>’</w:t>
      </w:r>
      <w:r w:rsidRPr="0019264C">
        <w:rPr>
          <w:lang w:val="fr-FR"/>
        </w:rPr>
        <w:t>il conviendrait d</w:t>
      </w:r>
      <w:r>
        <w:rPr>
          <w:lang w:val="fr-FR"/>
        </w:rPr>
        <w:t>’</w:t>
      </w:r>
      <w:r w:rsidRPr="0019264C">
        <w:rPr>
          <w:lang w:val="fr-FR"/>
        </w:rPr>
        <w:t xml:space="preserve">envisager de remédier aux </w:t>
      </w:r>
      <w:r>
        <w:rPr>
          <w:lang w:val="fr-FR"/>
        </w:rPr>
        <w:t xml:space="preserve">éventuelles </w:t>
      </w:r>
      <w:r w:rsidRPr="0019264C">
        <w:rPr>
          <w:lang w:val="fr-FR"/>
        </w:rPr>
        <w:t>conséquences imprévues</w:t>
      </w:r>
      <w:r w:rsidRPr="00DE4FBC">
        <w:rPr>
          <w:lang w:val="fr-FR"/>
        </w:rPr>
        <w:t xml:space="preserve">. </w:t>
      </w:r>
    </w:p>
    <w:p w:rsidR="00E30E39" w:rsidRPr="00DE4FBC" w:rsidRDefault="00E30E39" w:rsidP="007C6B0C">
      <w:pPr>
        <w:pStyle w:val="SingleTxtG"/>
        <w:rPr>
          <w:lang w:val="fr-FR"/>
        </w:rPr>
      </w:pPr>
      <w:r w:rsidRPr="00DE4FBC">
        <w:rPr>
          <w:iCs/>
          <w:lang w:val="fr-FR"/>
        </w:rPr>
        <w:t>29.</w:t>
      </w:r>
      <w:r w:rsidRPr="00DE4FBC">
        <w:rPr>
          <w:lang w:val="fr-FR"/>
        </w:rPr>
        <w:tab/>
      </w:r>
      <w:r w:rsidRPr="003D1FD9">
        <w:rPr>
          <w:lang w:val="fr-FR"/>
        </w:rPr>
        <w:t>Le Sous-Comité a noté que les conclusions des débats du Groupe de travail et du groupe de travail informel par correspondance sur la révision du chapitre</w:t>
      </w:r>
      <w:r w:rsidR="00A943CE">
        <w:rPr>
          <w:lang w:val="fr-FR"/>
        </w:rPr>
        <w:t> </w:t>
      </w:r>
      <w:r w:rsidRPr="003D1FD9">
        <w:rPr>
          <w:lang w:val="fr-FR"/>
        </w:rPr>
        <w:t xml:space="preserve">2.1 seraient examinées par le Sous-Comité SGH à sa trente-quatrième session (voir </w:t>
      </w:r>
      <w:r>
        <w:rPr>
          <w:lang w:val="fr-FR"/>
        </w:rPr>
        <w:t xml:space="preserve">le document </w:t>
      </w:r>
      <w:r w:rsidRPr="003D1FD9">
        <w:rPr>
          <w:lang w:val="fr-FR"/>
        </w:rPr>
        <w:t>ST/</w:t>
      </w:r>
      <w:r w:rsidR="00A943CE">
        <w:rPr>
          <w:lang w:val="fr-FR"/>
        </w:rPr>
        <w:t>SG/AC.10/C.4/68, par. </w:t>
      </w:r>
      <w:r w:rsidRPr="003D1FD9">
        <w:rPr>
          <w:lang w:val="fr-FR"/>
        </w:rPr>
        <w:t>14 à 19</w:t>
      </w:r>
      <w:r w:rsidRPr="00DE4FBC">
        <w:rPr>
          <w:lang w:val="fr-FR"/>
        </w:rPr>
        <w:t>).</w:t>
      </w:r>
    </w:p>
    <w:p w:rsidR="00E30E39" w:rsidRPr="00DE4FBC" w:rsidRDefault="007C6B0C" w:rsidP="007C6B0C">
      <w:pPr>
        <w:pStyle w:val="SingleTxtG"/>
        <w:rPr>
          <w:lang w:val="fr-FR"/>
        </w:rPr>
      </w:pPr>
      <w:r>
        <w:rPr>
          <w:lang w:val="fr-FR"/>
        </w:rPr>
        <w:t>30.</w:t>
      </w:r>
      <w:r w:rsidR="00E30E39" w:rsidRPr="00DE4FBC">
        <w:rPr>
          <w:lang w:val="fr-FR"/>
        </w:rPr>
        <w:tab/>
      </w:r>
      <w:r w:rsidR="00E30E39" w:rsidRPr="001561F2">
        <w:rPr>
          <w:lang w:val="fr-FR"/>
        </w:rPr>
        <w:t>Le Sous-Comité a estimé qu</w:t>
      </w:r>
      <w:r w:rsidR="00E30E39">
        <w:rPr>
          <w:lang w:val="fr-FR"/>
        </w:rPr>
        <w:t>’</w:t>
      </w:r>
      <w:r w:rsidR="00E30E39" w:rsidRPr="001561F2">
        <w:rPr>
          <w:lang w:val="fr-FR"/>
        </w:rPr>
        <w:t>il conviendrait d</w:t>
      </w:r>
      <w:r w:rsidR="00E30E39">
        <w:rPr>
          <w:lang w:val="fr-FR"/>
        </w:rPr>
        <w:t>’</w:t>
      </w:r>
      <w:r w:rsidR="00E30E39" w:rsidRPr="001561F2">
        <w:rPr>
          <w:lang w:val="fr-FR"/>
        </w:rPr>
        <w:t>examiner ce point conjointement avec le Sous-Comité SGH lors d</w:t>
      </w:r>
      <w:r w:rsidR="00E30E39">
        <w:rPr>
          <w:lang w:val="fr-FR"/>
        </w:rPr>
        <w:t>’</w:t>
      </w:r>
      <w:r w:rsidR="00E30E39" w:rsidRPr="001561F2">
        <w:rPr>
          <w:lang w:val="fr-FR"/>
        </w:rPr>
        <w:t>une réunion conjointe des sous-comités TMD et SGH en juillet 2018. Sous réserve de l</w:t>
      </w:r>
      <w:r w:rsidR="00E30E39">
        <w:rPr>
          <w:lang w:val="fr-FR"/>
        </w:rPr>
        <w:t>’</w:t>
      </w:r>
      <w:r w:rsidR="00E30E39" w:rsidRPr="001561F2">
        <w:rPr>
          <w:lang w:val="fr-FR"/>
        </w:rPr>
        <w:t>accord du Sous-Comité SGH sur cette proposition, les membres des bureaux des deux sous-comités pourraient décider</w:t>
      </w:r>
      <w:r w:rsidR="00E30E39">
        <w:rPr>
          <w:lang w:val="fr-FR"/>
        </w:rPr>
        <w:t>,</w:t>
      </w:r>
      <w:r w:rsidR="00E30E39" w:rsidRPr="001561F2">
        <w:rPr>
          <w:lang w:val="fr-FR"/>
        </w:rPr>
        <w:t xml:space="preserve"> après la date limite de soumission des documents</w:t>
      </w:r>
      <w:r w:rsidR="00E30E39">
        <w:rPr>
          <w:lang w:val="fr-FR"/>
        </w:rPr>
        <w:t>,</w:t>
      </w:r>
      <w:r w:rsidR="00E30E39" w:rsidRPr="001561F2">
        <w:rPr>
          <w:lang w:val="fr-FR"/>
        </w:rPr>
        <w:t xml:space="preserve"> de la date</w:t>
      </w:r>
      <w:r w:rsidR="00E30E39" w:rsidRPr="00A4050A">
        <w:rPr>
          <w:lang w:val="fr-FR"/>
        </w:rPr>
        <w:t xml:space="preserve"> </w:t>
      </w:r>
      <w:r w:rsidR="00E30E39">
        <w:rPr>
          <w:lang w:val="fr-FR"/>
        </w:rPr>
        <w:t>de</w:t>
      </w:r>
      <w:r w:rsidR="00E30E39" w:rsidRPr="001561F2">
        <w:rPr>
          <w:lang w:val="fr-FR"/>
        </w:rPr>
        <w:t xml:space="preserve"> la session conjointe, du temps nécessaire et des sujets à examiner (voir également le rapport du Sous-Comité SGH sur les travaux de sa trente-quatrième session, document ST/SG/AC.10/C.4/68, par.</w:t>
      </w:r>
      <w:r w:rsidR="00A943CE">
        <w:rPr>
          <w:lang w:val="fr-FR"/>
        </w:rPr>
        <w:t> </w:t>
      </w:r>
      <w:r w:rsidR="00E30E39" w:rsidRPr="001561F2">
        <w:rPr>
          <w:lang w:val="fr-FR"/>
        </w:rPr>
        <w:t>62</w:t>
      </w:r>
      <w:r w:rsidR="00E30E39" w:rsidRPr="00DE4FBC">
        <w:rPr>
          <w:lang w:val="fr-FR"/>
        </w:rPr>
        <w:t xml:space="preserve">). </w:t>
      </w:r>
    </w:p>
    <w:p w:rsidR="00E30E39" w:rsidRPr="00DE4FBC" w:rsidRDefault="00E30E39" w:rsidP="007C6B0C">
      <w:pPr>
        <w:pStyle w:val="H1G"/>
        <w:rPr>
          <w:lang w:val="fr-FR"/>
        </w:rPr>
      </w:pPr>
      <w:r w:rsidRPr="00DE4FBC">
        <w:rPr>
          <w:lang w:val="fr-FR"/>
        </w:rPr>
        <w:lastRenderedPageBreak/>
        <w:tab/>
        <w:t>J.</w:t>
      </w:r>
      <w:r w:rsidRPr="00DE4FBC">
        <w:rPr>
          <w:lang w:val="fr-FR"/>
        </w:rPr>
        <w:tab/>
      </w:r>
      <w:r>
        <w:rPr>
          <w:lang w:val="fr-FR"/>
        </w:rPr>
        <w:t>Divers</w:t>
      </w:r>
    </w:p>
    <w:p w:rsidR="00E30E39" w:rsidRPr="00DE4FBC" w:rsidRDefault="00E30E39" w:rsidP="007C6B0C">
      <w:pPr>
        <w:pStyle w:val="H23G"/>
        <w:rPr>
          <w:lang w:val="fr-FR"/>
        </w:rPr>
      </w:pPr>
      <w:r w:rsidRPr="00DE4FBC">
        <w:rPr>
          <w:lang w:val="fr-FR"/>
        </w:rPr>
        <w:tab/>
        <w:t>1</w:t>
      </w:r>
      <w:r w:rsidRPr="00DE4FBC">
        <w:rPr>
          <w:i/>
          <w:lang w:val="fr-FR"/>
        </w:rPr>
        <w:t>.</w:t>
      </w:r>
      <w:r w:rsidRPr="00DE4FBC">
        <w:rPr>
          <w:lang w:val="fr-FR"/>
        </w:rPr>
        <w:tab/>
      </w:r>
      <w:r>
        <w:rPr>
          <w:lang w:val="fr-FR"/>
        </w:rPr>
        <w:t>T</w:t>
      </w:r>
      <w:r w:rsidRPr="001561F2">
        <w:rPr>
          <w:lang w:val="fr-FR"/>
        </w:rPr>
        <w:t>ransport d</w:t>
      </w:r>
      <w:r>
        <w:rPr>
          <w:lang w:val="fr-FR"/>
        </w:rPr>
        <w:t>’</w:t>
      </w:r>
      <w:r w:rsidRPr="001561F2">
        <w:rPr>
          <w:lang w:val="fr-FR"/>
        </w:rPr>
        <w:t xml:space="preserve">expéditions contrôlées </w:t>
      </w:r>
      <w:r>
        <w:rPr>
          <w:lang w:val="fr-FR"/>
        </w:rPr>
        <w:t>de petites</w:t>
      </w:r>
      <w:r w:rsidRPr="001561F2">
        <w:rPr>
          <w:lang w:val="fr-FR"/>
        </w:rPr>
        <w:t xml:space="preserve"> </w:t>
      </w:r>
      <w:r w:rsidRPr="00DE4FBC">
        <w:rPr>
          <w:lang w:val="fr-FR"/>
        </w:rPr>
        <w:t>quantit</w:t>
      </w:r>
      <w:r>
        <w:rPr>
          <w:lang w:val="fr-FR"/>
        </w:rPr>
        <w:t>é</w:t>
      </w:r>
      <w:r w:rsidRPr="00DE4FBC">
        <w:rPr>
          <w:lang w:val="fr-FR"/>
        </w:rPr>
        <w:t xml:space="preserve">s </w:t>
      </w:r>
      <w:r>
        <w:rPr>
          <w:lang w:val="fr-FR"/>
        </w:rPr>
        <w:t>d’</w:t>
      </w:r>
      <w:r w:rsidRPr="001561F2">
        <w:rPr>
          <w:lang w:val="fr-FR"/>
        </w:rPr>
        <w:t xml:space="preserve">explosifs </w:t>
      </w:r>
    </w:p>
    <w:p w:rsidR="00E30E39" w:rsidRPr="007C6B0C" w:rsidRDefault="00CD1DD3" w:rsidP="007C6B0C">
      <w:pPr>
        <w:pStyle w:val="SingleTxtG"/>
        <w:tabs>
          <w:tab w:val="left" w:pos="3119"/>
        </w:tabs>
        <w:ind w:left="3119" w:hanging="1985"/>
        <w:jc w:val="left"/>
      </w:pPr>
      <w:r w:rsidRPr="00CD1DD3">
        <w:rPr>
          <w:i/>
        </w:rPr>
        <w:t>Document</w:t>
      </w:r>
      <w:r>
        <w:rPr>
          <w:i/>
        </w:rPr>
        <w:t>s </w:t>
      </w:r>
      <w:r w:rsidRPr="00CD1DD3">
        <w:rPr>
          <w:iCs/>
          <w:lang w:val="fr-FR"/>
        </w:rPr>
        <w:t>:</w:t>
      </w:r>
      <w:r w:rsidR="007C6B0C">
        <w:tab/>
      </w:r>
      <w:r w:rsidR="00E30E39" w:rsidRPr="007C6B0C">
        <w:t>ST/SG/AC.10/C.3/2017/51 (SAAMI)</w:t>
      </w:r>
      <w:r w:rsidR="007C6B0C">
        <w:t>.</w:t>
      </w:r>
    </w:p>
    <w:p w:rsidR="00E30E39" w:rsidRPr="00051C56" w:rsidRDefault="00E30E39" w:rsidP="007C6B0C">
      <w:pPr>
        <w:pStyle w:val="SingleTxtG"/>
        <w:tabs>
          <w:tab w:val="left" w:pos="3119"/>
        </w:tabs>
        <w:ind w:left="3119" w:hanging="1985"/>
        <w:jc w:val="left"/>
        <w:rPr>
          <w:lang w:val="fr-FR"/>
        </w:rPr>
      </w:pPr>
      <w:r w:rsidRPr="00051C56">
        <w:rPr>
          <w:i/>
          <w:iCs/>
          <w:lang w:val="fr-FR"/>
        </w:rPr>
        <w:t>Document informel</w:t>
      </w:r>
      <w:r w:rsidR="007C6B0C">
        <w:rPr>
          <w:i/>
          <w:iCs/>
          <w:lang w:val="fr-FR"/>
        </w:rPr>
        <w:t> </w:t>
      </w:r>
      <w:r w:rsidR="007C6B0C">
        <w:rPr>
          <w:iCs/>
          <w:lang w:val="fr-FR"/>
        </w:rPr>
        <w:t>:</w:t>
      </w:r>
      <w:r w:rsidRPr="00051C56">
        <w:rPr>
          <w:i/>
          <w:iCs/>
          <w:lang w:val="fr-FR"/>
        </w:rPr>
        <w:tab/>
      </w:r>
      <w:r w:rsidRPr="00051C56">
        <w:rPr>
          <w:iCs/>
          <w:lang w:val="fr-FR"/>
        </w:rPr>
        <w:t>INF.</w:t>
      </w:r>
      <w:r w:rsidRPr="00051C56">
        <w:rPr>
          <w:lang w:val="fr-FR"/>
        </w:rPr>
        <w:t>53 (Président du Groupe de travail)</w:t>
      </w:r>
      <w:r w:rsidR="007C6B0C">
        <w:rPr>
          <w:lang w:val="fr-FR"/>
        </w:rPr>
        <w:t>.</w:t>
      </w:r>
    </w:p>
    <w:p w:rsidR="00E30E39" w:rsidRPr="00DE4FBC" w:rsidRDefault="00E30E39" w:rsidP="00A943CE">
      <w:pPr>
        <w:pStyle w:val="SingleTxtG"/>
        <w:keepNext/>
        <w:rPr>
          <w:lang w:val="fr-FR"/>
        </w:rPr>
      </w:pPr>
      <w:r w:rsidRPr="00DE4FBC">
        <w:rPr>
          <w:lang w:val="fr-FR"/>
        </w:rPr>
        <w:t>31.</w:t>
      </w:r>
      <w:r w:rsidRPr="00DE4FBC">
        <w:rPr>
          <w:lang w:val="fr-FR"/>
        </w:rPr>
        <w:tab/>
      </w:r>
      <w:r w:rsidRPr="001561F2">
        <w:rPr>
          <w:lang w:val="fr-FR"/>
        </w:rPr>
        <w:t>Le Sous-Comité a noté que le Groupe de travail était convenu que les méthodes d</w:t>
      </w:r>
      <w:r>
        <w:rPr>
          <w:lang w:val="fr-FR"/>
        </w:rPr>
        <w:t>’</w:t>
      </w:r>
      <w:r w:rsidRPr="001561F2">
        <w:rPr>
          <w:lang w:val="fr-FR"/>
        </w:rPr>
        <w:t>expédition proposées par le SAAMI ne s</w:t>
      </w:r>
      <w:r>
        <w:rPr>
          <w:lang w:val="fr-FR"/>
        </w:rPr>
        <w:t>’</w:t>
      </w:r>
      <w:r w:rsidRPr="001561F2">
        <w:rPr>
          <w:lang w:val="fr-FR"/>
        </w:rPr>
        <w:t>appliqueraient qu</w:t>
      </w:r>
      <w:r>
        <w:rPr>
          <w:lang w:val="fr-FR"/>
        </w:rPr>
        <w:t>’</w:t>
      </w:r>
      <w:r w:rsidRPr="001561F2">
        <w:rPr>
          <w:lang w:val="fr-FR"/>
        </w:rPr>
        <w:t>au transport de petites quantités de matières et que les articles pourraient être e</w:t>
      </w:r>
      <w:r w:rsidR="007C6B0C">
        <w:rPr>
          <w:lang w:val="fr-FR"/>
        </w:rPr>
        <w:t>xaminés ultérieurement. Le Sous</w:t>
      </w:r>
      <w:r w:rsidR="007C6B0C">
        <w:rPr>
          <w:lang w:val="fr-FR"/>
        </w:rPr>
        <w:noBreakHyphen/>
      </w:r>
      <w:r w:rsidRPr="001561F2">
        <w:rPr>
          <w:lang w:val="fr-FR"/>
        </w:rPr>
        <w:t>Comité a également noté que le Groupe de travail</w:t>
      </w:r>
      <w:r w:rsidR="00A943CE">
        <w:rPr>
          <w:lang w:val="fr-FR"/>
        </w:rPr>
        <w:t> </w:t>
      </w:r>
      <w:r w:rsidRPr="00DE4FBC">
        <w:rPr>
          <w:lang w:val="fr-FR"/>
        </w:rPr>
        <w:t>:</w:t>
      </w:r>
    </w:p>
    <w:p w:rsidR="00E30E39" w:rsidRPr="00DE4FBC" w:rsidRDefault="00E30E39" w:rsidP="007C6B0C">
      <w:pPr>
        <w:pStyle w:val="SingleTxtG"/>
        <w:ind w:firstLine="567"/>
        <w:rPr>
          <w:lang w:val="fr-FR"/>
        </w:rPr>
      </w:pPr>
      <w:r w:rsidRPr="00DE4FBC">
        <w:rPr>
          <w:lang w:val="fr-FR"/>
        </w:rPr>
        <w:t>a)</w:t>
      </w:r>
      <w:r w:rsidRPr="00DE4FBC">
        <w:rPr>
          <w:lang w:val="fr-FR"/>
        </w:rPr>
        <w:tab/>
      </w:r>
      <w:r w:rsidRPr="00252F03">
        <w:rPr>
          <w:lang w:val="fr-FR"/>
        </w:rPr>
        <w:t>Était généralement convenu que les méthodes d</w:t>
      </w:r>
      <w:r>
        <w:rPr>
          <w:lang w:val="fr-FR"/>
        </w:rPr>
        <w:t>’</w:t>
      </w:r>
      <w:r w:rsidRPr="00252F03">
        <w:rPr>
          <w:lang w:val="fr-FR"/>
        </w:rPr>
        <w:t>expédition proposées seraient utiles pour ceux qui participaient aux essais comparatifs interlaboratoires internationaux, que leur adoption dans le Règlement type était souhaitable et qu</w:t>
      </w:r>
      <w:r>
        <w:rPr>
          <w:lang w:val="fr-FR"/>
        </w:rPr>
        <w:t>’</w:t>
      </w:r>
      <w:r w:rsidRPr="00252F03">
        <w:rPr>
          <w:lang w:val="fr-FR"/>
        </w:rPr>
        <w:t>elles offriraient un moyen sûr de transporter des explosifs non encore classifiés pour les essais et la mise au point de produits</w:t>
      </w:r>
      <w:r w:rsidR="007C6B0C">
        <w:rPr>
          <w:lang w:val="fr-FR"/>
        </w:rPr>
        <w:t> </w:t>
      </w:r>
      <w:r w:rsidRPr="00DE4FBC">
        <w:rPr>
          <w:lang w:val="fr-FR"/>
        </w:rPr>
        <w:t xml:space="preserve">; </w:t>
      </w:r>
    </w:p>
    <w:p w:rsidR="00E30E39" w:rsidRPr="00DE4FBC" w:rsidRDefault="007C6B0C" w:rsidP="007C6B0C">
      <w:pPr>
        <w:pStyle w:val="SingleTxtG"/>
        <w:ind w:firstLine="567"/>
        <w:rPr>
          <w:lang w:val="fr-FR"/>
        </w:rPr>
      </w:pPr>
      <w:r>
        <w:rPr>
          <w:lang w:val="fr-FR"/>
        </w:rPr>
        <w:t>b)</w:t>
      </w:r>
      <w:r w:rsidR="00E30E39" w:rsidRPr="00DE4FBC">
        <w:rPr>
          <w:lang w:val="fr-FR"/>
        </w:rPr>
        <w:tab/>
      </w:r>
      <w:r w:rsidR="00E30E39">
        <w:rPr>
          <w:lang w:val="fr-FR"/>
        </w:rPr>
        <w:t>A</w:t>
      </w:r>
      <w:r w:rsidR="00E30E39" w:rsidRPr="00252F03">
        <w:rPr>
          <w:lang w:val="fr-FR"/>
        </w:rPr>
        <w:t>vait retenu les deux solutions de mise en œuvre suivantes</w:t>
      </w:r>
      <w:r w:rsidR="00C849C6">
        <w:rPr>
          <w:lang w:val="fr-FR"/>
        </w:rPr>
        <w:t> </w:t>
      </w:r>
      <w:r w:rsidR="00E30E39" w:rsidRPr="00252F03">
        <w:rPr>
          <w:lang w:val="fr-FR"/>
        </w:rPr>
        <w:t>: créer de nouvelles rubriques d</w:t>
      </w:r>
      <w:r w:rsidR="00E30E39">
        <w:rPr>
          <w:lang w:val="fr-FR"/>
        </w:rPr>
        <w:t>e</w:t>
      </w:r>
      <w:r w:rsidR="00E30E39" w:rsidRPr="00252F03">
        <w:rPr>
          <w:lang w:val="fr-FR"/>
        </w:rPr>
        <w:t xml:space="preserve"> numéro</w:t>
      </w:r>
      <w:r w:rsidR="00E30E39">
        <w:rPr>
          <w:lang w:val="fr-FR"/>
        </w:rPr>
        <w:t>s</w:t>
      </w:r>
      <w:r w:rsidR="00E30E39" w:rsidRPr="00252F03">
        <w:rPr>
          <w:lang w:val="fr-FR"/>
        </w:rPr>
        <w:t xml:space="preserve"> ONU comme proposé par le SAAMI</w:t>
      </w:r>
      <w:r w:rsidR="00E30E39">
        <w:rPr>
          <w:lang w:val="fr-FR"/>
        </w:rPr>
        <w:t>,</w:t>
      </w:r>
      <w:r w:rsidR="00E30E39" w:rsidRPr="00252F03">
        <w:rPr>
          <w:lang w:val="fr-FR"/>
        </w:rPr>
        <w:t xml:space="preserve"> ou attribuer au numéro ONU 0190 une disposition spéciale autorisant l</w:t>
      </w:r>
      <w:r w:rsidR="00E30E39">
        <w:rPr>
          <w:lang w:val="fr-FR"/>
        </w:rPr>
        <w:t>’</w:t>
      </w:r>
      <w:r w:rsidR="00E30E39" w:rsidRPr="00252F03">
        <w:rPr>
          <w:lang w:val="fr-FR"/>
        </w:rPr>
        <w:t xml:space="preserve">utilisation des </w:t>
      </w:r>
      <w:r w:rsidR="00E30E39">
        <w:rPr>
          <w:lang w:val="fr-FR"/>
        </w:rPr>
        <w:t>matières</w:t>
      </w:r>
      <w:r w:rsidR="00E30E39" w:rsidRPr="00252F03">
        <w:rPr>
          <w:lang w:val="fr-FR"/>
        </w:rPr>
        <w:t xml:space="preserve"> expédiées sans autorisation de l</w:t>
      </w:r>
      <w:r w:rsidR="00E30E39">
        <w:rPr>
          <w:lang w:val="fr-FR"/>
        </w:rPr>
        <w:t>’</w:t>
      </w:r>
      <w:r w:rsidR="00E30E39" w:rsidRPr="00252F03">
        <w:rPr>
          <w:lang w:val="fr-FR"/>
        </w:rPr>
        <w:t>autorité compétente</w:t>
      </w:r>
      <w:r>
        <w:rPr>
          <w:lang w:val="fr-FR"/>
        </w:rPr>
        <w:t> </w:t>
      </w:r>
      <w:r w:rsidR="00E30E39" w:rsidRPr="00DE4FBC">
        <w:rPr>
          <w:lang w:val="fr-FR"/>
        </w:rPr>
        <w:t>;</w:t>
      </w:r>
    </w:p>
    <w:p w:rsidR="00E30E39" w:rsidRPr="00DE4FBC" w:rsidRDefault="007C6B0C" w:rsidP="007C6B0C">
      <w:pPr>
        <w:pStyle w:val="SingleTxtG"/>
        <w:ind w:firstLine="567"/>
        <w:rPr>
          <w:lang w:val="fr-FR"/>
        </w:rPr>
      </w:pPr>
      <w:r>
        <w:rPr>
          <w:lang w:val="fr-FR"/>
        </w:rPr>
        <w:t>c)</w:t>
      </w:r>
      <w:r w:rsidR="00E30E39" w:rsidRPr="00DE4FBC">
        <w:rPr>
          <w:lang w:val="fr-FR"/>
        </w:rPr>
        <w:tab/>
      </w:r>
      <w:r w:rsidR="00E30E39" w:rsidRPr="00F20BDB">
        <w:rPr>
          <w:lang w:val="fr-FR"/>
        </w:rPr>
        <w:t xml:space="preserve">Était </w:t>
      </w:r>
      <w:r w:rsidR="00E30E39" w:rsidRPr="00FC11F3">
        <w:rPr>
          <w:lang w:val="fr-FR"/>
        </w:rPr>
        <w:t>convenu que l</w:t>
      </w:r>
      <w:r w:rsidR="00E30E39">
        <w:rPr>
          <w:lang w:val="fr-FR"/>
        </w:rPr>
        <w:t>’</w:t>
      </w:r>
      <w:r w:rsidR="00E30E39" w:rsidRPr="00FC11F3">
        <w:rPr>
          <w:lang w:val="fr-FR"/>
        </w:rPr>
        <w:t>agrément de l</w:t>
      </w:r>
      <w:r w:rsidR="00E30E39">
        <w:rPr>
          <w:lang w:val="fr-FR"/>
        </w:rPr>
        <w:t>’</w:t>
      </w:r>
      <w:r w:rsidR="00E30E39" w:rsidRPr="00FC11F3">
        <w:rPr>
          <w:lang w:val="fr-FR"/>
        </w:rPr>
        <w:t>autorité compétente devait être exigé pour le tu</w:t>
      </w:r>
      <w:r w:rsidR="00E30E39">
        <w:rPr>
          <w:lang w:val="fr-FR"/>
        </w:rPr>
        <w:t>be</w:t>
      </w:r>
      <w:r w:rsidR="00E30E39" w:rsidRPr="00FC11F3">
        <w:rPr>
          <w:lang w:val="fr-FR"/>
        </w:rPr>
        <w:t xml:space="preserve"> en tant qu</w:t>
      </w:r>
      <w:r w:rsidR="00E30E39">
        <w:rPr>
          <w:lang w:val="fr-FR"/>
        </w:rPr>
        <w:t>’</w:t>
      </w:r>
      <w:r w:rsidR="00E30E39" w:rsidRPr="00FC11F3">
        <w:rPr>
          <w:lang w:val="fr-FR"/>
        </w:rPr>
        <w:t>article, mais pas pour chacune des matières particulières qu</w:t>
      </w:r>
      <w:r w:rsidR="00E30E39">
        <w:rPr>
          <w:lang w:val="fr-FR"/>
        </w:rPr>
        <w:t>’</w:t>
      </w:r>
      <w:r w:rsidR="00E30E39" w:rsidRPr="00FC11F3">
        <w:rPr>
          <w:lang w:val="fr-FR"/>
        </w:rPr>
        <w:t>il contenait. Cela minimiserait la nécessité d</w:t>
      </w:r>
      <w:r w:rsidR="00E30E39">
        <w:rPr>
          <w:lang w:val="fr-FR"/>
        </w:rPr>
        <w:t>’</w:t>
      </w:r>
      <w:r w:rsidR="00E30E39" w:rsidRPr="00FC11F3">
        <w:rPr>
          <w:lang w:val="fr-FR"/>
        </w:rPr>
        <w:t>impliquer les autorités compétentes, mais aiderait à répertorier les utilisateurs autorisés</w:t>
      </w:r>
      <w:r>
        <w:rPr>
          <w:lang w:val="fr-FR"/>
        </w:rPr>
        <w:t> </w:t>
      </w:r>
      <w:r w:rsidR="00E30E39" w:rsidRPr="00DE4FBC">
        <w:rPr>
          <w:lang w:val="fr-FR"/>
        </w:rPr>
        <w:t>;</w:t>
      </w:r>
    </w:p>
    <w:p w:rsidR="00E30E39" w:rsidRPr="00DE4FBC" w:rsidRDefault="00E30E39" w:rsidP="007C6B0C">
      <w:pPr>
        <w:pStyle w:val="SingleTxtG"/>
        <w:ind w:firstLine="567"/>
        <w:rPr>
          <w:lang w:val="fr-FR"/>
        </w:rPr>
      </w:pPr>
      <w:r w:rsidRPr="00DE4FBC">
        <w:rPr>
          <w:lang w:val="fr-FR"/>
        </w:rPr>
        <w:t>d)</w:t>
      </w:r>
      <w:r w:rsidRPr="00DE4FBC">
        <w:rPr>
          <w:lang w:val="fr-FR"/>
        </w:rPr>
        <w:tab/>
      </w:r>
      <w:r w:rsidRPr="00893E2F">
        <w:rPr>
          <w:lang w:val="fr-FR"/>
        </w:rPr>
        <w:t xml:space="preserve">Avait estimé que, pour éviter toute confusion avec le numéro ONU 0190, il </w:t>
      </w:r>
      <w:r w:rsidRPr="00A943CE">
        <w:rPr>
          <w:spacing w:val="-2"/>
          <w:lang w:val="fr-FR"/>
        </w:rPr>
        <w:t>faudrait éviter le terme « échantillon » et utiliser à la place le terme « non entièrement classifié » ou « non encore classifié » (par exemple « explosif, non entièrement classifié »)</w:t>
      </w:r>
      <w:r w:rsidR="007C6B0C" w:rsidRPr="00A943CE">
        <w:rPr>
          <w:spacing w:val="-2"/>
          <w:lang w:val="fr-FR"/>
        </w:rPr>
        <w:t> </w:t>
      </w:r>
      <w:r w:rsidRPr="00A943CE">
        <w:rPr>
          <w:spacing w:val="-2"/>
          <w:lang w:val="fr-FR"/>
        </w:rPr>
        <w:t>; et</w:t>
      </w:r>
    </w:p>
    <w:p w:rsidR="00E30E39" w:rsidRPr="00DE4FBC" w:rsidRDefault="00E30E39" w:rsidP="007C6B0C">
      <w:pPr>
        <w:pStyle w:val="SingleTxtG"/>
        <w:ind w:firstLine="567"/>
        <w:rPr>
          <w:lang w:val="fr-FR"/>
        </w:rPr>
      </w:pPr>
      <w:r w:rsidRPr="00DE4FBC">
        <w:rPr>
          <w:lang w:val="fr-FR"/>
        </w:rPr>
        <w:t>e)</w:t>
      </w:r>
      <w:r w:rsidRPr="00DE4FBC">
        <w:rPr>
          <w:lang w:val="fr-FR"/>
        </w:rPr>
        <w:tab/>
      </w:r>
      <w:r w:rsidRPr="00116F18">
        <w:rPr>
          <w:lang w:val="fr-FR"/>
        </w:rPr>
        <w:t xml:space="preserve">Avait examiné </w:t>
      </w:r>
      <w:r>
        <w:rPr>
          <w:lang w:val="fr-FR"/>
        </w:rPr>
        <w:t xml:space="preserve">la question de savoir </w:t>
      </w:r>
      <w:r w:rsidRPr="00116F18">
        <w:rPr>
          <w:lang w:val="fr-FR"/>
        </w:rPr>
        <w:t>si la classification devait être 1.4E, comme dans le cas des permis spéciaux des États-Unis d</w:t>
      </w:r>
      <w:r>
        <w:rPr>
          <w:lang w:val="fr-FR"/>
        </w:rPr>
        <w:t>’</w:t>
      </w:r>
      <w:r w:rsidRPr="00116F18">
        <w:rPr>
          <w:lang w:val="fr-FR"/>
        </w:rPr>
        <w:t>Amérique mentionnés dans le document ST/SG/AC.10/C.3/2017/51, ou 1.4S, étant donné qu</w:t>
      </w:r>
      <w:r>
        <w:rPr>
          <w:lang w:val="fr-FR"/>
        </w:rPr>
        <w:t>’</w:t>
      </w:r>
      <w:r w:rsidRPr="00116F18">
        <w:rPr>
          <w:lang w:val="fr-FR"/>
        </w:rPr>
        <w:t>il n</w:t>
      </w:r>
      <w:r>
        <w:rPr>
          <w:lang w:val="fr-FR"/>
        </w:rPr>
        <w:t>’</w:t>
      </w:r>
      <w:r w:rsidRPr="00116F18">
        <w:rPr>
          <w:lang w:val="fr-FR"/>
        </w:rPr>
        <w:t>y avait pas d</w:t>
      </w:r>
      <w:r>
        <w:rPr>
          <w:lang w:val="fr-FR"/>
        </w:rPr>
        <w:t>’</w:t>
      </w:r>
      <w:r w:rsidRPr="00116F18">
        <w:rPr>
          <w:lang w:val="fr-FR"/>
        </w:rPr>
        <w:t>effets dangereux en dehors d</w:t>
      </w:r>
      <w:r>
        <w:rPr>
          <w:lang w:val="fr-FR"/>
        </w:rPr>
        <w:t>e l’emballage</w:t>
      </w:r>
      <w:r w:rsidRPr="00DE4FBC">
        <w:rPr>
          <w:lang w:val="fr-FR"/>
        </w:rPr>
        <w:t xml:space="preserve">. </w:t>
      </w:r>
    </w:p>
    <w:p w:rsidR="00E30E39" w:rsidRPr="00DE4FBC" w:rsidRDefault="00E30E39" w:rsidP="007C6B0C">
      <w:pPr>
        <w:pStyle w:val="SingleTxtG"/>
        <w:rPr>
          <w:lang w:val="fr-FR"/>
        </w:rPr>
      </w:pPr>
      <w:r w:rsidRPr="00DE4FBC">
        <w:rPr>
          <w:lang w:val="fr-FR"/>
        </w:rPr>
        <w:t>32.</w:t>
      </w:r>
      <w:r w:rsidRPr="00DE4FBC">
        <w:rPr>
          <w:lang w:val="fr-FR"/>
        </w:rPr>
        <w:tab/>
      </w:r>
      <w:r w:rsidRPr="00116F18">
        <w:rPr>
          <w:lang w:val="fr-FR"/>
        </w:rPr>
        <w:t>Le Sous-Comité a noté que le représentant du SAAMI soumettrait à sa session suivante une proposition révisée ten</w:t>
      </w:r>
      <w:r>
        <w:rPr>
          <w:lang w:val="fr-FR"/>
        </w:rPr>
        <w:t>ant</w:t>
      </w:r>
      <w:r w:rsidRPr="00116F18">
        <w:rPr>
          <w:lang w:val="fr-FR"/>
        </w:rPr>
        <w:t xml:space="preserve"> compte des observations formulées</w:t>
      </w:r>
      <w:r w:rsidRPr="00DE4FBC">
        <w:rPr>
          <w:lang w:val="fr-FR"/>
        </w:rPr>
        <w:t xml:space="preserve">. </w:t>
      </w:r>
    </w:p>
    <w:p w:rsidR="00E30E39" w:rsidRPr="00DE4FBC" w:rsidRDefault="00E30E39" w:rsidP="007C6B0C">
      <w:pPr>
        <w:pStyle w:val="H23G"/>
        <w:rPr>
          <w:lang w:val="fr-FR"/>
        </w:rPr>
      </w:pPr>
      <w:r w:rsidRPr="00DE4FBC">
        <w:rPr>
          <w:lang w:val="fr-FR"/>
        </w:rPr>
        <w:tab/>
        <w:t>2.</w:t>
      </w:r>
      <w:r w:rsidRPr="00DE4FBC">
        <w:rPr>
          <w:lang w:val="fr-FR"/>
        </w:rPr>
        <w:tab/>
      </w:r>
      <w:r w:rsidRPr="00E17F06">
        <w:rPr>
          <w:lang w:val="fr-FR"/>
        </w:rPr>
        <w:t>Transport d</w:t>
      </w:r>
      <w:r>
        <w:rPr>
          <w:lang w:val="fr-FR"/>
        </w:rPr>
        <w:t>’</w:t>
      </w:r>
      <w:r w:rsidRPr="00E17F06">
        <w:rPr>
          <w:lang w:val="fr-FR"/>
        </w:rPr>
        <w:t>échantillons énergétiques en vue d</w:t>
      </w:r>
      <w:r>
        <w:rPr>
          <w:lang w:val="fr-FR"/>
        </w:rPr>
        <w:t>’</w:t>
      </w:r>
      <w:r w:rsidRPr="00E17F06">
        <w:rPr>
          <w:lang w:val="fr-FR"/>
        </w:rPr>
        <w:t>essais complémentaires</w:t>
      </w:r>
    </w:p>
    <w:p w:rsidR="00E30E39" w:rsidRPr="00DE4FBC" w:rsidRDefault="00E30E39" w:rsidP="007C6B0C">
      <w:pPr>
        <w:pStyle w:val="SingleTxtG"/>
        <w:tabs>
          <w:tab w:val="left" w:pos="3119"/>
        </w:tabs>
        <w:ind w:left="3119" w:hanging="1985"/>
        <w:jc w:val="left"/>
        <w:rPr>
          <w:lang w:val="fr-FR"/>
        </w:rPr>
      </w:pPr>
      <w:r>
        <w:rPr>
          <w:i/>
          <w:iCs/>
          <w:lang w:val="fr-FR"/>
        </w:rPr>
        <w:t>Documents informels</w:t>
      </w:r>
      <w:r w:rsidR="007C6B0C">
        <w:rPr>
          <w:i/>
          <w:iCs/>
          <w:lang w:val="fr-FR"/>
        </w:rPr>
        <w:t> </w:t>
      </w:r>
      <w:r w:rsidR="007C6B0C" w:rsidRPr="007C6B0C">
        <w:rPr>
          <w:iCs/>
          <w:lang w:val="fr-FR"/>
        </w:rPr>
        <w:t>:</w:t>
      </w:r>
      <w:r w:rsidRPr="00DE4FBC">
        <w:rPr>
          <w:i/>
          <w:iCs/>
          <w:lang w:val="fr-FR"/>
        </w:rPr>
        <w:tab/>
      </w:r>
      <w:r w:rsidRPr="00DE4FBC">
        <w:rPr>
          <w:lang w:val="fr-FR"/>
        </w:rPr>
        <w:t>INF.12 (CEFIC)</w:t>
      </w:r>
      <w:r w:rsidR="007C6B0C">
        <w:rPr>
          <w:lang w:val="fr-FR"/>
        </w:rPr>
        <w:br/>
      </w:r>
      <w:r w:rsidRPr="00DE4FBC">
        <w:rPr>
          <w:iCs/>
          <w:lang w:val="fr-FR"/>
        </w:rPr>
        <w:t>INF.53 (</w:t>
      </w:r>
      <w:r>
        <w:rPr>
          <w:iCs/>
          <w:lang w:val="fr-FR"/>
        </w:rPr>
        <w:t>Président du Groupe de travail</w:t>
      </w:r>
      <w:r w:rsidRPr="00DE4FBC">
        <w:rPr>
          <w:iCs/>
          <w:lang w:val="fr-FR"/>
        </w:rPr>
        <w:t>)</w:t>
      </w:r>
      <w:r w:rsidR="007C6B0C">
        <w:rPr>
          <w:iCs/>
          <w:lang w:val="fr-FR"/>
        </w:rPr>
        <w:t>.</w:t>
      </w:r>
    </w:p>
    <w:p w:rsidR="00E30E39" w:rsidRPr="00DE4FBC" w:rsidRDefault="00E30E39" w:rsidP="007C6B0C">
      <w:pPr>
        <w:pStyle w:val="SingleTxtG"/>
        <w:rPr>
          <w:lang w:val="fr-FR"/>
        </w:rPr>
      </w:pPr>
      <w:r w:rsidRPr="00DE4FBC">
        <w:rPr>
          <w:lang w:val="fr-FR"/>
        </w:rPr>
        <w:t>33.</w:t>
      </w:r>
      <w:r w:rsidRPr="00DE4FBC">
        <w:rPr>
          <w:lang w:val="fr-FR"/>
        </w:rPr>
        <w:tab/>
      </w:r>
      <w:r w:rsidRPr="00A51C50">
        <w:rPr>
          <w:lang w:val="fr-FR"/>
        </w:rPr>
        <w:t>Le Sous-Comité a noté que, à la suite du débat et des observations formulées par le</w:t>
      </w:r>
      <w:r w:rsidR="007C6B0C">
        <w:rPr>
          <w:lang w:val="fr-FR"/>
        </w:rPr>
        <w:t> </w:t>
      </w:r>
      <w:r w:rsidRPr="00A51C50">
        <w:rPr>
          <w:lang w:val="fr-FR"/>
        </w:rPr>
        <w:t>Groupe de travail, le représentant du CEFIC établirait un aperçu de la façon dont sont classées les matières autoréactives et expliquerait la manière dont la proposition traiterait les sections</w:t>
      </w:r>
      <w:r w:rsidR="007C6B0C">
        <w:rPr>
          <w:lang w:val="fr-FR"/>
        </w:rPr>
        <w:t> </w:t>
      </w:r>
      <w:r w:rsidRPr="00A51C50">
        <w:rPr>
          <w:lang w:val="fr-FR"/>
        </w:rPr>
        <w:t>3.3</w:t>
      </w:r>
      <w:r w:rsidR="007C6B0C">
        <w:rPr>
          <w:lang w:val="fr-FR"/>
        </w:rPr>
        <w:t> </w:t>
      </w:r>
      <w:r w:rsidRPr="00A51C50">
        <w:rPr>
          <w:lang w:val="fr-FR"/>
        </w:rPr>
        <w:t>c) et 5.1</w:t>
      </w:r>
      <w:r w:rsidR="007C6B0C">
        <w:rPr>
          <w:lang w:val="fr-FR"/>
        </w:rPr>
        <w:t> </w:t>
      </w:r>
      <w:r w:rsidRPr="00A51C50">
        <w:rPr>
          <w:lang w:val="fr-FR"/>
        </w:rPr>
        <w:t>b) de l</w:t>
      </w:r>
      <w:r>
        <w:rPr>
          <w:lang w:val="fr-FR"/>
        </w:rPr>
        <w:t>’</w:t>
      </w:r>
      <w:r w:rsidRPr="00A51C50">
        <w:rPr>
          <w:lang w:val="fr-FR"/>
        </w:rPr>
        <w:t>appendice</w:t>
      </w:r>
      <w:r w:rsidR="007C6B0C">
        <w:rPr>
          <w:lang w:val="fr-FR"/>
        </w:rPr>
        <w:t> </w:t>
      </w:r>
      <w:r w:rsidRPr="00A51C50">
        <w:rPr>
          <w:lang w:val="fr-FR"/>
        </w:rPr>
        <w:t>6 du Manuel d</w:t>
      </w:r>
      <w:r>
        <w:rPr>
          <w:lang w:val="fr-FR"/>
        </w:rPr>
        <w:t>’</w:t>
      </w:r>
      <w:r w:rsidRPr="00A51C50">
        <w:rPr>
          <w:lang w:val="fr-FR"/>
        </w:rPr>
        <w:t>épreuves et de critères, pour examen par le Groupe de travail entre les sessions</w:t>
      </w:r>
      <w:r w:rsidRPr="00DE4FBC">
        <w:rPr>
          <w:lang w:val="fr-FR"/>
        </w:rPr>
        <w:t xml:space="preserve">. </w:t>
      </w:r>
    </w:p>
    <w:p w:rsidR="00E30E39" w:rsidRPr="00DE4FBC" w:rsidRDefault="00E30E39" w:rsidP="007C6B0C">
      <w:pPr>
        <w:pStyle w:val="H23G"/>
        <w:rPr>
          <w:lang w:val="fr-FR"/>
        </w:rPr>
      </w:pPr>
      <w:r w:rsidRPr="00DE4FBC">
        <w:rPr>
          <w:lang w:val="fr-FR"/>
        </w:rPr>
        <w:tab/>
        <w:t>3.</w:t>
      </w:r>
      <w:r w:rsidRPr="00DE4FBC">
        <w:rPr>
          <w:lang w:val="fr-FR"/>
        </w:rPr>
        <w:tab/>
      </w:r>
      <w:r w:rsidRPr="00A51C50">
        <w:rPr>
          <w:lang w:val="fr-FR"/>
        </w:rPr>
        <w:t>N</w:t>
      </w:r>
      <w:r w:rsidRPr="00A51C50">
        <w:rPr>
          <w:vertAlign w:val="superscript"/>
          <w:lang w:val="fr-FR"/>
        </w:rPr>
        <w:t>o</w:t>
      </w:r>
      <w:r w:rsidR="001678E3">
        <w:rPr>
          <w:lang w:val="fr-FR"/>
        </w:rPr>
        <w:t> </w:t>
      </w:r>
      <w:r w:rsidRPr="00A51C50">
        <w:rPr>
          <w:lang w:val="fr-FR"/>
        </w:rPr>
        <w:t>ONU 0222 Nitrate d</w:t>
      </w:r>
      <w:r>
        <w:rPr>
          <w:lang w:val="fr-FR"/>
        </w:rPr>
        <w:t>’</w:t>
      </w:r>
      <w:r w:rsidRPr="00A51C50">
        <w:rPr>
          <w:lang w:val="fr-FR"/>
        </w:rPr>
        <w:t>ammonium</w:t>
      </w:r>
    </w:p>
    <w:p w:rsidR="00E30E39" w:rsidRPr="00DE4FBC" w:rsidRDefault="00E30E39" w:rsidP="007C6B0C">
      <w:pPr>
        <w:pStyle w:val="SingleTxtG"/>
        <w:tabs>
          <w:tab w:val="left" w:pos="3119"/>
        </w:tabs>
        <w:ind w:left="3119" w:hanging="1985"/>
        <w:jc w:val="left"/>
        <w:rPr>
          <w:lang w:val="fr-FR"/>
        </w:rPr>
      </w:pPr>
      <w:r>
        <w:rPr>
          <w:i/>
          <w:iCs/>
          <w:lang w:val="fr-FR"/>
        </w:rPr>
        <w:t>Documents informels</w:t>
      </w:r>
      <w:r w:rsidR="007C6B0C">
        <w:rPr>
          <w:i/>
          <w:iCs/>
          <w:lang w:val="fr-FR"/>
        </w:rPr>
        <w:t> </w:t>
      </w:r>
      <w:r w:rsidR="007C6B0C">
        <w:rPr>
          <w:iCs/>
          <w:lang w:val="fr-FR"/>
        </w:rPr>
        <w:t>:</w:t>
      </w:r>
      <w:r w:rsidRPr="00DE4FBC">
        <w:rPr>
          <w:i/>
          <w:iCs/>
          <w:lang w:val="fr-FR"/>
        </w:rPr>
        <w:tab/>
      </w:r>
      <w:r w:rsidRPr="00DE4FBC">
        <w:rPr>
          <w:lang w:val="fr-FR"/>
        </w:rPr>
        <w:t>INF.15 (IME)</w:t>
      </w:r>
      <w:r w:rsidR="007C6B0C">
        <w:rPr>
          <w:lang w:val="fr-FR"/>
        </w:rPr>
        <w:br/>
      </w:r>
      <w:r w:rsidRPr="00DE4FBC">
        <w:rPr>
          <w:iCs/>
          <w:lang w:val="fr-FR"/>
        </w:rPr>
        <w:t>INF.53 (</w:t>
      </w:r>
      <w:r>
        <w:rPr>
          <w:iCs/>
          <w:lang w:val="fr-FR"/>
        </w:rPr>
        <w:t>Président du Groupe de travail</w:t>
      </w:r>
      <w:r w:rsidRPr="00DE4FBC">
        <w:rPr>
          <w:iCs/>
          <w:lang w:val="fr-FR"/>
        </w:rPr>
        <w:t>)</w:t>
      </w:r>
      <w:r w:rsidR="007C6B0C">
        <w:rPr>
          <w:iCs/>
          <w:lang w:val="fr-FR"/>
        </w:rPr>
        <w:t>.</w:t>
      </w:r>
    </w:p>
    <w:p w:rsidR="00E30E39" w:rsidRPr="00DE4FBC" w:rsidRDefault="00E30E39" w:rsidP="007C6B0C">
      <w:pPr>
        <w:pStyle w:val="SingleTxtG"/>
        <w:rPr>
          <w:lang w:val="fr-FR"/>
        </w:rPr>
      </w:pPr>
      <w:r w:rsidRPr="00DE4FBC">
        <w:rPr>
          <w:lang w:val="fr-FR"/>
        </w:rPr>
        <w:t>34.</w:t>
      </w:r>
      <w:r w:rsidRPr="00DE4FBC">
        <w:rPr>
          <w:lang w:val="fr-FR"/>
        </w:rPr>
        <w:tab/>
      </w:r>
      <w:r w:rsidRPr="00A51C50">
        <w:rPr>
          <w:lang w:val="fr-FR"/>
        </w:rPr>
        <w:t>Le Sous-Comité a noté que le Groupe de travail avait estimé que la rubrique du numéro ONU 0222 ne devait pas être retirée de la liste des marchandises dangereuses, au motif que, même si le nitrate d</w:t>
      </w:r>
      <w:r>
        <w:rPr>
          <w:lang w:val="fr-FR"/>
        </w:rPr>
        <w:t>’</w:t>
      </w:r>
      <w:r w:rsidRPr="00A51C50">
        <w:rPr>
          <w:lang w:val="fr-FR"/>
        </w:rPr>
        <w:t>ammonium n</w:t>
      </w:r>
      <w:r>
        <w:rPr>
          <w:lang w:val="fr-FR"/>
        </w:rPr>
        <w:t>’</w:t>
      </w:r>
      <w:r w:rsidRPr="00A51C50">
        <w:rPr>
          <w:lang w:val="fr-FR"/>
        </w:rPr>
        <w:t>était pas fabriqué pour figurer sous le numéro</w:t>
      </w:r>
      <w:r w:rsidR="00A943CE">
        <w:rPr>
          <w:lang w:val="fr-FR"/>
        </w:rPr>
        <w:t> </w:t>
      </w:r>
      <w:r w:rsidRPr="00A51C50">
        <w:rPr>
          <w:lang w:val="fr-FR"/>
        </w:rPr>
        <w:t>ONU 0222, cette rubrique était utilisée à des fins spéciales, par exemple pour le transport de nitrate d</w:t>
      </w:r>
      <w:r>
        <w:rPr>
          <w:lang w:val="fr-FR"/>
        </w:rPr>
        <w:t>’</w:t>
      </w:r>
      <w:r w:rsidRPr="00A51C50">
        <w:rPr>
          <w:lang w:val="fr-FR"/>
        </w:rPr>
        <w:t>ammonium contaminé, de nitrate d</w:t>
      </w:r>
      <w:r>
        <w:rPr>
          <w:lang w:val="fr-FR"/>
        </w:rPr>
        <w:t>’</w:t>
      </w:r>
      <w:r w:rsidRPr="00A51C50">
        <w:rPr>
          <w:lang w:val="fr-FR"/>
        </w:rPr>
        <w:t>ammonium de classification inconnue et d</w:t>
      </w:r>
      <w:r>
        <w:rPr>
          <w:lang w:val="fr-FR"/>
        </w:rPr>
        <w:t>’</w:t>
      </w:r>
      <w:r w:rsidRPr="00A51C50">
        <w:rPr>
          <w:lang w:val="fr-FR"/>
        </w:rPr>
        <w:t xml:space="preserve">engrais ayant échoué aux épreuves de la série 2. Il a également été noté que, </w:t>
      </w:r>
      <w:r w:rsidRPr="00A51C50">
        <w:rPr>
          <w:lang w:val="fr-FR"/>
        </w:rPr>
        <w:lastRenderedPageBreak/>
        <w:t>compte tenu des observations formulées, le représentant de l</w:t>
      </w:r>
      <w:r>
        <w:rPr>
          <w:lang w:val="fr-FR"/>
        </w:rPr>
        <w:t>’</w:t>
      </w:r>
      <w:r w:rsidRPr="00A51C50">
        <w:rPr>
          <w:lang w:val="fr-FR"/>
        </w:rPr>
        <w:t>IME ne poursuivrait pas ses travaux sur cette question</w:t>
      </w:r>
      <w:r w:rsidRPr="00DE4FBC">
        <w:rPr>
          <w:lang w:val="fr-FR"/>
        </w:rPr>
        <w:t xml:space="preserve">. </w:t>
      </w:r>
    </w:p>
    <w:p w:rsidR="00E30E39" w:rsidRPr="00DE4FBC" w:rsidRDefault="00E30E39" w:rsidP="007C6B0C">
      <w:pPr>
        <w:pStyle w:val="H23G"/>
        <w:rPr>
          <w:lang w:val="fr-FR"/>
        </w:rPr>
      </w:pPr>
      <w:r w:rsidRPr="00DE4FBC">
        <w:rPr>
          <w:lang w:val="fr-FR"/>
        </w:rPr>
        <w:tab/>
        <w:t>4.</w:t>
      </w:r>
      <w:r w:rsidRPr="00DE4FBC">
        <w:rPr>
          <w:lang w:val="fr-FR"/>
        </w:rPr>
        <w:tab/>
      </w:r>
      <w:r w:rsidRPr="00A51C50">
        <w:rPr>
          <w:lang w:val="fr-FR"/>
        </w:rPr>
        <w:t>Proposition de création d</w:t>
      </w:r>
      <w:r>
        <w:rPr>
          <w:lang w:val="fr-FR"/>
        </w:rPr>
        <w:t>’</w:t>
      </w:r>
      <w:r w:rsidRPr="00A51C50">
        <w:rPr>
          <w:lang w:val="fr-FR"/>
        </w:rPr>
        <w:t xml:space="preserve">un nouveau numéro ONU pour les mines </w:t>
      </w:r>
      <w:r w:rsidR="001678E3">
        <w:rPr>
          <w:lang w:val="fr-FR"/>
        </w:rPr>
        <w:br/>
      </w:r>
      <w:r w:rsidRPr="00A51C50">
        <w:rPr>
          <w:lang w:val="fr-FR"/>
        </w:rPr>
        <w:t>à charge d</w:t>
      </w:r>
      <w:r>
        <w:rPr>
          <w:lang w:val="fr-FR"/>
        </w:rPr>
        <w:t>’</w:t>
      </w:r>
      <w:r w:rsidRPr="00A51C50">
        <w:rPr>
          <w:lang w:val="fr-FR"/>
        </w:rPr>
        <w:t>éclatement 1.6D</w:t>
      </w:r>
    </w:p>
    <w:p w:rsidR="00E30E39" w:rsidRPr="00DE4FBC" w:rsidRDefault="00E30E39" w:rsidP="007C6B0C">
      <w:pPr>
        <w:pStyle w:val="SingleTxtG"/>
        <w:tabs>
          <w:tab w:val="left" w:pos="3119"/>
        </w:tabs>
        <w:ind w:left="3119" w:hanging="1985"/>
        <w:jc w:val="left"/>
        <w:rPr>
          <w:lang w:val="fr-FR"/>
        </w:rPr>
      </w:pPr>
      <w:r>
        <w:rPr>
          <w:i/>
          <w:iCs/>
          <w:lang w:val="fr-FR"/>
        </w:rPr>
        <w:t>Documents informels</w:t>
      </w:r>
      <w:r w:rsidR="007C6B0C">
        <w:rPr>
          <w:i/>
          <w:iCs/>
          <w:lang w:val="fr-FR"/>
        </w:rPr>
        <w:t> </w:t>
      </w:r>
      <w:r w:rsidR="007C6B0C">
        <w:rPr>
          <w:iCs/>
          <w:lang w:val="fr-FR"/>
        </w:rPr>
        <w:t>:</w:t>
      </w:r>
      <w:r w:rsidRPr="00DE4FBC">
        <w:rPr>
          <w:i/>
          <w:iCs/>
          <w:lang w:val="fr-FR"/>
        </w:rPr>
        <w:tab/>
      </w:r>
      <w:r w:rsidRPr="00DE4FBC">
        <w:rPr>
          <w:lang w:val="fr-FR"/>
        </w:rPr>
        <w:t>INF.21 (Finland</w:t>
      </w:r>
      <w:r>
        <w:rPr>
          <w:lang w:val="fr-FR"/>
        </w:rPr>
        <w:t>e</w:t>
      </w:r>
      <w:r w:rsidRPr="00DE4FBC">
        <w:rPr>
          <w:lang w:val="fr-FR"/>
        </w:rPr>
        <w:t>)</w:t>
      </w:r>
      <w:r w:rsidRPr="00DE4FBC">
        <w:rPr>
          <w:lang w:val="fr-FR"/>
        </w:rPr>
        <w:br/>
      </w:r>
      <w:r w:rsidRPr="00DE4FBC">
        <w:rPr>
          <w:iCs/>
          <w:lang w:val="fr-FR"/>
        </w:rPr>
        <w:t>INF.53 (</w:t>
      </w:r>
      <w:r>
        <w:rPr>
          <w:iCs/>
          <w:lang w:val="fr-FR"/>
        </w:rPr>
        <w:t>Président du Groupe de travail</w:t>
      </w:r>
      <w:r w:rsidRPr="00DE4FBC">
        <w:rPr>
          <w:iCs/>
          <w:lang w:val="fr-FR"/>
        </w:rPr>
        <w:t>)</w:t>
      </w:r>
      <w:r w:rsidR="007C6B0C">
        <w:rPr>
          <w:iCs/>
          <w:lang w:val="fr-FR"/>
        </w:rPr>
        <w:t>.</w:t>
      </w:r>
    </w:p>
    <w:p w:rsidR="00E30E39" w:rsidRPr="00DE4FBC" w:rsidRDefault="00E30E39" w:rsidP="007C6B0C">
      <w:pPr>
        <w:pStyle w:val="SingleTxtG"/>
        <w:rPr>
          <w:lang w:val="fr-FR"/>
        </w:rPr>
      </w:pPr>
      <w:r w:rsidRPr="00DE4FBC">
        <w:rPr>
          <w:lang w:val="fr-FR"/>
        </w:rPr>
        <w:t>35.</w:t>
      </w:r>
      <w:r w:rsidRPr="00DE4FBC">
        <w:rPr>
          <w:lang w:val="fr-FR"/>
        </w:rPr>
        <w:tab/>
      </w:r>
      <w:r w:rsidRPr="006506E7">
        <w:rPr>
          <w:lang w:val="fr-FR"/>
        </w:rPr>
        <w:t>Le Sous-Comité a noté que le Groupe de travail avait confirmé que, si les articles décrits dans le document informel INF.21 satisfaisaient aux critères de la série d</w:t>
      </w:r>
      <w:r>
        <w:rPr>
          <w:lang w:val="fr-FR"/>
        </w:rPr>
        <w:t>’</w:t>
      </w:r>
      <w:r w:rsidRPr="006506E7">
        <w:rPr>
          <w:lang w:val="fr-FR"/>
        </w:rPr>
        <w:t>épreuves</w:t>
      </w:r>
      <w:r w:rsidR="00C60C0C">
        <w:rPr>
          <w:lang w:val="fr-FR"/>
        </w:rPr>
        <w:t> </w:t>
      </w:r>
      <w:r w:rsidRPr="006506E7">
        <w:rPr>
          <w:lang w:val="fr-FR"/>
        </w:rPr>
        <w:t>7, ils pourraient être classés sous le numéro ONU 0486,</w:t>
      </w:r>
      <w:r w:rsidR="00C849C6">
        <w:rPr>
          <w:lang w:val="fr-FR"/>
        </w:rPr>
        <w:t xml:space="preserve"> </w:t>
      </w:r>
      <w:r w:rsidRPr="006506E7">
        <w:rPr>
          <w:lang w:val="fr-FR"/>
        </w:rPr>
        <w:t>1.6N. Il n</w:t>
      </w:r>
      <w:r>
        <w:rPr>
          <w:lang w:val="fr-FR"/>
        </w:rPr>
        <w:t>’</w:t>
      </w:r>
      <w:r w:rsidRPr="006506E7">
        <w:rPr>
          <w:lang w:val="fr-FR"/>
        </w:rPr>
        <w:t xml:space="preserve">était donc pas nécessaire de créer à cette fin une </w:t>
      </w:r>
      <w:r>
        <w:rPr>
          <w:lang w:val="fr-FR"/>
        </w:rPr>
        <w:t>rubrique</w:t>
      </w:r>
      <w:r w:rsidRPr="006506E7">
        <w:rPr>
          <w:lang w:val="fr-FR"/>
        </w:rPr>
        <w:t xml:space="preserve"> spécifique dans la </w:t>
      </w:r>
      <w:r>
        <w:rPr>
          <w:lang w:val="fr-FR"/>
        </w:rPr>
        <w:t>L</w:t>
      </w:r>
      <w:r w:rsidRPr="006506E7">
        <w:rPr>
          <w:lang w:val="fr-FR"/>
        </w:rPr>
        <w:t>iste des marchandises dangereuses. Le Groupe de travail a estimé que l</w:t>
      </w:r>
      <w:r>
        <w:rPr>
          <w:lang w:val="fr-FR"/>
        </w:rPr>
        <w:t>’</w:t>
      </w:r>
      <w:r w:rsidRPr="006506E7">
        <w:rPr>
          <w:lang w:val="fr-FR"/>
        </w:rPr>
        <w:t>instruction d</w:t>
      </w:r>
      <w:r>
        <w:rPr>
          <w:lang w:val="fr-FR"/>
        </w:rPr>
        <w:t>’</w:t>
      </w:r>
      <w:r w:rsidRPr="006506E7">
        <w:rPr>
          <w:lang w:val="fr-FR"/>
        </w:rPr>
        <w:t>emballage P101 n</w:t>
      </w:r>
      <w:r>
        <w:rPr>
          <w:lang w:val="fr-FR"/>
        </w:rPr>
        <w:t>’</w:t>
      </w:r>
      <w:r w:rsidRPr="006506E7">
        <w:rPr>
          <w:lang w:val="fr-FR"/>
        </w:rPr>
        <w:t>excluait pas la possibilité d</w:t>
      </w:r>
      <w:r>
        <w:rPr>
          <w:lang w:val="fr-FR"/>
        </w:rPr>
        <w:t>’</w:t>
      </w:r>
      <w:r w:rsidRPr="006506E7">
        <w:rPr>
          <w:lang w:val="fr-FR"/>
        </w:rPr>
        <w:t>un transport non emballé</w:t>
      </w:r>
      <w:r w:rsidRPr="00DE4FBC">
        <w:rPr>
          <w:lang w:val="fr-FR"/>
        </w:rPr>
        <w:t>.</w:t>
      </w:r>
    </w:p>
    <w:p w:rsidR="00E30E39" w:rsidRPr="00DE4FBC" w:rsidRDefault="00E30E39" w:rsidP="007C6B0C">
      <w:pPr>
        <w:pStyle w:val="H23G"/>
        <w:rPr>
          <w:lang w:val="fr-FR"/>
        </w:rPr>
      </w:pPr>
      <w:r w:rsidRPr="00DE4FBC">
        <w:rPr>
          <w:lang w:val="fr-FR"/>
        </w:rPr>
        <w:tab/>
        <w:t>5.</w:t>
      </w:r>
      <w:r w:rsidRPr="00DE4FBC">
        <w:rPr>
          <w:lang w:val="fr-FR"/>
        </w:rPr>
        <w:tab/>
      </w:r>
      <w:r w:rsidRPr="006506E7">
        <w:rPr>
          <w:lang w:val="fr-FR"/>
        </w:rPr>
        <w:t>Extension du tableau de classification par défaut des feux d</w:t>
      </w:r>
      <w:r>
        <w:rPr>
          <w:lang w:val="fr-FR"/>
        </w:rPr>
        <w:t>’</w:t>
      </w:r>
      <w:r w:rsidRPr="006506E7">
        <w:rPr>
          <w:lang w:val="fr-FR"/>
        </w:rPr>
        <w:t xml:space="preserve">artifice </w:t>
      </w:r>
      <w:r w:rsidR="007C6B0C">
        <w:rPr>
          <w:lang w:val="fr-FR"/>
        </w:rPr>
        <w:br/>
      </w:r>
      <w:r w:rsidRPr="006506E7">
        <w:rPr>
          <w:lang w:val="fr-FR"/>
        </w:rPr>
        <w:t>pour</w:t>
      </w:r>
      <w:r w:rsidR="007C6B0C">
        <w:rPr>
          <w:lang w:val="fr-FR"/>
        </w:rPr>
        <w:t xml:space="preserve"> </w:t>
      </w:r>
      <w:r w:rsidRPr="006506E7">
        <w:rPr>
          <w:lang w:val="fr-FR"/>
        </w:rPr>
        <w:t>le</w:t>
      </w:r>
      <w:r w:rsidR="007C6B0C">
        <w:rPr>
          <w:lang w:val="fr-FR"/>
        </w:rPr>
        <w:t xml:space="preserve"> </w:t>
      </w:r>
      <w:r w:rsidRPr="006506E7">
        <w:rPr>
          <w:lang w:val="fr-FR"/>
        </w:rPr>
        <w:t>N</w:t>
      </w:r>
      <w:r w:rsidRPr="006506E7">
        <w:rPr>
          <w:vertAlign w:val="superscript"/>
          <w:lang w:val="fr-FR"/>
        </w:rPr>
        <w:t>o</w:t>
      </w:r>
      <w:r>
        <w:rPr>
          <w:lang w:val="fr-FR"/>
        </w:rPr>
        <w:t> </w:t>
      </w:r>
      <w:r w:rsidRPr="006506E7">
        <w:rPr>
          <w:lang w:val="fr-FR"/>
        </w:rPr>
        <w:t>ONU</w:t>
      </w:r>
      <w:r>
        <w:rPr>
          <w:lang w:val="fr-FR"/>
        </w:rPr>
        <w:t> </w:t>
      </w:r>
      <w:r w:rsidRPr="006506E7">
        <w:rPr>
          <w:lang w:val="fr-FR"/>
        </w:rPr>
        <w:t>0431 (articles pyrotechniques</w:t>
      </w:r>
      <w:r w:rsidRPr="00DE4FBC">
        <w:rPr>
          <w:lang w:val="fr-FR"/>
        </w:rPr>
        <w:t>)</w:t>
      </w:r>
    </w:p>
    <w:p w:rsidR="00E30E39" w:rsidRPr="00DE4FBC" w:rsidRDefault="00E30E39" w:rsidP="007C6B0C">
      <w:pPr>
        <w:pStyle w:val="SingleTxtG"/>
        <w:tabs>
          <w:tab w:val="left" w:pos="3119"/>
        </w:tabs>
        <w:ind w:left="3119" w:hanging="1985"/>
        <w:jc w:val="left"/>
        <w:rPr>
          <w:lang w:val="fr-FR"/>
        </w:rPr>
      </w:pPr>
      <w:r>
        <w:rPr>
          <w:i/>
          <w:iCs/>
          <w:lang w:val="fr-FR"/>
        </w:rPr>
        <w:t>Documents informels</w:t>
      </w:r>
      <w:r w:rsidR="007C6B0C">
        <w:rPr>
          <w:i/>
          <w:iCs/>
          <w:lang w:val="fr-FR"/>
        </w:rPr>
        <w:t> </w:t>
      </w:r>
      <w:r w:rsidR="007C6B0C">
        <w:rPr>
          <w:iCs/>
          <w:lang w:val="fr-FR"/>
        </w:rPr>
        <w:t>:</w:t>
      </w:r>
      <w:r w:rsidRPr="00DE4FBC">
        <w:rPr>
          <w:i/>
          <w:iCs/>
          <w:lang w:val="fr-FR"/>
        </w:rPr>
        <w:tab/>
      </w:r>
      <w:r w:rsidRPr="00DE4FBC">
        <w:rPr>
          <w:lang w:val="fr-FR"/>
        </w:rPr>
        <w:t>INF.33 (</w:t>
      </w:r>
      <w:r>
        <w:rPr>
          <w:lang w:val="fr-FR"/>
        </w:rPr>
        <w:t>États-Unis d’Amérique</w:t>
      </w:r>
      <w:r w:rsidRPr="00DE4FBC">
        <w:rPr>
          <w:lang w:val="fr-FR"/>
        </w:rPr>
        <w:t>)</w:t>
      </w:r>
      <w:r w:rsidRPr="00DE4FBC">
        <w:rPr>
          <w:lang w:val="fr-FR"/>
        </w:rPr>
        <w:br/>
      </w:r>
      <w:r w:rsidRPr="00DE4FBC">
        <w:rPr>
          <w:iCs/>
          <w:lang w:val="fr-FR"/>
        </w:rPr>
        <w:t>INF.53 (</w:t>
      </w:r>
      <w:r>
        <w:rPr>
          <w:iCs/>
          <w:lang w:val="fr-FR"/>
        </w:rPr>
        <w:t>Président du Groupe de travail</w:t>
      </w:r>
      <w:r w:rsidRPr="00DE4FBC">
        <w:rPr>
          <w:iCs/>
          <w:lang w:val="fr-FR"/>
        </w:rPr>
        <w:t>)</w:t>
      </w:r>
      <w:r w:rsidR="007C6B0C">
        <w:rPr>
          <w:iCs/>
          <w:lang w:val="fr-FR"/>
        </w:rPr>
        <w:t>.</w:t>
      </w:r>
    </w:p>
    <w:p w:rsidR="00E30E39" w:rsidRPr="00DE4FBC" w:rsidRDefault="00E30E39" w:rsidP="007C6B0C">
      <w:pPr>
        <w:pStyle w:val="SingleTxtG"/>
        <w:rPr>
          <w:lang w:val="fr-FR"/>
        </w:rPr>
      </w:pPr>
      <w:r w:rsidRPr="00DE4FBC">
        <w:rPr>
          <w:lang w:val="fr-FR"/>
        </w:rPr>
        <w:t>36.</w:t>
      </w:r>
      <w:r w:rsidRPr="00DE4FBC">
        <w:rPr>
          <w:lang w:val="fr-FR"/>
        </w:rPr>
        <w:tab/>
      </w:r>
      <w:r w:rsidRPr="00556154">
        <w:rPr>
          <w:lang w:val="fr-FR"/>
        </w:rPr>
        <w:t>Le Sous-Comité a noté qu</w:t>
      </w:r>
      <w:r>
        <w:rPr>
          <w:lang w:val="fr-FR"/>
        </w:rPr>
        <w:t>’</w:t>
      </w:r>
      <w:r w:rsidRPr="00556154">
        <w:rPr>
          <w:lang w:val="fr-FR"/>
        </w:rPr>
        <w:t>une certaine sympathie pour la proposition s</w:t>
      </w:r>
      <w:r>
        <w:rPr>
          <w:lang w:val="fr-FR"/>
        </w:rPr>
        <w:t>’</w:t>
      </w:r>
      <w:r w:rsidRPr="00556154">
        <w:rPr>
          <w:lang w:val="fr-FR"/>
        </w:rPr>
        <w:t>était exprimée au sein du Groupe de travail, mais que les experts avaient estimé que son champ d</w:t>
      </w:r>
      <w:r>
        <w:rPr>
          <w:lang w:val="fr-FR"/>
        </w:rPr>
        <w:t>’</w:t>
      </w:r>
      <w:r w:rsidRPr="00556154">
        <w:rPr>
          <w:lang w:val="fr-FR"/>
        </w:rPr>
        <w:t>application devait être limité aux articles pyrotechniques similaires aux feux d</w:t>
      </w:r>
      <w:r>
        <w:rPr>
          <w:lang w:val="fr-FR"/>
        </w:rPr>
        <w:t>’</w:t>
      </w:r>
      <w:r w:rsidRPr="00556154">
        <w:rPr>
          <w:lang w:val="fr-FR"/>
        </w:rPr>
        <w:t>artifice figurant dans le tableau par défaut et répondant aux mêmes critères que ceux-ci, car ils étaient d</w:t>
      </w:r>
      <w:r>
        <w:rPr>
          <w:lang w:val="fr-FR"/>
        </w:rPr>
        <w:t>’</w:t>
      </w:r>
      <w:r w:rsidRPr="00556154">
        <w:rPr>
          <w:lang w:val="fr-FR"/>
        </w:rPr>
        <w:t>avis que la proposition actuelle était trop large et qu</w:t>
      </w:r>
      <w:r>
        <w:rPr>
          <w:lang w:val="fr-FR"/>
        </w:rPr>
        <w:t>’</w:t>
      </w:r>
      <w:r w:rsidRPr="00556154">
        <w:rPr>
          <w:lang w:val="fr-FR"/>
        </w:rPr>
        <w:t>elle permettrait de classer certains articles pyrotechniques de manière inappropriée</w:t>
      </w:r>
      <w:r w:rsidRPr="00DE4FBC">
        <w:rPr>
          <w:lang w:val="fr-FR"/>
        </w:rPr>
        <w:t xml:space="preserve">. </w:t>
      </w:r>
    </w:p>
    <w:p w:rsidR="00E30E39" w:rsidRPr="00DE4FBC" w:rsidRDefault="00E30E39" w:rsidP="007C6B0C">
      <w:pPr>
        <w:pStyle w:val="H23G"/>
        <w:rPr>
          <w:lang w:val="fr-FR"/>
        </w:rPr>
      </w:pPr>
      <w:r w:rsidRPr="00DE4FBC">
        <w:rPr>
          <w:lang w:val="fr-FR"/>
        </w:rPr>
        <w:tab/>
        <w:t>6.</w:t>
      </w:r>
      <w:r w:rsidRPr="00DE4FBC">
        <w:rPr>
          <w:lang w:val="fr-FR"/>
        </w:rPr>
        <w:tab/>
      </w:r>
      <w:r w:rsidRPr="00EE6666">
        <w:rPr>
          <w:lang w:val="fr-FR"/>
        </w:rPr>
        <w:t>Dispositifs de sécurité (N</w:t>
      </w:r>
      <w:r w:rsidRPr="00EE6666">
        <w:rPr>
          <w:vertAlign w:val="superscript"/>
          <w:lang w:val="fr-FR"/>
        </w:rPr>
        <w:t>o</w:t>
      </w:r>
      <w:r w:rsidRPr="00EE6666">
        <w:rPr>
          <w:lang w:val="fr-FR"/>
        </w:rPr>
        <w:t xml:space="preserve"> ONU 3268</w:t>
      </w:r>
      <w:r w:rsidRPr="00DE4FBC">
        <w:rPr>
          <w:lang w:val="fr-FR"/>
        </w:rPr>
        <w:t>)</w:t>
      </w:r>
    </w:p>
    <w:p w:rsidR="00E30E39" w:rsidRPr="00DE4FBC" w:rsidRDefault="005E4BE3" w:rsidP="007C6B0C">
      <w:pPr>
        <w:pStyle w:val="SingleTxtG"/>
        <w:tabs>
          <w:tab w:val="left" w:pos="3119"/>
        </w:tabs>
        <w:ind w:left="3119" w:hanging="1985"/>
        <w:jc w:val="left"/>
        <w:rPr>
          <w:lang w:val="fr-FR"/>
        </w:rPr>
      </w:pPr>
      <w:r>
        <w:rPr>
          <w:i/>
          <w:iCs/>
          <w:lang w:val="fr-FR"/>
        </w:rPr>
        <w:t>Document informel</w:t>
      </w:r>
      <w:r w:rsidR="007C6B0C">
        <w:rPr>
          <w:i/>
          <w:iCs/>
          <w:lang w:val="fr-FR"/>
        </w:rPr>
        <w:t> </w:t>
      </w:r>
      <w:r w:rsidR="007C6B0C">
        <w:rPr>
          <w:iCs/>
          <w:lang w:val="fr-FR"/>
        </w:rPr>
        <w:t>:</w:t>
      </w:r>
      <w:r w:rsidR="00E30E39" w:rsidRPr="00DE4FBC">
        <w:rPr>
          <w:i/>
          <w:iCs/>
          <w:lang w:val="fr-FR"/>
        </w:rPr>
        <w:tab/>
      </w:r>
      <w:r w:rsidR="00E30E39" w:rsidRPr="00DE4FBC">
        <w:rPr>
          <w:lang w:val="fr-FR"/>
        </w:rPr>
        <w:t>INF.32 (COSTHA)</w:t>
      </w:r>
      <w:r w:rsidR="007C6B0C">
        <w:rPr>
          <w:lang w:val="fr-FR"/>
        </w:rPr>
        <w:t>.</w:t>
      </w:r>
    </w:p>
    <w:p w:rsidR="00E30E39" w:rsidRPr="00DE4FBC" w:rsidRDefault="00E30E39" w:rsidP="007C6B0C">
      <w:pPr>
        <w:pStyle w:val="SingleTxtG"/>
        <w:rPr>
          <w:lang w:val="fr-FR"/>
        </w:rPr>
      </w:pPr>
      <w:r w:rsidRPr="00DE4FBC">
        <w:rPr>
          <w:lang w:val="fr-FR"/>
        </w:rPr>
        <w:t>37.</w:t>
      </w:r>
      <w:r w:rsidRPr="00DE4FBC">
        <w:rPr>
          <w:lang w:val="fr-FR"/>
        </w:rPr>
        <w:tab/>
      </w:r>
      <w:r w:rsidRPr="00E17D0F">
        <w:t>Des points de vue divergents ont été exprimés quant à l</w:t>
      </w:r>
      <w:r>
        <w:t>’</w:t>
      </w:r>
      <w:r w:rsidRPr="00E17D0F">
        <w:t xml:space="preserve">applicabilité du </w:t>
      </w:r>
      <w:r>
        <w:t xml:space="preserve">numéro </w:t>
      </w:r>
      <w:r w:rsidRPr="00E17D0F">
        <w:t>ONU 3268 aux microgénérateurs de gaz. Certains experts ont fait remarquer que ces générateurs pouvaient être utilisés dans des dispositifs de sécurité autres que ceux mentionnés expressément dans la disposition spéciale 280 et qu</w:t>
      </w:r>
      <w:r>
        <w:t>’</w:t>
      </w:r>
      <w:r w:rsidRPr="00E17D0F">
        <w:t>ils ne devaient donc pas être transportés sous le</w:t>
      </w:r>
      <w:r>
        <w:t xml:space="preserve"> numéro</w:t>
      </w:r>
      <w:r w:rsidR="007C6B0C">
        <w:t xml:space="preserve"> </w:t>
      </w:r>
      <w:r w:rsidRPr="00E17D0F">
        <w:t xml:space="preserve">ONU 3268. </w:t>
      </w:r>
      <w:r w:rsidRPr="006457ED">
        <w:t>D</w:t>
      </w:r>
      <w:r>
        <w:t>’</w:t>
      </w:r>
      <w:r w:rsidRPr="006457ED">
        <w:t>autres ont exprimé l</w:t>
      </w:r>
      <w:r>
        <w:t>’</w:t>
      </w:r>
      <w:r w:rsidRPr="006457ED">
        <w:t>avis qu</w:t>
      </w:r>
      <w:r>
        <w:t>’</w:t>
      </w:r>
      <w:r w:rsidRPr="006457ED">
        <w:t xml:space="preserve">un composant de production de gaz </w:t>
      </w:r>
      <w:r>
        <w:t>remplissant</w:t>
      </w:r>
      <w:r w:rsidRPr="006457ED">
        <w:t xml:space="preserve"> une fonction liée à la sécurité telle que décrite dans la disposition spéciale 280 serait compris dans la rubrique actuelle. En outre, certains experts </w:t>
      </w:r>
      <w:r w:rsidRPr="00E17D0F">
        <w:t xml:space="preserve">ont estimé que le </w:t>
      </w:r>
      <w:r w:rsidRPr="009C0CA7">
        <w:t xml:space="preserve">numéro </w:t>
      </w:r>
      <w:r w:rsidRPr="00E17D0F">
        <w:t xml:space="preserve">ONU 3268 devait être attribué sur la base des </w:t>
      </w:r>
      <w:r>
        <w:t xml:space="preserve">seules </w:t>
      </w:r>
      <w:r w:rsidRPr="00E17D0F">
        <w:t>caractéristiques du dispositif de sécurité, indépendamment du lieu d</w:t>
      </w:r>
      <w:r>
        <w:t>’</w:t>
      </w:r>
      <w:r w:rsidRPr="00E17D0F">
        <w:t>utilisation prévu (dans un véhicule, dans un immeuble, etc</w:t>
      </w:r>
      <w:r>
        <w:t>.</w:t>
      </w:r>
      <w:r w:rsidRPr="00DE4FBC">
        <w:rPr>
          <w:lang w:val="fr-FR"/>
        </w:rPr>
        <w:t xml:space="preserve">). </w:t>
      </w:r>
    </w:p>
    <w:p w:rsidR="00E30E39" w:rsidRPr="00DE4FBC" w:rsidRDefault="00E30E39" w:rsidP="007C6B0C">
      <w:pPr>
        <w:pStyle w:val="SingleTxtG"/>
        <w:rPr>
          <w:lang w:val="fr-FR"/>
        </w:rPr>
      </w:pPr>
      <w:r w:rsidRPr="00DE4FBC">
        <w:rPr>
          <w:lang w:val="fr-FR"/>
        </w:rPr>
        <w:t>38.</w:t>
      </w:r>
      <w:r w:rsidRPr="00DE4FBC">
        <w:rPr>
          <w:lang w:val="fr-FR"/>
        </w:rPr>
        <w:tab/>
      </w:r>
      <w:r w:rsidRPr="00E17D0F">
        <w:t>Le Sous-Comité a considéré que les prescriptions relatives aux dispositifs de sécurité qui figuraient actuellement dans le Règlement type avaient été initialement formulées e</w:t>
      </w:r>
      <w:r>
        <w:t>u</w:t>
      </w:r>
      <w:r w:rsidRPr="00E17D0F">
        <w:t xml:space="preserve"> </w:t>
      </w:r>
      <w:r>
        <w:t>égard</w:t>
      </w:r>
      <w:r w:rsidRPr="00E17D0F">
        <w:t xml:space="preserve"> uniquement </w:t>
      </w:r>
      <w:r>
        <w:t>aux</w:t>
      </w:r>
      <w:r w:rsidRPr="00E17D0F">
        <w:t xml:space="preserve"> dispositifs destinés aux véhicules, navires et avions et </w:t>
      </w:r>
      <w:r>
        <w:t>à leurs</w:t>
      </w:r>
      <w:r w:rsidRPr="00E17D0F">
        <w:t xml:space="preserve"> composants</w:t>
      </w:r>
      <w:r w:rsidRPr="00DE4FBC">
        <w:rPr>
          <w:lang w:val="fr-FR"/>
        </w:rPr>
        <w:t xml:space="preserve">. </w:t>
      </w:r>
    </w:p>
    <w:p w:rsidR="00E30E39" w:rsidRPr="00DE4FBC" w:rsidRDefault="00E30E39" w:rsidP="007C6B0C">
      <w:pPr>
        <w:pStyle w:val="SingleTxtG"/>
        <w:rPr>
          <w:lang w:val="fr-FR"/>
        </w:rPr>
      </w:pPr>
      <w:r w:rsidRPr="00DE4FBC">
        <w:rPr>
          <w:lang w:val="fr-FR"/>
        </w:rPr>
        <w:t>39.</w:t>
      </w:r>
      <w:r w:rsidRPr="00DE4FBC">
        <w:rPr>
          <w:lang w:val="fr-FR"/>
        </w:rPr>
        <w:tab/>
      </w:r>
      <w:r w:rsidRPr="00E17D0F">
        <w:t>Le représentant du COSTHA a dit qu</w:t>
      </w:r>
      <w:r>
        <w:t>’</w:t>
      </w:r>
      <w:r w:rsidRPr="00E17D0F">
        <w:t xml:space="preserve">il soumettrait à la session </w:t>
      </w:r>
      <w:r>
        <w:t xml:space="preserve">suivante </w:t>
      </w:r>
      <w:r w:rsidRPr="00E17D0F">
        <w:t>un document co</w:t>
      </w:r>
      <w:r>
        <w:t>mpr</w:t>
      </w:r>
      <w:r w:rsidRPr="00E17D0F">
        <w:t xml:space="preserve">enant des données relatives à la sécurité pour les </w:t>
      </w:r>
      <w:r w:rsidRPr="00ED1E29">
        <w:t>microgénérateurs de gaz</w:t>
      </w:r>
      <w:r w:rsidRPr="00E17D0F">
        <w:t xml:space="preserve">, </w:t>
      </w:r>
      <w:r>
        <w:t>afin de répondre à</w:t>
      </w:r>
      <w:r w:rsidRPr="00E17D0F">
        <w:t xml:space="preserve"> certaines des questions soulevées et de permettre au Sous-Comité de prendre une décision éclairée</w:t>
      </w:r>
      <w:r w:rsidRPr="00DE4FBC">
        <w:rPr>
          <w:lang w:val="fr-FR"/>
        </w:rPr>
        <w:t>.</w:t>
      </w:r>
    </w:p>
    <w:p w:rsidR="00E30E39" w:rsidRPr="00DE4FBC" w:rsidRDefault="00E30E39" w:rsidP="007C6B0C">
      <w:pPr>
        <w:pStyle w:val="H23G"/>
        <w:rPr>
          <w:lang w:val="fr-FR"/>
        </w:rPr>
      </w:pPr>
      <w:r w:rsidRPr="00DE4FBC">
        <w:rPr>
          <w:lang w:val="fr-FR"/>
        </w:rPr>
        <w:tab/>
        <w:t>7.</w:t>
      </w:r>
      <w:r w:rsidRPr="00DE4FBC">
        <w:rPr>
          <w:lang w:val="fr-FR"/>
        </w:rPr>
        <w:tab/>
      </w:r>
      <w:r>
        <w:t xml:space="preserve">Classement des explosifs désensibilisés aux fins de la distribution </w:t>
      </w:r>
      <w:r w:rsidR="00C60C0C">
        <w:br/>
      </w:r>
      <w:r>
        <w:t>et de l’utilisation</w:t>
      </w:r>
      <w:r w:rsidRPr="00DE4FBC">
        <w:rPr>
          <w:lang w:val="fr-FR"/>
        </w:rPr>
        <w:t xml:space="preserve"> </w:t>
      </w:r>
      <w:r w:rsidRPr="00D55792">
        <w:rPr>
          <w:lang w:val="fr-FR"/>
        </w:rPr>
        <w:t>conformément au chapitre 2.17 du SGH</w:t>
      </w:r>
    </w:p>
    <w:p w:rsidR="00E30E39" w:rsidRPr="00DE4FBC" w:rsidRDefault="007C6B0C" w:rsidP="007C6B0C">
      <w:pPr>
        <w:pStyle w:val="SingleTxtG"/>
        <w:tabs>
          <w:tab w:val="left" w:pos="3119"/>
        </w:tabs>
        <w:ind w:left="3119" w:hanging="1985"/>
        <w:jc w:val="left"/>
        <w:rPr>
          <w:lang w:val="fr-FR"/>
        </w:rPr>
      </w:pPr>
      <w:r>
        <w:rPr>
          <w:i/>
          <w:iCs/>
          <w:lang w:val="fr-FR"/>
        </w:rPr>
        <w:t>Documents informels </w:t>
      </w:r>
      <w:r>
        <w:rPr>
          <w:iCs/>
          <w:lang w:val="fr-FR"/>
        </w:rPr>
        <w:t>:</w:t>
      </w:r>
      <w:r w:rsidR="00E30E39" w:rsidRPr="00DE4FBC">
        <w:rPr>
          <w:i/>
          <w:iCs/>
          <w:lang w:val="fr-FR"/>
        </w:rPr>
        <w:tab/>
      </w:r>
      <w:r w:rsidR="00E30E39" w:rsidRPr="00DE4FBC">
        <w:rPr>
          <w:lang w:val="fr-FR"/>
        </w:rPr>
        <w:t>INF.7 (CEFIC)</w:t>
      </w:r>
      <w:r>
        <w:rPr>
          <w:lang w:val="fr-FR"/>
        </w:rPr>
        <w:br/>
      </w:r>
      <w:r w:rsidR="00E30E39" w:rsidRPr="00DE4FBC">
        <w:rPr>
          <w:iCs/>
          <w:lang w:val="fr-FR"/>
        </w:rPr>
        <w:t>INF.14 (SAAMI)</w:t>
      </w:r>
      <w:r>
        <w:rPr>
          <w:iCs/>
          <w:lang w:val="fr-FR"/>
        </w:rPr>
        <w:br/>
      </w:r>
      <w:r w:rsidR="00E30E39" w:rsidRPr="00DE4FBC">
        <w:rPr>
          <w:iCs/>
          <w:lang w:val="fr-FR"/>
        </w:rPr>
        <w:t>INF.53 (</w:t>
      </w:r>
      <w:r w:rsidR="00E30E39">
        <w:rPr>
          <w:iCs/>
          <w:lang w:val="fr-FR"/>
        </w:rPr>
        <w:t>Président du Groupe de travail</w:t>
      </w:r>
      <w:r w:rsidR="00E30E39" w:rsidRPr="00DE4FBC">
        <w:rPr>
          <w:iCs/>
          <w:lang w:val="fr-FR"/>
        </w:rPr>
        <w:t>)</w:t>
      </w:r>
      <w:r>
        <w:rPr>
          <w:iCs/>
          <w:lang w:val="fr-FR"/>
        </w:rPr>
        <w:t>.</w:t>
      </w:r>
    </w:p>
    <w:p w:rsidR="00E30E39" w:rsidRPr="00DE4FBC" w:rsidRDefault="00E30E39" w:rsidP="007C6B0C">
      <w:pPr>
        <w:pStyle w:val="SingleTxtG"/>
        <w:rPr>
          <w:lang w:val="fr-FR"/>
        </w:rPr>
      </w:pPr>
      <w:r w:rsidRPr="00DE4FBC">
        <w:rPr>
          <w:lang w:val="fr-FR"/>
        </w:rPr>
        <w:t>40.</w:t>
      </w:r>
      <w:r w:rsidRPr="00DE4FBC">
        <w:rPr>
          <w:lang w:val="fr-FR"/>
        </w:rPr>
        <w:tab/>
      </w:r>
      <w:r w:rsidRPr="007C4542">
        <w:rPr>
          <w:lang w:val="fr-FR"/>
        </w:rPr>
        <w:t>Le Sous-Comité a noté que le Groupe de travail était convenu qu</w:t>
      </w:r>
      <w:r>
        <w:rPr>
          <w:lang w:val="fr-FR"/>
        </w:rPr>
        <w:t>’</w:t>
      </w:r>
      <w:r w:rsidRPr="007C4542">
        <w:rPr>
          <w:lang w:val="fr-FR"/>
        </w:rPr>
        <w:t>une classification fondée sur les données d</w:t>
      </w:r>
      <w:r>
        <w:rPr>
          <w:lang w:val="fr-FR"/>
        </w:rPr>
        <w:t>’</w:t>
      </w:r>
      <w:r w:rsidRPr="007C4542">
        <w:rPr>
          <w:lang w:val="fr-FR"/>
        </w:rPr>
        <w:t>essai existantes était préférable à la réalisation d</w:t>
      </w:r>
      <w:r>
        <w:rPr>
          <w:lang w:val="fr-FR"/>
        </w:rPr>
        <w:t>’</w:t>
      </w:r>
      <w:r w:rsidRPr="007C4542">
        <w:rPr>
          <w:lang w:val="fr-FR"/>
        </w:rPr>
        <w:t xml:space="preserve">essais. Il a </w:t>
      </w:r>
      <w:r w:rsidRPr="007C4542">
        <w:rPr>
          <w:lang w:val="fr-FR"/>
        </w:rPr>
        <w:lastRenderedPageBreak/>
        <w:t>également noté que le Groupe de travail avait examiné la nécessité d</w:t>
      </w:r>
      <w:r>
        <w:rPr>
          <w:lang w:val="fr-FR"/>
        </w:rPr>
        <w:t>’</w:t>
      </w:r>
      <w:r w:rsidRPr="007C4542">
        <w:rPr>
          <w:lang w:val="fr-FR"/>
        </w:rPr>
        <w:t>une description plus détaillée des fûts d</w:t>
      </w:r>
      <w:r>
        <w:rPr>
          <w:lang w:val="fr-FR"/>
        </w:rPr>
        <w:t>’</w:t>
      </w:r>
      <w:r w:rsidRPr="007C4542">
        <w:rPr>
          <w:lang w:val="fr-FR"/>
        </w:rPr>
        <w:t>emballage en acier auxquels</w:t>
      </w:r>
      <w:r w:rsidRPr="00E147C3">
        <w:rPr>
          <w:lang w:val="fr-FR"/>
        </w:rPr>
        <w:t xml:space="preserve"> </w:t>
      </w:r>
      <w:r w:rsidRPr="007C4542">
        <w:rPr>
          <w:lang w:val="fr-FR"/>
        </w:rPr>
        <w:t>s</w:t>
      </w:r>
      <w:r>
        <w:rPr>
          <w:lang w:val="fr-FR"/>
        </w:rPr>
        <w:t>’</w:t>
      </w:r>
      <w:r w:rsidRPr="007C4542">
        <w:rPr>
          <w:lang w:val="fr-FR"/>
        </w:rPr>
        <w:t>appliquaient les données</w:t>
      </w:r>
      <w:r>
        <w:rPr>
          <w:lang w:val="fr-FR"/>
        </w:rPr>
        <w:t>,</w:t>
      </w:r>
      <w:r w:rsidRPr="007C4542">
        <w:rPr>
          <w:lang w:val="fr-FR"/>
        </w:rPr>
        <w:t xml:space="preserve"> et avait pris note des informations fournies par l</w:t>
      </w:r>
      <w:r>
        <w:rPr>
          <w:lang w:val="fr-FR"/>
        </w:rPr>
        <w:t>’</w:t>
      </w:r>
      <w:r w:rsidRPr="007C4542">
        <w:rPr>
          <w:lang w:val="fr-FR"/>
        </w:rPr>
        <w:t xml:space="preserve">expert de la Suède concernant certaines divergences entre les résultats figurant dans le document informel INF.7 et ceux </w:t>
      </w:r>
      <w:r>
        <w:rPr>
          <w:lang w:val="fr-FR"/>
        </w:rPr>
        <w:t xml:space="preserve">du </w:t>
      </w:r>
      <w:r w:rsidRPr="007C4542">
        <w:rPr>
          <w:lang w:val="fr-FR"/>
        </w:rPr>
        <w:t>paragraphe</w:t>
      </w:r>
      <w:r w:rsidR="00C60C0C">
        <w:rPr>
          <w:lang w:val="fr-FR"/>
        </w:rPr>
        <w:t> </w:t>
      </w:r>
      <w:r w:rsidRPr="007C4542">
        <w:rPr>
          <w:lang w:val="fr-FR"/>
        </w:rPr>
        <w:t>51.4.5.1 de la section</w:t>
      </w:r>
      <w:r w:rsidR="00C60C0C">
        <w:rPr>
          <w:lang w:val="fr-FR"/>
        </w:rPr>
        <w:t> </w:t>
      </w:r>
      <w:r w:rsidRPr="007C4542">
        <w:rPr>
          <w:lang w:val="fr-FR"/>
        </w:rPr>
        <w:t>51 du Manuel d</w:t>
      </w:r>
      <w:r>
        <w:rPr>
          <w:lang w:val="fr-FR"/>
        </w:rPr>
        <w:t>’</w:t>
      </w:r>
      <w:r w:rsidRPr="007C4542">
        <w:rPr>
          <w:lang w:val="fr-FR"/>
        </w:rPr>
        <w:t>épreuves et de critères</w:t>
      </w:r>
      <w:r w:rsidRPr="00DE4FBC">
        <w:rPr>
          <w:lang w:val="fr-FR"/>
        </w:rPr>
        <w:t xml:space="preserve">. </w:t>
      </w:r>
    </w:p>
    <w:p w:rsidR="00E30E39" w:rsidRPr="00DE4FBC" w:rsidRDefault="00E30E39" w:rsidP="007C6B0C">
      <w:pPr>
        <w:pStyle w:val="SingleTxtG"/>
        <w:rPr>
          <w:lang w:val="fr-FR"/>
        </w:rPr>
      </w:pPr>
      <w:r w:rsidRPr="00DE4FBC">
        <w:rPr>
          <w:lang w:val="fr-FR"/>
        </w:rPr>
        <w:t>41.</w:t>
      </w:r>
      <w:r w:rsidRPr="00DE4FBC">
        <w:rPr>
          <w:lang w:val="fr-FR"/>
        </w:rPr>
        <w:tab/>
      </w:r>
      <w:r w:rsidRPr="001B79C2">
        <w:rPr>
          <w:lang w:val="fr-FR"/>
        </w:rPr>
        <w:t>Le Sous-Comité a noté que le représentant du CEFIC vérifierait les divergences notifiées au cours du débat et que les représentants du CEFIC et du SAAMI soumettraient à sa session suivante des propositions révisées tenant compte des observations formulées</w:t>
      </w:r>
      <w:r w:rsidRPr="00DE4FBC">
        <w:rPr>
          <w:lang w:val="fr-FR"/>
        </w:rPr>
        <w:t>.</w:t>
      </w:r>
    </w:p>
    <w:p w:rsidR="00E30E39" w:rsidRPr="00B41EB8" w:rsidRDefault="00E30E39" w:rsidP="007C6B0C">
      <w:pPr>
        <w:pStyle w:val="HChG"/>
        <w:rPr>
          <w:lang w:val="fr-FR"/>
        </w:rPr>
      </w:pPr>
      <w:r w:rsidRPr="00B41EB8">
        <w:tab/>
        <w:t>V.</w:t>
      </w:r>
      <w:r w:rsidRPr="00B41EB8">
        <w:tab/>
      </w:r>
      <w:r w:rsidRPr="00B41EB8">
        <w:rPr>
          <w:lang w:val="fr-FR"/>
        </w:rPr>
        <w:t xml:space="preserve">Inscription, classement et emballage </w:t>
      </w:r>
      <w:r>
        <w:rPr>
          <w:lang w:val="fr-FR"/>
        </w:rPr>
        <w:br/>
      </w:r>
      <w:r w:rsidRPr="00B41EB8">
        <w:rPr>
          <w:lang w:val="fr-FR"/>
        </w:rPr>
        <w:t>(point 3 de l</w:t>
      </w:r>
      <w:r>
        <w:rPr>
          <w:lang w:val="fr-FR"/>
        </w:rPr>
        <w:t>’</w:t>
      </w:r>
      <w:r w:rsidRPr="00B41EB8">
        <w:rPr>
          <w:lang w:val="fr-FR"/>
        </w:rPr>
        <w:t>ordre du jour)</w:t>
      </w:r>
    </w:p>
    <w:p w:rsidR="00E30E39" w:rsidRPr="00B41EB8" w:rsidRDefault="00E30E39" w:rsidP="007C6B0C">
      <w:pPr>
        <w:pStyle w:val="H1G"/>
        <w:rPr>
          <w:lang w:val="fr-FR"/>
        </w:rPr>
      </w:pPr>
      <w:r w:rsidRPr="00B41EB8">
        <w:rPr>
          <w:lang w:val="fr-FR"/>
        </w:rPr>
        <w:tab/>
        <w:t>A.</w:t>
      </w:r>
      <w:r w:rsidRPr="00B41EB8">
        <w:rPr>
          <w:lang w:val="fr-FR"/>
        </w:rPr>
        <w:tab/>
        <w:t xml:space="preserve">Extension du nom et de la description du </w:t>
      </w:r>
      <w:r>
        <w:rPr>
          <w:lang w:val="fr-FR"/>
        </w:rPr>
        <w:t>numéro</w:t>
      </w:r>
      <w:r w:rsidRPr="00B41EB8">
        <w:rPr>
          <w:lang w:val="fr-FR"/>
        </w:rPr>
        <w:t xml:space="preserve"> ONU 2990 </w:t>
      </w:r>
      <w:r>
        <w:rPr>
          <w:lang w:val="fr-FR"/>
        </w:rPr>
        <w:br/>
      </w:r>
      <w:r w:rsidR="007C6B0C" w:rsidRPr="00B41EB8">
        <w:rPr>
          <w:lang w:val="fr-FR"/>
        </w:rPr>
        <w:t>Engins de</w:t>
      </w:r>
      <w:r w:rsidR="007C6B0C">
        <w:rPr>
          <w:lang w:val="fr-FR"/>
        </w:rPr>
        <w:t xml:space="preserve"> </w:t>
      </w:r>
      <w:r w:rsidR="007C6B0C" w:rsidRPr="00B41EB8">
        <w:rPr>
          <w:lang w:val="fr-FR"/>
        </w:rPr>
        <w:t>sauvetage autogonflables</w:t>
      </w:r>
      <w:r w:rsidRPr="00B41EB8">
        <w:rPr>
          <w:lang w:val="fr-FR"/>
        </w:rPr>
        <w:t>, Classe 9</w:t>
      </w:r>
    </w:p>
    <w:p w:rsidR="00E30E39" w:rsidRPr="00DE4FBC" w:rsidRDefault="00E30E39" w:rsidP="007C6B0C">
      <w:pPr>
        <w:pStyle w:val="SingleTxtG"/>
        <w:tabs>
          <w:tab w:val="left" w:pos="3119"/>
        </w:tabs>
        <w:ind w:left="3119" w:hanging="1985"/>
        <w:jc w:val="left"/>
        <w:rPr>
          <w:lang w:val="fr-FR"/>
        </w:rPr>
      </w:pPr>
      <w:r w:rsidRPr="00DE4FBC">
        <w:rPr>
          <w:i/>
          <w:iCs/>
          <w:lang w:val="fr-FR"/>
        </w:rPr>
        <w:t>Docume</w:t>
      </w:r>
      <w:r w:rsidR="007C6B0C">
        <w:rPr>
          <w:i/>
          <w:iCs/>
          <w:lang w:val="fr-FR"/>
        </w:rPr>
        <w:t>nts </w:t>
      </w:r>
      <w:r w:rsidR="007C6B0C">
        <w:rPr>
          <w:iCs/>
          <w:lang w:val="fr-FR"/>
        </w:rPr>
        <w:t>:</w:t>
      </w:r>
      <w:r w:rsidRPr="00DE4FBC">
        <w:rPr>
          <w:lang w:val="fr-FR"/>
        </w:rPr>
        <w:tab/>
        <w:t>ST/SG/AC.10/C.3/2017/29 (</w:t>
      </w:r>
      <w:r>
        <w:rPr>
          <w:lang w:val="fr-FR"/>
        </w:rPr>
        <w:t>Allemagne</w:t>
      </w:r>
      <w:r w:rsidRPr="00DE4FBC">
        <w:rPr>
          <w:lang w:val="fr-FR"/>
        </w:rPr>
        <w:t>)</w:t>
      </w:r>
      <w:r w:rsidR="007C6B0C">
        <w:rPr>
          <w:lang w:val="fr-FR"/>
        </w:rPr>
        <w:t>.</w:t>
      </w:r>
    </w:p>
    <w:p w:rsidR="00E30E39" w:rsidRPr="00DE4FBC" w:rsidRDefault="00E30E39" w:rsidP="007C6B0C">
      <w:pPr>
        <w:pStyle w:val="SingleTxtG"/>
        <w:rPr>
          <w:lang w:val="fr-FR"/>
        </w:rPr>
      </w:pPr>
      <w:r w:rsidRPr="00DE4FBC">
        <w:rPr>
          <w:lang w:val="fr-FR"/>
        </w:rPr>
        <w:t>42.</w:t>
      </w:r>
      <w:r w:rsidRPr="00DE4FBC">
        <w:rPr>
          <w:lang w:val="fr-FR"/>
        </w:rPr>
        <w:tab/>
      </w:r>
      <w:r>
        <w:rPr>
          <w:lang w:val="fr-FR"/>
        </w:rPr>
        <w:t xml:space="preserve">Certains experts étaient favorables à la proposition d’étendre le nom et la description du numéro ONU 2990 aux engins de récupération autogonflables et de modifier en conséquence la disposition spéciale 296. </w:t>
      </w:r>
      <w:r w:rsidRPr="001E341B">
        <w:rPr>
          <w:lang w:val="fr-FR"/>
        </w:rPr>
        <w:t>Toutefois, la majorité des experts étaient d</w:t>
      </w:r>
      <w:r>
        <w:rPr>
          <w:lang w:val="fr-FR"/>
        </w:rPr>
        <w:t>’</w:t>
      </w:r>
      <w:r w:rsidRPr="001E341B">
        <w:rPr>
          <w:lang w:val="fr-FR"/>
        </w:rPr>
        <w:t xml:space="preserve">avis que </w:t>
      </w:r>
      <w:r>
        <w:rPr>
          <w:lang w:val="fr-FR"/>
        </w:rPr>
        <w:t xml:space="preserve">la rubrique des </w:t>
      </w:r>
      <w:r w:rsidRPr="001E341B">
        <w:rPr>
          <w:lang w:val="fr-FR"/>
        </w:rPr>
        <w:t>engins de sauvetage devait demeurer limité</w:t>
      </w:r>
      <w:r>
        <w:rPr>
          <w:lang w:val="fr-FR"/>
        </w:rPr>
        <w:t>e</w:t>
      </w:r>
      <w:r w:rsidRPr="001E341B">
        <w:rPr>
          <w:lang w:val="fr-FR"/>
        </w:rPr>
        <w:t xml:space="preserve"> aux </w:t>
      </w:r>
      <w:r>
        <w:rPr>
          <w:lang w:val="fr-FR"/>
        </w:rPr>
        <w:t>engins</w:t>
      </w:r>
      <w:r w:rsidRPr="001E341B">
        <w:rPr>
          <w:lang w:val="fr-FR"/>
        </w:rPr>
        <w:t xml:space="preserve"> rempliss</w:t>
      </w:r>
      <w:r>
        <w:rPr>
          <w:lang w:val="fr-FR"/>
        </w:rPr>
        <w:t>a</w:t>
      </w:r>
      <w:r w:rsidRPr="001E341B">
        <w:rPr>
          <w:lang w:val="fr-FR"/>
        </w:rPr>
        <w:t>nt une fonction de sauvetage</w:t>
      </w:r>
      <w:r w:rsidRPr="00DE4FBC">
        <w:rPr>
          <w:lang w:val="fr-FR"/>
        </w:rPr>
        <w:t>.</w:t>
      </w:r>
    </w:p>
    <w:p w:rsidR="00E30E39" w:rsidRPr="00DE4FBC" w:rsidRDefault="00E30E39" w:rsidP="007C6B0C">
      <w:pPr>
        <w:pStyle w:val="SingleTxtG"/>
        <w:rPr>
          <w:lang w:val="fr-FR"/>
        </w:rPr>
      </w:pPr>
      <w:r w:rsidRPr="00DE4FBC">
        <w:rPr>
          <w:lang w:val="fr-FR"/>
        </w:rPr>
        <w:t>43.</w:t>
      </w:r>
      <w:r w:rsidRPr="00DE4FBC">
        <w:rPr>
          <w:lang w:val="fr-FR"/>
        </w:rPr>
        <w:tab/>
      </w:r>
      <w:r>
        <w:rPr>
          <w:lang w:val="fr-FR"/>
        </w:rPr>
        <w:t>L’experte de l’Allemagne a retiré sa proposition en disant qu’elle en soumettrait une nouvelle, dans laquelle seraient fournies davantage d’informations. Les experts estimant que la question pouvait être réglée différemment ont été priés de lui communiquer leurs suggestions par écrit</w:t>
      </w:r>
      <w:r w:rsidRPr="00DE4FBC">
        <w:rPr>
          <w:lang w:val="fr-FR"/>
        </w:rPr>
        <w:t xml:space="preserve">. </w:t>
      </w:r>
    </w:p>
    <w:p w:rsidR="00E30E39" w:rsidRDefault="00E30E39" w:rsidP="007C6B0C">
      <w:pPr>
        <w:pStyle w:val="H1G"/>
      </w:pPr>
      <w:r>
        <w:tab/>
        <w:t>B.</w:t>
      </w:r>
      <w:r>
        <w:tab/>
        <w:t xml:space="preserve">Nouvelle rubrique pour le numéro ONU 1390 </w:t>
      </w:r>
      <w:r w:rsidR="007C6B0C">
        <w:t>Amidures de métaux alcalins,</w:t>
      </w:r>
      <w:r>
        <w:t xml:space="preserve"> groupe d’emballage I</w:t>
      </w:r>
    </w:p>
    <w:p w:rsidR="00E30E39" w:rsidRPr="00DE4FBC" w:rsidRDefault="00E30E39" w:rsidP="007C6B0C">
      <w:pPr>
        <w:pStyle w:val="SingleTxtG"/>
        <w:tabs>
          <w:tab w:val="left" w:pos="3119"/>
        </w:tabs>
        <w:ind w:left="3119" w:hanging="1985"/>
        <w:jc w:val="left"/>
        <w:rPr>
          <w:lang w:val="fr-FR"/>
        </w:rPr>
      </w:pPr>
      <w:r w:rsidRPr="00DE4FBC">
        <w:rPr>
          <w:i/>
          <w:iCs/>
          <w:lang w:val="fr-FR"/>
        </w:rPr>
        <w:t>Document</w:t>
      </w:r>
      <w:r w:rsidR="007C6B0C">
        <w:rPr>
          <w:i/>
          <w:iCs/>
          <w:lang w:val="fr-FR"/>
        </w:rPr>
        <w:t>s </w:t>
      </w:r>
      <w:r w:rsidRPr="00DE4FBC">
        <w:rPr>
          <w:lang w:val="fr-FR"/>
        </w:rPr>
        <w:t>:</w:t>
      </w:r>
      <w:r w:rsidRPr="00DE4FBC">
        <w:rPr>
          <w:lang w:val="fr-FR"/>
        </w:rPr>
        <w:tab/>
        <w:t>ST/SG/AC.10/C.3/2017/38 (</w:t>
      </w:r>
      <w:r w:rsidRPr="00D10E29">
        <w:rPr>
          <w:lang w:val="fr-FR"/>
        </w:rPr>
        <w:t>Allemagne</w:t>
      </w:r>
      <w:r w:rsidRPr="00DE4FBC">
        <w:rPr>
          <w:lang w:val="fr-FR"/>
        </w:rPr>
        <w:t>)</w:t>
      </w:r>
      <w:r w:rsidR="007C6B0C">
        <w:rPr>
          <w:lang w:val="fr-FR"/>
        </w:rPr>
        <w:t>.</w:t>
      </w:r>
    </w:p>
    <w:p w:rsidR="00E30E39" w:rsidRPr="00DE4FBC" w:rsidRDefault="00E30E39" w:rsidP="007C6B0C">
      <w:pPr>
        <w:pStyle w:val="SingleTxtG"/>
        <w:rPr>
          <w:lang w:val="fr-FR"/>
        </w:rPr>
      </w:pPr>
      <w:r w:rsidRPr="00DE4FBC">
        <w:rPr>
          <w:lang w:val="fr-FR"/>
        </w:rPr>
        <w:t>44.</w:t>
      </w:r>
      <w:r w:rsidRPr="00DE4FBC">
        <w:rPr>
          <w:lang w:val="fr-FR"/>
        </w:rPr>
        <w:tab/>
      </w:r>
      <w:r>
        <w:t>Le Sous-Comité a adopté la proposition d’ajouter une rubrique pour le groupe d’emballage I (voir annexe </w:t>
      </w:r>
      <w:r w:rsidRPr="00DE4FBC">
        <w:rPr>
          <w:lang w:val="fr-FR"/>
        </w:rPr>
        <w:t xml:space="preserve">II). </w:t>
      </w:r>
      <w:r>
        <w:t>L’expert des États-Unis a suggéré qu’une rubrique pour le groupe d’emballage III serait aussi utile. Il a dit qu’il soumettrait une proposition à cet effet</w:t>
      </w:r>
      <w:r w:rsidRPr="00DE4FBC">
        <w:rPr>
          <w:lang w:val="fr-FR"/>
        </w:rPr>
        <w:t>.</w:t>
      </w:r>
    </w:p>
    <w:p w:rsidR="00E30E39" w:rsidRPr="00DE4FBC" w:rsidRDefault="00E30E39" w:rsidP="007C6B0C">
      <w:pPr>
        <w:pStyle w:val="SingleTxtG"/>
        <w:rPr>
          <w:lang w:val="fr-FR"/>
        </w:rPr>
      </w:pPr>
      <w:r w:rsidRPr="00DE4FBC">
        <w:rPr>
          <w:lang w:val="fr-FR"/>
        </w:rPr>
        <w:t>45.</w:t>
      </w:r>
      <w:r w:rsidRPr="00DE4FBC">
        <w:rPr>
          <w:lang w:val="fr-FR"/>
        </w:rPr>
        <w:tab/>
      </w:r>
      <w:r w:rsidRPr="00A71246">
        <w:rPr>
          <w:lang w:val="fr-FR"/>
        </w:rPr>
        <w:t>L</w:t>
      </w:r>
      <w:r>
        <w:rPr>
          <w:lang w:val="fr-FR"/>
        </w:rPr>
        <w:t>’</w:t>
      </w:r>
      <w:r w:rsidRPr="00A71246">
        <w:rPr>
          <w:lang w:val="fr-FR"/>
        </w:rPr>
        <w:t>experte de la Chine a indiqué qu</w:t>
      </w:r>
      <w:r>
        <w:rPr>
          <w:lang w:val="fr-FR"/>
        </w:rPr>
        <w:t>’</w:t>
      </w:r>
      <w:r w:rsidRPr="00A71246">
        <w:rPr>
          <w:lang w:val="fr-FR"/>
        </w:rPr>
        <w:t>un danger subsidiaire de la classe 8 devrait aussi être envisagé à cause du pH14. Le Sous-Comité a estimé qu</w:t>
      </w:r>
      <w:r>
        <w:rPr>
          <w:lang w:val="fr-FR"/>
        </w:rPr>
        <w:t>’</w:t>
      </w:r>
      <w:r w:rsidRPr="00A71246">
        <w:rPr>
          <w:lang w:val="fr-FR"/>
        </w:rPr>
        <w:t>une décision ne pouvait pas être prise à ce sujet tant que les données pertinentes n</w:t>
      </w:r>
      <w:r>
        <w:rPr>
          <w:lang w:val="fr-FR"/>
        </w:rPr>
        <w:t>’</w:t>
      </w:r>
      <w:r w:rsidRPr="00A71246">
        <w:rPr>
          <w:lang w:val="fr-FR"/>
        </w:rPr>
        <w:t>a</w:t>
      </w:r>
      <w:r>
        <w:rPr>
          <w:lang w:val="fr-FR"/>
        </w:rPr>
        <w:t>ura</w:t>
      </w:r>
      <w:r w:rsidRPr="00A71246">
        <w:rPr>
          <w:lang w:val="fr-FR"/>
        </w:rPr>
        <w:t>ient pas été présentées. Si les critères de la classe 8 étaient remplis, il conviendrait de tenir compte du tableau de prépondérance des dangers</w:t>
      </w:r>
      <w:r w:rsidRPr="00DE4FBC">
        <w:rPr>
          <w:lang w:val="fr-FR"/>
        </w:rPr>
        <w:t>.</w:t>
      </w:r>
    </w:p>
    <w:p w:rsidR="00E30E39" w:rsidRPr="00DE4FBC" w:rsidRDefault="00E30E39" w:rsidP="002F3854">
      <w:pPr>
        <w:pStyle w:val="H1G"/>
        <w:rPr>
          <w:lang w:val="fr-FR"/>
        </w:rPr>
      </w:pPr>
      <w:r w:rsidRPr="00DE4FBC">
        <w:rPr>
          <w:lang w:val="fr-FR"/>
        </w:rPr>
        <w:tab/>
        <w:t>C.</w:t>
      </w:r>
      <w:r w:rsidRPr="00DE4FBC">
        <w:rPr>
          <w:lang w:val="fr-FR"/>
        </w:rPr>
        <w:tab/>
      </w:r>
      <w:r>
        <w:t xml:space="preserve">Affectation aux groupes d’emballage dans le cas </w:t>
      </w:r>
      <w:r w:rsidR="002F3854">
        <w:br/>
      </w:r>
      <w:r>
        <w:t>de la division 6.2 (matières infectieuses</w:t>
      </w:r>
      <w:r w:rsidRPr="00DE4FBC">
        <w:rPr>
          <w:lang w:val="fr-FR"/>
        </w:rPr>
        <w:t>)</w:t>
      </w:r>
    </w:p>
    <w:p w:rsidR="00E30E39" w:rsidRPr="00C849C6" w:rsidRDefault="00E30E39" w:rsidP="002F3854">
      <w:pPr>
        <w:pStyle w:val="SingleTxtG"/>
        <w:tabs>
          <w:tab w:val="left" w:pos="3119"/>
        </w:tabs>
        <w:ind w:left="3119" w:hanging="1985"/>
        <w:jc w:val="left"/>
      </w:pPr>
      <w:r w:rsidRPr="00C849C6">
        <w:rPr>
          <w:i/>
          <w:iCs/>
        </w:rPr>
        <w:t>Document</w:t>
      </w:r>
      <w:r w:rsidR="002F3854" w:rsidRPr="00C849C6">
        <w:rPr>
          <w:i/>
          <w:iCs/>
        </w:rPr>
        <w:t>s </w:t>
      </w:r>
      <w:r w:rsidRPr="00C849C6">
        <w:t>:</w:t>
      </w:r>
      <w:r w:rsidRPr="00C849C6">
        <w:tab/>
        <w:t>ST/SG/AC.10/C.3/2017/42 (Canada)</w:t>
      </w:r>
      <w:r w:rsidR="002F3854" w:rsidRPr="00C849C6">
        <w:t>.</w:t>
      </w:r>
    </w:p>
    <w:p w:rsidR="00E30E39" w:rsidRPr="00DE4FBC" w:rsidRDefault="00E30E39" w:rsidP="002F3854">
      <w:pPr>
        <w:pStyle w:val="SingleTxtG"/>
        <w:rPr>
          <w:lang w:val="fr-FR"/>
        </w:rPr>
      </w:pPr>
      <w:r w:rsidRPr="00DE4FBC">
        <w:rPr>
          <w:lang w:val="fr-FR"/>
        </w:rPr>
        <w:t>46.</w:t>
      </w:r>
      <w:r w:rsidRPr="00DE4FBC">
        <w:rPr>
          <w:lang w:val="fr-FR"/>
        </w:rPr>
        <w:tab/>
      </w:r>
      <w:r>
        <w:t xml:space="preserve">La proposition de ne pas indiquer le groupe d’emballage II en colonne (5) pour le numéro ONU 3291 a été adoptée par souci de cohérence avec le principe général du 2.0.1.3, étant entendu que les emballages restaient soumis aux </w:t>
      </w:r>
      <w:r w:rsidRPr="004D14BC">
        <w:t>prescriptions d</w:t>
      </w:r>
      <w:r>
        <w:t>’</w:t>
      </w:r>
      <w:r w:rsidRPr="004D14BC">
        <w:t xml:space="preserve">efficacité </w:t>
      </w:r>
      <w:r>
        <w:t xml:space="preserve">prévues pour le groupe d’emballage II, comme indiqué dans les instructions d’emballage P621, IBC620 et LP621 (voir annexe </w:t>
      </w:r>
      <w:r w:rsidRPr="00DE4FBC">
        <w:rPr>
          <w:lang w:val="fr-FR"/>
        </w:rPr>
        <w:t>II).</w:t>
      </w:r>
    </w:p>
    <w:p w:rsidR="00E30E39" w:rsidRPr="00DE4FBC" w:rsidRDefault="00E30E39" w:rsidP="002F3854">
      <w:pPr>
        <w:pStyle w:val="H1G"/>
        <w:rPr>
          <w:lang w:val="fr-FR"/>
        </w:rPr>
      </w:pPr>
      <w:r w:rsidRPr="00DE4FBC">
        <w:rPr>
          <w:lang w:val="fr-FR"/>
        </w:rPr>
        <w:lastRenderedPageBreak/>
        <w:tab/>
        <w:t>D.</w:t>
      </w:r>
      <w:r w:rsidRPr="00DE4FBC">
        <w:rPr>
          <w:lang w:val="fr-FR"/>
        </w:rPr>
        <w:tab/>
      </w:r>
      <w:r>
        <w:t>Matières qui polymérisent</w:t>
      </w:r>
      <w:r w:rsidR="00294EC9">
        <w:t xml:space="preserve"> −</w:t>
      </w:r>
      <w:r>
        <w:t xml:space="preserve"> N</w:t>
      </w:r>
      <w:r w:rsidRPr="003D2206">
        <w:rPr>
          <w:vertAlign w:val="superscript"/>
        </w:rPr>
        <w:t>os</w:t>
      </w:r>
      <w:r>
        <w:t xml:space="preserve"> ONU 2522 et 2383</w:t>
      </w:r>
    </w:p>
    <w:p w:rsidR="00E30E39" w:rsidRPr="00DE4FBC" w:rsidRDefault="00E30E39" w:rsidP="002F3854">
      <w:pPr>
        <w:pStyle w:val="SingleTxtG"/>
        <w:tabs>
          <w:tab w:val="left" w:pos="3119"/>
        </w:tabs>
        <w:ind w:left="3119" w:hanging="1985"/>
        <w:jc w:val="left"/>
        <w:rPr>
          <w:lang w:val="fr-FR"/>
        </w:rPr>
      </w:pPr>
      <w:r w:rsidRPr="00C60C0C">
        <w:rPr>
          <w:i/>
          <w:iCs/>
        </w:rPr>
        <w:t>Document</w:t>
      </w:r>
      <w:r>
        <w:rPr>
          <w:i/>
          <w:iCs/>
          <w:lang w:val="fr-FR"/>
        </w:rPr>
        <w:t xml:space="preserve"> informel</w:t>
      </w:r>
      <w:r w:rsidR="00C60C0C">
        <w:rPr>
          <w:i/>
          <w:iCs/>
          <w:lang w:val="fr-FR"/>
        </w:rPr>
        <w:t> </w:t>
      </w:r>
      <w:r w:rsidRPr="00DE4FBC">
        <w:rPr>
          <w:lang w:val="fr-FR"/>
        </w:rPr>
        <w:t>:</w:t>
      </w:r>
      <w:r w:rsidRPr="00DE4FBC">
        <w:rPr>
          <w:lang w:val="fr-FR"/>
        </w:rPr>
        <w:tab/>
        <w:t>INF.5 (</w:t>
      </w:r>
      <w:r>
        <w:rPr>
          <w:lang w:val="fr-FR"/>
        </w:rPr>
        <w:t>Allemagne</w:t>
      </w:r>
      <w:r w:rsidRPr="00DE4FBC">
        <w:rPr>
          <w:lang w:val="fr-FR"/>
        </w:rPr>
        <w:t>, DGAC and CEFIC)</w:t>
      </w:r>
      <w:r w:rsidR="00C60C0C">
        <w:rPr>
          <w:lang w:val="fr-FR"/>
        </w:rPr>
        <w:t>.</w:t>
      </w:r>
    </w:p>
    <w:p w:rsidR="00E30E39" w:rsidRPr="00DE4FBC" w:rsidRDefault="00E30E39" w:rsidP="005E4BE3">
      <w:pPr>
        <w:pStyle w:val="SingleTxtG"/>
        <w:rPr>
          <w:lang w:val="fr-FR"/>
        </w:rPr>
      </w:pPr>
      <w:r w:rsidRPr="00DE4FBC">
        <w:rPr>
          <w:lang w:val="fr-FR"/>
        </w:rPr>
        <w:t>47.</w:t>
      </w:r>
      <w:r w:rsidRPr="00DE4FBC">
        <w:rPr>
          <w:lang w:val="fr-FR"/>
        </w:rPr>
        <w:tab/>
      </w:r>
      <w:r>
        <w:t xml:space="preserve">Les propositions de modification relatives à ces numéros ONU ont été adoptées entre crochets pour confirmation à la prochaine session (voir annexe </w:t>
      </w:r>
      <w:r w:rsidRPr="00DE4FBC">
        <w:rPr>
          <w:lang w:val="fr-FR"/>
        </w:rPr>
        <w:t>II).</w:t>
      </w:r>
    </w:p>
    <w:p w:rsidR="00E30E39" w:rsidRDefault="00E30E39" w:rsidP="005E4BE3">
      <w:pPr>
        <w:pStyle w:val="H1G"/>
      </w:pPr>
      <w:r>
        <w:tab/>
        <w:t>E.</w:t>
      </w:r>
      <w:r>
        <w:tab/>
        <w:t>Application de l’instruction d’emballage P003 aux grands objets</w:t>
      </w:r>
    </w:p>
    <w:p w:rsidR="00E30E39" w:rsidRPr="00DE4FBC" w:rsidRDefault="00E30E39" w:rsidP="002F3854">
      <w:pPr>
        <w:pStyle w:val="SingleTxtG"/>
        <w:tabs>
          <w:tab w:val="left" w:pos="3119"/>
        </w:tabs>
        <w:ind w:left="3119" w:hanging="1985"/>
        <w:jc w:val="left"/>
        <w:rPr>
          <w:lang w:val="fr-FR"/>
        </w:rPr>
      </w:pPr>
      <w:r w:rsidRPr="00DE4FBC">
        <w:rPr>
          <w:i/>
          <w:lang w:val="fr-FR"/>
        </w:rPr>
        <w:t>Document</w:t>
      </w:r>
      <w:r w:rsidR="005E4BE3">
        <w:rPr>
          <w:i/>
          <w:lang w:val="fr-FR"/>
        </w:rPr>
        <w:t>s </w:t>
      </w:r>
      <w:r w:rsidRPr="00DE4FBC">
        <w:rPr>
          <w:lang w:val="fr-FR"/>
        </w:rPr>
        <w:t>:</w:t>
      </w:r>
      <w:r w:rsidRPr="00DE4FBC">
        <w:rPr>
          <w:lang w:val="fr-FR"/>
        </w:rPr>
        <w:tab/>
        <w:t>ST/SG/AC.10/C.3/2017/32 (</w:t>
      </w:r>
      <w:r w:rsidRPr="00D10E29">
        <w:rPr>
          <w:lang w:val="fr-FR"/>
        </w:rPr>
        <w:t>Allemagne</w:t>
      </w:r>
      <w:r w:rsidRPr="00DE4FBC">
        <w:rPr>
          <w:lang w:val="fr-FR"/>
        </w:rPr>
        <w:t>)</w:t>
      </w:r>
      <w:r w:rsidR="005E4BE3">
        <w:rPr>
          <w:lang w:val="fr-FR"/>
        </w:rPr>
        <w:t>.</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5E4BE3">
        <w:rPr>
          <w:i/>
          <w:lang w:val="fr-FR"/>
        </w:rPr>
        <w:t> </w:t>
      </w:r>
      <w:r w:rsidRPr="00DE4FBC">
        <w:rPr>
          <w:lang w:val="fr-FR"/>
        </w:rPr>
        <w:t>:</w:t>
      </w:r>
      <w:r w:rsidRPr="00DE4FBC">
        <w:rPr>
          <w:lang w:val="fr-FR"/>
        </w:rPr>
        <w:tab/>
        <w:t>INF.47 (</w:t>
      </w:r>
      <w:r w:rsidRPr="00D10E29">
        <w:rPr>
          <w:lang w:val="fr-FR"/>
        </w:rPr>
        <w:t>Allemagne</w:t>
      </w:r>
      <w:r w:rsidRPr="00DE4FBC">
        <w:rPr>
          <w:lang w:val="fr-FR"/>
        </w:rPr>
        <w:t>)</w:t>
      </w:r>
      <w:r w:rsidR="005E4BE3">
        <w:rPr>
          <w:lang w:val="fr-FR"/>
        </w:rPr>
        <w:t>.</w:t>
      </w:r>
    </w:p>
    <w:p w:rsidR="00E30E39" w:rsidRPr="00DE4FBC" w:rsidRDefault="00E30E39" w:rsidP="005E4BE3">
      <w:pPr>
        <w:pStyle w:val="SingleTxtG"/>
        <w:rPr>
          <w:lang w:val="fr-FR"/>
        </w:rPr>
      </w:pPr>
      <w:r w:rsidRPr="00DE4FBC">
        <w:rPr>
          <w:lang w:val="fr-FR"/>
        </w:rPr>
        <w:t>48.</w:t>
      </w:r>
      <w:r w:rsidRPr="00DE4FBC">
        <w:rPr>
          <w:lang w:val="fr-FR"/>
        </w:rPr>
        <w:tab/>
      </w:r>
      <w:r>
        <w:t xml:space="preserve">Après un débat en séance plénière, l’experte de l’Allemagne a proposé deux options dans le document informel INF.47, et le Sous-Comité a adopté une modification à la disposition PP32 telle que proposée dans la première option (voir annexe </w:t>
      </w:r>
      <w:r w:rsidRPr="00DE4FBC">
        <w:rPr>
          <w:lang w:val="fr-FR"/>
        </w:rPr>
        <w:t>II).</w:t>
      </w:r>
    </w:p>
    <w:p w:rsidR="00E30E39" w:rsidRPr="00D3405C" w:rsidRDefault="00E30E39" w:rsidP="005E4BE3">
      <w:pPr>
        <w:pStyle w:val="H1G"/>
        <w:rPr>
          <w:lang w:val="fr-FR"/>
        </w:rPr>
      </w:pPr>
      <w:r w:rsidRPr="00D3405C">
        <w:rPr>
          <w:lang w:val="fr-FR"/>
        </w:rPr>
        <w:tab/>
        <w:t>F.</w:t>
      </w:r>
      <w:r w:rsidRPr="00D3405C">
        <w:rPr>
          <w:lang w:val="fr-FR"/>
        </w:rPr>
        <w:tab/>
        <w:t xml:space="preserve">Marquage multiple des emballages (y compris les grands récipients pour vrac et les grands emballages), indiquant la conformité </w:t>
      </w:r>
      <w:r>
        <w:rPr>
          <w:lang w:val="fr-FR"/>
        </w:rPr>
        <w:br/>
      </w:r>
      <w:r w:rsidRPr="00D3405C">
        <w:rPr>
          <w:lang w:val="fr-FR"/>
        </w:rPr>
        <w:t>avec plus d</w:t>
      </w:r>
      <w:r>
        <w:rPr>
          <w:lang w:val="fr-FR"/>
        </w:rPr>
        <w:t>’</w:t>
      </w:r>
      <w:r w:rsidRPr="00D3405C">
        <w:rPr>
          <w:lang w:val="fr-FR"/>
        </w:rPr>
        <w:t>un modèle type éprouvé avec succès</w:t>
      </w:r>
    </w:p>
    <w:p w:rsidR="00E30E39" w:rsidRPr="00DE4FBC" w:rsidRDefault="00E30E39" w:rsidP="002F3854">
      <w:pPr>
        <w:pStyle w:val="SingleTxtG"/>
        <w:tabs>
          <w:tab w:val="left" w:pos="3119"/>
        </w:tabs>
        <w:ind w:left="3119" w:hanging="1985"/>
        <w:jc w:val="left"/>
        <w:rPr>
          <w:lang w:val="fr-FR"/>
        </w:rPr>
      </w:pPr>
      <w:r w:rsidRPr="00DE4FBC">
        <w:rPr>
          <w:i/>
          <w:lang w:val="fr-FR"/>
        </w:rPr>
        <w:t>Document</w:t>
      </w:r>
      <w:r w:rsidR="005E4BE3">
        <w:rPr>
          <w:i/>
          <w:lang w:val="fr-FR"/>
        </w:rPr>
        <w:t>s </w:t>
      </w:r>
      <w:r w:rsidRPr="00DE4FBC">
        <w:rPr>
          <w:lang w:val="fr-FR"/>
        </w:rPr>
        <w:t>:</w:t>
      </w:r>
      <w:r w:rsidRPr="00DE4FBC">
        <w:rPr>
          <w:lang w:val="fr-FR"/>
        </w:rPr>
        <w:tab/>
        <w:t>ST/SG/AC.10/C.3/2017/36 (CEFIC, DGAC)</w:t>
      </w:r>
      <w:r w:rsidR="005E4BE3">
        <w:rPr>
          <w:lang w:val="fr-FR"/>
        </w:rPr>
        <w:t>.</w:t>
      </w:r>
    </w:p>
    <w:p w:rsidR="00E30E39" w:rsidRPr="00DE4FBC" w:rsidRDefault="00E30E39" w:rsidP="002F3854">
      <w:pPr>
        <w:pStyle w:val="SingleTxtG"/>
        <w:tabs>
          <w:tab w:val="left" w:pos="3119"/>
        </w:tabs>
        <w:ind w:left="3119" w:hanging="1985"/>
        <w:jc w:val="left"/>
        <w:rPr>
          <w:lang w:val="fr-FR"/>
        </w:rPr>
      </w:pPr>
      <w:r>
        <w:rPr>
          <w:i/>
          <w:lang w:val="fr-FR"/>
        </w:rPr>
        <w:t>Documents informels</w:t>
      </w:r>
      <w:r w:rsidR="005E4BE3">
        <w:rPr>
          <w:i/>
          <w:lang w:val="fr-FR"/>
        </w:rPr>
        <w:t> </w:t>
      </w:r>
      <w:r w:rsidRPr="00DE4FBC">
        <w:rPr>
          <w:lang w:val="fr-FR"/>
        </w:rPr>
        <w:t>:</w:t>
      </w:r>
      <w:r w:rsidRPr="00DE4FBC">
        <w:rPr>
          <w:lang w:val="fr-FR"/>
        </w:rPr>
        <w:tab/>
        <w:t>INF.23 (ICIBCA)</w:t>
      </w:r>
      <w:r w:rsidRPr="00DE4FBC">
        <w:rPr>
          <w:lang w:val="fr-FR"/>
        </w:rPr>
        <w:br/>
        <w:t>INF.51 (CEFIC, DGAC)</w:t>
      </w:r>
      <w:r w:rsidRPr="00DE4FBC">
        <w:rPr>
          <w:lang w:val="fr-FR"/>
        </w:rPr>
        <w:br/>
        <w:t>INF.45 (ICCR)</w:t>
      </w:r>
      <w:r w:rsidR="005E4BE3">
        <w:rPr>
          <w:lang w:val="fr-FR"/>
        </w:rPr>
        <w:t>.</w:t>
      </w:r>
    </w:p>
    <w:p w:rsidR="00E30E39" w:rsidRPr="00DE4FBC" w:rsidRDefault="00E30E39" w:rsidP="005E4BE3">
      <w:pPr>
        <w:pStyle w:val="SingleTxtG"/>
        <w:rPr>
          <w:lang w:val="fr-FR"/>
        </w:rPr>
      </w:pPr>
      <w:r w:rsidRPr="00DE4FBC">
        <w:rPr>
          <w:lang w:val="fr-FR"/>
        </w:rPr>
        <w:t>49.</w:t>
      </w:r>
      <w:r w:rsidRPr="00DE4FBC">
        <w:rPr>
          <w:lang w:val="fr-FR"/>
        </w:rPr>
        <w:tab/>
      </w:r>
      <w:r w:rsidRPr="00D3405C">
        <w:rPr>
          <w:lang w:val="fr-FR"/>
        </w:rPr>
        <w:t xml:space="preserve">Le Sous-Comité a approuvé </w:t>
      </w:r>
      <w:r>
        <w:rPr>
          <w:lang w:val="fr-FR"/>
        </w:rPr>
        <w:t xml:space="preserve">en </w:t>
      </w:r>
      <w:r w:rsidRPr="00D3405C">
        <w:rPr>
          <w:lang w:val="fr-FR"/>
        </w:rPr>
        <w:t>principe les propositions énoncées au paragr</w:t>
      </w:r>
      <w:r>
        <w:rPr>
          <w:lang w:val="fr-FR"/>
        </w:rPr>
        <w:t>aphe </w:t>
      </w:r>
      <w:r w:rsidRPr="00D3405C">
        <w:rPr>
          <w:lang w:val="fr-FR"/>
        </w:rPr>
        <w:t xml:space="preserve">3 du document informel </w:t>
      </w:r>
      <w:r w:rsidRPr="00DE4FBC">
        <w:rPr>
          <w:lang w:val="fr-FR"/>
        </w:rPr>
        <w:t>INF.51 (</w:t>
      </w:r>
      <w:r>
        <w:rPr>
          <w:lang w:val="fr-FR"/>
        </w:rPr>
        <w:t>voir</w:t>
      </w:r>
      <w:r w:rsidRPr="00DE4FBC">
        <w:rPr>
          <w:lang w:val="fr-FR"/>
        </w:rPr>
        <w:t xml:space="preserve"> annex</w:t>
      </w:r>
      <w:r>
        <w:rPr>
          <w:lang w:val="fr-FR"/>
        </w:rPr>
        <w:t>e</w:t>
      </w:r>
      <w:r w:rsidRPr="00DE4FBC">
        <w:rPr>
          <w:lang w:val="fr-FR"/>
        </w:rPr>
        <w:t xml:space="preserve"> II) </w:t>
      </w:r>
      <w:r w:rsidRPr="00D3405C">
        <w:rPr>
          <w:lang w:val="fr-FR"/>
        </w:rPr>
        <w:t>et a noté que le CEFIC et le DGAC avaient l</w:t>
      </w:r>
      <w:r>
        <w:rPr>
          <w:lang w:val="fr-FR"/>
        </w:rPr>
        <w:t>’</w:t>
      </w:r>
      <w:r w:rsidRPr="00D3405C">
        <w:rPr>
          <w:lang w:val="fr-FR"/>
        </w:rPr>
        <w:t xml:space="preserve">intention de soumettre à </w:t>
      </w:r>
      <w:r>
        <w:rPr>
          <w:lang w:val="fr-FR"/>
        </w:rPr>
        <w:t>s</w:t>
      </w:r>
      <w:r w:rsidRPr="00D3405C">
        <w:rPr>
          <w:lang w:val="fr-FR"/>
        </w:rPr>
        <w:t xml:space="preserve">a session </w:t>
      </w:r>
      <w:r>
        <w:rPr>
          <w:lang w:val="fr-FR"/>
        </w:rPr>
        <w:t xml:space="preserve">suivante </w:t>
      </w:r>
      <w:r w:rsidRPr="00D3405C">
        <w:rPr>
          <w:lang w:val="fr-FR"/>
        </w:rPr>
        <w:t xml:space="preserve">une proposition </w:t>
      </w:r>
      <w:r>
        <w:rPr>
          <w:lang w:val="fr-FR"/>
        </w:rPr>
        <w:t xml:space="preserve">visant à </w:t>
      </w:r>
      <w:r w:rsidRPr="00D3405C">
        <w:rPr>
          <w:lang w:val="fr-FR"/>
        </w:rPr>
        <w:t>régler dans son ensemble la question des marques multiples sur les emballages conformes à plusieurs types et catégories</w:t>
      </w:r>
      <w:r w:rsidRPr="00DE4FBC">
        <w:rPr>
          <w:lang w:val="fr-FR"/>
        </w:rPr>
        <w:t>.</w:t>
      </w:r>
    </w:p>
    <w:p w:rsidR="00E30E39" w:rsidRPr="00EE13A0" w:rsidRDefault="00E30E39" w:rsidP="005E4BE3">
      <w:pPr>
        <w:pStyle w:val="H1G"/>
        <w:rPr>
          <w:lang w:val="fr-FR"/>
        </w:rPr>
      </w:pPr>
      <w:r w:rsidRPr="00EE13A0">
        <w:rPr>
          <w:lang w:val="fr-FR"/>
        </w:rPr>
        <w:tab/>
        <w:t>G.</w:t>
      </w:r>
      <w:r w:rsidRPr="00EE13A0">
        <w:rPr>
          <w:lang w:val="fr-FR"/>
        </w:rPr>
        <w:tab/>
        <w:t>Proposition d</w:t>
      </w:r>
      <w:r>
        <w:rPr>
          <w:lang w:val="fr-FR"/>
        </w:rPr>
        <w:t>’</w:t>
      </w:r>
      <w:r w:rsidRPr="00EE13A0">
        <w:rPr>
          <w:lang w:val="fr-FR"/>
        </w:rPr>
        <w:t xml:space="preserve">ajout de numéros ONU pour les gaz pyrophoriques </w:t>
      </w:r>
      <w:r w:rsidR="00C849C6">
        <w:rPr>
          <w:lang w:val="fr-FR"/>
        </w:rPr>
        <w:br/>
      </w:r>
      <w:r w:rsidRPr="00EE13A0">
        <w:rPr>
          <w:lang w:val="fr-FR"/>
        </w:rPr>
        <w:t>et</w:t>
      </w:r>
      <w:r w:rsidR="005E4BE3">
        <w:rPr>
          <w:lang w:val="fr-FR"/>
        </w:rPr>
        <w:t xml:space="preserve"> </w:t>
      </w:r>
      <w:r w:rsidRPr="00EE13A0">
        <w:rPr>
          <w:lang w:val="fr-FR"/>
        </w:rPr>
        <w:t>d</w:t>
      </w:r>
      <w:r>
        <w:rPr>
          <w:lang w:val="fr-FR"/>
        </w:rPr>
        <w:t>’</w:t>
      </w:r>
      <w:r w:rsidRPr="00EE13A0">
        <w:rPr>
          <w:lang w:val="fr-FR"/>
        </w:rPr>
        <w:t>ajout de critères pour les gaz pyrophoriques dans la division 2.1</w:t>
      </w:r>
    </w:p>
    <w:p w:rsidR="00E30E39" w:rsidRPr="00DE4FBC" w:rsidRDefault="00E30E39" w:rsidP="002F3854">
      <w:pPr>
        <w:pStyle w:val="SingleTxtG"/>
        <w:tabs>
          <w:tab w:val="left" w:pos="3119"/>
        </w:tabs>
        <w:ind w:left="3119" w:hanging="1985"/>
        <w:jc w:val="left"/>
        <w:rPr>
          <w:lang w:val="fr-FR"/>
        </w:rPr>
      </w:pPr>
      <w:r w:rsidRPr="00DE4FBC">
        <w:rPr>
          <w:i/>
          <w:iCs/>
          <w:lang w:val="fr-FR"/>
        </w:rPr>
        <w:t>Document</w:t>
      </w:r>
      <w:r w:rsidR="005E4BE3">
        <w:rPr>
          <w:i/>
          <w:iCs/>
          <w:lang w:val="fr-FR"/>
        </w:rPr>
        <w:t>s</w:t>
      </w:r>
      <w:r w:rsidR="00C60C0C">
        <w:rPr>
          <w:i/>
          <w:iCs/>
          <w:lang w:val="fr-FR"/>
        </w:rPr>
        <w:t> </w:t>
      </w:r>
      <w:r w:rsidRPr="00DE4FBC">
        <w:rPr>
          <w:lang w:val="fr-FR"/>
        </w:rPr>
        <w:t>:</w:t>
      </w:r>
      <w:r w:rsidRPr="00DE4FBC">
        <w:rPr>
          <w:lang w:val="fr-FR"/>
        </w:rPr>
        <w:tab/>
        <w:t xml:space="preserve">ST/SG/AC.10/C.3/2017/43 (CGA </w:t>
      </w:r>
      <w:r>
        <w:rPr>
          <w:lang w:val="fr-FR"/>
        </w:rPr>
        <w:t>et</w:t>
      </w:r>
      <w:r w:rsidRPr="00DE4FBC">
        <w:rPr>
          <w:lang w:val="fr-FR"/>
        </w:rPr>
        <w:t xml:space="preserve"> EIGA)</w:t>
      </w:r>
      <w:r w:rsidR="005E4BE3">
        <w:rPr>
          <w:lang w:val="fr-FR"/>
        </w:rPr>
        <w:t>.</w:t>
      </w:r>
    </w:p>
    <w:p w:rsidR="00E30E39" w:rsidRDefault="00E30E39" w:rsidP="005E4BE3">
      <w:pPr>
        <w:pStyle w:val="SingleTxtG"/>
        <w:rPr>
          <w:lang w:val="fr-FR"/>
        </w:rPr>
      </w:pPr>
      <w:r w:rsidRPr="00DE4FBC">
        <w:rPr>
          <w:lang w:val="fr-FR"/>
        </w:rPr>
        <w:t>50.</w:t>
      </w:r>
      <w:r w:rsidRPr="00DE4FBC">
        <w:rPr>
          <w:lang w:val="fr-FR"/>
        </w:rPr>
        <w:tab/>
      </w:r>
      <w:r w:rsidRPr="00EE13A0">
        <w:rPr>
          <w:lang w:val="fr-FR"/>
        </w:rPr>
        <w:t xml:space="preserve">Après une introduction en </w:t>
      </w:r>
      <w:r>
        <w:rPr>
          <w:lang w:val="fr-FR"/>
        </w:rPr>
        <w:t xml:space="preserve">séance </w:t>
      </w:r>
      <w:r w:rsidRPr="00EE13A0">
        <w:rPr>
          <w:lang w:val="fr-FR"/>
        </w:rPr>
        <w:t xml:space="preserve">plénière, </w:t>
      </w:r>
      <w:r>
        <w:rPr>
          <w:lang w:val="fr-FR"/>
        </w:rPr>
        <w:t xml:space="preserve">la proposition a recueilli un appui général et </w:t>
      </w:r>
      <w:r w:rsidRPr="00EE13A0">
        <w:rPr>
          <w:lang w:val="fr-FR"/>
        </w:rPr>
        <w:t>le document a été confié à un groupe de travail se réunissant à l</w:t>
      </w:r>
      <w:r>
        <w:rPr>
          <w:lang w:val="fr-FR"/>
        </w:rPr>
        <w:t>’</w:t>
      </w:r>
      <w:r w:rsidRPr="00EE13A0">
        <w:rPr>
          <w:lang w:val="fr-FR"/>
        </w:rPr>
        <w:t>heure du déjeuner</w:t>
      </w:r>
      <w:r>
        <w:rPr>
          <w:lang w:val="fr-FR"/>
        </w:rPr>
        <w:t>.</w:t>
      </w:r>
    </w:p>
    <w:p w:rsidR="00E30E39" w:rsidRPr="00DE4FBC" w:rsidRDefault="00E30E39" w:rsidP="005E4BE3">
      <w:pPr>
        <w:pStyle w:val="SingleTxtG"/>
        <w:rPr>
          <w:lang w:val="fr-FR"/>
        </w:rPr>
      </w:pPr>
      <w:r w:rsidRPr="00DE4FBC">
        <w:rPr>
          <w:lang w:val="fr-FR"/>
        </w:rPr>
        <w:t>51.</w:t>
      </w:r>
      <w:r w:rsidRPr="00DE4FBC">
        <w:rPr>
          <w:lang w:val="fr-FR"/>
        </w:rPr>
        <w:tab/>
      </w:r>
      <w:r w:rsidRPr="00EE13A0">
        <w:rPr>
          <w:lang w:val="fr-FR"/>
        </w:rPr>
        <w:t xml:space="preserve">Le Sous-Comité a noté que les représentants de </w:t>
      </w:r>
      <w:r>
        <w:rPr>
          <w:lang w:val="fr-FR"/>
        </w:rPr>
        <w:t>la C</w:t>
      </w:r>
      <w:r w:rsidRPr="00EE13A0">
        <w:rPr>
          <w:lang w:val="fr-FR"/>
        </w:rPr>
        <w:t xml:space="preserve">GA et </w:t>
      </w:r>
      <w:r>
        <w:rPr>
          <w:lang w:val="fr-FR"/>
        </w:rPr>
        <w:t>de l’</w:t>
      </w:r>
      <w:r w:rsidRPr="00EE13A0">
        <w:rPr>
          <w:lang w:val="fr-FR"/>
        </w:rPr>
        <w:t xml:space="preserve">EIGA soumettraient à </w:t>
      </w:r>
      <w:r>
        <w:rPr>
          <w:lang w:val="fr-FR"/>
        </w:rPr>
        <w:t>s</w:t>
      </w:r>
      <w:r w:rsidRPr="00EE13A0">
        <w:rPr>
          <w:lang w:val="fr-FR"/>
        </w:rPr>
        <w:t>a session</w:t>
      </w:r>
      <w:r>
        <w:rPr>
          <w:lang w:val="fr-FR"/>
        </w:rPr>
        <w:t xml:space="preserve"> suivante</w:t>
      </w:r>
      <w:r w:rsidRPr="00F24EBC">
        <w:rPr>
          <w:lang w:val="fr-FR"/>
        </w:rPr>
        <w:t xml:space="preserve"> </w:t>
      </w:r>
      <w:r w:rsidRPr="00EE13A0">
        <w:rPr>
          <w:lang w:val="fr-FR"/>
        </w:rPr>
        <w:t xml:space="preserve">une proposition révisée </w:t>
      </w:r>
      <w:r>
        <w:rPr>
          <w:lang w:val="fr-FR"/>
        </w:rPr>
        <w:t>tenant</w:t>
      </w:r>
      <w:r w:rsidRPr="00EE13A0">
        <w:rPr>
          <w:lang w:val="fr-FR"/>
        </w:rPr>
        <w:t xml:space="preserve"> compte des observations formulé</w:t>
      </w:r>
      <w:r>
        <w:rPr>
          <w:lang w:val="fr-FR"/>
        </w:rPr>
        <w:t>e</w:t>
      </w:r>
      <w:r w:rsidRPr="00EE13A0">
        <w:rPr>
          <w:lang w:val="fr-FR"/>
        </w:rPr>
        <w:t>s</w:t>
      </w:r>
      <w:r w:rsidRPr="00DE4FBC">
        <w:rPr>
          <w:lang w:val="fr-FR"/>
        </w:rPr>
        <w:t xml:space="preserve">. </w:t>
      </w:r>
    </w:p>
    <w:p w:rsidR="00E30E39" w:rsidRPr="00DE4FBC" w:rsidRDefault="00E30E39" w:rsidP="005E4BE3">
      <w:pPr>
        <w:pStyle w:val="H1G"/>
        <w:rPr>
          <w:lang w:val="fr-FR"/>
        </w:rPr>
      </w:pPr>
      <w:r w:rsidRPr="00DE4FBC">
        <w:rPr>
          <w:lang w:val="fr-FR"/>
        </w:rPr>
        <w:tab/>
        <w:t>H.</w:t>
      </w:r>
      <w:r w:rsidRPr="00DE4FBC">
        <w:rPr>
          <w:lang w:val="fr-FR"/>
        </w:rPr>
        <w:tab/>
      </w:r>
      <w:r w:rsidRPr="003F611B">
        <w:rPr>
          <w:lang w:val="fr-FR"/>
        </w:rPr>
        <w:t>Révision de l</w:t>
      </w:r>
      <w:r>
        <w:rPr>
          <w:lang w:val="fr-FR"/>
        </w:rPr>
        <w:t>’</w:t>
      </w:r>
      <w:r w:rsidRPr="003F611B">
        <w:rPr>
          <w:lang w:val="fr-FR"/>
        </w:rPr>
        <w:t>instruction d</w:t>
      </w:r>
      <w:r>
        <w:rPr>
          <w:lang w:val="fr-FR"/>
        </w:rPr>
        <w:t>’</w:t>
      </w:r>
      <w:r w:rsidRPr="003F611B">
        <w:rPr>
          <w:lang w:val="fr-FR"/>
        </w:rPr>
        <w:t>emballage P801</w:t>
      </w:r>
    </w:p>
    <w:p w:rsidR="00E30E39" w:rsidRPr="005E4BE3" w:rsidRDefault="00E30E39" w:rsidP="002F3854">
      <w:pPr>
        <w:pStyle w:val="SingleTxtG"/>
        <w:tabs>
          <w:tab w:val="left" w:pos="3119"/>
        </w:tabs>
        <w:ind w:left="3119" w:hanging="1985"/>
        <w:jc w:val="left"/>
      </w:pPr>
      <w:r w:rsidRPr="005E4BE3">
        <w:rPr>
          <w:i/>
        </w:rPr>
        <w:t>Document</w:t>
      </w:r>
      <w:r w:rsidR="005E4BE3" w:rsidRPr="005E4BE3">
        <w:rPr>
          <w:i/>
        </w:rPr>
        <w:t>s </w:t>
      </w:r>
      <w:r w:rsidR="005E4BE3">
        <w:t>:</w:t>
      </w:r>
      <w:r w:rsidR="005E4BE3">
        <w:tab/>
      </w:r>
      <w:r w:rsidRPr="005E4BE3">
        <w:t>ST/SG/AC.10/C.3/2017/44 (Canada)</w:t>
      </w:r>
      <w:r w:rsidR="005E4BE3">
        <w:t>.</w:t>
      </w:r>
    </w:p>
    <w:p w:rsidR="00E30E39" w:rsidRPr="00DE4FBC" w:rsidRDefault="00E30E39" w:rsidP="002F3854">
      <w:pPr>
        <w:pStyle w:val="SingleTxtG"/>
        <w:tabs>
          <w:tab w:val="left" w:pos="3119"/>
        </w:tabs>
        <w:ind w:left="3119" w:hanging="1985"/>
        <w:jc w:val="left"/>
        <w:rPr>
          <w:lang w:val="fr-FR"/>
        </w:rPr>
      </w:pPr>
      <w:r>
        <w:rPr>
          <w:i/>
          <w:lang w:val="fr-FR"/>
        </w:rPr>
        <w:t>Documents informels</w:t>
      </w:r>
      <w:r w:rsidR="005E4BE3">
        <w:rPr>
          <w:i/>
          <w:lang w:val="fr-FR"/>
        </w:rPr>
        <w:t> </w:t>
      </w:r>
      <w:r w:rsidRPr="005E4BE3">
        <w:rPr>
          <w:lang w:val="fr-FR"/>
        </w:rPr>
        <w:t>:</w:t>
      </w:r>
      <w:r w:rsidRPr="00DE4FBC">
        <w:rPr>
          <w:lang w:val="fr-FR"/>
        </w:rPr>
        <w:tab/>
        <w:t xml:space="preserve">INF.52 </w:t>
      </w:r>
      <w:r>
        <w:rPr>
          <w:lang w:val="fr-FR"/>
        </w:rPr>
        <w:t>et</w:t>
      </w:r>
      <w:r w:rsidRPr="00DE4FBC">
        <w:rPr>
          <w:lang w:val="fr-FR"/>
        </w:rPr>
        <w:t xml:space="preserve"> INF.61 (Canada)</w:t>
      </w:r>
      <w:r w:rsidR="005E4BE3">
        <w:rPr>
          <w:lang w:val="fr-FR"/>
        </w:rPr>
        <w:t>.</w:t>
      </w:r>
    </w:p>
    <w:p w:rsidR="00E30E39" w:rsidRPr="00DE4FBC" w:rsidRDefault="00E30E39" w:rsidP="005E4BE3">
      <w:pPr>
        <w:pStyle w:val="SingleTxtG"/>
        <w:rPr>
          <w:lang w:val="fr-FR"/>
        </w:rPr>
      </w:pPr>
      <w:r w:rsidRPr="00DE4FBC">
        <w:rPr>
          <w:lang w:val="fr-FR"/>
        </w:rPr>
        <w:t>52.</w:t>
      </w:r>
      <w:r w:rsidRPr="00DE4FBC">
        <w:rPr>
          <w:lang w:val="fr-FR"/>
        </w:rPr>
        <w:tab/>
      </w:r>
      <w:r w:rsidRPr="003F611B">
        <w:rPr>
          <w:lang w:val="fr-FR"/>
        </w:rPr>
        <w:t xml:space="preserve">Après un débat en </w:t>
      </w:r>
      <w:r>
        <w:rPr>
          <w:lang w:val="fr-FR"/>
        </w:rPr>
        <w:t xml:space="preserve">séance </w:t>
      </w:r>
      <w:r w:rsidRPr="003F611B">
        <w:rPr>
          <w:lang w:val="fr-FR"/>
        </w:rPr>
        <w:t>plénière, l</w:t>
      </w:r>
      <w:r>
        <w:rPr>
          <w:lang w:val="fr-FR"/>
        </w:rPr>
        <w:t>’</w:t>
      </w:r>
      <w:r w:rsidRPr="003F611B">
        <w:rPr>
          <w:lang w:val="fr-FR"/>
        </w:rPr>
        <w:t>expert du Canada a présenté une proposition révisée dans le document informel INF.61. Cependant, compte tenu des observations faites oralement au cours du débat en plénière, il n</w:t>
      </w:r>
      <w:r>
        <w:rPr>
          <w:lang w:val="fr-FR"/>
        </w:rPr>
        <w:t>’</w:t>
      </w:r>
      <w:r w:rsidRPr="003F611B">
        <w:rPr>
          <w:lang w:val="fr-FR"/>
        </w:rPr>
        <w:t>a pas pu être adopté. Le Sous-Comité a invité l</w:t>
      </w:r>
      <w:r>
        <w:rPr>
          <w:lang w:val="fr-FR"/>
        </w:rPr>
        <w:t>’expert du</w:t>
      </w:r>
      <w:r w:rsidRPr="003F611B">
        <w:rPr>
          <w:lang w:val="fr-FR"/>
        </w:rPr>
        <w:t xml:space="preserve"> Canada à envisager de soumettre une nouvelle proposition révisée à </w:t>
      </w:r>
      <w:r>
        <w:rPr>
          <w:lang w:val="fr-FR"/>
        </w:rPr>
        <w:t>s</w:t>
      </w:r>
      <w:r w:rsidRPr="003F611B">
        <w:rPr>
          <w:lang w:val="fr-FR"/>
        </w:rPr>
        <w:t>a session suivante</w:t>
      </w:r>
      <w:r w:rsidRPr="00DE4FBC">
        <w:rPr>
          <w:lang w:val="fr-FR"/>
        </w:rPr>
        <w:t>.</w:t>
      </w:r>
    </w:p>
    <w:p w:rsidR="00E30E39" w:rsidRPr="00DE4FBC" w:rsidRDefault="00E30E39" w:rsidP="005E4BE3">
      <w:pPr>
        <w:pStyle w:val="HChG"/>
        <w:rPr>
          <w:lang w:val="fr-FR"/>
        </w:rPr>
      </w:pPr>
      <w:r w:rsidRPr="00DE4FBC">
        <w:rPr>
          <w:lang w:val="fr-FR"/>
        </w:rPr>
        <w:lastRenderedPageBreak/>
        <w:tab/>
        <w:t>VI.</w:t>
      </w:r>
      <w:r w:rsidRPr="00DE4FBC">
        <w:rPr>
          <w:lang w:val="fr-FR"/>
        </w:rPr>
        <w:tab/>
      </w:r>
      <w:r w:rsidRPr="003F611B">
        <w:rPr>
          <w:lang w:val="fr-FR"/>
        </w:rPr>
        <w:t>Systèmes de stockage de l</w:t>
      </w:r>
      <w:r>
        <w:rPr>
          <w:lang w:val="fr-FR"/>
        </w:rPr>
        <w:t>’</w:t>
      </w:r>
      <w:r w:rsidRPr="003F611B">
        <w:rPr>
          <w:lang w:val="fr-FR"/>
        </w:rPr>
        <w:t xml:space="preserve">électricité </w:t>
      </w:r>
      <w:r>
        <w:rPr>
          <w:lang w:val="fr-FR"/>
        </w:rPr>
        <w:br/>
      </w:r>
      <w:r w:rsidRPr="003F611B">
        <w:rPr>
          <w:lang w:val="fr-FR"/>
        </w:rPr>
        <w:t>(point 4 de l</w:t>
      </w:r>
      <w:r>
        <w:rPr>
          <w:lang w:val="fr-FR"/>
        </w:rPr>
        <w:t>’</w:t>
      </w:r>
      <w:r w:rsidRPr="003F611B">
        <w:rPr>
          <w:lang w:val="fr-FR"/>
        </w:rPr>
        <w:t>ordre du jour)</w:t>
      </w:r>
    </w:p>
    <w:p w:rsidR="00E30E39" w:rsidRPr="00DE4FBC" w:rsidRDefault="00E30E39" w:rsidP="005E4BE3">
      <w:pPr>
        <w:pStyle w:val="H1G"/>
        <w:rPr>
          <w:lang w:val="fr-FR"/>
        </w:rPr>
      </w:pPr>
      <w:r w:rsidRPr="00DE4FBC">
        <w:rPr>
          <w:lang w:val="fr-FR"/>
        </w:rPr>
        <w:tab/>
        <w:t>A.</w:t>
      </w:r>
      <w:r w:rsidRPr="00DE4FBC">
        <w:rPr>
          <w:lang w:val="fr-FR"/>
        </w:rPr>
        <w:tab/>
      </w:r>
      <w:r w:rsidRPr="003F611B">
        <w:rPr>
          <w:lang w:val="fr-FR"/>
        </w:rPr>
        <w:t>Épreuves des batteries au lithium</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5E4BE3">
        <w:rPr>
          <w:i/>
          <w:lang w:val="fr-FR"/>
        </w:rPr>
        <w:t> </w:t>
      </w:r>
      <w:r w:rsidRPr="005E4BE3">
        <w:rPr>
          <w:lang w:val="fr-FR"/>
        </w:rPr>
        <w:t>:</w:t>
      </w:r>
      <w:r w:rsidR="005E4BE3">
        <w:rPr>
          <w:lang w:val="fr-FR"/>
        </w:rPr>
        <w:tab/>
      </w:r>
      <w:r w:rsidRPr="00DE4FBC">
        <w:rPr>
          <w:lang w:val="fr-FR"/>
        </w:rPr>
        <w:t>INF.58 (MDBTC)</w:t>
      </w:r>
      <w:r w:rsidR="005E4BE3">
        <w:rPr>
          <w:lang w:val="fr-FR"/>
        </w:rPr>
        <w:t>.</w:t>
      </w:r>
    </w:p>
    <w:p w:rsidR="00E30E39" w:rsidRDefault="00E30E39" w:rsidP="00C60C0C">
      <w:pPr>
        <w:pStyle w:val="SingleTxtG"/>
        <w:keepNext/>
        <w:rPr>
          <w:lang w:val="fr-FR"/>
        </w:rPr>
      </w:pPr>
      <w:r w:rsidRPr="00DE4FBC">
        <w:rPr>
          <w:lang w:val="fr-FR"/>
        </w:rPr>
        <w:t>53.</w:t>
      </w:r>
      <w:r w:rsidRPr="00DE4FBC">
        <w:rPr>
          <w:lang w:val="fr-FR"/>
        </w:rPr>
        <w:tab/>
      </w:r>
      <w:r w:rsidRPr="003F611B">
        <w:rPr>
          <w:lang w:val="fr-FR"/>
        </w:rPr>
        <w:t>Le Sous-Comité a noté qu</w:t>
      </w:r>
      <w:r>
        <w:rPr>
          <w:lang w:val="fr-FR"/>
        </w:rPr>
        <w:t>’</w:t>
      </w:r>
      <w:r w:rsidRPr="003F611B">
        <w:rPr>
          <w:lang w:val="fr-FR"/>
        </w:rPr>
        <w:t xml:space="preserve">en raison de la </w:t>
      </w:r>
      <w:r>
        <w:rPr>
          <w:lang w:val="fr-FR"/>
        </w:rPr>
        <w:t>soumission</w:t>
      </w:r>
      <w:r w:rsidRPr="003F611B">
        <w:rPr>
          <w:lang w:val="fr-FR"/>
        </w:rPr>
        <w:t xml:space="preserve"> tardive du document, les experts n</w:t>
      </w:r>
      <w:r>
        <w:rPr>
          <w:lang w:val="fr-FR"/>
        </w:rPr>
        <w:t>’</w:t>
      </w:r>
      <w:r w:rsidRPr="003F611B">
        <w:rPr>
          <w:lang w:val="fr-FR"/>
        </w:rPr>
        <w:t xml:space="preserve">avaient pas eu suffisamment de temps pour examiner en détail les interprétations </w:t>
      </w:r>
      <w:r>
        <w:rPr>
          <w:lang w:val="fr-FR"/>
        </w:rPr>
        <w:t>figurant dans le document informel INF.</w:t>
      </w:r>
      <w:r w:rsidRPr="003F611B">
        <w:rPr>
          <w:lang w:val="fr-FR"/>
        </w:rPr>
        <w:t>58. Toutefois, il est convenu de fournir</w:t>
      </w:r>
      <w:r w:rsidRPr="000F0808">
        <w:rPr>
          <w:lang w:val="fr-FR"/>
        </w:rPr>
        <w:t xml:space="preserve"> </w:t>
      </w:r>
      <w:r w:rsidRPr="003F611B">
        <w:rPr>
          <w:lang w:val="fr-FR"/>
        </w:rPr>
        <w:t xml:space="preserve">au représentant du MDBTC </w:t>
      </w:r>
      <w:r>
        <w:rPr>
          <w:lang w:val="fr-FR"/>
        </w:rPr>
        <w:t>les</w:t>
      </w:r>
      <w:r w:rsidRPr="003F611B">
        <w:rPr>
          <w:lang w:val="fr-FR"/>
        </w:rPr>
        <w:t xml:space="preserve"> observations initiales</w:t>
      </w:r>
      <w:r>
        <w:rPr>
          <w:lang w:val="fr-FR"/>
        </w:rPr>
        <w:t xml:space="preserve"> </w:t>
      </w:r>
      <w:r w:rsidRPr="003F611B">
        <w:rPr>
          <w:lang w:val="fr-FR"/>
        </w:rPr>
        <w:t>sui</w:t>
      </w:r>
      <w:r w:rsidR="00C60C0C">
        <w:rPr>
          <w:lang w:val="fr-FR"/>
        </w:rPr>
        <w:t>vantes :</w:t>
      </w:r>
    </w:p>
    <w:p w:rsidR="00E30E39" w:rsidRDefault="00E30E39" w:rsidP="005E4BE3">
      <w:pPr>
        <w:pStyle w:val="SingleTxtG"/>
        <w:ind w:firstLine="567"/>
        <w:rPr>
          <w:lang w:val="fr-FR"/>
        </w:rPr>
      </w:pPr>
      <w:r w:rsidRPr="00DE4FBC">
        <w:rPr>
          <w:lang w:val="fr-FR"/>
        </w:rPr>
        <w:t>a)</w:t>
      </w:r>
      <w:r w:rsidRPr="00DE4FBC">
        <w:rPr>
          <w:lang w:val="fr-FR"/>
        </w:rPr>
        <w:tab/>
      </w:r>
      <w:r>
        <w:rPr>
          <w:lang w:val="fr-FR"/>
        </w:rPr>
        <w:t>I</w:t>
      </w:r>
      <w:r w:rsidRPr="003F611B">
        <w:rPr>
          <w:lang w:val="fr-FR"/>
        </w:rPr>
        <w:t>l est possible de ne transmettre qu</w:t>
      </w:r>
      <w:r>
        <w:rPr>
          <w:lang w:val="fr-FR"/>
        </w:rPr>
        <w:t>’</w:t>
      </w:r>
      <w:r w:rsidRPr="003F611B">
        <w:rPr>
          <w:lang w:val="fr-FR"/>
        </w:rPr>
        <w:t xml:space="preserve">un seul </w:t>
      </w:r>
      <w:r w:rsidRPr="003F611B">
        <w:t>procès-verbal d</w:t>
      </w:r>
      <w:r>
        <w:t>’</w:t>
      </w:r>
      <w:r w:rsidRPr="003F611B">
        <w:t xml:space="preserve">épreuve </w:t>
      </w:r>
      <w:r w:rsidRPr="003F611B">
        <w:rPr>
          <w:lang w:val="fr-FR"/>
        </w:rPr>
        <w:t>correspondant à plusieurs batteries, fabricants ou produits, à condition que les renseignements requis restent disponibles et accessibles à tout moment</w:t>
      </w:r>
      <w:r>
        <w:rPr>
          <w:lang w:val="fr-FR"/>
        </w:rPr>
        <w:t> ;</w:t>
      </w:r>
    </w:p>
    <w:p w:rsidR="00E30E39" w:rsidRDefault="005E4BE3" w:rsidP="005E4BE3">
      <w:pPr>
        <w:pStyle w:val="SingleTxtG"/>
        <w:ind w:firstLine="567"/>
        <w:rPr>
          <w:lang w:val="fr-FR"/>
        </w:rPr>
      </w:pPr>
      <w:r>
        <w:rPr>
          <w:lang w:val="fr-FR"/>
        </w:rPr>
        <w:t>b)</w:t>
      </w:r>
      <w:r w:rsidR="00E30E39" w:rsidRPr="00DE4FBC">
        <w:rPr>
          <w:lang w:val="fr-FR"/>
        </w:rPr>
        <w:tab/>
      </w:r>
      <w:r w:rsidR="00E30E39">
        <w:rPr>
          <w:lang w:val="fr-FR"/>
        </w:rPr>
        <w:t>I</w:t>
      </w:r>
      <w:r w:rsidR="00E30E39" w:rsidRPr="003F611B">
        <w:rPr>
          <w:lang w:val="fr-FR"/>
        </w:rPr>
        <w:t>l d</w:t>
      </w:r>
      <w:r w:rsidR="00E30E39">
        <w:rPr>
          <w:lang w:val="fr-FR"/>
        </w:rPr>
        <w:t>o</w:t>
      </w:r>
      <w:r w:rsidR="00E30E39" w:rsidRPr="003F611B">
        <w:rPr>
          <w:lang w:val="fr-FR"/>
        </w:rPr>
        <w:t>it toujours être possible d</w:t>
      </w:r>
      <w:r w:rsidR="00E30E39">
        <w:rPr>
          <w:lang w:val="fr-FR"/>
        </w:rPr>
        <w:t>’</w:t>
      </w:r>
      <w:r w:rsidR="00E30E39" w:rsidRPr="003F611B">
        <w:rPr>
          <w:lang w:val="fr-FR"/>
        </w:rPr>
        <w:t>identifier le laboratoire a</w:t>
      </w:r>
      <w:r w:rsidR="00E30E39">
        <w:rPr>
          <w:lang w:val="fr-FR"/>
        </w:rPr>
        <w:t>yant</w:t>
      </w:r>
      <w:r w:rsidR="00E30E39" w:rsidRPr="003F611B">
        <w:rPr>
          <w:lang w:val="fr-FR"/>
        </w:rPr>
        <w:t xml:space="preserve"> </w:t>
      </w:r>
      <w:r w:rsidR="00E30E39">
        <w:rPr>
          <w:lang w:val="fr-FR"/>
        </w:rPr>
        <w:t>effectué</w:t>
      </w:r>
      <w:r w:rsidR="00E30E39" w:rsidRPr="003F611B">
        <w:rPr>
          <w:lang w:val="fr-FR"/>
        </w:rPr>
        <w:t xml:space="preserve"> </w:t>
      </w:r>
      <w:r w:rsidR="00E30E39">
        <w:rPr>
          <w:lang w:val="fr-FR"/>
        </w:rPr>
        <w:t xml:space="preserve">une </w:t>
      </w:r>
      <w:r w:rsidR="00E30E39" w:rsidRPr="003F611B">
        <w:rPr>
          <w:lang w:val="fr-FR"/>
        </w:rPr>
        <w:t>épreuve</w:t>
      </w:r>
      <w:r w:rsidR="00E30E39">
        <w:rPr>
          <w:lang w:val="fr-FR"/>
        </w:rPr>
        <w:t> ;</w:t>
      </w:r>
    </w:p>
    <w:p w:rsidR="00E30E39" w:rsidRPr="00DE4FBC" w:rsidRDefault="00E30E39" w:rsidP="005E4BE3">
      <w:pPr>
        <w:pStyle w:val="SingleTxtG"/>
        <w:ind w:firstLine="567"/>
        <w:rPr>
          <w:lang w:val="fr-FR"/>
        </w:rPr>
      </w:pPr>
      <w:r w:rsidRPr="00DE4FBC">
        <w:rPr>
          <w:lang w:val="fr-FR"/>
        </w:rPr>
        <w:t>c)</w:t>
      </w:r>
      <w:r w:rsidRPr="00DE4FBC">
        <w:rPr>
          <w:lang w:val="fr-FR"/>
        </w:rPr>
        <w:tab/>
      </w:r>
      <w:r>
        <w:rPr>
          <w:lang w:val="fr-FR"/>
        </w:rPr>
        <w:t>L</w:t>
      </w:r>
      <w:r w:rsidRPr="003F611B">
        <w:rPr>
          <w:lang w:val="fr-FR"/>
        </w:rPr>
        <w:t>a « description physique d</w:t>
      </w:r>
      <w:r>
        <w:rPr>
          <w:lang w:val="fr-FR"/>
        </w:rPr>
        <w:t>’</w:t>
      </w:r>
      <w:r w:rsidRPr="003F611B">
        <w:rPr>
          <w:lang w:val="fr-FR"/>
        </w:rPr>
        <w:t>une pile ou d</w:t>
      </w:r>
      <w:r>
        <w:rPr>
          <w:lang w:val="fr-FR"/>
        </w:rPr>
        <w:t>’</w:t>
      </w:r>
      <w:r w:rsidRPr="003F611B">
        <w:rPr>
          <w:lang w:val="fr-FR"/>
        </w:rPr>
        <w:t>une batterie » s</w:t>
      </w:r>
      <w:r>
        <w:rPr>
          <w:lang w:val="fr-FR"/>
        </w:rPr>
        <w:t>’</w:t>
      </w:r>
      <w:r w:rsidRPr="003F611B">
        <w:rPr>
          <w:lang w:val="fr-FR"/>
        </w:rPr>
        <w:t>entend d</w:t>
      </w:r>
      <w:r>
        <w:rPr>
          <w:lang w:val="fr-FR"/>
        </w:rPr>
        <w:t>’</w:t>
      </w:r>
      <w:r w:rsidRPr="003F611B">
        <w:rPr>
          <w:lang w:val="fr-FR"/>
        </w:rPr>
        <w:t xml:space="preserve">une description permettant </w:t>
      </w:r>
      <w:r>
        <w:rPr>
          <w:lang w:val="fr-FR"/>
        </w:rPr>
        <w:t>de les</w:t>
      </w:r>
      <w:r w:rsidRPr="003F611B">
        <w:rPr>
          <w:lang w:val="fr-FR"/>
        </w:rPr>
        <w:t xml:space="preserve"> identifi</w:t>
      </w:r>
      <w:r>
        <w:rPr>
          <w:lang w:val="fr-FR"/>
        </w:rPr>
        <w:t>er</w:t>
      </w:r>
      <w:r w:rsidRPr="003F611B">
        <w:rPr>
          <w:lang w:val="fr-FR"/>
        </w:rPr>
        <w:t xml:space="preserve"> lorsqu</w:t>
      </w:r>
      <w:r>
        <w:rPr>
          <w:lang w:val="fr-FR"/>
        </w:rPr>
        <w:t>’</w:t>
      </w:r>
      <w:r w:rsidRPr="003F611B">
        <w:rPr>
          <w:lang w:val="fr-FR"/>
        </w:rPr>
        <w:t>elles sont installées dans différents produits </w:t>
      </w:r>
      <w:r w:rsidRPr="00DE4FBC">
        <w:rPr>
          <w:lang w:val="fr-FR"/>
        </w:rPr>
        <w:t xml:space="preserve">; </w:t>
      </w:r>
    </w:p>
    <w:p w:rsidR="00E30E39" w:rsidRPr="00DE4FBC" w:rsidRDefault="00E30E39" w:rsidP="005E4BE3">
      <w:pPr>
        <w:pStyle w:val="SingleTxtG"/>
        <w:ind w:firstLine="567"/>
        <w:rPr>
          <w:lang w:val="fr-FR"/>
        </w:rPr>
      </w:pPr>
      <w:r w:rsidRPr="00DE4FBC">
        <w:rPr>
          <w:lang w:val="fr-FR"/>
        </w:rPr>
        <w:t>d)</w:t>
      </w:r>
      <w:r w:rsidRPr="00DE4FBC">
        <w:rPr>
          <w:lang w:val="fr-FR"/>
        </w:rPr>
        <w:tab/>
      </w:r>
      <w:r>
        <w:rPr>
          <w:lang w:val="fr-FR"/>
        </w:rPr>
        <w:t>R</w:t>
      </w:r>
      <w:r w:rsidRPr="003F611B">
        <w:rPr>
          <w:lang w:val="fr-FR"/>
        </w:rPr>
        <w:t>ien n</w:t>
      </w:r>
      <w:r>
        <w:rPr>
          <w:lang w:val="fr-FR"/>
        </w:rPr>
        <w:t>’</w:t>
      </w:r>
      <w:r w:rsidRPr="003F611B">
        <w:rPr>
          <w:lang w:val="fr-FR"/>
        </w:rPr>
        <w:t xml:space="preserve">oblige à révéler des informations commerciales confidentielles dans le </w:t>
      </w:r>
      <w:r>
        <w:rPr>
          <w:lang w:val="fr-FR"/>
        </w:rPr>
        <w:t xml:space="preserve">résumé du </w:t>
      </w:r>
      <w:r w:rsidRPr="003F611B">
        <w:t>procès-verbal d</w:t>
      </w:r>
      <w:r>
        <w:t>’</w:t>
      </w:r>
      <w:r w:rsidRPr="003F611B">
        <w:t>épreuve</w:t>
      </w:r>
      <w:r w:rsidRPr="00DE4FBC">
        <w:rPr>
          <w:lang w:val="fr-FR"/>
        </w:rPr>
        <w:t>,</w:t>
      </w:r>
      <w:r>
        <w:rPr>
          <w:lang w:val="fr-FR"/>
        </w:rPr>
        <w:t xml:space="preserve"> à condition qu’y soient fournies toute les informations requises</w:t>
      </w:r>
      <w:r w:rsidRPr="00DE4FBC">
        <w:rPr>
          <w:lang w:val="fr-FR"/>
        </w:rPr>
        <w:t>.</w:t>
      </w:r>
    </w:p>
    <w:p w:rsidR="00E30E39" w:rsidRPr="00DE4FBC" w:rsidRDefault="00E30E39" w:rsidP="005E4BE3">
      <w:pPr>
        <w:pStyle w:val="SingleTxtG"/>
        <w:rPr>
          <w:lang w:val="fr-FR"/>
        </w:rPr>
      </w:pPr>
      <w:r w:rsidRPr="00DE4FBC">
        <w:rPr>
          <w:lang w:val="fr-FR"/>
        </w:rPr>
        <w:t>54.</w:t>
      </w:r>
      <w:r w:rsidRPr="00DE4FBC">
        <w:rPr>
          <w:lang w:val="fr-FR"/>
        </w:rPr>
        <w:tab/>
      </w:r>
      <w:r w:rsidRPr="003F611B">
        <w:rPr>
          <w:lang w:val="fr-FR"/>
        </w:rPr>
        <w:t>Le représentant de la PRBA a dit qu</w:t>
      </w:r>
      <w:r>
        <w:rPr>
          <w:lang w:val="fr-FR"/>
        </w:rPr>
        <w:t>’</w:t>
      </w:r>
      <w:r w:rsidRPr="003F611B">
        <w:rPr>
          <w:lang w:val="fr-FR"/>
        </w:rPr>
        <w:t xml:space="preserve">il soumettrait à la session suivante un document </w:t>
      </w:r>
      <w:r>
        <w:rPr>
          <w:lang w:val="fr-FR"/>
        </w:rPr>
        <w:t>dans lequel seraient fournis</w:t>
      </w:r>
      <w:r w:rsidRPr="003F611B">
        <w:rPr>
          <w:lang w:val="fr-FR"/>
        </w:rPr>
        <w:t xml:space="preserve"> des exemples de la façon d</w:t>
      </w:r>
      <w:r>
        <w:rPr>
          <w:lang w:val="fr-FR"/>
        </w:rPr>
        <w:t>’</w:t>
      </w:r>
      <w:r w:rsidRPr="003F611B">
        <w:rPr>
          <w:lang w:val="fr-FR"/>
        </w:rPr>
        <w:t>assurer la protection des informations commerciales confidentielles</w:t>
      </w:r>
      <w:r w:rsidRPr="00DE4FBC">
        <w:rPr>
          <w:lang w:val="fr-FR"/>
        </w:rPr>
        <w:t xml:space="preserve">. </w:t>
      </w:r>
    </w:p>
    <w:p w:rsidR="00E30E39" w:rsidRDefault="00E30E39" w:rsidP="005E4BE3">
      <w:pPr>
        <w:pStyle w:val="SingleTxtG"/>
        <w:rPr>
          <w:lang w:val="fr-FR"/>
        </w:rPr>
      </w:pPr>
      <w:r w:rsidRPr="00DE4FBC">
        <w:rPr>
          <w:lang w:val="fr-FR"/>
        </w:rPr>
        <w:t>55.</w:t>
      </w:r>
      <w:r w:rsidRPr="00DE4FBC">
        <w:rPr>
          <w:lang w:val="fr-FR"/>
        </w:rPr>
        <w:tab/>
      </w:r>
      <w:r w:rsidRPr="003F611B">
        <w:rPr>
          <w:lang w:val="fr-FR"/>
        </w:rPr>
        <w:t>S</w:t>
      </w:r>
      <w:r>
        <w:rPr>
          <w:lang w:val="fr-FR"/>
        </w:rPr>
        <w:t>’</w:t>
      </w:r>
      <w:r w:rsidRPr="003F611B">
        <w:rPr>
          <w:lang w:val="fr-FR"/>
        </w:rPr>
        <w:t>agissant de la question posée par le représentant de l</w:t>
      </w:r>
      <w:r>
        <w:rPr>
          <w:lang w:val="fr-FR"/>
        </w:rPr>
        <w:t>’</w:t>
      </w:r>
      <w:r w:rsidRPr="003F611B">
        <w:rPr>
          <w:lang w:val="fr-FR"/>
        </w:rPr>
        <w:t>IATA sur le paragraphe</w:t>
      </w:r>
      <w:r>
        <w:rPr>
          <w:lang w:val="fr-FR"/>
        </w:rPr>
        <w:t> </w:t>
      </w:r>
      <w:r w:rsidRPr="003F611B">
        <w:rPr>
          <w:lang w:val="fr-FR"/>
        </w:rPr>
        <w:t>6 du document informel INF.39</w:t>
      </w:r>
      <w:r>
        <w:rPr>
          <w:lang w:val="fr-FR"/>
        </w:rPr>
        <w:t xml:space="preserve"> (voir les paragraphes</w:t>
      </w:r>
      <w:r w:rsidR="00C60C0C">
        <w:rPr>
          <w:lang w:val="fr-FR"/>
        </w:rPr>
        <w:t> </w:t>
      </w:r>
      <w:r>
        <w:rPr>
          <w:lang w:val="fr-FR"/>
        </w:rPr>
        <w:t>63 et 64 du présent rapport)</w:t>
      </w:r>
      <w:r w:rsidR="00C60C0C">
        <w:rPr>
          <w:lang w:val="fr-FR"/>
        </w:rPr>
        <w:t>, le Sous</w:t>
      </w:r>
      <w:r w:rsidR="00C60C0C">
        <w:rPr>
          <w:lang w:val="fr-FR"/>
        </w:rPr>
        <w:noBreakHyphen/>
      </w:r>
      <w:r w:rsidRPr="003F611B">
        <w:rPr>
          <w:lang w:val="fr-FR"/>
        </w:rPr>
        <w:t>Comité a confirmé que les dispositions du Règlement type s</w:t>
      </w:r>
      <w:r>
        <w:rPr>
          <w:lang w:val="fr-FR"/>
        </w:rPr>
        <w:t>’</w:t>
      </w:r>
      <w:r w:rsidRPr="003F611B">
        <w:rPr>
          <w:lang w:val="fr-FR"/>
        </w:rPr>
        <w:t>appliquent aux marchandises dangereuses, en l</w:t>
      </w:r>
      <w:r>
        <w:rPr>
          <w:lang w:val="fr-FR"/>
        </w:rPr>
        <w:t>’</w:t>
      </w:r>
      <w:r w:rsidRPr="003F611B">
        <w:rPr>
          <w:lang w:val="fr-FR"/>
        </w:rPr>
        <w:t>occurrence les batteries au lithium. Par conséquent, le texte du paragraphe</w:t>
      </w:r>
      <w:r>
        <w:rPr>
          <w:lang w:val="fr-FR"/>
        </w:rPr>
        <w:t> </w:t>
      </w:r>
      <w:r w:rsidRPr="003F611B">
        <w:rPr>
          <w:lang w:val="fr-FR"/>
        </w:rPr>
        <w:t>2.9.4</w:t>
      </w:r>
      <w:r>
        <w:rPr>
          <w:lang w:val="fr-FR"/>
        </w:rPr>
        <w:t> </w:t>
      </w:r>
      <w:r w:rsidRPr="003F611B">
        <w:rPr>
          <w:lang w:val="fr-FR"/>
        </w:rPr>
        <w:t xml:space="preserve">g) concerne le </w:t>
      </w:r>
      <w:r w:rsidRPr="003F611B">
        <w:t>procès-verbal d</w:t>
      </w:r>
      <w:r>
        <w:t>’</w:t>
      </w:r>
      <w:r w:rsidRPr="003F611B">
        <w:t>épreuve</w:t>
      </w:r>
      <w:r w:rsidRPr="003F611B">
        <w:rPr>
          <w:lang w:val="fr-FR"/>
        </w:rPr>
        <w:t xml:space="preserve"> prescrit dans le cas des piles ou batteries au lithium. Il a été noté que cette prescription s</w:t>
      </w:r>
      <w:r>
        <w:rPr>
          <w:lang w:val="fr-FR"/>
        </w:rPr>
        <w:t>’</w:t>
      </w:r>
      <w:r w:rsidRPr="003F611B">
        <w:rPr>
          <w:lang w:val="fr-FR"/>
        </w:rPr>
        <w:t>appliquait aussi aux piles ou batteries installées dans des produits. Il a été convenu en outre que les dispositions du paragraphe</w:t>
      </w:r>
      <w:r w:rsidR="00C60C0C">
        <w:rPr>
          <w:lang w:val="fr-FR"/>
        </w:rPr>
        <w:t> </w:t>
      </w:r>
      <w:r>
        <w:rPr>
          <w:lang w:val="fr-FR"/>
        </w:rPr>
        <w:t>2.</w:t>
      </w:r>
      <w:r w:rsidRPr="003F611B">
        <w:rPr>
          <w:lang w:val="fr-FR"/>
        </w:rPr>
        <w:t>9.4</w:t>
      </w:r>
      <w:r>
        <w:rPr>
          <w:lang w:val="fr-FR"/>
        </w:rPr>
        <w:t> </w:t>
      </w:r>
      <w:r w:rsidRPr="003F611B">
        <w:rPr>
          <w:lang w:val="fr-FR"/>
        </w:rPr>
        <w:t>g) pouvaient être satisfaites par le fabricant de la pile ou de la batterie ou le fabricant du produit et que la rubrique 38.3.5 du Manuel d</w:t>
      </w:r>
      <w:r>
        <w:rPr>
          <w:lang w:val="fr-FR"/>
        </w:rPr>
        <w:t>’</w:t>
      </w:r>
      <w:r w:rsidRPr="003F611B">
        <w:rPr>
          <w:lang w:val="fr-FR"/>
        </w:rPr>
        <w:t>épreuves et de critères garantissait que le fabricant de la pile, de la batterie ou du produit assumant la responsabilité de la conformité avec le paragraphe</w:t>
      </w:r>
      <w:r>
        <w:rPr>
          <w:lang w:val="fr-FR"/>
        </w:rPr>
        <w:t> </w:t>
      </w:r>
      <w:r w:rsidRPr="003F611B">
        <w:rPr>
          <w:lang w:val="fr-FR"/>
        </w:rPr>
        <w:t>2.9.4</w:t>
      </w:r>
      <w:r>
        <w:rPr>
          <w:lang w:val="fr-FR"/>
        </w:rPr>
        <w:t> </w:t>
      </w:r>
      <w:r w:rsidRPr="003F611B">
        <w:rPr>
          <w:lang w:val="fr-FR"/>
        </w:rPr>
        <w:t>g) serait facilement identifié dans le procès-verbal d</w:t>
      </w:r>
      <w:r>
        <w:rPr>
          <w:lang w:val="fr-FR"/>
        </w:rPr>
        <w:t>’</w:t>
      </w:r>
      <w:r w:rsidRPr="003F611B">
        <w:rPr>
          <w:lang w:val="fr-FR"/>
        </w:rPr>
        <w:t>épreuve</w:t>
      </w:r>
      <w:r w:rsidR="000100EE">
        <w:rPr>
          <w:lang w:val="fr-FR"/>
        </w:rPr>
        <w:t>.</w:t>
      </w:r>
    </w:p>
    <w:p w:rsidR="00E30E39" w:rsidRPr="00DE4FBC" w:rsidRDefault="005E4BE3" w:rsidP="005E4BE3">
      <w:pPr>
        <w:pStyle w:val="H1G"/>
        <w:rPr>
          <w:lang w:val="fr-FR"/>
        </w:rPr>
      </w:pPr>
      <w:r>
        <w:rPr>
          <w:lang w:val="fr-FR"/>
        </w:rPr>
        <w:tab/>
        <w:t>B.</w:t>
      </w:r>
      <w:r w:rsidR="00E30E39" w:rsidRPr="00DE4FBC">
        <w:rPr>
          <w:lang w:val="fr-FR"/>
        </w:rPr>
        <w:tab/>
      </w:r>
      <w:r w:rsidR="00E30E39" w:rsidRPr="00E17D0F">
        <w:t>Système de classification des piles au lithium en fonction du danger</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5E4BE3">
        <w:rPr>
          <w:i/>
          <w:lang w:val="fr-FR"/>
        </w:rPr>
        <w:t> </w:t>
      </w:r>
      <w:r w:rsidRPr="005E4BE3">
        <w:rPr>
          <w:lang w:val="fr-FR"/>
        </w:rPr>
        <w:t>:</w:t>
      </w:r>
      <w:r w:rsidRPr="00DE4FBC">
        <w:rPr>
          <w:lang w:val="fr-FR"/>
        </w:rPr>
        <w:tab/>
        <w:t>INF.59 (</w:t>
      </w:r>
      <w:r>
        <w:rPr>
          <w:lang w:val="fr-FR"/>
        </w:rPr>
        <w:t>France, au nom du groupe de travail informel</w:t>
      </w:r>
      <w:r w:rsidRPr="00DE4FBC">
        <w:rPr>
          <w:lang w:val="fr-FR"/>
        </w:rPr>
        <w:t>)</w:t>
      </w:r>
      <w:r w:rsidR="005E4BE3">
        <w:rPr>
          <w:lang w:val="fr-FR"/>
        </w:rPr>
        <w:t>.</w:t>
      </w:r>
    </w:p>
    <w:p w:rsidR="00E30E39" w:rsidRPr="00DE4FBC" w:rsidRDefault="00E30E39" w:rsidP="005E4BE3">
      <w:pPr>
        <w:pStyle w:val="SingleTxtG"/>
        <w:rPr>
          <w:lang w:val="fr-FR"/>
        </w:rPr>
      </w:pPr>
      <w:r w:rsidRPr="00DE4FBC">
        <w:rPr>
          <w:lang w:val="fr-FR"/>
        </w:rPr>
        <w:t>56.</w:t>
      </w:r>
      <w:r w:rsidRPr="00DE4FBC">
        <w:rPr>
          <w:lang w:val="fr-FR"/>
        </w:rPr>
        <w:tab/>
      </w:r>
      <w:r w:rsidRPr="00E17D0F">
        <w:t>Le Sous-Comité a noté que le groupe de travail informel continuerait d</w:t>
      </w:r>
      <w:r>
        <w:t>’</w:t>
      </w:r>
      <w:r w:rsidRPr="00E17D0F">
        <w:t>analyser les données reçues et qu</w:t>
      </w:r>
      <w:r>
        <w:t>’</w:t>
      </w:r>
      <w:r w:rsidRPr="00E17D0F">
        <w:t>il avait l</w:t>
      </w:r>
      <w:r>
        <w:t>’</w:t>
      </w:r>
      <w:r w:rsidRPr="00E17D0F">
        <w:t>intention de commencer à élaborer un programme d</w:t>
      </w:r>
      <w:r>
        <w:t>’</w:t>
      </w:r>
      <w:r w:rsidRPr="00E17D0F">
        <w:t>épreuves. L</w:t>
      </w:r>
      <w:r>
        <w:t>’</w:t>
      </w:r>
      <w:r w:rsidRPr="00E17D0F">
        <w:t>expert de la France a invité les autres experts à fournir des données complémentaires au groupe de travail informel</w:t>
      </w:r>
      <w:r w:rsidRPr="00DE4FBC">
        <w:rPr>
          <w:lang w:val="fr-FR"/>
        </w:rPr>
        <w:t xml:space="preserve">. </w:t>
      </w:r>
    </w:p>
    <w:p w:rsidR="00E30E39" w:rsidRPr="00DE4FBC" w:rsidRDefault="00E30E39" w:rsidP="005E4BE3">
      <w:pPr>
        <w:pStyle w:val="H1G"/>
        <w:rPr>
          <w:lang w:val="fr-FR"/>
        </w:rPr>
      </w:pPr>
      <w:r w:rsidRPr="00DE4FBC">
        <w:rPr>
          <w:lang w:val="fr-FR"/>
        </w:rPr>
        <w:tab/>
        <w:t>C.</w:t>
      </w:r>
      <w:r w:rsidRPr="00DE4FBC">
        <w:rPr>
          <w:lang w:val="fr-FR"/>
        </w:rPr>
        <w:tab/>
      </w:r>
      <w:r w:rsidRPr="00E17D0F">
        <w:t>Dispositions relatives au transport</w:t>
      </w:r>
    </w:p>
    <w:p w:rsidR="00E30E39" w:rsidRPr="00DE4FBC" w:rsidRDefault="00E30E39" w:rsidP="005E4BE3">
      <w:pPr>
        <w:pStyle w:val="H23G"/>
        <w:rPr>
          <w:lang w:val="fr-FR"/>
        </w:rPr>
      </w:pPr>
      <w:r w:rsidRPr="00DE4FBC">
        <w:rPr>
          <w:lang w:val="fr-FR"/>
        </w:rPr>
        <w:tab/>
      </w:r>
      <w:r w:rsidRPr="00DE4FBC">
        <w:rPr>
          <w:lang w:val="fr-FR"/>
        </w:rPr>
        <w:tab/>
      </w:r>
      <w:r w:rsidRPr="00E17D0F">
        <w:t>Harmonisation des désignations officielles de transport des N</w:t>
      </w:r>
      <w:r w:rsidRPr="006324D5">
        <w:rPr>
          <w:vertAlign w:val="superscript"/>
        </w:rPr>
        <w:t>os</w:t>
      </w:r>
      <w:r w:rsidRPr="00E17D0F">
        <w:t> ONU 3481 et 3091</w:t>
      </w:r>
    </w:p>
    <w:p w:rsidR="00E30E39" w:rsidRPr="00DE4FBC" w:rsidRDefault="00E30E39" w:rsidP="002F3854">
      <w:pPr>
        <w:pStyle w:val="SingleTxtG"/>
        <w:tabs>
          <w:tab w:val="left" w:pos="3119"/>
        </w:tabs>
        <w:ind w:left="3119" w:hanging="1985"/>
        <w:jc w:val="left"/>
        <w:rPr>
          <w:lang w:val="fr-FR"/>
        </w:rPr>
      </w:pPr>
      <w:r w:rsidRPr="00DE4FBC">
        <w:rPr>
          <w:i/>
          <w:lang w:val="fr-FR"/>
        </w:rPr>
        <w:t>Document</w:t>
      </w:r>
      <w:r w:rsidR="005E4BE3">
        <w:rPr>
          <w:i/>
          <w:lang w:val="fr-FR"/>
        </w:rPr>
        <w:t>s </w:t>
      </w:r>
      <w:r w:rsidR="005E4BE3">
        <w:rPr>
          <w:lang w:val="fr-FR"/>
        </w:rPr>
        <w:t>:</w:t>
      </w:r>
      <w:r w:rsidR="005E4BE3">
        <w:rPr>
          <w:lang w:val="fr-FR"/>
        </w:rPr>
        <w:tab/>
      </w:r>
      <w:r w:rsidRPr="00DE4FBC">
        <w:rPr>
          <w:lang w:val="fr-FR"/>
        </w:rPr>
        <w:t>ST/SG/AC.10/C.3/2017/39 (RECHARGE, PRBA)</w:t>
      </w:r>
      <w:r w:rsidR="005E4BE3">
        <w:rPr>
          <w:lang w:val="fr-FR"/>
        </w:rPr>
        <w:t>.</w:t>
      </w:r>
    </w:p>
    <w:p w:rsidR="00E30E39" w:rsidRPr="00DE4FBC" w:rsidRDefault="00E30E39" w:rsidP="005E4BE3">
      <w:pPr>
        <w:pStyle w:val="SingleTxtG"/>
        <w:rPr>
          <w:lang w:val="fr-FR"/>
        </w:rPr>
      </w:pPr>
      <w:r w:rsidRPr="00DE4FBC">
        <w:rPr>
          <w:lang w:val="fr-FR"/>
        </w:rPr>
        <w:t>57.</w:t>
      </w:r>
      <w:r w:rsidRPr="00DE4FBC">
        <w:rPr>
          <w:lang w:val="fr-FR"/>
        </w:rPr>
        <w:tab/>
      </w:r>
      <w:r w:rsidRPr="00E17D0F">
        <w:t xml:space="preserve">Le Sous-Comité a appuyé dans son principe la proposition visant à simplifier les dispositions applicables aux piles au lithium métal ou au lithium ionique emballées avec un </w:t>
      </w:r>
      <w:r w:rsidRPr="00E17D0F">
        <w:lastRenderedPageBreak/>
        <w:t>équipement ou contenues dans un équipement (</w:t>
      </w:r>
      <w:r>
        <w:t>N</w:t>
      </w:r>
      <w:r w:rsidRPr="00855B0D">
        <w:rPr>
          <w:vertAlign w:val="superscript"/>
        </w:rPr>
        <w:t>os</w:t>
      </w:r>
      <w:r w:rsidRPr="00E17D0F">
        <w:t> ONU 3481 et 3091), mais a jugé nécessaire qu</w:t>
      </w:r>
      <w:r>
        <w:t>’</w:t>
      </w:r>
      <w:r w:rsidRPr="00E17D0F">
        <w:t>elle soit davantage détaillée avant d</w:t>
      </w:r>
      <w:r>
        <w:t>’</w:t>
      </w:r>
      <w:r w:rsidRPr="00E17D0F">
        <w:t xml:space="preserve">être examinée </w:t>
      </w:r>
      <w:r>
        <w:t xml:space="preserve">pour </w:t>
      </w:r>
      <w:r w:rsidRPr="00E17D0F">
        <w:t>adoption. Les</w:t>
      </w:r>
      <w:r w:rsidR="00C60C0C">
        <w:t> </w:t>
      </w:r>
      <w:r w:rsidRPr="00E17D0F">
        <w:t>représentants de RECHARGE et de la PRBA ont dit qu</w:t>
      </w:r>
      <w:r>
        <w:t>’</w:t>
      </w:r>
      <w:r w:rsidRPr="00E17D0F">
        <w:t xml:space="preserve">ils soumettraient à la session </w:t>
      </w:r>
      <w:r>
        <w:t xml:space="preserve">suivante </w:t>
      </w:r>
      <w:r w:rsidRPr="00E17D0F">
        <w:t>une proposition révisée tenant compte des différentes observations formulées</w:t>
      </w:r>
      <w:r w:rsidRPr="00DE4FBC">
        <w:rPr>
          <w:lang w:val="fr-FR"/>
        </w:rPr>
        <w:t xml:space="preserve">. </w:t>
      </w:r>
    </w:p>
    <w:p w:rsidR="00E30E39" w:rsidRPr="00DE4FBC" w:rsidRDefault="00E30E39" w:rsidP="005E4BE3">
      <w:pPr>
        <w:pStyle w:val="H1G"/>
        <w:rPr>
          <w:lang w:val="fr-FR"/>
        </w:rPr>
      </w:pPr>
      <w:r w:rsidRPr="00DE4FBC">
        <w:rPr>
          <w:lang w:val="fr-FR"/>
        </w:rPr>
        <w:tab/>
        <w:t>D.</w:t>
      </w:r>
      <w:r w:rsidRPr="00DE4FBC">
        <w:rPr>
          <w:lang w:val="fr-FR"/>
        </w:rPr>
        <w:tab/>
      </w:r>
      <w:r>
        <w:t>Piles et b</w:t>
      </w:r>
      <w:r w:rsidRPr="00E17D0F">
        <w:t>atteries au lithium endommagées ou défectueuses</w:t>
      </w:r>
    </w:p>
    <w:p w:rsidR="00E30E39" w:rsidRPr="00DE4FBC" w:rsidRDefault="00E30E39" w:rsidP="002F3854">
      <w:pPr>
        <w:pStyle w:val="SingleTxtG"/>
        <w:tabs>
          <w:tab w:val="left" w:pos="3119"/>
        </w:tabs>
        <w:ind w:left="3119" w:hanging="1985"/>
        <w:jc w:val="left"/>
        <w:rPr>
          <w:lang w:val="fr-FR"/>
        </w:rPr>
      </w:pPr>
      <w:r w:rsidRPr="00DE4FBC">
        <w:rPr>
          <w:i/>
          <w:lang w:val="fr-FR"/>
        </w:rPr>
        <w:t>Document</w:t>
      </w:r>
      <w:r w:rsidR="005E4BE3">
        <w:rPr>
          <w:i/>
          <w:lang w:val="fr-FR"/>
        </w:rPr>
        <w:t>s </w:t>
      </w:r>
      <w:r w:rsidR="005E4BE3" w:rsidRPr="00C60C0C">
        <w:rPr>
          <w:lang w:val="fr-FR"/>
        </w:rPr>
        <w:t>:</w:t>
      </w:r>
      <w:r w:rsidRPr="00DE4FBC">
        <w:rPr>
          <w:i/>
          <w:lang w:val="fr-FR"/>
        </w:rPr>
        <w:tab/>
      </w:r>
      <w:r w:rsidRPr="00DE4FBC">
        <w:rPr>
          <w:lang w:val="fr-FR"/>
        </w:rPr>
        <w:t>ST/SG/AC.10/C.3/2017/49 (RECHARGE, PRBA)</w:t>
      </w:r>
      <w:r w:rsidR="005E4BE3">
        <w:rPr>
          <w:lang w:val="fr-FR"/>
        </w:rPr>
        <w:t>.</w:t>
      </w:r>
    </w:p>
    <w:p w:rsidR="00E30E39" w:rsidRPr="00DE4FBC" w:rsidRDefault="00E30E39" w:rsidP="005E4BE3">
      <w:pPr>
        <w:pStyle w:val="SingleTxtG"/>
        <w:rPr>
          <w:lang w:val="fr-FR"/>
        </w:rPr>
      </w:pPr>
      <w:r w:rsidRPr="00DE4FBC">
        <w:rPr>
          <w:lang w:val="fr-FR"/>
        </w:rPr>
        <w:t>58.</w:t>
      </w:r>
      <w:r w:rsidRPr="00DE4FBC">
        <w:rPr>
          <w:lang w:val="fr-FR"/>
        </w:rPr>
        <w:tab/>
      </w:r>
      <w:r w:rsidRPr="00E17D0F">
        <w:t>Le Sous-Comité n</w:t>
      </w:r>
      <w:r>
        <w:t>’</w:t>
      </w:r>
      <w:r w:rsidRPr="00E17D0F">
        <w:t xml:space="preserve">a pas appuyé la proposition formulée dans le document </w:t>
      </w:r>
      <w:r w:rsidRPr="00DE4FBC">
        <w:rPr>
          <w:lang w:val="fr-FR"/>
        </w:rPr>
        <w:t xml:space="preserve">ST/SG/AC.10/C.3/2017/49. </w:t>
      </w:r>
    </w:p>
    <w:p w:rsidR="00E30E39" w:rsidRPr="00DE4FBC" w:rsidRDefault="00E30E39" w:rsidP="005E4BE3">
      <w:pPr>
        <w:pStyle w:val="SingleTxtG"/>
        <w:rPr>
          <w:lang w:val="fr-FR"/>
        </w:rPr>
      </w:pPr>
      <w:r w:rsidRPr="00DE4FBC">
        <w:rPr>
          <w:lang w:val="fr-FR"/>
        </w:rPr>
        <w:t>59.</w:t>
      </w:r>
      <w:r w:rsidRPr="00DE4FBC">
        <w:rPr>
          <w:lang w:val="fr-FR"/>
        </w:rPr>
        <w:tab/>
      </w:r>
      <w:r w:rsidRPr="00173485">
        <w:rPr>
          <w:lang w:val="fr-FR"/>
        </w:rPr>
        <w:t>La plupart des experts étaient d</w:t>
      </w:r>
      <w:r>
        <w:rPr>
          <w:lang w:val="fr-FR"/>
        </w:rPr>
        <w:t>’</w:t>
      </w:r>
      <w:r w:rsidRPr="00173485">
        <w:rPr>
          <w:lang w:val="fr-FR"/>
        </w:rPr>
        <w:t>avis qu</w:t>
      </w:r>
      <w:r>
        <w:rPr>
          <w:lang w:val="fr-FR"/>
        </w:rPr>
        <w:t>’</w:t>
      </w:r>
      <w:r w:rsidRPr="00173485">
        <w:rPr>
          <w:lang w:val="fr-FR"/>
        </w:rPr>
        <w:t>une évaluation effectuée conformément à la disposition spéciale 376 n</w:t>
      </w:r>
      <w:r>
        <w:rPr>
          <w:lang w:val="fr-FR"/>
        </w:rPr>
        <w:t>’</w:t>
      </w:r>
      <w:r w:rsidRPr="00173485">
        <w:rPr>
          <w:lang w:val="fr-FR"/>
        </w:rPr>
        <w:t xml:space="preserve">exigeait pas de nouveaux essais conformément à </w:t>
      </w:r>
      <w:r>
        <w:rPr>
          <w:lang w:val="fr-FR"/>
        </w:rPr>
        <w:t>la rubrique</w:t>
      </w:r>
      <w:r w:rsidRPr="00173485">
        <w:rPr>
          <w:lang w:val="fr-FR"/>
        </w:rPr>
        <w:t xml:space="preserve"> 38.3 pour évaluer le dommage ou le défaut</w:t>
      </w:r>
      <w:r w:rsidRPr="00DE4FBC">
        <w:rPr>
          <w:lang w:val="fr-FR"/>
        </w:rPr>
        <w:t>.</w:t>
      </w:r>
    </w:p>
    <w:p w:rsidR="00E30E39" w:rsidRPr="00DE4FBC" w:rsidRDefault="00E30E39" w:rsidP="00C60C0C">
      <w:pPr>
        <w:pStyle w:val="SingleTxtG"/>
        <w:keepLines/>
        <w:rPr>
          <w:lang w:val="fr-FR"/>
        </w:rPr>
      </w:pPr>
      <w:r w:rsidRPr="00DE4FBC">
        <w:rPr>
          <w:lang w:val="fr-FR"/>
        </w:rPr>
        <w:t>60.</w:t>
      </w:r>
      <w:r w:rsidRPr="00DE4FBC">
        <w:rPr>
          <w:lang w:val="fr-FR"/>
        </w:rPr>
        <w:tab/>
      </w:r>
      <w:r>
        <w:t>Certains experts</w:t>
      </w:r>
      <w:r w:rsidRPr="00E17D0F">
        <w:t xml:space="preserve"> ont toutefois admis qu</w:t>
      </w:r>
      <w:r>
        <w:t>’</w:t>
      </w:r>
      <w:r w:rsidRPr="00E17D0F">
        <w:t>il serait utile d</w:t>
      </w:r>
      <w:r>
        <w:t>e</w:t>
      </w:r>
      <w:r w:rsidRPr="00E17D0F">
        <w:t xml:space="preserve"> faire état </w:t>
      </w:r>
      <w:r>
        <w:t xml:space="preserve">de cette </w:t>
      </w:r>
      <w:r w:rsidR="005E4BE3">
        <w:t>interprétation</w:t>
      </w:r>
      <w:r>
        <w:t xml:space="preserve"> </w:t>
      </w:r>
      <w:r w:rsidRPr="00E17D0F">
        <w:t>dans le Règlement type, ainsi que de préciser les conditions de transport applicables aux piles ou batteries au lithium usagées, endommagées ou défectueuses (à</w:t>
      </w:r>
      <w:r w:rsidR="005E4BE3">
        <w:t> </w:t>
      </w:r>
      <w:r w:rsidRPr="00E17D0F">
        <w:t>savoir l</w:t>
      </w:r>
      <w:r>
        <w:t>’</w:t>
      </w:r>
      <w:r w:rsidRPr="00E17D0F">
        <w:t>applicabilité des instructions d</w:t>
      </w:r>
      <w:r>
        <w:t>’</w:t>
      </w:r>
      <w:r w:rsidRPr="00E17D0F">
        <w:t>emballage P908 et P911 ou la nécessité d</w:t>
      </w:r>
      <w:r>
        <w:t>’</w:t>
      </w:r>
      <w:r w:rsidRPr="00E17D0F">
        <w:t>obtenir l</w:t>
      </w:r>
      <w:r>
        <w:t>’</w:t>
      </w:r>
      <w:r w:rsidRPr="00E17D0F">
        <w:t>agrément de l</w:t>
      </w:r>
      <w:r>
        <w:t>’</w:t>
      </w:r>
      <w:r w:rsidRPr="00E17D0F">
        <w:t>autorité compétente</w:t>
      </w:r>
      <w:r w:rsidRPr="00DE4FBC">
        <w:rPr>
          <w:lang w:val="fr-FR"/>
        </w:rPr>
        <w:t xml:space="preserve">). </w:t>
      </w:r>
    </w:p>
    <w:p w:rsidR="00E30E39" w:rsidRPr="00DE4FBC" w:rsidRDefault="00E30E39" w:rsidP="005E4BE3">
      <w:pPr>
        <w:pStyle w:val="SingleTxtG"/>
        <w:rPr>
          <w:lang w:val="fr-FR"/>
        </w:rPr>
      </w:pPr>
      <w:r w:rsidRPr="00DE4FBC">
        <w:rPr>
          <w:lang w:val="fr-FR"/>
        </w:rPr>
        <w:t>61.</w:t>
      </w:r>
      <w:r w:rsidRPr="00DE4FBC">
        <w:rPr>
          <w:lang w:val="fr-FR"/>
        </w:rPr>
        <w:tab/>
      </w:r>
      <w:r w:rsidRPr="00E17D0F">
        <w:t>À la suite d</w:t>
      </w:r>
      <w:r>
        <w:t>’</w:t>
      </w:r>
      <w:r w:rsidRPr="00E17D0F">
        <w:t>un débat, le représentant de la PRBA a retiré la proposition et a dit qu</w:t>
      </w:r>
      <w:r>
        <w:t>’</w:t>
      </w:r>
      <w:r w:rsidRPr="00E17D0F">
        <w:t xml:space="preserve">il la réviserait pour la session </w:t>
      </w:r>
      <w:r>
        <w:t xml:space="preserve">suivante </w:t>
      </w:r>
      <w:r w:rsidRPr="00E17D0F">
        <w:t>en tenant compte des observations faites</w:t>
      </w:r>
      <w:r w:rsidRPr="00DE4FBC">
        <w:rPr>
          <w:lang w:val="fr-FR"/>
        </w:rPr>
        <w:t>.</w:t>
      </w:r>
    </w:p>
    <w:p w:rsidR="00E30E39" w:rsidRPr="00DE4FBC" w:rsidRDefault="00E30E39" w:rsidP="005E4BE3">
      <w:pPr>
        <w:pStyle w:val="H1G"/>
        <w:rPr>
          <w:lang w:val="fr-FR"/>
        </w:rPr>
      </w:pPr>
      <w:r w:rsidRPr="00DE4FBC">
        <w:rPr>
          <w:lang w:val="fr-FR"/>
        </w:rPr>
        <w:tab/>
        <w:t>E.</w:t>
      </w:r>
      <w:r w:rsidRPr="00DE4FBC">
        <w:rPr>
          <w:lang w:val="fr-FR"/>
        </w:rPr>
        <w:tab/>
      </w:r>
      <w:r w:rsidRPr="00E17D0F">
        <w:t>Batteries au sodium ionique</w:t>
      </w:r>
    </w:p>
    <w:p w:rsidR="00E30E39" w:rsidRPr="00DE4FBC" w:rsidRDefault="00E30E39" w:rsidP="002F3854">
      <w:pPr>
        <w:pStyle w:val="SingleTxtG"/>
        <w:tabs>
          <w:tab w:val="left" w:pos="3119"/>
        </w:tabs>
        <w:ind w:left="3119" w:hanging="1985"/>
        <w:jc w:val="left"/>
        <w:rPr>
          <w:lang w:val="fr-FR"/>
        </w:rPr>
      </w:pPr>
      <w:r w:rsidRPr="00DE4FBC">
        <w:rPr>
          <w:i/>
          <w:lang w:val="fr-FR"/>
        </w:rPr>
        <w:t>Document</w:t>
      </w:r>
      <w:r w:rsidR="00C14569">
        <w:rPr>
          <w:i/>
          <w:lang w:val="fr-FR"/>
        </w:rPr>
        <w:t>s </w:t>
      </w:r>
      <w:r w:rsidR="00C60C0C" w:rsidRPr="00C60C0C">
        <w:rPr>
          <w:lang w:val="fr-FR"/>
        </w:rPr>
        <w:t>:</w:t>
      </w:r>
      <w:r w:rsidRPr="00DE4FBC">
        <w:rPr>
          <w:i/>
          <w:lang w:val="fr-FR"/>
        </w:rPr>
        <w:tab/>
      </w:r>
      <w:r w:rsidRPr="00DE4FBC">
        <w:rPr>
          <w:lang w:val="fr-FR"/>
        </w:rPr>
        <w:t>ST/SG/AC.10/C.3/2017/37 (</w:t>
      </w:r>
      <w:r>
        <w:rPr>
          <w:lang w:val="fr-FR"/>
        </w:rPr>
        <w:t>Royaume-</w:t>
      </w:r>
      <w:r w:rsidRPr="00DE4FBC">
        <w:rPr>
          <w:lang w:val="fr-FR"/>
        </w:rPr>
        <w:t>Uni)</w:t>
      </w:r>
      <w:r w:rsidR="00C14569">
        <w:rPr>
          <w:lang w:val="fr-FR"/>
        </w:rPr>
        <w:t>.</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C14569">
        <w:rPr>
          <w:i/>
          <w:lang w:val="fr-FR"/>
        </w:rPr>
        <w:t> </w:t>
      </w:r>
      <w:r w:rsidRPr="00C14569">
        <w:rPr>
          <w:lang w:val="fr-FR"/>
        </w:rPr>
        <w:t>:</w:t>
      </w:r>
      <w:r w:rsidRPr="00DE4FBC">
        <w:rPr>
          <w:lang w:val="fr-FR"/>
        </w:rPr>
        <w:tab/>
        <w:t>INF.11 (</w:t>
      </w:r>
      <w:r w:rsidRPr="00D10E29">
        <w:rPr>
          <w:lang w:val="fr-FR"/>
        </w:rPr>
        <w:t>Royaume-Uni</w:t>
      </w:r>
      <w:r w:rsidRPr="00DE4FBC">
        <w:rPr>
          <w:lang w:val="fr-FR"/>
        </w:rPr>
        <w:t>)</w:t>
      </w:r>
      <w:r w:rsidR="00C14569">
        <w:rPr>
          <w:lang w:val="fr-FR"/>
        </w:rPr>
        <w:t>.</w:t>
      </w:r>
    </w:p>
    <w:p w:rsidR="00E30E39" w:rsidRPr="00DE4FBC" w:rsidRDefault="00E30E39" w:rsidP="00C14569">
      <w:pPr>
        <w:pStyle w:val="SingleTxtG"/>
        <w:rPr>
          <w:lang w:val="fr-FR"/>
        </w:rPr>
      </w:pPr>
      <w:r w:rsidRPr="00DE4FBC">
        <w:rPr>
          <w:lang w:val="fr-FR"/>
        </w:rPr>
        <w:t>62.</w:t>
      </w:r>
      <w:r w:rsidRPr="00DE4FBC">
        <w:rPr>
          <w:lang w:val="fr-FR"/>
        </w:rPr>
        <w:tab/>
      </w:r>
      <w:r w:rsidRPr="00E17D0F">
        <w:t>Le Sous-Comité s</w:t>
      </w:r>
      <w:r>
        <w:t>’</w:t>
      </w:r>
      <w:r w:rsidRPr="00E17D0F">
        <w:t>est accordé sur la nécessité d</w:t>
      </w:r>
      <w:r>
        <w:t>’</w:t>
      </w:r>
      <w:r w:rsidRPr="00E17D0F">
        <w:t>élaborer des dispositions relatives au transport en toute sécurité des batteries au sodium ionique, mais a estimé qu</w:t>
      </w:r>
      <w:r>
        <w:t>’</w:t>
      </w:r>
      <w:r w:rsidRPr="00E17D0F">
        <w:t>il avait besoin d</w:t>
      </w:r>
      <w:r>
        <w:t>’</w:t>
      </w:r>
      <w:r w:rsidRPr="00E17D0F">
        <w:t>informations complémentaires avant de prendre une décision concernant le traitement de ces batteries dans le Règlement type (état de charge au cours du transport, méthodes d</w:t>
      </w:r>
      <w:r>
        <w:t>’</w:t>
      </w:r>
      <w:r w:rsidRPr="00E17D0F">
        <w:t>épreuve applicables, risques chimiques, conditions d</w:t>
      </w:r>
      <w:r>
        <w:t>’</w:t>
      </w:r>
      <w:r w:rsidRPr="00E17D0F">
        <w:t>emballement thermique,</w:t>
      </w:r>
      <w:r w:rsidR="00C60C0C">
        <w:t xml:space="preserve"> </w:t>
      </w:r>
      <w:r w:rsidRPr="00E17D0F">
        <w:t>etc.). L</w:t>
      </w:r>
      <w:r>
        <w:t>’</w:t>
      </w:r>
      <w:r w:rsidRPr="00E17D0F">
        <w:t>expert du Royaume-Uni a remercié le Sous-Comité pour ses observations et a dit qu</w:t>
      </w:r>
      <w:r>
        <w:t>’</w:t>
      </w:r>
      <w:r w:rsidRPr="00E17D0F">
        <w:t xml:space="preserve">il soumettrait à la session </w:t>
      </w:r>
      <w:r>
        <w:t xml:space="preserve">suivante </w:t>
      </w:r>
      <w:r w:rsidRPr="00E17D0F">
        <w:t xml:space="preserve">un document </w:t>
      </w:r>
      <w:r>
        <w:t>dans lequel seraient fournies</w:t>
      </w:r>
      <w:r w:rsidRPr="00E17D0F">
        <w:t xml:space="preserve"> des informations supplémentaires </w:t>
      </w:r>
      <w:r>
        <w:t>tenant compte des</w:t>
      </w:r>
      <w:r w:rsidRPr="00E17D0F">
        <w:t>dites observations</w:t>
      </w:r>
      <w:r w:rsidRPr="00DE4FBC">
        <w:rPr>
          <w:lang w:val="fr-FR"/>
        </w:rPr>
        <w:t>.</w:t>
      </w:r>
    </w:p>
    <w:p w:rsidR="00E30E39" w:rsidRPr="00DE4FBC" w:rsidRDefault="00C14569" w:rsidP="00C14569">
      <w:pPr>
        <w:pStyle w:val="H1G"/>
        <w:rPr>
          <w:lang w:val="fr-FR"/>
        </w:rPr>
      </w:pPr>
      <w:r>
        <w:rPr>
          <w:lang w:val="fr-FR"/>
        </w:rPr>
        <w:tab/>
      </w:r>
      <w:r w:rsidR="00E30E39" w:rsidRPr="00DE4FBC">
        <w:rPr>
          <w:lang w:val="fr-FR"/>
        </w:rPr>
        <w:t>F.</w:t>
      </w:r>
      <w:r w:rsidR="00E30E39" w:rsidRPr="00DE4FBC">
        <w:rPr>
          <w:lang w:val="fr-FR"/>
        </w:rPr>
        <w:tab/>
      </w:r>
      <w:r w:rsidR="00E30E39" w:rsidRPr="00E17D0F">
        <w:t>Questions diverses</w:t>
      </w:r>
    </w:p>
    <w:p w:rsidR="00E30E39" w:rsidRPr="00DE4FBC" w:rsidRDefault="00E30E39" w:rsidP="00C14569">
      <w:pPr>
        <w:pStyle w:val="H23G"/>
        <w:rPr>
          <w:lang w:val="fr-FR"/>
        </w:rPr>
      </w:pPr>
      <w:r w:rsidRPr="00DE4FBC">
        <w:rPr>
          <w:lang w:val="fr-FR"/>
        </w:rPr>
        <w:tab/>
      </w:r>
      <w:r w:rsidRPr="00DE4FBC">
        <w:rPr>
          <w:lang w:val="fr-FR"/>
        </w:rPr>
        <w:tab/>
      </w:r>
      <w:r w:rsidRPr="00E17D0F">
        <w:t xml:space="preserve">Parties tenues de mettre à disposition le résumé du procès-verbal </w:t>
      </w:r>
      <w:r w:rsidR="00C14569">
        <w:br/>
      </w:r>
      <w:r w:rsidRPr="00E17D0F">
        <w:t>d</w:t>
      </w:r>
      <w:r>
        <w:t>’</w:t>
      </w:r>
      <w:r w:rsidRPr="00E17D0F">
        <w:t>épreuve concernant les piles et batteries au lithium</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C14569">
        <w:rPr>
          <w:i/>
          <w:lang w:val="fr-FR"/>
        </w:rPr>
        <w:t> </w:t>
      </w:r>
      <w:r w:rsidRPr="00C14569">
        <w:rPr>
          <w:lang w:val="fr-FR"/>
        </w:rPr>
        <w:t>:</w:t>
      </w:r>
      <w:r w:rsidRPr="00DE4FBC">
        <w:rPr>
          <w:lang w:val="fr-FR"/>
        </w:rPr>
        <w:tab/>
        <w:t>INF.39 (IATA)</w:t>
      </w:r>
      <w:r w:rsidR="00C14569">
        <w:rPr>
          <w:lang w:val="fr-FR"/>
        </w:rPr>
        <w:t>.</w:t>
      </w:r>
    </w:p>
    <w:p w:rsidR="00E30E39" w:rsidRPr="00E17D0F" w:rsidRDefault="00E30E39" w:rsidP="00C14569">
      <w:pPr>
        <w:pStyle w:val="SingleTxtG"/>
      </w:pPr>
      <w:r w:rsidRPr="00DE4FBC">
        <w:rPr>
          <w:lang w:val="fr-FR"/>
        </w:rPr>
        <w:t>63.</w:t>
      </w:r>
      <w:r w:rsidRPr="00DE4FBC">
        <w:rPr>
          <w:lang w:val="fr-FR"/>
        </w:rPr>
        <w:tab/>
      </w:r>
      <w:r w:rsidRPr="00E17D0F">
        <w:t xml:space="preserve">Le Sous-Comité a confirmé que la différence entre le texte actuel du </w:t>
      </w:r>
      <w:r w:rsidRPr="00FC25E4">
        <w:t>paragraphe</w:t>
      </w:r>
      <w:r w:rsidR="00C14569">
        <w:t> </w:t>
      </w:r>
      <w:r w:rsidRPr="00E17D0F">
        <w:t xml:space="preserve">2.9.4 g) </w:t>
      </w:r>
      <w:r>
        <w:t xml:space="preserve">du </w:t>
      </w:r>
      <w:r w:rsidRPr="00E17D0F">
        <w:t xml:space="preserve">Règlement type et celui des </w:t>
      </w:r>
      <w:r>
        <w:t>paragraphes</w:t>
      </w:r>
      <w:r w:rsidR="00C14569">
        <w:t> </w:t>
      </w:r>
      <w:r w:rsidRPr="00E17D0F">
        <w:t xml:space="preserve">38.3.5 a) et b) </w:t>
      </w:r>
      <w:r>
        <w:t xml:space="preserve">du </w:t>
      </w:r>
      <w:r w:rsidRPr="00E17D0F">
        <w:t>Manuel d</w:t>
      </w:r>
      <w:r>
        <w:t>’</w:t>
      </w:r>
      <w:r w:rsidRPr="00E17D0F">
        <w:t>épreuves et de critères, s</w:t>
      </w:r>
      <w:r>
        <w:t>’</w:t>
      </w:r>
      <w:r w:rsidRPr="00E17D0F">
        <w:t xml:space="preserve">agissant de la référence faite respectivement aux fabricants et distributeurs et au fabricant des dispositifs, était voulue. </w:t>
      </w:r>
      <w:r>
        <w:t xml:space="preserve">Il a été </w:t>
      </w:r>
      <w:r w:rsidRPr="00E17D0F">
        <w:t>observ</w:t>
      </w:r>
      <w:r>
        <w:t>é</w:t>
      </w:r>
      <w:r w:rsidRPr="00E17D0F">
        <w:t xml:space="preserve"> que les fabricants de dispositifs ou d</w:t>
      </w:r>
      <w:r>
        <w:t>’</w:t>
      </w:r>
      <w:r w:rsidRPr="00E17D0F">
        <w:t>équipements pouvaient être considérés comme des distributeurs et que d</w:t>
      </w:r>
      <w:r>
        <w:t>’</w:t>
      </w:r>
      <w:r w:rsidRPr="00E17D0F">
        <w:t>autres parties pouvaient également l</w:t>
      </w:r>
      <w:r>
        <w:t>’</w:t>
      </w:r>
      <w:r w:rsidRPr="00E17D0F">
        <w:t>être.</w:t>
      </w:r>
    </w:p>
    <w:p w:rsidR="00E30E39" w:rsidRPr="00DE4FBC" w:rsidRDefault="00E30E39" w:rsidP="00C14569">
      <w:pPr>
        <w:pStyle w:val="SingleTxtG"/>
        <w:rPr>
          <w:lang w:val="fr-FR"/>
        </w:rPr>
      </w:pPr>
      <w:r w:rsidRPr="00E17D0F">
        <w:t>6</w:t>
      </w:r>
      <w:r w:rsidR="00C14569">
        <w:t>4</w:t>
      </w:r>
      <w:r w:rsidRPr="00E17D0F">
        <w:t>.</w:t>
      </w:r>
      <w:r w:rsidRPr="00E17D0F">
        <w:tab/>
        <w:t>Le représentant de l</w:t>
      </w:r>
      <w:r>
        <w:t>’</w:t>
      </w:r>
      <w:r w:rsidRPr="00E17D0F">
        <w:t>IATA a dit qu</w:t>
      </w:r>
      <w:r>
        <w:t>’</w:t>
      </w:r>
      <w:r w:rsidRPr="00E17D0F">
        <w:t xml:space="preserve">il réexaminerait sa proposition à la lumière des observations faites et du résultat des débats sur le document informel </w:t>
      </w:r>
      <w:r w:rsidRPr="00DE4FBC">
        <w:rPr>
          <w:lang w:val="fr-FR"/>
        </w:rPr>
        <w:t>INF.58 (</w:t>
      </w:r>
      <w:r>
        <w:rPr>
          <w:lang w:val="fr-FR"/>
        </w:rPr>
        <w:t>voir le</w:t>
      </w:r>
      <w:r w:rsidRPr="00DE4FBC">
        <w:rPr>
          <w:lang w:val="fr-FR"/>
        </w:rPr>
        <w:t xml:space="preserve"> paragraph</w:t>
      </w:r>
      <w:r>
        <w:rPr>
          <w:lang w:val="fr-FR"/>
        </w:rPr>
        <w:t>e</w:t>
      </w:r>
      <w:r w:rsidR="00C14569">
        <w:rPr>
          <w:lang w:val="fr-FR"/>
        </w:rPr>
        <w:t> </w:t>
      </w:r>
      <w:r w:rsidRPr="00DE4FBC">
        <w:rPr>
          <w:lang w:val="fr-FR"/>
        </w:rPr>
        <w:t xml:space="preserve">55 </w:t>
      </w:r>
      <w:r>
        <w:rPr>
          <w:lang w:val="fr-FR"/>
        </w:rPr>
        <w:t>du présent rap</w:t>
      </w:r>
      <w:r w:rsidRPr="00DE4FBC">
        <w:rPr>
          <w:lang w:val="fr-FR"/>
        </w:rPr>
        <w:t>port).</w:t>
      </w:r>
    </w:p>
    <w:p w:rsidR="00E30E39" w:rsidRDefault="00E30E39" w:rsidP="00C14569">
      <w:pPr>
        <w:pStyle w:val="HChG"/>
      </w:pPr>
      <w:r>
        <w:lastRenderedPageBreak/>
        <w:tab/>
        <w:t>VII.</w:t>
      </w:r>
      <w:r>
        <w:tab/>
        <w:t>Transport de gaz (point 5 de l’ordre du jour)</w:t>
      </w:r>
    </w:p>
    <w:p w:rsidR="00E30E39" w:rsidRPr="00DE4FBC" w:rsidRDefault="00E30E39" w:rsidP="00C14569">
      <w:pPr>
        <w:pStyle w:val="H1G"/>
        <w:rPr>
          <w:lang w:val="fr-FR"/>
        </w:rPr>
      </w:pPr>
      <w:r w:rsidRPr="00DE4FBC">
        <w:rPr>
          <w:lang w:val="fr-FR"/>
        </w:rPr>
        <w:tab/>
        <w:t>A.</w:t>
      </w:r>
      <w:r w:rsidRPr="00DE4FBC">
        <w:rPr>
          <w:lang w:val="fr-FR"/>
        </w:rPr>
        <w:tab/>
      </w:r>
      <w:r w:rsidRPr="00CD78DA">
        <w:rPr>
          <w:lang w:val="fr-FR"/>
        </w:rPr>
        <w:t>Reconnaissance universelle des récipients à pression ONU et non-ONU</w:t>
      </w:r>
    </w:p>
    <w:p w:rsidR="00E30E39" w:rsidRPr="00DE4FBC" w:rsidRDefault="00E30E39" w:rsidP="00C14569">
      <w:pPr>
        <w:pStyle w:val="SingleTxtG"/>
        <w:rPr>
          <w:rStyle w:val="SingleTxtGZchnZchn"/>
          <w:lang w:val="fr-FR"/>
        </w:rPr>
      </w:pPr>
      <w:r w:rsidRPr="00DE4FBC">
        <w:rPr>
          <w:rStyle w:val="SingleTxtGZchnZchn"/>
          <w:lang w:val="fr-FR"/>
        </w:rPr>
        <w:t>65.</w:t>
      </w:r>
      <w:r w:rsidRPr="00DE4FBC">
        <w:rPr>
          <w:rStyle w:val="SingleTxtGZchnZchn"/>
          <w:lang w:val="fr-FR"/>
        </w:rPr>
        <w:tab/>
      </w:r>
      <w:r w:rsidRPr="00CD78DA">
        <w:rPr>
          <w:rStyle w:val="SingleTxtGZchnZchn"/>
          <w:lang w:val="fr-FR"/>
        </w:rPr>
        <w:t>Aucun document n</w:t>
      </w:r>
      <w:r>
        <w:rPr>
          <w:rStyle w:val="SingleTxtGZchnZchn"/>
          <w:lang w:val="fr-FR"/>
        </w:rPr>
        <w:t>’</w:t>
      </w:r>
      <w:r w:rsidRPr="00CD78DA">
        <w:rPr>
          <w:rStyle w:val="SingleTxtGZchnZchn"/>
          <w:lang w:val="fr-FR"/>
        </w:rPr>
        <w:t>ayant été soumis au titre de ce point de l</w:t>
      </w:r>
      <w:r>
        <w:rPr>
          <w:rStyle w:val="SingleTxtGZchnZchn"/>
          <w:lang w:val="fr-FR"/>
        </w:rPr>
        <w:t>’</w:t>
      </w:r>
      <w:r w:rsidRPr="00CD78DA">
        <w:rPr>
          <w:rStyle w:val="SingleTxtGZchnZchn"/>
          <w:lang w:val="fr-FR"/>
        </w:rPr>
        <w:t>ordre du jour, cette question n</w:t>
      </w:r>
      <w:r>
        <w:rPr>
          <w:rStyle w:val="SingleTxtGZchnZchn"/>
          <w:lang w:val="fr-FR"/>
        </w:rPr>
        <w:t>’</w:t>
      </w:r>
      <w:r w:rsidRPr="00CD78DA">
        <w:rPr>
          <w:rStyle w:val="SingleTxtGZchnZchn"/>
          <w:lang w:val="fr-FR"/>
        </w:rPr>
        <w:t>a pas été abordée</w:t>
      </w:r>
      <w:r w:rsidRPr="00DE4FBC">
        <w:rPr>
          <w:rStyle w:val="SingleTxtGZchnZchn"/>
          <w:lang w:val="fr-FR"/>
        </w:rPr>
        <w:t>.</w:t>
      </w:r>
    </w:p>
    <w:p w:rsidR="00E30E39" w:rsidRPr="00DE4FBC" w:rsidRDefault="00E30E39" w:rsidP="00C14569">
      <w:pPr>
        <w:pStyle w:val="H1G"/>
        <w:rPr>
          <w:lang w:val="fr-FR"/>
        </w:rPr>
      </w:pPr>
      <w:r w:rsidRPr="00DE4FBC">
        <w:rPr>
          <w:lang w:val="fr-FR"/>
        </w:rPr>
        <w:tab/>
        <w:t>B.</w:t>
      </w:r>
      <w:r w:rsidRPr="00DE4FBC">
        <w:rPr>
          <w:lang w:val="fr-FR"/>
        </w:rPr>
        <w:tab/>
      </w:r>
      <w:r>
        <w:t>Divers</w:t>
      </w:r>
    </w:p>
    <w:p w:rsidR="00E30E39" w:rsidRPr="00DE4FBC" w:rsidRDefault="00E30E39" w:rsidP="00C14569">
      <w:pPr>
        <w:pStyle w:val="H23G"/>
        <w:rPr>
          <w:lang w:val="fr-FR"/>
        </w:rPr>
      </w:pPr>
      <w:r w:rsidRPr="00DE4FBC">
        <w:rPr>
          <w:lang w:val="fr-FR"/>
        </w:rPr>
        <w:tab/>
        <w:t>1.</w:t>
      </w:r>
      <w:r w:rsidRPr="00DE4FBC">
        <w:rPr>
          <w:lang w:val="fr-FR"/>
        </w:rPr>
        <w:tab/>
      </w:r>
      <w:r>
        <w:t>Dispositions relatives aux fermetures des récipients à pression</w:t>
      </w:r>
    </w:p>
    <w:p w:rsidR="00E30E39" w:rsidRPr="00DE4FBC" w:rsidRDefault="00E30E39" w:rsidP="002F3854">
      <w:pPr>
        <w:pStyle w:val="SingleTxtG"/>
        <w:tabs>
          <w:tab w:val="left" w:pos="3119"/>
        </w:tabs>
        <w:ind w:left="3119" w:hanging="1985"/>
        <w:jc w:val="left"/>
        <w:rPr>
          <w:lang w:val="fr-FR"/>
        </w:rPr>
      </w:pPr>
      <w:r>
        <w:rPr>
          <w:i/>
          <w:iCs/>
          <w:lang w:val="fr-FR"/>
        </w:rPr>
        <w:t>Document informel</w:t>
      </w:r>
      <w:r w:rsidR="00C14569">
        <w:rPr>
          <w:i/>
          <w:iCs/>
          <w:lang w:val="fr-FR"/>
        </w:rPr>
        <w:t> </w:t>
      </w:r>
      <w:r w:rsidRPr="00DE4FBC">
        <w:rPr>
          <w:lang w:val="fr-FR"/>
        </w:rPr>
        <w:t>:</w:t>
      </w:r>
      <w:r w:rsidRPr="00DE4FBC">
        <w:rPr>
          <w:lang w:val="fr-FR"/>
        </w:rPr>
        <w:tab/>
        <w:t xml:space="preserve">INF.18 (CGA </w:t>
      </w:r>
      <w:r>
        <w:rPr>
          <w:lang w:val="fr-FR"/>
        </w:rPr>
        <w:t>et</w:t>
      </w:r>
      <w:r w:rsidRPr="00DE4FBC">
        <w:rPr>
          <w:lang w:val="fr-FR"/>
        </w:rPr>
        <w:t xml:space="preserve"> EIGA)</w:t>
      </w:r>
      <w:r w:rsidR="00C14569">
        <w:rPr>
          <w:lang w:val="fr-FR"/>
        </w:rPr>
        <w:t>.</w:t>
      </w:r>
    </w:p>
    <w:p w:rsidR="00E30E39" w:rsidRPr="00DE4FBC" w:rsidRDefault="00E30E39" w:rsidP="00C14569">
      <w:pPr>
        <w:pStyle w:val="SingleTxtG"/>
        <w:rPr>
          <w:lang w:val="fr-FR"/>
        </w:rPr>
      </w:pPr>
      <w:r w:rsidRPr="00DE4FBC">
        <w:rPr>
          <w:lang w:val="fr-FR"/>
        </w:rPr>
        <w:t>66.</w:t>
      </w:r>
      <w:r w:rsidRPr="00DE4FBC">
        <w:rPr>
          <w:lang w:val="fr-FR"/>
        </w:rPr>
        <w:tab/>
      </w:r>
      <w:r>
        <w:t>Le Sous-Comité a noté que la CGA et l’EIGA poursuivraient leurs travaux sur la question dans le cadre d’un groupe de travail par correspondance, et toutes les parties intéressées par ces discussions ont été invitées à prendre contact avec les représentants de ces organisations</w:t>
      </w:r>
      <w:r w:rsidRPr="00DE4FBC">
        <w:rPr>
          <w:lang w:val="fr-FR"/>
        </w:rPr>
        <w:t>.</w:t>
      </w:r>
    </w:p>
    <w:p w:rsidR="00E30E39" w:rsidRPr="00DE4FBC" w:rsidRDefault="00E30E39" w:rsidP="00C14569">
      <w:pPr>
        <w:pStyle w:val="H23G"/>
        <w:rPr>
          <w:lang w:val="fr-FR"/>
        </w:rPr>
      </w:pPr>
      <w:r w:rsidRPr="00DE4FBC">
        <w:rPr>
          <w:lang w:val="fr-FR"/>
        </w:rPr>
        <w:tab/>
        <w:t>2.</w:t>
      </w:r>
      <w:r w:rsidRPr="00DE4FBC">
        <w:rPr>
          <w:lang w:val="fr-FR"/>
        </w:rPr>
        <w:tab/>
      </w:r>
      <w:r>
        <w:t xml:space="preserve">Transport de systèmes de confinement de gaz </w:t>
      </w:r>
      <w:r w:rsidR="00294EC9">
        <w:t>−</w:t>
      </w:r>
      <w:r>
        <w:t xml:space="preserve"> affectation de la disposition </w:t>
      </w:r>
      <w:r w:rsidR="00294EC9">
        <w:br/>
      </w:r>
      <w:r>
        <w:t>spéciale 392 aux gaz de la division 2.2</w:t>
      </w:r>
    </w:p>
    <w:p w:rsidR="00E30E39" w:rsidRPr="00DE4FBC" w:rsidRDefault="00E30E39" w:rsidP="002F3854">
      <w:pPr>
        <w:pStyle w:val="SingleTxtG"/>
        <w:tabs>
          <w:tab w:val="left" w:pos="3119"/>
        </w:tabs>
        <w:ind w:left="3119" w:hanging="1985"/>
        <w:jc w:val="left"/>
        <w:rPr>
          <w:lang w:val="fr-FR"/>
        </w:rPr>
      </w:pPr>
      <w:r>
        <w:rPr>
          <w:i/>
          <w:iCs/>
          <w:lang w:val="fr-FR"/>
        </w:rPr>
        <w:t>Document informel</w:t>
      </w:r>
      <w:r w:rsidR="00C14569">
        <w:rPr>
          <w:i/>
          <w:iCs/>
          <w:lang w:val="fr-FR"/>
        </w:rPr>
        <w:t> </w:t>
      </w:r>
      <w:r w:rsidRPr="00DE4FBC">
        <w:rPr>
          <w:lang w:val="fr-FR"/>
        </w:rPr>
        <w:t>:</w:t>
      </w:r>
      <w:r w:rsidRPr="00DE4FBC">
        <w:rPr>
          <w:lang w:val="fr-FR"/>
        </w:rPr>
        <w:tab/>
        <w:t>INF.31 (</w:t>
      </w:r>
      <w:r>
        <w:rPr>
          <w:lang w:val="fr-FR"/>
        </w:rPr>
        <w:t>Allemagne</w:t>
      </w:r>
      <w:r w:rsidRPr="00DE4FBC">
        <w:rPr>
          <w:lang w:val="fr-FR"/>
        </w:rPr>
        <w:t>)</w:t>
      </w:r>
      <w:r w:rsidR="00C14569">
        <w:rPr>
          <w:lang w:val="fr-FR"/>
        </w:rPr>
        <w:t>.</w:t>
      </w:r>
    </w:p>
    <w:p w:rsidR="00E30E39" w:rsidRDefault="00E30E39" w:rsidP="00C14569">
      <w:pPr>
        <w:pStyle w:val="SingleTxtG"/>
        <w:rPr>
          <w:lang w:val="fr-FR"/>
        </w:rPr>
      </w:pPr>
      <w:r w:rsidRPr="00DE4FBC">
        <w:rPr>
          <w:lang w:val="fr-FR"/>
        </w:rPr>
        <w:t>67.</w:t>
      </w:r>
      <w:r w:rsidRPr="00DE4FBC">
        <w:rPr>
          <w:lang w:val="fr-FR"/>
        </w:rPr>
        <w:tab/>
      </w:r>
      <w:r>
        <w:t>Le Sous-Comité a noté que la Réunion commune RID/ADR/ADN avait décidé d’appliquer la disposition spéciale</w:t>
      </w:r>
      <w:r w:rsidR="00C60C0C">
        <w:t xml:space="preserve"> </w:t>
      </w:r>
      <w:r>
        <w:t>392 à des systèmes de confinement des gaz autres que des gaz inflammables qui équipent certains véhicules, au moyen de la disposition spéciale</w:t>
      </w:r>
      <w:r w:rsidR="00C60C0C">
        <w:t xml:space="preserve"> </w:t>
      </w:r>
      <w:r>
        <w:t>660 du RID/ADR/ADN.</w:t>
      </w:r>
    </w:p>
    <w:p w:rsidR="00E30E39" w:rsidRPr="00DE4FBC" w:rsidRDefault="00E30E39" w:rsidP="00C14569">
      <w:pPr>
        <w:pStyle w:val="SingleTxtG"/>
        <w:rPr>
          <w:lang w:val="fr-FR"/>
        </w:rPr>
      </w:pPr>
      <w:r w:rsidRPr="00DE4FBC">
        <w:rPr>
          <w:lang w:val="fr-FR"/>
        </w:rPr>
        <w:t>68.</w:t>
      </w:r>
      <w:r w:rsidRPr="00DE4FBC">
        <w:rPr>
          <w:lang w:val="fr-FR"/>
        </w:rPr>
        <w:tab/>
      </w:r>
      <w:r>
        <w:t>Le Sous-Comité a adopté par consensus la proposition de l’Allemagne, mais a décidé par principe de placer les amendements adoptés entre crochets étant donné que la proposition figurait dans un document informel (voir annexe </w:t>
      </w:r>
      <w:r w:rsidRPr="00DE4FBC">
        <w:rPr>
          <w:lang w:val="fr-FR"/>
        </w:rPr>
        <w:t>II).</w:t>
      </w:r>
    </w:p>
    <w:p w:rsidR="00E30E39" w:rsidRPr="00DE4FBC" w:rsidRDefault="00E30E39" w:rsidP="00C14569">
      <w:pPr>
        <w:pStyle w:val="HChG"/>
        <w:rPr>
          <w:lang w:val="fr-FR"/>
        </w:rPr>
      </w:pPr>
      <w:r w:rsidRPr="00DE4FBC">
        <w:rPr>
          <w:lang w:val="fr-FR"/>
        </w:rPr>
        <w:tab/>
        <w:t>VIII.</w:t>
      </w:r>
      <w:r w:rsidRPr="00DE4FBC">
        <w:rPr>
          <w:lang w:val="fr-FR"/>
        </w:rPr>
        <w:tab/>
      </w:r>
      <w:r>
        <w:t xml:space="preserve">Propositions diverses d’amendements au Règlement </w:t>
      </w:r>
      <w:r>
        <w:br/>
        <w:t xml:space="preserve">type pour le transport des marchandises dangereuses </w:t>
      </w:r>
      <w:r>
        <w:br/>
      </w:r>
      <w:r w:rsidRPr="00DE4FBC">
        <w:rPr>
          <w:lang w:val="fr-FR"/>
        </w:rPr>
        <w:t>(</w:t>
      </w:r>
      <w:r>
        <w:rPr>
          <w:lang w:val="fr-FR"/>
        </w:rPr>
        <w:t xml:space="preserve">point </w:t>
      </w:r>
      <w:r w:rsidRPr="00DE4FBC">
        <w:rPr>
          <w:lang w:val="fr-FR"/>
        </w:rPr>
        <w:t>6</w:t>
      </w:r>
      <w:r>
        <w:rPr>
          <w:lang w:val="fr-FR"/>
        </w:rPr>
        <w:t xml:space="preserve"> de l’ordre du jour)</w:t>
      </w:r>
    </w:p>
    <w:p w:rsidR="00E30E39" w:rsidRPr="00DE4FBC" w:rsidRDefault="00E30E39" w:rsidP="00C14569">
      <w:pPr>
        <w:pStyle w:val="H1G"/>
        <w:rPr>
          <w:lang w:val="fr-FR"/>
        </w:rPr>
      </w:pPr>
      <w:r w:rsidRPr="00DE4FBC">
        <w:rPr>
          <w:lang w:val="fr-FR"/>
        </w:rPr>
        <w:tab/>
        <w:t>A.</w:t>
      </w:r>
      <w:r w:rsidRPr="00DE4FBC">
        <w:rPr>
          <w:lang w:val="fr-FR"/>
        </w:rPr>
        <w:tab/>
      </w:r>
      <w:r>
        <w:t>Marquage et emballage</w:t>
      </w:r>
    </w:p>
    <w:p w:rsidR="00E30E39" w:rsidRPr="00DE4FBC" w:rsidRDefault="00E30E39" w:rsidP="00C14569">
      <w:pPr>
        <w:pStyle w:val="H23G"/>
        <w:rPr>
          <w:lang w:val="fr-FR"/>
        </w:rPr>
      </w:pPr>
      <w:r w:rsidRPr="00DE4FBC">
        <w:rPr>
          <w:lang w:val="fr-FR"/>
        </w:rPr>
        <w:tab/>
      </w:r>
      <w:r w:rsidRPr="00DE4FBC">
        <w:rPr>
          <w:lang w:val="fr-FR"/>
        </w:rPr>
        <w:tab/>
      </w:r>
      <w:r>
        <w:t>Dimension de la marque du numéro ONU sur les colis</w:t>
      </w:r>
    </w:p>
    <w:p w:rsidR="00E30E39" w:rsidRPr="00DE4FBC" w:rsidRDefault="00E30E39" w:rsidP="002F3854">
      <w:pPr>
        <w:pStyle w:val="SingleTxtG"/>
        <w:tabs>
          <w:tab w:val="left" w:pos="3119"/>
        </w:tabs>
        <w:ind w:left="3119" w:hanging="1985"/>
        <w:jc w:val="left"/>
        <w:rPr>
          <w:lang w:val="fr-FR"/>
        </w:rPr>
      </w:pPr>
      <w:r>
        <w:rPr>
          <w:i/>
          <w:iCs/>
          <w:lang w:val="fr-FR"/>
        </w:rPr>
        <w:t>Documents informels</w:t>
      </w:r>
      <w:r w:rsidR="00C14569">
        <w:rPr>
          <w:i/>
          <w:iCs/>
          <w:lang w:val="fr-FR"/>
        </w:rPr>
        <w:t> </w:t>
      </w:r>
      <w:r w:rsidR="00C14569">
        <w:rPr>
          <w:lang w:val="fr-FR"/>
        </w:rPr>
        <w:t>:</w:t>
      </w:r>
      <w:r w:rsidR="00C14569">
        <w:rPr>
          <w:lang w:val="fr-FR"/>
        </w:rPr>
        <w:tab/>
        <w:t>INF.8 (IATA)</w:t>
      </w:r>
      <w:r w:rsidR="00C14569">
        <w:rPr>
          <w:lang w:val="fr-FR"/>
        </w:rPr>
        <w:br/>
      </w:r>
      <w:r w:rsidRPr="00DE4FBC">
        <w:rPr>
          <w:lang w:val="fr-FR"/>
        </w:rPr>
        <w:t>INF.37 (EIGA)</w:t>
      </w:r>
      <w:r w:rsidR="00C14569">
        <w:rPr>
          <w:lang w:val="fr-FR"/>
        </w:rPr>
        <w:t>.</w:t>
      </w:r>
    </w:p>
    <w:p w:rsidR="00E30E39" w:rsidRDefault="00E30E39" w:rsidP="00556F77">
      <w:pPr>
        <w:pStyle w:val="SingleTxtG"/>
        <w:rPr>
          <w:lang w:val="fr-FR"/>
        </w:rPr>
      </w:pPr>
      <w:r w:rsidRPr="00DE4FBC">
        <w:rPr>
          <w:lang w:val="fr-FR"/>
        </w:rPr>
        <w:t>69.</w:t>
      </w:r>
      <w:r w:rsidRPr="00DE4FBC">
        <w:rPr>
          <w:lang w:val="fr-FR"/>
        </w:rPr>
        <w:tab/>
      </w:r>
      <w:r>
        <w:t>La majorité des experts qui ont pris la parole étaient d’avis que les modifications du paragraphe</w:t>
      </w:r>
      <w:r w:rsidR="00556F77">
        <w:t> </w:t>
      </w:r>
      <w:r>
        <w:t>5.2.1.1</w:t>
      </w:r>
      <w:r w:rsidRPr="00912C58">
        <w:t xml:space="preserve"> </w:t>
      </w:r>
      <w:r>
        <w:t>proposées par l’IATA entraîneraient des problèmes d’interprétation et ont donc préféré s’en tenir au texte actuel en dépit de ses imperfections. Le représentant de l’IATA a donc retiré sa proposition.</w:t>
      </w:r>
    </w:p>
    <w:p w:rsidR="00E30E39" w:rsidRPr="00DE4FBC" w:rsidRDefault="00E30E39" w:rsidP="00556F77">
      <w:pPr>
        <w:pStyle w:val="H1G"/>
        <w:rPr>
          <w:lang w:val="fr-FR"/>
        </w:rPr>
      </w:pPr>
      <w:r w:rsidRPr="00DE4FBC">
        <w:rPr>
          <w:lang w:val="fr-FR"/>
        </w:rPr>
        <w:tab/>
        <w:t>B.</w:t>
      </w:r>
      <w:r w:rsidRPr="00DE4FBC">
        <w:rPr>
          <w:lang w:val="fr-FR"/>
        </w:rPr>
        <w:tab/>
      </w:r>
      <w:r>
        <w:t>Emballages</w:t>
      </w:r>
    </w:p>
    <w:p w:rsidR="00E30E39" w:rsidRPr="00DE4FBC" w:rsidRDefault="00E30E39" w:rsidP="00556F77">
      <w:pPr>
        <w:pStyle w:val="H23G"/>
        <w:rPr>
          <w:lang w:val="fr-FR"/>
        </w:rPr>
      </w:pPr>
      <w:r w:rsidRPr="00DE4FBC">
        <w:rPr>
          <w:lang w:val="fr-FR"/>
        </w:rPr>
        <w:tab/>
        <w:t>1.</w:t>
      </w:r>
      <w:r w:rsidRPr="00DE4FBC">
        <w:rPr>
          <w:lang w:val="fr-FR"/>
        </w:rPr>
        <w:tab/>
      </w:r>
      <w:r w:rsidR="00556F77">
        <w:t>Épreuve</w:t>
      </w:r>
      <w:r>
        <w:t xml:space="preserve"> de chute pour les grands récipients pour vrac, et les grands emballages </w:t>
      </w:r>
      <w:r w:rsidR="00294EC9">
        <w:br/>
      </w:r>
      <w:r>
        <w:t>en</w:t>
      </w:r>
      <w:r w:rsidR="00294EC9">
        <w:t xml:space="preserve"> </w:t>
      </w:r>
      <w:r>
        <w:t xml:space="preserve">plastique et ceux contenant des </w:t>
      </w:r>
      <w:r w:rsidR="00556F77">
        <w:t>récipients</w:t>
      </w:r>
      <w:r>
        <w:t xml:space="preserve"> ou emballages intérieurs </w:t>
      </w:r>
      <w:r w:rsidR="00556F77">
        <w:br/>
      </w:r>
      <w:r>
        <w:t xml:space="preserve">en plastique </w:t>
      </w:r>
      <w:r w:rsidR="00556F77">
        <w:t>− Durée du conditionnement à -18 °</w:t>
      </w:r>
      <w:r>
        <w:t>C</w:t>
      </w:r>
    </w:p>
    <w:p w:rsidR="00E30E39" w:rsidRPr="00DE4FBC" w:rsidRDefault="00E30E39" w:rsidP="002F3854">
      <w:pPr>
        <w:pStyle w:val="SingleTxtG"/>
        <w:tabs>
          <w:tab w:val="left" w:pos="3119"/>
        </w:tabs>
        <w:ind w:left="3119" w:hanging="1985"/>
        <w:jc w:val="left"/>
        <w:rPr>
          <w:lang w:val="fr-FR"/>
        </w:rPr>
      </w:pPr>
      <w:r>
        <w:rPr>
          <w:i/>
          <w:iCs/>
          <w:lang w:val="fr-FR"/>
        </w:rPr>
        <w:t>Document informel</w:t>
      </w:r>
      <w:r w:rsidR="00556F77">
        <w:rPr>
          <w:i/>
          <w:iCs/>
          <w:lang w:val="fr-FR"/>
        </w:rPr>
        <w:t> </w:t>
      </w:r>
      <w:r w:rsidRPr="00DE4FBC">
        <w:rPr>
          <w:lang w:val="fr-FR"/>
        </w:rPr>
        <w:t>:</w:t>
      </w:r>
      <w:r w:rsidRPr="00DE4FBC">
        <w:rPr>
          <w:lang w:val="fr-FR"/>
        </w:rPr>
        <w:tab/>
        <w:t>INF.16 (Belgi</w:t>
      </w:r>
      <w:r>
        <w:rPr>
          <w:lang w:val="fr-FR"/>
        </w:rPr>
        <w:t>que</w:t>
      </w:r>
      <w:r w:rsidRPr="00DE4FBC">
        <w:rPr>
          <w:lang w:val="fr-FR"/>
        </w:rPr>
        <w:t>)</w:t>
      </w:r>
      <w:r w:rsidR="00556F77">
        <w:rPr>
          <w:lang w:val="fr-FR"/>
        </w:rPr>
        <w:t>.</w:t>
      </w:r>
    </w:p>
    <w:p w:rsidR="00E30E39" w:rsidRPr="00DE4FBC" w:rsidRDefault="00E30E39" w:rsidP="00556F77">
      <w:pPr>
        <w:pStyle w:val="SingleTxtG"/>
        <w:rPr>
          <w:lang w:val="fr-FR"/>
        </w:rPr>
      </w:pPr>
      <w:r w:rsidRPr="00DE4FBC">
        <w:rPr>
          <w:lang w:val="fr-FR"/>
        </w:rPr>
        <w:t>70.</w:t>
      </w:r>
      <w:r w:rsidRPr="00DE4FBC">
        <w:rPr>
          <w:lang w:val="fr-FR"/>
        </w:rPr>
        <w:tab/>
      </w:r>
      <w:r>
        <w:t>Certains experts ont appuyé la proposition de la Belgique de prévoir une durée minimum de conditionnement de 24</w:t>
      </w:r>
      <w:r w:rsidR="00556F77">
        <w:t> </w:t>
      </w:r>
      <w:r>
        <w:t xml:space="preserve">heures, d’autres n’étaient pas convaincus de la </w:t>
      </w:r>
      <w:r>
        <w:lastRenderedPageBreak/>
        <w:t>nécessité d’une telle disposition. L’expert de la Belgique a relevé que la discussion montrait que les pratiques variaient d’un pays à l’autre, ce qui pouvait entraîner des différences de niveau de sécurité, et a dit qu’il reviendrait sur la question à une session future</w:t>
      </w:r>
      <w:r w:rsidRPr="00DE4FBC">
        <w:rPr>
          <w:lang w:val="fr-FR"/>
        </w:rPr>
        <w:t>.</w:t>
      </w:r>
    </w:p>
    <w:p w:rsidR="00E30E39" w:rsidRPr="00DE4FBC" w:rsidRDefault="00E30E39" w:rsidP="00556F77">
      <w:pPr>
        <w:pStyle w:val="H23G"/>
        <w:rPr>
          <w:lang w:val="fr-FR"/>
        </w:rPr>
      </w:pPr>
      <w:r w:rsidRPr="00DE4FBC">
        <w:rPr>
          <w:lang w:val="fr-FR"/>
        </w:rPr>
        <w:tab/>
        <w:t>2.</w:t>
      </w:r>
      <w:r w:rsidRPr="00DE4FBC">
        <w:rPr>
          <w:lang w:val="fr-FR"/>
        </w:rPr>
        <w:tab/>
      </w:r>
      <w:r>
        <w:t xml:space="preserve">Entretien régulier des </w:t>
      </w:r>
      <w:r w:rsidRPr="009C477E">
        <w:t xml:space="preserve">grands récipients pour vrac </w:t>
      </w:r>
      <w:r>
        <w:t>rigides</w:t>
      </w:r>
    </w:p>
    <w:p w:rsidR="00E30E39" w:rsidRPr="00DE4FBC" w:rsidRDefault="00E30E39" w:rsidP="002F3854">
      <w:pPr>
        <w:pStyle w:val="SingleTxtG"/>
        <w:tabs>
          <w:tab w:val="left" w:pos="3119"/>
        </w:tabs>
        <w:ind w:left="3119" w:hanging="1985"/>
        <w:jc w:val="left"/>
        <w:rPr>
          <w:lang w:val="fr-FR"/>
        </w:rPr>
      </w:pPr>
      <w:r>
        <w:rPr>
          <w:i/>
          <w:iCs/>
          <w:lang w:val="fr-FR"/>
        </w:rPr>
        <w:t>Document informel</w:t>
      </w:r>
      <w:r w:rsidR="00556F77">
        <w:rPr>
          <w:i/>
          <w:iCs/>
          <w:lang w:val="fr-FR"/>
        </w:rPr>
        <w:t> </w:t>
      </w:r>
      <w:r w:rsidRPr="00DE4FBC">
        <w:rPr>
          <w:lang w:val="fr-FR"/>
        </w:rPr>
        <w:t>:</w:t>
      </w:r>
      <w:r w:rsidRPr="00DE4FBC">
        <w:rPr>
          <w:lang w:val="fr-FR"/>
        </w:rPr>
        <w:tab/>
        <w:t>INF.17 (Belgi</w:t>
      </w:r>
      <w:r>
        <w:rPr>
          <w:lang w:val="fr-FR"/>
        </w:rPr>
        <w:t>que</w:t>
      </w:r>
      <w:r w:rsidRPr="00DE4FBC">
        <w:rPr>
          <w:lang w:val="fr-FR"/>
        </w:rPr>
        <w:t>)</w:t>
      </w:r>
      <w:r w:rsidR="00556F77">
        <w:rPr>
          <w:lang w:val="fr-FR"/>
        </w:rPr>
        <w:t>.</w:t>
      </w:r>
    </w:p>
    <w:p w:rsidR="00E30E39" w:rsidRPr="00DE4FBC" w:rsidRDefault="00E30E39" w:rsidP="00556F77">
      <w:pPr>
        <w:pStyle w:val="SingleTxtG"/>
        <w:rPr>
          <w:lang w:val="fr-FR"/>
        </w:rPr>
      </w:pPr>
      <w:r w:rsidRPr="00DE4FBC">
        <w:rPr>
          <w:lang w:val="fr-FR"/>
        </w:rPr>
        <w:t>71.</w:t>
      </w:r>
      <w:r w:rsidRPr="00DE4FBC">
        <w:rPr>
          <w:lang w:val="fr-FR"/>
        </w:rPr>
        <w:tab/>
      </w:r>
      <w:r>
        <w:t xml:space="preserve">Plusieurs délégations partageaient l’avis de la Belgique selon lequel le nettoyage des </w:t>
      </w:r>
      <w:r w:rsidRPr="009C477E">
        <w:t xml:space="preserve">grands récipients pour vrac </w:t>
      </w:r>
      <w:r>
        <w:t>(qui fait partie de l’entretien régulier selon la définition donnée au paragraphe 1.2.1) effectué par une partie autre que le propriétaire ne devrait pas donner lieu à un marquage. Toutefois, les avis étaient partagés et tous les experts n’avaient pas pu étudier à temps ce document soumis tardivement. L’expert de la Belgique a dit qu’il élaborerait une proposition officielle pour la session suivante</w:t>
      </w:r>
      <w:r w:rsidRPr="00DE4FBC">
        <w:rPr>
          <w:lang w:val="fr-FR"/>
        </w:rPr>
        <w:t>.</w:t>
      </w:r>
    </w:p>
    <w:p w:rsidR="00E30E39" w:rsidRPr="00DE4FBC" w:rsidRDefault="00E30E39" w:rsidP="00556F77">
      <w:pPr>
        <w:pStyle w:val="H23G"/>
        <w:rPr>
          <w:lang w:val="fr-FR"/>
        </w:rPr>
      </w:pPr>
      <w:r w:rsidRPr="00DE4FBC">
        <w:rPr>
          <w:lang w:val="fr-FR"/>
        </w:rPr>
        <w:tab/>
        <w:t>3.</w:t>
      </w:r>
      <w:r w:rsidRPr="00DE4FBC">
        <w:rPr>
          <w:lang w:val="fr-FR"/>
        </w:rPr>
        <w:tab/>
      </w:r>
      <w:r>
        <w:t xml:space="preserve">Marques additionnelles concernant la charge de gerbage minimale </w:t>
      </w:r>
      <w:r>
        <w:br/>
        <w:t xml:space="preserve">des </w:t>
      </w:r>
      <w:r w:rsidRPr="009C477E">
        <w:t>grands récipients pour vrac</w:t>
      </w:r>
    </w:p>
    <w:p w:rsidR="00E30E39" w:rsidRPr="00DE4FBC" w:rsidRDefault="00E30E39" w:rsidP="002F3854">
      <w:pPr>
        <w:pStyle w:val="SingleTxtG"/>
        <w:tabs>
          <w:tab w:val="left" w:pos="3119"/>
        </w:tabs>
        <w:ind w:left="3119" w:hanging="1985"/>
        <w:jc w:val="left"/>
        <w:rPr>
          <w:lang w:val="fr-FR"/>
        </w:rPr>
      </w:pPr>
      <w:r w:rsidRPr="00DE4FBC">
        <w:rPr>
          <w:i/>
          <w:lang w:val="fr-FR"/>
        </w:rPr>
        <w:t>Document</w:t>
      </w:r>
      <w:r w:rsidR="00556F77">
        <w:rPr>
          <w:i/>
          <w:lang w:val="fr-FR"/>
        </w:rPr>
        <w:t>s </w:t>
      </w:r>
      <w:r w:rsidRPr="00DE4FBC">
        <w:rPr>
          <w:lang w:val="fr-FR"/>
        </w:rPr>
        <w:t>:</w:t>
      </w:r>
      <w:r w:rsidRPr="00DE4FBC">
        <w:rPr>
          <w:lang w:val="fr-FR"/>
        </w:rPr>
        <w:tab/>
        <w:t>ST/SG/AC.10/C.3/2017/31 (</w:t>
      </w:r>
      <w:r>
        <w:rPr>
          <w:lang w:val="fr-FR"/>
        </w:rPr>
        <w:t>Allemagne</w:t>
      </w:r>
      <w:r w:rsidRPr="00DE4FBC">
        <w:rPr>
          <w:lang w:val="fr-FR"/>
        </w:rPr>
        <w:t>)</w:t>
      </w:r>
      <w:r w:rsidR="00556F77">
        <w:rPr>
          <w:lang w:val="fr-FR"/>
        </w:rPr>
        <w:t>.</w:t>
      </w:r>
    </w:p>
    <w:p w:rsidR="00E30E39" w:rsidRPr="00DE4FBC" w:rsidRDefault="00E30E39" w:rsidP="002F3854">
      <w:pPr>
        <w:pStyle w:val="SingleTxtG"/>
        <w:tabs>
          <w:tab w:val="left" w:pos="3119"/>
        </w:tabs>
        <w:ind w:left="3119" w:hanging="1985"/>
        <w:jc w:val="left"/>
        <w:rPr>
          <w:lang w:val="fr-FR"/>
        </w:rPr>
      </w:pPr>
      <w:r>
        <w:rPr>
          <w:i/>
          <w:lang w:val="fr-FR"/>
        </w:rPr>
        <w:t>Documents informels</w:t>
      </w:r>
      <w:r w:rsidR="00556F77">
        <w:rPr>
          <w:i/>
          <w:lang w:val="fr-FR"/>
        </w:rPr>
        <w:t> </w:t>
      </w:r>
      <w:r w:rsidR="00556F77">
        <w:rPr>
          <w:lang w:val="fr-FR"/>
        </w:rPr>
        <w:t>:</w:t>
      </w:r>
      <w:r w:rsidR="00556F77">
        <w:rPr>
          <w:lang w:val="fr-FR"/>
        </w:rPr>
        <w:tab/>
        <w:t>INF.22 (ICPP)</w:t>
      </w:r>
      <w:r w:rsidR="00556F77">
        <w:rPr>
          <w:lang w:val="fr-FR"/>
        </w:rPr>
        <w:br/>
      </w:r>
      <w:r w:rsidRPr="00DE4FBC">
        <w:rPr>
          <w:lang w:val="fr-FR"/>
        </w:rPr>
        <w:t>INF.48 (</w:t>
      </w:r>
      <w:r w:rsidRPr="007B4E39">
        <w:rPr>
          <w:lang w:val="fr-FR"/>
        </w:rPr>
        <w:t>Allemagne</w:t>
      </w:r>
      <w:r w:rsidRPr="00DE4FBC">
        <w:rPr>
          <w:lang w:val="fr-FR"/>
        </w:rPr>
        <w:t>)</w:t>
      </w:r>
      <w:r w:rsidR="00556F77">
        <w:rPr>
          <w:lang w:val="fr-FR"/>
        </w:rPr>
        <w:t>.</w:t>
      </w:r>
    </w:p>
    <w:p w:rsidR="00E30E39" w:rsidRPr="00DE4FBC" w:rsidRDefault="00E30E39" w:rsidP="00556F77">
      <w:pPr>
        <w:pStyle w:val="SingleTxtG"/>
        <w:rPr>
          <w:lang w:val="fr-FR"/>
        </w:rPr>
      </w:pPr>
      <w:r w:rsidRPr="00DE4FBC">
        <w:rPr>
          <w:lang w:val="fr-FR"/>
        </w:rPr>
        <w:t>72.</w:t>
      </w:r>
      <w:r w:rsidRPr="00DE4FBC">
        <w:rPr>
          <w:lang w:val="fr-FR"/>
        </w:rPr>
        <w:tab/>
      </w:r>
      <w:r>
        <w:t>Après discussion de la proposition visant à éclaircir les dispositions des paragraphes</w:t>
      </w:r>
      <w:r w:rsidR="00556F77">
        <w:t> </w:t>
      </w:r>
      <w:r>
        <w:t xml:space="preserve">6.5.2.2.1 et 6.5.2.2.2 pour faire ressortir que la marque de la charge de gerbage maximale autorisée ne devait figurer que sur le pictogramme, le Sous-Comité a adopté la solution proposée dans le document informel INF.48, à savoir la suppression de la dernière ligne du tableau du </w:t>
      </w:r>
      <w:r w:rsidRPr="00BA7118">
        <w:t>paragraphe</w:t>
      </w:r>
      <w:r w:rsidR="00556F77">
        <w:t> </w:t>
      </w:r>
      <w:r>
        <w:t xml:space="preserve">6.5.2.2.1 </w:t>
      </w:r>
      <w:r w:rsidR="00556F77">
        <w:t>et de la note de bas de tableau</w:t>
      </w:r>
      <w:r w:rsidR="000100EE">
        <w:t xml:space="preserve"> </w:t>
      </w:r>
      <w:r w:rsidRPr="000100EE">
        <w:t>b</w:t>
      </w:r>
      <w:r>
        <w:t xml:space="preserve"> (voir annexe </w:t>
      </w:r>
      <w:r w:rsidRPr="00DE4FBC">
        <w:rPr>
          <w:lang w:val="fr-FR"/>
        </w:rPr>
        <w:t>II).</w:t>
      </w:r>
    </w:p>
    <w:p w:rsidR="00E30E39" w:rsidRPr="00DE4FBC" w:rsidRDefault="00E30E39" w:rsidP="00556F77">
      <w:pPr>
        <w:pStyle w:val="SingleTxtG"/>
        <w:rPr>
          <w:lang w:val="fr-FR"/>
        </w:rPr>
      </w:pPr>
      <w:r w:rsidRPr="00DE4FBC">
        <w:rPr>
          <w:lang w:val="fr-FR"/>
        </w:rPr>
        <w:t>73.</w:t>
      </w:r>
      <w:r w:rsidRPr="00DE4FBC">
        <w:rPr>
          <w:lang w:val="fr-FR"/>
        </w:rPr>
        <w:tab/>
      </w:r>
      <w:r>
        <w:t xml:space="preserve">À l’issue d’un débat, la proposition de modification à la première phrase du </w:t>
      </w:r>
      <w:r w:rsidRPr="007F1C09">
        <w:t>paragraphe</w:t>
      </w:r>
      <w:r w:rsidR="00556F77">
        <w:t> </w:t>
      </w:r>
      <w:r>
        <w:t>6.5.2.2.2 dans le document informel INF.22 a finalement été retirée par le représentant de l’ICPP, qui a indiqué qu’il soumettrait une nouvelle proposition tenant compte des observations formulées</w:t>
      </w:r>
      <w:r w:rsidRPr="00DE4FBC">
        <w:rPr>
          <w:lang w:val="fr-FR"/>
        </w:rPr>
        <w:t>.</w:t>
      </w:r>
    </w:p>
    <w:p w:rsidR="00E30E39" w:rsidRPr="00DE4FBC" w:rsidRDefault="00E30E39" w:rsidP="00556F77">
      <w:pPr>
        <w:pStyle w:val="H23G"/>
        <w:rPr>
          <w:lang w:val="fr-FR"/>
        </w:rPr>
      </w:pPr>
      <w:r w:rsidRPr="00DE4FBC">
        <w:rPr>
          <w:lang w:val="fr-FR"/>
        </w:rPr>
        <w:tab/>
        <w:t>4.</w:t>
      </w:r>
      <w:r w:rsidRPr="00DE4FBC">
        <w:rPr>
          <w:lang w:val="fr-FR"/>
        </w:rPr>
        <w:tab/>
      </w:r>
      <w:r>
        <w:t xml:space="preserve">Utilisation des emballages homologués pour les liquides </w:t>
      </w:r>
      <w:r w:rsidR="00556F77">
        <w:br/>
      </w:r>
      <w:r>
        <w:t>pour le transport des matières solides</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556F77">
        <w:rPr>
          <w:i/>
          <w:lang w:val="fr-FR"/>
        </w:rPr>
        <w:t> </w:t>
      </w:r>
      <w:r w:rsidRPr="00DE4FBC">
        <w:rPr>
          <w:lang w:val="fr-FR"/>
        </w:rPr>
        <w:t>:</w:t>
      </w:r>
      <w:r w:rsidRPr="00DE4FBC">
        <w:rPr>
          <w:lang w:val="fr-FR"/>
        </w:rPr>
        <w:tab/>
        <w:t>INF.34 (</w:t>
      </w:r>
      <w:r>
        <w:rPr>
          <w:lang w:val="fr-FR"/>
        </w:rPr>
        <w:t>États-Unis d’Amérique</w:t>
      </w:r>
      <w:r w:rsidRPr="00DE4FBC">
        <w:rPr>
          <w:lang w:val="fr-FR"/>
        </w:rPr>
        <w:t>)</w:t>
      </w:r>
      <w:r w:rsidR="00556F77">
        <w:rPr>
          <w:lang w:val="fr-FR"/>
        </w:rPr>
        <w:t>.</w:t>
      </w:r>
    </w:p>
    <w:p w:rsidR="00E30E39" w:rsidRPr="00DE4FBC" w:rsidRDefault="00E30E39" w:rsidP="00556F77">
      <w:pPr>
        <w:pStyle w:val="SingleTxtG"/>
        <w:rPr>
          <w:lang w:val="fr-FR"/>
        </w:rPr>
      </w:pPr>
      <w:r w:rsidRPr="00DE4FBC">
        <w:rPr>
          <w:lang w:val="fr-FR"/>
        </w:rPr>
        <w:t>74.</w:t>
      </w:r>
      <w:r w:rsidRPr="00DE4FBC">
        <w:rPr>
          <w:lang w:val="fr-FR"/>
        </w:rPr>
        <w:tab/>
      </w:r>
      <w:r>
        <w:t xml:space="preserve">La plupart des experts qui ont pris la parole n’étaient pas favorables à la proposition d’introduire des dispositions visant à permettre le transport de matières solides dans des emballages </w:t>
      </w:r>
      <w:r w:rsidRPr="009E5CFF">
        <w:t xml:space="preserve">homologués </w:t>
      </w:r>
      <w:r>
        <w:t>pour le seul transport de liquides.</w:t>
      </w:r>
      <w:r w:rsidRPr="00DE4FBC">
        <w:rPr>
          <w:lang w:val="fr-FR"/>
        </w:rPr>
        <w:t xml:space="preserve"> </w:t>
      </w:r>
      <w:r>
        <w:rPr>
          <w:lang w:val="fr-FR"/>
        </w:rPr>
        <w:t xml:space="preserve">Ils </w:t>
      </w:r>
      <w:r>
        <w:t>estimaient que les dispositions actuelles étaient suffisantes, dans la mesure où les emballages pouvaient être éprouvés pour le transport de liquides et pour le transport des matières solides, auquel cas ils pouvaient porter un double marquage</w:t>
      </w:r>
      <w:r w:rsidRPr="00DE4FBC">
        <w:rPr>
          <w:lang w:val="fr-FR"/>
        </w:rPr>
        <w:t>.</w:t>
      </w:r>
    </w:p>
    <w:p w:rsidR="00E30E39" w:rsidRPr="00DE4FBC" w:rsidRDefault="00E30E39" w:rsidP="00556F77">
      <w:pPr>
        <w:pStyle w:val="H1G"/>
        <w:rPr>
          <w:lang w:val="fr-FR"/>
        </w:rPr>
      </w:pPr>
      <w:r w:rsidRPr="00DE4FBC">
        <w:rPr>
          <w:lang w:val="fr-FR"/>
        </w:rPr>
        <w:tab/>
        <w:t>C.</w:t>
      </w:r>
      <w:r w:rsidRPr="00DE4FBC">
        <w:rPr>
          <w:lang w:val="fr-FR"/>
        </w:rPr>
        <w:tab/>
      </w:r>
      <w:r w:rsidRPr="00D3405C">
        <w:rPr>
          <w:lang w:val="fr-FR"/>
        </w:rPr>
        <w:t>Citernes mobiles</w:t>
      </w:r>
    </w:p>
    <w:p w:rsidR="00E30E39" w:rsidRPr="00DE4FBC" w:rsidRDefault="00E30E39" w:rsidP="00556F77">
      <w:pPr>
        <w:pStyle w:val="H23G"/>
        <w:rPr>
          <w:lang w:val="fr-FR"/>
        </w:rPr>
      </w:pPr>
      <w:r w:rsidRPr="00DE4FBC">
        <w:rPr>
          <w:lang w:val="fr-FR"/>
        </w:rPr>
        <w:tab/>
        <w:t>1.</w:t>
      </w:r>
      <w:r w:rsidRPr="00DE4FBC">
        <w:rPr>
          <w:lang w:val="fr-FR"/>
        </w:rPr>
        <w:tab/>
      </w:r>
      <w:r>
        <w:t>Contrôle des dispositifs de décompression</w:t>
      </w:r>
    </w:p>
    <w:p w:rsidR="00E30E39" w:rsidRPr="00DE4FBC" w:rsidRDefault="00E30E39" w:rsidP="002F3854">
      <w:pPr>
        <w:pStyle w:val="SingleTxtG"/>
        <w:tabs>
          <w:tab w:val="left" w:pos="3119"/>
        </w:tabs>
        <w:ind w:left="3119" w:hanging="1985"/>
        <w:jc w:val="left"/>
        <w:rPr>
          <w:lang w:val="fr-FR"/>
        </w:rPr>
      </w:pPr>
      <w:r w:rsidRPr="00DE4FBC">
        <w:rPr>
          <w:i/>
          <w:iCs/>
          <w:lang w:val="fr-FR"/>
        </w:rPr>
        <w:t>Document</w:t>
      </w:r>
      <w:r w:rsidR="00556F77">
        <w:rPr>
          <w:i/>
          <w:iCs/>
          <w:lang w:val="fr-FR"/>
        </w:rPr>
        <w:t>s </w:t>
      </w:r>
      <w:r w:rsidRPr="00DE4FBC">
        <w:rPr>
          <w:lang w:val="fr-FR"/>
        </w:rPr>
        <w:t>:</w:t>
      </w:r>
      <w:r w:rsidRPr="00DE4FBC">
        <w:rPr>
          <w:lang w:val="fr-FR"/>
        </w:rPr>
        <w:tab/>
        <w:t>ST/SG/AC.10/C.3/2017/30 (</w:t>
      </w:r>
      <w:r>
        <w:rPr>
          <w:lang w:val="fr-FR"/>
        </w:rPr>
        <w:t>Allemagne</w:t>
      </w:r>
      <w:r w:rsidRPr="00DE4FBC">
        <w:rPr>
          <w:lang w:val="fr-FR"/>
        </w:rPr>
        <w:t>)</w:t>
      </w:r>
      <w:r w:rsidR="00556F77">
        <w:rPr>
          <w:lang w:val="fr-FR"/>
        </w:rPr>
        <w:t>.</w:t>
      </w:r>
    </w:p>
    <w:p w:rsidR="00E30E39" w:rsidRPr="00DE4FBC" w:rsidRDefault="00E30E39" w:rsidP="002F3854">
      <w:pPr>
        <w:pStyle w:val="SingleTxtG"/>
        <w:tabs>
          <w:tab w:val="left" w:pos="3119"/>
        </w:tabs>
        <w:ind w:left="3119" w:hanging="1985"/>
        <w:jc w:val="left"/>
        <w:rPr>
          <w:lang w:val="fr-FR"/>
        </w:rPr>
      </w:pPr>
      <w:r>
        <w:rPr>
          <w:i/>
          <w:iCs/>
          <w:lang w:val="fr-FR"/>
        </w:rPr>
        <w:t>Document informel</w:t>
      </w:r>
      <w:r w:rsidR="00556F77">
        <w:rPr>
          <w:i/>
          <w:iCs/>
          <w:lang w:val="fr-FR"/>
        </w:rPr>
        <w:t> </w:t>
      </w:r>
      <w:r w:rsidRPr="00DE4FBC">
        <w:rPr>
          <w:lang w:val="fr-FR"/>
        </w:rPr>
        <w:t>:</w:t>
      </w:r>
      <w:r w:rsidRPr="00DE4FBC">
        <w:rPr>
          <w:lang w:val="fr-FR"/>
        </w:rPr>
        <w:tab/>
        <w:t>INF.38 (EIGA)</w:t>
      </w:r>
      <w:r w:rsidR="00556F77">
        <w:rPr>
          <w:lang w:val="fr-FR"/>
        </w:rPr>
        <w:t>.</w:t>
      </w:r>
    </w:p>
    <w:p w:rsidR="00E30E39" w:rsidRPr="00DE4FBC" w:rsidRDefault="00E30E39" w:rsidP="00556F77">
      <w:pPr>
        <w:pStyle w:val="SingleTxtG"/>
        <w:rPr>
          <w:lang w:val="fr-FR"/>
        </w:rPr>
      </w:pPr>
      <w:r w:rsidRPr="00DE4FBC">
        <w:rPr>
          <w:lang w:val="fr-FR"/>
        </w:rPr>
        <w:t>75.</w:t>
      </w:r>
      <w:r w:rsidRPr="00DE4FBC">
        <w:rPr>
          <w:lang w:val="fr-FR"/>
        </w:rPr>
        <w:tab/>
      </w:r>
      <w:r>
        <w:t>Plusieurs délégations estimaient logique la proposition d’étendre la prescription de contrôle des dispositifs de décompression des citernes mobiles pour matières de la classe 8 à celles qui transportent des matières affectées d’un danger subsidiaire de la classe 8. Le</w:t>
      </w:r>
      <w:r w:rsidR="00C60C0C">
        <w:t> </w:t>
      </w:r>
      <w:r>
        <w:t>représentant de l’EIGA a fait remarquer que, dans le cas des gaz, cela n’était pas nécessairement justifié</w:t>
      </w:r>
      <w:r w:rsidRPr="00DE4FBC">
        <w:rPr>
          <w:lang w:val="fr-FR"/>
        </w:rPr>
        <w:t>.</w:t>
      </w:r>
    </w:p>
    <w:p w:rsidR="00E30E39" w:rsidRPr="00DE4FBC" w:rsidRDefault="00E30E39" w:rsidP="00556F77">
      <w:pPr>
        <w:pStyle w:val="SingleTxtG"/>
        <w:rPr>
          <w:lang w:val="fr-FR"/>
        </w:rPr>
      </w:pPr>
      <w:r w:rsidRPr="00DE4FBC">
        <w:rPr>
          <w:lang w:val="fr-FR"/>
        </w:rPr>
        <w:t>76.</w:t>
      </w:r>
      <w:r w:rsidRPr="00DE4FBC">
        <w:rPr>
          <w:lang w:val="fr-FR"/>
        </w:rPr>
        <w:tab/>
      </w:r>
      <w:r>
        <w:t>L’experte de l’Allemagne a dit qu’elle soumettrait une nouvelle proposition tenant compte des observations formulées</w:t>
      </w:r>
      <w:r w:rsidRPr="00DE4FBC">
        <w:rPr>
          <w:lang w:val="fr-FR"/>
        </w:rPr>
        <w:t>.</w:t>
      </w:r>
    </w:p>
    <w:p w:rsidR="00E30E39" w:rsidRPr="00DE4FBC" w:rsidRDefault="00E30E39" w:rsidP="00294EC9">
      <w:pPr>
        <w:pStyle w:val="H23G"/>
        <w:rPr>
          <w:lang w:val="fr-FR"/>
        </w:rPr>
      </w:pPr>
      <w:r w:rsidRPr="00DE4FBC">
        <w:rPr>
          <w:lang w:val="fr-FR"/>
        </w:rPr>
        <w:lastRenderedPageBreak/>
        <w:tab/>
        <w:t>2.</w:t>
      </w:r>
      <w:r w:rsidRPr="00DE4FBC">
        <w:rPr>
          <w:lang w:val="fr-FR"/>
        </w:rPr>
        <w:tab/>
      </w:r>
      <w:r>
        <w:t>Épreuve de chute pour les citernes</w:t>
      </w:r>
      <w:r w:rsidR="000100EE">
        <w:t xml:space="preserve"> </w:t>
      </w:r>
      <w:r>
        <w:t xml:space="preserve">mobiles et les </w:t>
      </w:r>
      <w:r w:rsidRPr="00891C97">
        <w:t xml:space="preserve">conteneurs à gaz </w:t>
      </w:r>
      <w:r w:rsidR="00294EC9">
        <w:br/>
      </w:r>
      <w:r w:rsidRPr="00891C97">
        <w:t>à éléments multiples</w:t>
      </w:r>
      <w:r w:rsidR="00294EC9">
        <w:t> </w:t>
      </w:r>
      <w:r>
        <w:t xml:space="preserve">: proposition de révision de la section 41 </w:t>
      </w:r>
      <w:r w:rsidR="00294EC9">
        <w:br/>
      </w:r>
      <w:r>
        <w:t>du Manuel d’épreuves et de critères</w:t>
      </w:r>
    </w:p>
    <w:p w:rsidR="00E30E39" w:rsidRPr="00C60C0C" w:rsidRDefault="00E30E39" w:rsidP="00556F77">
      <w:pPr>
        <w:pStyle w:val="SingleTxtG"/>
        <w:tabs>
          <w:tab w:val="left" w:pos="3119"/>
        </w:tabs>
        <w:ind w:left="3119" w:hanging="1985"/>
        <w:jc w:val="left"/>
      </w:pPr>
      <w:r w:rsidRPr="00C60C0C">
        <w:rPr>
          <w:i/>
          <w:iCs/>
        </w:rPr>
        <w:t>Document</w:t>
      </w:r>
      <w:r w:rsidR="00556F77" w:rsidRPr="00C60C0C">
        <w:rPr>
          <w:i/>
          <w:iCs/>
        </w:rPr>
        <w:t>s </w:t>
      </w:r>
      <w:r w:rsidRPr="00C60C0C">
        <w:t>:</w:t>
      </w:r>
      <w:r w:rsidRPr="00C60C0C">
        <w:tab/>
        <w:t>ST/SG/AC.10/C.3/2017/41 (Canada)</w:t>
      </w:r>
      <w:r w:rsidR="00556F77" w:rsidRPr="00C60C0C">
        <w:t>.</w:t>
      </w:r>
    </w:p>
    <w:p w:rsidR="00E30E39" w:rsidRPr="00DE4FBC" w:rsidRDefault="00E30E39" w:rsidP="00556F77">
      <w:pPr>
        <w:pStyle w:val="SingleTxtG"/>
        <w:rPr>
          <w:lang w:val="fr-FR"/>
        </w:rPr>
      </w:pPr>
      <w:r w:rsidRPr="00DE4FBC">
        <w:rPr>
          <w:lang w:val="fr-FR"/>
        </w:rPr>
        <w:t>77.</w:t>
      </w:r>
      <w:r w:rsidRPr="00DE4FBC">
        <w:rPr>
          <w:lang w:val="fr-FR"/>
        </w:rPr>
        <w:tab/>
      </w:r>
      <w:r>
        <w:rPr>
          <w:lang w:val="fr-FR"/>
        </w:rPr>
        <w:t>Les propositions de révision de la section</w:t>
      </w:r>
      <w:r w:rsidR="00C60C0C">
        <w:rPr>
          <w:lang w:val="fr-FR"/>
        </w:rPr>
        <w:t> </w:t>
      </w:r>
      <w:r>
        <w:rPr>
          <w:lang w:val="fr-FR"/>
        </w:rPr>
        <w:t>41 du Manuel ont été adoptées (voir annexe </w:t>
      </w:r>
      <w:r w:rsidRPr="00DE4FBC">
        <w:rPr>
          <w:lang w:val="fr-FR"/>
        </w:rPr>
        <w:t xml:space="preserve">III). </w:t>
      </w:r>
      <w:r>
        <w:rPr>
          <w:lang w:val="fr-FR"/>
        </w:rPr>
        <w:t xml:space="preserve">Le Sous-Comité a noté que le Canada se chargerait de proposer les amendements de conséquence à la norme ISO </w:t>
      </w:r>
      <w:r w:rsidRPr="00DE4FBC">
        <w:rPr>
          <w:lang w:val="fr-FR"/>
        </w:rPr>
        <w:t>1496-3.</w:t>
      </w:r>
    </w:p>
    <w:p w:rsidR="00E30E39" w:rsidRPr="00DE4FBC" w:rsidRDefault="00E30E39" w:rsidP="00556F77">
      <w:pPr>
        <w:pStyle w:val="H23G"/>
        <w:rPr>
          <w:lang w:val="fr-FR"/>
        </w:rPr>
      </w:pPr>
      <w:r w:rsidRPr="00DE4FBC">
        <w:rPr>
          <w:lang w:val="fr-FR"/>
        </w:rPr>
        <w:tab/>
        <w:t>3.</w:t>
      </w:r>
      <w:r w:rsidRPr="00DE4FBC">
        <w:rPr>
          <w:lang w:val="fr-FR"/>
        </w:rPr>
        <w:tab/>
      </w:r>
      <w:r>
        <w:t xml:space="preserve">Épaisseur minimale des réservoirs de citernes mobiles utilisées </w:t>
      </w:r>
      <w:r w:rsidR="00556F77">
        <w:br/>
      </w:r>
      <w:r>
        <w:t>pour le transport de</w:t>
      </w:r>
      <w:r w:rsidR="00556F77">
        <w:rPr>
          <w:sz w:val="24"/>
        </w:rPr>
        <w:t xml:space="preserve"> </w:t>
      </w:r>
      <w:r>
        <w:t>gaz liquéfiés non réfrigérés</w:t>
      </w:r>
    </w:p>
    <w:p w:rsidR="00E30E39" w:rsidRPr="00DE4FBC" w:rsidRDefault="00E30E39" w:rsidP="002F3854">
      <w:pPr>
        <w:pStyle w:val="SingleTxtG"/>
        <w:tabs>
          <w:tab w:val="left" w:pos="3119"/>
        </w:tabs>
        <w:ind w:left="3119" w:hanging="1985"/>
        <w:jc w:val="left"/>
        <w:rPr>
          <w:lang w:val="fr-FR"/>
        </w:rPr>
      </w:pPr>
      <w:r>
        <w:rPr>
          <w:i/>
          <w:iCs/>
          <w:lang w:val="fr-FR"/>
        </w:rPr>
        <w:t>Document informel</w:t>
      </w:r>
      <w:r w:rsidR="00556F77">
        <w:rPr>
          <w:i/>
          <w:iCs/>
          <w:lang w:val="fr-FR"/>
        </w:rPr>
        <w:t> </w:t>
      </w:r>
      <w:r w:rsidRPr="00DE4FBC">
        <w:rPr>
          <w:lang w:val="fr-FR"/>
        </w:rPr>
        <w:t>:</w:t>
      </w:r>
      <w:r w:rsidRPr="00DE4FBC">
        <w:rPr>
          <w:lang w:val="fr-FR"/>
        </w:rPr>
        <w:tab/>
        <w:t>INF.25 (Belgi</w:t>
      </w:r>
      <w:r>
        <w:rPr>
          <w:lang w:val="fr-FR"/>
        </w:rPr>
        <w:t>que</w:t>
      </w:r>
      <w:r w:rsidRPr="00DE4FBC">
        <w:rPr>
          <w:lang w:val="fr-FR"/>
        </w:rPr>
        <w:t>)</w:t>
      </w:r>
      <w:r w:rsidR="00556F77">
        <w:rPr>
          <w:lang w:val="fr-FR"/>
        </w:rPr>
        <w:t>.</w:t>
      </w:r>
    </w:p>
    <w:p w:rsidR="00E30E39" w:rsidRDefault="00E30E39" w:rsidP="00EE5C21">
      <w:pPr>
        <w:pStyle w:val="SingleTxtG"/>
        <w:rPr>
          <w:lang w:val="fr-FR"/>
        </w:rPr>
      </w:pPr>
      <w:r w:rsidRPr="00DE4FBC">
        <w:rPr>
          <w:lang w:val="fr-FR"/>
        </w:rPr>
        <w:t>78.</w:t>
      </w:r>
      <w:r w:rsidRPr="00DE4FBC">
        <w:rPr>
          <w:lang w:val="fr-FR"/>
        </w:rPr>
        <w:tab/>
      </w:r>
      <w:r>
        <w:rPr>
          <w:lang w:val="fr-FR"/>
        </w:rPr>
        <w:t>Le Sous-Comité était d’accord en principe avec la proposition de la Belgique mais a demandé que la proposition soit présentée</w:t>
      </w:r>
      <w:r w:rsidRPr="005B711C">
        <w:rPr>
          <w:lang w:val="fr-FR"/>
        </w:rPr>
        <w:t xml:space="preserve"> </w:t>
      </w:r>
      <w:r>
        <w:rPr>
          <w:lang w:val="fr-FR"/>
        </w:rPr>
        <w:t xml:space="preserve">sous une cote officielle à sa session suivante. </w:t>
      </w:r>
    </w:p>
    <w:p w:rsidR="00E30E39" w:rsidRPr="00DE4FBC" w:rsidRDefault="00E30E39" w:rsidP="00EE5C21">
      <w:pPr>
        <w:pStyle w:val="H23G"/>
        <w:rPr>
          <w:lang w:val="fr-FR"/>
        </w:rPr>
      </w:pPr>
      <w:r w:rsidRPr="00C849C6">
        <w:tab/>
      </w:r>
      <w:r w:rsidRPr="00DE4FBC">
        <w:rPr>
          <w:lang w:val="fr-FR"/>
        </w:rPr>
        <w:t>4.</w:t>
      </w:r>
      <w:r w:rsidRPr="00DE4FBC">
        <w:rPr>
          <w:lang w:val="fr-FR"/>
        </w:rPr>
        <w:tab/>
      </w:r>
      <w:r>
        <w:t>Clarification de la disposition spéciale TP19</w:t>
      </w:r>
    </w:p>
    <w:p w:rsidR="00E30E39" w:rsidRPr="00DE4FBC" w:rsidRDefault="00E30E39" w:rsidP="00EE5C21">
      <w:pPr>
        <w:pStyle w:val="SingleTxtG"/>
        <w:tabs>
          <w:tab w:val="left" w:pos="3119"/>
        </w:tabs>
        <w:ind w:left="3119" w:hanging="1985"/>
        <w:jc w:val="left"/>
        <w:rPr>
          <w:lang w:val="fr-FR"/>
        </w:rPr>
      </w:pPr>
      <w:r>
        <w:rPr>
          <w:i/>
          <w:iCs/>
          <w:lang w:val="fr-FR"/>
        </w:rPr>
        <w:t>Document informel</w:t>
      </w:r>
      <w:r w:rsidR="00EE5C21">
        <w:rPr>
          <w:i/>
          <w:iCs/>
          <w:lang w:val="fr-FR"/>
        </w:rPr>
        <w:t> </w:t>
      </w:r>
      <w:r w:rsidRPr="00DE4FBC">
        <w:rPr>
          <w:lang w:val="fr-FR"/>
        </w:rPr>
        <w:t>:</w:t>
      </w:r>
      <w:r w:rsidRPr="00DE4FBC">
        <w:rPr>
          <w:lang w:val="fr-FR"/>
        </w:rPr>
        <w:tab/>
        <w:t>INF.26 (Belgi</w:t>
      </w:r>
      <w:r>
        <w:rPr>
          <w:lang w:val="fr-FR"/>
        </w:rPr>
        <w:t>que</w:t>
      </w:r>
      <w:r w:rsidRPr="00DE4FBC">
        <w:rPr>
          <w:lang w:val="fr-FR"/>
        </w:rPr>
        <w:t>)</w:t>
      </w:r>
      <w:r w:rsidR="00EE5C21">
        <w:rPr>
          <w:lang w:val="fr-FR"/>
        </w:rPr>
        <w:t>.</w:t>
      </w:r>
    </w:p>
    <w:p w:rsidR="00E30E39" w:rsidRPr="00DE4FBC" w:rsidRDefault="00E30E39" w:rsidP="00EE5C21">
      <w:pPr>
        <w:pStyle w:val="SingleTxtG"/>
        <w:rPr>
          <w:lang w:val="fr-FR"/>
        </w:rPr>
      </w:pPr>
      <w:r w:rsidRPr="00DE4FBC">
        <w:rPr>
          <w:lang w:val="fr-FR"/>
        </w:rPr>
        <w:t>79.</w:t>
      </w:r>
      <w:r w:rsidRPr="00DE4FBC">
        <w:rPr>
          <w:lang w:val="fr-FR"/>
        </w:rPr>
        <w:tab/>
      </w:r>
      <w:r>
        <w:rPr>
          <w:lang w:val="fr-FR"/>
        </w:rPr>
        <w:t>L’expert de la Belgique a été prié de soumettre sa proposition sous une cote officielle à la session suivante en tenant compte des observations formulées</w:t>
      </w:r>
      <w:r w:rsidRPr="00DE4FBC">
        <w:rPr>
          <w:lang w:val="fr-FR"/>
        </w:rPr>
        <w:t>.</w:t>
      </w:r>
    </w:p>
    <w:p w:rsidR="00E30E39" w:rsidRPr="00DE4FBC" w:rsidRDefault="00E30E39" w:rsidP="00EE5C21">
      <w:pPr>
        <w:pStyle w:val="H23G"/>
        <w:rPr>
          <w:i/>
          <w:lang w:val="fr-FR"/>
        </w:rPr>
      </w:pPr>
      <w:r w:rsidRPr="00DE4FBC">
        <w:rPr>
          <w:lang w:val="fr-FR"/>
        </w:rPr>
        <w:tab/>
        <w:t>5.</w:t>
      </w:r>
      <w:r w:rsidRPr="00DE4FBC">
        <w:rPr>
          <w:lang w:val="fr-FR"/>
        </w:rPr>
        <w:tab/>
      </w:r>
      <w:r w:rsidRPr="00D3405C">
        <w:rPr>
          <w:lang w:val="fr-FR"/>
        </w:rPr>
        <w:t>Citernes mobiles en matière plastique renforcée de fibres</w:t>
      </w:r>
    </w:p>
    <w:p w:rsidR="00E30E39" w:rsidRPr="00DE4FBC" w:rsidRDefault="00E30E39" w:rsidP="002F3854">
      <w:pPr>
        <w:pStyle w:val="SingleTxtG"/>
        <w:tabs>
          <w:tab w:val="left" w:pos="3119"/>
        </w:tabs>
        <w:ind w:left="3119" w:hanging="1985"/>
        <w:jc w:val="left"/>
        <w:rPr>
          <w:lang w:val="fr-FR"/>
        </w:rPr>
      </w:pPr>
      <w:r w:rsidRPr="00DE4FBC">
        <w:rPr>
          <w:i/>
          <w:lang w:val="fr-FR"/>
        </w:rPr>
        <w:t>Document</w:t>
      </w:r>
      <w:r w:rsidR="00EE5C21">
        <w:rPr>
          <w:i/>
          <w:lang w:val="fr-FR"/>
        </w:rPr>
        <w:t>s </w:t>
      </w:r>
      <w:r w:rsidR="00EE5C21">
        <w:rPr>
          <w:lang w:val="fr-FR"/>
        </w:rPr>
        <w:t>:</w:t>
      </w:r>
      <w:r w:rsidRPr="00DE4FBC">
        <w:rPr>
          <w:lang w:val="fr-FR"/>
        </w:rPr>
        <w:tab/>
        <w:t>ST/SG/AC.10/C.3/2017/40 (F</w:t>
      </w:r>
      <w:r>
        <w:rPr>
          <w:lang w:val="fr-FR"/>
        </w:rPr>
        <w:t>édé</w:t>
      </w:r>
      <w:r w:rsidRPr="00DE4FBC">
        <w:rPr>
          <w:lang w:val="fr-FR"/>
        </w:rPr>
        <w:t xml:space="preserve">ration </w:t>
      </w:r>
      <w:r>
        <w:rPr>
          <w:lang w:val="fr-FR"/>
        </w:rPr>
        <w:t xml:space="preserve">de </w:t>
      </w:r>
      <w:r w:rsidRPr="00DE4FBC">
        <w:rPr>
          <w:lang w:val="fr-FR"/>
        </w:rPr>
        <w:t>Russi</w:t>
      </w:r>
      <w:r>
        <w:rPr>
          <w:lang w:val="fr-FR"/>
        </w:rPr>
        <w:t>e</w:t>
      </w:r>
      <w:r w:rsidRPr="00DE4FBC">
        <w:rPr>
          <w:lang w:val="fr-FR"/>
        </w:rPr>
        <w:t>)</w:t>
      </w:r>
      <w:r w:rsidR="00EE5C21">
        <w:rPr>
          <w:lang w:val="fr-FR"/>
        </w:rPr>
        <w:t>.</w:t>
      </w:r>
    </w:p>
    <w:p w:rsidR="00E30E39" w:rsidRPr="00DE4FBC" w:rsidRDefault="00E30E39" w:rsidP="002F3854">
      <w:pPr>
        <w:pStyle w:val="SingleTxtG"/>
        <w:tabs>
          <w:tab w:val="left" w:pos="3119"/>
        </w:tabs>
        <w:ind w:left="3119" w:hanging="1985"/>
        <w:jc w:val="left"/>
        <w:rPr>
          <w:lang w:val="fr-FR"/>
        </w:rPr>
      </w:pPr>
      <w:r>
        <w:rPr>
          <w:i/>
          <w:lang w:val="fr-FR"/>
        </w:rPr>
        <w:t>Documents informels</w:t>
      </w:r>
      <w:r w:rsidR="00EE5C21">
        <w:rPr>
          <w:i/>
          <w:lang w:val="fr-FR"/>
        </w:rPr>
        <w:t> </w:t>
      </w:r>
      <w:r w:rsidR="00EE5C21">
        <w:rPr>
          <w:lang w:val="fr-FR"/>
        </w:rPr>
        <w:t>:</w:t>
      </w:r>
      <w:r w:rsidRPr="00DE4FBC">
        <w:rPr>
          <w:lang w:val="fr-FR"/>
        </w:rPr>
        <w:tab/>
        <w:t>INF.4 (</w:t>
      </w:r>
      <w:r w:rsidRPr="0035360A">
        <w:rPr>
          <w:lang w:val="fr-FR"/>
        </w:rPr>
        <w:t>Fédération de Russie</w:t>
      </w:r>
      <w:r w:rsidRPr="00DE4FBC">
        <w:rPr>
          <w:lang w:val="fr-FR"/>
        </w:rPr>
        <w:t>)</w:t>
      </w:r>
      <w:r w:rsidRPr="00DE4FBC">
        <w:rPr>
          <w:lang w:val="fr-FR"/>
        </w:rPr>
        <w:br/>
        <w:t>INF.36 (Finland</w:t>
      </w:r>
      <w:r>
        <w:rPr>
          <w:lang w:val="fr-FR"/>
        </w:rPr>
        <w:t>e</w:t>
      </w:r>
      <w:r w:rsidRPr="00DE4FBC">
        <w:rPr>
          <w:lang w:val="fr-FR"/>
        </w:rPr>
        <w:t>)</w:t>
      </w:r>
      <w:r w:rsidRPr="00DE4FBC">
        <w:rPr>
          <w:lang w:val="fr-FR"/>
        </w:rPr>
        <w:br/>
        <w:t>INF.41 (IDGCA)</w:t>
      </w:r>
      <w:r w:rsidRPr="00DE4FBC">
        <w:rPr>
          <w:lang w:val="fr-FR"/>
        </w:rPr>
        <w:br/>
        <w:t xml:space="preserve">INF.44 </w:t>
      </w:r>
      <w:r>
        <w:rPr>
          <w:lang w:val="fr-FR"/>
        </w:rPr>
        <w:t>et</w:t>
      </w:r>
      <w:r w:rsidRPr="00DE4FBC">
        <w:rPr>
          <w:lang w:val="fr-FR"/>
        </w:rPr>
        <w:t xml:space="preserve"> INF.46 (</w:t>
      </w:r>
      <w:r w:rsidRPr="0035360A">
        <w:rPr>
          <w:lang w:val="fr-FR"/>
        </w:rPr>
        <w:t>Fédération de Russie</w:t>
      </w:r>
      <w:r w:rsidRPr="00DE4FBC">
        <w:rPr>
          <w:lang w:val="fr-FR"/>
        </w:rPr>
        <w:t>)</w:t>
      </w:r>
      <w:r w:rsidRPr="00DE4FBC">
        <w:rPr>
          <w:lang w:val="fr-FR"/>
        </w:rPr>
        <w:br/>
        <w:t>INF.55 (France)</w:t>
      </w:r>
      <w:r w:rsidR="00EE5C21">
        <w:rPr>
          <w:lang w:val="fr-FR"/>
        </w:rPr>
        <w:t>.</w:t>
      </w:r>
    </w:p>
    <w:p w:rsidR="00E30E39" w:rsidRPr="00DE4FBC" w:rsidRDefault="00E30E39" w:rsidP="00EE5C21">
      <w:pPr>
        <w:pStyle w:val="SingleTxtG"/>
        <w:keepNext/>
        <w:rPr>
          <w:lang w:val="fr-FR"/>
        </w:rPr>
      </w:pPr>
      <w:r w:rsidRPr="00DE4FBC">
        <w:rPr>
          <w:lang w:val="fr-FR"/>
        </w:rPr>
        <w:t>80.</w:t>
      </w:r>
      <w:r w:rsidRPr="00DE4FBC">
        <w:rPr>
          <w:lang w:val="fr-FR"/>
        </w:rPr>
        <w:tab/>
      </w:r>
      <w:r w:rsidRPr="00D3405C">
        <w:rPr>
          <w:lang w:val="fr-FR"/>
        </w:rPr>
        <w:t>Le Sous-Comité a appuyé dans le principe la proposition énoncée dans le document ST/SG/AC.10/C.3/2017/40. Plusieurs experts ont estimé qu</w:t>
      </w:r>
      <w:r>
        <w:rPr>
          <w:lang w:val="fr-FR"/>
        </w:rPr>
        <w:t>’</w:t>
      </w:r>
      <w:r w:rsidRPr="00D3405C">
        <w:rPr>
          <w:lang w:val="fr-FR"/>
        </w:rPr>
        <w:t>en raison de sa technicité et du nombre de questions à examiner, le</w:t>
      </w:r>
      <w:r>
        <w:rPr>
          <w:lang w:val="fr-FR"/>
        </w:rPr>
        <w:t>s</w:t>
      </w:r>
      <w:r w:rsidRPr="00D3405C">
        <w:rPr>
          <w:lang w:val="fr-FR"/>
        </w:rPr>
        <w:t xml:space="preserve"> trava</w:t>
      </w:r>
      <w:r>
        <w:rPr>
          <w:lang w:val="fr-FR"/>
        </w:rPr>
        <w:t>ux</w:t>
      </w:r>
      <w:r w:rsidRPr="00D3405C">
        <w:rPr>
          <w:lang w:val="fr-FR"/>
        </w:rPr>
        <w:t xml:space="preserve"> devai</w:t>
      </w:r>
      <w:r>
        <w:rPr>
          <w:lang w:val="fr-FR"/>
        </w:rPr>
        <w:t>en</w:t>
      </w:r>
      <w:r w:rsidRPr="00D3405C">
        <w:rPr>
          <w:lang w:val="fr-FR"/>
        </w:rPr>
        <w:t>t être confié</w:t>
      </w:r>
      <w:r>
        <w:rPr>
          <w:lang w:val="fr-FR"/>
        </w:rPr>
        <w:t>s</w:t>
      </w:r>
      <w:r w:rsidRPr="00D3405C">
        <w:rPr>
          <w:lang w:val="fr-FR"/>
        </w:rPr>
        <w:t xml:space="preserve"> à un groupe de travail informel qui se réunirait entre les sessions. En réponse à une proposition de l</w:t>
      </w:r>
      <w:r>
        <w:rPr>
          <w:lang w:val="fr-FR"/>
        </w:rPr>
        <w:t>’</w:t>
      </w:r>
      <w:r w:rsidRPr="00D3405C">
        <w:rPr>
          <w:lang w:val="fr-FR"/>
        </w:rPr>
        <w:t>expert de la</w:t>
      </w:r>
      <w:r w:rsidR="00C60C0C">
        <w:rPr>
          <w:lang w:val="fr-FR"/>
        </w:rPr>
        <w:t> </w:t>
      </w:r>
      <w:r w:rsidRPr="00D3405C">
        <w:rPr>
          <w:lang w:val="fr-FR"/>
        </w:rPr>
        <w:t>France, un groupe d</w:t>
      </w:r>
      <w:r>
        <w:rPr>
          <w:lang w:val="fr-FR"/>
        </w:rPr>
        <w:t>’</w:t>
      </w:r>
      <w:r w:rsidRPr="00D3405C">
        <w:rPr>
          <w:lang w:val="fr-FR"/>
        </w:rPr>
        <w:t>experts s</w:t>
      </w:r>
      <w:r>
        <w:rPr>
          <w:lang w:val="fr-FR"/>
        </w:rPr>
        <w:t>’</w:t>
      </w:r>
      <w:r w:rsidRPr="00D3405C">
        <w:rPr>
          <w:lang w:val="fr-FR"/>
        </w:rPr>
        <w:t>est réuni durant la pause pour élaborer le projet de mandat du groupe de travail informel, lequel a ensuite été étudié et adopté par le Sous-Comité, comme suit</w:t>
      </w:r>
      <w:r>
        <w:rPr>
          <w:lang w:val="fr-FR"/>
        </w:rPr>
        <w:t> </w:t>
      </w:r>
      <w:r w:rsidRPr="00DE4FBC">
        <w:rPr>
          <w:lang w:val="fr-FR"/>
        </w:rPr>
        <w:t>:</w:t>
      </w:r>
    </w:p>
    <w:p w:rsidR="00E30E39" w:rsidRPr="00D3405C" w:rsidRDefault="00E30E39" w:rsidP="00EE5C21">
      <w:pPr>
        <w:pStyle w:val="SingleTxtG"/>
        <w:keepNext/>
        <w:ind w:left="1701" w:firstLine="567"/>
        <w:rPr>
          <w:lang w:val="fr-FR"/>
        </w:rPr>
      </w:pPr>
      <w:r w:rsidRPr="00D3405C">
        <w:rPr>
          <w:lang w:val="fr-FR"/>
        </w:rPr>
        <w:t>«</w:t>
      </w:r>
      <w:r>
        <w:rPr>
          <w:lang w:val="fr-FR"/>
        </w:rPr>
        <w:t> </w:t>
      </w:r>
      <w:r w:rsidRPr="00D3405C">
        <w:rPr>
          <w:lang w:val="fr-FR"/>
        </w:rPr>
        <w:t xml:space="preserve">Élaborer des prescriptions </w:t>
      </w:r>
      <w:r>
        <w:rPr>
          <w:lang w:val="fr-FR"/>
        </w:rPr>
        <w:t>relatives à</w:t>
      </w:r>
      <w:r w:rsidRPr="00D3405C">
        <w:rPr>
          <w:lang w:val="fr-FR"/>
        </w:rPr>
        <w:t xml:space="preserve"> la construction, </w:t>
      </w:r>
      <w:r>
        <w:rPr>
          <w:lang w:val="fr-FR"/>
        </w:rPr>
        <w:t>l’homologation</w:t>
      </w:r>
      <w:r w:rsidRPr="00D3405C">
        <w:rPr>
          <w:lang w:val="fr-FR"/>
        </w:rPr>
        <w:t>, le contrôle et l</w:t>
      </w:r>
      <w:r>
        <w:rPr>
          <w:lang w:val="fr-FR"/>
        </w:rPr>
        <w:t>’</w:t>
      </w:r>
      <w:r w:rsidRPr="00D3405C">
        <w:rPr>
          <w:lang w:val="fr-FR"/>
        </w:rPr>
        <w:t>utilisation des citernes mobiles en matière plastique renforcée de fibres, en tenant compte des considérations ci-après</w:t>
      </w:r>
      <w:r>
        <w:rPr>
          <w:lang w:val="fr-FR"/>
        </w:rPr>
        <w:t> </w:t>
      </w:r>
      <w:r w:rsidRPr="00D3405C">
        <w:rPr>
          <w:lang w:val="fr-FR"/>
        </w:rPr>
        <w:t>:</w:t>
      </w:r>
    </w:p>
    <w:p w:rsidR="00E30E39" w:rsidRPr="00D3405C" w:rsidRDefault="00E30E39" w:rsidP="00EE5C21">
      <w:pPr>
        <w:pStyle w:val="SingleTxtG"/>
        <w:keepNext/>
        <w:ind w:left="1701" w:firstLine="567"/>
        <w:rPr>
          <w:lang w:val="fr-FR"/>
        </w:rPr>
      </w:pPr>
      <w:r>
        <w:rPr>
          <w:lang w:val="fr-FR"/>
        </w:rPr>
        <w:t>a)</w:t>
      </w:r>
      <w:r w:rsidRPr="00D3405C">
        <w:rPr>
          <w:lang w:val="fr-FR"/>
        </w:rPr>
        <w:tab/>
      </w:r>
      <w:r>
        <w:rPr>
          <w:lang w:val="fr-FR"/>
        </w:rPr>
        <w:t>É</w:t>
      </w:r>
      <w:r w:rsidRPr="00D3405C">
        <w:rPr>
          <w:lang w:val="fr-FR"/>
        </w:rPr>
        <w:t>valuation d</w:t>
      </w:r>
      <w:r>
        <w:rPr>
          <w:lang w:val="fr-FR"/>
        </w:rPr>
        <w:t>’</w:t>
      </w:r>
      <w:r w:rsidRPr="00D3405C">
        <w:rPr>
          <w:lang w:val="fr-FR"/>
        </w:rPr>
        <w:t>une équivalence d</w:t>
      </w:r>
      <w:r>
        <w:rPr>
          <w:lang w:val="fr-FR"/>
        </w:rPr>
        <w:t>’</w:t>
      </w:r>
      <w:r w:rsidRPr="00D3405C">
        <w:rPr>
          <w:lang w:val="fr-FR"/>
        </w:rPr>
        <w:t xml:space="preserve">efficacité par rapport aux citernes métalliques courantes, </w:t>
      </w:r>
      <w:r w:rsidRPr="00FA19AC">
        <w:rPr>
          <w:lang w:val="fr-FR"/>
        </w:rPr>
        <w:t>notamment</w:t>
      </w:r>
      <w:r w:rsidRPr="00D3405C">
        <w:rPr>
          <w:lang w:val="fr-FR"/>
        </w:rPr>
        <w:t xml:space="preserve"> sur les points suivants</w:t>
      </w:r>
      <w:r>
        <w:rPr>
          <w:lang w:val="fr-FR"/>
        </w:rPr>
        <w:t> </w:t>
      </w:r>
      <w:r w:rsidRPr="00D3405C">
        <w:rPr>
          <w:lang w:val="fr-FR"/>
        </w:rPr>
        <w:t>:</w:t>
      </w:r>
    </w:p>
    <w:p w:rsidR="00E30E39" w:rsidRPr="00D3405C" w:rsidRDefault="00E30E39" w:rsidP="00EE5C21">
      <w:pPr>
        <w:pStyle w:val="SingleTxtG"/>
        <w:ind w:left="2268"/>
        <w:rPr>
          <w:lang w:val="fr-FR"/>
        </w:rPr>
      </w:pPr>
      <w:r>
        <w:rPr>
          <w:lang w:val="fr-FR"/>
        </w:rPr>
        <w:t>i)</w:t>
      </w:r>
      <w:r w:rsidR="00EE5C21">
        <w:rPr>
          <w:lang w:val="fr-FR"/>
        </w:rPr>
        <w:tab/>
      </w:r>
      <w:r>
        <w:rPr>
          <w:lang w:val="fr-FR"/>
        </w:rPr>
        <w:t>R</w:t>
      </w:r>
      <w:r w:rsidRPr="00D3405C">
        <w:rPr>
          <w:lang w:val="fr-FR"/>
        </w:rPr>
        <w:t>ésistance aux contraintes et à la fatigue</w:t>
      </w:r>
      <w:r>
        <w:rPr>
          <w:lang w:val="fr-FR"/>
        </w:rPr>
        <w:t> </w:t>
      </w:r>
      <w:r w:rsidRPr="00D3405C">
        <w:rPr>
          <w:lang w:val="fr-FR"/>
        </w:rPr>
        <w:t>;</w:t>
      </w:r>
    </w:p>
    <w:p w:rsidR="00E30E39" w:rsidRPr="00D3405C" w:rsidRDefault="00EE5C21" w:rsidP="00EE5C21">
      <w:pPr>
        <w:pStyle w:val="SingleTxtG"/>
        <w:ind w:left="2268"/>
        <w:rPr>
          <w:lang w:val="fr-FR"/>
        </w:rPr>
      </w:pPr>
      <w:r>
        <w:rPr>
          <w:lang w:val="fr-FR"/>
        </w:rPr>
        <w:t>ii)</w:t>
      </w:r>
      <w:r>
        <w:rPr>
          <w:lang w:val="fr-FR"/>
        </w:rPr>
        <w:tab/>
      </w:r>
      <w:r w:rsidR="00E30E39">
        <w:rPr>
          <w:lang w:val="fr-FR"/>
        </w:rPr>
        <w:t>C</w:t>
      </w:r>
      <w:r w:rsidR="00E30E39" w:rsidRPr="00D3405C">
        <w:rPr>
          <w:lang w:val="fr-FR"/>
        </w:rPr>
        <w:t>ompatibilité chimique</w:t>
      </w:r>
      <w:r w:rsidR="00E30E39">
        <w:rPr>
          <w:lang w:val="fr-FR"/>
        </w:rPr>
        <w:t> </w:t>
      </w:r>
      <w:r w:rsidR="00E30E39" w:rsidRPr="00D3405C">
        <w:rPr>
          <w:lang w:val="fr-FR"/>
        </w:rPr>
        <w:t>;</w:t>
      </w:r>
    </w:p>
    <w:p w:rsidR="00E30E39" w:rsidRPr="00D3405C" w:rsidRDefault="00E30E39" w:rsidP="00EE5C21">
      <w:pPr>
        <w:pStyle w:val="SingleTxtG"/>
        <w:ind w:left="2268"/>
        <w:rPr>
          <w:lang w:val="fr-FR"/>
        </w:rPr>
      </w:pPr>
      <w:r w:rsidRPr="00D3405C">
        <w:rPr>
          <w:lang w:val="fr-FR"/>
        </w:rPr>
        <w:t>iii)</w:t>
      </w:r>
      <w:r w:rsidRPr="00D3405C">
        <w:rPr>
          <w:lang w:val="fr-FR"/>
        </w:rPr>
        <w:tab/>
      </w:r>
      <w:r>
        <w:rPr>
          <w:lang w:val="fr-FR"/>
        </w:rPr>
        <w:t>V</w:t>
      </w:r>
      <w:r w:rsidRPr="00D3405C">
        <w:rPr>
          <w:lang w:val="fr-FR"/>
        </w:rPr>
        <w:t>ieillissement</w:t>
      </w:r>
      <w:r>
        <w:rPr>
          <w:lang w:val="fr-FR"/>
        </w:rPr>
        <w:t> </w:t>
      </w:r>
      <w:r w:rsidRPr="00D3405C">
        <w:rPr>
          <w:lang w:val="fr-FR"/>
        </w:rPr>
        <w:t>;</w:t>
      </w:r>
    </w:p>
    <w:p w:rsidR="00E30E39" w:rsidRPr="00D3405C" w:rsidRDefault="00E30E39" w:rsidP="00EE5C21">
      <w:pPr>
        <w:pStyle w:val="SingleTxtG"/>
        <w:ind w:left="2268"/>
        <w:rPr>
          <w:lang w:val="fr-FR"/>
        </w:rPr>
      </w:pPr>
      <w:r w:rsidRPr="00D3405C">
        <w:rPr>
          <w:lang w:val="fr-FR"/>
        </w:rPr>
        <w:t>iv)</w:t>
      </w:r>
      <w:r w:rsidRPr="00D3405C">
        <w:rPr>
          <w:lang w:val="fr-FR"/>
        </w:rPr>
        <w:tab/>
      </w:r>
      <w:r>
        <w:rPr>
          <w:lang w:val="fr-FR"/>
        </w:rPr>
        <w:t>R</w:t>
      </w:r>
      <w:r w:rsidRPr="00D3405C">
        <w:rPr>
          <w:lang w:val="fr-FR"/>
        </w:rPr>
        <w:t>ésistance au feu</w:t>
      </w:r>
      <w:r>
        <w:rPr>
          <w:lang w:val="fr-FR"/>
        </w:rPr>
        <w:t> </w:t>
      </w:r>
      <w:r w:rsidRPr="00D3405C">
        <w:rPr>
          <w:lang w:val="fr-FR"/>
        </w:rPr>
        <w:t>;</w:t>
      </w:r>
    </w:p>
    <w:p w:rsidR="00E30E39" w:rsidRPr="00D3405C" w:rsidRDefault="00EE5C21" w:rsidP="00EE5C21">
      <w:pPr>
        <w:pStyle w:val="SingleTxtG"/>
        <w:ind w:left="2268"/>
        <w:rPr>
          <w:lang w:val="fr-FR"/>
        </w:rPr>
      </w:pPr>
      <w:r>
        <w:rPr>
          <w:lang w:val="fr-FR"/>
        </w:rPr>
        <w:t>v)</w:t>
      </w:r>
      <w:r>
        <w:rPr>
          <w:lang w:val="fr-FR"/>
        </w:rPr>
        <w:tab/>
      </w:r>
      <w:r w:rsidR="00E30E39">
        <w:rPr>
          <w:lang w:val="fr-FR"/>
        </w:rPr>
        <w:t>R</w:t>
      </w:r>
      <w:r w:rsidR="00E30E39" w:rsidRPr="00D3405C">
        <w:rPr>
          <w:lang w:val="fr-FR"/>
        </w:rPr>
        <w:t>ésistance aux chocs</w:t>
      </w:r>
      <w:r w:rsidR="00E30E39">
        <w:rPr>
          <w:lang w:val="fr-FR"/>
        </w:rPr>
        <w:t> </w:t>
      </w:r>
      <w:r w:rsidR="00E30E39" w:rsidRPr="00D3405C">
        <w:rPr>
          <w:lang w:val="fr-FR"/>
        </w:rPr>
        <w:t>;</w:t>
      </w:r>
    </w:p>
    <w:p w:rsidR="00E30E39" w:rsidRPr="00D3405C" w:rsidRDefault="00E30E39" w:rsidP="00EE5C21">
      <w:pPr>
        <w:pStyle w:val="SingleTxtG"/>
        <w:ind w:left="1701" w:firstLine="567"/>
        <w:rPr>
          <w:lang w:val="fr-FR"/>
        </w:rPr>
      </w:pPr>
      <w:r w:rsidRPr="00D3405C">
        <w:rPr>
          <w:lang w:val="fr-FR"/>
        </w:rPr>
        <w:t>b)</w:t>
      </w:r>
      <w:r w:rsidRPr="00D3405C">
        <w:rPr>
          <w:lang w:val="fr-FR"/>
        </w:rPr>
        <w:tab/>
        <w:t>Les différents matériaux pour les fibres et les résines, y compris les nouveaux matériaux</w:t>
      </w:r>
      <w:r>
        <w:rPr>
          <w:lang w:val="fr-FR"/>
        </w:rPr>
        <w:t> </w:t>
      </w:r>
      <w:r w:rsidRPr="00D3405C">
        <w:rPr>
          <w:lang w:val="fr-FR"/>
        </w:rPr>
        <w:t>;</w:t>
      </w:r>
    </w:p>
    <w:p w:rsidR="00E30E39" w:rsidRPr="00D3405C" w:rsidRDefault="00E30E39" w:rsidP="00EE5C21">
      <w:pPr>
        <w:pStyle w:val="SingleTxtG"/>
        <w:ind w:left="1701" w:firstLine="567"/>
        <w:rPr>
          <w:lang w:val="fr-FR"/>
        </w:rPr>
      </w:pPr>
      <w:r w:rsidRPr="00D3405C">
        <w:rPr>
          <w:lang w:val="fr-FR"/>
        </w:rPr>
        <w:t>c)</w:t>
      </w:r>
      <w:r w:rsidRPr="00D3405C">
        <w:rPr>
          <w:lang w:val="fr-FR"/>
        </w:rPr>
        <w:tab/>
        <w:t>Les différentes méthodes de fabrication et d</w:t>
      </w:r>
      <w:r>
        <w:rPr>
          <w:lang w:val="fr-FR"/>
        </w:rPr>
        <w:t>’</w:t>
      </w:r>
      <w:r w:rsidRPr="00D3405C">
        <w:rPr>
          <w:lang w:val="fr-FR"/>
        </w:rPr>
        <w:t>évaluation de l</w:t>
      </w:r>
      <w:r>
        <w:rPr>
          <w:lang w:val="fr-FR"/>
        </w:rPr>
        <w:t>’</w:t>
      </w:r>
      <w:r w:rsidRPr="00D3405C">
        <w:rPr>
          <w:lang w:val="fr-FR"/>
        </w:rPr>
        <w:t>efficacité</w:t>
      </w:r>
      <w:r>
        <w:rPr>
          <w:lang w:val="fr-FR"/>
        </w:rPr>
        <w:t> </w:t>
      </w:r>
      <w:r w:rsidRPr="00D3405C">
        <w:rPr>
          <w:lang w:val="fr-FR"/>
        </w:rPr>
        <w:t>;</w:t>
      </w:r>
    </w:p>
    <w:p w:rsidR="00E30E39" w:rsidRPr="00D3405C" w:rsidRDefault="00E30E39" w:rsidP="00EE5C21">
      <w:pPr>
        <w:pStyle w:val="SingleTxtG"/>
        <w:ind w:left="1701" w:firstLine="567"/>
        <w:rPr>
          <w:lang w:val="fr-FR"/>
        </w:rPr>
      </w:pPr>
      <w:r w:rsidRPr="00D3405C">
        <w:rPr>
          <w:lang w:val="fr-FR"/>
        </w:rPr>
        <w:t>d)</w:t>
      </w:r>
      <w:r w:rsidRPr="00D3405C">
        <w:rPr>
          <w:lang w:val="fr-FR"/>
        </w:rPr>
        <w:tab/>
        <w:t>L</w:t>
      </w:r>
      <w:r>
        <w:rPr>
          <w:lang w:val="fr-FR"/>
        </w:rPr>
        <w:t>’</w:t>
      </w:r>
      <w:r w:rsidRPr="00D3405C">
        <w:rPr>
          <w:lang w:val="fr-FR"/>
        </w:rPr>
        <w:t>admissibilité pour différentes classes de marchandises dangereuses</w:t>
      </w:r>
      <w:r>
        <w:rPr>
          <w:lang w:val="fr-FR"/>
        </w:rPr>
        <w:t> </w:t>
      </w:r>
      <w:r w:rsidRPr="00D3405C">
        <w:rPr>
          <w:lang w:val="fr-FR"/>
        </w:rPr>
        <w:t>;</w:t>
      </w:r>
    </w:p>
    <w:p w:rsidR="00E30E39" w:rsidRPr="00D3405C" w:rsidRDefault="00E30E39" w:rsidP="00EE5C21">
      <w:pPr>
        <w:pStyle w:val="SingleTxtG"/>
        <w:ind w:left="1701" w:firstLine="567"/>
        <w:rPr>
          <w:lang w:val="fr-FR"/>
        </w:rPr>
      </w:pPr>
      <w:r w:rsidRPr="00D3405C">
        <w:rPr>
          <w:lang w:val="fr-FR"/>
        </w:rPr>
        <w:lastRenderedPageBreak/>
        <w:t>e)</w:t>
      </w:r>
      <w:r w:rsidRPr="00D3405C">
        <w:rPr>
          <w:lang w:val="fr-FR"/>
        </w:rPr>
        <w:tab/>
        <w:t>Les règlements en vigueur aux plans international (RID et ADR), régional ou national</w:t>
      </w:r>
      <w:r>
        <w:rPr>
          <w:lang w:val="fr-FR"/>
        </w:rPr>
        <w:t> </w:t>
      </w:r>
      <w:r w:rsidRPr="00D3405C">
        <w:rPr>
          <w:lang w:val="fr-FR"/>
        </w:rPr>
        <w:t>;</w:t>
      </w:r>
    </w:p>
    <w:p w:rsidR="00E30E39" w:rsidRPr="00D3405C" w:rsidRDefault="00E30E39" w:rsidP="00EE5C21">
      <w:pPr>
        <w:pStyle w:val="SingleTxtG"/>
        <w:ind w:left="1701" w:firstLine="567"/>
        <w:rPr>
          <w:lang w:val="fr-FR"/>
        </w:rPr>
      </w:pPr>
      <w:r w:rsidRPr="00D3405C">
        <w:rPr>
          <w:lang w:val="fr-FR"/>
        </w:rPr>
        <w:t>f)</w:t>
      </w:r>
      <w:r w:rsidRPr="00D3405C">
        <w:rPr>
          <w:lang w:val="fr-FR"/>
        </w:rPr>
        <w:tab/>
        <w:t>Les besoins particuliers en matière de contrôle, notamment à la suite d</w:t>
      </w:r>
      <w:r>
        <w:rPr>
          <w:lang w:val="fr-FR"/>
        </w:rPr>
        <w:t>’</w:t>
      </w:r>
      <w:r w:rsidRPr="00D3405C">
        <w:rPr>
          <w:lang w:val="fr-FR"/>
        </w:rPr>
        <w:t>une réparation, et les dommages inacceptables.</w:t>
      </w:r>
      <w:r>
        <w:rPr>
          <w:lang w:val="fr-FR"/>
        </w:rPr>
        <w:t> </w:t>
      </w:r>
      <w:r w:rsidRPr="00D3405C">
        <w:rPr>
          <w:lang w:val="fr-FR"/>
        </w:rPr>
        <w:t>».</w:t>
      </w:r>
    </w:p>
    <w:p w:rsidR="00E30E39" w:rsidRPr="00DE4FBC" w:rsidRDefault="00E30E39" w:rsidP="00EE5C21">
      <w:pPr>
        <w:pStyle w:val="SingleTxtG"/>
        <w:rPr>
          <w:lang w:val="fr-FR"/>
        </w:rPr>
      </w:pPr>
      <w:r w:rsidRPr="00DE4FBC">
        <w:rPr>
          <w:lang w:val="fr-FR"/>
        </w:rPr>
        <w:t>81.</w:t>
      </w:r>
      <w:r w:rsidRPr="00DE4FBC">
        <w:rPr>
          <w:lang w:val="fr-FR"/>
        </w:rPr>
        <w:tab/>
      </w:r>
      <w:r w:rsidRPr="00D3405C">
        <w:rPr>
          <w:lang w:val="fr-FR"/>
        </w:rPr>
        <w:t>L</w:t>
      </w:r>
      <w:r>
        <w:rPr>
          <w:lang w:val="fr-FR"/>
        </w:rPr>
        <w:t>’</w:t>
      </w:r>
      <w:r w:rsidRPr="00D3405C">
        <w:rPr>
          <w:lang w:val="fr-FR"/>
        </w:rPr>
        <w:t>expert des États-Unis d</w:t>
      </w:r>
      <w:r>
        <w:rPr>
          <w:lang w:val="fr-FR"/>
        </w:rPr>
        <w:t>’</w:t>
      </w:r>
      <w:r w:rsidRPr="00D3405C">
        <w:rPr>
          <w:lang w:val="fr-FR"/>
        </w:rPr>
        <w:t>Amérique s</w:t>
      </w:r>
      <w:r>
        <w:rPr>
          <w:lang w:val="fr-FR"/>
        </w:rPr>
        <w:t>’</w:t>
      </w:r>
      <w:r w:rsidRPr="00D3405C">
        <w:rPr>
          <w:lang w:val="fr-FR"/>
        </w:rPr>
        <w:t>est porté volontaire pour diriger le groupe de travail informel intersessions. Les experts souhaitant participer aux travaux du groupe ont été invités à le contacter</w:t>
      </w:r>
      <w:r w:rsidRPr="00DE4FBC">
        <w:rPr>
          <w:lang w:val="fr-FR"/>
        </w:rPr>
        <w:t xml:space="preserve"> (steven.webb@dot.gov).</w:t>
      </w:r>
    </w:p>
    <w:p w:rsidR="00E30E39" w:rsidRPr="00DE4FBC" w:rsidRDefault="00E30E39" w:rsidP="00EE5C21">
      <w:pPr>
        <w:pStyle w:val="H23G"/>
        <w:rPr>
          <w:i/>
          <w:lang w:val="fr-FR"/>
        </w:rPr>
      </w:pPr>
      <w:r w:rsidRPr="00DE4FBC">
        <w:rPr>
          <w:lang w:val="fr-FR"/>
        </w:rPr>
        <w:tab/>
        <w:t>6.</w:t>
      </w:r>
      <w:r w:rsidRPr="00DE4FBC">
        <w:rPr>
          <w:lang w:val="fr-FR"/>
        </w:rPr>
        <w:tab/>
      </w:r>
      <w:r w:rsidRPr="00D3405C">
        <w:rPr>
          <w:lang w:val="fr-FR"/>
        </w:rPr>
        <w:t xml:space="preserve">Dispositions relatives aux renseignements sur le temps de retenue </w:t>
      </w:r>
      <w:r>
        <w:rPr>
          <w:lang w:val="fr-FR"/>
        </w:rPr>
        <w:br/>
      </w:r>
      <w:r w:rsidRPr="00D3405C">
        <w:rPr>
          <w:lang w:val="fr-FR"/>
        </w:rPr>
        <w:t>dans le document de transport</w:t>
      </w:r>
    </w:p>
    <w:p w:rsidR="00E30E39" w:rsidRPr="00DE4FBC" w:rsidRDefault="00E30E39" w:rsidP="002F3854">
      <w:pPr>
        <w:pStyle w:val="SingleTxtG"/>
        <w:tabs>
          <w:tab w:val="left" w:pos="3119"/>
        </w:tabs>
        <w:ind w:left="3119" w:hanging="1985"/>
        <w:jc w:val="left"/>
        <w:rPr>
          <w:lang w:val="fr-FR"/>
        </w:rPr>
      </w:pPr>
      <w:r>
        <w:rPr>
          <w:i/>
          <w:lang w:val="fr-FR"/>
        </w:rPr>
        <w:t>Documents informels</w:t>
      </w:r>
      <w:r w:rsidR="00EE5C21">
        <w:rPr>
          <w:i/>
          <w:lang w:val="fr-FR"/>
        </w:rPr>
        <w:t> </w:t>
      </w:r>
      <w:r w:rsidR="00EE5C21">
        <w:rPr>
          <w:lang w:val="fr-FR"/>
        </w:rPr>
        <w:t>:</w:t>
      </w:r>
      <w:r w:rsidRPr="00DE4FBC">
        <w:rPr>
          <w:lang w:val="fr-FR"/>
        </w:rPr>
        <w:tab/>
        <w:t xml:space="preserve">INF.9 </w:t>
      </w:r>
      <w:r>
        <w:rPr>
          <w:lang w:val="fr-FR"/>
        </w:rPr>
        <w:t>et</w:t>
      </w:r>
      <w:r w:rsidRPr="00DE4FBC">
        <w:rPr>
          <w:lang w:val="fr-FR"/>
        </w:rPr>
        <w:t xml:space="preserve"> INF.54 (Belgi</w:t>
      </w:r>
      <w:r>
        <w:rPr>
          <w:lang w:val="fr-FR"/>
        </w:rPr>
        <w:t>que</w:t>
      </w:r>
      <w:r w:rsidRPr="00DE4FBC">
        <w:rPr>
          <w:lang w:val="fr-FR"/>
        </w:rPr>
        <w:t>)</w:t>
      </w:r>
      <w:r w:rsidR="00EE5C21">
        <w:rPr>
          <w:lang w:val="fr-FR"/>
        </w:rPr>
        <w:t>.</w:t>
      </w:r>
    </w:p>
    <w:p w:rsidR="00E30E39" w:rsidRPr="00DE4FBC" w:rsidRDefault="00E30E39" w:rsidP="00EE5C21">
      <w:pPr>
        <w:pStyle w:val="SingleTxtG"/>
        <w:rPr>
          <w:lang w:val="fr-FR"/>
        </w:rPr>
      </w:pPr>
      <w:r w:rsidRPr="00DE4FBC">
        <w:rPr>
          <w:lang w:val="fr-FR"/>
        </w:rPr>
        <w:t>82.</w:t>
      </w:r>
      <w:r w:rsidRPr="00DE4FBC">
        <w:rPr>
          <w:lang w:val="fr-FR"/>
        </w:rPr>
        <w:tab/>
      </w:r>
      <w:r w:rsidRPr="00D3405C">
        <w:rPr>
          <w:lang w:val="fr-FR"/>
        </w:rPr>
        <w:t>La proposition a fait l</w:t>
      </w:r>
      <w:r>
        <w:rPr>
          <w:lang w:val="fr-FR"/>
        </w:rPr>
        <w:t>’</w:t>
      </w:r>
      <w:r w:rsidRPr="00D3405C">
        <w:rPr>
          <w:lang w:val="fr-FR"/>
        </w:rPr>
        <w:t>objet d</w:t>
      </w:r>
      <w:r>
        <w:rPr>
          <w:lang w:val="fr-FR"/>
        </w:rPr>
        <w:t>’</w:t>
      </w:r>
      <w:r w:rsidRPr="00D3405C">
        <w:rPr>
          <w:lang w:val="fr-FR"/>
        </w:rPr>
        <w:t>un appui général moyennant quelques modifications. Le Sous-Comité a invité l</w:t>
      </w:r>
      <w:r>
        <w:rPr>
          <w:lang w:val="fr-FR"/>
        </w:rPr>
        <w:t>’</w:t>
      </w:r>
      <w:r w:rsidRPr="00D3405C">
        <w:rPr>
          <w:lang w:val="fr-FR"/>
        </w:rPr>
        <w:t xml:space="preserve">expert de la Belgique à prendre en compte les observations qui avaient été faites et à </w:t>
      </w:r>
      <w:r>
        <w:rPr>
          <w:lang w:val="fr-FR"/>
        </w:rPr>
        <w:t>soumettre</w:t>
      </w:r>
      <w:r w:rsidRPr="00D3405C">
        <w:rPr>
          <w:lang w:val="fr-FR"/>
        </w:rPr>
        <w:t xml:space="preserve"> un document officiel à </w:t>
      </w:r>
      <w:r>
        <w:rPr>
          <w:lang w:val="fr-FR"/>
        </w:rPr>
        <w:t>s</w:t>
      </w:r>
      <w:r w:rsidRPr="00D3405C">
        <w:rPr>
          <w:lang w:val="fr-FR"/>
        </w:rPr>
        <w:t>a session</w:t>
      </w:r>
      <w:r>
        <w:rPr>
          <w:lang w:val="fr-FR"/>
        </w:rPr>
        <w:t xml:space="preserve"> suivante</w:t>
      </w:r>
      <w:r w:rsidRPr="00DE4FBC">
        <w:rPr>
          <w:lang w:val="fr-FR"/>
        </w:rPr>
        <w:t xml:space="preserve">. </w:t>
      </w:r>
    </w:p>
    <w:p w:rsidR="00E30E39" w:rsidRPr="00DE4FBC" w:rsidRDefault="00E30E39" w:rsidP="00EE5C21">
      <w:pPr>
        <w:pStyle w:val="H1G"/>
        <w:rPr>
          <w:lang w:val="fr-FR"/>
        </w:rPr>
      </w:pPr>
      <w:r w:rsidRPr="00DE4FBC">
        <w:rPr>
          <w:lang w:val="fr-FR"/>
        </w:rPr>
        <w:tab/>
        <w:t>D.</w:t>
      </w:r>
      <w:r w:rsidRPr="00DE4FBC">
        <w:rPr>
          <w:lang w:val="fr-FR"/>
        </w:rPr>
        <w:tab/>
      </w:r>
      <w:r>
        <w:t>Autres propositions diverses</w:t>
      </w:r>
    </w:p>
    <w:p w:rsidR="00E30E39" w:rsidRPr="00DE4FBC" w:rsidRDefault="00E30E39" w:rsidP="00EE5C21">
      <w:pPr>
        <w:pStyle w:val="H23G"/>
        <w:rPr>
          <w:lang w:val="fr-FR"/>
        </w:rPr>
      </w:pPr>
      <w:r w:rsidRPr="00DE4FBC">
        <w:rPr>
          <w:lang w:val="fr-FR"/>
        </w:rPr>
        <w:tab/>
        <w:t>1.</w:t>
      </w:r>
      <w:r w:rsidRPr="00DE4FBC">
        <w:rPr>
          <w:lang w:val="fr-FR"/>
        </w:rPr>
        <w:tab/>
      </w:r>
      <w:r>
        <w:t>Rectificatifs relatifs aux modèles d’étiquette n</w:t>
      </w:r>
      <w:r w:rsidRPr="00542D2E">
        <w:rPr>
          <w:vertAlign w:val="superscript"/>
        </w:rPr>
        <w:t>os</w:t>
      </w:r>
      <w:r w:rsidR="00294EC9">
        <w:t> </w:t>
      </w:r>
      <w:r>
        <w:t>7A, 7B et 7C au paragraphe</w:t>
      </w:r>
      <w:r w:rsidR="00EE5C21">
        <w:t> </w:t>
      </w:r>
      <w:r>
        <w:t>5.2.2.2.2</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EE5C21">
        <w:rPr>
          <w:i/>
          <w:lang w:val="fr-FR"/>
        </w:rPr>
        <w:t> </w:t>
      </w:r>
      <w:r w:rsidRPr="00DE4FBC">
        <w:rPr>
          <w:lang w:val="fr-FR"/>
        </w:rPr>
        <w:t>:</w:t>
      </w:r>
      <w:r w:rsidRPr="00DE4FBC">
        <w:rPr>
          <w:lang w:val="fr-FR"/>
        </w:rPr>
        <w:tab/>
        <w:t>INF.24 (</w:t>
      </w:r>
      <w:r>
        <w:rPr>
          <w:lang w:val="fr-FR"/>
        </w:rPr>
        <w:t>Suisse</w:t>
      </w:r>
      <w:r w:rsidRPr="00DE4FBC">
        <w:rPr>
          <w:lang w:val="fr-FR"/>
        </w:rPr>
        <w:t>)</w:t>
      </w:r>
      <w:r w:rsidR="00EE5C21">
        <w:rPr>
          <w:lang w:val="fr-FR"/>
        </w:rPr>
        <w:t>.</w:t>
      </w:r>
    </w:p>
    <w:p w:rsidR="00E30E39" w:rsidRPr="00DE4FBC" w:rsidRDefault="00E30E39" w:rsidP="00EE5C21">
      <w:pPr>
        <w:pStyle w:val="SingleTxtG"/>
        <w:rPr>
          <w:lang w:val="fr-FR"/>
        </w:rPr>
      </w:pPr>
      <w:r w:rsidRPr="00DE4FBC">
        <w:rPr>
          <w:lang w:val="fr-FR"/>
        </w:rPr>
        <w:t>83.</w:t>
      </w:r>
      <w:r w:rsidRPr="00DE4FBC">
        <w:rPr>
          <w:lang w:val="fr-FR"/>
        </w:rPr>
        <w:tab/>
      </w:r>
      <w:r>
        <w:t xml:space="preserve">Le Sous-Comité a noté que les erreurs mentionnées découlaient de la nouvelle présentation des modèles d’étiquettes sous forme de tableau et a approuvé les rectificatifs proposés (voir annexe </w:t>
      </w:r>
      <w:r w:rsidRPr="00DE4FBC">
        <w:rPr>
          <w:lang w:val="fr-FR"/>
        </w:rPr>
        <w:t>I).</w:t>
      </w:r>
    </w:p>
    <w:p w:rsidR="00E30E39" w:rsidRPr="00DE4FBC" w:rsidRDefault="00E30E39" w:rsidP="00EE5C21">
      <w:pPr>
        <w:pStyle w:val="H23G"/>
        <w:rPr>
          <w:lang w:val="fr-FR"/>
        </w:rPr>
      </w:pPr>
      <w:r w:rsidRPr="00DE4FBC">
        <w:rPr>
          <w:lang w:val="fr-FR"/>
        </w:rPr>
        <w:tab/>
        <w:t>2.</w:t>
      </w:r>
      <w:r w:rsidRPr="00DE4FBC">
        <w:rPr>
          <w:lang w:val="fr-FR"/>
        </w:rPr>
        <w:tab/>
      </w:r>
      <w:r w:rsidRPr="00D3405C">
        <w:rPr>
          <w:lang w:val="fr-FR"/>
        </w:rPr>
        <w:t>Propositions d</w:t>
      </w:r>
      <w:r>
        <w:rPr>
          <w:lang w:val="fr-FR"/>
        </w:rPr>
        <w:t>’</w:t>
      </w:r>
      <w:r w:rsidRPr="00D3405C">
        <w:rPr>
          <w:lang w:val="fr-FR"/>
        </w:rPr>
        <w:t xml:space="preserve">amendements à la section </w:t>
      </w:r>
      <w:r w:rsidRPr="00DE4FBC">
        <w:rPr>
          <w:lang w:val="fr-FR"/>
        </w:rPr>
        <w:t>5.5.3</w:t>
      </w:r>
    </w:p>
    <w:p w:rsidR="00E30E39" w:rsidRPr="00DE4FBC" w:rsidRDefault="00E30E39" w:rsidP="002F3854">
      <w:pPr>
        <w:pStyle w:val="SingleTxtG"/>
        <w:tabs>
          <w:tab w:val="left" w:pos="3119"/>
        </w:tabs>
        <w:ind w:left="3119" w:hanging="1985"/>
        <w:jc w:val="left"/>
        <w:rPr>
          <w:lang w:val="fr-FR"/>
        </w:rPr>
      </w:pPr>
      <w:r w:rsidRPr="00DE4FBC">
        <w:rPr>
          <w:i/>
          <w:lang w:val="fr-FR"/>
        </w:rPr>
        <w:t>Document</w:t>
      </w:r>
      <w:r w:rsidR="00EE5C21">
        <w:rPr>
          <w:i/>
          <w:lang w:val="fr-FR"/>
        </w:rPr>
        <w:t>s </w:t>
      </w:r>
      <w:r w:rsidR="00EE5C21">
        <w:rPr>
          <w:lang w:val="fr-FR"/>
        </w:rPr>
        <w:t>:</w:t>
      </w:r>
      <w:r w:rsidR="00EE5C21">
        <w:rPr>
          <w:lang w:val="fr-FR"/>
        </w:rPr>
        <w:tab/>
      </w:r>
      <w:r w:rsidRPr="00DE4FBC">
        <w:rPr>
          <w:lang w:val="fr-FR"/>
        </w:rPr>
        <w:t>ST/SG/AC.10/C.3/2017/46 (</w:t>
      </w:r>
      <w:r w:rsidRPr="003941A2">
        <w:rPr>
          <w:lang w:val="fr-FR"/>
        </w:rPr>
        <w:t xml:space="preserve">Fédération de Russie </w:t>
      </w:r>
      <w:r>
        <w:rPr>
          <w:lang w:val="fr-FR"/>
        </w:rPr>
        <w:t>et</w:t>
      </w:r>
      <w:r w:rsidRPr="00DE4FBC">
        <w:rPr>
          <w:lang w:val="fr-FR"/>
        </w:rPr>
        <w:t xml:space="preserve"> Au</w:t>
      </w:r>
      <w:r>
        <w:rPr>
          <w:lang w:val="fr-FR"/>
        </w:rPr>
        <w:t>triche</w:t>
      </w:r>
      <w:r w:rsidRPr="00DE4FBC">
        <w:rPr>
          <w:lang w:val="fr-FR"/>
        </w:rPr>
        <w:t>)</w:t>
      </w:r>
      <w:r w:rsidR="00EE5C21">
        <w:rPr>
          <w:lang w:val="fr-FR"/>
        </w:rPr>
        <w:t>.</w:t>
      </w:r>
    </w:p>
    <w:p w:rsidR="00E30E39" w:rsidRPr="00DE4FBC" w:rsidRDefault="00E30E39" w:rsidP="002F3854">
      <w:pPr>
        <w:pStyle w:val="SingleTxtG"/>
        <w:tabs>
          <w:tab w:val="left" w:pos="3119"/>
        </w:tabs>
        <w:ind w:left="3119" w:hanging="1985"/>
        <w:jc w:val="left"/>
        <w:rPr>
          <w:lang w:val="fr-FR"/>
        </w:rPr>
      </w:pPr>
      <w:r>
        <w:rPr>
          <w:i/>
          <w:lang w:val="fr-FR"/>
        </w:rPr>
        <w:t>Documents informels</w:t>
      </w:r>
      <w:r w:rsidR="00EE5C21">
        <w:rPr>
          <w:i/>
          <w:lang w:val="fr-FR"/>
        </w:rPr>
        <w:t> </w:t>
      </w:r>
      <w:r w:rsidRPr="00DE4FBC">
        <w:rPr>
          <w:lang w:val="fr-FR"/>
        </w:rPr>
        <w:t>:</w:t>
      </w:r>
      <w:r w:rsidRPr="00DE4FBC">
        <w:rPr>
          <w:lang w:val="fr-FR"/>
        </w:rPr>
        <w:tab/>
        <w:t xml:space="preserve">INF.50 </w:t>
      </w:r>
      <w:r>
        <w:rPr>
          <w:lang w:val="fr-FR"/>
        </w:rPr>
        <w:t>et</w:t>
      </w:r>
      <w:r w:rsidRPr="00DE4FBC">
        <w:rPr>
          <w:lang w:val="fr-FR"/>
        </w:rPr>
        <w:t xml:space="preserve"> Rev.1 (</w:t>
      </w:r>
      <w:r>
        <w:rPr>
          <w:lang w:val="fr-FR"/>
        </w:rPr>
        <w:t>s</w:t>
      </w:r>
      <w:r w:rsidRPr="00DE4FBC">
        <w:rPr>
          <w:lang w:val="fr-FR"/>
        </w:rPr>
        <w:t>ecr</w:t>
      </w:r>
      <w:r>
        <w:rPr>
          <w:lang w:val="fr-FR"/>
        </w:rPr>
        <w:t>é</w:t>
      </w:r>
      <w:r w:rsidRPr="00DE4FBC">
        <w:rPr>
          <w:lang w:val="fr-FR"/>
        </w:rPr>
        <w:t>tariat)</w:t>
      </w:r>
      <w:r w:rsidR="00EE5C21">
        <w:rPr>
          <w:lang w:val="fr-FR"/>
        </w:rPr>
        <w:t>.</w:t>
      </w:r>
    </w:p>
    <w:p w:rsidR="00E30E39" w:rsidRPr="00DE4FBC" w:rsidRDefault="00E30E39" w:rsidP="00EE5C21">
      <w:pPr>
        <w:pStyle w:val="SingleTxtG"/>
        <w:rPr>
          <w:lang w:val="fr-FR"/>
        </w:rPr>
      </w:pPr>
      <w:r w:rsidRPr="00DE4FBC">
        <w:rPr>
          <w:lang w:val="fr-FR"/>
        </w:rPr>
        <w:t>84.</w:t>
      </w:r>
      <w:r w:rsidRPr="00DE4FBC">
        <w:rPr>
          <w:lang w:val="fr-FR"/>
        </w:rPr>
        <w:tab/>
      </w:r>
      <w:r w:rsidRPr="00D3405C">
        <w:rPr>
          <w:lang w:val="fr-FR"/>
        </w:rPr>
        <w:t>Le Sous-Comité a adopté la proposition énoncée dans le document ST/SG/AC.10/</w:t>
      </w:r>
      <w:r w:rsidR="000100EE">
        <w:rPr>
          <w:lang w:val="fr-FR"/>
        </w:rPr>
        <w:t>C.3</w:t>
      </w:r>
      <w:r w:rsidRPr="00D3405C">
        <w:rPr>
          <w:lang w:val="fr-FR"/>
        </w:rPr>
        <w:t>/2017/46, telle que modifiée dans le document informel INF.50/Rev.1 (voir annexe</w:t>
      </w:r>
      <w:r w:rsidRPr="00DE4FBC">
        <w:rPr>
          <w:lang w:val="fr-FR"/>
        </w:rPr>
        <w:t xml:space="preserve"> II).</w:t>
      </w:r>
    </w:p>
    <w:p w:rsidR="00E30E39" w:rsidRDefault="00E30E39" w:rsidP="00EE5C21">
      <w:pPr>
        <w:pStyle w:val="HChG"/>
      </w:pPr>
      <w:r>
        <w:tab/>
        <w:t>IX.</w:t>
      </w:r>
      <w:r>
        <w:tab/>
      </w:r>
      <w:r w:rsidRPr="00D3405C">
        <w:rPr>
          <w:lang w:val="fr-FR"/>
        </w:rPr>
        <w:t xml:space="preserve">Harmonisation générale </w:t>
      </w:r>
      <w:r>
        <w:rPr>
          <w:lang w:val="fr-FR"/>
        </w:rPr>
        <w:t xml:space="preserve">des règlements de transport </w:t>
      </w:r>
      <w:r>
        <w:rPr>
          <w:lang w:val="fr-FR"/>
        </w:rPr>
        <w:br/>
      </w:r>
      <w:r w:rsidRPr="00D3405C">
        <w:rPr>
          <w:lang w:val="fr-FR"/>
        </w:rPr>
        <w:t>des marchandises dang</w:t>
      </w:r>
      <w:r>
        <w:rPr>
          <w:lang w:val="fr-FR"/>
        </w:rPr>
        <w:t xml:space="preserve">ereuses avec le Règlement type </w:t>
      </w:r>
      <w:r>
        <w:rPr>
          <w:lang w:val="fr-FR"/>
        </w:rPr>
        <w:br/>
      </w:r>
      <w:r w:rsidRPr="00D3405C">
        <w:rPr>
          <w:lang w:val="fr-FR"/>
        </w:rPr>
        <w:t>(point 7 de l</w:t>
      </w:r>
      <w:r>
        <w:rPr>
          <w:lang w:val="fr-FR"/>
        </w:rPr>
        <w:t>’</w:t>
      </w:r>
      <w:r w:rsidRPr="00D3405C">
        <w:rPr>
          <w:lang w:val="fr-FR"/>
        </w:rPr>
        <w:t>ordre du jour</w:t>
      </w:r>
      <w:r>
        <w:t>)</w:t>
      </w:r>
    </w:p>
    <w:p w:rsidR="00E30E39" w:rsidRPr="00DE4FBC" w:rsidRDefault="00E30E39" w:rsidP="00EE5C21">
      <w:pPr>
        <w:pStyle w:val="H23G"/>
        <w:rPr>
          <w:lang w:val="fr-FR"/>
        </w:rPr>
      </w:pPr>
      <w:r w:rsidRPr="00DE4FBC">
        <w:rPr>
          <w:lang w:val="fr-FR"/>
        </w:rPr>
        <w:tab/>
        <w:t>1.</w:t>
      </w:r>
      <w:r w:rsidRPr="00DE4FBC">
        <w:rPr>
          <w:lang w:val="fr-FR"/>
        </w:rPr>
        <w:tab/>
      </w:r>
      <w:r w:rsidR="00294EC9">
        <w:t>Recommandations</w:t>
      </w:r>
      <w:r>
        <w:t xml:space="preserve"> du « Dangerous Goods Panel » de l’OACI</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EE5C21">
        <w:rPr>
          <w:i/>
          <w:lang w:val="fr-FR"/>
        </w:rPr>
        <w:t> </w:t>
      </w:r>
      <w:r w:rsidRPr="00DE4FBC">
        <w:rPr>
          <w:lang w:val="fr-FR"/>
        </w:rPr>
        <w:t>:</w:t>
      </w:r>
      <w:r w:rsidRPr="00DE4FBC">
        <w:rPr>
          <w:lang w:val="fr-FR"/>
        </w:rPr>
        <w:tab/>
        <w:t>INF.42 (</w:t>
      </w:r>
      <w:r w:rsidRPr="00440465">
        <w:t>OACI</w:t>
      </w:r>
      <w:r w:rsidRPr="00DE4FBC">
        <w:rPr>
          <w:lang w:val="fr-FR"/>
        </w:rPr>
        <w:t>)</w:t>
      </w:r>
      <w:r w:rsidR="00EE5C21">
        <w:rPr>
          <w:lang w:val="fr-FR"/>
        </w:rPr>
        <w:t>.</w:t>
      </w:r>
    </w:p>
    <w:p w:rsidR="00E30E39" w:rsidRDefault="00E30E39" w:rsidP="00EE5C21">
      <w:pPr>
        <w:pStyle w:val="SingleTxtG"/>
        <w:rPr>
          <w:lang w:val="fr-FR"/>
        </w:rPr>
      </w:pPr>
      <w:r w:rsidRPr="00DE4FBC">
        <w:rPr>
          <w:lang w:val="fr-FR"/>
        </w:rPr>
        <w:t>85.</w:t>
      </w:r>
      <w:r w:rsidRPr="00DE4FBC">
        <w:rPr>
          <w:lang w:val="fr-FR"/>
        </w:rPr>
        <w:tab/>
      </w:r>
      <w:r>
        <w:t>Le Sous-Comité a pris note des informations fournies par l’OACI, et a invité sa représentante à soumettre un document officiel à sa session suivante, afin d’intégrer dans le</w:t>
      </w:r>
      <w:r w:rsidR="00B916C5">
        <w:t> </w:t>
      </w:r>
      <w:r>
        <w:t>Règlement type certaines des améliorations suggérées, selon que de besoin.</w:t>
      </w:r>
    </w:p>
    <w:p w:rsidR="00E30E39" w:rsidRPr="00DE4FBC" w:rsidRDefault="00E30E39" w:rsidP="00EE5C21">
      <w:pPr>
        <w:pStyle w:val="SingleTxtG"/>
        <w:rPr>
          <w:lang w:val="fr-FR"/>
        </w:rPr>
      </w:pPr>
      <w:r w:rsidRPr="00DE4FBC">
        <w:rPr>
          <w:lang w:val="fr-FR"/>
        </w:rPr>
        <w:t>86.</w:t>
      </w:r>
      <w:r w:rsidRPr="00DE4FBC">
        <w:rPr>
          <w:lang w:val="fr-FR"/>
        </w:rPr>
        <w:tab/>
      </w:r>
      <w:r>
        <w:t>Le représentant du Brésil a souligné les activités menées au sein de l’OACI en rapport avec la formation et a suggéré que des activités correspondantes soient incluses dans le programme de travail du Sous-Comité</w:t>
      </w:r>
      <w:r w:rsidRPr="00DE4FBC">
        <w:rPr>
          <w:lang w:val="fr-FR"/>
        </w:rPr>
        <w:t>.</w:t>
      </w:r>
    </w:p>
    <w:p w:rsidR="00E30E39" w:rsidRPr="00DE4FBC" w:rsidRDefault="00E30E39" w:rsidP="00EE5C21">
      <w:pPr>
        <w:pStyle w:val="H23G"/>
        <w:rPr>
          <w:lang w:val="fr-FR"/>
        </w:rPr>
      </w:pPr>
      <w:r w:rsidRPr="00DE4FBC">
        <w:rPr>
          <w:lang w:val="fr-FR"/>
        </w:rPr>
        <w:tab/>
        <w:t>2.</w:t>
      </w:r>
      <w:r w:rsidRPr="00DE4FBC">
        <w:rPr>
          <w:lang w:val="fr-FR"/>
        </w:rPr>
        <w:tab/>
      </w:r>
      <w:r>
        <w:t>Activités de l’OMI (Sous-Comité du transport d</w:t>
      </w:r>
      <w:r w:rsidR="00B916C5">
        <w:t>es cargaisons et conteneurs CCC</w:t>
      </w:r>
      <w:r>
        <w:t xml:space="preserve">4) </w:t>
      </w:r>
      <w:r w:rsidR="00EE5C21">
        <w:br/>
      </w:r>
      <w:r>
        <w:t>et</w:t>
      </w:r>
      <w:r w:rsidR="00EE5C21">
        <w:t xml:space="preserve"> </w:t>
      </w:r>
      <w:r>
        <w:t>du Groupe des questions techniques et éditoriales (E&amp;T 28</w:t>
      </w:r>
      <w:r w:rsidRPr="00DE4FBC">
        <w:rPr>
          <w:lang w:val="fr-FR"/>
        </w:rPr>
        <w:t>)</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EE5C21">
        <w:rPr>
          <w:i/>
          <w:lang w:val="fr-FR"/>
        </w:rPr>
        <w:t> </w:t>
      </w:r>
      <w:r w:rsidRPr="00DE4FBC">
        <w:rPr>
          <w:lang w:val="fr-FR"/>
        </w:rPr>
        <w:t>:</w:t>
      </w:r>
      <w:r w:rsidRPr="00DE4FBC">
        <w:rPr>
          <w:lang w:val="fr-FR"/>
        </w:rPr>
        <w:tab/>
        <w:t>INF.43 (O</w:t>
      </w:r>
      <w:r>
        <w:rPr>
          <w:lang w:val="fr-FR"/>
        </w:rPr>
        <w:t>MI</w:t>
      </w:r>
      <w:r w:rsidRPr="00DE4FBC">
        <w:rPr>
          <w:lang w:val="fr-FR"/>
        </w:rPr>
        <w:t>)</w:t>
      </w:r>
      <w:r w:rsidR="00EE5C21">
        <w:rPr>
          <w:lang w:val="fr-FR"/>
        </w:rPr>
        <w:t>.</w:t>
      </w:r>
    </w:p>
    <w:p w:rsidR="00E30E39" w:rsidRPr="00DE4FBC" w:rsidRDefault="00E30E39" w:rsidP="00EE5C21">
      <w:pPr>
        <w:pStyle w:val="SingleTxtG"/>
        <w:rPr>
          <w:lang w:val="fr-FR"/>
        </w:rPr>
      </w:pPr>
      <w:r w:rsidRPr="00DE4FBC">
        <w:rPr>
          <w:lang w:val="fr-FR"/>
        </w:rPr>
        <w:t>87.</w:t>
      </w:r>
      <w:r w:rsidRPr="00DE4FBC">
        <w:rPr>
          <w:lang w:val="fr-FR"/>
        </w:rPr>
        <w:tab/>
      </w:r>
      <w:r>
        <w:t>Le Sous-Comité a pris note des informations fournies par l’OMI et a estimé que les modifications présentées aux paragraphes</w:t>
      </w:r>
      <w:r w:rsidR="00EE5C21">
        <w:t> </w:t>
      </w:r>
      <w:r>
        <w:t xml:space="preserve">2 a) et 2 b) devaient faire l’objet de rectificatifs au Règlement type (voir annexe </w:t>
      </w:r>
      <w:r w:rsidRPr="00DE4FBC">
        <w:rPr>
          <w:lang w:val="fr-FR"/>
        </w:rPr>
        <w:t>I).</w:t>
      </w:r>
    </w:p>
    <w:p w:rsidR="00E30E39" w:rsidRPr="00DE4FBC" w:rsidRDefault="00E30E39" w:rsidP="00EE5C21">
      <w:pPr>
        <w:pStyle w:val="H23G"/>
        <w:rPr>
          <w:lang w:val="fr-FR"/>
        </w:rPr>
      </w:pPr>
      <w:r w:rsidRPr="00DE4FBC">
        <w:rPr>
          <w:lang w:val="fr-FR"/>
        </w:rPr>
        <w:lastRenderedPageBreak/>
        <w:tab/>
        <w:t>3.</w:t>
      </w:r>
      <w:r w:rsidRPr="00DE4FBC">
        <w:rPr>
          <w:lang w:val="fr-FR"/>
        </w:rPr>
        <w:tab/>
      </w:r>
      <w:r w:rsidRPr="00D3405C">
        <w:rPr>
          <w:lang w:val="fr-FR"/>
        </w:rPr>
        <w:t>Corrections de forme à la vingtième édition révisée du Règlement type</w:t>
      </w:r>
    </w:p>
    <w:p w:rsidR="00E30E39" w:rsidRPr="00DE4FBC" w:rsidRDefault="00E30E39" w:rsidP="002F3854">
      <w:pPr>
        <w:pStyle w:val="SingleTxtG"/>
        <w:tabs>
          <w:tab w:val="left" w:pos="3119"/>
        </w:tabs>
        <w:ind w:left="3119" w:hanging="1985"/>
        <w:jc w:val="left"/>
        <w:rPr>
          <w:lang w:val="fr-FR"/>
        </w:rPr>
      </w:pPr>
      <w:r>
        <w:rPr>
          <w:i/>
          <w:lang w:val="fr-FR"/>
        </w:rPr>
        <w:t>Document informel</w:t>
      </w:r>
      <w:r w:rsidR="00EE5C21">
        <w:rPr>
          <w:i/>
          <w:lang w:val="fr-FR"/>
        </w:rPr>
        <w:t> </w:t>
      </w:r>
      <w:r w:rsidR="00EE5C21">
        <w:rPr>
          <w:lang w:val="fr-FR"/>
        </w:rPr>
        <w:t>:</w:t>
      </w:r>
      <w:r w:rsidRPr="00DE4FBC">
        <w:rPr>
          <w:lang w:val="fr-FR"/>
        </w:rPr>
        <w:tab/>
        <w:t>INF.49 (</w:t>
      </w:r>
      <w:r>
        <w:rPr>
          <w:lang w:val="fr-FR"/>
        </w:rPr>
        <w:t>Allemagne</w:t>
      </w:r>
      <w:r w:rsidRPr="00DE4FBC">
        <w:rPr>
          <w:lang w:val="fr-FR"/>
        </w:rPr>
        <w:t>)</w:t>
      </w:r>
      <w:r w:rsidR="00EE5C21">
        <w:rPr>
          <w:lang w:val="fr-FR"/>
        </w:rPr>
        <w:t>.</w:t>
      </w:r>
    </w:p>
    <w:p w:rsidR="00E30E39" w:rsidRPr="00DE4FBC" w:rsidRDefault="00E30E39" w:rsidP="00EE5C21">
      <w:pPr>
        <w:pStyle w:val="SingleTxtG"/>
        <w:rPr>
          <w:lang w:val="fr-FR"/>
        </w:rPr>
      </w:pPr>
      <w:r w:rsidRPr="00DE4FBC">
        <w:rPr>
          <w:lang w:val="fr-FR"/>
        </w:rPr>
        <w:t>88.</w:t>
      </w:r>
      <w:r w:rsidRPr="00DE4FBC">
        <w:rPr>
          <w:lang w:val="fr-FR"/>
        </w:rPr>
        <w:tab/>
      </w:r>
      <w:r w:rsidRPr="00D3405C">
        <w:rPr>
          <w:lang w:val="fr-FR"/>
        </w:rPr>
        <w:t>Des divergences sont apparues quant à l</w:t>
      </w:r>
      <w:r>
        <w:rPr>
          <w:lang w:val="fr-FR"/>
        </w:rPr>
        <w:t>’</w:t>
      </w:r>
      <w:r w:rsidRPr="00D3405C">
        <w:rPr>
          <w:lang w:val="fr-FR"/>
        </w:rPr>
        <w:t>interprétation de la deuxième phrase de l</w:t>
      </w:r>
      <w:r>
        <w:rPr>
          <w:lang w:val="fr-FR"/>
        </w:rPr>
        <w:t>’alinéa c) de la disposition spéciale </w:t>
      </w:r>
      <w:r w:rsidRPr="00D3405C">
        <w:rPr>
          <w:lang w:val="fr-FR"/>
        </w:rPr>
        <w:t>392 («</w:t>
      </w:r>
      <w:r>
        <w:rPr>
          <w:lang w:val="fr-FR"/>
        </w:rPr>
        <w:t> </w:t>
      </w:r>
      <w:r w:rsidRPr="00D3405C">
        <w:rPr>
          <w:lang w:val="fr-FR"/>
        </w:rPr>
        <w:t>closing all openings</w:t>
      </w:r>
      <w:r>
        <w:rPr>
          <w:lang w:val="fr-FR"/>
        </w:rPr>
        <w:t> </w:t>
      </w:r>
      <w:r w:rsidRPr="00D3405C">
        <w:rPr>
          <w:lang w:val="fr-FR"/>
        </w:rPr>
        <w:t>» ou bien «</w:t>
      </w:r>
      <w:r>
        <w:rPr>
          <w:lang w:val="fr-FR"/>
        </w:rPr>
        <w:t> </w:t>
      </w:r>
      <w:r w:rsidRPr="00D3405C">
        <w:rPr>
          <w:lang w:val="fr-FR"/>
        </w:rPr>
        <w:t>closing the valve controlling all openings</w:t>
      </w:r>
      <w:r>
        <w:rPr>
          <w:lang w:val="fr-FR"/>
        </w:rPr>
        <w:t> </w:t>
      </w:r>
      <w:r w:rsidRPr="00D3405C">
        <w:rPr>
          <w:lang w:val="fr-FR"/>
        </w:rPr>
        <w:t>»). L</w:t>
      </w:r>
      <w:r>
        <w:rPr>
          <w:lang w:val="fr-FR"/>
        </w:rPr>
        <w:t>’</w:t>
      </w:r>
      <w:r w:rsidRPr="00D3405C">
        <w:rPr>
          <w:lang w:val="fr-FR"/>
        </w:rPr>
        <w:t>expert de la Suisse a mis en évidence une différence entre les versions anglaise et française du texte actuel et a expliqué que la correction proposée par l</w:t>
      </w:r>
      <w:r>
        <w:rPr>
          <w:lang w:val="fr-FR"/>
        </w:rPr>
        <w:t>’</w:t>
      </w:r>
      <w:r w:rsidRPr="00D3405C">
        <w:rPr>
          <w:lang w:val="fr-FR"/>
        </w:rPr>
        <w:t>Allemagne permettrait d</w:t>
      </w:r>
      <w:r>
        <w:rPr>
          <w:lang w:val="fr-FR"/>
        </w:rPr>
        <w:t>’</w:t>
      </w:r>
      <w:r w:rsidRPr="00D3405C">
        <w:rPr>
          <w:lang w:val="fr-FR"/>
        </w:rPr>
        <w:t>uniformiser les deux versions de sorte qu</w:t>
      </w:r>
      <w:r>
        <w:rPr>
          <w:lang w:val="fr-FR"/>
        </w:rPr>
        <w:t>’</w:t>
      </w:r>
      <w:r w:rsidRPr="00D3405C">
        <w:rPr>
          <w:lang w:val="fr-FR"/>
        </w:rPr>
        <w:t>elles fassent référence à l</w:t>
      </w:r>
      <w:r>
        <w:rPr>
          <w:lang w:val="fr-FR"/>
        </w:rPr>
        <w:t>’</w:t>
      </w:r>
      <w:r w:rsidRPr="00D3405C">
        <w:rPr>
          <w:lang w:val="fr-FR"/>
        </w:rPr>
        <w:t>obturation de toutes les ouvertures («</w:t>
      </w:r>
      <w:r>
        <w:rPr>
          <w:lang w:val="fr-FR"/>
        </w:rPr>
        <w:t> </w:t>
      </w:r>
      <w:r w:rsidRPr="00D3405C">
        <w:rPr>
          <w:lang w:val="fr-FR"/>
        </w:rPr>
        <w:t>closing all openings</w:t>
      </w:r>
      <w:r>
        <w:rPr>
          <w:lang w:val="fr-FR"/>
        </w:rPr>
        <w:t> </w:t>
      </w:r>
      <w:r w:rsidRPr="00D3405C">
        <w:rPr>
          <w:lang w:val="fr-FR"/>
        </w:rPr>
        <w:t>»).</w:t>
      </w:r>
    </w:p>
    <w:p w:rsidR="00E30E39" w:rsidRPr="00DE4FBC" w:rsidRDefault="00E30E39" w:rsidP="00EE5C21">
      <w:pPr>
        <w:pStyle w:val="SingleTxtG"/>
        <w:rPr>
          <w:lang w:val="fr-FR"/>
        </w:rPr>
      </w:pPr>
      <w:r w:rsidRPr="00DE4FBC">
        <w:rPr>
          <w:lang w:val="fr-FR"/>
        </w:rPr>
        <w:t>89.</w:t>
      </w:r>
      <w:r w:rsidRPr="00DE4FBC">
        <w:rPr>
          <w:lang w:val="fr-FR"/>
        </w:rPr>
        <w:tab/>
      </w:r>
      <w:r w:rsidRPr="003F611B">
        <w:rPr>
          <w:lang w:val="fr-FR"/>
        </w:rPr>
        <w:t>Un membre du secrétariat a informé le Sous-Comité que la proposition initiale présentée et adoptée lors de la Réunion commune RID/ADR/ADN faisait état de la « fermeture de toutes les ouvertures ». Le Sous-Comité a donc décidé d</w:t>
      </w:r>
      <w:r>
        <w:rPr>
          <w:lang w:val="fr-FR"/>
        </w:rPr>
        <w:t>’</w:t>
      </w:r>
      <w:r w:rsidRPr="003F611B">
        <w:rPr>
          <w:lang w:val="fr-FR"/>
        </w:rPr>
        <w:t xml:space="preserve">adopter les corrections proposées à la disposition spéciale </w:t>
      </w:r>
      <w:r>
        <w:rPr>
          <w:lang w:val="fr-FR"/>
        </w:rPr>
        <w:t>SP</w:t>
      </w:r>
      <w:r w:rsidRPr="003F611B">
        <w:rPr>
          <w:lang w:val="fr-FR"/>
        </w:rPr>
        <w:t>392</w:t>
      </w:r>
      <w:r>
        <w:rPr>
          <w:lang w:val="fr-FR"/>
        </w:rPr>
        <w:t> </w:t>
      </w:r>
      <w:r w:rsidRPr="003F611B">
        <w:rPr>
          <w:lang w:val="fr-FR"/>
        </w:rPr>
        <w:t>c), telles que modifiées (voir annexe</w:t>
      </w:r>
      <w:r>
        <w:rPr>
          <w:lang w:val="fr-FR"/>
        </w:rPr>
        <w:t> </w:t>
      </w:r>
      <w:r w:rsidRPr="00DE4FBC">
        <w:rPr>
          <w:lang w:val="fr-FR"/>
        </w:rPr>
        <w:t>I).</w:t>
      </w:r>
    </w:p>
    <w:p w:rsidR="00E30E39" w:rsidRPr="00DE4FBC" w:rsidRDefault="00E30E39" w:rsidP="00EE5C21">
      <w:pPr>
        <w:pStyle w:val="H23G"/>
        <w:rPr>
          <w:lang w:val="fr-FR"/>
        </w:rPr>
      </w:pPr>
      <w:r w:rsidRPr="00DE4FBC">
        <w:rPr>
          <w:lang w:val="fr-FR"/>
        </w:rPr>
        <w:tab/>
        <w:t>4.</w:t>
      </w:r>
      <w:r w:rsidRPr="00DE4FBC">
        <w:rPr>
          <w:lang w:val="fr-FR"/>
        </w:rPr>
        <w:tab/>
      </w:r>
      <w:r w:rsidRPr="00DA3141">
        <w:t xml:space="preserve">Nom et description du </w:t>
      </w:r>
      <w:r>
        <w:t>numéro </w:t>
      </w:r>
      <w:r w:rsidRPr="00DA3141">
        <w:t>ONU 3363</w:t>
      </w:r>
    </w:p>
    <w:p w:rsidR="00E30E39" w:rsidRPr="00DE4FBC" w:rsidRDefault="00E30E39" w:rsidP="002F3854">
      <w:pPr>
        <w:pStyle w:val="SingleTxtG"/>
        <w:tabs>
          <w:tab w:val="left" w:pos="3119"/>
        </w:tabs>
        <w:ind w:left="3119" w:hanging="1985"/>
        <w:jc w:val="left"/>
        <w:rPr>
          <w:lang w:val="fr-FR"/>
        </w:rPr>
      </w:pPr>
      <w:r w:rsidRPr="00DE4FBC">
        <w:rPr>
          <w:i/>
          <w:lang w:val="fr-FR"/>
        </w:rPr>
        <w:t>Document</w:t>
      </w:r>
      <w:r w:rsidR="000E3716">
        <w:rPr>
          <w:i/>
          <w:lang w:val="fr-FR"/>
        </w:rPr>
        <w:t>s </w:t>
      </w:r>
      <w:r w:rsidRPr="000E3716">
        <w:rPr>
          <w:lang w:val="fr-FR"/>
        </w:rPr>
        <w:t>:</w:t>
      </w:r>
      <w:r w:rsidRPr="00DE4FBC">
        <w:rPr>
          <w:i/>
          <w:lang w:val="fr-FR"/>
        </w:rPr>
        <w:tab/>
      </w:r>
      <w:r w:rsidRPr="00DE4FBC">
        <w:rPr>
          <w:lang w:val="fr-FR"/>
        </w:rPr>
        <w:t>ST/SG/AC.10/C.3/2017/34 (</w:t>
      </w:r>
      <w:r w:rsidRPr="00595EC6">
        <w:rPr>
          <w:lang w:val="fr-FR"/>
        </w:rPr>
        <w:t>Allemagne</w:t>
      </w:r>
      <w:r w:rsidRPr="00DE4FBC">
        <w:rPr>
          <w:lang w:val="fr-FR"/>
        </w:rPr>
        <w:t>)</w:t>
      </w:r>
      <w:r w:rsidR="00EE5C21">
        <w:rPr>
          <w:lang w:val="fr-FR"/>
        </w:rPr>
        <w:t>.</w:t>
      </w:r>
    </w:p>
    <w:p w:rsidR="00E30E39" w:rsidRPr="00DE4FBC" w:rsidRDefault="00E30E39" w:rsidP="002F3854">
      <w:pPr>
        <w:pStyle w:val="SingleTxtG"/>
        <w:tabs>
          <w:tab w:val="left" w:pos="3119"/>
        </w:tabs>
        <w:ind w:left="3119" w:hanging="1985"/>
        <w:jc w:val="left"/>
        <w:rPr>
          <w:lang w:val="fr-FR"/>
        </w:rPr>
      </w:pPr>
      <w:r>
        <w:rPr>
          <w:i/>
          <w:lang w:val="fr-FR"/>
        </w:rPr>
        <w:t>Documents informels</w:t>
      </w:r>
      <w:r w:rsidR="000E3716" w:rsidRPr="000E3716">
        <w:rPr>
          <w:lang w:val="fr-FR"/>
        </w:rPr>
        <w:t> </w:t>
      </w:r>
      <w:r w:rsidRPr="000E3716">
        <w:rPr>
          <w:lang w:val="fr-FR"/>
        </w:rPr>
        <w:t>:</w:t>
      </w:r>
      <w:r w:rsidRPr="00DE4FBC">
        <w:rPr>
          <w:lang w:val="fr-FR"/>
        </w:rPr>
        <w:tab/>
        <w:t>INF.27 (</w:t>
      </w:r>
      <w:r>
        <w:rPr>
          <w:lang w:val="fr-FR"/>
        </w:rPr>
        <w:t>Suisse</w:t>
      </w:r>
      <w:r w:rsidR="000E3716">
        <w:rPr>
          <w:lang w:val="fr-FR"/>
        </w:rPr>
        <w:t>)</w:t>
      </w:r>
      <w:r w:rsidR="000E3716">
        <w:rPr>
          <w:lang w:val="fr-FR"/>
        </w:rPr>
        <w:br/>
      </w:r>
      <w:r w:rsidRPr="00DE4FBC">
        <w:rPr>
          <w:lang w:val="fr-FR"/>
        </w:rPr>
        <w:t>INF.56 (</w:t>
      </w:r>
      <w:r w:rsidRPr="00595EC6">
        <w:rPr>
          <w:lang w:val="fr-FR"/>
        </w:rPr>
        <w:t>Allemagne</w:t>
      </w:r>
      <w:r w:rsidRPr="00DE4FBC">
        <w:rPr>
          <w:lang w:val="fr-FR"/>
        </w:rPr>
        <w:t>)</w:t>
      </w:r>
      <w:r w:rsidR="000E3716">
        <w:rPr>
          <w:lang w:val="fr-FR"/>
        </w:rPr>
        <w:t>.</w:t>
      </w:r>
    </w:p>
    <w:p w:rsidR="00E30E39" w:rsidRDefault="00E30E39" w:rsidP="00FA1B71">
      <w:pPr>
        <w:pStyle w:val="SingleTxtG"/>
        <w:rPr>
          <w:lang w:val="fr-FR"/>
        </w:rPr>
      </w:pPr>
      <w:r w:rsidRPr="00DE4FBC">
        <w:rPr>
          <w:lang w:val="fr-FR"/>
        </w:rPr>
        <w:t>90.</w:t>
      </w:r>
      <w:r w:rsidRPr="00DE4FBC">
        <w:rPr>
          <w:lang w:val="fr-FR"/>
        </w:rPr>
        <w:tab/>
      </w:r>
      <w:r w:rsidRPr="007A7DE6">
        <w:t>Le Sous-Comité a confirmé que les objets (machines, appareils ou autres dispositifs</w:t>
      </w:r>
      <w:r>
        <w:t>)</w:t>
      </w:r>
      <w:r w:rsidRPr="007A7DE6">
        <w:t xml:space="preserve"> contenant </w:t>
      </w:r>
      <w:r>
        <w:t xml:space="preserve">des </w:t>
      </w:r>
      <w:r w:rsidRPr="007A7DE6">
        <w:t xml:space="preserve">marchandises dangereuses </w:t>
      </w:r>
      <w:r>
        <w:t>pour lesquels une</w:t>
      </w:r>
      <w:r w:rsidRPr="00E97FCC">
        <w:t xml:space="preserve"> désignation officielle de transport</w:t>
      </w:r>
      <w:r>
        <w:t xml:space="preserve"> existait dans la </w:t>
      </w:r>
      <w:r w:rsidRPr="00E97FCC">
        <w:t>Liste des marchandises dangereuses</w:t>
      </w:r>
      <w:r>
        <w:t xml:space="preserve"> ne devaient pas être transportés sous le numéro ONU 3363. Il a donc également confirmé que les objets affectés aux </w:t>
      </w:r>
      <w:r w:rsidRPr="00A86196">
        <w:t>numéro</w:t>
      </w:r>
      <w:r>
        <w:t>s ONU </w:t>
      </w:r>
      <w:r w:rsidRPr="00E97FCC">
        <w:t>3537 à</w:t>
      </w:r>
      <w:r w:rsidR="00C60C0C">
        <w:t xml:space="preserve"> </w:t>
      </w:r>
      <w:r w:rsidRPr="00E97FCC">
        <w:t xml:space="preserve">3547 </w:t>
      </w:r>
      <w:r>
        <w:t xml:space="preserve">ne devaient pas être reclassés sous le </w:t>
      </w:r>
      <w:r w:rsidRPr="00A86196">
        <w:t>numéro</w:t>
      </w:r>
      <w:r w:rsidR="00C60C0C">
        <w:t> ONU </w:t>
      </w:r>
      <w:r>
        <w:t>3363 lorsqu’ils étaient transportés non nettoyés ou après avoir été vidés, même si la limite</w:t>
      </w:r>
      <w:r w:rsidRPr="00D979B4">
        <w:t xml:space="preserve"> des quantités autorisées spécifiées dans la colonne</w:t>
      </w:r>
      <w:r>
        <w:t xml:space="preserve"> 7 a) de la Liste des </w:t>
      </w:r>
      <w:r w:rsidRPr="00D979B4">
        <w:t>marchandises dangereuses</w:t>
      </w:r>
      <w:r>
        <w:t xml:space="preserve"> n’avait pas été dépassée. Certains experts ont préconisé l’introduction dans le</w:t>
      </w:r>
      <w:r w:rsidR="00C60C0C">
        <w:t> </w:t>
      </w:r>
      <w:r>
        <w:t>Règlement type d’une note facilitant le choix</w:t>
      </w:r>
      <w:r w:rsidRPr="007E7ECC">
        <w:t xml:space="preserve"> </w:t>
      </w:r>
      <w:r>
        <w:t>de la rubrique appropriée par les utilisateurs. L’expert de la Suisse a assuré qu’il tiendrait compte des observations faites et qu’il envisagerait de soumettre une proposition révisée à la session suivante.</w:t>
      </w:r>
    </w:p>
    <w:p w:rsidR="00E30E39" w:rsidRPr="00DE4FBC" w:rsidRDefault="00E30E39" w:rsidP="00FA1B71">
      <w:pPr>
        <w:pStyle w:val="SingleTxtG"/>
        <w:rPr>
          <w:lang w:val="fr-FR"/>
        </w:rPr>
      </w:pPr>
      <w:r w:rsidRPr="00DE4FBC">
        <w:rPr>
          <w:lang w:val="fr-FR"/>
        </w:rPr>
        <w:t>91.</w:t>
      </w:r>
      <w:r w:rsidRPr="00DE4FBC">
        <w:rPr>
          <w:lang w:val="fr-FR"/>
        </w:rPr>
        <w:tab/>
      </w:r>
      <w:r>
        <w:t>D</w:t>
      </w:r>
      <w:r w:rsidRPr="00D979B4">
        <w:t xml:space="preserve">es avis </w:t>
      </w:r>
      <w:r>
        <w:t xml:space="preserve">divergents se sont exprimés </w:t>
      </w:r>
      <w:r w:rsidRPr="00D979B4">
        <w:t xml:space="preserve">quant à la </w:t>
      </w:r>
      <w:r>
        <w:t xml:space="preserve">nécessité de modifier la désignation et la description du </w:t>
      </w:r>
      <w:r w:rsidRPr="00172218">
        <w:t>numéro</w:t>
      </w:r>
      <w:r w:rsidR="00C60C0C">
        <w:t> ONU </w:t>
      </w:r>
      <w:r w:rsidRPr="004017B5">
        <w:t>3363. Certains experts ont</w:t>
      </w:r>
      <w:r>
        <w:t xml:space="preserve"> estimé que la </w:t>
      </w:r>
      <w:r w:rsidRPr="004017B5">
        <w:t>désignation officielle de transport</w:t>
      </w:r>
      <w:r>
        <w:t xml:space="preserve"> actuelle était bien connue des utilisateurs et que les modifications proposées ne feraient qu’engendrer de la confusion. D’autres se sont inquiétés de l’introduction des mots « </w:t>
      </w:r>
      <w:r w:rsidRPr="004017B5">
        <w:t>quantités limitées</w:t>
      </w:r>
      <w:r>
        <w:t xml:space="preserve"> » dans </w:t>
      </w:r>
      <w:r w:rsidRPr="004017B5">
        <w:t>la désignation officielle de transport</w:t>
      </w:r>
      <w:r>
        <w:t xml:space="preserve">, considérant que cela pourrait être interprété à tort comme la nécessité de se conformer aux </w:t>
      </w:r>
      <w:r w:rsidRPr="004017B5">
        <w:t>dispositions</w:t>
      </w:r>
      <w:r w:rsidRPr="009B19BD">
        <w:t xml:space="preserve"> </w:t>
      </w:r>
      <w:r w:rsidRPr="004017B5">
        <w:t xml:space="preserve">relatives au marquage </w:t>
      </w:r>
      <w:r>
        <w:t>du chapitre 3.4 du Règlement type (par exemple avec la marque « quantité limitée »). D’autres ont au contraire estimé que le fait de remplacer « </w:t>
      </w:r>
      <w:r w:rsidRPr="00A64FB9">
        <w:t>machines</w:t>
      </w:r>
      <w:r>
        <w:t> »</w:t>
      </w:r>
      <w:r w:rsidRPr="00A64FB9">
        <w:t xml:space="preserve">, </w:t>
      </w:r>
      <w:r>
        <w:t>« </w:t>
      </w:r>
      <w:r w:rsidRPr="00A64FB9">
        <w:t>appareils</w:t>
      </w:r>
      <w:r>
        <w:t> » et « </w:t>
      </w:r>
      <w:r w:rsidRPr="00A64FB9">
        <w:t>dispositifs</w:t>
      </w:r>
      <w:r>
        <w:t xml:space="preserve"> » par « objets », ou encore d’introduire le mot « objets » dans la </w:t>
      </w:r>
      <w:r w:rsidRPr="00A64FB9">
        <w:t>désignation officielle de transport</w:t>
      </w:r>
      <w:r>
        <w:t xml:space="preserve"> faciliterait la compréhension par les utilisateurs et </w:t>
      </w:r>
      <w:r w:rsidRPr="00A64FB9">
        <w:t>remédier</w:t>
      </w:r>
      <w:r>
        <w:t xml:space="preserve">ait aux </w:t>
      </w:r>
      <w:r w:rsidRPr="00A64FB9">
        <w:t>incohérence</w:t>
      </w:r>
      <w:r>
        <w:t>s</w:t>
      </w:r>
      <w:r w:rsidRPr="00A64FB9">
        <w:t xml:space="preserve"> relevée</w:t>
      </w:r>
      <w:r>
        <w:t>s par l’experte de l’Allemagne</w:t>
      </w:r>
      <w:r w:rsidRPr="00DE4FBC">
        <w:rPr>
          <w:lang w:val="fr-FR"/>
        </w:rPr>
        <w:t>.</w:t>
      </w:r>
    </w:p>
    <w:p w:rsidR="00E30E39" w:rsidRPr="00DE4FBC" w:rsidRDefault="00E30E39" w:rsidP="00FA1B71">
      <w:pPr>
        <w:pStyle w:val="SingleTxtG"/>
        <w:rPr>
          <w:lang w:val="fr-FR"/>
        </w:rPr>
      </w:pPr>
      <w:r w:rsidRPr="00DE4FBC">
        <w:rPr>
          <w:lang w:val="fr-FR"/>
        </w:rPr>
        <w:t>92.</w:t>
      </w:r>
      <w:r w:rsidRPr="00DE4FBC">
        <w:rPr>
          <w:lang w:val="fr-FR"/>
        </w:rPr>
        <w:tab/>
      </w:r>
      <w:r w:rsidRPr="00A64FB9">
        <w:t>Le Sous-Comité a finalement adopté la</w:t>
      </w:r>
      <w:r>
        <w:t xml:space="preserve"> proposition élaborée </w:t>
      </w:r>
      <w:r w:rsidRPr="00A64FB9">
        <w:t>par u</w:t>
      </w:r>
      <w:r>
        <w:t xml:space="preserve">n groupe de travail </w:t>
      </w:r>
      <w:r w:rsidRPr="00A64FB9">
        <w:t>réuni lors d</w:t>
      </w:r>
      <w:r>
        <w:t>’</w:t>
      </w:r>
      <w:r w:rsidRPr="00A64FB9">
        <w:t>une pause déjeuner</w:t>
      </w:r>
      <w:r>
        <w:t xml:space="preserve"> sous la direction de l’experte de l’Allemagne, </w:t>
      </w:r>
      <w:r w:rsidRPr="009B19BD">
        <w:t xml:space="preserve">proposition </w:t>
      </w:r>
      <w:r>
        <w:t xml:space="preserve">qui figure dans le document informel </w:t>
      </w:r>
      <w:r w:rsidRPr="00A64FB9">
        <w:t>INF.56 (voir annexe</w:t>
      </w:r>
      <w:r>
        <w:t> </w:t>
      </w:r>
      <w:r w:rsidRPr="00DE4FBC">
        <w:rPr>
          <w:lang w:val="fr-FR"/>
        </w:rPr>
        <w:t xml:space="preserve">II). </w:t>
      </w:r>
    </w:p>
    <w:p w:rsidR="00E30E39" w:rsidRPr="00DE4FBC" w:rsidRDefault="00E30E39" w:rsidP="00FA1B71">
      <w:pPr>
        <w:pStyle w:val="HChG"/>
        <w:rPr>
          <w:lang w:val="fr-FR"/>
        </w:rPr>
      </w:pPr>
      <w:r w:rsidRPr="00DE4FBC">
        <w:rPr>
          <w:lang w:val="fr-FR"/>
        </w:rPr>
        <w:tab/>
        <w:t>X.</w:t>
      </w:r>
      <w:r w:rsidRPr="00DE4FBC">
        <w:rPr>
          <w:lang w:val="fr-FR"/>
        </w:rPr>
        <w:tab/>
      </w:r>
      <w:r w:rsidRPr="003F611B">
        <w:rPr>
          <w:lang w:val="fr-FR"/>
        </w:rPr>
        <w:t>Coopération avec l</w:t>
      </w:r>
      <w:r>
        <w:rPr>
          <w:lang w:val="fr-FR"/>
        </w:rPr>
        <w:t>’</w:t>
      </w:r>
      <w:r w:rsidRPr="003F611B">
        <w:rPr>
          <w:lang w:val="fr-FR"/>
        </w:rPr>
        <w:t>Agence internationale de l</w:t>
      </w:r>
      <w:r>
        <w:rPr>
          <w:lang w:val="fr-FR"/>
        </w:rPr>
        <w:t>’</w:t>
      </w:r>
      <w:r w:rsidRPr="003F611B">
        <w:rPr>
          <w:lang w:val="fr-FR"/>
        </w:rPr>
        <w:t>énergie atomique (point 8 de l</w:t>
      </w:r>
      <w:r>
        <w:rPr>
          <w:lang w:val="fr-FR"/>
        </w:rPr>
        <w:t>’</w:t>
      </w:r>
      <w:r w:rsidRPr="003F611B">
        <w:rPr>
          <w:lang w:val="fr-FR"/>
        </w:rPr>
        <w:t>ordre du jour</w:t>
      </w:r>
      <w:r w:rsidRPr="00DE4FBC">
        <w:rPr>
          <w:lang w:val="fr-FR"/>
        </w:rPr>
        <w:t>)</w:t>
      </w:r>
    </w:p>
    <w:p w:rsidR="00E30E39" w:rsidRPr="00E82540" w:rsidRDefault="00E30E39" w:rsidP="002F3854">
      <w:pPr>
        <w:pStyle w:val="SingleTxtG"/>
        <w:tabs>
          <w:tab w:val="left" w:pos="3119"/>
        </w:tabs>
        <w:ind w:left="3119" w:hanging="1985"/>
        <w:jc w:val="left"/>
        <w:rPr>
          <w:lang w:val="en-US"/>
        </w:rPr>
      </w:pPr>
      <w:r w:rsidRPr="00E82540">
        <w:rPr>
          <w:i/>
          <w:lang w:val="en-US"/>
        </w:rPr>
        <w:t>Document</w:t>
      </w:r>
      <w:r w:rsidR="00FA1B71">
        <w:rPr>
          <w:i/>
          <w:lang w:val="en-US"/>
        </w:rPr>
        <w:t>s </w:t>
      </w:r>
      <w:r w:rsidR="00FA1B71">
        <w:rPr>
          <w:lang w:val="en-US"/>
        </w:rPr>
        <w:t>:</w:t>
      </w:r>
      <w:r w:rsidRPr="00E82540">
        <w:rPr>
          <w:lang w:val="en-US"/>
        </w:rPr>
        <w:tab/>
        <w:t>ST/SG/AC.10/C.3/2017/33/Rev.1 (WNTI)</w:t>
      </w:r>
      <w:r w:rsidR="00FA1B71">
        <w:rPr>
          <w:lang w:val="en-US"/>
        </w:rPr>
        <w:t>.</w:t>
      </w:r>
    </w:p>
    <w:p w:rsidR="00E30E39" w:rsidRPr="00DE4FBC" w:rsidRDefault="00E30E39" w:rsidP="00FA1B71">
      <w:pPr>
        <w:pStyle w:val="SingleTxtG"/>
        <w:rPr>
          <w:lang w:val="fr-FR"/>
        </w:rPr>
      </w:pPr>
      <w:r w:rsidRPr="00DE4FBC">
        <w:rPr>
          <w:lang w:val="fr-FR"/>
        </w:rPr>
        <w:t>93.</w:t>
      </w:r>
      <w:r w:rsidRPr="00DE4FBC">
        <w:rPr>
          <w:lang w:val="fr-FR"/>
        </w:rPr>
        <w:tab/>
      </w:r>
      <w:r w:rsidRPr="003F611B">
        <w:rPr>
          <w:lang w:val="fr-FR"/>
        </w:rPr>
        <w:t>Le représentant du WNTI n</w:t>
      </w:r>
      <w:r>
        <w:rPr>
          <w:lang w:val="fr-FR"/>
        </w:rPr>
        <w:t>’</w:t>
      </w:r>
      <w:r w:rsidRPr="003F611B">
        <w:rPr>
          <w:lang w:val="fr-FR"/>
        </w:rPr>
        <w:t>ayant pas pu participer à la session, le Sous-Comité a décidé de renvoyer l</w:t>
      </w:r>
      <w:r>
        <w:rPr>
          <w:lang w:val="fr-FR"/>
        </w:rPr>
        <w:t>’</w:t>
      </w:r>
      <w:r w:rsidRPr="003F611B">
        <w:rPr>
          <w:lang w:val="fr-FR"/>
        </w:rPr>
        <w:t>examen de cette question à sa session suivante</w:t>
      </w:r>
      <w:r w:rsidRPr="00DE4FBC">
        <w:rPr>
          <w:lang w:val="fr-FR"/>
        </w:rPr>
        <w:t>.</w:t>
      </w:r>
    </w:p>
    <w:p w:rsidR="00E30E39" w:rsidRPr="00DE4FBC" w:rsidRDefault="00E30E39" w:rsidP="00FA1B71">
      <w:pPr>
        <w:pStyle w:val="HChG"/>
        <w:rPr>
          <w:lang w:val="fr-FR"/>
        </w:rPr>
      </w:pPr>
      <w:r w:rsidRPr="00DE4FBC">
        <w:rPr>
          <w:lang w:val="fr-FR"/>
        </w:rPr>
        <w:lastRenderedPageBreak/>
        <w:tab/>
        <w:t>XI.</w:t>
      </w:r>
      <w:r w:rsidRPr="00DE4FBC">
        <w:rPr>
          <w:lang w:val="fr-FR"/>
        </w:rPr>
        <w:tab/>
      </w:r>
      <w:r>
        <w:t>Principes directeurs du Règlement type</w:t>
      </w:r>
      <w:r w:rsidRPr="00DE4FBC">
        <w:rPr>
          <w:lang w:val="fr-FR"/>
        </w:rPr>
        <w:t xml:space="preserve"> </w:t>
      </w:r>
      <w:r>
        <w:rPr>
          <w:lang w:val="fr-FR"/>
        </w:rPr>
        <w:br/>
      </w:r>
      <w:r w:rsidRPr="00DE4FBC">
        <w:rPr>
          <w:lang w:val="fr-FR"/>
        </w:rPr>
        <w:t>(</w:t>
      </w:r>
      <w:r>
        <w:rPr>
          <w:lang w:val="fr-FR"/>
        </w:rPr>
        <w:t>point </w:t>
      </w:r>
      <w:r w:rsidRPr="00DE4FBC">
        <w:rPr>
          <w:lang w:val="fr-FR"/>
        </w:rPr>
        <w:t>9</w:t>
      </w:r>
      <w:r>
        <w:rPr>
          <w:lang w:val="fr-FR"/>
        </w:rPr>
        <w:t xml:space="preserve"> </w:t>
      </w:r>
      <w:r w:rsidRPr="00F73FF1">
        <w:rPr>
          <w:lang w:val="fr-FR"/>
        </w:rPr>
        <w:t>de l</w:t>
      </w:r>
      <w:r>
        <w:rPr>
          <w:lang w:val="fr-FR"/>
        </w:rPr>
        <w:t>’</w:t>
      </w:r>
      <w:r w:rsidRPr="00F73FF1">
        <w:rPr>
          <w:lang w:val="fr-FR"/>
        </w:rPr>
        <w:t>ordre du jour</w:t>
      </w:r>
      <w:r w:rsidRPr="00DE4FBC">
        <w:rPr>
          <w:lang w:val="fr-FR"/>
        </w:rPr>
        <w:t>)</w:t>
      </w:r>
    </w:p>
    <w:p w:rsidR="00E30E39" w:rsidRPr="00DE4FBC" w:rsidRDefault="00E30E39" w:rsidP="00FA1B71">
      <w:pPr>
        <w:pStyle w:val="SingleTxtG"/>
        <w:rPr>
          <w:lang w:val="fr-FR"/>
        </w:rPr>
      </w:pPr>
      <w:r w:rsidRPr="00DE4FBC">
        <w:rPr>
          <w:lang w:val="fr-FR"/>
        </w:rPr>
        <w:t>94.</w:t>
      </w:r>
      <w:r w:rsidRPr="00DE4FBC">
        <w:rPr>
          <w:lang w:val="fr-FR"/>
        </w:rPr>
        <w:tab/>
      </w:r>
      <w:r w:rsidRPr="00CD78DA">
        <w:rPr>
          <w:lang w:val="fr-FR"/>
        </w:rPr>
        <w:t>Aucun document n</w:t>
      </w:r>
      <w:r>
        <w:rPr>
          <w:lang w:val="fr-FR"/>
        </w:rPr>
        <w:t>’</w:t>
      </w:r>
      <w:r w:rsidRPr="00CD78DA">
        <w:rPr>
          <w:lang w:val="fr-FR"/>
        </w:rPr>
        <w:t>ayant été soumis au titre de ce point de l</w:t>
      </w:r>
      <w:r>
        <w:rPr>
          <w:lang w:val="fr-FR"/>
        </w:rPr>
        <w:t>’</w:t>
      </w:r>
      <w:r w:rsidRPr="00CD78DA">
        <w:rPr>
          <w:lang w:val="fr-FR"/>
        </w:rPr>
        <w:t>ordre du jour, cette question n</w:t>
      </w:r>
      <w:r>
        <w:rPr>
          <w:lang w:val="fr-FR"/>
        </w:rPr>
        <w:t>’</w:t>
      </w:r>
      <w:r w:rsidRPr="00CD78DA">
        <w:rPr>
          <w:lang w:val="fr-FR"/>
        </w:rPr>
        <w:t>a pas été abordée</w:t>
      </w:r>
      <w:r w:rsidRPr="00DE4FBC">
        <w:rPr>
          <w:lang w:val="fr-FR"/>
        </w:rPr>
        <w:t>.</w:t>
      </w:r>
    </w:p>
    <w:p w:rsidR="00E30E39" w:rsidRPr="00DE4FBC" w:rsidRDefault="00E30E39" w:rsidP="00FA1B71">
      <w:pPr>
        <w:pStyle w:val="HChG"/>
        <w:rPr>
          <w:lang w:val="fr-FR"/>
        </w:rPr>
      </w:pPr>
      <w:r w:rsidRPr="00DE4FBC">
        <w:rPr>
          <w:lang w:val="fr-FR"/>
        </w:rPr>
        <w:tab/>
        <w:t>XII.</w:t>
      </w:r>
      <w:r w:rsidRPr="00DE4FBC">
        <w:rPr>
          <w:lang w:val="fr-FR"/>
        </w:rPr>
        <w:tab/>
      </w:r>
      <w:r w:rsidRPr="00963714">
        <w:t xml:space="preserve">Questions relatives au Système général harmonisé </w:t>
      </w:r>
      <w:r w:rsidR="00FA1B71">
        <w:br/>
      </w:r>
      <w:r w:rsidRPr="00963714">
        <w:t>de classification et</w:t>
      </w:r>
      <w:r>
        <w:t xml:space="preserve"> </w:t>
      </w:r>
      <w:r w:rsidRPr="00963714">
        <w:t>d</w:t>
      </w:r>
      <w:r>
        <w:t>’</w:t>
      </w:r>
      <w:r w:rsidRPr="00963714">
        <w:t xml:space="preserve">étiquetage des produits </w:t>
      </w:r>
      <w:r w:rsidR="00FA1B71">
        <w:br/>
      </w:r>
      <w:r w:rsidRPr="00963714">
        <w:t>chimiques (SGH)</w:t>
      </w:r>
      <w:r w:rsidRPr="00EE13A0">
        <w:rPr>
          <w:lang w:val="fr-FR"/>
        </w:rPr>
        <w:t xml:space="preserve"> (point 10 de l</w:t>
      </w:r>
      <w:r>
        <w:rPr>
          <w:lang w:val="fr-FR"/>
        </w:rPr>
        <w:t>’</w:t>
      </w:r>
      <w:r w:rsidRPr="00EE13A0">
        <w:rPr>
          <w:lang w:val="fr-FR"/>
        </w:rPr>
        <w:t>ordre du jour)</w:t>
      </w:r>
    </w:p>
    <w:p w:rsidR="00E30E39" w:rsidRPr="00DE4FBC" w:rsidRDefault="00E30E39" w:rsidP="00FA1B71">
      <w:pPr>
        <w:pStyle w:val="H1G"/>
        <w:rPr>
          <w:lang w:val="fr-FR"/>
        </w:rPr>
      </w:pPr>
      <w:r w:rsidRPr="00DE4FBC">
        <w:rPr>
          <w:lang w:val="fr-FR"/>
        </w:rPr>
        <w:tab/>
        <w:t>A.</w:t>
      </w:r>
      <w:r w:rsidRPr="00DE4FBC">
        <w:rPr>
          <w:lang w:val="fr-FR"/>
        </w:rPr>
        <w:tab/>
      </w:r>
      <w:r>
        <w:t>Critères relatifs à l’hydroréactivité</w:t>
      </w:r>
    </w:p>
    <w:p w:rsidR="00E30E39" w:rsidRPr="00DE4FBC" w:rsidRDefault="00E30E39" w:rsidP="00FA1B71">
      <w:pPr>
        <w:pStyle w:val="SingleTxtG"/>
        <w:rPr>
          <w:lang w:val="fr-FR"/>
        </w:rPr>
      </w:pPr>
      <w:r w:rsidRPr="00DE4FBC">
        <w:rPr>
          <w:lang w:val="fr-FR"/>
        </w:rPr>
        <w:t>95.</w:t>
      </w:r>
      <w:r w:rsidRPr="00DE4FBC">
        <w:rPr>
          <w:lang w:val="fr-FR"/>
        </w:rPr>
        <w:tab/>
      </w:r>
      <w:r w:rsidRPr="00CD78DA">
        <w:rPr>
          <w:lang w:val="fr-FR"/>
        </w:rPr>
        <w:t>Aucun document n</w:t>
      </w:r>
      <w:r>
        <w:rPr>
          <w:lang w:val="fr-FR"/>
        </w:rPr>
        <w:t>’</w:t>
      </w:r>
      <w:r w:rsidRPr="00CD78DA">
        <w:rPr>
          <w:lang w:val="fr-FR"/>
        </w:rPr>
        <w:t>ayant été soumis au titre de ce point de l</w:t>
      </w:r>
      <w:r>
        <w:rPr>
          <w:lang w:val="fr-FR"/>
        </w:rPr>
        <w:t>’</w:t>
      </w:r>
      <w:r w:rsidRPr="00CD78DA">
        <w:rPr>
          <w:lang w:val="fr-FR"/>
        </w:rPr>
        <w:t>ordre du jour, cette question n</w:t>
      </w:r>
      <w:r>
        <w:rPr>
          <w:lang w:val="fr-FR"/>
        </w:rPr>
        <w:t>’</w:t>
      </w:r>
      <w:r w:rsidRPr="00CD78DA">
        <w:rPr>
          <w:lang w:val="fr-FR"/>
        </w:rPr>
        <w:t>a pas été abordée</w:t>
      </w:r>
      <w:r w:rsidRPr="00DE4FBC">
        <w:rPr>
          <w:lang w:val="fr-FR"/>
        </w:rPr>
        <w:t>.</w:t>
      </w:r>
    </w:p>
    <w:p w:rsidR="00E30E39" w:rsidRPr="00DE4FBC" w:rsidRDefault="00E30E39" w:rsidP="00FA1B71">
      <w:pPr>
        <w:pStyle w:val="H1G"/>
        <w:rPr>
          <w:lang w:val="fr-FR"/>
        </w:rPr>
      </w:pPr>
      <w:r w:rsidRPr="00DE4FBC">
        <w:rPr>
          <w:lang w:val="fr-FR"/>
        </w:rPr>
        <w:tab/>
        <w:t>B.</w:t>
      </w:r>
      <w:r w:rsidRPr="00DE4FBC">
        <w:rPr>
          <w:lang w:val="fr-FR"/>
        </w:rPr>
        <w:tab/>
      </w:r>
      <w:r w:rsidRPr="00EE13A0">
        <w:rPr>
          <w:lang w:val="fr-FR"/>
        </w:rPr>
        <w:t>Épreuves relatives aux matières comburantes</w:t>
      </w:r>
    </w:p>
    <w:p w:rsidR="00E30E39" w:rsidRPr="00DE4FBC" w:rsidRDefault="00E30E39" w:rsidP="002F3854">
      <w:pPr>
        <w:pStyle w:val="SingleTxtG"/>
        <w:tabs>
          <w:tab w:val="left" w:pos="3119"/>
        </w:tabs>
        <w:ind w:left="3119" w:hanging="1985"/>
        <w:jc w:val="left"/>
        <w:rPr>
          <w:lang w:val="fr-FR"/>
        </w:rPr>
      </w:pPr>
      <w:r w:rsidRPr="00DE4FBC">
        <w:rPr>
          <w:i/>
          <w:iCs/>
          <w:lang w:val="fr-FR"/>
        </w:rPr>
        <w:t>Document</w:t>
      </w:r>
      <w:r w:rsidR="00FA1B71">
        <w:rPr>
          <w:i/>
          <w:iCs/>
          <w:lang w:val="fr-FR"/>
        </w:rPr>
        <w:t>s </w:t>
      </w:r>
      <w:r w:rsidRPr="00DE4FBC">
        <w:rPr>
          <w:lang w:val="fr-FR"/>
        </w:rPr>
        <w:t>:</w:t>
      </w:r>
      <w:r w:rsidRPr="00DE4FBC">
        <w:rPr>
          <w:lang w:val="fr-FR"/>
        </w:rPr>
        <w:tab/>
        <w:t>ST/SG/AC.10/C.3/2017/45 (France)</w:t>
      </w:r>
      <w:r w:rsidR="00FA1B71">
        <w:rPr>
          <w:lang w:val="fr-FR"/>
        </w:rPr>
        <w:t>.</w:t>
      </w:r>
    </w:p>
    <w:p w:rsidR="00E30E39" w:rsidRPr="00DE4FBC" w:rsidRDefault="00E30E39" w:rsidP="002F3854">
      <w:pPr>
        <w:pStyle w:val="SingleTxtG"/>
        <w:tabs>
          <w:tab w:val="left" w:pos="3119"/>
        </w:tabs>
        <w:ind w:left="3119" w:hanging="1985"/>
        <w:jc w:val="left"/>
        <w:rPr>
          <w:lang w:val="fr-FR"/>
        </w:rPr>
      </w:pPr>
      <w:r>
        <w:rPr>
          <w:i/>
          <w:iCs/>
          <w:lang w:val="fr-FR"/>
        </w:rPr>
        <w:t>Document informel</w:t>
      </w:r>
      <w:r w:rsidR="00FA1B71">
        <w:rPr>
          <w:i/>
          <w:iCs/>
          <w:lang w:val="fr-FR"/>
        </w:rPr>
        <w:t> </w:t>
      </w:r>
      <w:r w:rsidRPr="00DE4FBC">
        <w:rPr>
          <w:lang w:val="fr-FR"/>
        </w:rPr>
        <w:t>:</w:t>
      </w:r>
      <w:r w:rsidRPr="00DE4FBC">
        <w:rPr>
          <w:lang w:val="fr-FR"/>
        </w:rPr>
        <w:tab/>
        <w:t>INF.35 (France)</w:t>
      </w:r>
      <w:r w:rsidR="00FA1B71">
        <w:rPr>
          <w:lang w:val="fr-FR"/>
        </w:rPr>
        <w:t>.</w:t>
      </w:r>
    </w:p>
    <w:p w:rsidR="00E30E39" w:rsidRPr="00DE4FBC" w:rsidRDefault="00E30E39" w:rsidP="00FA1B71">
      <w:pPr>
        <w:pStyle w:val="SingleTxtG"/>
        <w:rPr>
          <w:lang w:val="fr-FR"/>
        </w:rPr>
      </w:pPr>
      <w:r w:rsidRPr="00DE4FBC">
        <w:rPr>
          <w:lang w:val="fr-FR"/>
        </w:rPr>
        <w:t>96.</w:t>
      </w:r>
      <w:r w:rsidRPr="00DE4FBC">
        <w:rPr>
          <w:lang w:val="fr-FR"/>
        </w:rPr>
        <w:tab/>
      </w:r>
      <w:r w:rsidRPr="00EE13A0">
        <w:rPr>
          <w:lang w:val="fr-FR"/>
        </w:rPr>
        <w:t>Le Sous-comité a pris note de l</w:t>
      </w:r>
      <w:r>
        <w:rPr>
          <w:lang w:val="fr-FR"/>
        </w:rPr>
        <w:t>’</w:t>
      </w:r>
      <w:r w:rsidRPr="00EE13A0">
        <w:rPr>
          <w:lang w:val="fr-FR"/>
        </w:rPr>
        <w:t>état d</w:t>
      </w:r>
      <w:r>
        <w:rPr>
          <w:lang w:val="fr-FR"/>
        </w:rPr>
        <w:t>’</w:t>
      </w:r>
      <w:r w:rsidRPr="00EE13A0">
        <w:rPr>
          <w:lang w:val="fr-FR"/>
        </w:rPr>
        <w:t>avancement des travaux sur ce sujet, notamment de l</w:t>
      </w:r>
      <w:r>
        <w:rPr>
          <w:lang w:val="fr-FR"/>
        </w:rPr>
        <w:t>’</w:t>
      </w:r>
      <w:r w:rsidRPr="00EE13A0">
        <w:rPr>
          <w:lang w:val="fr-FR"/>
        </w:rPr>
        <w:t>intention de l</w:t>
      </w:r>
      <w:r>
        <w:rPr>
          <w:lang w:val="fr-FR"/>
        </w:rPr>
        <w:t>’</w:t>
      </w:r>
      <w:r w:rsidRPr="00EE13A0">
        <w:rPr>
          <w:lang w:val="fr-FR"/>
        </w:rPr>
        <w:t xml:space="preserve">expert de la France de soumettre une proposition officielle à la session </w:t>
      </w:r>
      <w:r>
        <w:rPr>
          <w:lang w:val="fr-FR"/>
        </w:rPr>
        <w:t xml:space="preserve">suivante </w:t>
      </w:r>
      <w:r w:rsidRPr="00EE13A0">
        <w:rPr>
          <w:lang w:val="fr-FR"/>
        </w:rPr>
        <w:t xml:space="preserve">des </w:t>
      </w:r>
      <w:r w:rsidR="00B916C5" w:rsidRPr="00EE13A0">
        <w:rPr>
          <w:lang w:val="fr-FR"/>
        </w:rPr>
        <w:t>Sous</w:t>
      </w:r>
      <w:r w:rsidRPr="00EE13A0">
        <w:rPr>
          <w:lang w:val="fr-FR"/>
        </w:rPr>
        <w:t>-</w:t>
      </w:r>
      <w:r w:rsidR="00B916C5" w:rsidRPr="00EE13A0">
        <w:rPr>
          <w:lang w:val="fr-FR"/>
        </w:rPr>
        <w:t xml:space="preserve">Comités </w:t>
      </w:r>
      <w:r>
        <w:rPr>
          <w:lang w:val="fr-FR"/>
        </w:rPr>
        <w:t>TMD</w:t>
      </w:r>
      <w:r w:rsidRPr="00EE13A0">
        <w:rPr>
          <w:lang w:val="fr-FR"/>
        </w:rPr>
        <w:t xml:space="preserve"> et SGH. Les experts qui le souhaiteraient ont été priés de communiquer leurs </w:t>
      </w:r>
      <w:r>
        <w:rPr>
          <w:lang w:val="fr-FR"/>
        </w:rPr>
        <w:t>observations</w:t>
      </w:r>
      <w:r w:rsidRPr="00EE13A0">
        <w:rPr>
          <w:lang w:val="fr-FR"/>
        </w:rPr>
        <w:t xml:space="preserve"> à l</w:t>
      </w:r>
      <w:r>
        <w:rPr>
          <w:lang w:val="fr-FR"/>
        </w:rPr>
        <w:t>’</w:t>
      </w:r>
      <w:r w:rsidRPr="00EE13A0">
        <w:rPr>
          <w:lang w:val="fr-FR"/>
        </w:rPr>
        <w:t xml:space="preserve">expert de la France </w:t>
      </w:r>
      <w:r>
        <w:rPr>
          <w:lang w:val="fr-FR"/>
        </w:rPr>
        <w:t>pour qu’ils puissent être pris</w:t>
      </w:r>
      <w:r w:rsidRPr="00EE13A0">
        <w:rPr>
          <w:lang w:val="fr-FR"/>
        </w:rPr>
        <w:t xml:space="preserve"> en compte dans la proposition </w:t>
      </w:r>
      <w:r>
        <w:rPr>
          <w:lang w:val="fr-FR"/>
        </w:rPr>
        <w:t>définitive</w:t>
      </w:r>
      <w:r w:rsidRPr="00DE4FBC">
        <w:rPr>
          <w:lang w:val="fr-FR"/>
        </w:rPr>
        <w:t>.</w:t>
      </w:r>
    </w:p>
    <w:p w:rsidR="00E30E39" w:rsidRPr="00DE4FBC" w:rsidRDefault="00E30E39" w:rsidP="00FA1B71">
      <w:pPr>
        <w:pStyle w:val="H1G"/>
        <w:rPr>
          <w:lang w:val="fr-FR"/>
        </w:rPr>
      </w:pPr>
      <w:r w:rsidRPr="00DE4FBC">
        <w:rPr>
          <w:lang w:val="fr-FR"/>
        </w:rPr>
        <w:tab/>
        <w:t>C.</w:t>
      </w:r>
      <w:r w:rsidRPr="00DE4FBC">
        <w:rPr>
          <w:lang w:val="fr-FR"/>
        </w:rPr>
        <w:tab/>
      </w:r>
      <w:r>
        <w:t>Mise à jour des références aux directives de l’OCDE</w:t>
      </w:r>
    </w:p>
    <w:p w:rsidR="00E30E39" w:rsidRPr="00DE4FBC" w:rsidRDefault="00E30E39" w:rsidP="00FA1B71">
      <w:pPr>
        <w:pStyle w:val="SingleTxtG"/>
        <w:rPr>
          <w:lang w:val="fr-FR"/>
        </w:rPr>
      </w:pPr>
      <w:r w:rsidRPr="00DE4FBC">
        <w:rPr>
          <w:lang w:val="fr-FR"/>
        </w:rPr>
        <w:t>97.</w:t>
      </w:r>
      <w:r w:rsidRPr="00DE4FBC">
        <w:rPr>
          <w:lang w:val="fr-FR"/>
        </w:rPr>
        <w:tab/>
      </w:r>
      <w:r w:rsidRPr="00CD78DA">
        <w:rPr>
          <w:lang w:val="fr-FR"/>
        </w:rPr>
        <w:t>Aucun document n</w:t>
      </w:r>
      <w:r>
        <w:rPr>
          <w:lang w:val="fr-FR"/>
        </w:rPr>
        <w:t>’</w:t>
      </w:r>
      <w:r w:rsidRPr="00CD78DA">
        <w:rPr>
          <w:lang w:val="fr-FR"/>
        </w:rPr>
        <w:t>ayant été soumis au titre de ce point de l</w:t>
      </w:r>
      <w:r>
        <w:rPr>
          <w:lang w:val="fr-FR"/>
        </w:rPr>
        <w:t>’</w:t>
      </w:r>
      <w:r w:rsidRPr="00CD78DA">
        <w:rPr>
          <w:lang w:val="fr-FR"/>
        </w:rPr>
        <w:t>ordre du jour, cette question n</w:t>
      </w:r>
      <w:r>
        <w:rPr>
          <w:lang w:val="fr-FR"/>
        </w:rPr>
        <w:t>’</w:t>
      </w:r>
      <w:r w:rsidRPr="00CD78DA">
        <w:rPr>
          <w:lang w:val="fr-FR"/>
        </w:rPr>
        <w:t>a pas été abordée</w:t>
      </w:r>
      <w:r w:rsidRPr="00DE4FBC">
        <w:rPr>
          <w:lang w:val="fr-FR"/>
        </w:rPr>
        <w:t>.</w:t>
      </w:r>
    </w:p>
    <w:p w:rsidR="00E30E39" w:rsidRPr="00DE4FBC" w:rsidRDefault="00E30E39" w:rsidP="00FA1B71">
      <w:pPr>
        <w:pStyle w:val="H1G"/>
        <w:rPr>
          <w:lang w:val="fr-FR"/>
        </w:rPr>
      </w:pPr>
      <w:r w:rsidRPr="00DE4FBC">
        <w:rPr>
          <w:lang w:val="fr-FR"/>
        </w:rPr>
        <w:tab/>
        <w:t>D.</w:t>
      </w:r>
      <w:r w:rsidRPr="00DE4FBC">
        <w:rPr>
          <w:lang w:val="fr-FR"/>
        </w:rPr>
        <w:tab/>
      </w:r>
      <w:r>
        <w:t xml:space="preserve">Utilisation du Manuel d’épreuves et de critères </w:t>
      </w:r>
      <w:r w:rsidR="00FA1B71">
        <w:br/>
      </w:r>
      <w:r>
        <w:t>dans le contexte du SGH</w:t>
      </w:r>
    </w:p>
    <w:p w:rsidR="00E30E39" w:rsidRPr="00DE4FBC" w:rsidRDefault="00E30E39" w:rsidP="002F3854">
      <w:pPr>
        <w:pStyle w:val="SingleTxtG"/>
        <w:tabs>
          <w:tab w:val="left" w:pos="3119"/>
        </w:tabs>
        <w:ind w:left="3119" w:hanging="1985"/>
        <w:jc w:val="left"/>
        <w:rPr>
          <w:lang w:val="fr-FR"/>
        </w:rPr>
      </w:pPr>
      <w:r>
        <w:rPr>
          <w:i/>
          <w:lang w:val="fr-FR"/>
        </w:rPr>
        <w:t>Documents informels</w:t>
      </w:r>
      <w:r w:rsidR="00FA1B71">
        <w:rPr>
          <w:i/>
          <w:lang w:val="fr-FR"/>
        </w:rPr>
        <w:t> </w:t>
      </w:r>
      <w:r w:rsidR="00FA1B71">
        <w:rPr>
          <w:lang w:val="fr-FR"/>
        </w:rPr>
        <w:t>:</w:t>
      </w:r>
      <w:r w:rsidRPr="00DE4FBC">
        <w:rPr>
          <w:lang w:val="fr-FR"/>
        </w:rPr>
        <w:tab/>
        <w:t xml:space="preserve">INF.3 </w:t>
      </w:r>
      <w:r>
        <w:rPr>
          <w:lang w:val="fr-FR"/>
        </w:rPr>
        <w:t>et</w:t>
      </w:r>
      <w:r w:rsidRPr="00DE4FBC">
        <w:rPr>
          <w:lang w:val="fr-FR"/>
        </w:rPr>
        <w:t xml:space="preserve"> Add.1 </w:t>
      </w:r>
      <w:r>
        <w:rPr>
          <w:lang w:val="fr-FR"/>
        </w:rPr>
        <w:t>et</w:t>
      </w:r>
      <w:r w:rsidRPr="00DE4FBC">
        <w:rPr>
          <w:lang w:val="fr-FR"/>
        </w:rPr>
        <w:t xml:space="preserve"> 2 (</w:t>
      </w:r>
      <w:r>
        <w:rPr>
          <w:lang w:val="fr-FR"/>
        </w:rPr>
        <w:t>Président du Groupe de travail</w:t>
      </w:r>
      <w:r w:rsidRPr="00DE4FBC">
        <w:rPr>
          <w:lang w:val="fr-FR"/>
        </w:rPr>
        <w:t>)</w:t>
      </w:r>
      <w:r w:rsidRPr="00DE4FBC">
        <w:rPr>
          <w:lang w:val="fr-FR"/>
        </w:rPr>
        <w:br/>
        <w:t>INF.13 (AEISG)</w:t>
      </w:r>
      <w:r w:rsidRPr="00DE4FBC">
        <w:rPr>
          <w:lang w:val="fr-FR"/>
        </w:rPr>
        <w:br/>
        <w:t>INF.28 (SAAMI)</w:t>
      </w:r>
      <w:r w:rsidRPr="00DE4FBC">
        <w:rPr>
          <w:lang w:val="fr-FR"/>
        </w:rPr>
        <w:br/>
        <w:t xml:space="preserve">INF.53 </w:t>
      </w:r>
      <w:r>
        <w:rPr>
          <w:lang w:val="fr-FR"/>
        </w:rPr>
        <w:t>et</w:t>
      </w:r>
      <w:r w:rsidRPr="00DE4FBC">
        <w:rPr>
          <w:lang w:val="fr-FR"/>
        </w:rPr>
        <w:t xml:space="preserve"> Add.1 </w:t>
      </w:r>
      <w:r>
        <w:rPr>
          <w:lang w:val="fr-FR"/>
        </w:rPr>
        <w:t>et</w:t>
      </w:r>
      <w:r w:rsidRPr="00DE4FBC">
        <w:rPr>
          <w:lang w:val="fr-FR"/>
        </w:rPr>
        <w:t xml:space="preserve"> 2 (</w:t>
      </w:r>
      <w:r>
        <w:rPr>
          <w:lang w:val="fr-FR"/>
        </w:rPr>
        <w:t>Président du Groupe de travail</w:t>
      </w:r>
      <w:r w:rsidRPr="00DE4FBC">
        <w:rPr>
          <w:lang w:val="fr-FR"/>
        </w:rPr>
        <w:t>)</w:t>
      </w:r>
      <w:r w:rsidR="00FA1B71">
        <w:rPr>
          <w:lang w:val="fr-FR"/>
        </w:rPr>
        <w:t>.</w:t>
      </w:r>
    </w:p>
    <w:p w:rsidR="00E30E39" w:rsidRPr="00DE4FBC" w:rsidRDefault="00E30E39" w:rsidP="00FA1B71">
      <w:pPr>
        <w:pStyle w:val="SingleTxtG"/>
        <w:rPr>
          <w:lang w:val="fr-FR"/>
        </w:rPr>
      </w:pPr>
      <w:r w:rsidRPr="00DE4FBC">
        <w:rPr>
          <w:lang w:val="fr-FR"/>
        </w:rPr>
        <w:t>98.</w:t>
      </w:r>
      <w:r w:rsidRPr="00DE4FBC">
        <w:rPr>
          <w:lang w:val="fr-FR"/>
        </w:rPr>
        <w:tab/>
      </w:r>
      <w:r w:rsidRPr="00F73FF1">
        <w:rPr>
          <w:lang w:val="fr-FR"/>
        </w:rPr>
        <w:t>Le Sous-Comité a noté que le Groupe de travail avait achevé l</w:t>
      </w:r>
      <w:r>
        <w:rPr>
          <w:lang w:val="fr-FR"/>
        </w:rPr>
        <w:t>’</w:t>
      </w:r>
      <w:r w:rsidRPr="00F73FF1">
        <w:rPr>
          <w:lang w:val="fr-FR"/>
        </w:rPr>
        <w:t>examen des sections</w:t>
      </w:r>
      <w:r w:rsidR="00FA1B71">
        <w:rPr>
          <w:lang w:val="fr-FR"/>
        </w:rPr>
        <w:t> </w:t>
      </w:r>
      <w:r w:rsidRPr="00F73FF1">
        <w:rPr>
          <w:lang w:val="fr-FR"/>
        </w:rPr>
        <w:t>1 et 10 du Manuel d</w:t>
      </w:r>
      <w:r>
        <w:rPr>
          <w:lang w:val="fr-FR"/>
        </w:rPr>
        <w:t>’</w:t>
      </w:r>
      <w:r w:rsidRPr="00F73FF1">
        <w:rPr>
          <w:lang w:val="fr-FR"/>
        </w:rPr>
        <w:t>épreuves et de critères (documents informels INF.3 et Add.1), n</w:t>
      </w:r>
      <w:r>
        <w:rPr>
          <w:lang w:val="fr-FR"/>
        </w:rPr>
        <w:t>’</w:t>
      </w:r>
      <w:r w:rsidRPr="00F73FF1">
        <w:rPr>
          <w:lang w:val="fr-FR"/>
        </w:rPr>
        <w:t>avait pas appuyé les propositions figurant dans le document informel INF.13 et avait adopté certaines des propositions figurant dans le document informel INF.28, le reste étant retiré par le SAAMI. Il a également noté que les amendements au Manuel d</w:t>
      </w:r>
      <w:r>
        <w:rPr>
          <w:lang w:val="fr-FR"/>
        </w:rPr>
        <w:t>’</w:t>
      </w:r>
      <w:r w:rsidRPr="00F73FF1">
        <w:rPr>
          <w:lang w:val="fr-FR"/>
        </w:rPr>
        <w:t>épreuves et de critères approuvés jusqu</w:t>
      </w:r>
      <w:r>
        <w:rPr>
          <w:lang w:val="fr-FR"/>
        </w:rPr>
        <w:t>’</w:t>
      </w:r>
      <w:r w:rsidRPr="00F73FF1">
        <w:rPr>
          <w:lang w:val="fr-FR"/>
        </w:rPr>
        <w:t>à présent par le Groupe de travail figuraient dans les additifs au rapport du Groupe de tr</w:t>
      </w:r>
      <w:r w:rsidR="00FA1B71">
        <w:rPr>
          <w:lang w:val="fr-FR"/>
        </w:rPr>
        <w:t>avail (documents informels INF.</w:t>
      </w:r>
      <w:r w:rsidRPr="00F73FF1">
        <w:rPr>
          <w:lang w:val="fr-FR"/>
        </w:rPr>
        <w:t>53/Add.1 et 2) et qu</w:t>
      </w:r>
      <w:r>
        <w:rPr>
          <w:lang w:val="fr-FR"/>
        </w:rPr>
        <w:t>’</w:t>
      </w:r>
      <w:r w:rsidRPr="00F73FF1">
        <w:rPr>
          <w:lang w:val="fr-FR"/>
        </w:rPr>
        <w:t xml:space="preserve">ils seraient soumis sous une cote officielle </w:t>
      </w:r>
      <w:r>
        <w:rPr>
          <w:lang w:val="fr-FR"/>
        </w:rPr>
        <w:t>à</w:t>
      </w:r>
      <w:r w:rsidRPr="00F73FF1">
        <w:rPr>
          <w:lang w:val="fr-FR"/>
        </w:rPr>
        <w:t xml:space="preserve"> la session suivante</w:t>
      </w:r>
      <w:r w:rsidRPr="00DE4FBC">
        <w:rPr>
          <w:lang w:val="fr-FR"/>
        </w:rPr>
        <w:t>.</w:t>
      </w:r>
    </w:p>
    <w:p w:rsidR="00E30E39" w:rsidRPr="00DE4FBC" w:rsidRDefault="00E30E39" w:rsidP="00FA1B71">
      <w:pPr>
        <w:pStyle w:val="H1G"/>
        <w:rPr>
          <w:lang w:val="fr-FR"/>
        </w:rPr>
      </w:pPr>
      <w:r w:rsidRPr="00DE4FBC">
        <w:rPr>
          <w:lang w:val="fr-FR"/>
        </w:rPr>
        <w:tab/>
        <w:t>E.</w:t>
      </w:r>
      <w:r w:rsidRPr="00DE4FBC">
        <w:rPr>
          <w:lang w:val="fr-FR"/>
        </w:rPr>
        <w:tab/>
      </w:r>
      <w:r>
        <w:t>Divers</w:t>
      </w:r>
    </w:p>
    <w:p w:rsidR="00E30E39" w:rsidRPr="00DE4FBC" w:rsidRDefault="00E30E39" w:rsidP="00FA1B71">
      <w:pPr>
        <w:pStyle w:val="SingleTxtG"/>
        <w:rPr>
          <w:lang w:val="fr-FR"/>
        </w:rPr>
      </w:pPr>
      <w:r w:rsidRPr="00DE4FBC">
        <w:rPr>
          <w:lang w:val="fr-FR"/>
        </w:rPr>
        <w:t>99.</w:t>
      </w:r>
      <w:r w:rsidRPr="00DE4FBC">
        <w:rPr>
          <w:lang w:val="fr-FR"/>
        </w:rPr>
        <w:tab/>
      </w:r>
      <w:r w:rsidRPr="00CD78DA">
        <w:rPr>
          <w:lang w:val="fr-FR"/>
        </w:rPr>
        <w:t>Aucun document n</w:t>
      </w:r>
      <w:r>
        <w:rPr>
          <w:lang w:val="fr-FR"/>
        </w:rPr>
        <w:t>’</w:t>
      </w:r>
      <w:r w:rsidRPr="00CD78DA">
        <w:rPr>
          <w:lang w:val="fr-FR"/>
        </w:rPr>
        <w:t>ayant été soumis au titre de ce point de l</w:t>
      </w:r>
      <w:r>
        <w:rPr>
          <w:lang w:val="fr-FR"/>
        </w:rPr>
        <w:t>’</w:t>
      </w:r>
      <w:r w:rsidRPr="00CD78DA">
        <w:rPr>
          <w:lang w:val="fr-FR"/>
        </w:rPr>
        <w:t>ordre du jour, cette question n</w:t>
      </w:r>
      <w:r>
        <w:rPr>
          <w:lang w:val="fr-FR"/>
        </w:rPr>
        <w:t>’</w:t>
      </w:r>
      <w:r w:rsidRPr="00CD78DA">
        <w:rPr>
          <w:lang w:val="fr-FR"/>
        </w:rPr>
        <w:t>a pas été abordée</w:t>
      </w:r>
      <w:r w:rsidRPr="00DE4FBC">
        <w:rPr>
          <w:lang w:val="fr-FR"/>
        </w:rPr>
        <w:t>.</w:t>
      </w:r>
    </w:p>
    <w:p w:rsidR="00E30E39" w:rsidRPr="00DE4FBC" w:rsidRDefault="00E30E39" w:rsidP="00FA1B71">
      <w:pPr>
        <w:pStyle w:val="HChG"/>
        <w:rPr>
          <w:lang w:val="fr-FR"/>
        </w:rPr>
      </w:pPr>
      <w:r w:rsidRPr="00DE4FBC">
        <w:rPr>
          <w:lang w:val="fr-FR"/>
        </w:rPr>
        <w:lastRenderedPageBreak/>
        <w:tab/>
        <w:t>XIII.</w:t>
      </w:r>
      <w:r w:rsidRPr="00DE4FBC">
        <w:rPr>
          <w:lang w:val="fr-FR"/>
        </w:rPr>
        <w:tab/>
      </w:r>
      <w:r w:rsidRPr="003F611B">
        <w:rPr>
          <w:lang w:val="fr-FR"/>
        </w:rPr>
        <w:t>Questions diverses (point 11 de l</w:t>
      </w:r>
      <w:r>
        <w:rPr>
          <w:lang w:val="fr-FR"/>
        </w:rPr>
        <w:t>’ordre du jour</w:t>
      </w:r>
      <w:r w:rsidRPr="00DE4FBC">
        <w:rPr>
          <w:lang w:val="fr-FR"/>
        </w:rPr>
        <w:t xml:space="preserve">) </w:t>
      </w:r>
    </w:p>
    <w:p w:rsidR="00E30E39" w:rsidRPr="00D725CA" w:rsidRDefault="00E30E39" w:rsidP="00FA1B71">
      <w:pPr>
        <w:pStyle w:val="H23G"/>
      </w:pPr>
      <w:r w:rsidRPr="00D725CA">
        <w:rPr>
          <w:lang w:val="fr-FR"/>
        </w:rPr>
        <w:tab/>
      </w:r>
      <w:r w:rsidRPr="00D725CA">
        <w:rPr>
          <w:lang w:val="fr-FR"/>
        </w:rPr>
        <w:tab/>
        <w:t>Champ d</w:t>
      </w:r>
      <w:r>
        <w:rPr>
          <w:lang w:val="fr-FR"/>
        </w:rPr>
        <w:t>’</w:t>
      </w:r>
      <w:r w:rsidRPr="00D725CA">
        <w:rPr>
          <w:lang w:val="fr-FR"/>
        </w:rPr>
        <w:t>application de la section 1.1.1.2 du Règlement type</w:t>
      </w:r>
    </w:p>
    <w:p w:rsidR="00E30E39" w:rsidRPr="00DE4FBC" w:rsidRDefault="00E30E39" w:rsidP="002F3854">
      <w:pPr>
        <w:pStyle w:val="SingleTxtG"/>
        <w:tabs>
          <w:tab w:val="left" w:pos="3119"/>
        </w:tabs>
        <w:ind w:left="3119" w:hanging="1985"/>
        <w:jc w:val="left"/>
        <w:rPr>
          <w:lang w:val="fr-FR"/>
        </w:rPr>
      </w:pPr>
      <w:r>
        <w:rPr>
          <w:i/>
          <w:lang w:val="fr-FR"/>
        </w:rPr>
        <w:t>Documents informels</w:t>
      </w:r>
      <w:r w:rsidR="00FA1B71">
        <w:rPr>
          <w:i/>
          <w:lang w:val="fr-FR"/>
        </w:rPr>
        <w:t> </w:t>
      </w:r>
      <w:r w:rsidRPr="00FA1B71">
        <w:rPr>
          <w:lang w:val="fr-FR"/>
        </w:rPr>
        <w:t>:</w:t>
      </w:r>
      <w:r w:rsidRPr="00DE4FBC">
        <w:rPr>
          <w:lang w:val="fr-FR"/>
        </w:rPr>
        <w:tab/>
        <w:t xml:space="preserve">INF.29 </w:t>
      </w:r>
      <w:r>
        <w:rPr>
          <w:lang w:val="fr-FR"/>
        </w:rPr>
        <w:t>et</w:t>
      </w:r>
      <w:r w:rsidRPr="00DE4FBC">
        <w:rPr>
          <w:lang w:val="fr-FR"/>
        </w:rPr>
        <w:t xml:space="preserve"> INF.60 (</w:t>
      </w:r>
      <w:r>
        <w:rPr>
          <w:lang w:val="fr-FR"/>
        </w:rPr>
        <w:t>Pays-Bas</w:t>
      </w:r>
      <w:r w:rsidRPr="00DE4FBC">
        <w:rPr>
          <w:lang w:val="fr-FR"/>
        </w:rPr>
        <w:t>)</w:t>
      </w:r>
      <w:r w:rsidR="00FA1B71">
        <w:rPr>
          <w:lang w:val="fr-FR"/>
        </w:rPr>
        <w:t>.</w:t>
      </w:r>
    </w:p>
    <w:p w:rsidR="00E30E39" w:rsidRPr="00D725CA" w:rsidRDefault="00E30E39" w:rsidP="00FA1B71">
      <w:pPr>
        <w:pStyle w:val="SingleTxtG"/>
        <w:rPr>
          <w:lang w:val="fr-FR"/>
        </w:rPr>
      </w:pPr>
      <w:r w:rsidRPr="00DE4FBC">
        <w:rPr>
          <w:lang w:val="fr-FR"/>
        </w:rPr>
        <w:t>100.</w:t>
      </w:r>
      <w:r w:rsidRPr="00DE4FBC">
        <w:rPr>
          <w:lang w:val="fr-FR"/>
        </w:rPr>
        <w:tab/>
      </w:r>
      <w:r w:rsidRPr="00D725CA">
        <w:rPr>
          <w:lang w:val="fr-FR"/>
        </w:rPr>
        <w:t>Le Sous-Comité a pris note des informations fournies dans le document informel INF.29, qui a été examiné plus avant par un groupe de travail de l</w:t>
      </w:r>
      <w:r>
        <w:rPr>
          <w:lang w:val="fr-FR"/>
        </w:rPr>
        <w:t>’</w:t>
      </w:r>
      <w:r w:rsidRPr="00D725CA">
        <w:rPr>
          <w:lang w:val="fr-FR"/>
        </w:rPr>
        <w:t>après-midi (voir document informel INF.60). Après un échange de vues, le groupe a décidé de concentrer d</w:t>
      </w:r>
      <w:r>
        <w:rPr>
          <w:lang w:val="fr-FR"/>
        </w:rPr>
        <w:t>’</w:t>
      </w:r>
      <w:r w:rsidRPr="00D725CA">
        <w:rPr>
          <w:lang w:val="fr-FR"/>
        </w:rPr>
        <w:t>abord la discussion sur les enregistreurs de données et les dispositifs de localisation</w:t>
      </w:r>
      <w:r>
        <w:rPr>
          <w:lang w:val="fr-FR"/>
        </w:rPr>
        <w:t>,</w:t>
      </w:r>
      <w:r w:rsidRPr="00D725CA">
        <w:rPr>
          <w:lang w:val="fr-FR"/>
        </w:rPr>
        <w:t xml:space="preserve"> pour lesquels une plus grande clarté était nécessaire. Ces travaux se poursuivront entre les sessions</w:t>
      </w:r>
      <w:r>
        <w:rPr>
          <w:lang w:val="fr-FR"/>
        </w:rPr>
        <w:t>.</w:t>
      </w:r>
    </w:p>
    <w:p w:rsidR="00E30E39" w:rsidRPr="00DE4FBC" w:rsidRDefault="00E30E39" w:rsidP="00FA1B71">
      <w:pPr>
        <w:pStyle w:val="H23G"/>
        <w:rPr>
          <w:lang w:val="fr-FR"/>
        </w:rPr>
      </w:pPr>
      <w:r w:rsidRPr="00DE4FBC">
        <w:rPr>
          <w:lang w:val="fr-FR"/>
        </w:rPr>
        <w:tab/>
      </w:r>
      <w:r w:rsidRPr="00DE4FBC">
        <w:rPr>
          <w:lang w:val="fr-FR"/>
        </w:rPr>
        <w:tab/>
      </w:r>
      <w:r w:rsidRPr="00206DE1">
        <w:rPr>
          <w:lang w:val="fr-FR"/>
        </w:rPr>
        <w:t>Hommages à M.</w:t>
      </w:r>
      <w:r w:rsidR="00FA1B71">
        <w:rPr>
          <w:lang w:val="fr-FR"/>
        </w:rPr>
        <w:t> </w:t>
      </w:r>
      <w:r w:rsidRPr="00206DE1">
        <w:rPr>
          <w:lang w:val="fr-FR"/>
        </w:rPr>
        <w:t>O.</w:t>
      </w:r>
      <w:r w:rsidR="00FA1B71">
        <w:rPr>
          <w:lang w:val="fr-FR"/>
        </w:rPr>
        <w:t> </w:t>
      </w:r>
      <w:r w:rsidRPr="00206DE1">
        <w:rPr>
          <w:lang w:val="fr-FR"/>
        </w:rPr>
        <w:t>Kervella (secrétariat), M.</w:t>
      </w:r>
      <w:r w:rsidR="00FA1B71">
        <w:rPr>
          <w:lang w:val="fr-FR"/>
        </w:rPr>
        <w:t> </w:t>
      </w:r>
      <w:r w:rsidRPr="00206DE1">
        <w:rPr>
          <w:lang w:val="fr-FR"/>
        </w:rPr>
        <w:t>J.</w:t>
      </w:r>
      <w:r w:rsidR="00FA1B71">
        <w:rPr>
          <w:lang w:val="fr-FR"/>
        </w:rPr>
        <w:t> </w:t>
      </w:r>
      <w:r w:rsidRPr="00206DE1">
        <w:rPr>
          <w:lang w:val="fr-FR"/>
        </w:rPr>
        <w:t xml:space="preserve">Mayers (Royaume-Uni) </w:t>
      </w:r>
      <w:r>
        <w:rPr>
          <w:lang w:val="fr-FR"/>
        </w:rPr>
        <w:br/>
      </w:r>
      <w:r w:rsidRPr="00206DE1">
        <w:rPr>
          <w:lang w:val="fr-FR"/>
        </w:rPr>
        <w:t>et M</w:t>
      </w:r>
      <w:r w:rsidRPr="00206DE1">
        <w:rPr>
          <w:vertAlign w:val="superscript"/>
          <w:lang w:val="fr-FR"/>
        </w:rPr>
        <w:t>me</w:t>
      </w:r>
      <w:r w:rsidR="00FA1B71">
        <w:rPr>
          <w:lang w:val="fr-FR"/>
        </w:rPr>
        <w:t> </w:t>
      </w:r>
      <w:r w:rsidRPr="00206DE1">
        <w:rPr>
          <w:lang w:val="fr-FR"/>
        </w:rPr>
        <w:t>T.</w:t>
      </w:r>
      <w:r w:rsidR="00FA1B71">
        <w:rPr>
          <w:lang w:val="fr-FR"/>
        </w:rPr>
        <w:t> </w:t>
      </w:r>
      <w:r w:rsidRPr="00206DE1">
        <w:rPr>
          <w:lang w:val="fr-FR"/>
        </w:rPr>
        <w:t>J.</w:t>
      </w:r>
      <w:r w:rsidR="00FA1B71">
        <w:rPr>
          <w:lang w:val="fr-FR"/>
        </w:rPr>
        <w:t> </w:t>
      </w:r>
      <w:r w:rsidRPr="00206DE1">
        <w:rPr>
          <w:lang w:val="fr-FR"/>
        </w:rPr>
        <w:t>Ness (Norvège)</w:t>
      </w:r>
    </w:p>
    <w:p w:rsidR="00E30E39" w:rsidRPr="00DE4FBC" w:rsidRDefault="00E30E39" w:rsidP="00FA1B71">
      <w:pPr>
        <w:pStyle w:val="SingleTxtG"/>
        <w:rPr>
          <w:lang w:val="fr-FR"/>
        </w:rPr>
      </w:pPr>
      <w:r w:rsidRPr="00DE4FBC">
        <w:rPr>
          <w:lang w:val="fr-FR"/>
        </w:rPr>
        <w:t>101.</w:t>
      </w:r>
      <w:r w:rsidRPr="00DE4FBC">
        <w:rPr>
          <w:lang w:val="fr-FR"/>
        </w:rPr>
        <w:tab/>
      </w:r>
      <w:r w:rsidRPr="001E009E">
        <w:rPr>
          <w:lang w:val="fr-FR"/>
        </w:rPr>
        <w:t>Après le départ à la retraite de M.</w:t>
      </w:r>
      <w:r w:rsidR="00FA1B71">
        <w:rPr>
          <w:lang w:val="fr-FR"/>
        </w:rPr>
        <w:t> </w:t>
      </w:r>
      <w:r w:rsidRPr="001E009E">
        <w:rPr>
          <w:lang w:val="fr-FR"/>
        </w:rPr>
        <w:t>O.</w:t>
      </w:r>
      <w:r w:rsidR="00FA1B71">
        <w:rPr>
          <w:lang w:val="fr-FR"/>
        </w:rPr>
        <w:t> </w:t>
      </w:r>
      <w:r w:rsidRPr="001E009E">
        <w:rPr>
          <w:lang w:val="fr-FR"/>
        </w:rPr>
        <w:t>Kervella (voir aussi les paragraphes</w:t>
      </w:r>
      <w:r w:rsidR="00FA1B71">
        <w:rPr>
          <w:lang w:val="fr-FR"/>
        </w:rPr>
        <w:t> </w:t>
      </w:r>
      <w:r w:rsidRPr="001E009E">
        <w:rPr>
          <w:lang w:val="fr-FR"/>
        </w:rPr>
        <w:t xml:space="preserve">7 et 8 du présent rapport), le Sous-Comité </w:t>
      </w:r>
      <w:r>
        <w:rPr>
          <w:lang w:val="fr-FR"/>
        </w:rPr>
        <w:t xml:space="preserve">lui </w:t>
      </w:r>
      <w:r w:rsidRPr="001E009E">
        <w:rPr>
          <w:lang w:val="fr-FR"/>
        </w:rPr>
        <w:t>a exprimé sa profonde gratitude et sa profonde reconnaissance pour son travail</w:t>
      </w:r>
      <w:r>
        <w:rPr>
          <w:lang w:val="fr-FR"/>
        </w:rPr>
        <w:t xml:space="preserve"> et</w:t>
      </w:r>
      <w:r w:rsidRPr="001E009E">
        <w:rPr>
          <w:lang w:val="fr-FR"/>
        </w:rPr>
        <w:t xml:space="preserve"> son dévouement et </w:t>
      </w:r>
      <w:r>
        <w:rPr>
          <w:lang w:val="fr-FR"/>
        </w:rPr>
        <w:t>pour l</w:t>
      </w:r>
      <w:r w:rsidRPr="001E009E">
        <w:rPr>
          <w:lang w:val="fr-FR"/>
        </w:rPr>
        <w:t xml:space="preserve">es </w:t>
      </w:r>
      <w:r w:rsidR="00FA1B71">
        <w:rPr>
          <w:lang w:val="fr-FR"/>
        </w:rPr>
        <w:t>trente</w:t>
      </w:r>
      <w:r w:rsidR="00FA1B71">
        <w:rPr>
          <w:lang w:val="fr-FR"/>
        </w:rPr>
        <w:noBreakHyphen/>
        <w:t>cinq</w:t>
      </w:r>
      <w:r w:rsidRPr="001E009E">
        <w:rPr>
          <w:lang w:val="fr-FR"/>
        </w:rPr>
        <w:t xml:space="preserve"> années </w:t>
      </w:r>
      <w:r>
        <w:rPr>
          <w:lang w:val="fr-FR"/>
        </w:rPr>
        <w:t>passées au</w:t>
      </w:r>
      <w:r w:rsidRPr="001E009E">
        <w:rPr>
          <w:lang w:val="fr-FR"/>
        </w:rPr>
        <w:t xml:space="preserve"> service </w:t>
      </w:r>
      <w:r>
        <w:rPr>
          <w:lang w:val="fr-FR"/>
        </w:rPr>
        <w:t>de</w:t>
      </w:r>
      <w:r w:rsidRPr="001E009E">
        <w:rPr>
          <w:lang w:val="fr-FR"/>
        </w:rPr>
        <w:t xml:space="preserve"> l</w:t>
      </w:r>
      <w:r>
        <w:rPr>
          <w:lang w:val="fr-FR"/>
        </w:rPr>
        <w:t>’</w:t>
      </w:r>
      <w:r w:rsidRPr="001E009E">
        <w:rPr>
          <w:lang w:val="fr-FR"/>
        </w:rPr>
        <w:t>Organisation des Nations Unies sur les questions relatives au transport des marchandises dangereuses et à la gestion des produits chimiques, la plupart du temps en tant que secrétaire du Sous-Comité et de son Comité parent. Le Sous-Comité a estimé que ses vastes connaissances dans ces domaines lui manqueraient beaucoup et lui a souhaité plein succès dans ses nouvelles entreprises</w:t>
      </w:r>
      <w:r w:rsidRPr="00DE4FBC">
        <w:rPr>
          <w:lang w:val="fr-FR"/>
        </w:rPr>
        <w:t xml:space="preserve">. </w:t>
      </w:r>
    </w:p>
    <w:p w:rsidR="00E30E39" w:rsidRPr="00DE4FBC" w:rsidRDefault="00E30E39" w:rsidP="00C60C0C">
      <w:pPr>
        <w:pStyle w:val="SingleTxtG"/>
        <w:keepLines/>
        <w:rPr>
          <w:lang w:val="fr-FR"/>
        </w:rPr>
      </w:pPr>
      <w:r w:rsidRPr="00DE4FBC">
        <w:rPr>
          <w:lang w:val="fr-FR"/>
        </w:rPr>
        <w:t>102.</w:t>
      </w:r>
      <w:r w:rsidRPr="00DE4FBC">
        <w:rPr>
          <w:lang w:val="fr-FR"/>
        </w:rPr>
        <w:tab/>
      </w:r>
      <w:r w:rsidRPr="001E009E">
        <w:rPr>
          <w:lang w:val="fr-FR"/>
        </w:rPr>
        <w:t>Le Sous-Comité a également été informé que M.</w:t>
      </w:r>
      <w:r w:rsidR="00FA1B71">
        <w:rPr>
          <w:lang w:val="fr-FR"/>
        </w:rPr>
        <w:t> </w:t>
      </w:r>
      <w:r w:rsidRPr="001E009E">
        <w:rPr>
          <w:lang w:val="fr-FR"/>
        </w:rPr>
        <w:t>J.</w:t>
      </w:r>
      <w:r w:rsidR="00FA1B71">
        <w:rPr>
          <w:lang w:val="fr-FR"/>
        </w:rPr>
        <w:t> </w:t>
      </w:r>
      <w:r w:rsidRPr="001E009E">
        <w:rPr>
          <w:lang w:val="fr-FR"/>
        </w:rPr>
        <w:t>Mairs (Royaume-Uni) et M</w:t>
      </w:r>
      <w:r w:rsidRPr="001E009E">
        <w:rPr>
          <w:vertAlign w:val="superscript"/>
          <w:lang w:val="fr-FR"/>
        </w:rPr>
        <w:t>me</w:t>
      </w:r>
      <w:r>
        <w:rPr>
          <w:lang w:val="fr-FR"/>
        </w:rPr>
        <w:t> </w:t>
      </w:r>
      <w:r w:rsidRPr="001E009E">
        <w:rPr>
          <w:lang w:val="fr-FR"/>
        </w:rPr>
        <w:t>T.</w:t>
      </w:r>
      <w:r>
        <w:rPr>
          <w:lang w:val="fr-FR"/>
        </w:rPr>
        <w:t> </w:t>
      </w:r>
      <w:r w:rsidRPr="001E009E">
        <w:rPr>
          <w:lang w:val="fr-FR"/>
        </w:rPr>
        <w:t>J.</w:t>
      </w:r>
      <w:r>
        <w:rPr>
          <w:lang w:val="fr-FR"/>
        </w:rPr>
        <w:t> </w:t>
      </w:r>
      <w:r w:rsidRPr="001E009E">
        <w:rPr>
          <w:lang w:val="fr-FR"/>
        </w:rPr>
        <w:t>Ness (Norvège) assistaient pour la dernière fois à une session du Sous-Comité. Le</w:t>
      </w:r>
      <w:r w:rsidR="00FA1B71">
        <w:rPr>
          <w:lang w:val="fr-FR"/>
        </w:rPr>
        <w:t> </w:t>
      </w:r>
      <w:r w:rsidRPr="001E009E">
        <w:rPr>
          <w:lang w:val="fr-FR"/>
        </w:rPr>
        <w:t>Sous-</w:t>
      </w:r>
      <w:r>
        <w:rPr>
          <w:lang w:val="fr-FR"/>
        </w:rPr>
        <w:t>C</w:t>
      </w:r>
      <w:r w:rsidRPr="001E009E">
        <w:rPr>
          <w:lang w:val="fr-FR"/>
        </w:rPr>
        <w:t>omité a souhaité à M.</w:t>
      </w:r>
      <w:r w:rsidR="00FA1B71">
        <w:rPr>
          <w:lang w:val="fr-FR"/>
        </w:rPr>
        <w:t> </w:t>
      </w:r>
      <w:r w:rsidRPr="001E009E">
        <w:rPr>
          <w:lang w:val="fr-FR"/>
        </w:rPr>
        <w:t>J.</w:t>
      </w:r>
      <w:r w:rsidR="00FA1B71">
        <w:rPr>
          <w:lang w:val="fr-FR"/>
        </w:rPr>
        <w:t> </w:t>
      </w:r>
      <w:r w:rsidRPr="001E009E">
        <w:rPr>
          <w:lang w:val="fr-FR"/>
        </w:rPr>
        <w:t>Mairs une longue et heureuse retraite</w:t>
      </w:r>
      <w:r>
        <w:rPr>
          <w:lang w:val="fr-FR"/>
        </w:rPr>
        <w:t>,</w:t>
      </w:r>
      <w:r w:rsidRPr="001E009E">
        <w:rPr>
          <w:lang w:val="fr-FR"/>
        </w:rPr>
        <w:t xml:space="preserve"> et à M</w:t>
      </w:r>
      <w:r w:rsidRPr="001E009E">
        <w:rPr>
          <w:vertAlign w:val="superscript"/>
          <w:lang w:val="fr-FR"/>
        </w:rPr>
        <w:t>me</w:t>
      </w:r>
      <w:r>
        <w:rPr>
          <w:lang w:val="fr-FR"/>
        </w:rPr>
        <w:t> </w:t>
      </w:r>
      <w:r w:rsidRPr="001E009E">
        <w:rPr>
          <w:lang w:val="fr-FR"/>
        </w:rPr>
        <w:t>T.</w:t>
      </w:r>
      <w:r>
        <w:rPr>
          <w:lang w:val="fr-FR"/>
        </w:rPr>
        <w:t> </w:t>
      </w:r>
      <w:r w:rsidRPr="001E009E">
        <w:rPr>
          <w:lang w:val="fr-FR"/>
        </w:rPr>
        <w:t>J.</w:t>
      </w:r>
      <w:r>
        <w:rPr>
          <w:lang w:val="fr-FR"/>
        </w:rPr>
        <w:t> </w:t>
      </w:r>
      <w:r w:rsidRPr="001E009E">
        <w:rPr>
          <w:lang w:val="fr-FR"/>
        </w:rPr>
        <w:t>Ness tout le succès possible dans ses entreprises futures</w:t>
      </w:r>
      <w:r w:rsidRPr="00DE4FBC">
        <w:rPr>
          <w:lang w:val="fr-FR"/>
        </w:rPr>
        <w:t>.</w:t>
      </w:r>
    </w:p>
    <w:p w:rsidR="00E30E39" w:rsidRPr="00DE4FBC" w:rsidRDefault="00E30E39" w:rsidP="00FA1B71">
      <w:pPr>
        <w:pStyle w:val="HChG"/>
        <w:rPr>
          <w:lang w:val="fr-FR"/>
        </w:rPr>
      </w:pPr>
      <w:r w:rsidRPr="00DE4FBC">
        <w:rPr>
          <w:lang w:val="fr-FR"/>
        </w:rPr>
        <w:tab/>
        <w:t>XIV.</w:t>
      </w:r>
      <w:r w:rsidRPr="00DE4FBC">
        <w:rPr>
          <w:lang w:val="fr-FR"/>
        </w:rPr>
        <w:tab/>
      </w:r>
      <w:r w:rsidRPr="003F611B">
        <w:rPr>
          <w:lang w:val="fr-FR"/>
        </w:rPr>
        <w:t>Adoption du rapport (point 12 de l</w:t>
      </w:r>
      <w:r>
        <w:rPr>
          <w:lang w:val="fr-FR"/>
        </w:rPr>
        <w:t>’</w:t>
      </w:r>
      <w:r w:rsidRPr="003F611B">
        <w:rPr>
          <w:lang w:val="fr-FR"/>
        </w:rPr>
        <w:t>ordre du jour</w:t>
      </w:r>
      <w:r w:rsidRPr="00DE4FBC">
        <w:rPr>
          <w:lang w:val="fr-FR"/>
        </w:rPr>
        <w:t>)</w:t>
      </w:r>
    </w:p>
    <w:p w:rsidR="00E30E39" w:rsidRDefault="00E30E39" w:rsidP="00FA1B71">
      <w:pPr>
        <w:pStyle w:val="SingleTxtG"/>
        <w:rPr>
          <w:lang w:val="fr-FR"/>
        </w:rPr>
      </w:pPr>
      <w:r w:rsidRPr="00DE4FBC">
        <w:rPr>
          <w:lang w:val="fr-FR"/>
        </w:rPr>
        <w:t>103.</w:t>
      </w:r>
      <w:r w:rsidRPr="00DE4FBC">
        <w:rPr>
          <w:lang w:val="fr-FR"/>
        </w:rPr>
        <w:tab/>
      </w:r>
      <w:r w:rsidRPr="003F611B">
        <w:rPr>
          <w:lang w:val="fr-FR"/>
        </w:rPr>
        <w:t xml:space="preserve">Le Sous-Comité a adopté le rapport de sa cinquante-deuxième session </w:t>
      </w:r>
      <w:r>
        <w:rPr>
          <w:lang w:val="fr-FR"/>
        </w:rPr>
        <w:t>ainsi que</w:t>
      </w:r>
      <w:r w:rsidRPr="003F611B">
        <w:rPr>
          <w:lang w:val="fr-FR"/>
        </w:rPr>
        <w:t xml:space="preserve"> </w:t>
      </w:r>
      <w:r>
        <w:rPr>
          <w:lang w:val="fr-FR"/>
        </w:rPr>
        <w:t>s</w:t>
      </w:r>
      <w:r w:rsidRPr="003F611B">
        <w:rPr>
          <w:lang w:val="fr-FR"/>
        </w:rPr>
        <w:t>es annexes en se fondant sur un projet établi par le secrétariat</w:t>
      </w:r>
      <w:r w:rsidRPr="00DE4FBC">
        <w:rPr>
          <w:lang w:val="fr-FR"/>
        </w:rPr>
        <w:t>.</w:t>
      </w:r>
    </w:p>
    <w:p w:rsidR="00FA1B71" w:rsidRPr="00FA1B71" w:rsidRDefault="00FA1B71" w:rsidP="00FA1B7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A1B71" w:rsidRPr="00FA1B71" w:rsidSect="009810B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3CE" w:rsidRDefault="00A943CE" w:rsidP="00F95C08">
      <w:pPr>
        <w:spacing w:line="240" w:lineRule="auto"/>
      </w:pPr>
    </w:p>
  </w:endnote>
  <w:endnote w:type="continuationSeparator" w:id="0">
    <w:p w:rsidR="00A943CE" w:rsidRPr="00AC3823" w:rsidRDefault="00A943CE" w:rsidP="00AC3823">
      <w:pPr>
        <w:pStyle w:val="Footer"/>
      </w:pPr>
    </w:p>
  </w:endnote>
  <w:endnote w:type="continuationNotice" w:id="1">
    <w:p w:rsidR="00A943CE" w:rsidRDefault="00A943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CE" w:rsidRPr="00E30E39" w:rsidRDefault="00A943CE" w:rsidP="00E30E39">
    <w:pPr>
      <w:pStyle w:val="Footer"/>
      <w:tabs>
        <w:tab w:val="right" w:pos="9638"/>
      </w:tabs>
    </w:pPr>
    <w:r w:rsidRPr="00E30E39">
      <w:rPr>
        <w:b/>
        <w:sz w:val="18"/>
      </w:rPr>
      <w:fldChar w:fldCharType="begin"/>
    </w:r>
    <w:r w:rsidRPr="00E30E39">
      <w:rPr>
        <w:b/>
        <w:sz w:val="18"/>
      </w:rPr>
      <w:instrText xml:space="preserve"> PAGE  \* MERGEFORMAT </w:instrText>
    </w:r>
    <w:r w:rsidRPr="00E30E39">
      <w:rPr>
        <w:b/>
        <w:sz w:val="18"/>
      </w:rPr>
      <w:fldChar w:fldCharType="separate"/>
    </w:r>
    <w:r w:rsidR="00CB2C85">
      <w:rPr>
        <w:b/>
        <w:noProof/>
        <w:sz w:val="18"/>
      </w:rPr>
      <w:t>2</w:t>
    </w:r>
    <w:r w:rsidRPr="00E30E39">
      <w:rPr>
        <w:b/>
        <w:sz w:val="18"/>
      </w:rPr>
      <w:fldChar w:fldCharType="end"/>
    </w:r>
    <w:r>
      <w:rPr>
        <w:b/>
        <w:sz w:val="18"/>
      </w:rPr>
      <w:tab/>
    </w:r>
    <w:r>
      <w:t>GE.18-00600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CE" w:rsidRPr="00E30E39" w:rsidRDefault="00A943CE" w:rsidP="00E30E39">
    <w:pPr>
      <w:pStyle w:val="Footer"/>
      <w:tabs>
        <w:tab w:val="right" w:pos="9638"/>
      </w:tabs>
      <w:rPr>
        <w:b/>
        <w:sz w:val="18"/>
      </w:rPr>
    </w:pPr>
    <w:r>
      <w:t>GE.18-00600</w:t>
    </w:r>
    <w:r>
      <w:tab/>
    </w:r>
    <w:r w:rsidRPr="00E30E39">
      <w:rPr>
        <w:b/>
        <w:sz w:val="18"/>
      </w:rPr>
      <w:fldChar w:fldCharType="begin"/>
    </w:r>
    <w:r w:rsidRPr="00E30E39">
      <w:rPr>
        <w:b/>
        <w:sz w:val="18"/>
      </w:rPr>
      <w:instrText xml:space="preserve"> PAGE  \* MERGEFORMAT </w:instrText>
    </w:r>
    <w:r w:rsidRPr="00E30E39">
      <w:rPr>
        <w:b/>
        <w:sz w:val="18"/>
      </w:rPr>
      <w:fldChar w:fldCharType="separate"/>
    </w:r>
    <w:r w:rsidR="00CB2C85">
      <w:rPr>
        <w:b/>
        <w:noProof/>
        <w:sz w:val="18"/>
      </w:rPr>
      <w:t>21</w:t>
    </w:r>
    <w:r w:rsidRPr="00E30E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CE" w:rsidRPr="00E30E39" w:rsidRDefault="00A943CE" w:rsidP="00E30E39">
    <w:pPr>
      <w:pStyle w:val="Footer"/>
      <w:spacing w:before="120"/>
      <w:rPr>
        <w:sz w:val="20"/>
      </w:rPr>
    </w:pPr>
    <w:r>
      <w:rPr>
        <w:sz w:val="20"/>
      </w:rPr>
      <w:t>GE.</w:t>
    </w:r>
    <w:r>
      <w:rPr>
        <w:noProof/>
        <w:lang w:eastAsia="fr-CH"/>
      </w:rPr>
      <w:drawing>
        <wp:anchor distT="0" distB="0" distL="114300" distR="114300" simplePos="0" relativeHeight="25166336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18-00600  (F)    060318    070318</w:t>
    </w:r>
    <w:r>
      <w:rPr>
        <w:sz w:val="20"/>
      </w:rPr>
      <w:br/>
    </w:r>
    <w:r w:rsidRPr="00E30E39">
      <w:rPr>
        <w:rFonts w:ascii="C39T30Lfz" w:hAnsi="C39T30Lfz"/>
        <w:sz w:val="56"/>
      </w:rPr>
      <w:t></w:t>
    </w:r>
    <w:r w:rsidRPr="00E30E39">
      <w:rPr>
        <w:rFonts w:ascii="C39T30Lfz" w:hAnsi="C39T30Lfz"/>
        <w:sz w:val="56"/>
      </w:rPr>
      <w:t></w:t>
    </w:r>
    <w:r w:rsidRPr="00E30E39">
      <w:rPr>
        <w:rFonts w:ascii="C39T30Lfz" w:hAnsi="C39T30Lfz"/>
        <w:sz w:val="56"/>
      </w:rPr>
      <w:t></w:t>
    </w:r>
    <w:r w:rsidRPr="00E30E39">
      <w:rPr>
        <w:rFonts w:ascii="C39T30Lfz" w:hAnsi="C39T30Lfz"/>
        <w:sz w:val="56"/>
      </w:rPr>
      <w:t></w:t>
    </w:r>
    <w:r w:rsidRPr="00E30E39">
      <w:rPr>
        <w:rFonts w:ascii="C39T30Lfz" w:hAnsi="C39T30Lfz"/>
        <w:sz w:val="56"/>
      </w:rPr>
      <w:t></w:t>
    </w:r>
    <w:r w:rsidRPr="00E30E39">
      <w:rPr>
        <w:rFonts w:ascii="C39T30Lfz" w:hAnsi="C39T30Lfz"/>
        <w:sz w:val="56"/>
      </w:rPr>
      <w:t></w:t>
    </w:r>
    <w:r w:rsidRPr="00E30E39">
      <w:rPr>
        <w:rFonts w:ascii="C39T30Lfz" w:hAnsi="C39T30Lfz"/>
        <w:sz w:val="56"/>
      </w:rPr>
      <w:t></w:t>
    </w:r>
    <w:r w:rsidRPr="00E30E39">
      <w:rPr>
        <w:rFonts w:ascii="C39T30Lfz" w:hAnsi="C39T30Lfz"/>
        <w:sz w:val="56"/>
      </w:rPr>
      <w:t></w:t>
    </w:r>
    <w:r w:rsidRPr="00E30E39">
      <w:rPr>
        <w:rFonts w:ascii="C39T30Lfz" w:hAnsi="C39T30Lfz"/>
        <w:sz w:val="56"/>
      </w:rPr>
      <w:t></w:t>
    </w:r>
    <w:r>
      <w:rPr>
        <w:noProof/>
        <w:sz w:val="20"/>
        <w:lang w:eastAsia="fr-CH"/>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1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1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3CE" w:rsidRPr="00AC3823" w:rsidRDefault="00A943CE" w:rsidP="00AC3823">
      <w:pPr>
        <w:pStyle w:val="Footer"/>
        <w:tabs>
          <w:tab w:val="right" w:pos="2155"/>
        </w:tabs>
        <w:spacing w:after="80" w:line="240" w:lineRule="atLeast"/>
        <w:ind w:left="680"/>
        <w:rPr>
          <w:u w:val="single"/>
        </w:rPr>
      </w:pPr>
      <w:r>
        <w:rPr>
          <w:u w:val="single"/>
        </w:rPr>
        <w:tab/>
      </w:r>
    </w:p>
  </w:footnote>
  <w:footnote w:type="continuationSeparator" w:id="0">
    <w:p w:rsidR="00A943CE" w:rsidRPr="00AC3823" w:rsidRDefault="00A943CE" w:rsidP="00AC3823">
      <w:pPr>
        <w:pStyle w:val="Footer"/>
        <w:tabs>
          <w:tab w:val="right" w:pos="2155"/>
        </w:tabs>
        <w:spacing w:after="80" w:line="240" w:lineRule="atLeast"/>
        <w:ind w:left="680"/>
        <w:rPr>
          <w:u w:val="single"/>
        </w:rPr>
      </w:pPr>
      <w:r>
        <w:rPr>
          <w:u w:val="single"/>
        </w:rPr>
        <w:tab/>
      </w:r>
    </w:p>
  </w:footnote>
  <w:footnote w:type="continuationNotice" w:id="1">
    <w:p w:rsidR="00A943CE" w:rsidRPr="00AC3823" w:rsidRDefault="00A943CE">
      <w:pPr>
        <w:spacing w:line="240" w:lineRule="auto"/>
        <w:rPr>
          <w:sz w:val="2"/>
          <w:szCs w:val="2"/>
        </w:rPr>
      </w:pPr>
    </w:p>
  </w:footnote>
  <w:footnote w:id="2">
    <w:p w:rsidR="00A943CE" w:rsidRPr="003A61EB" w:rsidRDefault="00A943CE" w:rsidP="00242C8A">
      <w:pPr>
        <w:pStyle w:val="FootnoteText"/>
      </w:pPr>
      <w:r>
        <w:rPr>
          <w:rStyle w:val="FootnoteReference"/>
        </w:rPr>
        <w:tab/>
      </w:r>
      <w:r w:rsidRPr="003A61EB">
        <w:rPr>
          <w:rStyle w:val="FootnoteReference"/>
          <w:sz w:val="20"/>
          <w:vertAlign w:val="baseline"/>
        </w:rPr>
        <w:t>*</w:t>
      </w:r>
      <w:r>
        <w:rPr>
          <w:rStyle w:val="FootnoteReference"/>
          <w:sz w:val="20"/>
          <w:vertAlign w:val="baseline"/>
        </w:rPr>
        <w:tab/>
      </w:r>
      <w:r w:rsidRPr="00C149AD">
        <w:t xml:space="preserve">Pour des raisons pratiques, cette annexe est publiée sous forme d’additif au présent rapport </w:t>
      </w:r>
      <w:r>
        <w:t>(ST/SG/AC.10/C.3/104/Add.1).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CE" w:rsidRPr="00E30E39" w:rsidRDefault="00411DD9">
    <w:pPr>
      <w:pStyle w:val="Header"/>
    </w:pPr>
    <w:fldSimple w:instr=" TITLE  \* MERGEFORMAT ">
      <w:r w:rsidR="00CB2C85">
        <w:t>ST/SG/AC.10/C.3/104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CE" w:rsidRPr="00E30E39" w:rsidRDefault="00411DD9" w:rsidP="00E30E39">
    <w:pPr>
      <w:pStyle w:val="Header"/>
      <w:jc w:val="right"/>
    </w:pPr>
    <w:fldSimple w:instr=" TITLE  \* MERGEFORMAT ">
      <w:r w:rsidR="00CB2C85">
        <w:t>ST/SG/AC.10/C.3/104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7F"/>
    <w:rsid w:val="000100EE"/>
    <w:rsid w:val="00017F94"/>
    <w:rsid w:val="00023842"/>
    <w:rsid w:val="000305D3"/>
    <w:rsid w:val="000334F9"/>
    <w:rsid w:val="0007796D"/>
    <w:rsid w:val="000B7790"/>
    <w:rsid w:val="000E3716"/>
    <w:rsid w:val="00111F2F"/>
    <w:rsid w:val="00132EA9"/>
    <w:rsid w:val="0014365E"/>
    <w:rsid w:val="001678E3"/>
    <w:rsid w:val="00176178"/>
    <w:rsid w:val="001F525A"/>
    <w:rsid w:val="00223272"/>
    <w:rsid w:val="00242C8A"/>
    <w:rsid w:val="0024779E"/>
    <w:rsid w:val="00283190"/>
    <w:rsid w:val="002832AC"/>
    <w:rsid w:val="00294EC9"/>
    <w:rsid w:val="002D7C93"/>
    <w:rsid w:val="002E7584"/>
    <w:rsid w:val="002F3854"/>
    <w:rsid w:val="003A61EB"/>
    <w:rsid w:val="00411DD9"/>
    <w:rsid w:val="00441C3B"/>
    <w:rsid w:val="00446FE5"/>
    <w:rsid w:val="00452396"/>
    <w:rsid w:val="004E468C"/>
    <w:rsid w:val="004F3948"/>
    <w:rsid w:val="0050376B"/>
    <w:rsid w:val="005505B7"/>
    <w:rsid w:val="00556F77"/>
    <w:rsid w:val="00573BE5"/>
    <w:rsid w:val="00584DC4"/>
    <w:rsid w:val="00586ED3"/>
    <w:rsid w:val="00596AA9"/>
    <w:rsid w:val="005D0100"/>
    <w:rsid w:val="005E4BE3"/>
    <w:rsid w:val="0068456F"/>
    <w:rsid w:val="0071601D"/>
    <w:rsid w:val="007A62E6"/>
    <w:rsid w:val="007C6B0C"/>
    <w:rsid w:val="0080684C"/>
    <w:rsid w:val="00871C75"/>
    <w:rsid w:val="00872C2A"/>
    <w:rsid w:val="008776DC"/>
    <w:rsid w:val="008B40CD"/>
    <w:rsid w:val="009705C8"/>
    <w:rsid w:val="009810BC"/>
    <w:rsid w:val="009C1CF4"/>
    <w:rsid w:val="00A30353"/>
    <w:rsid w:val="00A943CE"/>
    <w:rsid w:val="00AC3823"/>
    <w:rsid w:val="00AE323C"/>
    <w:rsid w:val="00B00181"/>
    <w:rsid w:val="00B00B0D"/>
    <w:rsid w:val="00B765F7"/>
    <w:rsid w:val="00B916C5"/>
    <w:rsid w:val="00BA0CA9"/>
    <w:rsid w:val="00BD5D7F"/>
    <w:rsid w:val="00C013B0"/>
    <w:rsid w:val="00C02897"/>
    <w:rsid w:val="00C14569"/>
    <w:rsid w:val="00C60C0C"/>
    <w:rsid w:val="00C849C6"/>
    <w:rsid w:val="00CB2C85"/>
    <w:rsid w:val="00CD1DD3"/>
    <w:rsid w:val="00D20301"/>
    <w:rsid w:val="00D3439C"/>
    <w:rsid w:val="00DB1831"/>
    <w:rsid w:val="00DD3BFD"/>
    <w:rsid w:val="00DF1EB2"/>
    <w:rsid w:val="00DF6678"/>
    <w:rsid w:val="00E171F9"/>
    <w:rsid w:val="00E30E39"/>
    <w:rsid w:val="00EE5C21"/>
    <w:rsid w:val="00EE6150"/>
    <w:rsid w:val="00EF2E22"/>
    <w:rsid w:val="00F01738"/>
    <w:rsid w:val="00F660DF"/>
    <w:rsid w:val="00F730C8"/>
    <w:rsid w:val="00F95C08"/>
    <w:rsid w:val="00FA1B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5DC8B1-C0E2-46C8-81EF-0E25B21F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
      </w:numPr>
      <w:spacing w:after="120"/>
      <w:ind w:right="1134"/>
      <w:jc w:val="both"/>
    </w:pPr>
  </w:style>
  <w:style w:type="paragraph" w:customStyle="1" w:styleId="Bullet2G">
    <w:name w:val="_Bullet 2_G"/>
    <w:basedOn w:val="Normal"/>
    <w:qFormat/>
    <w:rsid w:val="00584DC4"/>
    <w:pPr>
      <w:numPr>
        <w:numId w:val="2"/>
      </w:numPr>
      <w:spacing w:after="120"/>
      <w:ind w:right="1134"/>
      <w:jc w:val="both"/>
    </w:pPr>
  </w:style>
  <w:style w:type="paragraph" w:customStyle="1" w:styleId="ParNoG">
    <w:name w:val="_ParNo_G"/>
    <w:basedOn w:val="Normal"/>
    <w:qFormat/>
    <w:rsid w:val="00584DC4"/>
    <w:pPr>
      <w:numPr>
        <w:numId w:val="3"/>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ZchnZchn">
    <w:name w:val="_ Single Txt_G Zchn Zchn"/>
    <w:rsid w:val="00E30E39"/>
    <w:rPr>
      <w:lang w:val="en-GB" w:eastAsia="en-US" w:bidi="ar-SA"/>
    </w:rPr>
  </w:style>
  <w:style w:type="table" w:styleId="Table3Deffects1">
    <w:name w:val="Table 3D effects 1"/>
    <w:basedOn w:val="TableNormal"/>
    <w:rsid w:val="00E30E39"/>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30E39"/>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30E39"/>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30E39"/>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30E39"/>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30E39"/>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30E3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30E39"/>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30E3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30E39"/>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30E39"/>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30E39"/>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30E39"/>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30E39"/>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30E39"/>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30E3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30E39"/>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30E3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30E3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30E3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30E39"/>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30E39"/>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30E39"/>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30E3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30E39"/>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30E39"/>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30E39"/>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E30E39"/>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8431</Words>
  <Characters>48062</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ST/SG/AC.10/C.3/104</vt:lpstr>
      <vt:lpstr>ST/SG/AC.10/C.3/104</vt:lpstr>
    </vt:vector>
  </TitlesOfParts>
  <Company>DCM</Company>
  <LinksUpToDate>false</LinksUpToDate>
  <CharactersWithSpaces>56381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ST/SG/AC.10/C.3/104</dc:title>
  <dc:subject/>
  <dc:creator>Christine  CHAUTAGNAT</dc:creator>
  <cp:keywords/>
  <cp:lastModifiedBy>Laurence Berthet</cp:lastModifiedBy>
  <cp:revision>3</cp:revision>
  <cp:lastPrinted>2018-03-08T08:24:00Z</cp:lastPrinted>
  <dcterms:created xsi:type="dcterms:W3CDTF">2018-03-08T08:24:00Z</dcterms:created>
  <dcterms:modified xsi:type="dcterms:W3CDTF">2018-03-08T08:24:00Z</dcterms:modified>
</cp:coreProperties>
</file>