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CB8EFBE" w14:textId="77777777" w:rsidTr="009E6CB7">
        <w:trPr>
          <w:cantSplit/>
          <w:trHeight w:hRule="exact" w:val="851"/>
        </w:trPr>
        <w:tc>
          <w:tcPr>
            <w:tcW w:w="1276" w:type="dxa"/>
            <w:tcBorders>
              <w:bottom w:val="single" w:sz="4" w:space="0" w:color="auto"/>
            </w:tcBorders>
            <w:vAlign w:val="bottom"/>
          </w:tcPr>
          <w:p w14:paraId="43284BA2" w14:textId="77777777" w:rsidR="009E6CB7" w:rsidRDefault="009E6CB7" w:rsidP="009E6CB7">
            <w:pPr>
              <w:spacing w:after="80"/>
            </w:pPr>
          </w:p>
        </w:tc>
        <w:tc>
          <w:tcPr>
            <w:tcW w:w="2268" w:type="dxa"/>
            <w:tcBorders>
              <w:bottom w:val="single" w:sz="4" w:space="0" w:color="auto"/>
            </w:tcBorders>
            <w:vAlign w:val="bottom"/>
          </w:tcPr>
          <w:p w14:paraId="7BEA5379"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91500D" w14:textId="77777777" w:rsidR="009E6CB7" w:rsidRPr="00D47EEA" w:rsidRDefault="0063461B" w:rsidP="007E043A">
            <w:pPr>
              <w:jc w:val="right"/>
            </w:pPr>
            <w:r w:rsidRPr="0063461B">
              <w:rPr>
                <w:sz w:val="40"/>
              </w:rPr>
              <w:t>ST</w:t>
            </w:r>
            <w:r w:rsidR="00527E4B">
              <w:t>/</w:t>
            </w:r>
            <w:r>
              <w:t>SG/AC.10/C.3/</w:t>
            </w:r>
            <w:r w:rsidR="00C47F13">
              <w:t>10</w:t>
            </w:r>
            <w:r w:rsidR="007E043A">
              <w:t>4</w:t>
            </w:r>
          </w:p>
        </w:tc>
      </w:tr>
      <w:tr w:rsidR="009E6CB7" w14:paraId="1F78790E" w14:textId="77777777" w:rsidTr="009E6CB7">
        <w:trPr>
          <w:cantSplit/>
          <w:trHeight w:hRule="exact" w:val="2835"/>
        </w:trPr>
        <w:tc>
          <w:tcPr>
            <w:tcW w:w="1276" w:type="dxa"/>
            <w:tcBorders>
              <w:top w:val="single" w:sz="4" w:space="0" w:color="auto"/>
              <w:bottom w:val="single" w:sz="12" w:space="0" w:color="auto"/>
            </w:tcBorders>
          </w:tcPr>
          <w:p w14:paraId="6DD230E0" w14:textId="77777777" w:rsidR="009E6CB7" w:rsidRDefault="00C82CF0" w:rsidP="009E6CB7">
            <w:pPr>
              <w:spacing w:before="120"/>
            </w:pPr>
            <w:r>
              <w:rPr>
                <w:noProof/>
                <w:lang w:eastAsia="en-GB"/>
              </w:rPr>
              <w:drawing>
                <wp:inline distT="0" distB="0" distL="0" distR="0" wp14:anchorId="76FE49E6" wp14:editId="1465FA1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A9EDF2" w14:textId="77777777" w:rsidR="009E6CB7" w:rsidRPr="00D773DF" w:rsidRDefault="008A7340" w:rsidP="009E6CB7">
            <w:pPr>
              <w:spacing w:before="120" w:line="420" w:lineRule="exact"/>
              <w:rPr>
                <w:sz w:val="40"/>
                <w:szCs w:val="40"/>
              </w:rPr>
            </w:pPr>
            <w:r>
              <w:rPr>
                <w:b/>
                <w:sz w:val="40"/>
                <w:szCs w:val="40"/>
              </w:rPr>
              <w:t>Secretariat</w:t>
            </w:r>
          </w:p>
        </w:tc>
        <w:tc>
          <w:tcPr>
            <w:tcW w:w="2835" w:type="dxa"/>
            <w:tcBorders>
              <w:top w:val="single" w:sz="4" w:space="0" w:color="auto"/>
              <w:bottom w:val="single" w:sz="12" w:space="0" w:color="auto"/>
            </w:tcBorders>
          </w:tcPr>
          <w:p w14:paraId="191A3E66" w14:textId="77777777" w:rsidR="0063461B" w:rsidRDefault="0063461B" w:rsidP="0063461B">
            <w:pPr>
              <w:spacing w:before="240" w:line="240" w:lineRule="exact"/>
            </w:pPr>
            <w:r>
              <w:t>Distr.: General</w:t>
            </w:r>
          </w:p>
          <w:p w14:paraId="1ED88E99" w14:textId="6FDE0197" w:rsidR="0063461B" w:rsidRDefault="00846B01" w:rsidP="00F245A8">
            <w:pPr>
              <w:spacing w:line="240" w:lineRule="exact"/>
            </w:pPr>
            <w:r>
              <w:t>15</w:t>
            </w:r>
            <w:r w:rsidR="005A08C1">
              <w:t xml:space="preserve"> </w:t>
            </w:r>
            <w:r w:rsidR="00BC5968">
              <w:t>January 2018</w:t>
            </w:r>
          </w:p>
          <w:p w14:paraId="74E33841" w14:textId="77777777" w:rsidR="00E400BD" w:rsidRDefault="00E400BD" w:rsidP="00D41DD3">
            <w:pPr>
              <w:spacing w:line="240" w:lineRule="exact"/>
            </w:pPr>
          </w:p>
          <w:p w14:paraId="4BF20A0D" w14:textId="77777777" w:rsidR="009E6CB7" w:rsidRDefault="0063461B" w:rsidP="00D41DD3">
            <w:pPr>
              <w:spacing w:line="240" w:lineRule="exact"/>
            </w:pPr>
            <w:r>
              <w:t>Original: English</w:t>
            </w:r>
            <w:r w:rsidR="00E400BD">
              <w:t xml:space="preserve"> </w:t>
            </w:r>
          </w:p>
        </w:tc>
      </w:tr>
    </w:tbl>
    <w:p w14:paraId="6BC8C9E0" w14:textId="77777777" w:rsidR="003133C5" w:rsidRPr="0004101D" w:rsidRDefault="003133C5" w:rsidP="003133C5">
      <w:pPr>
        <w:spacing w:before="120"/>
        <w:rPr>
          <w:b/>
          <w:sz w:val="24"/>
          <w:szCs w:val="24"/>
        </w:rPr>
      </w:pPr>
      <w:r w:rsidRPr="0004101D">
        <w:rPr>
          <w:b/>
          <w:sz w:val="24"/>
          <w:szCs w:val="24"/>
        </w:rPr>
        <w:t>Committee of Experts on the Transport of</w:t>
      </w:r>
      <w:r w:rsidR="0004101D">
        <w:rPr>
          <w:b/>
          <w:sz w:val="24"/>
          <w:szCs w:val="24"/>
        </w:rPr>
        <w:t xml:space="preserve"> </w:t>
      </w:r>
      <w:r w:rsidRPr="0004101D">
        <w:rPr>
          <w:b/>
          <w:sz w:val="24"/>
          <w:szCs w:val="24"/>
        </w:rPr>
        <w:t xml:space="preserve">Dangerous Goods </w:t>
      </w:r>
      <w:r w:rsidR="0004101D">
        <w:rPr>
          <w:b/>
          <w:sz w:val="24"/>
          <w:szCs w:val="24"/>
        </w:rPr>
        <w:br/>
      </w:r>
      <w:r w:rsidRPr="0004101D">
        <w:rPr>
          <w:b/>
          <w:sz w:val="24"/>
          <w:szCs w:val="24"/>
        </w:rPr>
        <w:t>and on the Globally</w:t>
      </w:r>
      <w:r w:rsidR="0004101D">
        <w:rPr>
          <w:b/>
          <w:sz w:val="24"/>
          <w:szCs w:val="24"/>
        </w:rPr>
        <w:t xml:space="preserve"> </w:t>
      </w:r>
      <w:r w:rsidRPr="0004101D">
        <w:rPr>
          <w:b/>
          <w:sz w:val="24"/>
          <w:szCs w:val="24"/>
        </w:rPr>
        <w:t xml:space="preserve">Harmonized System of Classification </w:t>
      </w:r>
      <w:r w:rsidR="0004101D">
        <w:rPr>
          <w:b/>
          <w:sz w:val="24"/>
          <w:szCs w:val="24"/>
        </w:rPr>
        <w:br/>
      </w:r>
      <w:r w:rsidRPr="0004101D">
        <w:rPr>
          <w:b/>
          <w:sz w:val="24"/>
          <w:szCs w:val="24"/>
        </w:rPr>
        <w:t>and</w:t>
      </w:r>
      <w:r w:rsidR="0004101D">
        <w:rPr>
          <w:b/>
          <w:sz w:val="24"/>
          <w:szCs w:val="24"/>
        </w:rPr>
        <w:t xml:space="preserve"> </w:t>
      </w:r>
      <w:r w:rsidRPr="0004101D">
        <w:rPr>
          <w:b/>
          <w:sz w:val="24"/>
          <w:szCs w:val="24"/>
        </w:rPr>
        <w:t>Labelling of Chemicals</w:t>
      </w:r>
    </w:p>
    <w:p w14:paraId="10F594A2" w14:textId="77777777" w:rsidR="003133C5" w:rsidRPr="0004101D" w:rsidRDefault="003133C5" w:rsidP="00880C45">
      <w:pPr>
        <w:tabs>
          <w:tab w:val="left" w:pos="0"/>
          <w:tab w:val="left" w:pos="6361"/>
          <w:tab w:val="left" w:pos="6939"/>
        </w:tabs>
        <w:spacing w:before="120"/>
        <w:outlineLvl w:val="0"/>
        <w:rPr>
          <w:b/>
        </w:rPr>
      </w:pPr>
      <w:r w:rsidRPr="0004101D">
        <w:rPr>
          <w:b/>
        </w:rPr>
        <w:t xml:space="preserve">Sub-Committee of Experts on the Transport of Dangerous Goods </w:t>
      </w:r>
    </w:p>
    <w:p w14:paraId="3853C0E0" w14:textId="77777777" w:rsidR="003133C5" w:rsidRPr="00E40772" w:rsidRDefault="003133C5" w:rsidP="00F245A8">
      <w:pPr>
        <w:pStyle w:val="HChG"/>
        <w:spacing w:before="240" w:after="120"/>
      </w:pPr>
      <w:r>
        <w:tab/>
      </w:r>
      <w:r>
        <w:tab/>
        <w:t xml:space="preserve">Report of the Sub-Committee of Experts on </w:t>
      </w:r>
      <w:r w:rsidR="00B54CC3">
        <w:t xml:space="preserve">the Transport of Dangerous Goods on </w:t>
      </w:r>
      <w:r>
        <w:t xml:space="preserve">its </w:t>
      </w:r>
      <w:r w:rsidR="007E043A">
        <w:t>fifty-second</w:t>
      </w:r>
      <w:r w:rsidR="00F245A8">
        <w:t xml:space="preserve"> </w:t>
      </w:r>
      <w:r>
        <w:t>session</w:t>
      </w:r>
    </w:p>
    <w:p w14:paraId="001B29CB" w14:textId="77777777" w:rsidR="003133C5" w:rsidRDefault="00837038" w:rsidP="00F43C0F">
      <w:pPr>
        <w:pStyle w:val="H23G"/>
        <w:spacing w:before="120" w:after="240"/>
        <w:rPr>
          <w:b w:val="0"/>
        </w:rPr>
      </w:pPr>
      <w:r>
        <w:tab/>
      </w:r>
      <w:r>
        <w:tab/>
      </w:r>
      <w:proofErr w:type="gramStart"/>
      <w:r w:rsidR="00F245A8">
        <w:rPr>
          <w:b w:val="0"/>
        </w:rPr>
        <w:t>h</w:t>
      </w:r>
      <w:r>
        <w:rPr>
          <w:b w:val="0"/>
        </w:rPr>
        <w:t>eld</w:t>
      </w:r>
      <w:proofErr w:type="gramEnd"/>
      <w:r>
        <w:rPr>
          <w:b w:val="0"/>
        </w:rPr>
        <w:t xml:space="preserve"> in Geneva from </w:t>
      </w:r>
      <w:r w:rsidR="00C47F13">
        <w:rPr>
          <w:b w:val="0"/>
        </w:rPr>
        <w:t>2</w:t>
      </w:r>
      <w:r w:rsidR="007E043A">
        <w:rPr>
          <w:b w:val="0"/>
        </w:rPr>
        <w:t>7</w:t>
      </w:r>
      <w:r w:rsidR="00F12C97">
        <w:rPr>
          <w:b w:val="0"/>
        </w:rPr>
        <w:t xml:space="preserve"> November to </w:t>
      </w:r>
      <w:r w:rsidR="00C47F13">
        <w:rPr>
          <w:b w:val="0"/>
        </w:rPr>
        <w:t>6</w:t>
      </w:r>
      <w:r w:rsidR="00F12C97">
        <w:rPr>
          <w:b w:val="0"/>
        </w:rPr>
        <w:t xml:space="preserve"> December</w:t>
      </w:r>
      <w:r w:rsidR="007E043A">
        <w:rPr>
          <w:b w:val="0"/>
        </w:rPr>
        <w:t xml:space="preserve"> 2017</w:t>
      </w:r>
    </w:p>
    <w:p w14:paraId="2D1F111C" w14:textId="77777777" w:rsidR="003133C5" w:rsidRPr="00BB7154" w:rsidRDefault="003133C5" w:rsidP="00840842">
      <w:pPr>
        <w:spacing w:line="200" w:lineRule="atLeast"/>
        <w:rPr>
          <w:sz w:val="28"/>
          <w:lang w:val="fr-CH"/>
        </w:rPr>
      </w:pPr>
      <w:r w:rsidRPr="00BB7154">
        <w:rPr>
          <w:sz w:val="28"/>
          <w:lang w:val="fr-CH"/>
        </w:rPr>
        <w:t>Contents</w:t>
      </w:r>
    </w:p>
    <w:p w14:paraId="1BE03A24" w14:textId="77777777" w:rsidR="003133C5" w:rsidRPr="00BB7154" w:rsidRDefault="003133C5" w:rsidP="003133C5">
      <w:pPr>
        <w:tabs>
          <w:tab w:val="right" w:pos="8929"/>
          <w:tab w:val="right" w:pos="9638"/>
        </w:tabs>
        <w:spacing w:after="120"/>
        <w:ind w:left="283"/>
        <w:rPr>
          <w:lang w:val="fr-CH"/>
        </w:rPr>
      </w:pPr>
      <w:r w:rsidRPr="00BB7154">
        <w:rPr>
          <w:i/>
          <w:sz w:val="18"/>
          <w:lang w:val="fr-CH"/>
        </w:rPr>
        <w:tab/>
      </w:r>
      <w:proofErr w:type="spellStart"/>
      <w:r w:rsidRPr="00BB7154">
        <w:rPr>
          <w:i/>
          <w:sz w:val="18"/>
          <w:lang w:val="fr-CH"/>
        </w:rPr>
        <w:t>Paragraphs</w:t>
      </w:r>
      <w:proofErr w:type="spellEnd"/>
      <w:r w:rsidRPr="00BB7154">
        <w:rPr>
          <w:i/>
          <w:sz w:val="18"/>
          <w:lang w:val="fr-CH"/>
        </w:rPr>
        <w:tab/>
        <w:t>Page</w:t>
      </w:r>
    </w:p>
    <w:p w14:paraId="04232636" w14:textId="1CE5D96C" w:rsidR="0007221F" w:rsidRPr="00BB7154" w:rsidRDefault="0007221F" w:rsidP="0007221F">
      <w:pPr>
        <w:tabs>
          <w:tab w:val="right" w:pos="850"/>
          <w:tab w:val="left" w:pos="1134"/>
          <w:tab w:val="left" w:pos="1559"/>
          <w:tab w:val="left" w:pos="1984"/>
          <w:tab w:val="left" w:leader="dot" w:pos="7654"/>
          <w:tab w:val="right" w:pos="8929"/>
          <w:tab w:val="right" w:pos="9638"/>
        </w:tabs>
        <w:spacing w:after="120"/>
        <w:rPr>
          <w:lang w:val="fr-CH"/>
        </w:rPr>
      </w:pPr>
      <w:r w:rsidRPr="00BB7154">
        <w:rPr>
          <w:lang w:val="fr-CH"/>
        </w:rPr>
        <w:tab/>
        <w:t>I.</w:t>
      </w:r>
      <w:r w:rsidRPr="00BB7154">
        <w:rPr>
          <w:lang w:val="fr-CH"/>
        </w:rPr>
        <w:tab/>
      </w:r>
      <w:proofErr w:type="spellStart"/>
      <w:r w:rsidRPr="00BB7154">
        <w:rPr>
          <w:lang w:val="fr-CH"/>
        </w:rPr>
        <w:t>Attendance</w:t>
      </w:r>
      <w:proofErr w:type="spellEnd"/>
      <w:r w:rsidRPr="00BB7154">
        <w:rPr>
          <w:lang w:val="fr-CH"/>
        </w:rPr>
        <w:tab/>
      </w:r>
      <w:r w:rsidRPr="00BB7154">
        <w:rPr>
          <w:lang w:val="fr-CH"/>
        </w:rPr>
        <w:tab/>
      </w:r>
      <w:r w:rsidR="0082087E">
        <w:rPr>
          <w:lang w:val="fr-CH"/>
        </w:rPr>
        <w:t>1-6</w:t>
      </w:r>
      <w:r w:rsidR="0082087E">
        <w:rPr>
          <w:lang w:val="fr-CH"/>
        </w:rPr>
        <w:tab/>
      </w:r>
      <w:r w:rsidR="00821D7F">
        <w:rPr>
          <w:lang w:val="fr-CH"/>
        </w:rPr>
        <w:t>5</w:t>
      </w:r>
    </w:p>
    <w:p w14:paraId="537DA2C2" w14:textId="38D2D3BC" w:rsidR="0007221F" w:rsidRPr="00C81B92" w:rsidRDefault="0007221F" w:rsidP="0007221F">
      <w:pPr>
        <w:tabs>
          <w:tab w:val="right" w:pos="850"/>
          <w:tab w:val="left" w:pos="1134"/>
          <w:tab w:val="left" w:pos="1559"/>
          <w:tab w:val="left" w:pos="1984"/>
          <w:tab w:val="left" w:leader="dot" w:pos="7654"/>
          <w:tab w:val="right" w:pos="8929"/>
          <w:tab w:val="right" w:pos="9638"/>
        </w:tabs>
        <w:spacing w:after="120"/>
      </w:pPr>
      <w:r w:rsidRPr="00BB7154">
        <w:rPr>
          <w:lang w:val="fr-CH"/>
        </w:rPr>
        <w:tab/>
      </w:r>
      <w:r w:rsidRPr="00C81B92">
        <w:t>II.</w:t>
      </w:r>
      <w:r w:rsidRPr="00C81B92">
        <w:tab/>
      </w:r>
      <w:r w:rsidR="0082087E">
        <w:t>Administrative matters</w:t>
      </w:r>
      <w:r w:rsidRPr="00C81B92">
        <w:tab/>
      </w:r>
      <w:r w:rsidRPr="00C81B92">
        <w:tab/>
      </w:r>
      <w:r w:rsidR="0082087E">
        <w:t>7-9</w:t>
      </w:r>
      <w:r w:rsidR="0082087E">
        <w:tab/>
      </w:r>
      <w:r w:rsidR="00821D7F">
        <w:t>5</w:t>
      </w:r>
    </w:p>
    <w:p w14:paraId="15D9CEB6" w14:textId="0B11A26D" w:rsidR="0007221F" w:rsidRDefault="0007221F" w:rsidP="0007221F">
      <w:pPr>
        <w:tabs>
          <w:tab w:val="right" w:pos="850"/>
          <w:tab w:val="left" w:pos="1134"/>
          <w:tab w:val="left" w:pos="1559"/>
          <w:tab w:val="left" w:pos="1984"/>
          <w:tab w:val="left" w:leader="dot" w:pos="7654"/>
          <w:tab w:val="right" w:pos="8929"/>
          <w:tab w:val="right" w:pos="9638"/>
        </w:tabs>
        <w:spacing w:after="120"/>
        <w:rPr>
          <w:bCs/>
        </w:rPr>
      </w:pPr>
      <w:r w:rsidRPr="00C81B92">
        <w:tab/>
        <w:t>III.</w:t>
      </w:r>
      <w:r w:rsidRPr="00C81B92">
        <w:tab/>
      </w:r>
      <w:r w:rsidR="0082087E">
        <w:t>Adoption of the agenda</w:t>
      </w:r>
      <w:r w:rsidR="00087D93">
        <w:t xml:space="preserve"> </w:t>
      </w:r>
      <w:r w:rsidRPr="006A0A81">
        <w:t xml:space="preserve">(agenda item </w:t>
      </w:r>
      <w:r w:rsidR="0082087E">
        <w:t>1</w:t>
      </w:r>
      <w:r w:rsidRPr="006A0A81">
        <w:t>)</w:t>
      </w:r>
      <w:r w:rsidRPr="00C81B92">
        <w:rPr>
          <w:bCs/>
        </w:rPr>
        <w:tab/>
      </w:r>
      <w:r w:rsidRPr="00C81B92">
        <w:rPr>
          <w:bCs/>
        </w:rPr>
        <w:tab/>
      </w:r>
      <w:r w:rsidR="008922F6">
        <w:rPr>
          <w:bCs/>
        </w:rPr>
        <w:t>10</w:t>
      </w:r>
      <w:r w:rsidR="008922F6">
        <w:rPr>
          <w:bCs/>
        </w:rPr>
        <w:tab/>
      </w:r>
      <w:r w:rsidR="00821D7F">
        <w:rPr>
          <w:bCs/>
        </w:rPr>
        <w:t>6</w:t>
      </w:r>
    </w:p>
    <w:p w14:paraId="51E12BB0" w14:textId="3E90DBE1" w:rsidR="0082087E" w:rsidRDefault="0082087E" w:rsidP="0007221F">
      <w:pPr>
        <w:tabs>
          <w:tab w:val="right" w:pos="850"/>
          <w:tab w:val="left" w:pos="1134"/>
          <w:tab w:val="left" w:pos="1559"/>
          <w:tab w:val="left" w:pos="1984"/>
          <w:tab w:val="left" w:leader="dot" w:pos="7654"/>
          <w:tab w:val="right" w:pos="8929"/>
          <w:tab w:val="right" w:pos="9638"/>
        </w:tabs>
        <w:spacing w:after="120"/>
        <w:rPr>
          <w:bCs/>
        </w:rPr>
      </w:pPr>
      <w:r>
        <w:rPr>
          <w:bCs/>
        </w:rPr>
        <w:tab/>
        <w:t>IV</w:t>
      </w:r>
      <w:r>
        <w:rPr>
          <w:bCs/>
        </w:rPr>
        <w:tab/>
        <w:t xml:space="preserve">Explosives and related </w:t>
      </w:r>
      <w:r w:rsidR="008922F6">
        <w:rPr>
          <w:bCs/>
        </w:rPr>
        <w:t>matters (agenda item 2)</w:t>
      </w:r>
      <w:r w:rsidR="008922F6">
        <w:rPr>
          <w:bCs/>
        </w:rPr>
        <w:tab/>
      </w:r>
      <w:r w:rsidR="008922F6">
        <w:rPr>
          <w:bCs/>
        </w:rPr>
        <w:tab/>
        <w:t>11-13</w:t>
      </w:r>
      <w:r w:rsidR="008922F6">
        <w:rPr>
          <w:bCs/>
        </w:rPr>
        <w:tab/>
      </w:r>
      <w:r w:rsidR="00821D7F">
        <w:rPr>
          <w:bCs/>
        </w:rPr>
        <w:t>6</w:t>
      </w:r>
    </w:p>
    <w:p w14:paraId="47DB2765" w14:textId="56502DFD" w:rsidR="0082087E" w:rsidRDefault="0082087E" w:rsidP="0007221F">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Report of the Working Group on Explosives</w:t>
      </w:r>
      <w:r>
        <w:rPr>
          <w:bCs/>
        </w:rPr>
        <w:tab/>
      </w:r>
      <w:r>
        <w:rPr>
          <w:bCs/>
        </w:rPr>
        <w:tab/>
        <w:t>13</w:t>
      </w:r>
      <w:r>
        <w:rPr>
          <w:bCs/>
        </w:rPr>
        <w:tab/>
      </w:r>
      <w:r w:rsidR="00821D7F">
        <w:rPr>
          <w:bCs/>
        </w:rPr>
        <w:t>6</w:t>
      </w:r>
    </w:p>
    <w:p w14:paraId="5FDBD49D" w14:textId="5D012849" w:rsidR="0007221F" w:rsidRDefault="0007221F" w:rsidP="0007221F">
      <w:pPr>
        <w:tabs>
          <w:tab w:val="right" w:pos="850"/>
          <w:tab w:val="left" w:pos="1134"/>
          <w:tab w:val="left" w:pos="1559"/>
          <w:tab w:val="left" w:pos="1984"/>
          <w:tab w:val="left" w:leader="dot" w:pos="7654"/>
          <w:tab w:val="right" w:pos="8929"/>
          <w:tab w:val="right" w:pos="9638"/>
        </w:tabs>
        <w:spacing w:before="120" w:after="120"/>
      </w:pPr>
      <w:r>
        <w:tab/>
      </w:r>
      <w:r>
        <w:tab/>
      </w:r>
      <w:r w:rsidR="00022685">
        <w:t>A</w:t>
      </w:r>
      <w:r w:rsidR="00CF3C5D">
        <w:t>.</w:t>
      </w:r>
      <w:r w:rsidR="00087D93">
        <w:tab/>
        <w:t xml:space="preserve">Review of </w:t>
      </w:r>
      <w:r w:rsidR="00BC5968">
        <w:t>T</w:t>
      </w:r>
      <w:r w:rsidR="00087D93">
        <w:t xml:space="preserve">est </w:t>
      </w:r>
      <w:r w:rsidR="00BC5968">
        <w:t>S</w:t>
      </w:r>
      <w:r w:rsidR="00087D93">
        <w:t>eries 6</w:t>
      </w:r>
      <w:r>
        <w:tab/>
      </w:r>
      <w:r>
        <w:tab/>
      </w:r>
      <w:r w:rsidR="0082087E">
        <w:t>14-15</w:t>
      </w:r>
      <w:r w:rsidR="0082087E">
        <w:tab/>
      </w:r>
      <w:r w:rsidR="00821D7F">
        <w:t>6</w:t>
      </w:r>
    </w:p>
    <w:p w14:paraId="0F78633B" w14:textId="10736F82" w:rsidR="0007221F" w:rsidRDefault="0007221F" w:rsidP="0007221F">
      <w:pPr>
        <w:tabs>
          <w:tab w:val="right" w:pos="850"/>
          <w:tab w:val="left" w:pos="1134"/>
          <w:tab w:val="left" w:pos="1559"/>
          <w:tab w:val="left" w:pos="1984"/>
          <w:tab w:val="left" w:leader="dot" w:pos="7654"/>
          <w:tab w:val="right" w:pos="8929"/>
          <w:tab w:val="right" w:pos="9638"/>
        </w:tabs>
        <w:spacing w:before="120" w:after="120"/>
      </w:pPr>
      <w:r>
        <w:tab/>
      </w:r>
      <w:r>
        <w:tab/>
      </w:r>
      <w:r w:rsidR="00022685">
        <w:t>B</w:t>
      </w:r>
      <w:r w:rsidR="00CF3C5D">
        <w:t>.</w:t>
      </w:r>
      <w:r w:rsidRPr="00C81B92">
        <w:tab/>
      </w:r>
      <w:r w:rsidR="0097535A">
        <w:t>Review of tests in parts I, II and III of the Manual of Tests and Criteria</w:t>
      </w:r>
      <w:r w:rsidRPr="00C81B92">
        <w:tab/>
      </w:r>
      <w:r w:rsidRPr="00C81B92">
        <w:tab/>
      </w:r>
      <w:r w:rsidR="008922F6">
        <w:t>16</w:t>
      </w:r>
      <w:r w:rsidR="008922F6">
        <w:tab/>
      </w:r>
      <w:r w:rsidR="00821D7F">
        <w:t>7</w:t>
      </w:r>
    </w:p>
    <w:p w14:paraId="188379E5" w14:textId="378992C9"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C.</w:t>
      </w:r>
      <w:r>
        <w:tab/>
        <w:t>Electronic detonators</w:t>
      </w:r>
      <w:r>
        <w:tab/>
      </w:r>
      <w:r>
        <w:tab/>
      </w:r>
      <w:r w:rsidR="008922F6">
        <w:t>17</w:t>
      </w:r>
      <w:r w:rsidR="008922F6">
        <w:tab/>
      </w:r>
      <w:r w:rsidR="00821D7F">
        <w:t>7</w:t>
      </w:r>
    </w:p>
    <w:p w14:paraId="06E80728" w14:textId="33D10A94"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D.</w:t>
      </w:r>
      <w:r>
        <w:tab/>
        <w:t>Guidance for application of Test Series 3 and 4</w:t>
      </w:r>
      <w:r>
        <w:tab/>
      </w:r>
      <w:r>
        <w:tab/>
      </w:r>
      <w:r w:rsidR="008922F6">
        <w:t>18</w:t>
      </w:r>
      <w:r w:rsidR="008922F6">
        <w:tab/>
      </w:r>
      <w:r w:rsidR="00821D7F">
        <w:t>7</w:t>
      </w:r>
    </w:p>
    <w:p w14:paraId="0E674F85" w14:textId="758F9645"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E.</w:t>
      </w:r>
      <w:r>
        <w:tab/>
        <w:t>Stability tests for industrial nitrocellulose</w:t>
      </w:r>
      <w:r>
        <w:tab/>
      </w:r>
      <w:r>
        <w:tab/>
      </w:r>
      <w:r w:rsidR="008922F6">
        <w:t>19-22</w:t>
      </w:r>
      <w:r w:rsidR="008922F6">
        <w:tab/>
      </w:r>
      <w:r w:rsidR="00821D7F">
        <w:t>7</w:t>
      </w:r>
    </w:p>
    <w:p w14:paraId="2C624775" w14:textId="2084D259"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F.</w:t>
      </w:r>
      <w:r>
        <w:tab/>
        <w:t>Application of security provisions to explosives N.O.S.</w:t>
      </w:r>
      <w:r>
        <w:tab/>
      </w:r>
      <w:r>
        <w:tab/>
      </w:r>
      <w:r w:rsidR="008922F6">
        <w:t>23</w:t>
      </w:r>
      <w:r w:rsidR="008922F6">
        <w:tab/>
      </w:r>
      <w:r w:rsidR="00821D7F">
        <w:t>8</w:t>
      </w:r>
    </w:p>
    <w:p w14:paraId="515C1870" w14:textId="22866EC9"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G.</w:t>
      </w:r>
      <w:r>
        <w:tab/>
        <w:t>Review of packing instructions for explosives</w:t>
      </w:r>
      <w:r>
        <w:tab/>
      </w:r>
      <w:r>
        <w:tab/>
      </w:r>
      <w:r w:rsidR="008922F6">
        <w:t>24</w:t>
      </w:r>
      <w:r w:rsidR="008922F6">
        <w:tab/>
      </w:r>
      <w:r w:rsidR="00821D7F">
        <w:t>8</w:t>
      </w:r>
    </w:p>
    <w:p w14:paraId="55225EB9" w14:textId="1A54CF51"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H.</w:t>
      </w:r>
      <w:r>
        <w:tab/>
        <w:t>Classification of articles under UN No. 0349</w:t>
      </w:r>
      <w:r>
        <w:tab/>
      </w:r>
      <w:r>
        <w:tab/>
      </w:r>
      <w:r w:rsidR="008922F6">
        <w:t>25</w:t>
      </w:r>
      <w:r w:rsidR="008922F6">
        <w:tab/>
      </w:r>
      <w:r w:rsidR="00821D7F">
        <w:t>8</w:t>
      </w:r>
    </w:p>
    <w:p w14:paraId="2298B77A" w14:textId="42A2160A"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I.</w:t>
      </w:r>
      <w:r>
        <w:tab/>
        <w:t>Review of Chapter 2.1 of the GHS</w:t>
      </w:r>
      <w:r>
        <w:tab/>
      </w:r>
      <w:r>
        <w:tab/>
      </w:r>
      <w:r w:rsidR="008922F6">
        <w:t>26-30</w:t>
      </w:r>
      <w:r w:rsidR="008922F6">
        <w:tab/>
      </w:r>
      <w:r w:rsidR="00821D7F">
        <w:t>8</w:t>
      </w:r>
    </w:p>
    <w:p w14:paraId="57C375BF" w14:textId="5F345FA3"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J.</w:t>
      </w:r>
      <w:r>
        <w:tab/>
        <w:t>Miscellaneous</w:t>
      </w:r>
      <w:r>
        <w:tab/>
      </w:r>
      <w:r>
        <w:tab/>
      </w:r>
      <w:r w:rsidR="0082087E">
        <w:t>3</w:t>
      </w:r>
      <w:r w:rsidR="008922F6">
        <w:t>1-41</w:t>
      </w:r>
      <w:r w:rsidR="008922F6">
        <w:tab/>
      </w:r>
      <w:r w:rsidR="00821D7F">
        <w:t>9</w:t>
      </w:r>
    </w:p>
    <w:p w14:paraId="72CEE7E9" w14:textId="7745E088" w:rsidR="0082087E" w:rsidRDefault="0082087E" w:rsidP="0007221F">
      <w:pPr>
        <w:tabs>
          <w:tab w:val="right" w:pos="850"/>
          <w:tab w:val="left" w:pos="1134"/>
          <w:tab w:val="left" w:pos="1559"/>
          <w:tab w:val="left" w:pos="1984"/>
          <w:tab w:val="left" w:leader="dot" w:pos="7654"/>
          <w:tab w:val="right" w:pos="8929"/>
          <w:tab w:val="right" w:pos="9638"/>
        </w:tabs>
        <w:spacing w:before="120" w:after="120"/>
      </w:pPr>
      <w:r>
        <w:tab/>
      </w:r>
      <w:r>
        <w:tab/>
      </w:r>
      <w:r>
        <w:tab/>
        <w:t>1.</w:t>
      </w:r>
      <w:r>
        <w:tab/>
        <w:t>Transport of controlled shipments of small q</w:t>
      </w:r>
      <w:r w:rsidR="008922F6">
        <w:t>uantities of explosives</w:t>
      </w:r>
      <w:r w:rsidR="008922F6">
        <w:tab/>
      </w:r>
      <w:r w:rsidR="008922F6">
        <w:tab/>
        <w:t>31-32</w:t>
      </w:r>
      <w:r w:rsidR="008922F6">
        <w:tab/>
      </w:r>
      <w:r w:rsidR="00821D7F">
        <w:t>9</w:t>
      </w:r>
    </w:p>
    <w:p w14:paraId="0DE12B25" w14:textId="4EC3A5F6" w:rsidR="0082087E" w:rsidRDefault="0082087E" w:rsidP="0007221F">
      <w:pPr>
        <w:tabs>
          <w:tab w:val="right" w:pos="850"/>
          <w:tab w:val="left" w:pos="1134"/>
          <w:tab w:val="left" w:pos="1559"/>
          <w:tab w:val="left" w:pos="1984"/>
          <w:tab w:val="left" w:leader="dot" w:pos="7654"/>
          <w:tab w:val="right" w:pos="8929"/>
          <w:tab w:val="right" w:pos="9638"/>
        </w:tabs>
        <w:spacing w:before="120" w:after="120"/>
      </w:pPr>
      <w:r>
        <w:tab/>
      </w:r>
      <w:r>
        <w:tab/>
      </w:r>
      <w:r>
        <w:tab/>
        <w:t>2.</w:t>
      </w:r>
      <w:r>
        <w:tab/>
        <w:t>Transport of energetic s</w:t>
      </w:r>
      <w:r w:rsidR="008922F6">
        <w:t>amples for further testing</w:t>
      </w:r>
      <w:r w:rsidR="008922F6">
        <w:tab/>
      </w:r>
      <w:r w:rsidR="008922F6">
        <w:tab/>
        <w:t>33</w:t>
      </w:r>
      <w:r w:rsidR="008922F6">
        <w:tab/>
      </w:r>
      <w:r w:rsidR="00821D7F">
        <w:t>9</w:t>
      </w:r>
    </w:p>
    <w:p w14:paraId="422E7C93" w14:textId="42C29F37" w:rsidR="0082087E" w:rsidRDefault="0082087E" w:rsidP="0007221F">
      <w:pPr>
        <w:tabs>
          <w:tab w:val="right" w:pos="850"/>
          <w:tab w:val="left" w:pos="1134"/>
          <w:tab w:val="left" w:pos="1559"/>
          <w:tab w:val="left" w:pos="1984"/>
          <w:tab w:val="left" w:leader="dot" w:pos="7654"/>
          <w:tab w:val="right" w:pos="8929"/>
          <w:tab w:val="right" w:pos="9638"/>
        </w:tabs>
        <w:spacing w:before="120" w:after="120"/>
      </w:pPr>
      <w:r>
        <w:tab/>
      </w:r>
      <w:r>
        <w:tab/>
      </w:r>
      <w:r>
        <w:tab/>
        <w:t>3.</w:t>
      </w:r>
      <w:r>
        <w:tab/>
      </w:r>
      <w:r w:rsidR="00003A18">
        <w:t>UN</w:t>
      </w:r>
      <w:r w:rsidR="008922F6">
        <w:t xml:space="preserve"> No. 0222 Ammonium nitrate</w:t>
      </w:r>
      <w:r w:rsidR="008922F6">
        <w:tab/>
      </w:r>
      <w:r w:rsidR="008922F6">
        <w:tab/>
        <w:t>34</w:t>
      </w:r>
      <w:r w:rsidR="008922F6">
        <w:tab/>
      </w:r>
      <w:r w:rsidR="00821D7F">
        <w:t>10</w:t>
      </w:r>
    </w:p>
    <w:p w14:paraId="5B3BA565" w14:textId="3F62DA72" w:rsidR="00003A18" w:rsidRDefault="00003A18" w:rsidP="0007221F">
      <w:pPr>
        <w:tabs>
          <w:tab w:val="right" w:pos="850"/>
          <w:tab w:val="left" w:pos="1134"/>
          <w:tab w:val="left" w:pos="1559"/>
          <w:tab w:val="left" w:pos="1984"/>
          <w:tab w:val="left" w:leader="dot" w:pos="7654"/>
          <w:tab w:val="right" w:pos="8929"/>
          <w:tab w:val="right" w:pos="9638"/>
        </w:tabs>
        <w:spacing w:before="120" w:after="120"/>
      </w:pPr>
      <w:r>
        <w:lastRenderedPageBreak/>
        <w:tab/>
      </w:r>
      <w:r>
        <w:tab/>
      </w:r>
      <w:r>
        <w:tab/>
        <w:t>4.</w:t>
      </w:r>
      <w:r>
        <w:tab/>
        <w:t>Proposal to create a new UN number for mines with</w:t>
      </w:r>
      <w:r>
        <w:br/>
      </w:r>
      <w:r>
        <w:tab/>
      </w:r>
      <w:r>
        <w:tab/>
      </w:r>
      <w:r>
        <w:tab/>
      </w:r>
      <w:r>
        <w:tab/>
        <w:t>bu</w:t>
      </w:r>
      <w:r w:rsidR="008922F6">
        <w:t>rsting charge 1.6D</w:t>
      </w:r>
      <w:r w:rsidR="008922F6">
        <w:tab/>
      </w:r>
      <w:r w:rsidR="008922F6">
        <w:tab/>
        <w:t>35</w:t>
      </w:r>
      <w:r w:rsidR="008922F6">
        <w:tab/>
      </w:r>
      <w:r w:rsidR="00821D7F">
        <w:t>10</w:t>
      </w:r>
    </w:p>
    <w:p w14:paraId="38A174ED" w14:textId="4E631C9B" w:rsidR="00003A18" w:rsidRDefault="00003A18" w:rsidP="0007221F">
      <w:pPr>
        <w:tabs>
          <w:tab w:val="right" w:pos="850"/>
          <w:tab w:val="left" w:pos="1134"/>
          <w:tab w:val="left" w:pos="1559"/>
          <w:tab w:val="left" w:pos="1984"/>
          <w:tab w:val="left" w:leader="dot" w:pos="7654"/>
          <w:tab w:val="right" w:pos="8929"/>
          <w:tab w:val="right" w:pos="9638"/>
        </w:tabs>
        <w:spacing w:before="120" w:after="120"/>
      </w:pPr>
      <w:r>
        <w:tab/>
      </w:r>
      <w:r>
        <w:tab/>
      </w:r>
      <w:r>
        <w:tab/>
        <w:t>5.</w:t>
      </w:r>
      <w:r>
        <w:tab/>
        <w:t>Extension of the default fireworks classification table for UN No 0431</w:t>
      </w:r>
      <w:r>
        <w:br/>
      </w:r>
      <w:r w:rsidR="008922F6">
        <w:tab/>
      </w:r>
      <w:r w:rsidR="008922F6">
        <w:tab/>
      </w:r>
      <w:r w:rsidR="008922F6">
        <w:tab/>
      </w:r>
      <w:r w:rsidR="008922F6">
        <w:tab/>
        <w:t>(Articles pyrotechnic)</w:t>
      </w:r>
      <w:r w:rsidR="008922F6">
        <w:tab/>
      </w:r>
      <w:r w:rsidR="008922F6">
        <w:tab/>
        <w:t>36</w:t>
      </w:r>
      <w:r w:rsidR="008922F6">
        <w:tab/>
      </w:r>
      <w:r w:rsidR="00821D7F">
        <w:t>10</w:t>
      </w:r>
    </w:p>
    <w:p w14:paraId="0A150A54" w14:textId="4B4D544E" w:rsidR="00003A18" w:rsidRDefault="00003A18" w:rsidP="0007221F">
      <w:pPr>
        <w:tabs>
          <w:tab w:val="right" w:pos="850"/>
          <w:tab w:val="left" w:pos="1134"/>
          <w:tab w:val="left" w:pos="1559"/>
          <w:tab w:val="left" w:pos="1984"/>
          <w:tab w:val="left" w:leader="dot" w:pos="7654"/>
          <w:tab w:val="right" w:pos="8929"/>
          <w:tab w:val="right" w:pos="9638"/>
        </w:tabs>
        <w:spacing w:before="120" w:after="120"/>
      </w:pPr>
      <w:r>
        <w:tab/>
      </w:r>
      <w:r>
        <w:tab/>
      </w:r>
      <w:r>
        <w:tab/>
        <w:t>6.</w:t>
      </w:r>
      <w:r>
        <w:tab/>
        <w:t>Safet</w:t>
      </w:r>
      <w:r w:rsidR="008922F6">
        <w:t>y devices (UN No. 3268)</w:t>
      </w:r>
      <w:r w:rsidR="008922F6">
        <w:tab/>
      </w:r>
      <w:r w:rsidR="008922F6">
        <w:tab/>
        <w:t>37-39</w:t>
      </w:r>
      <w:r w:rsidR="008922F6">
        <w:tab/>
      </w:r>
      <w:r w:rsidR="00821D7F">
        <w:t>10</w:t>
      </w:r>
    </w:p>
    <w:p w14:paraId="39D99A00" w14:textId="70A800AF" w:rsidR="00003A18" w:rsidRDefault="00003A18" w:rsidP="0007221F">
      <w:pPr>
        <w:tabs>
          <w:tab w:val="right" w:pos="850"/>
          <w:tab w:val="left" w:pos="1134"/>
          <w:tab w:val="left" w:pos="1559"/>
          <w:tab w:val="left" w:pos="1984"/>
          <w:tab w:val="left" w:leader="dot" w:pos="7654"/>
          <w:tab w:val="right" w:pos="8929"/>
          <w:tab w:val="right" w:pos="9638"/>
        </w:tabs>
        <w:spacing w:before="120" w:after="120"/>
      </w:pPr>
      <w:r>
        <w:tab/>
      </w:r>
      <w:r>
        <w:tab/>
      </w:r>
      <w:r>
        <w:tab/>
        <w:t>7.</w:t>
      </w:r>
      <w:r>
        <w:tab/>
        <w:t>Classification of desensitized explosives for the purposes</w:t>
      </w:r>
      <w:r>
        <w:br/>
      </w:r>
      <w:r>
        <w:tab/>
      </w:r>
      <w:r>
        <w:tab/>
      </w:r>
      <w:r>
        <w:tab/>
      </w:r>
      <w:r>
        <w:tab/>
        <w:t>of supply and use according to Chapter 2.17 of the GHS</w:t>
      </w:r>
      <w:r>
        <w:tab/>
      </w:r>
      <w:r>
        <w:tab/>
        <w:t>40-41</w:t>
      </w:r>
      <w:r>
        <w:tab/>
      </w:r>
      <w:r w:rsidR="00821D7F">
        <w:t>11</w:t>
      </w:r>
    </w:p>
    <w:p w14:paraId="235BA494" w14:textId="782F3D4C"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t>V.</w:t>
      </w:r>
      <w:r>
        <w:tab/>
      </w:r>
      <w:r w:rsidR="00525F28">
        <w:t>Listing, classification and packing</w:t>
      </w:r>
      <w:r w:rsidR="00314C42">
        <w:t xml:space="preserve"> (agenda item </w:t>
      </w:r>
      <w:r w:rsidR="00525F28">
        <w:t>3</w:t>
      </w:r>
      <w:r w:rsidR="00314C42">
        <w:t>)</w:t>
      </w:r>
      <w:r>
        <w:tab/>
      </w:r>
      <w:r>
        <w:tab/>
      </w:r>
      <w:r w:rsidR="008922F6">
        <w:t>42-52</w:t>
      </w:r>
      <w:r w:rsidR="008922F6">
        <w:tab/>
      </w:r>
      <w:r w:rsidR="00821D7F">
        <w:t>11</w:t>
      </w:r>
    </w:p>
    <w:p w14:paraId="110922EC" w14:textId="474F7309" w:rsidR="00525F28" w:rsidRDefault="00525F28" w:rsidP="0007221F">
      <w:pPr>
        <w:tabs>
          <w:tab w:val="right" w:pos="850"/>
          <w:tab w:val="left" w:pos="1134"/>
          <w:tab w:val="left" w:pos="1559"/>
          <w:tab w:val="left" w:pos="1984"/>
          <w:tab w:val="left" w:leader="dot" w:pos="7654"/>
          <w:tab w:val="right" w:pos="8929"/>
          <w:tab w:val="right" w:pos="9638"/>
        </w:tabs>
        <w:spacing w:before="120" w:after="120"/>
      </w:pPr>
      <w:r>
        <w:tab/>
      </w:r>
      <w:r>
        <w:tab/>
        <w:t>A.</w:t>
      </w:r>
      <w:r>
        <w:tab/>
        <w:t>Extension of the name and description of UN No. 2990</w:t>
      </w:r>
      <w:r>
        <w:br/>
      </w:r>
      <w:r>
        <w:tab/>
      </w:r>
      <w:r>
        <w:tab/>
      </w:r>
      <w:r>
        <w:tab/>
        <w:t>LIFE-SAVING APPLICANCES, S</w:t>
      </w:r>
      <w:r w:rsidR="008922F6">
        <w:t>ELF-INFLATING, Class 9</w:t>
      </w:r>
      <w:r w:rsidR="008922F6">
        <w:tab/>
      </w:r>
      <w:r w:rsidR="008922F6">
        <w:tab/>
        <w:t>42-43</w:t>
      </w:r>
      <w:r w:rsidR="008922F6">
        <w:tab/>
      </w:r>
      <w:r w:rsidR="00821D7F">
        <w:t>11</w:t>
      </w:r>
    </w:p>
    <w:p w14:paraId="302BFFB8" w14:textId="4DFD05CC" w:rsidR="00525F28" w:rsidRDefault="00525F28" w:rsidP="0007221F">
      <w:pPr>
        <w:tabs>
          <w:tab w:val="right" w:pos="850"/>
          <w:tab w:val="left" w:pos="1134"/>
          <w:tab w:val="left" w:pos="1559"/>
          <w:tab w:val="left" w:pos="1984"/>
          <w:tab w:val="left" w:leader="dot" w:pos="7654"/>
          <w:tab w:val="right" w:pos="8929"/>
          <w:tab w:val="right" w:pos="9638"/>
        </w:tabs>
        <w:spacing w:before="120" w:after="120"/>
      </w:pPr>
      <w:r>
        <w:tab/>
      </w:r>
      <w:r>
        <w:tab/>
        <w:t>B.</w:t>
      </w:r>
      <w:r>
        <w:tab/>
        <w:t>New entry for UN No. 1390 ALKALI METAL AMIDES, packing group I</w:t>
      </w:r>
      <w:r w:rsidR="008922F6">
        <w:tab/>
      </w:r>
      <w:r w:rsidR="008922F6">
        <w:tab/>
        <w:t>44-45</w:t>
      </w:r>
      <w:r w:rsidR="008922F6">
        <w:tab/>
      </w:r>
      <w:r w:rsidR="00821D7F">
        <w:t>11</w:t>
      </w:r>
    </w:p>
    <w:p w14:paraId="2C600BEC" w14:textId="7ED441AA" w:rsidR="00525F28" w:rsidRDefault="00525F28" w:rsidP="0007221F">
      <w:pPr>
        <w:tabs>
          <w:tab w:val="right" w:pos="850"/>
          <w:tab w:val="left" w:pos="1134"/>
          <w:tab w:val="left" w:pos="1559"/>
          <w:tab w:val="left" w:pos="1984"/>
          <w:tab w:val="left" w:leader="dot" w:pos="7654"/>
          <w:tab w:val="right" w:pos="8929"/>
          <w:tab w:val="right" w:pos="9638"/>
        </w:tabs>
        <w:spacing w:before="120" w:after="120"/>
      </w:pPr>
      <w:r>
        <w:tab/>
      </w:r>
      <w:r>
        <w:tab/>
        <w:t>C.</w:t>
      </w:r>
      <w:r>
        <w:tab/>
        <w:t>Assignment of packing groups for Division 6.2 (infectious substances)</w:t>
      </w:r>
      <w:r w:rsidR="0097613D">
        <w:tab/>
      </w:r>
      <w:r w:rsidR="0097613D">
        <w:tab/>
      </w:r>
      <w:r w:rsidR="008922F6">
        <w:t>46</w:t>
      </w:r>
      <w:r w:rsidR="008922F6">
        <w:tab/>
      </w:r>
      <w:r w:rsidR="00821D7F">
        <w:t>12</w:t>
      </w:r>
    </w:p>
    <w:p w14:paraId="06E89363" w14:textId="2FE81FCE" w:rsidR="0097613D" w:rsidRDefault="0097613D" w:rsidP="0007221F">
      <w:pPr>
        <w:tabs>
          <w:tab w:val="right" w:pos="850"/>
          <w:tab w:val="left" w:pos="1134"/>
          <w:tab w:val="left" w:pos="1559"/>
          <w:tab w:val="left" w:pos="1984"/>
          <w:tab w:val="left" w:leader="dot" w:pos="7654"/>
          <w:tab w:val="right" w:pos="8929"/>
          <w:tab w:val="right" w:pos="9638"/>
        </w:tabs>
        <w:spacing w:before="120" w:after="120"/>
      </w:pPr>
      <w:r>
        <w:tab/>
      </w:r>
      <w:r>
        <w:tab/>
        <w:t>D.</w:t>
      </w:r>
      <w:r>
        <w:tab/>
      </w:r>
      <w:r w:rsidR="007F11F0">
        <w:t>Polymerizing substan</w:t>
      </w:r>
      <w:r w:rsidR="008922F6">
        <w:t>ces UN Nos. 2522 and 2383</w:t>
      </w:r>
      <w:r w:rsidR="008922F6">
        <w:tab/>
      </w:r>
      <w:r w:rsidR="008922F6">
        <w:tab/>
        <w:t>47</w:t>
      </w:r>
      <w:r w:rsidR="008922F6">
        <w:tab/>
      </w:r>
      <w:r w:rsidR="00821D7F">
        <w:t>12</w:t>
      </w:r>
    </w:p>
    <w:p w14:paraId="459ED7F8" w14:textId="7718DDDA" w:rsidR="007F11F0" w:rsidRDefault="007F11F0" w:rsidP="0007221F">
      <w:pPr>
        <w:tabs>
          <w:tab w:val="right" w:pos="850"/>
          <w:tab w:val="left" w:pos="1134"/>
          <w:tab w:val="left" w:pos="1559"/>
          <w:tab w:val="left" w:pos="1984"/>
          <w:tab w:val="left" w:leader="dot" w:pos="7654"/>
          <w:tab w:val="right" w:pos="8929"/>
          <w:tab w:val="right" w:pos="9638"/>
        </w:tabs>
        <w:spacing w:before="120" w:after="120"/>
      </w:pPr>
      <w:r>
        <w:tab/>
      </w:r>
      <w:r>
        <w:tab/>
        <w:t>E.</w:t>
      </w:r>
      <w:r>
        <w:tab/>
        <w:t>Application of packing instructi</w:t>
      </w:r>
      <w:r w:rsidR="008922F6">
        <w:t>on P003 to large articles</w:t>
      </w:r>
      <w:r w:rsidR="008922F6">
        <w:tab/>
      </w:r>
      <w:r w:rsidR="008922F6">
        <w:tab/>
        <w:t>48</w:t>
      </w:r>
      <w:r w:rsidR="008922F6">
        <w:tab/>
      </w:r>
      <w:r w:rsidR="00821D7F">
        <w:t>12</w:t>
      </w:r>
    </w:p>
    <w:p w14:paraId="60CD1434" w14:textId="1003E0FF" w:rsidR="007F11F0" w:rsidRDefault="007F11F0" w:rsidP="0007221F">
      <w:pPr>
        <w:tabs>
          <w:tab w:val="right" w:pos="850"/>
          <w:tab w:val="left" w:pos="1134"/>
          <w:tab w:val="left" w:pos="1559"/>
          <w:tab w:val="left" w:pos="1984"/>
          <w:tab w:val="left" w:leader="dot" w:pos="7654"/>
          <w:tab w:val="right" w:pos="8929"/>
          <w:tab w:val="right" w:pos="9638"/>
        </w:tabs>
        <w:spacing w:before="120" w:after="120"/>
      </w:pPr>
      <w:r>
        <w:tab/>
      </w:r>
      <w:r>
        <w:tab/>
        <w:t>F.</w:t>
      </w:r>
      <w:r>
        <w:tab/>
        <w:t xml:space="preserve">Multiple marking of </w:t>
      </w:r>
      <w:proofErr w:type="spellStart"/>
      <w:r>
        <w:t>packagings</w:t>
      </w:r>
      <w:proofErr w:type="spellEnd"/>
      <w:r>
        <w:t xml:space="preserve">, including IBCs and large </w:t>
      </w:r>
      <w:proofErr w:type="spellStart"/>
      <w:r>
        <w:t>packagings</w:t>
      </w:r>
      <w:proofErr w:type="spellEnd"/>
      <w:r>
        <w:t>,</w:t>
      </w:r>
      <w:r>
        <w:br/>
      </w:r>
      <w:r>
        <w:tab/>
      </w:r>
      <w:r>
        <w:tab/>
      </w:r>
      <w:r>
        <w:tab/>
        <w:t>indicating conformity with more than one successfully tested design</w:t>
      </w:r>
      <w:r>
        <w:br/>
      </w:r>
      <w:r>
        <w:tab/>
      </w:r>
      <w:r>
        <w:tab/>
      </w:r>
      <w:r>
        <w:tab/>
      </w:r>
      <w:r w:rsidR="008922F6">
        <w:t>type</w:t>
      </w:r>
      <w:r w:rsidR="008922F6">
        <w:tab/>
      </w:r>
      <w:r w:rsidR="008922F6">
        <w:tab/>
      </w:r>
      <w:r w:rsidR="008922F6">
        <w:tab/>
        <w:t>49</w:t>
      </w:r>
      <w:r w:rsidR="008922F6">
        <w:tab/>
      </w:r>
      <w:r w:rsidR="00821D7F">
        <w:t>12</w:t>
      </w:r>
    </w:p>
    <w:p w14:paraId="36FB7730" w14:textId="7FDB4038" w:rsidR="007F11F0" w:rsidRDefault="007F11F0" w:rsidP="0007221F">
      <w:pPr>
        <w:tabs>
          <w:tab w:val="right" w:pos="850"/>
          <w:tab w:val="left" w:pos="1134"/>
          <w:tab w:val="left" w:pos="1559"/>
          <w:tab w:val="left" w:pos="1984"/>
          <w:tab w:val="left" w:leader="dot" w:pos="7654"/>
          <w:tab w:val="right" w:pos="8929"/>
          <w:tab w:val="right" w:pos="9638"/>
        </w:tabs>
        <w:spacing w:before="120" w:after="120"/>
      </w:pPr>
      <w:r>
        <w:tab/>
      </w:r>
      <w:r>
        <w:tab/>
        <w:t>G.</w:t>
      </w:r>
      <w:r>
        <w:tab/>
        <w:t>Proposal to create UN numbers for pyrophoric gases and add criteria</w:t>
      </w:r>
      <w:r>
        <w:br/>
      </w:r>
      <w:r>
        <w:tab/>
      </w:r>
      <w:r>
        <w:tab/>
      </w:r>
      <w:r>
        <w:tab/>
        <w:t>for pyrophoric</w:t>
      </w:r>
      <w:r w:rsidR="008922F6">
        <w:t xml:space="preserve"> gases in division 2.1</w:t>
      </w:r>
      <w:r w:rsidR="008922F6">
        <w:tab/>
      </w:r>
      <w:r w:rsidR="008922F6">
        <w:tab/>
        <w:t>50-51</w:t>
      </w:r>
      <w:r w:rsidR="008922F6">
        <w:tab/>
      </w:r>
      <w:r w:rsidR="00821D7F">
        <w:t>12</w:t>
      </w:r>
    </w:p>
    <w:p w14:paraId="0E82173E" w14:textId="193B9D48" w:rsidR="007F11F0" w:rsidRDefault="007F11F0" w:rsidP="0007221F">
      <w:pPr>
        <w:tabs>
          <w:tab w:val="right" w:pos="850"/>
          <w:tab w:val="left" w:pos="1134"/>
          <w:tab w:val="left" w:pos="1559"/>
          <w:tab w:val="left" w:pos="1984"/>
          <w:tab w:val="left" w:leader="dot" w:pos="7654"/>
          <w:tab w:val="right" w:pos="8929"/>
          <w:tab w:val="right" w:pos="9638"/>
        </w:tabs>
        <w:spacing w:before="120" w:after="120"/>
      </w:pPr>
      <w:r>
        <w:tab/>
      </w:r>
      <w:r>
        <w:tab/>
        <w:t>H.</w:t>
      </w:r>
      <w:r>
        <w:tab/>
        <w:t>Review of</w:t>
      </w:r>
      <w:r w:rsidR="008922F6">
        <w:t xml:space="preserve"> packing instruction P801</w:t>
      </w:r>
      <w:r w:rsidR="008922F6">
        <w:tab/>
      </w:r>
      <w:r w:rsidR="008922F6">
        <w:tab/>
        <w:t>52</w:t>
      </w:r>
      <w:r w:rsidR="008922F6">
        <w:tab/>
      </w:r>
      <w:r w:rsidR="00821D7F">
        <w:t>13</w:t>
      </w:r>
    </w:p>
    <w:p w14:paraId="1ECA2A19" w14:textId="1F0D8D3A" w:rsidR="007F11F0" w:rsidRDefault="007F11F0" w:rsidP="0007221F">
      <w:pPr>
        <w:tabs>
          <w:tab w:val="right" w:pos="850"/>
          <w:tab w:val="left" w:pos="1134"/>
          <w:tab w:val="left" w:pos="1559"/>
          <w:tab w:val="left" w:pos="1984"/>
          <w:tab w:val="left" w:leader="dot" w:pos="7654"/>
          <w:tab w:val="right" w:pos="8929"/>
          <w:tab w:val="right" w:pos="9638"/>
        </w:tabs>
        <w:spacing w:before="120" w:after="120"/>
      </w:pPr>
      <w:r>
        <w:tab/>
        <w:t>VI.</w:t>
      </w:r>
      <w:r>
        <w:tab/>
        <w:t>Electric storage systems (agenda ite</w:t>
      </w:r>
      <w:r w:rsidR="008922F6">
        <w:t>m 4)</w:t>
      </w:r>
      <w:r w:rsidR="008922F6">
        <w:tab/>
      </w:r>
      <w:r w:rsidR="008922F6">
        <w:tab/>
        <w:t>53-64</w:t>
      </w:r>
      <w:r w:rsidR="008922F6">
        <w:tab/>
      </w:r>
      <w:r w:rsidR="00821D7F">
        <w:t>13</w:t>
      </w:r>
    </w:p>
    <w:p w14:paraId="0DC58AC0" w14:textId="65EFBB24"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A.</w:t>
      </w:r>
      <w:r>
        <w:tab/>
        <w:t xml:space="preserve">Testing </w:t>
      </w:r>
      <w:r w:rsidR="00BC5968">
        <w:t>of</w:t>
      </w:r>
      <w:r>
        <w:t xml:space="preserve"> lithium batteries</w:t>
      </w:r>
      <w:r>
        <w:tab/>
      </w:r>
      <w:r>
        <w:tab/>
      </w:r>
      <w:r w:rsidR="008922F6">
        <w:t>53-55</w:t>
      </w:r>
      <w:r w:rsidR="008922F6">
        <w:tab/>
      </w:r>
      <w:r w:rsidR="00821D7F">
        <w:t>13</w:t>
      </w:r>
    </w:p>
    <w:p w14:paraId="6E68A394" w14:textId="38EB4273"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B.</w:t>
      </w:r>
      <w:r>
        <w:tab/>
        <w:t>Hazard-based system for classification of lithium batteries</w:t>
      </w:r>
      <w:r>
        <w:tab/>
      </w:r>
      <w:r>
        <w:tab/>
      </w:r>
      <w:r w:rsidR="008922F6">
        <w:t>56</w:t>
      </w:r>
      <w:r w:rsidR="008922F6">
        <w:tab/>
      </w:r>
      <w:r w:rsidR="00821D7F">
        <w:t>13</w:t>
      </w:r>
    </w:p>
    <w:p w14:paraId="3F585353" w14:textId="3460FE9C"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C.</w:t>
      </w:r>
      <w:r>
        <w:tab/>
        <w:t>Transport provisions</w:t>
      </w:r>
      <w:r>
        <w:tab/>
      </w:r>
      <w:r>
        <w:tab/>
      </w:r>
      <w:r w:rsidR="008922F6">
        <w:t>57</w:t>
      </w:r>
      <w:r w:rsidR="008922F6">
        <w:tab/>
      </w:r>
      <w:r w:rsidR="00821D7F">
        <w:t>14</w:t>
      </w:r>
    </w:p>
    <w:p w14:paraId="3A815E43" w14:textId="08146F6E"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D.</w:t>
      </w:r>
      <w:r>
        <w:tab/>
        <w:t>Damaged or defective lithium batteries</w:t>
      </w:r>
      <w:r>
        <w:tab/>
      </w:r>
      <w:r>
        <w:tab/>
      </w:r>
      <w:r w:rsidR="008922F6">
        <w:t>58-61</w:t>
      </w:r>
      <w:r w:rsidR="008922F6">
        <w:tab/>
      </w:r>
      <w:r w:rsidR="00821D7F">
        <w:t>14</w:t>
      </w:r>
    </w:p>
    <w:p w14:paraId="1009F248" w14:textId="130390C0"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E.</w:t>
      </w:r>
      <w:r>
        <w:tab/>
        <w:t>Sodium-ion batteries</w:t>
      </w:r>
      <w:r>
        <w:tab/>
      </w:r>
      <w:r>
        <w:tab/>
      </w:r>
      <w:r w:rsidR="008922F6">
        <w:t>62</w:t>
      </w:r>
      <w:r w:rsidR="008922F6">
        <w:tab/>
      </w:r>
      <w:r w:rsidR="00821D7F">
        <w:t>14</w:t>
      </w:r>
    </w:p>
    <w:p w14:paraId="68A061A3" w14:textId="0AD4DBA9"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F.</w:t>
      </w:r>
      <w:r>
        <w:tab/>
        <w:t>Miscellaneous</w:t>
      </w:r>
      <w:r>
        <w:tab/>
      </w:r>
      <w:r>
        <w:tab/>
      </w:r>
      <w:r w:rsidR="008922F6">
        <w:t>63-64</w:t>
      </w:r>
      <w:r w:rsidR="008922F6">
        <w:tab/>
      </w:r>
      <w:r w:rsidR="00821D7F">
        <w:t>14</w:t>
      </w:r>
    </w:p>
    <w:p w14:paraId="03BD8696" w14:textId="39D122AF" w:rsidR="007F11F0" w:rsidRDefault="007F11F0" w:rsidP="0007221F">
      <w:pPr>
        <w:tabs>
          <w:tab w:val="right" w:pos="850"/>
          <w:tab w:val="left" w:pos="1134"/>
          <w:tab w:val="left" w:pos="1559"/>
          <w:tab w:val="left" w:pos="1984"/>
          <w:tab w:val="left" w:leader="dot" w:pos="7654"/>
          <w:tab w:val="right" w:pos="8929"/>
          <w:tab w:val="right" w:pos="9638"/>
        </w:tabs>
        <w:spacing w:before="120" w:after="120"/>
      </w:pPr>
      <w:r>
        <w:tab/>
      </w:r>
      <w:r>
        <w:tab/>
      </w:r>
      <w:r>
        <w:tab/>
      </w:r>
      <w:r w:rsidRPr="00846B01">
        <w:t>Parties required to make available the lithium cell an</w:t>
      </w:r>
      <w:r w:rsidR="008922F6" w:rsidRPr="00846B01">
        <w:t>d battery test summary</w:t>
      </w:r>
      <w:r w:rsidR="008922F6" w:rsidRPr="00846B01">
        <w:tab/>
      </w:r>
      <w:r w:rsidR="008922F6" w:rsidRPr="00846B01">
        <w:tab/>
        <w:t>63-64</w:t>
      </w:r>
      <w:r w:rsidR="008922F6" w:rsidRPr="00846B01">
        <w:tab/>
      </w:r>
      <w:r w:rsidR="00AD27D1" w:rsidRPr="00846B01">
        <w:t>14</w:t>
      </w:r>
    </w:p>
    <w:p w14:paraId="6BCE8DDE" w14:textId="272C74E8"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t>VI</w:t>
      </w:r>
      <w:r w:rsidR="007F11F0">
        <w:t>I</w:t>
      </w:r>
      <w:r>
        <w:t>.</w:t>
      </w:r>
      <w:r>
        <w:tab/>
        <w:t>Transport of gases</w:t>
      </w:r>
      <w:r w:rsidR="00314C42">
        <w:t xml:space="preserve"> (agenda item 5)</w:t>
      </w:r>
      <w:r>
        <w:tab/>
      </w:r>
      <w:r>
        <w:tab/>
      </w:r>
      <w:r w:rsidR="008922F6">
        <w:t>65-68</w:t>
      </w:r>
      <w:r w:rsidR="008922F6">
        <w:tab/>
      </w:r>
      <w:r w:rsidR="00AD27D1">
        <w:t>15</w:t>
      </w:r>
    </w:p>
    <w:p w14:paraId="6E256DD0" w14:textId="6F8DC03F"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A.</w:t>
      </w:r>
      <w:r>
        <w:tab/>
        <w:t>Global recognition of UN and non-UN pressure receptacles</w:t>
      </w:r>
      <w:r>
        <w:tab/>
      </w:r>
      <w:r>
        <w:tab/>
      </w:r>
      <w:r w:rsidR="008922F6">
        <w:t>65</w:t>
      </w:r>
      <w:r w:rsidR="008922F6">
        <w:tab/>
      </w:r>
      <w:r w:rsidR="00AD27D1">
        <w:t>15</w:t>
      </w:r>
    </w:p>
    <w:p w14:paraId="2CF2C19F" w14:textId="2C15142B"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B.</w:t>
      </w:r>
      <w:r>
        <w:tab/>
        <w:t>Miscellaneous</w:t>
      </w:r>
      <w:r>
        <w:tab/>
      </w:r>
      <w:r>
        <w:tab/>
      </w:r>
      <w:r w:rsidR="008922F6">
        <w:t>66-68</w:t>
      </w:r>
      <w:r w:rsidR="008922F6">
        <w:tab/>
      </w:r>
      <w:r w:rsidR="00AD27D1">
        <w:t>15</w:t>
      </w:r>
    </w:p>
    <w:p w14:paraId="30A06137" w14:textId="3FB38306"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t>1.</w:t>
      </w:r>
      <w:r>
        <w:tab/>
        <w:t>Provisions for closure</w:t>
      </w:r>
      <w:r w:rsidR="008922F6">
        <w:t>s of pressure receptacles</w:t>
      </w:r>
      <w:r w:rsidR="008922F6">
        <w:tab/>
      </w:r>
      <w:r w:rsidR="008922F6">
        <w:tab/>
        <w:t>66</w:t>
      </w:r>
      <w:r w:rsidR="008922F6">
        <w:tab/>
      </w:r>
      <w:r w:rsidR="00AD27D1">
        <w:t>15</w:t>
      </w:r>
    </w:p>
    <w:p w14:paraId="442095B1" w14:textId="64B64901"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t>2.</w:t>
      </w:r>
      <w:r>
        <w:tab/>
        <w:t>Transport of fuel gas containment systems – addition of SP 392</w:t>
      </w:r>
      <w:r>
        <w:br/>
      </w:r>
      <w:r>
        <w:tab/>
      </w:r>
      <w:r>
        <w:tab/>
      </w:r>
      <w:r>
        <w:tab/>
      </w:r>
      <w:r>
        <w:tab/>
      </w:r>
      <w:proofErr w:type="gramStart"/>
      <w:r>
        <w:t>to</w:t>
      </w:r>
      <w:proofErr w:type="gramEnd"/>
      <w:r>
        <w:t xml:space="preserve"> the dangerous goods list entries for</w:t>
      </w:r>
      <w:r w:rsidR="008922F6">
        <w:t xml:space="preserve"> gases of Division 2.2</w:t>
      </w:r>
      <w:r w:rsidR="008922F6">
        <w:tab/>
      </w:r>
      <w:r w:rsidR="008922F6">
        <w:tab/>
        <w:t>67-68</w:t>
      </w:r>
      <w:r w:rsidR="008922F6">
        <w:tab/>
      </w:r>
      <w:r w:rsidR="00AD27D1">
        <w:t>15</w:t>
      </w:r>
    </w:p>
    <w:p w14:paraId="77FAAA61" w14:textId="401BA4AC"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t>VII</w:t>
      </w:r>
      <w:r w:rsidR="00927BB5">
        <w:t>I</w:t>
      </w:r>
      <w:r>
        <w:t>.</w:t>
      </w:r>
      <w:r>
        <w:tab/>
        <w:t>Miscellaneous proposals for amendments to the Model Regulations on</w:t>
      </w:r>
      <w:r>
        <w:br/>
      </w:r>
      <w:r>
        <w:tab/>
      </w:r>
      <w:r>
        <w:tab/>
        <w:t>the Transport of Dangerous Goods</w:t>
      </w:r>
      <w:r w:rsidR="00314C42">
        <w:t xml:space="preserve"> (agenda item 6)</w:t>
      </w:r>
      <w:r>
        <w:tab/>
      </w:r>
      <w:r>
        <w:tab/>
      </w:r>
      <w:r w:rsidR="008922F6">
        <w:t>69-84</w:t>
      </w:r>
      <w:r w:rsidR="008922F6">
        <w:tab/>
      </w:r>
      <w:r w:rsidR="00AD27D1">
        <w:t>15</w:t>
      </w:r>
    </w:p>
    <w:p w14:paraId="66673F3A" w14:textId="7F89373E"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A.</w:t>
      </w:r>
      <w:r>
        <w:tab/>
        <w:t>Marking and labelling</w:t>
      </w:r>
      <w:r>
        <w:tab/>
      </w:r>
      <w:r>
        <w:tab/>
      </w:r>
      <w:r w:rsidR="008922F6">
        <w:t>69</w:t>
      </w:r>
      <w:r w:rsidR="008922F6">
        <w:tab/>
      </w:r>
      <w:r w:rsidR="00AD27D1">
        <w:t>15</w:t>
      </w:r>
    </w:p>
    <w:p w14:paraId="6D2BFD90" w14:textId="4E1940C8"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r>
      <w:r w:rsidRPr="00846B01">
        <w:t xml:space="preserve">Size of the marking of </w:t>
      </w:r>
      <w:r w:rsidR="008922F6" w:rsidRPr="00846B01">
        <w:t>the UN number on packages</w:t>
      </w:r>
      <w:r w:rsidR="008922F6" w:rsidRPr="00846B01">
        <w:tab/>
      </w:r>
      <w:r w:rsidR="008922F6" w:rsidRPr="00846B01">
        <w:tab/>
        <w:t>69</w:t>
      </w:r>
      <w:r w:rsidR="008922F6" w:rsidRPr="00846B01">
        <w:tab/>
      </w:r>
      <w:r w:rsidR="00AD27D1" w:rsidRPr="00846B01">
        <w:t>15</w:t>
      </w:r>
    </w:p>
    <w:p w14:paraId="21F174CE" w14:textId="39D70ADA"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B.</w:t>
      </w:r>
      <w:r>
        <w:tab/>
      </w:r>
      <w:proofErr w:type="spellStart"/>
      <w:r>
        <w:t>Packagings</w:t>
      </w:r>
      <w:proofErr w:type="spellEnd"/>
      <w:r>
        <w:tab/>
      </w:r>
      <w:r>
        <w:tab/>
      </w:r>
      <w:r w:rsidR="008922F6">
        <w:t>70-74</w:t>
      </w:r>
      <w:r w:rsidR="008922F6">
        <w:tab/>
      </w:r>
      <w:r w:rsidR="00AD27D1">
        <w:t>16</w:t>
      </w:r>
    </w:p>
    <w:p w14:paraId="73E13714" w14:textId="09C83101"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lastRenderedPageBreak/>
        <w:tab/>
      </w:r>
      <w:r>
        <w:tab/>
      </w:r>
      <w:r>
        <w:tab/>
        <w:t>1.</w:t>
      </w:r>
      <w:r>
        <w:tab/>
        <w:t xml:space="preserve">Drop test for IBCs, large plastic </w:t>
      </w:r>
      <w:proofErr w:type="spellStart"/>
      <w:r>
        <w:t>packagings</w:t>
      </w:r>
      <w:proofErr w:type="spellEnd"/>
      <w:r>
        <w:t xml:space="preserve"> or </w:t>
      </w:r>
      <w:proofErr w:type="spellStart"/>
      <w:r>
        <w:t>packagings</w:t>
      </w:r>
      <w:proofErr w:type="spellEnd"/>
      <w:r>
        <w:t xml:space="preserve"> containing</w:t>
      </w:r>
      <w:r>
        <w:br/>
      </w:r>
      <w:r>
        <w:tab/>
      </w:r>
      <w:r>
        <w:tab/>
      </w:r>
      <w:r>
        <w:tab/>
      </w:r>
      <w:r>
        <w:tab/>
        <w:t xml:space="preserve">inner plastic </w:t>
      </w:r>
      <w:proofErr w:type="spellStart"/>
      <w:r>
        <w:t>packagings</w:t>
      </w:r>
      <w:proofErr w:type="spellEnd"/>
      <w:r>
        <w:t xml:space="preserve">/receptacles – conditioning </w:t>
      </w:r>
      <w:r w:rsidR="008922F6">
        <w:t>duration at -18° C</w:t>
      </w:r>
      <w:r w:rsidR="008922F6">
        <w:tab/>
      </w:r>
      <w:r w:rsidR="008922F6">
        <w:tab/>
        <w:t>70</w:t>
      </w:r>
      <w:r w:rsidR="008922F6">
        <w:tab/>
      </w:r>
      <w:r w:rsidR="00AD27D1">
        <w:t>16</w:t>
      </w:r>
    </w:p>
    <w:p w14:paraId="6FECADEF" w14:textId="600CA4BD"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t>2.</w:t>
      </w:r>
      <w:r>
        <w:tab/>
        <w:t xml:space="preserve">Routine </w:t>
      </w:r>
      <w:r w:rsidR="008922F6">
        <w:t>maintenance of rigid IBCs</w:t>
      </w:r>
      <w:r w:rsidR="008922F6">
        <w:tab/>
      </w:r>
      <w:r w:rsidR="008922F6">
        <w:tab/>
        <w:t>71</w:t>
      </w:r>
      <w:r w:rsidR="008922F6">
        <w:tab/>
      </w:r>
      <w:r w:rsidR="00AD27D1">
        <w:t>16</w:t>
      </w:r>
    </w:p>
    <w:p w14:paraId="75AD5E36" w14:textId="6018DB66"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t>3.</w:t>
      </w:r>
      <w:r>
        <w:tab/>
        <w:t>Additional marking of the maximum</w:t>
      </w:r>
      <w:r w:rsidR="008922F6">
        <w:t xml:space="preserve"> stacking load of IBCs</w:t>
      </w:r>
      <w:r w:rsidR="008922F6">
        <w:tab/>
      </w:r>
      <w:r w:rsidR="008922F6">
        <w:tab/>
        <w:t>72-73</w:t>
      </w:r>
      <w:r w:rsidR="008922F6">
        <w:tab/>
      </w:r>
      <w:r w:rsidR="00AD27D1">
        <w:t>16</w:t>
      </w:r>
    </w:p>
    <w:p w14:paraId="68DED09D" w14:textId="34A5B1BF"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t>4.</w:t>
      </w:r>
      <w:r>
        <w:tab/>
        <w:t xml:space="preserve">Use of </w:t>
      </w:r>
      <w:proofErr w:type="spellStart"/>
      <w:r>
        <w:t>packagings</w:t>
      </w:r>
      <w:proofErr w:type="spellEnd"/>
      <w:r>
        <w:t xml:space="preserve"> approved for liquids to transport solid</w:t>
      </w:r>
      <w:r>
        <w:br/>
      </w:r>
      <w:r>
        <w:tab/>
      </w:r>
      <w:r>
        <w:tab/>
      </w:r>
      <w:r>
        <w:tab/>
      </w:r>
      <w:r>
        <w:tab/>
        <w:t>dangerous goods</w:t>
      </w:r>
      <w:r w:rsidR="008922F6">
        <w:tab/>
      </w:r>
      <w:r w:rsidR="008922F6">
        <w:tab/>
        <w:t>74</w:t>
      </w:r>
      <w:r w:rsidR="008922F6">
        <w:tab/>
      </w:r>
      <w:r w:rsidR="00AD27D1">
        <w:t>16</w:t>
      </w:r>
    </w:p>
    <w:p w14:paraId="471AC96B" w14:textId="53A0B01F"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C.</w:t>
      </w:r>
      <w:r>
        <w:tab/>
        <w:t>Portable tanks</w:t>
      </w:r>
      <w:r>
        <w:tab/>
      </w:r>
      <w:r>
        <w:tab/>
      </w:r>
      <w:r w:rsidR="008922F6">
        <w:t>75-82</w:t>
      </w:r>
      <w:r w:rsidR="008922F6">
        <w:tab/>
      </w:r>
      <w:r w:rsidR="00AD27D1">
        <w:t>16</w:t>
      </w:r>
    </w:p>
    <w:p w14:paraId="78CC5E18" w14:textId="569176E4"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t>1.</w:t>
      </w:r>
      <w:r>
        <w:tab/>
        <w:t>Inspection of p</w:t>
      </w:r>
      <w:r w:rsidR="008922F6">
        <w:t>ressure-relief devices</w:t>
      </w:r>
      <w:r w:rsidR="008922F6">
        <w:tab/>
      </w:r>
      <w:r w:rsidR="008922F6">
        <w:tab/>
        <w:t>75-76</w:t>
      </w:r>
      <w:r w:rsidR="008922F6">
        <w:tab/>
      </w:r>
      <w:r w:rsidR="00AD27D1">
        <w:t>16</w:t>
      </w:r>
    </w:p>
    <w:p w14:paraId="5C80AB38" w14:textId="258AFCAB"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t>2.</w:t>
      </w:r>
      <w:r>
        <w:tab/>
        <w:t>Impact testing of portable tanks and MEGCs: proposal to revise</w:t>
      </w:r>
      <w:r>
        <w:br/>
      </w:r>
      <w:r>
        <w:tab/>
      </w:r>
      <w:r>
        <w:tab/>
      </w:r>
      <w:r>
        <w:tab/>
      </w:r>
      <w:r>
        <w:tab/>
        <w:t>section 41 of the Ma</w:t>
      </w:r>
      <w:r w:rsidR="008922F6">
        <w:t>nual of Tests and Criteria</w:t>
      </w:r>
      <w:r w:rsidR="008922F6">
        <w:tab/>
      </w:r>
      <w:r w:rsidR="008922F6">
        <w:tab/>
        <w:t>77</w:t>
      </w:r>
      <w:r w:rsidR="008922F6">
        <w:tab/>
      </w:r>
      <w:r w:rsidR="00AD27D1">
        <w:t>17</w:t>
      </w:r>
    </w:p>
    <w:p w14:paraId="77F660C8" w14:textId="600BFEEA"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t>3.</w:t>
      </w:r>
      <w:r>
        <w:tab/>
        <w:t>Minimum shell thickness for portable tanks used for the carriage</w:t>
      </w:r>
      <w:r>
        <w:br/>
      </w:r>
      <w:r>
        <w:tab/>
      </w:r>
      <w:r>
        <w:tab/>
      </w:r>
      <w:r>
        <w:tab/>
      </w:r>
      <w:r>
        <w:tab/>
        <w:t>of non-ref</w:t>
      </w:r>
      <w:r w:rsidR="008922F6">
        <w:t>rigerated liquefied gases</w:t>
      </w:r>
      <w:r w:rsidR="008922F6">
        <w:tab/>
      </w:r>
      <w:r w:rsidR="008922F6">
        <w:tab/>
        <w:t>78</w:t>
      </w:r>
      <w:r w:rsidR="008922F6">
        <w:tab/>
      </w:r>
      <w:r w:rsidR="00AD27D1">
        <w:t>17</w:t>
      </w:r>
    </w:p>
    <w:p w14:paraId="78D333C8" w14:textId="473F4C32"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t>4.</w:t>
      </w:r>
      <w:r>
        <w:tab/>
        <w:t xml:space="preserve">Clarification </w:t>
      </w:r>
      <w:r w:rsidR="008922F6">
        <w:t>of special provision TP19</w:t>
      </w:r>
      <w:r w:rsidR="008922F6">
        <w:tab/>
      </w:r>
      <w:r w:rsidR="008922F6">
        <w:tab/>
        <w:t>79</w:t>
      </w:r>
      <w:r w:rsidR="008922F6">
        <w:tab/>
      </w:r>
      <w:r w:rsidR="00AD27D1">
        <w:t>17</w:t>
      </w:r>
    </w:p>
    <w:p w14:paraId="00F1C602" w14:textId="625AF74C"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t>5.</w:t>
      </w:r>
      <w:r>
        <w:tab/>
        <w:t>Fibre-reinforced plastic</w:t>
      </w:r>
      <w:r w:rsidR="008922F6">
        <w:t>s portable tanks (FRP)</w:t>
      </w:r>
      <w:r w:rsidR="008922F6">
        <w:tab/>
      </w:r>
      <w:r w:rsidR="008922F6">
        <w:tab/>
        <w:t>80-81</w:t>
      </w:r>
      <w:r w:rsidR="008922F6">
        <w:tab/>
      </w:r>
      <w:r w:rsidR="00AD27D1">
        <w:t>17</w:t>
      </w:r>
    </w:p>
    <w:p w14:paraId="50F820E3" w14:textId="4106EEC0" w:rsidR="00927BB5" w:rsidRDefault="00927BB5" w:rsidP="0007221F">
      <w:pPr>
        <w:tabs>
          <w:tab w:val="right" w:pos="850"/>
          <w:tab w:val="left" w:pos="1134"/>
          <w:tab w:val="left" w:pos="1559"/>
          <w:tab w:val="left" w:pos="1984"/>
          <w:tab w:val="left" w:leader="dot" w:pos="7654"/>
          <w:tab w:val="right" w:pos="8929"/>
          <w:tab w:val="right" w:pos="9638"/>
        </w:tabs>
        <w:spacing w:before="120" w:after="120"/>
      </w:pPr>
      <w:r>
        <w:tab/>
      </w:r>
      <w:r>
        <w:tab/>
      </w:r>
      <w:r>
        <w:tab/>
        <w:t>6.</w:t>
      </w:r>
      <w:r>
        <w:tab/>
        <w:t>Provisions concerning holding time information in the</w:t>
      </w:r>
      <w:r>
        <w:br/>
      </w:r>
      <w:r>
        <w:tab/>
      </w:r>
      <w:r>
        <w:tab/>
      </w:r>
      <w:r>
        <w:tab/>
      </w:r>
      <w:r>
        <w:tab/>
      </w:r>
      <w:r w:rsidR="008922F6">
        <w:t>transport document</w:t>
      </w:r>
      <w:r w:rsidR="008922F6">
        <w:tab/>
      </w:r>
      <w:r w:rsidR="008922F6">
        <w:tab/>
        <w:t>82</w:t>
      </w:r>
      <w:r w:rsidR="008922F6">
        <w:tab/>
      </w:r>
      <w:r w:rsidR="00AD27D1">
        <w:t>18</w:t>
      </w:r>
    </w:p>
    <w:p w14:paraId="69ADEBC1" w14:textId="420215D0" w:rsidR="0097535A" w:rsidRDefault="0097535A" w:rsidP="0007221F">
      <w:pPr>
        <w:tabs>
          <w:tab w:val="right" w:pos="850"/>
          <w:tab w:val="left" w:pos="1134"/>
          <w:tab w:val="left" w:pos="1559"/>
          <w:tab w:val="left" w:pos="1984"/>
          <w:tab w:val="left" w:leader="dot" w:pos="7654"/>
          <w:tab w:val="right" w:pos="8929"/>
          <w:tab w:val="right" w:pos="9638"/>
        </w:tabs>
        <w:spacing w:before="120" w:after="120"/>
      </w:pPr>
      <w:r>
        <w:tab/>
      </w:r>
      <w:r>
        <w:tab/>
        <w:t>D.</w:t>
      </w:r>
      <w:r>
        <w:tab/>
        <w:t>Other miscellaneous proposals</w:t>
      </w:r>
      <w:r>
        <w:tab/>
      </w:r>
      <w:r>
        <w:tab/>
      </w:r>
      <w:r w:rsidR="008922F6">
        <w:t>83-84</w:t>
      </w:r>
      <w:r w:rsidR="008922F6">
        <w:tab/>
      </w:r>
      <w:r w:rsidR="00AD27D1">
        <w:t>18</w:t>
      </w:r>
    </w:p>
    <w:p w14:paraId="73C27208" w14:textId="650BB323" w:rsidR="00094B4E" w:rsidRDefault="00094B4E" w:rsidP="0007221F">
      <w:pPr>
        <w:tabs>
          <w:tab w:val="right" w:pos="850"/>
          <w:tab w:val="left" w:pos="1134"/>
          <w:tab w:val="left" w:pos="1559"/>
          <w:tab w:val="left" w:pos="1984"/>
          <w:tab w:val="left" w:leader="dot" w:pos="7654"/>
          <w:tab w:val="right" w:pos="8929"/>
          <w:tab w:val="right" w:pos="9638"/>
        </w:tabs>
        <w:spacing w:before="120" w:after="120"/>
      </w:pPr>
      <w:r>
        <w:tab/>
      </w:r>
      <w:r>
        <w:tab/>
      </w:r>
      <w:r>
        <w:tab/>
        <w:t>1.</w:t>
      </w:r>
      <w:r>
        <w:tab/>
        <w:t>Corrections to label models Nos. 7</w:t>
      </w:r>
      <w:r w:rsidR="008922F6">
        <w:t>A, 7B and 7C in 5.2.2.2.2</w:t>
      </w:r>
      <w:r w:rsidR="008922F6">
        <w:tab/>
      </w:r>
      <w:r w:rsidR="008922F6">
        <w:tab/>
        <w:t>83</w:t>
      </w:r>
      <w:r w:rsidR="008922F6">
        <w:tab/>
      </w:r>
      <w:r w:rsidR="00AD27D1">
        <w:t>18</w:t>
      </w:r>
    </w:p>
    <w:p w14:paraId="2EF66A81" w14:textId="0CE4391C" w:rsidR="00094B4E" w:rsidRDefault="00094B4E" w:rsidP="0007221F">
      <w:pPr>
        <w:tabs>
          <w:tab w:val="right" w:pos="850"/>
          <w:tab w:val="left" w:pos="1134"/>
          <w:tab w:val="left" w:pos="1559"/>
          <w:tab w:val="left" w:pos="1984"/>
          <w:tab w:val="left" w:leader="dot" w:pos="7654"/>
          <w:tab w:val="right" w:pos="8929"/>
          <w:tab w:val="right" w:pos="9638"/>
        </w:tabs>
        <w:spacing w:before="120" w:after="120"/>
      </w:pPr>
      <w:r>
        <w:tab/>
      </w:r>
      <w:r>
        <w:tab/>
      </w:r>
      <w:r>
        <w:tab/>
        <w:t>2.</w:t>
      </w:r>
      <w:r>
        <w:tab/>
        <w:t>Proposal of am</w:t>
      </w:r>
      <w:r w:rsidR="008922F6">
        <w:t>endments to section 5.5.3</w:t>
      </w:r>
      <w:r w:rsidR="008922F6">
        <w:tab/>
      </w:r>
      <w:r w:rsidR="008922F6">
        <w:tab/>
        <w:t>84</w:t>
      </w:r>
      <w:r w:rsidR="008922F6">
        <w:tab/>
      </w:r>
      <w:r w:rsidR="00AD27D1">
        <w:t>18</w:t>
      </w:r>
    </w:p>
    <w:p w14:paraId="590C5A24" w14:textId="2A6F9029" w:rsidR="00094B4E" w:rsidRDefault="00094B4E" w:rsidP="0007221F">
      <w:pPr>
        <w:tabs>
          <w:tab w:val="right" w:pos="850"/>
          <w:tab w:val="left" w:pos="1134"/>
          <w:tab w:val="left" w:pos="1559"/>
          <w:tab w:val="left" w:pos="1984"/>
          <w:tab w:val="left" w:leader="dot" w:pos="7654"/>
          <w:tab w:val="right" w:pos="8929"/>
          <w:tab w:val="right" w:pos="9638"/>
        </w:tabs>
        <w:spacing w:before="120" w:after="120"/>
      </w:pPr>
      <w:r>
        <w:tab/>
        <w:t>IX.</w:t>
      </w:r>
      <w:r>
        <w:tab/>
        <w:t>Global harmonization of transport of dangerous goods regulations</w:t>
      </w:r>
      <w:r>
        <w:br/>
      </w:r>
      <w:r>
        <w:tab/>
      </w:r>
      <w:r>
        <w:tab/>
        <w:t>with the Model Regul</w:t>
      </w:r>
      <w:r w:rsidR="008922F6">
        <w:t>ations (agenda item 7)</w:t>
      </w:r>
      <w:r w:rsidR="008922F6">
        <w:tab/>
      </w:r>
      <w:r w:rsidR="008922F6">
        <w:tab/>
        <w:t>85-92</w:t>
      </w:r>
      <w:r w:rsidR="008922F6">
        <w:tab/>
      </w:r>
      <w:r w:rsidR="00AD27D1">
        <w:t>18</w:t>
      </w:r>
    </w:p>
    <w:p w14:paraId="3FBDC064" w14:textId="14FA3616" w:rsidR="00094B4E" w:rsidRDefault="00094B4E" w:rsidP="0007221F">
      <w:pPr>
        <w:tabs>
          <w:tab w:val="right" w:pos="850"/>
          <w:tab w:val="left" w:pos="1134"/>
          <w:tab w:val="left" w:pos="1559"/>
          <w:tab w:val="left" w:pos="1984"/>
          <w:tab w:val="left" w:leader="dot" w:pos="7654"/>
          <w:tab w:val="right" w:pos="8929"/>
          <w:tab w:val="right" w:pos="9638"/>
        </w:tabs>
        <w:spacing w:before="120" w:after="120"/>
      </w:pPr>
      <w:r>
        <w:tab/>
      </w:r>
      <w:r>
        <w:tab/>
      </w:r>
      <w:r>
        <w:tab/>
        <w:t>1.</w:t>
      </w:r>
      <w:r>
        <w:tab/>
        <w:t>Recommendations made by the ICAO</w:t>
      </w:r>
      <w:r w:rsidR="008922F6">
        <w:t xml:space="preserve"> Dangerous Goods Panel</w:t>
      </w:r>
      <w:r w:rsidR="008922F6">
        <w:tab/>
      </w:r>
      <w:r w:rsidR="008922F6">
        <w:tab/>
        <w:t>85-86</w:t>
      </w:r>
      <w:r w:rsidR="008922F6">
        <w:tab/>
      </w:r>
      <w:r w:rsidR="00AD27D1">
        <w:t>18</w:t>
      </w:r>
    </w:p>
    <w:p w14:paraId="3F11AB6F" w14:textId="5DF99E84" w:rsidR="00094B4E" w:rsidRDefault="00094B4E" w:rsidP="0007221F">
      <w:pPr>
        <w:tabs>
          <w:tab w:val="right" w:pos="850"/>
          <w:tab w:val="left" w:pos="1134"/>
          <w:tab w:val="left" w:pos="1559"/>
          <w:tab w:val="left" w:pos="1984"/>
          <w:tab w:val="left" w:leader="dot" w:pos="7654"/>
          <w:tab w:val="right" w:pos="8929"/>
          <w:tab w:val="right" w:pos="9638"/>
        </w:tabs>
        <w:spacing w:before="120" w:after="120"/>
      </w:pPr>
      <w:r>
        <w:tab/>
      </w:r>
      <w:r>
        <w:tab/>
      </w:r>
      <w:r>
        <w:tab/>
        <w:t>2.</w:t>
      </w:r>
      <w:r>
        <w:tab/>
        <w:t>Activities of IMO (Sub-Committee on Carriage of Cargoes and</w:t>
      </w:r>
      <w:r>
        <w:br/>
      </w:r>
      <w:r>
        <w:tab/>
      </w:r>
      <w:r>
        <w:tab/>
      </w:r>
      <w:r>
        <w:tab/>
      </w:r>
      <w:r>
        <w:tab/>
        <w:t>Containers CCC4) and the Editorial and</w:t>
      </w:r>
      <w:r w:rsidR="008922F6">
        <w:t xml:space="preserve"> Technical Group (E&amp;T 28)</w:t>
      </w:r>
      <w:r w:rsidR="008922F6">
        <w:tab/>
      </w:r>
      <w:r w:rsidR="008922F6">
        <w:tab/>
        <w:t>87</w:t>
      </w:r>
      <w:r w:rsidR="008922F6">
        <w:tab/>
      </w:r>
      <w:r w:rsidR="00AD27D1">
        <w:t>19</w:t>
      </w:r>
    </w:p>
    <w:p w14:paraId="54434363" w14:textId="4C431474" w:rsidR="00094B4E" w:rsidRDefault="00771216" w:rsidP="0007221F">
      <w:pPr>
        <w:tabs>
          <w:tab w:val="right" w:pos="850"/>
          <w:tab w:val="left" w:pos="1134"/>
          <w:tab w:val="left" w:pos="1559"/>
          <w:tab w:val="left" w:pos="1984"/>
          <w:tab w:val="left" w:leader="dot" w:pos="7654"/>
          <w:tab w:val="right" w:pos="8929"/>
          <w:tab w:val="right" w:pos="9638"/>
        </w:tabs>
        <w:spacing w:before="120" w:after="120"/>
      </w:pPr>
      <w:r>
        <w:tab/>
      </w:r>
      <w:r>
        <w:tab/>
      </w:r>
      <w:r>
        <w:tab/>
        <w:t>3.</w:t>
      </w:r>
      <w:r>
        <w:tab/>
        <w:t>Editorial corrections to the twentieth revised edition of the</w:t>
      </w:r>
      <w:r>
        <w:br/>
      </w:r>
      <w:r>
        <w:tab/>
      </w:r>
      <w:r>
        <w:tab/>
      </w:r>
      <w:r>
        <w:tab/>
      </w:r>
      <w:r>
        <w:tab/>
        <w:t>Model Regulations</w:t>
      </w:r>
      <w:r>
        <w:tab/>
      </w:r>
      <w:r>
        <w:tab/>
        <w:t>88-89</w:t>
      </w:r>
      <w:r>
        <w:tab/>
      </w:r>
      <w:r w:rsidR="00AD27D1">
        <w:t>19</w:t>
      </w:r>
    </w:p>
    <w:p w14:paraId="76CAA529" w14:textId="44749290" w:rsidR="00771216" w:rsidRDefault="00771216" w:rsidP="0007221F">
      <w:pPr>
        <w:tabs>
          <w:tab w:val="right" w:pos="850"/>
          <w:tab w:val="left" w:pos="1134"/>
          <w:tab w:val="left" w:pos="1559"/>
          <w:tab w:val="left" w:pos="1984"/>
          <w:tab w:val="left" w:leader="dot" w:pos="7654"/>
          <w:tab w:val="right" w:pos="8929"/>
          <w:tab w:val="right" w:pos="9638"/>
        </w:tabs>
        <w:spacing w:before="120" w:after="120"/>
      </w:pPr>
      <w:r>
        <w:tab/>
      </w:r>
      <w:r>
        <w:tab/>
      </w:r>
      <w:r>
        <w:tab/>
        <w:t>4.</w:t>
      </w:r>
      <w:r>
        <w:tab/>
        <w:t>Name and description of UN 3363</w:t>
      </w:r>
      <w:r>
        <w:tab/>
      </w:r>
      <w:r>
        <w:tab/>
        <w:t>90-92</w:t>
      </w:r>
      <w:r>
        <w:tab/>
      </w:r>
      <w:r w:rsidR="00AD27D1">
        <w:t>19</w:t>
      </w:r>
    </w:p>
    <w:p w14:paraId="52854B32" w14:textId="472771C8" w:rsidR="00771216" w:rsidRDefault="00771216" w:rsidP="0007221F">
      <w:pPr>
        <w:tabs>
          <w:tab w:val="right" w:pos="850"/>
          <w:tab w:val="left" w:pos="1134"/>
          <w:tab w:val="left" w:pos="1559"/>
          <w:tab w:val="left" w:pos="1984"/>
          <w:tab w:val="left" w:leader="dot" w:pos="7654"/>
          <w:tab w:val="right" w:pos="8929"/>
          <w:tab w:val="right" w:pos="9638"/>
        </w:tabs>
        <w:spacing w:before="120" w:after="120"/>
      </w:pPr>
      <w:r>
        <w:tab/>
        <w:t>X.</w:t>
      </w:r>
      <w:r>
        <w:tab/>
        <w:t>Cooperation with the International Atomic Energy Agency (agenda item 8)</w:t>
      </w:r>
      <w:r>
        <w:tab/>
      </w:r>
      <w:r>
        <w:tab/>
        <w:t>93</w:t>
      </w:r>
      <w:r>
        <w:tab/>
      </w:r>
      <w:r w:rsidR="00AD27D1">
        <w:t>20</w:t>
      </w:r>
    </w:p>
    <w:p w14:paraId="31D5529C" w14:textId="4F44ECD5" w:rsidR="00771216" w:rsidRDefault="00771216" w:rsidP="0007221F">
      <w:pPr>
        <w:tabs>
          <w:tab w:val="right" w:pos="850"/>
          <w:tab w:val="left" w:pos="1134"/>
          <w:tab w:val="left" w:pos="1559"/>
          <w:tab w:val="left" w:pos="1984"/>
          <w:tab w:val="left" w:leader="dot" w:pos="7654"/>
          <w:tab w:val="right" w:pos="8929"/>
          <w:tab w:val="right" w:pos="9638"/>
        </w:tabs>
        <w:spacing w:before="120" w:after="120"/>
      </w:pPr>
      <w:r>
        <w:tab/>
        <w:t>XI.</w:t>
      </w:r>
      <w:r>
        <w:tab/>
        <w:t>Guiding principles for the Model regulations (agenda item 9)</w:t>
      </w:r>
      <w:r>
        <w:tab/>
      </w:r>
      <w:r>
        <w:tab/>
        <w:t>94</w:t>
      </w:r>
      <w:r>
        <w:tab/>
      </w:r>
      <w:r w:rsidR="00AD27D1">
        <w:t>20</w:t>
      </w:r>
    </w:p>
    <w:p w14:paraId="15E6B65D" w14:textId="223E85CA" w:rsidR="00771216" w:rsidRDefault="00771216" w:rsidP="0007221F">
      <w:pPr>
        <w:tabs>
          <w:tab w:val="right" w:pos="850"/>
          <w:tab w:val="left" w:pos="1134"/>
          <w:tab w:val="left" w:pos="1559"/>
          <w:tab w:val="left" w:pos="1984"/>
          <w:tab w:val="left" w:leader="dot" w:pos="7654"/>
          <w:tab w:val="right" w:pos="8929"/>
          <w:tab w:val="right" w:pos="9638"/>
        </w:tabs>
        <w:spacing w:before="120" w:after="120"/>
      </w:pPr>
      <w:r>
        <w:tab/>
        <w:t>XII.</w:t>
      </w:r>
      <w:r>
        <w:tab/>
        <w:t>Issues related to the Globally Harmonized System of Classification</w:t>
      </w:r>
      <w:r>
        <w:br/>
      </w:r>
      <w:r>
        <w:tab/>
      </w:r>
      <w:r>
        <w:tab/>
        <w:t>and Labelling of Chemicals (GHS) (agenda item 10)</w:t>
      </w:r>
      <w:r>
        <w:tab/>
      </w:r>
      <w:r>
        <w:tab/>
        <w:t>95-99</w:t>
      </w:r>
      <w:r>
        <w:tab/>
      </w:r>
      <w:r w:rsidR="00AD27D1">
        <w:t>20</w:t>
      </w:r>
    </w:p>
    <w:p w14:paraId="7F3EDF99" w14:textId="539F6B20" w:rsidR="00771216" w:rsidRDefault="00771216" w:rsidP="0007221F">
      <w:pPr>
        <w:tabs>
          <w:tab w:val="right" w:pos="850"/>
          <w:tab w:val="left" w:pos="1134"/>
          <w:tab w:val="left" w:pos="1559"/>
          <w:tab w:val="left" w:pos="1984"/>
          <w:tab w:val="left" w:leader="dot" w:pos="7654"/>
          <w:tab w:val="right" w:pos="8929"/>
          <w:tab w:val="right" w:pos="9638"/>
        </w:tabs>
        <w:spacing w:before="120" w:after="120"/>
      </w:pPr>
      <w:r>
        <w:tab/>
      </w:r>
      <w:r>
        <w:tab/>
        <w:t>A.</w:t>
      </w:r>
      <w:r>
        <w:tab/>
        <w:t>Criteria for water-reactivity</w:t>
      </w:r>
      <w:r>
        <w:tab/>
      </w:r>
      <w:r>
        <w:tab/>
        <w:t>95</w:t>
      </w:r>
      <w:r>
        <w:tab/>
      </w:r>
      <w:r w:rsidR="00AD27D1">
        <w:t>20</w:t>
      </w:r>
    </w:p>
    <w:p w14:paraId="392CA8CB" w14:textId="25DD952D" w:rsidR="00771216" w:rsidRDefault="00771216" w:rsidP="0007221F">
      <w:pPr>
        <w:tabs>
          <w:tab w:val="right" w:pos="850"/>
          <w:tab w:val="left" w:pos="1134"/>
          <w:tab w:val="left" w:pos="1559"/>
          <w:tab w:val="left" w:pos="1984"/>
          <w:tab w:val="left" w:leader="dot" w:pos="7654"/>
          <w:tab w:val="right" w:pos="8929"/>
          <w:tab w:val="right" w:pos="9638"/>
        </w:tabs>
        <w:spacing w:before="120" w:after="120"/>
      </w:pPr>
      <w:r>
        <w:tab/>
      </w:r>
      <w:r>
        <w:tab/>
        <w:t>B.</w:t>
      </w:r>
      <w:r>
        <w:tab/>
        <w:t>Testing of oxidizing substances</w:t>
      </w:r>
      <w:r>
        <w:tab/>
      </w:r>
      <w:r>
        <w:tab/>
        <w:t>96</w:t>
      </w:r>
      <w:r>
        <w:tab/>
      </w:r>
      <w:r w:rsidR="00AD27D1">
        <w:t>20</w:t>
      </w:r>
    </w:p>
    <w:p w14:paraId="48A74CD2" w14:textId="40B09E10" w:rsidR="00771216" w:rsidRDefault="00771216" w:rsidP="0007221F">
      <w:pPr>
        <w:tabs>
          <w:tab w:val="right" w:pos="850"/>
          <w:tab w:val="left" w:pos="1134"/>
          <w:tab w:val="left" w:pos="1559"/>
          <w:tab w:val="left" w:pos="1984"/>
          <w:tab w:val="left" w:leader="dot" w:pos="7654"/>
          <w:tab w:val="right" w:pos="8929"/>
          <w:tab w:val="right" w:pos="9638"/>
        </w:tabs>
        <w:spacing w:before="120" w:after="120"/>
      </w:pPr>
      <w:r>
        <w:tab/>
      </w:r>
      <w:r>
        <w:tab/>
        <w:t>C.</w:t>
      </w:r>
      <w:r>
        <w:tab/>
        <w:t>Updating of references to OECD Guidelines</w:t>
      </w:r>
      <w:r>
        <w:tab/>
      </w:r>
      <w:r>
        <w:tab/>
        <w:t>97</w:t>
      </w:r>
      <w:r>
        <w:tab/>
      </w:r>
      <w:r w:rsidR="00AD27D1">
        <w:t>20</w:t>
      </w:r>
    </w:p>
    <w:p w14:paraId="55C37A69" w14:textId="52ACA6ED" w:rsidR="00771216" w:rsidRDefault="00771216" w:rsidP="0007221F">
      <w:pPr>
        <w:tabs>
          <w:tab w:val="right" w:pos="850"/>
          <w:tab w:val="left" w:pos="1134"/>
          <w:tab w:val="left" w:pos="1559"/>
          <w:tab w:val="left" w:pos="1984"/>
          <w:tab w:val="left" w:leader="dot" w:pos="7654"/>
          <w:tab w:val="right" w:pos="8929"/>
          <w:tab w:val="right" w:pos="9638"/>
        </w:tabs>
        <w:spacing w:before="120" w:after="120"/>
      </w:pPr>
      <w:r>
        <w:tab/>
      </w:r>
      <w:r>
        <w:tab/>
        <w:t>D.</w:t>
      </w:r>
      <w:r>
        <w:tab/>
        <w:t>Use of the Manual of Tests and Criteria in the context of the GHS</w:t>
      </w:r>
      <w:r>
        <w:tab/>
      </w:r>
      <w:r>
        <w:tab/>
        <w:t>98</w:t>
      </w:r>
      <w:r>
        <w:tab/>
      </w:r>
      <w:r w:rsidR="00AD27D1">
        <w:t>20</w:t>
      </w:r>
    </w:p>
    <w:p w14:paraId="5B712863" w14:textId="448CA724" w:rsidR="00771216" w:rsidRDefault="00771216" w:rsidP="0007221F">
      <w:pPr>
        <w:tabs>
          <w:tab w:val="right" w:pos="850"/>
          <w:tab w:val="left" w:pos="1134"/>
          <w:tab w:val="left" w:pos="1559"/>
          <w:tab w:val="left" w:pos="1984"/>
          <w:tab w:val="left" w:leader="dot" w:pos="7654"/>
          <w:tab w:val="right" w:pos="8929"/>
          <w:tab w:val="right" w:pos="9638"/>
        </w:tabs>
        <w:spacing w:before="120" w:after="120"/>
      </w:pPr>
      <w:r>
        <w:tab/>
      </w:r>
      <w:r>
        <w:tab/>
        <w:t>E.</w:t>
      </w:r>
      <w:r>
        <w:tab/>
        <w:t>Miscellaneous</w:t>
      </w:r>
      <w:r>
        <w:tab/>
      </w:r>
      <w:r>
        <w:tab/>
        <w:t>99</w:t>
      </w:r>
      <w:r>
        <w:tab/>
      </w:r>
      <w:r w:rsidR="00AD27D1">
        <w:t>21</w:t>
      </w:r>
    </w:p>
    <w:p w14:paraId="11E92F3C" w14:textId="62F4F022" w:rsidR="00771216" w:rsidRDefault="00771216" w:rsidP="0007221F">
      <w:pPr>
        <w:tabs>
          <w:tab w:val="right" w:pos="850"/>
          <w:tab w:val="left" w:pos="1134"/>
          <w:tab w:val="left" w:pos="1559"/>
          <w:tab w:val="left" w:pos="1984"/>
          <w:tab w:val="left" w:leader="dot" w:pos="7654"/>
          <w:tab w:val="right" w:pos="8929"/>
          <w:tab w:val="right" w:pos="9638"/>
        </w:tabs>
        <w:spacing w:before="120" w:after="120"/>
      </w:pPr>
      <w:r>
        <w:tab/>
        <w:t>XIII.</w:t>
      </w:r>
      <w:r>
        <w:tab/>
        <w:t>Other business (agenda item 11)</w:t>
      </w:r>
      <w:r>
        <w:tab/>
      </w:r>
      <w:r>
        <w:tab/>
        <w:t>100-102</w:t>
      </w:r>
      <w:r>
        <w:tab/>
      </w:r>
      <w:r w:rsidR="00AD27D1">
        <w:t>21</w:t>
      </w:r>
    </w:p>
    <w:p w14:paraId="7FD9FD57" w14:textId="69AD434F" w:rsidR="00771216" w:rsidRDefault="00771216" w:rsidP="0007221F">
      <w:pPr>
        <w:tabs>
          <w:tab w:val="right" w:pos="850"/>
          <w:tab w:val="left" w:pos="1134"/>
          <w:tab w:val="left" w:pos="1559"/>
          <w:tab w:val="left" w:pos="1984"/>
          <w:tab w:val="left" w:leader="dot" w:pos="7654"/>
          <w:tab w:val="right" w:pos="8929"/>
          <w:tab w:val="right" w:pos="9638"/>
        </w:tabs>
        <w:spacing w:before="120" w:after="120"/>
      </w:pPr>
      <w:r>
        <w:tab/>
      </w:r>
      <w:r>
        <w:tab/>
      </w:r>
      <w:r w:rsidRPr="00846B01">
        <w:t>Scope of section 1.1.1.2 of the Model Regulations</w:t>
      </w:r>
      <w:r w:rsidRPr="00846B01">
        <w:tab/>
      </w:r>
      <w:r w:rsidRPr="00846B01">
        <w:tab/>
        <w:t>100</w:t>
      </w:r>
      <w:r w:rsidRPr="00846B01">
        <w:tab/>
      </w:r>
      <w:r w:rsidR="00AD27D1" w:rsidRPr="00846B01">
        <w:t>21</w:t>
      </w:r>
    </w:p>
    <w:p w14:paraId="61D377F8" w14:textId="4C9D35F8" w:rsidR="00094B4E" w:rsidRDefault="00771216" w:rsidP="0007221F">
      <w:pPr>
        <w:tabs>
          <w:tab w:val="right" w:pos="850"/>
          <w:tab w:val="left" w:pos="1134"/>
          <w:tab w:val="left" w:pos="1559"/>
          <w:tab w:val="left" w:pos="1984"/>
          <w:tab w:val="left" w:leader="dot" w:pos="7654"/>
          <w:tab w:val="right" w:pos="8929"/>
          <w:tab w:val="right" w:pos="9638"/>
        </w:tabs>
        <w:spacing w:before="120" w:after="120"/>
      </w:pPr>
      <w:r>
        <w:lastRenderedPageBreak/>
        <w:tab/>
      </w:r>
      <w:r>
        <w:tab/>
        <w:t xml:space="preserve">Tribute to Mr. O. </w:t>
      </w:r>
      <w:proofErr w:type="spellStart"/>
      <w:r>
        <w:t>Kervella</w:t>
      </w:r>
      <w:proofErr w:type="spellEnd"/>
      <w:r>
        <w:t xml:space="preserve"> (Secretariat); Mr. J. </w:t>
      </w:r>
      <w:proofErr w:type="spellStart"/>
      <w:r>
        <w:t>Mayers</w:t>
      </w:r>
      <w:proofErr w:type="spellEnd"/>
      <w:r>
        <w:t xml:space="preserve"> (United Kingdom)</w:t>
      </w:r>
      <w:r>
        <w:br/>
      </w:r>
      <w:r>
        <w:tab/>
      </w:r>
      <w:r>
        <w:tab/>
        <w:t>and Ms TJ Ness (Norway</w:t>
      </w:r>
      <w:r w:rsidR="00846B01">
        <w:t>)</w:t>
      </w:r>
      <w:r w:rsidR="002B67D7">
        <w:tab/>
      </w:r>
      <w:r w:rsidR="002B67D7">
        <w:tab/>
        <w:t>101-102</w:t>
      </w:r>
      <w:r w:rsidR="002B67D7">
        <w:tab/>
      </w:r>
      <w:r w:rsidR="00AD27D1">
        <w:t>21</w:t>
      </w:r>
    </w:p>
    <w:p w14:paraId="2CAC07C6" w14:textId="7E246604" w:rsidR="002B67D7" w:rsidRDefault="002B67D7" w:rsidP="0007221F">
      <w:pPr>
        <w:tabs>
          <w:tab w:val="right" w:pos="850"/>
          <w:tab w:val="left" w:pos="1134"/>
          <w:tab w:val="left" w:pos="1559"/>
          <w:tab w:val="left" w:pos="1984"/>
          <w:tab w:val="left" w:leader="dot" w:pos="7654"/>
          <w:tab w:val="right" w:pos="8929"/>
          <w:tab w:val="right" w:pos="9638"/>
        </w:tabs>
        <w:spacing w:before="120" w:after="120"/>
      </w:pPr>
      <w:r>
        <w:tab/>
        <w:t>XIV.</w:t>
      </w:r>
      <w:r>
        <w:tab/>
        <w:t>Adoption of the report (agenda item 12)</w:t>
      </w:r>
      <w:r>
        <w:tab/>
      </w:r>
      <w:r>
        <w:tab/>
        <w:t>103</w:t>
      </w:r>
      <w:r>
        <w:tab/>
      </w:r>
      <w:r w:rsidR="00AD27D1">
        <w:t>21</w:t>
      </w:r>
    </w:p>
    <w:p w14:paraId="259B75B7" w14:textId="77777777" w:rsidR="00314C42" w:rsidRDefault="00314C42" w:rsidP="0007221F">
      <w:pPr>
        <w:tabs>
          <w:tab w:val="right" w:pos="850"/>
          <w:tab w:val="left" w:pos="1134"/>
          <w:tab w:val="left" w:pos="1559"/>
          <w:tab w:val="left" w:pos="1984"/>
          <w:tab w:val="left" w:leader="dot" w:pos="7654"/>
          <w:tab w:val="right" w:pos="8929"/>
          <w:tab w:val="right" w:pos="9638"/>
        </w:tabs>
        <w:spacing w:before="120" w:after="120"/>
      </w:pPr>
    </w:p>
    <w:p w14:paraId="41FA9030" w14:textId="77777777" w:rsidR="002B67D7" w:rsidRDefault="002B67D7" w:rsidP="0007221F">
      <w:pPr>
        <w:tabs>
          <w:tab w:val="right" w:pos="850"/>
          <w:tab w:val="left" w:pos="1134"/>
          <w:tab w:val="left" w:pos="1559"/>
          <w:tab w:val="left" w:pos="1984"/>
          <w:tab w:val="left" w:leader="dot" w:pos="7654"/>
          <w:tab w:val="right" w:pos="8929"/>
          <w:tab w:val="right" w:pos="9638"/>
        </w:tabs>
        <w:spacing w:before="120" w:after="120"/>
      </w:pPr>
    </w:p>
    <w:p w14:paraId="0983127E" w14:textId="77777777" w:rsidR="00314C42" w:rsidRDefault="00314C42" w:rsidP="0007221F">
      <w:pPr>
        <w:tabs>
          <w:tab w:val="right" w:pos="850"/>
          <w:tab w:val="left" w:pos="1134"/>
          <w:tab w:val="left" w:pos="1559"/>
          <w:tab w:val="left" w:pos="1984"/>
          <w:tab w:val="left" w:leader="dot" w:pos="7654"/>
          <w:tab w:val="right" w:pos="8929"/>
          <w:tab w:val="right" w:pos="9638"/>
        </w:tabs>
        <w:spacing w:before="120" w:after="120"/>
      </w:pPr>
      <w:r>
        <w:t>Annexes</w:t>
      </w:r>
    </w:p>
    <w:p w14:paraId="17EC80F4" w14:textId="3A803EF6" w:rsidR="00BC5968" w:rsidRDefault="00BC5968" w:rsidP="00B67E04">
      <w:pPr>
        <w:tabs>
          <w:tab w:val="right" w:pos="850"/>
          <w:tab w:val="left" w:pos="1134"/>
          <w:tab w:val="left" w:pos="1559"/>
          <w:tab w:val="left" w:pos="1984"/>
          <w:tab w:val="left" w:leader="dot" w:pos="7654"/>
          <w:tab w:val="right" w:pos="8929"/>
        </w:tabs>
        <w:spacing w:before="120" w:after="120"/>
        <w:ind w:left="1134" w:hanging="1134"/>
      </w:pPr>
      <w:r>
        <w:tab/>
        <w:t xml:space="preserve">I. </w:t>
      </w:r>
      <w:r>
        <w:tab/>
        <w:t xml:space="preserve">Corrections to the twentieth revised edition of the Recommendations on the </w:t>
      </w:r>
      <w:r>
        <w:br/>
        <w:t>Transport of Dangerous Goods, Model Reg</w:t>
      </w:r>
      <w:r w:rsidR="00B67E04">
        <w:t>ulations (ST/SG/AC.10/1/Rev.20)</w:t>
      </w:r>
      <w:r w:rsidR="00B67E04">
        <w:rPr>
          <w:rStyle w:val="FootnoteReference"/>
        </w:rPr>
        <w:footnoteReference w:id="2"/>
      </w:r>
    </w:p>
    <w:p w14:paraId="7D2C1E1B" w14:textId="35F50A91" w:rsidR="00BC5968" w:rsidRDefault="00BC5968" w:rsidP="00A35758">
      <w:pPr>
        <w:tabs>
          <w:tab w:val="right" w:pos="850"/>
          <w:tab w:val="left" w:pos="1134"/>
          <w:tab w:val="left" w:pos="1559"/>
          <w:tab w:val="left" w:pos="1984"/>
          <w:tab w:val="left" w:leader="dot" w:pos="7654"/>
          <w:tab w:val="right" w:pos="8929"/>
        </w:tabs>
        <w:spacing w:before="120" w:after="120"/>
        <w:ind w:left="1134" w:hanging="1134"/>
      </w:pPr>
      <w:r>
        <w:tab/>
        <w:t xml:space="preserve">II. </w:t>
      </w:r>
      <w:r>
        <w:tab/>
        <w:t xml:space="preserve">Draft amendments to the twentieth revised edition of the Recommendations </w:t>
      </w:r>
      <w:r>
        <w:br/>
        <w:t>on the Transport of Dangerous Goods, Model Regulations (ST/SG/AC.10/1/Rev.20)</w:t>
      </w:r>
      <w:r w:rsidR="00B67E04">
        <w:t>*</w:t>
      </w:r>
      <w:r w:rsidR="00E64159">
        <w:t xml:space="preserve"> </w:t>
      </w:r>
    </w:p>
    <w:p w14:paraId="04691E6E" w14:textId="5136BC87" w:rsidR="00314C42" w:rsidRDefault="00BC5968" w:rsidP="00B67E04">
      <w:pPr>
        <w:tabs>
          <w:tab w:val="right" w:pos="850"/>
          <w:tab w:val="left" w:pos="1134"/>
          <w:tab w:val="left" w:pos="1559"/>
          <w:tab w:val="left" w:pos="1984"/>
          <w:tab w:val="left" w:leader="dot" w:pos="8505"/>
          <w:tab w:val="right" w:pos="8929"/>
        </w:tabs>
        <w:spacing w:before="120" w:after="120"/>
        <w:ind w:left="1134" w:hanging="1134"/>
      </w:pPr>
      <w:r>
        <w:tab/>
        <w:t xml:space="preserve">III. </w:t>
      </w:r>
      <w:r>
        <w:tab/>
        <w:t xml:space="preserve">Draft amendments to the sixth revised edition of the Recommendations on the </w:t>
      </w:r>
      <w:r>
        <w:br/>
        <w:t xml:space="preserve">Transport of Dangerous Goods, Manual of Tests and Criteria (ST/SG/AC.10/11/Rev.6) </w:t>
      </w:r>
      <w:r>
        <w:br/>
        <w:t>(as amended in accordance with ST/SG/AC.10/44/Add.2)</w:t>
      </w:r>
      <w:r w:rsidR="00B67E04">
        <w:t>*</w:t>
      </w:r>
      <w:bookmarkStart w:id="0" w:name="_GoBack"/>
      <w:bookmarkEnd w:id="0"/>
    </w:p>
    <w:p w14:paraId="2A1D659F" w14:textId="77777777" w:rsidR="0097535A" w:rsidRDefault="0097535A">
      <w:pPr>
        <w:suppressAutoHyphens w:val="0"/>
        <w:spacing w:line="240" w:lineRule="auto"/>
      </w:pPr>
    </w:p>
    <w:p w14:paraId="44D050E4" w14:textId="77777777" w:rsidR="005002B8" w:rsidRDefault="005002B8">
      <w:pPr>
        <w:suppressAutoHyphens w:val="0"/>
        <w:spacing w:line="240" w:lineRule="auto"/>
      </w:pPr>
      <w:r>
        <w:br w:type="page"/>
      </w:r>
    </w:p>
    <w:p w14:paraId="06BC034A" w14:textId="77777777" w:rsidR="007238F7" w:rsidRDefault="007238F7" w:rsidP="00D41905">
      <w:pPr>
        <w:pStyle w:val="SingleTxtG"/>
        <w:jc w:val="left"/>
        <w:sectPr w:rsidR="007238F7" w:rsidSect="0020089A">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pPr>
    </w:p>
    <w:p w14:paraId="75D6D3CB" w14:textId="168CC239" w:rsidR="004011F4" w:rsidRPr="00634742" w:rsidRDefault="004011F4" w:rsidP="004011F4">
      <w:pPr>
        <w:pStyle w:val="HChG"/>
      </w:pPr>
      <w:r w:rsidRPr="00634742">
        <w:tab/>
        <w:t>I.</w:t>
      </w:r>
      <w:r w:rsidRPr="00634742">
        <w:tab/>
        <w:t>Attendance</w:t>
      </w:r>
    </w:p>
    <w:p w14:paraId="4D880F80" w14:textId="77777777" w:rsidR="004011F4" w:rsidRPr="00634742" w:rsidRDefault="004011F4" w:rsidP="004011F4">
      <w:pPr>
        <w:pStyle w:val="SingleTxtG"/>
      </w:pPr>
      <w:r w:rsidRPr="00634742">
        <w:t>1.</w:t>
      </w:r>
      <w:r w:rsidRPr="00634742">
        <w:tab/>
        <w:t xml:space="preserve">The Sub-Committee of Experts on the Transport of Dangerous Goods held its fifty-second session from 27 November to 6 December 2017, with Mr. D. </w:t>
      </w:r>
      <w:proofErr w:type="spellStart"/>
      <w:r w:rsidRPr="00634742">
        <w:t>Pfund</w:t>
      </w:r>
      <w:proofErr w:type="spellEnd"/>
      <w:r w:rsidRPr="00634742">
        <w:t xml:space="preserve"> (United States of America) as Chair and Mr. C. </w:t>
      </w:r>
      <w:proofErr w:type="spellStart"/>
      <w:r w:rsidRPr="00634742">
        <w:t>Pfauvadel</w:t>
      </w:r>
      <w:proofErr w:type="spellEnd"/>
      <w:r w:rsidRPr="00634742">
        <w:t xml:space="preserve"> (France) as Vice-Chair.</w:t>
      </w:r>
    </w:p>
    <w:p w14:paraId="77C78BF8" w14:textId="77777777" w:rsidR="004011F4" w:rsidRPr="00634742" w:rsidRDefault="004011F4" w:rsidP="004011F4">
      <w:pPr>
        <w:pStyle w:val="SingleTxtG"/>
      </w:pPr>
      <w:r w:rsidRPr="00634742">
        <w:t>2.</w:t>
      </w:r>
      <w:r w:rsidRPr="00634742">
        <w:tab/>
        <w:t>Experts from the following countries took part in the session: Argentina, Australia, Austria, Belgium, Brazil, Canada, China, Finland, France, Germany, Italy, Japan, the Netherlands, Norway, Poland, Portugal, Republic of Korea, Russian Federation, South Africa, Spain, Sweden, Switzerland, United Kingdom and United States of America.</w:t>
      </w:r>
    </w:p>
    <w:p w14:paraId="3D51AD91" w14:textId="77777777" w:rsidR="004011F4" w:rsidRPr="00634742" w:rsidRDefault="004011F4" w:rsidP="004011F4">
      <w:pPr>
        <w:pStyle w:val="SingleTxtG"/>
      </w:pPr>
      <w:r w:rsidRPr="00634742">
        <w:t>3.</w:t>
      </w:r>
      <w:r w:rsidRPr="00634742">
        <w:tab/>
        <w:t>Under rule 72 of the rules of procedure of the Economic and Social Council, observers from Qatar, Romania and Slovakia also took part.</w:t>
      </w:r>
    </w:p>
    <w:p w14:paraId="017C72EA" w14:textId="77777777" w:rsidR="004011F4" w:rsidRPr="00634742" w:rsidRDefault="004011F4" w:rsidP="004011F4">
      <w:pPr>
        <w:pStyle w:val="SingleTxtG"/>
      </w:pPr>
      <w:r w:rsidRPr="00634742">
        <w:t>4.</w:t>
      </w:r>
      <w:r w:rsidRPr="00634742">
        <w:tab/>
        <w:t>Representatives of the European Union and the Intergovernmental Organization for International Carriage by Rail (OTIF) also attended.</w:t>
      </w:r>
    </w:p>
    <w:p w14:paraId="1E512951" w14:textId="77777777" w:rsidR="004011F4" w:rsidRPr="00634742" w:rsidRDefault="004011F4" w:rsidP="004011F4">
      <w:pPr>
        <w:pStyle w:val="SingleTxtG"/>
      </w:pPr>
      <w:r w:rsidRPr="00634742">
        <w:t>5.</w:t>
      </w:r>
      <w:r w:rsidRPr="00634742">
        <w:tab/>
        <w:t>Representatives of the Food and Agriculture Organization (FAO), the International Civil Aviation Organization (ICAO), the International Maritime Organization (IMO) and the World Health Organization (WHO) were also present.</w:t>
      </w:r>
    </w:p>
    <w:p w14:paraId="2AAAC5A5" w14:textId="6E0D2F56" w:rsidR="004011F4" w:rsidRPr="00634742" w:rsidRDefault="004011F4" w:rsidP="004011F4">
      <w:pPr>
        <w:pStyle w:val="SingleTxtG"/>
      </w:pPr>
      <w:r w:rsidRPr="00634742">
        <w:t>6.</w:t>
      </w:r>
      <w:r w:rsidRPr="00634742">
        <w:tab/>
        <w:t>Representatives of the following non-governmental organizations took part in the discussion on items of c</w:t>
      </w:r>
      <w:r w:rsidR="0049693C">
        <w:t xml:space="preserve">oncern to those organizations: </w:t>
      </w:r>
      <w:r w:rsidRPr="007D582A">
        <w:t>Association of European Manufacturers</w:t>
      </w:r>
      <w:r w:rsidR="0049693C" w:rsidRPr="007D582A">
        <w:t xml:space="preserve"> of Sporting Ammunition (AFEMS)</w:t>
      </w:r>
      <w:r w:rsidRPr="007D582A">
        <w:t>; Australian Explosives Industry Safety Group (AEISG); Compressed Gas Association (CGA); Cosmetics Europe; Council on Safe Transportation of Hazardous Articles (COSTHA); Dangerous Goods Advisory Council (DGAC);</w:t>
      </w:r>
      <w:r w:rsidRPr="00634742">
        <w:t xml:space="preserve"> </w:t>
      </w:r>
      <w:r w:rsidRPr="007D582A">
        <w:t xml:space="preserve">Dangerous Goods Trainers Association (DGTA); European Association for Advanced Rechargeable Batteries (RECHARGE); European Chemical Industry Council (CEFIC); </w:t>
      </w:r>
      <w:r w:rsidR="00A93EAF" w:rsidRPr="007D582A">
        <w:t xml:space="preserve">International Confederation of Plastics </w:t>
      </w:r>
      <w:proofErr w:type="spellStart"/>
      <w:r w:rsidR="00A93EAF" w:rsidRPr="007D582A">
        <w:t>Packagings</w:t>
      </w:r>
      <w:proofErr w:type="spellEnd"/>
      <w:r w:rsidR="00A93EAF" w:rsidRPr="007D582A">
        <w:t xml:space="preserve"> manufacturers (ICPP); </w:t>
      </w:r>
      <w:r w:rsidRPr="007D582A">
        <w:t xml:space="preserve">European Industrial Gases Association (EIGA); Institute of Makers of Explosives (IME); International Air Transport Association (IATA); International Confederation of Container </w:t>
      </w:r>
      <w:proofErr w:type="spellStart"/>
      <w:r w:rsidRPr="007D582A">
        <w:t>Reconditioners</w:t>
      </w:r>
      <w:proofErr w:type="spellEnd"/>
      <w:r w:rsidRPr="007D582A">
        <w:t xml:space="preserve"> (ICCR);</w:t>
      </w:r>
      <w:r w:rsidRPr="00634742">
        <w:t xml:space="preserve"> </w:t>
      </w:r>
      <w:r w:rsidR="004E6ECC">
        <w:t xml:space="preserve">International Confederation of Drums Manufacturers (ICDM); </w:t>
      </w:r>
      <w:r w:rsidRPr="007D582A">
        <w:t xml:space="preserve">International Confederation of Intermediate Bulk Container Associations (ICIBCA); International Confederation of Plastics Packaging Manufacturers (ICPP); International Dangerous Goods and Containers Association (IDGCA); International Fibre Drum Institute (IFDI); International Organization of Motor Vehicle Manufacturers (OICA); International Paint and Printing Ink Council (IPPIC); </w:t>
      </w:r>
      <w:proofErr w:type="spellStart"/>
      <w:r w:rsidRPr="007D582A">
        <w:t>KiloFarad</w:t>
      </w:r>
      <w:proofErr w:type="spellEnd"/>
      <w:r w:rsidRPr="007D582A">
        <w:t xml:space="preserve"> International (KFI); Medical Device Battery Transport Council (MDBTC); Rechargeable Battery Association (PRBA); </w:t>
      </w:r>
      <w:r w:rsidR="00846B01">
        <w:t xml:space="preserve">and </w:t>
      </w:r>
      <w:r w:rsidRPr="007D582A">
        <w:t>Sporting Arms and Ammunition Manufacturers’ Institute (SAAMI).</w:t>
      </w:r>
    </w:p>
    <w:p w14:paraId="746D1947" w14:textId="77777777" w:rsidR="004011F4" w:rsidRPr="00634742" w:rsidRDefault="004011F4" w:rsidP="004011F4">
      <w:pPr>
        <w:pStyle w:val="HChG"/>
      </w:pPr>
      <w:r w:rsidRPr="00634742">
        <w:tab/>
        <w:t>II.</w:t>
      </w:r>
      <w:r w:rsidRPr="00634742">
        <w:tab/>
        <w:t>Administrative matters</w:t>
      </w:r>
    </w:p>
    <w:p w14:paraId="186FA22F" w14:textId="77777777" w:rsidR="004011F4" w:rsidRPr="00634742" w:rsidRDefault="004011F4" w:rsidP="004011F4">
      <w:pPr>
        <w:pStyle w:val="SingleTxtG"/>
      </w:pPr>
      <w:r w:rsidRPr="00634742">
        <w:t>7.</w:t>
      </w:r>
      <w:r w:rsidRPr="00634742">
        <w:tab/>
        <w:t>The Sub-Committee noted that, as had been announced at the previous session (ST/SG/AC.10/C.3/102, paras. 99-102), the secretary would be retiring on 30 November. It also noted that the Chair, the Vice-Chair and several delegations had written to the Executive Secretary of the United Nations Economic Commission for Europe to ask for General Assembly resolution 70/244 to be applied, to allow the secretary to retire at the age of 65. The letters drew attention to the particularly heavy workload of the Dangerous Goods and Special Cargoes Section during the current crucial period of the biennium and the particularly negative consequences that would ensue from the post being vacant over the coming months. The Sub-Committee regretted the lack of any response to the letters.</w:t>
      </w:r>
    </w:p>
    <w:p w14:paraId="02529592" w14:textId="77777777" w:rsidR="00B55B47" w:rsidRDefault="00B55B47">
      <w:pPr>
        <w:suppressAutoHyphens w:val="0"/>
        <w:spacing w:line="240" w:lineRule="auto"/>
      </w:pPr>
      <w:r>
        <w:br w:type="page"/>
      </w:r>
    </w:p>
    <w:p w14:paraId="0DAD97CE" w14:textId="79E28699" w:rsidR="004011F4" w:rsidRPr="00634742" w:rsidRDefault="004011F4" w:rsidP="004011F4">
      <w:pPr>
        <w:pStyle w:val="SingleTxtG"/>
      </w:pPr>
      <w:r w:rsidRPr="00634742">
        <w:t>8.</w:t>
      </w:r>
      <w:r w:rsidRPr="00634742">
        <w:tab/>
        <w:t xml:space="preserve">The Sub-Committee noted that, as had been stated at the previous session, a vacancy announcement for the post of head of section had been published in the summer and candidacies had been received by the closing date of 16 September 2017. However, the recruitment procedure had been suspended pending the arrival of Mr. </w:t>
      </w:r>
      <w:proofErr w:type="spellStart"/>
      <w:r w:rsidRPr="00634742">
        <w:t>Yuwei</w:t>
      </w:r>
      <w:proofErr w:type="spellEnd"/>
      <w:r w:rsidRPr="00634742">
        <w:t xml:space="preserve"> Li (China), the new director of the Sustainable Transport Division, in February 2018. The Sub-Committee considered that the post should not remain vacant and, since there was a budget, asked for it to be filled immediately on a temporary basis, in compliance with the administrative regulations, either by extending the contract of the present incumbent for the period in question, or by temporarily appointing another competent officer. It also thanked the staff of the section for having volunteered to avoid any disruption resulting from the retirement of the head of section during the current session. </w:t>
      </w:r>
    </w:p>
    <w:p w14:paraId="57A56C30" w14:textId="77777777" w:rsidR="004011F4" w:rsidRPr="00634742" w:rsidRDefault="004011F4" w:rsidP="004011F4">
      <w:pPr>
        <w:pStyle w:val="SingleTxtG"/>
      </w:pPr>
      <w:r w:rsidRPr="00634742">
        <w:t>9.</w:t>
      </w:r>
      <w:r w:rsidRPr="00634742">
        <w:tab/>
        <w:t>The Sub-Committee also noted that the P2 post in the section, which had been vacant since November 2015, had still not been filled with a regular member of staff and that the person who was in the post temporarily could not remain after 5 February 2018 for administrative reasons. The Sub-Committee asked the secretariat to take appropriate action to ensure that the post was filled with a qualified staff member after that date.</w:t>
      </w:r>
    </w:p>
    <w:p w14:paraId="003449AE" w14:textId="77777777" w:rsidR="004011F4" w:rsidRPr="00634742" w:rsidRDefault="004011F4" w:rsidP="004011F4">
      <w:pPr>
        <w:pStyle w:val="HChG"/>
      </w:pPr>
      <w:r w:rsidRPr="00634742">
        <w:tab/>
        <w:t>III.</w:t>
      </w:r>
      <w:r w:rsidRPr="00634742">
        <w:tab/>
        <w:t>Adoption of the agenda (agenda item 1)</w:t>
      </w:r>
    </w:p>
    <w:p w14:paraId="70FB3C53" w14:textId="77777777" w:rsidR="004011F4" w:rsidRPr="00634742" w:rsidRDefault="004011F4" w:rsidP="005C4214">
      <w:pPr>
        <w:pStyle w:val="SingleTxtG"/>
        <w:tabs>
          <w:tab w:val="left" w:pos="3402"/>
        </w:tabs>
        <w:jc w:val="left"/>
      </w:pPr>
      <w:r w:rsidRPr="00EF030F">
        <w:rPr>
          <w:i/>
          <w:iCs/>
        </w:rPr>
        <w:t>Documents:</w:t>
      </w:r>
      <w:r w:rsidRPr="00634742">
        <w:tab/>
        <w:t>ST/SG/AC.10/C.3/103 (Provisional agenda)</w:t>
      </w:r>
      <w:r w:rsidRPr="00634742">
        <w:br/>
      </w:r>
      <w:r>
        <w:tab/>
      </w:r>
      <w:r>
        <w:tab/>
      </w:r>
      <w:r w:rsidRPr="00634742">
        <w:t>ST/SG/AC.10/C.3/103/Add.1 (List of documents).</w:t>
      </w:r>
    </w:p>
    <w:p w14:paraId="71462B1F" w14:textId="08D8EE53" w:rsidR="004011F4" w:rsidRPr="00634742" w:rsidRDefault="004011F4" w:rsidP="005C4214">
      <w:pPr>
        <w:pStyle w:val="SingleTxtG"/>
        <w:tabs>
          <w:tab w:val="left" w:pos="3402"/>
        </w:tabs>
        <w:jc w:val="left"/>
      </w:pPr>
      <w:r w:rsidRPr="005D2690">
        <w:rPr>
          <w:i/>
          <w:iCs/>
        </w:rPr>
        <w:t>Informal documents:</w:t>
      </w:r>
      <w:r w:rsidRPr="00634742">
        <w:tab/>
        <w:t>INF.1 and INF.2 (List of documents)</w:t>
      </w:r>
      <w:r w:rsidRPr="00634742">
        <w:br/>
      </w:r>
      <w:r>
        <w:tab/>
      </w:r>
      <w:r>
        <w:tab/>
      </w:r>
      <w:r w:rsidRPr="00634742">
        <w:t>INF.19 (Provisional timetable)</w:t>
      </w:r>
      <w:r w:rsidRPr="00634742">
        <w:br/>
      </w:r>
      <w:r w:rsidR="005A08C1">
        <w:tab/>
      </w:r>
      <w:r w:rsidR="005A08C1">
        <w:tab/>
      </w:r>
      <w:r w:rsidRPr="00634742">
        <w:t>INF.30 (Reception organized by NGOs)</w:t>
      </w:r>
    </w:p>
    <w:p w14:paraId="2BF12CF0" w14:textId="7C57F580" w:rsidR="004011F4" w:rsidRPr="00634742" w:rsidRDefault="004011F4" w:rsidP="004011F4">
      <w:pPr>
        <w:pStyle w:val="SingleTxtG"/>
      </w:pPr>
      <w:r w:rsidRPr="00634742">
        <w:t>10.</w:t>
      </w:r>
      <w:r w:rsidRPr="00634742">
        <w:tab/>
        <w:t>The Sub-Committee adopted the provisional agenda prepared by the secretariat after amending it to take account of the informal documents INF.1 to INF</w:t>
      </w:r>
      <w:r w:rsidR="0020136B" w:rsidRPr="00634742">
        <w:t>.</w:t>
      </w:r>
      <w:r w:rsidR="0020136B">
        <w:t>61</w:t>
      </w:r>
      <w:r w:rsidR="0020136B" w:rsidRPr="00634742">
        <w:t>.</w:t>
      </w:r>
    </w:p>
    <w:p w14:paraId="5E55C396" w14:textId="77777777" w:rsidR="004011F4" w:rsidRPr="00634742" w:rsidRDefault="004011F4" w:rsidP="004011F4">
      <w:pPr>
        <w:pStyle w:val="HChG"/>
      </w:pPr>
      <w:r w:rsidRPr="00634742">
        <w:tab/>
        <w:t>IV.</w:t>
      </w:r>
      <w:r w:rsidRPr="00634742">
        <w:tab/>
        <w:t>Explosives and related matters (agenda item 2)</w:t>
      </w:r>
    </w:p>
    <w:p w14:paraId="1B3D2783" w14:textId="77777777" w:rsidR="004011F4" w:rsidRPr="00634742" w:rsidRDefault="004011F4" w:rsidP="004011F4">
      <w:pPr>
        <w:pStyle w:val="SingleTxtG"/>
      </w:pPr>
      <w:r w:rsidRPr="00634742">
        <w:t>11.</w:t>
      </w:r>
      <w:r w:rsidRPr="00634742">
        <w:tab/>
        <w:t>Following preliminary consideration in the plenary session, most issues related to the agenda item were referred to the Working Group on Explosives, which met from 27 November to 1 December 2017, with Mr. E. de Jong (Netherlands) as Chair.</w:t>
      </w:r>
    </w:p>
    <w:p w14:paraId="14219426" w14:textId="3CE241CC" w:rsidR="004011F4" w:rsidRDefault="004011F4" w:rsidP="004011F4">
      <w:pPr>
        <w:pStyle w:val="SingleTxtG"/>
      </w:pPr>
      <w:r w:rsidRPr="00F043A1">
        <w:t>12.</w:t>
      </w:r>
      <w:r w:rsidRPr="00F043A1">
        <w:tab/>
        <w:t>Informal documents INF.3 and Add.1-2</w:t>
      </w:r>
      <w:r w:rsidR="00F043A1" w:rsidRPr="00F043A1">
        <w:t>, INF.13</w:t>
      </w:r>
      <w:r w:rsidRPr="00F043A1">
        <w:t xml:space="preserve"> and INF.28 on the Use of the Manual of Tests and Criteria in the context of GHS under agenda item 10</w:t>
      </w:r>
      <w:r w:rsidR="00F043A1" w:rsidRPr="00CD6DD3">
        <w:t>, as well as INF.32 on safety devices, under agenda item 3,</w:t>
      </w:r>
      <w:r w:rsidRPr="00F043A1">
        <w:t xml:space="preserve"> were also referred to the Working Group on </w:t>
      </w:r>
      <w:r w:rsidRPr="0024482C">
        <w:t>Explosives</w:t>
      </w:r>
      <w:r w:rsidRPr="00F043A1">
        <w:t>.</w:t>
      </w:r>
    </w:p>
    <w:p w14:paraId="42080BAB" w14:textId="5B769009" w:rsidR="00187692" w:rsidRDefault="00187692" w:rsidP="0066664F">
      <w:pPr>
        <w:pStyle w:val="H23G"/>
      </w:pPr>
      <w:r>
        <w:tab/>
      </w:r>
      <w:r w:rsidR="0066664F">
        <w:tab/>
      </w:r>
      <w:r>
        <w:t xml:space="preserve">Report of the Working Group on Explosives </w:t>
      </w:r>
    </w:p>
    <w:p w14:paraId="49B4834D" w14:textId="77777777" w:rsidR="00187692" w:rsidRPr="00EE13A0" w:rsidRDefault="00187692" w:rsidP="005C4214">
      <w:pPr>
        <w:pStyle w:val="SingleTxtG"/>
        <w:ind w:left="3402" w:hanging="2268"/>
        <w:jc w:val="left"/>
        <w:rPr>
          <w:lang w:val="fr-FR"/>
        </w:rPr>
      </w:pPr>
      <w:r w:rsidRPr="005D2690">
        <w:rPr>
          <w:i/>
          <w:iCs/>
        </w:rPr>
        <w:t>Informal document:</w:t>
      </w:r>
      <w:r>
        <w:rPr>
          <w:i/>
          <w:iCs/>
        </w:rPr>
        <w:t xml:space="preserve"> </w:t>
      </w:r>
      <w:r>
        <w:rPr>
          <w:i/>
          <w:iCs/>
        </w:rPr>
        <w:tab/>
      </w:r>
      <w:r w:rsidRPr="00634742">
        <w:t>INF.</w:t>
      </w:r>
      <w:r>
        <w:t>53 and Add.1-2 (Chairman of the Working Group)</w:t>
      </w:r>
    </w:p>
    <w:p w14:paraId="2D1DF532" w14:textId="0ED91484" w:rsidR="00187692" w:rsidRDefault="00231E27" w:rsidP="00187692">
      <w:pPr>
        <w:pStyle w:val="SingleTxtG"/>
      </w:pPr>
      <w:r>
        <w:t>13</w:t>
      </w:r>
      <w:r w:rsidR="00187692">
        <w:t>.</w:t>
      </w:r>
      <w:r w:rsidR="00187692">
        <w:tab/>
      </w:r>
      <w:r w:rsidR="00187692" w:rsidRPr="00DF44F5">
        <w:t xml:space="preserve">Having considered the report of the Working Group on Explosives </w:t>
      </w:r>
      <w:r w:rsidR="008945CB">
        <w:t>presented</w:t>
      </w:r>
      <w:r w:rsidR="00187692" w:rsidRPr="00DF44F5">
        <w:t xml:space="preserve"> by its chairman, the Sub-Committee </w:t>
      </w:r>
      <w:r w:rsidR="00187692">
        <w:t xml:space="preserve">noted </w:t>
      </w:r>
      <w:r w:rsidR="00187692" w:rsidRPr="00DF44F5">
        <w:t>the conclusions listed below for each subject under consideration under agenda item 2.</w:t>
      </w:r>
    </w:p>
    <w:p w14:paraId="487C1639" w14:textId="1ABE7318" w:rsidR="00F043A1" w:rsidRDefault="00F043A1" w:rsidP="0066664F">
      <w:pPr>
        <w:pStyle w:val="H1G"/>
      </w:pPr>
      <w:r>
        <w:tab/>
      </w:r>
      <w:r w:rsidR="00184EB8">
        <w:t>A.</w:t>
      </w:r>
      <w:r>
        <w:tab/>
        <w:t xml:space="preserve">Review of </w:t>
      </w:r>
      <w:r w:rsidR="00BC5968">
        <w:t>T</w:t>
      </w:r>
      <w:r>
        <w:t xml:space="preserve">est </w:t>
      </w:r>
      <w:r w:rsidR="00BC5968">
        <w:t>S</w:t>
      </w:r>
      <w:r>
        <w:t>eries 6</w:t>
      </w:r>
    </w:p>
    <w:p w14:paraId="358CF106" w14:textId="7127A240" w:rsidR="0080640A" w:rsidRDefault="002338BD" w:rsidP="00B55B47">
      <w:pPr>
        <w:pStyle w:val="SingleTxtG"/>
        <w:tabs>
          <w:tab w:val="left" w:pos="3119"/>
          <w:tab w:val="left" w:pos="3402"/>
        </w:tabs>
        <w:spacing w:line="240" w:lineRule="auto"/>
        <w:ind w:right="40"/>
      </w:pPr>
      <w:r w:rsidRPr="00EF030F">
        <w:rPr>
          <w:i/>
          <w:iCs/>
        </w:rPr>
        <w:t>Document:</w:t>
      </w:r>
      <w:r w:rsidRPr="00634742">
        <w:tab/>
      </w:r>
      <w:r w:rsidR="00DB58E6">
        <w:tab/>
      </w:r>
      <w:r w:rsidRPr="00634742">
        <w:t>ST/SG/AC.10/C.3/</w:t>
      </w:r>
      <w:r>
        <w:t>2017/50</w:t>
      </w:r>
      <w:r w:rsidRPr="00634742">
        <w:t xml:space="preserve"> (</w:t>
      </w:r>
      <w:r>
        <w:t>SAAMI</w:t>
      </w:r>
      <w:r w:rsidRPr="00634742">
        <w:t>)</w:t>
      </w:r>
    </w:p>
    <w:p w14:paraId="1C407E05" w14:textId="26EE26A8" w:rsidR="00DB58E6" w:rsidRDefault="00DB58E6" w:rsidP="00DB58E6">
      <w:pPr>
        <w:pStyle w:val="SingleTxtG"/>
        <w:tabs>
          <w:tab w:val="left" w:pos="3119"/>
        </w:tabs>
        <w:ind w:left="3402" w:hanging="2268"/>
        <w:jc w:val="left"/>
      </w:pPr>
      <w:r w:rsidRPr="005D2690">
        <w:rPr>
          <w:i/>
          <w:iCs/>
        </w:rPr>
        <w:t>Informal document:</w:t>
      </w:r>
      <w:r>
        <w:rPr>
          <w:i/>
          <w:iCs/>
        </w:rPr>
        <w:t xml:space="preserve"> </w:t>
      </w:r>
      <w:r>
        <w:rPr>
          <w:i/>
          <w:iCs/>
        </w:rPr>
        <w:tab/>
      </w:r>
      <w:r>
        <w:rPr>
          <w:i/>
          <w:iCs/>
        </w:rPr>
        <w:tab/>
      </w:r>
      <w:r w:rsidRPr="00634742">
        <w:t>INF.</w:t>
      </w:r>
      <w:r>
        <w:t>53 (Chairman of the Working Group)</w:t>
      </w:r>
    </w:p>
    <w:p w14:paraId="37B91AA5" w14:textId="0BF71827" w:rsidR="0080640A" w:rsidRPr="00923F13" w:rsidRDefault="00323700" w:rsidP="00923F13">
      <w:pPr>
        <w:pStyle w:val="SingleTxtG"/>
      </w:pPr>
      <w:r>
        <w:t>14.</w:t>
      </w:r>
      <w:r>
        <w:tab/>
      </w:r>
      <w:r w:rsidR="002338BD" w:rsidRPr="00923F13">
        <w:t xml:space="preserve">The Sub-Committee noted that the Working Group </w:t>
      </w:r>
      <w:r w:rsidR="0080640A" w:rsidRPr="00923F13">
        <w:t>supported in principle the review of the disruption criterion for the 6 (d) test as well as the other 6 (d) acceptance criteria, to remove or minimize subjectivity. It was suggested that a definition of “hazardous effects” could be beneficial in such a review.</w:t>
      </w:r>
    </w:p>
    <w:p w14:paraId="4CFEB2A7" w14:textId="3E240F3E" w:rsidR="0080640A" w:rsidRPr="00DB58E6" w:rsidRDefault="00323700" w:rsidP="00923F13">
      <w:pPr>
        <w:pStyle w:val="SingleTxtG"/>
      </w:pPr>
      <w:r>
        <w:t>15.</w:t>
      </w:r>
      <w:r>
        <w:tab/>
      </w:r>
      <w:r w:rsidR="0080640A" w:rsidRPr="00D36574">
        <w:t xml:space="preserve">The Sub-Committee noted that the representative of SAAMI would </w:t>
      </w:r>
      <w:r w:rsidR="00CF1151">
        <w:t>consider the</w:t>
      </w:r>
      <w:r w:rsidR="00923F13" w:rsidRPr="00D36574">
        <w:t xml:space="preserve"> comments made </w:t>
      </w:r>
      <w:r w:rsidR="00CF1151">
        <w:t xml:space="preserve">by the Working Group and might return with </w:t>
      </w:r>
      <w:r w:rsidR="00923F13" w:rsidRPr="005F1668">
        <w:t xml:space="preserve">a revised proposal for </w:t>
      </w:r>
      <w:r w:rsidR="0080640A" w:rsidRPr="005F1668">
        <w:t>the next session</w:t>
      </w:r>
      <w:r w:rsidR="0080640A" w:rsidRPr="00DB58E6">
        <w:t>.</w:t>
      </w:r>
    </w:p>
    <w:p w14:paraId="69A7D62C" w14:textId="00CF30D3" w:rsidR="00A00983" w:rsidRDefault="00A00983" w:rsidP="0066664F">
      <w:pPr>
        <w:pStyle w:val="H1G"/>
      </w:pPr>
      <w:r>
        <w:tab/>
      </w:r>
      <w:r w:rsidR="00184EB8">
        <w:t>B.</w:t>
      </w:r>
      <w:r>
        <w:tab/>
        <w:t>Review of test</w:t>
      </w:r>
      <w:r w:rsidR="00BC5968">
        <w:t>s</w:t>
      </w:r>
      <w:r>
        <w:t xml:space="preserve"> in parts I, II and III of the Manual of Tests and Criteria</w:t>
      </w:r>
    </w:p>
    <w:p w14:paraId="54AC0E00" w14:textId="2D193849" w:rsidR="00923F13" w:rsidRPr="00CD6DD3" w:rsidRDefault="00323700" w:rsidP="00923F13">
      <w:pPr>
        <w:pStyle w:val="SingleTxtG"/>
      </w:pPr>
      <w:r>
        <w:t>16.</w:t>
      </w:r>
      <w:r>
        <w:tab/>
      </w:r>
      <w:r w:rsidR="00923F13">
        <w:t>As no document had been submitted under this agenda sub-item, no discussion took place on this subject.</w:t>
      </w:r>
    </w:p>
    <w:p w14:paraId="19B9700C" w14:textId="15CF7322" w:rsidR="00A00983" w:rsidRDefault="00A00983" w:rsidP="0066664F">
      <w:pPr>
        <w:pStyle w:val="H1G"/>
      </w:pPr>
      <w:r>
        <w:tab/>
      </w:r>
      <w:r w:rsidR="00184EB8">
        <w:t>C.</w:t>
      </w:r>
      <w:r>
        <w:tab/>
        <w:t>Electronic detonators</w:t>
      </w:r>
    </w:p>
    <w:p w14:paraId="5280A077" w14:textId="63B9FAA2" w:rsidR="00923F13" w:rsidRPr="00923F13" w:rsidRDefault="00323700" w:rsidP="00923F13">
      <w:pPr>
        <w:pStyle w:val="SingleTxtG"/>
      </w:pPr>
      <w:r>
        <w:t>17.</w:t>
      </w:r>
      <w:r>
        <w:tab/>
      </w:r>
      <w:r w:rsidR="00923F13">
        <w:t>As no document had been submitted under this agenda sub-item, no discussion took place on this subject.</w:t>
      </w:r>
    </w:p>
    <w:p w14:paraId="2C4EF3A6" w14:textId="43798366" w:rsidR="00A00983" w:rsidRDefault="00184EB8" w:rsidP="0066664F">
      <w:pPr>
        <w:pStyle w:val="H1G"/>
      </w:pPr>
      <w:r>
        <w:tab/>
        <w:t>D.</w:t>
      </w:r>
      <w:r>
        <w:tab/>
        <w:t>Guidance for the application of Tests Series 3 and 4</w:t>
      </w:r>
    </w:p>
    <w:p w14:paraId="27B2C835" w14:textId="0F42662A" w:rsidR="00923F13" w:rsidRPr="00923F13" w:rsidRDefault="00323700" w:rsidP="00923F13">
      <w:pPr>
        <w:pStyle w:val="SingleTxtG"/>
      </w:pPr>
      <w:r>
        <w:t>18.</w:t>
      </w:r>
      <w:r>
        <w:tab/>
      </w:r>
      <w:r w:rsidR="00923F13">
        <w:t>As no document had been submitted under this agenda sub-item, no discussion took place on this subject.</w:t>
      </w:r>
    </w:p>
    <w:p w14:paraId="069581B8" w14:textId="4255D1FE" w:rsidR="00184EB8" w:rsidRDefault="00184EB8" w:rsidP="0066664F">
      <w:pPr>
        <w:pStyle w:val="H1G"/>
      </w:pPr>
      <w:r>
        <w:tab/>
        <w:t>E.</w:t>
      </w:r>
      <w:r>
        <w:tab/>
        <w:t>Stability tests for industrial cellulose</w:t>
      </w:r>
    </w:p>
    <w:p w14:paraId="5F8FE454" w14:textId="5B67037A" w:rsidR="00923F13" w:rsidRDefault="00923F13" w:rsidP="005C4214">
      <w:pPr>
        <w:pStyle w:val="SingleTxtG"/>
        <w:tabs>
          <w:tab w:val="left" w:pos="3402"/>
        </w:tabs>
        <w:spacing w:after="240" w:line="240" w:lineRule="auto"/>
        <w:ind w:right="39"/>
      </w:pPr>
      <w:r w:rsidRPr="00EF030F">
        <w:rPr>
          <w:i/>
          <w:iCs/>
        </w:rPr>
        <w:t>Document:</w:t>
      </w:r>
      <w:r w:rsidRPr="00634742">
        <w:tab/>
        <w:t>ST/SG/AC.10/C.3/</w:t>
      </w:r>
      <w:r>
        <w:t>2017/35</w:t>
      </w:r>
      <w:r w:rsidRPr="00634742">
        <w:t xml:space="preserve"> (</w:t>
      </w:r>
      <w:r w:rsidR="00E42390">
        <w:t>Germany</w:t>
      </w:r>
      <w:r w:rsidRPr="00634742">
        <w:t>)</w:t>
      </w:r>
    </w:p>
    <w:p w14:paraId="58C31D06" w14:textId="7225009C" w:rsidR="00923F13" w:rsidRDefault="00923F13" w:rsidP="005C4214">
      <w:pPr>
        <w:pStyle w:val="SingleTxtG"/>
        <w:tabs>
          <w:tab w:val="left" w:pos="3402"/>
        </w:tabs>
        <w:spacing w:after="0"/>
        <w:ind w:left="3595" w:hanging="2461"/>
        <w:jc w:val="left"/>
      </w:pPr>
      <w:r w:rsidRPr="005D2690">
        <w:rPr>
          <w:i/>
          <w:iCs/>
        </w:rPr>
        <w:t>Informal document</w:t>
      </w:r>
      <w:r w:rsidR="00DB58E6">
        <w:rPr>
          <w:i/>
          <w:iCs/>
        </w:rPr>
        <w:t>s</w:t>
      </w:r>
      <w:r w:rsidRPr="005D2690">
        <w:rPr>
          <w:i/>
          <w:iCs/>
        </w:rPr>
        <w:t>:</w:t>
      </w:r>
      <w:r>
        <w:rPr>
          <w:i/>
          <w:iCs/>
        </w:rPr>
        <w:t xml:space="preserve"> </w:t>
      </w:r>
      <w:r>
        <w:rPr>
          <w:i/>
          <w:iCs/>
        </w:rPr>
        <w:tab/>
      </w:r>
      <w:r w:rsidRPr="00634742">
        <w:t>INF.</w:t>
      </w:r>
      <w:r w:rsidR="00D36574">
        <w:t>6</w:t>
      </w:r>
      <w:r>
        <w:t xml:space="preserve"> (</w:t>
      </w:r>
      <w:r w:rsidR="00D36574">
        <w:t>CEFIC</w:t>
      </w:r>
      <w:r>
        <w:t>)</w:t>
      </w:r>
    </w:p>
    <w:p w14:paraId="56894EED" w14:textId="40D59472" w:rsidR="00DB58E6" w:rsidRPr="00DB58E6" w:rsidRDefault="00DB58E6" w:rsidP="005C4214">
      <w:pPr>
        <w:pStyle w:val="SingleTxtG"/>
        <w:tabs>
          <w:tab w:val="left" w:pos="3402"/>
        </w:tabs>
        <w:ind w:left="3594" w:hanging="2460"/>
        <w:jc w:val="left"/>
      </w:pPr>
      <w:r>
        <w:rPr>
          <w:i/>
          <w:iCs/>
        </w:rPr>
        <w:tab/>
      </w:r>
      <w:r w:rsidRPr="00DB58E6">
        <w:rPr>
          <w:iCs/>
        </w:rPr>
        <w:t>INF.</w:t>
      </w:r>
      <w:r w:rsidRPr="00DB58E6">
        <w:t>53 (</w:t>
      </w:r>
      <w:r>
        <w:t>Chairman of the Working Group)</w:t>
      </w:r>
    </w:p>
    <w:p w14:paraId="242C21D2" w14:textId="51785525" w:rsidR="00D36574" w:rsidRPr="0081675B" w:rsidRDefault="00323700" w:rsidP="000A1064">
      <w:pPr>
        <w:pStyle w:val="SingleTxtG"/>
      </w:pPr>
      <w:r>
        <w:t>19.</w:t>
      </w:r>
      <w:r>
        <w:tab/>
      </w:r>
      <w:r w:rsidR="00D36574" w:rsidRPr="000A1064">
        <w:t xml:space="preserve">The Sub-Committee noted that the Working Group had generally agreed with the proposed test descriptions in </w:t>
      </w:r>
      <w:r w:rsidR="00CF1151" w:rsidRPr="000A1064">
        <w:t xml:space="preserve">informal document </w:t>
      </w:r>
      <w:r w:rsidR="00D36574" w:rsidRPr="000A1064">
        <w:t>INF.6</w:t>
      </w:r>
      <w:r w:rsidR="00CF1151" w:rsidRPr="000A1064">
        <w:t xml:space="preserve"> and </w:t>
      </w:r>
      <w:r w:rsidR="005F1668" w:rsidRPr="000A1064">
        <w:t xml:space="preserve">noted that the texts </w:t>
      </w:r>
      <w:r w:rsidR="005F1668" w:rsidRPr="00B85D05">
        <w:t>needed further refinement</w:t>
      </w:r>
      <w:r w:rsidR="00D36574" w:rsidRPr="00383694">
        <w:t xml:space="preserve">. It also noted that </w:t>
      </w:r>
      <w:r w:rsidR="00CF1151" w:rsidRPr="00383694">
        <w:t xml:space="preserve">to address the </w:t>
      </w:r>
      <w:r w:rsidR="00D36574" w:rsidRPr="00595CB0">
        <w:t>concern</w:t>
      </w:r>
      <w:r w:rsidR="00CF1151" w:rsidRPr="00595CB0">
        <w:t>s</w:t>
      </w:r>
      <w:r w:rsidR="00D36574" w:rsidRPr="00595CB0">
        <w:t xml:space="preserve"> expressed about implementation for Class 1 nitrocellulose </w:t>
      </w:r>
      <w:r w:rsidR="0081675B" w:rsidRPr="0081675B">
        <w:rPr>
          <w:i/>
        </w:rPr>
        <w:t>versus</w:t>
      </w:r>
      <w:r w:rsidR="00D36574" w:rsidRPr="0081675B">
        <w:t xml:space="preserve"> Division 4.1 nitrocellulose, </w:t>
      </w:r>
      <w:r w:rsidR="00CF1151" w:rsidRPr="0081675B">
        <w:t xml:space="preserve">the Working Group </w:t>
      </w:r>
      <w:r w:rsidR="00D36574" w:rsidRPr="0081675B">
        <w:t>had considered and provisionally agreed on the text of two new special provisions (one for Class 1 entries and another one for Division 4.1 entries).</w:t>
      </w:r>
    </w:p>
    <w:p w14:paraId="73707297" w14:textId="5FC7AA4A" w:rsidR="00D36574" w:rsidRPr="00EA218A" w:rsidRDefault="00323700" w:rsidP="000A1064">
      <w:pPr>
        <w:pStyle w:val="SingleTxtG"/>
      </w:pPr>
      <w:r>
        <w:t>20.</w:t>
      </w:r>
      <w:r>
        <w:tab/>
      </w:r>
      <w:r w:rsidR="00D36574" w:rsidRPr="00383694">
        <w:t>The Sub-Committee also noted that, in response to a question raised by the expert from China,</w:t>
      </w:r>
      <w:r w:rsidR="00D36574" w:rsidRPr="00595CB0">
        <w:t xml:space="preserve"> the Working Group had concluded that no spec</w:t>
      </w:r>
      <w:r w:rsidR="0081675B" w:rsidRPr="00595CB0">
        <w:t>ial provision was needed for UN </w:t>
      </w:r>
      <w:r w:rsidR="00D36574" w:rsidRPr="009252BC">
        <w:t>No.</w:t>
      </w:r>
      <w:r w:rsidR="00BC5968">
        <w:t> </w:t>
      </w:r>
      <w:r w:rsidR="00D36574" w:rsidRPr="009252BC">
        <w:t xml:space="preserve">2059, since the </w:t>
      </w:r>
      <w:r w:rsidR="00D36574" w:rsidRPr="00C211B8">
        <w:t xml:space="preserve">starting material </w:t>
      </w:r>
      <w:r w:rsidR="005558FE" w:rsidRPr="00C211B8">
        <w:t xml:space="preserve">used to prepare such solutions was </w:t>
      </w:r>
      <w:r w:rsidR="00D36574" w:rsidRPr="00EA218A">
        <w:t xml:space="preserve">already subject to the special provisions and tests </w:t>
      </w:r>
      <w:r w:rsidR="005558FE" w:rsidRPr="00EA218A">
        <w:t>could not be</w:t>
      </w:r>
      <w:r w:rsidR="00D36574" w:rsidRPr="00EA218A">
        <w:t xml:space="preserve"> performed on the solutions themselves</w:t>
      </w:r>
      <w:r w:rsidR="005558FE" w:rsidRPr="00EA218A">
        <w:t xml:space="preserve">. </w:t>
      </w:r>
    </w:p>
    <w:p w14:paraId="402FA787" w14:textId="0BEC06AD" w:rsidR="005558FE" w:rsidRPr="00EA218A" w:rsidRDefault="00323700" w:rsidP="000A1064">
      <w:pPr>
        <w:pStyle w:val="SingleTxtG"/>
      </w:pPr>
      <w:r>
        <w:t>21.</w:t>
      </w:r>
      <w:r>
        <w:tab/>
      </w:r>
      <w:r w:rsidR="005558FE" w:rsidRPr="00EA218A">
        <w:t>As regards the possible need for transitional provisions, the Sub-Committee noted that the Working Group had concluded that since the current 75°C thermal stability test was not predictive enough</w:t>
      </w:r>
      <w:r w:rsidR="008945CB">
        <w:t xml:space="preserve"> for long term stability</w:t>
      </w:r>
      <w:r w:rsidR="005558FE" w:rsidRPr="00EA218A">
        <w:t xml:space="preserve">, no transitional provision was required. </w:t>
      </w:r>
    </w:p>
    <w:p w14:paraId="63B2B07A" w14:textId="7FCBF096" w:rsidR="005558FE" w:rsidRPr="0020136B" w:rsidRDefault="00323700" w:rsidP="000A1064">
      <w:pPr>
        <w:pStyle w:val="SingleTxtG"/>
      </w:pPr>
      <w:r>
        <w:t>22.</w:t>
      </w:r>
      <w:r>
        <w:tab/>
      </w:r>
      <w:r w:rsidR="005558FE" w:rsidRPr="001F0E1B">
        <w:t xml:space="preserve">The Sub-Committee finally noted that </w:t>
      </w:r>
      <w:r w:rsidR="00DB58E6" w:rsidRPr="001F0E1B">
        <w:t>a revised proposal would be submitted for the next session. T</w:t>
      </w:r>
      <w:r w:rsidR="005558FE" w:rsidRPr="00511E3E">
        <w:t xml:space="preserve">he representative of </w:t>
      </w:r>
      <w:r w:rsidR="00DB58E6" w:rsidRPr="00C35DE6">
        <w:t xml:space="preserve">CEFIC </w:t>
      </w:r>
      <w:r w:rsidR="00DB58E6" w:rsidRPr="00E55556">
        <w:t xml:space="preserve">and the expert from </w:t>
      </w:r>
      <w:r w:rsidR="005558FE" w:rsidRPr="00272BA6">
        <w:t xml:space="preserve">Germany </w:t>
      </w:r>
      <w:r w:rsidR="00DB58E6" w:rsidRPr="00491C61">
        <w:t xml:space="preserve">invited other interested experts to submit </w:t>
      </w:r>
      <w:r w:rsidR="00CF1151" w:rsidRPr="00491C61">
        <w:t xml:space="preserve">their </w:t>
      </w:r>
      <w:r w:rsidR="00DB58E6" w:rsidRPr="00491C61">
        <w:t xml:space="preserve">comments </w:t>
      </w:r>
      <w:r w:rsidR="00CF1151" w:rsidRPr="00491C61">
        <w:t xml:space="preserve">to them </w:t>
      </w:r>
      <w:r w:rsidR="00DB58E6" w:rsidRPr="0020136B">
        <w:t>before 1 February 2018.</w:t>
      </w:r>
    </w:p>
    <w:p w14:paraId="2A92589F" w14:textId="7B2BA3BD" w:rsidR="00184EB8" w:rsidRDefault="00184EB8" w:rsidP="0066664F">
      <w:pPr>
        <w:pStyle w:val="H1G"/>
      </w:pPr>
      <w:r>
        <w:tab/>
        <w:t>F.</w:t>
      </w:r>
      <w:r>
        <w:tab/>
        <w:t>Application for security provisions to explosives N.O.S</w:t>
      </w:r>
      <w:r w:rsidR="00EA218A">
        <w:t>.</w:t>
      </w:r>
    </w:p>
    <w:p w14:paraId="14C40176" w14:textId="76503594" w:rsidR="00DB58E6" w:rsidRDefault="00DB58E6" w:rsidP="005C4214">
      <w:pPr>
        <w:pStyle w:val="SingleTxtG"/>
        <w:tabs>
          <w:tab w:val="left" w:pos="3402"/>
        </w:tabs>
        <w:spacing w:after="240" w:line="240" w:lineRule="auto"/>
        <w:ind w:right="39"/>
      </w:pPr>
      <w:r w:rsidRPr="00EF030F">
        <w:rPr>
          <w:i/>
          <w:iCs/>
        </w:rPr>
        <w:t>Document:</w:t>
      </w:r>
      <w:r w:rsidRPr="00634742">
        <w:tab/>
        <w:t>ST/SG/AC.10/C.3/</w:t>
      </w:r>
      <w:r>
        <w:t>2017/47</w:t>
      </w:r>
      <w:r w:rsidRPr="00634742">
        <w:t xml:space="preserve"> (</w:t>
      </w:r>
      <w:r w:rsidR="00E42390">
        <w:t>United Kingdom</w:t>
      </w:r>
      <w:r w:rsidRPr="00634742">
        <w:t>)</w:t>
      </w:r>
    </w:p>
    <w:p w14:paraId="09B7DF5E" w14:textId="76F3700D" w:rsidR="00E42390" w:rsidRDefault="00E42390" w:rsidP="005C4214">
      <w:pPr>
        <w:pStyle w:val="SingleTxtG"/>
        <w:tabs>
          <w:tab w:val="left" w:pos="3402"/>
        </w:tabs>
        <w:ind w:left="3594" w:hanging="2460"/>
        <w:jc w:val="left"/>
      </w:pPr>
      <w:r w:rsidRPr="005D2690">
        <w:rPr>
          <w:i/>
          <w:iCs/>
        </w:rPr>
        <w:t>Informal document:</w:t>
      </w:r>
      <w:r>
        <w:rPr>
          <w:i/>
          <w:iCs/>
        </w:rPr>
        <w:t xml:space="preserve"> </w:t>
      </w:r>
      <w:r>
        <w:rPr>
          <w:i/>
          <w:iCs/>
        </w:rPr>
        <w:tab/>
      </w:r>
      <w:r w:rsidRPr="00DB58E6">
        <w:rPr>
          <w:iCs/>
        </w:rPr>
        <w:t>INF.</w:t>
      </w:r>
      <w:r w:rsidRPr="00DB58E6">
        <w:t>53 (</w:t>
      </w:r>
      <w:r>
        <w:t>Chairman of the Working Group)</w:t>
      </w:r>
    </w:p>
    <w:p w14:paraId="7145BA4C" w14:textId="2701B02C" w:rsidR="00DB58E6" w:rsidRPr="00DB58E6" w:rsidRDefault="00323700" w:rsidP="008B1754">
      <w:pPr>
        <w:pStyle w:val="SingleTxtG"/>
      </w:pPr>
      <w:r>
        <w:t>23.</w:t>
      </w:r>
      <w:r>
        <w:tab/>
      </w:r>
      <w:r w:rsidR="00CF1151">
        <w:t>Noting that the Working Group had</w:t>
      </w:r>
      <w:r w:rsidR="00CF1151" w:rsidRPr="00CF1151">
        <w:t xml:space="preserve"> unanimously supported the proposal </w:t>
      </w:r>
      <w:r w:rsidR="00CF1151">
        <w:t xml:space="preserve">in document </w:t>
      </w:r>
      <w:r w:rsidR="00CF1151" w:rsidRPr="00634742">
        <w:t>ST/SG/AC.10/C.3/</w:t>
      </w:r>
      <w:r w:rsidR="00CF1151">
        <w:t>2017/47, the Sub-Committee decided to adopt the amendment to table 1.4.1 as proposed (see annex</w:t>
      </w:r>
      <w:r w:rsidR="00D42A6B">
        <w:t xml:space="preserve"> II</w:t>
      </w:r>
      <w:r w:rsidR="00CF1151">
        <w:t>)</w:t>
      </w:r>
      <w:r w:rsidR="00CF1151" w:rsidRPr="00CF1151">
        <w:t>.</w:t>
      </w:r>
    </w:p>
    <w:p w14:paraId="72D3756E" w14:textId="3C30520E" w:rsidR="00184EB8" w:rsidRDefault="00184EB8" w:rsidP="0066664F">
      <w:pPr>
        <w:pStyle w:val="H1G"/>
      </w:pPr>
      <w:r>
        <w:tab/>
        <w:t>G.</w:t>
      </w:r>
      <w:r>
        <w:tab/>
        <w:t>Review of packing instructions for explosives</w:t>
      </w:r>
    </w:p>
    <w:p w14:paraId="6A949C8D" w14:textId="6A9D548F" w:rsidR="00DB58E6" w:rsidRDefault="00DB58E6" w:rsidP="00B55B47">
      <w:pPr>
        <w:pStyle w:val="SingleTxtG"/>
        <w:tabs>
          <w:tab w:val="left" w:pos="3402"/>
        </w:tabs>
        <w:spacing w:line="240" w:lineRule="auto"/>
        <w:ind w:right="40"/>
      </w:pPr>
      <w:r w:rsidRPr="00EF030F">
        <w:rPr>
          <w:i/>
          <w:iCs/>
        </w:rPr>
        <w:t>Document:</w:t>
      </w:r>
      <w:r w:rsidRPr="00634742">
        <w:tab/>
        <w:t>ST/SG/AC.10/C.3/</w:t>
      </w:r>
      <w:r>
        <w:t>2017/</w:t>
      </w:r>
      <w:r w:rsidR="00E42390">
        <w:t>48</w:t>
      </w:r>
      <w:r w:rsidRPr="00634742">
        <w:t xml:space="preserve"> </w:t>
      </w:r>
      <w:r w:rsidR="00E42390" w:rsidRPr="00634742">
        <w:t>(</w:t>
      </w:r>
      <w:r w:rsidR="00E42390">
        <w:t>United Kingdom</w:t>
      </w:r>
      <w:r w:rsidR="00E42390" w:rsidRPr="00634742">
        <w:t>)</w:t>
      </w:r>
    </w:p>
    <w:p w14:paraId="69286894" w14:textId="7FE416A3" w:rsidR="00E42390" w:rsidRDefault="00E42390" w:rsidP="005C4214">
      <w:pPr>
        <w:pStyle w:val="SingleTxtG"/>
        <w:tabs>
          <w:tab w:val="left" w:pos="3402"/>
        </w:tabs>
        <w:spacing w:after="0"/>
        <w:ind w:left="3595" w:hanging="2461"/>
        <w:jc w:val="left"/>
      </w:pPr>
      <w:r w:rsidRPr="005D2690">
        <w:rPr>
          <w:i/>
          <w:iCs/>
        </w:rPr>
        <w:t>Informal document</w:t>
      </w:r>
      <w:r>
        <w:rPr>
          <w:i/>
          <w:iCs/>
        </w:rPr>
        <w:t>s</w:t>
      </w:r>
      <w:r w:rsidRPr="005D2690">
        <w:rPr>
          <w:i/>
          <w:iCs/>
        </w:rPr>
        <w:t>:</w:t>
      </w:r>
      <w:r>
        <w:rPr>
          <w:i/>
          <w:iCs/>
        </w:rPr>
        <w:t xml:space="preserve"> </w:t>
      </w:r>
      <w:r>
        <w:rPr>
          <w:i/>
          <w:iCs/>
        </w:rPr>
        <w:tab/>
      </w:r>
      <w:r w:rsidRPr="00634742">
        <w:t>INF.</w:t>
      </w:r>
      <w:r>
        <w:t>40 (Canada)</w:t>
      </w:r>
    </w:p>
    <w:p w14:paraId="4E40DDB1" w14:textId="046957C6" w:rsidR="00E42390" w:rsidRDefault="00E42390" w:rsidP="005C4214">
      <w:pPr>
        <w:pStyle w:val="SingleTxtG"/>
        <w:tabs>
          <w:tab w:val="left" w:pos="3402"/>
        </w:tabs>
        <w:ind w:left="3594" w:hanging="2460"/>
        <w:jc w:val="left"/>
      </w:pPr>
      <w:r>
        <w:rPr>
          <w:i/>
          <w:iCs/>
        </w:rPr>
        <w:tab/>
      </w:r>
      <w:r w:rsidRPr="00DB58E6">
        <w:rPr>
          <w:iCs/>
        </w:rPr>
        <w:t>INF.</w:t>
      </w:r>
      <w:r w:rsidRPr="00DB58E6">
        <w:t>53 (</w:t>
      </w:r>
      <w:r>
        <w:t>Chairman of the Working Group)</w:t>
      </w:r>
    </w:p>
    <w:p w14:paraId="24C8ADB7" w14:textId="78CDCFF8" w:rsidR="00DB58E6" w:rsidRPr="00DB58E6" w:rsidRDefault="00323700" w:rsidP="0081675B">
      <w:pPr>
        <w:pStyle w:val="SingleTxtG"/>
      </w:pPr>
      <w:r>
        <w:t>24.</w:t>
      </w:r>
      <w:r>
        <w:tab/>
      </w:r>
      <w:r w:rsidR="008B1754">
        <w:t xml:space="preserve">The Sub-Committee noted that the Working Group could not reach consensus on the proposals in </w:t>
      </w:r>
      <w:r w:rsidR="008B1754" w:rsidRPr="00634742">
        <w:t>ST/SG/AC.10/C.3/</w:t>
      </w:r>
      <w:r w:rsidR="008B1754">
        <w:t>2017/48</w:t>
      </w:r>
      <w:r w:rsidR="008B1754" w:rsidRPr="00634742">
        <w:t xml:space="preserve"> </w:t>
      </w:r>
      <w:r w:rsidR="008B1754">
        <w:t xml:space="preserve">and in informal document INF.40, although there was some support for </w:t>
      </w:r>
      <w:r w:rsidR="000A1064">
        <w:t>both</w:t>
      </w:r>
      <w:r w:rsidR="008B1754">
        <w:t>.</w:t>
      </w:r>
      <w:r w:rsidR="000A1064">
        <w:t xml:space="preserve"> The Sub-Committee was informed that the expert from the United Kingdom would consider the comments made by the Working Group and might return with </w:t>
      </w:r>
      <w:r w:rsidR="000A1064" w:rsidRPr="005F1668">
        <w:t>a revised proposal for the next session</w:t>
      </w:r>
      <w:r w:rsidR="000A1064">
        <w:t>.</w:t>
      </w:r>
    </w:p>
    <w:p w14:paraId="708DCBED" w14:textId="2909355B" w:rsidR="00184EB8" w:rsidRDefault="00184EB8" w:rsidP="0066664F">
      <w:pPr>
        <w:pStyle w:val="H1G"/>
      </w:pPr>
      <w:r>
        <w:tab/>
        <w:t>H.</w:t>
      </w:r>
      <w:r>
        <w:tab/>
        <w:t>Classification of articles under UN No. 0349</w:t>
      </w:r>
    </w:p>
    <w:p w14:paraId="6150B25B" w14:textId="55D158E4" w:rsidR="00595CB0" w:rsidRPr="00595CB0" w:rsidRDefault="00323700" w:rsidP="00595CB0">
      <w:pPr>
        <w:pStyle w:val="SingleTxtG"/>
      </w:pPr>
      <w:r>
        <w:t>25.</w:t>
      </w:r>
      <w:r>
        <w:tab/>
      </w:r>
      <w:r w:rsidR="00595CB0">
        <w:t>As no document had been submitted under this agenda sub-item, no discussion took place on this subject.</w:t>
      </w:r>
    </w:p>
    <w:p w14:paraId="569E6993" w14:textId="0CBAB935" w:rsidR="00187692" w:rsidRDefault="00184EB8" w:rsidP="0066664F">
      <w:pPr>
        <w:pStyle w:val="H1G"/>
      </w:pPr>
      <w:r>
        <w:tab/>
      </w:r>
      <w:r w:rsidR="00C35A48">
        <w:t>I.</w:t>
      </w:r>
      <w:r w:rsidR="00187692">
        <w:tab/>
        <w:t>Review of Chapter 2.1 of the GHS</w:t>
      </w:r>
    </w:p>
    <w:p w14:paraId="1645215E" w14:textId="19AB11FC" w:rsidR="00187692" w:rsidRDefault="00187692" w:rsidP="005C4214">
      <w:pPr>
        <w:pStyle w:val="SingleTxtG"/>
        <w:spacing w:after="0"/>
        <w:ind w:left="3402" w:hanging="2268"/>
        <w:jc w:val="left"/>
      </w:pPr>
      <w:r w:rsidRPr="005D2690">
        <w:rPr>
          <w:i/>
          <w:iCs/>
        </w:rPr>
        <w:t>Informal document</w:t>
      </w:r>
      <w:r w:rsidR="000A1064">
        <w:rPr>
          <w:i/>
          <w:iCs/>
        </w:rPr>
        <w:t>s</w:t>
      </w:r>
      <w:r w:rsidRPr="005D2690">
        <w:rPr>
          <w:i/>
          <w:iCs/>
        </w:rPr>
        <w:t>:</w:t>
      </w:r>
      <w:r>
        <w:rPr>
          <w:i/>
          <w:iCs/>
        </w:rPr>
        <w:t xml:space="preserve"> </w:t>
      </w:r>
      <w:r>
        <w:rPr>
          <w:i/>
          <w:iCs/>
        </w:rPr>
        <w:tab/>
      </w:r>
      <w:r w:rsidRPr="00634742">
        <w:t>INF.</w:t>
      </w:r>
      <w:r>
        <w:t>20 (Sweden)</w:t>
      </w:r>
    </w:p>
    <w:p w14:paraId="70B3D98F" w14:textId="50AAEB3A" w:rsidR="000A1064" w:rsidRDefault="000A1064" w:rsidP="005C4214">
      <w:pPr>
        <w:pStyle w:val="SingleTxtG"/>
        <w:spacing w:after="0"/>
        <w:ind w:left="3402" w:hanging="2461"/>
        <w:jc w:val="left"/>
        <w:rPr>
          <w:iCs/>
        </w:rPr>
      </w:pPr>
      <w:r>
        <w:rPr>
          <w:iCs/>
        </w:rPr>
        <w:tab/>
        <w:t>INF.53 (Chairman of the Working Group)</w:t>
      </w:r>
    </w:p>
    <w:p w14:paraId="480EF838" w14:textId="5C3EB814" w:rsidR="00B85D05" w:rsidRPr="000A1064" w:rsidRDefault="00B85D05" w:rsidP="005C4214">
      <w:pPr>
        <w:pStyle w:val="SingleTxtG"/>
        <w:ind w:left="3402" w:hanging="2268"/>
        <w:jc w:val="left"/>
      </w:pPr>
      <w:r>
        <w:rPr>
          <w:i/>
          <w:iCs/>
        </w:rPr>
        <w:tab/>
      </w:r>
      <w:r>
        <w:rPr>
          <w:iCs/>
        </w:rPr>
        <w:t>INF.57 (Sweden)</w:t>
      </w:r>
    </w:p>
    <w:p w14:paraId="37C74741" w14:textId="0F9FB739" w:rsidR="00B85D05" w:rsidRDefault="00323700" w:rsidP="00187692">
      <w:pPr>
        <w:pStyle w:val="SingleTxtG"/>
      </w:pPr>
      <w:r>
        <w:t>26</w:t>
      </w:r>
      <w:r w:rsidR="00187692">
        <w:t>.</w:t>
      </w:r>
      <w:r w:rsidR="00187692">
        <w:tab/>
        <w:t xml:space="preserve">The Sub-Committee noted that the </w:t>
      </w:r>
      <w:r w:rsidR="00B85D05">
        <w:t xml:space="preserve">Working Group </w:t>
      </w:r>
      <w:r w:rsidR="00187692">
        <w:t>had discussed the two different proposed schemes for classification of explosives as reflected in the annexes of INF.20</w:t>
      </w:r>
      <w:r w:rsidR="000A1064">
        <w:t>, during an informal session held on Thursday 30 December</w:t>
      </w:r>
      <w:r w:rsidR="00187692">
        <w:t xml:space="preserve">. </w:t>
      </w:r>
    </w:p>
    <w:p w14:paraId="751DDB60" w14:textId="51DFC1F8" w:rsidR="00187692" w:rsidRDefault="00323700" w:rsidP="00187692">
      <w:pPr>
        <w:pStyle w:val="SingleTxtG"/>
      </w:pPr>
      <w:r>
        <w:t>27.</w:t>
      </w:r>
      <w:r>
        <w:tab/>
      </w:r>
      <w:r w:rsidR="00187692">
        <w:t xml:space="preserve">The outcome of subsequent discussions involving the informal correspondence group </w:t>
      </w:r>
      <w:r w:rsidR="000A1064">
        <w:t xml:space="preserve">on the revision of Chapter 2.1 of the GHS </w:t>
      </w:r>
      <w:r w:rsidR="00187692">
        <w:t>was a tentatively single classification system and criteria as described in informal document INF.57.</w:t>
      </w:r>
    </w:p>
    <w:p w14:paraId="1575F5FA" w14:textId="235BCD7F" w:rsidR="00187692" w:rsidRDefault="00323700" w:rsidP="00187692">
      <w:pPr>
        <w:pStyle w:val="SingleTxtG"/>
      </w:pPr>
      <w:r>
        <w:t>28</w:t>
      </w:r>
      <w:r w:rsidR="00187692">
        <w:t>.</w:t>
      </w:r>
      <w:r w:rsidR="00187692">
        <w:tab/>
        <w:t xml:space="preserve">The representative of SAAMI explained that the idea to group most divisions into a single sub-category in the GHS was intended for hazard communication purposes, and </w:t>
      </w:r>
      <w:r w:rsidR="008D0176">
        <w:t xml:space="preserve">that </w:t>
      </w:r>
      <w:r w:rsidR="00187692">
        <w:t xml:space="preserve">consideration should be given to address potential unintended consequences. </w:t>
      </w:r>
    </w:p>
    <w:p w14:paraId="0041EC13" w14:textId="77777777" w:rsidR="0024482C" w:rsidRDefault="00323700" w:rsidP="00184EB8">
      <w:pPr>
        <w:pStyle w:val="SingleTxtG"/>
      </w:pPr>
      <w:r w:rsidRPr="00323700">
        <w:rPr>
          <w:iCs/>
        </w:rPr>
        <w:t>29.</w:t>
      </w:r>
      <w:r w:rsidR="00184EB8" w:rsidRPr="001D2836">
        <w:tab/>
      </w:r>
      <w:r w:rsidR="00B85D05">
        <w:t xml:space="preserve">The Sub-Committee </w:t>
      </w:r>
      <w:r w:rsidR="00184EB8" w:rsidRPr="001D2836">
        <w:t xml:space="preserve">noted that the outcome of the discussions of the Working </w:t>
      </w:r>
      <w:r w:rsidR="000A1064">
        <w:t>G</w:t>
      </w:r>
      <w:r w:rsidR="000A1064" w:rsidRPr="001D2836">
        <w:t xml:space="preserve">roup </w:t>
      </w:r>
      <w:r w:rsidR="000A1064">
        <w:t xml:space="preserve"> </w:t>
      </w:r>
      <w:r w:rsidR="00184EB8">
        <w:t xml:space="preserve">and the informal correspondence group </w:t>
      </w:r>
      <w:r w:rsidR="00B85D05">
        <w:t xml:space="preserve">on the revision of Chapter 2.1 </w:t>
      </w:r>
      <w:r w:rsidR="00184EB8" w:rsidRPr="001D2836">
        <w:t>would be considered by the GHS Sub-Committee at its thirty-fourth session</w:t>
      </w:r>
      <w:r w:rsidR="0081675B">
        <w:t xml:space="preserve"> (refer to ST/SG/AC.10/C.4/68, paragraphs 14 to 19)</w:t>
      </w:r>
      <w:r w:rsidR="00D42A6B">
        <w:t>.</w:t>
      </w:r>
    </w:p>
    <w:p w14:paraId="4FBC70FD" w14:textId="7C0A3CE9" w:rsidR="00184EB8" w:rsidRDefault="00323700" w:rsidP="00184EB8">
      <w:pPr>
        <w:pStyle w:val="SingleTxtG"/>
      </w:pPr>
      <w:r>
        <w:t>30.</w:t>
      </w:r>
      <w:r w:rsidR="00184EB8">
        <w:t xml:space="preserve"> </w:t>
      </w:r>
      <w:r w:rsidR="00184EB8">
        <w:tab/>
        <w:t>The Sub-Committee</w:t>
      </w:r>
      <w:r w:rsidR="00184EB8" w:rsidRPr="001D2836">
        <w:t xml:space="preserve"> </w:t>
      </w:r>
      <w:r w:rsidR="00184EB8">
        <w:t xml:space="preserve">considered that it would be appropriate to discuss this item jointly with the GHS Sub-Committee during a joint meeting of the TDG and GHS sub-committees in </w:t>
      </w:r>
      <w:r w:rsidR="00184EB8" w:rsidRPr="00D42A6B">
        <w:t>July 2018</w:t>
      </w:r>
      <w:r w:rsidR="00184EB8" w:rsidRPr="005C4214">
        <w:t>.</w:t>
      </w:r>
      <w:r w:rsidR="00184EB8" w:rsidRPr="00D42A6B">
        <w:t xml:space="preserve"> Subject</w:t>
      </w:r>
      <w:r w:rsidR="00184EB8">
        <w:t xml:space="preserve"> to the agreement of the GHS Sub-Committee to this proposal, the date, the time needed and the topics to be discussed at the joint session could </w:t>
      </w:r>
      <w:r w:rsidR="00184EB8" w:rsidRPr="00D42A6B">
        <w:t>be decided by the officers of both sub-committees after the deadline for submission of documents</w:t>
      </w:r>
      <w:r w:rsidRPr="00D42A6B">
        <w:t xml:space="preserve"> </w:t>
      </w:r>
      <w:r w:rsidRPr="005C4214">
        <w:t>(see also the report of the GHS Sub-Committee on its thirty-fourth session, document ST/SG/AC.10/C.4/68, paragraph</w:t>
      </w:r>
      <w:r w:rsidR="00D42A6B" w:rsidRPr="005C4214">
        <w:t xml:space="preserve"> 62</w:t>
      </w:r>
      <w:r w:rsidRPr="005C4214">
        <w:t>)</w:t>
      </w:r>
      <w:r w:rsidR="00184EB8" w:rsidRPr="00D42A6B">
        <w:t xml:space="preserve">. </w:t>
      </w:r>
    </w:p>
    <w:p w14:paraId="0D7AFEB2" w14:textId="4237A1DD" w:rsidR="00C35A48" w:rsidRDefault="00184EB8" w:rsidP="0066664F">
      <w:pPr>
        <w:pStyle w:val="H1G"/>
      </w:pPr>
      <w:r>
        <w:tab/>
      </w:r>
      <w:r w:rsidR="00C35A48">
        <w:t>J.</w:t>
      </w:r>
      <w:r w:rsidR="00C35A48">
        <w:tab/>
        <w:t>Miscellaneous</w:t>
      </w:r>
    </w:p>
    <w:p w14:paraId="3EC6FDF9" w14:textId="3DA61E69" w:rsidR="00595CB0" w:rsidRDefault="00595CB0" w:rsidP="0066664F">
      <w:pPr>
        <w:pStyle w:val="H23G"/>
      </w:pPr>
      <w:r>
        <w:tab/>
      </w:r>
      <w:r w:rsidR="0066664F" w:rsidRPr="0066664F">
        <w:t>1</w:t>
      </w:r>
      <w:r w:rsidR="0066664F" w:rsidRPr="0066664F">
        <w:rPr>
          <w:i/>
        </w:rPr>
        <w:t>.</w:t>
      </w:r>
      <w:r>
        <w:tab/>
        <w:t>Transport of controlled shipments of small quantities of explosives</w:t>
      </w:r>
    </w:p>
    <w:p w14:paraId="23A40B71" w14:textId="07A426F8" w:rsidR="00595CB0" w:rsidRDefault="00595CB0" w:rsidP="00595CB0">
      <w:pPr>
        <w:pStyle w:val="SingleTxtG"/>
      </w:pPr>
      <w:r w:rsidRPr="009B0857">
        <w:rPr>
          <w:i/>
          <w:iCs/>
        </w:rPr>
        <w:t>Document:</w:t>
      </w:r>
      <w:r w:rsidRPr="00634742">
        <w:tab/>
      </w:r>
      <w:r w:rsidR="001F0E1B">
        <w:tab/>
      </w:r>
      <w:r w:rsidR="001F0E1B">
        <w:tab/>
      </w:r>
      <w:r w:rsidRPr="00634742">
        <w:t>ST/SG/AC.10/C.3/2017/</w:t>
      </w:r>
      <w:r>
        <w:t>51</w:t>
      </w:r>
      <w:r w:rsidRPr="00634742">
        <w:t xml:space="preserve"> (</w:t>
      </w:r>
      <w:r>
        <w:t>SAAMI</w:t>
      </w:r>
      <w:r w:rsidRPr="00634742">
        <w:t>)</w:t>
      </w:r>
    </w:p>
    <w:p w14:paraId="3F827FFF" w14:textId="12370F01" w:rsidR="001F0E1B" w:rsidRDefault="001F0E1B" w:rsidP="00323700">
      <w:pPr>
        <w:pStyle w:val="SingleTxtG"/>
        <w:spacing w:after="240"/>
      </w:pPr>
      <w:r w:rsidRPr="005D2690">
        <w:rPr>
          <w:i/>
          <w:iCs/>
        </w:rPr>
        <w:t>Informal document:</w:t>
      </w:r>
      <w:r>
        <w:rPr>
          <w:i/>
          <w:iCs/>
        </w:rPr>
        <w:t xml:space="preserve"> </w:t>
      </w:r>
      <w:r>
        <w:rPr>
          <w:i/>
          <w:iCs/>
        </w:rPr>
        <w:tab/>
      </w:r>
      <w:r>
        <w:rPr>
          <w:i/>
          <w:iCs/>
        </w:rPr>
        <w:tab/>
      </w:r>
      <w:r>
        <w:rPr>
          <w:iCs/>
        </w:rPr>
        <w:t>INF.53 (Chairman of the Working Group)</w:t>
      </w:r>
    </w:p>
    <w:p w14:paraId="215537BA" w14:textId="1A7109E7" w:rsidR="009252BC" w:rsidRDefault="00323700" w:rsidP="00595CB0">
      <w:pPr>
        <w:pStyle w:val="SingleTxtG"/>
        <w:rPr>
          <w:iCs/>
        </w:rPr>
      </w:pPr>
      <w:r>
        <w:rPr>
          <w:iCs/>
        </w:rPr>
        <w:t>31.</w:t>
      </w:r>
      <w:r>
        <w:rPr>
          <w:iCs/>
        </w:rPr>
        <w:tab/>
      </w:r>
      <w:r w:rsidR="009252BC">
        <w:rPr>
          <w:iCs/>
        </w:rPr>
        <w:t xml:space="preserve">The Sub-Committee noted that the Working Group had agreed that the shipping methods proposed by SAAMI would apply only for transport of small quantities of substances and </w:t>
      </w:r>
      <w:proofErr w:type="gramStart"/>
      <w:r w:rsidR="009252BC">
        <w:rPr>
          <w:iCs/>
        </w:rPr>
        <w:t>that articles</w:t>
      </w:r>
      <w:proofErr w:type="gramEnd"/>
      <w:r w:rsidR="009252BC">
        <w:rPr>
          <w:iCs/>
        </w:rPr>
        <w:t xml:space="preserve"> might be considered at a later stage. </w:t>
      </w:r>
      <w:r w:rsidR="00C211B8">
        <w:rPr>
          <w:iCs/>
        </w:rPr>
        <w:t>The Sub-Committee also noted that, the Working Group:</w:t>
      </w:r>
    </w:p>
    <w:p w14:paraId="4BB0E73A" w14:textId="2BAF21E8" w:rsidR="00C211B8" w:rsidRPr="00C211B8" w:rsidRDefault="00C211B8" w:rsidP="00EA218A">
      <w:pPr>
        <w:pStyle w:val="SingleTxtG"/>
        <w:tabs>
          <w:tab w:val="left" w:pos="1701"/>
        </w:tabs>
        <w:ind w:left="2268" w:hanging="567"/>
      </w:pPr>
      <w:r w:rsidRPr="00C211B8">
        <w:t>(a)</w:t>
      </w:r>
      <w:r w:rsidRPr="00C211B8">
        <w:tab/>
      </w:r>
      <w:r>
        <w:t>generally agreed</w:t>
      </w:r>
      <w:r w:rsidR="009252BC" w:rsidRPr="00C211B8">
        <w:t xml:space="preserve"> that the proposed shipping methods would be valuable for those involved in international round robin testing</w:t>
      </w:r>
      <w:r w:rsidRPr="00C211B8">
        <w:t xml:space="preserve">, </w:t>
      </w:r>
      <w:r w:rsidR="009252BC" w:rsidRPr="00C211B8">
        <w:t xml:space="preserve">that their </w:t>
      </w:r>
      <w:r w:rsidRPr="00C211B8">
        <w:t>adoption into the Model Regulations was desirable and that they would provide a</w:t>
      </w:r>
      <w:r w:rsidR="009252BC" w:rsidRPr="00C211B8">
        <w:t xml:space="preserve"> safe way to transport as yet unclassified explosives for </w:t>
      </w:r>
      <w:r w:rsidR="00D42A6B">
        <w:t>testing and product development;</w:t>
      </w:r>
      <w:r w:rsidR="009252BC" w:rsidRPr="00C211B8">
        <w:t xml:space="preserve"> </w:t>
      </w:r>
    </w:p>
    <w:p w14:paraId="1DC37BC7" w14:textId="7C4CA922" w:rsidR="00C211B8" w:rsidRDefault="00C211B8" w:rsidP="00EA218A">
      <w:pPr>
        <w:pStyle w:val="SingleTxtG"/>
        <w:tabs>
          <w:tab w:val="left" w:pos="1701"/>
        </w:tabs>
        <w:ind w:left="2268" w:hanging="567"/>
      </w:pPr>
      <w:r>
        <w:t xml:space="preserve">(b) </w:t>
      </w:r>
      <w:r>
        <w:tab/>
        <w:t>had i</w:t>
      </w:r>
      <w:r w:rsidR="009252BC">
        <w:t xml:space="preserve">dentified </w:t>
      </w:r>
      <w:r>
        <w:t xml:space="preserve">the following two </w:t>
      </w:r>
      <w:r w:rsidR="009252BC">
        <w:t>implementation options</w:t>
      </w:r>
      <w:r>
        <w:t xml:space="preserve">: creating </w:t>
      </w:r>
      <w:r w:rsidR="00D42A6B">
        <w:t>new UN </w:t>
      </w:r>
      <w:r w:rsidR="009252BC">
        <w:t>number entries as proposed by SAAMI or</w:t>
      </w:r>
      <w:r>
        <w:t xml:space="preserve"> assigning </w:t>
      </w:r>
      <w:r w:rsidR="009252BC">
        <w:t>a special provision to UN</w:t>
      </w:r>
      <w:r w:rsidR="00D42A6B">
        <w:t> No. </w:t>
      </w:r>
      <w:r w:rsidR="009252BC">
        <w:t>0190 allowing use</w:t>
      </w:r>
      <w:r>
        <w:t xml:space="preserve"> without competent a</w:t>
      </w:r>
      <w:r w:rsidR="009252BC">
        <w:t>uthority approval of the substances shipped</w:t>
      </w:r>
      <w:r w:rsidR="00D42A6B">
        <w:t>;</w:t>
      </w:r>
    </w:p>
    <w:p w14:paraId="318A9A6E" w14:textId="0706A7D7" w:rsidR="009252BC" w:rsidRDefault="00C211B8" w:rsidP="00EA218A">
      <w:pPr>
        <w:pStyle w:val="SingleTxtG"/>
        <w:tabs>
          <w:tab w:val="left" w:pos="1701"/>
        </w:tabs>
        <w:ind w:left="2268" w:hanging="567"/>
      </w:pPr>
      <w:r>
        <w:t xml:space="preserve">(c) </w:t>
      </w:r>
      <w:r>
        <w:tab/>
      </w:r>
      <w:proofErr w:type="gramStart"/>
      <w:r>
        <w:t>had</w:t>
      </w:r>
      <w:proofErr w:type="gramEnd"/>
      <w:r>
        <w:t xml:space="preserve"> agreed that the competent authority approval should </w:t>
      </w:r>
      <w:r w:rsidR="009252BC">
        <w:t>be required for the pipe as an article, but not for each of the specific</w:t>
      </w:r>
      <w:r w:rsidR="00B94333">
        <w:t xml:space="preserve"> substances contained therein. </w:t>
      </w:r>
      <w:r w:rsidR="009252BC">
        <w:t xml:space="preserve">This would minimize the need for </w:t>
      </w:r>
      <w:r>
        <w:t>competent authorities</w:t>
      </w:r>
      <w:r w:rsidR="009252BC">
        <w:t xml:space="preserve"> to be involved but would help to document authorized users</w:t>
      </w:r>
      <w:r w:rsidR="004A49CE">
        <w:t>;</w:t>
      </w:r>
    </w:p>
    <w:p w14:paraId="2D532F73" w14:textId="5B23175A" w:rsidR="009252BC" w:rsidRDefault="00C211B8" w:rsidP="00EA218A">
      <w:pPr>
        <w:pStyle w:val="SingleTxtG"/>
        <w:tabs>
          <w:tab w:val="left" w:pos="1701"/>
        </w:tabs>
        <w:ind w:left="2268" w:hanging="567"/>
      </w:pPr>
      <w:r>
        <w:t>(d)</w:t>
      </w:r>
      <w:r>
        <w:tab/>
      </w:r>
      <w:proofErr w:type="gramStart"/>
      <w:r>
        <w:t>considered</w:t>
      </w:r>
      <w:proofErr w:type="gramEnd"/>
      <w:r>
        <w:t xml:space="preserve"> that </w:t>
      </w:r>
      <w:r w:rsidR="009252BC">
        <w:t>to avoid confusion with UN</w:t>
      </w:r>
      <w:r w:rsidR="00D42A6B">
        <w:t> </w:t>
      </w:r>
      <w:r>
        <w:t>No</w:t>
      </w:r>
      <w:r w:rsidR="00D42A6B">
        <w:t xml:space="preserve">.  </w:t>
      </w:r>
      <w:r w:rsidR="009252BC">
        <w:t>0190, the term “sample” should be avoided and that either “not fully classified” or “not yet classified”</w:t>
      </w:r>
      <w:r>
        <w:t xml:space="preserve"> should</w:t>
      </w:r>
      <w:r w:rsidR="009252BC">
        <w:t xml:space="preserve"> be used </w:t>
      </w:r>
      <w:r>
        <w:t>instead</w:t>
      </w:r>
      <w:r w:rsidR="009252BC">
        <w:t xml:space="preserve"> (e.g. “explosive, not fully classified”)</w:t>
      </w:r>
      <w:r w:rsidR="004A49CE">
        <w:t>; and</w:t>
      </w:r>
    </w:p>
    <w:p w14:paraId="6B501F2C" w14:textId="3EE7E47B" w:rsidR="009252BC" w:rsidRDefault="00C211B8" w:rsidP="00EA218A">
      <w:pPr>
        <w:pStyle w:val="SingleTxtG"/>
        <w:tabs>
          <w:tab w:val="left" w:pos="1701"/>
        </w:tabs>
        <w:ind w:left="2268" w:hanging="567"/>
      </w:pPr>
      <w:r>
        <w:t>(e)</w:t>
      </w:r>
      <w:r>
        <w:tab/>
      </w:r>
      <w:proofErr w:type="gramStart"/>
      <w:r w:rsidR="00EA218A">
        <w:t>had</w:t>
      </w:r>
      <w:proofErr w:type="gramEnd"/>
      <w:r w:rsidR="00EA218A">
        <w:t xml:space="preserve"> c</w:t>
      </w:r>
      <w:r w:rsidR="009252BC">
        <w:t>onsidered whether the classification should be 1.4E,</w:t>
      </w:r>
      <w:r w:rsidR="00EA218A">
        <w:t xml:space="preserve"> as in the United States of America special p</w:t>
      </w:r>
      <w:r w:rsidR="009252BC">
        <w:t xml:space="preserve">ermits </w:t>
      </w:r>
      <w:r w:rsidR="00EA218A">
        <w:t>mentioned</w:t>
      </w:r>
      <w:r w:rsidR="009252BC">
        <w:t xml:space="preserve"> in </w:t>
      </w:r>
      <w:r w:rsidR="00EA218A">
        <w:t xml:space="preserve">document </w:t>
      </w:r>
      <w:r w:rsidR="00EA218A" w:rsidRPr="00634742">
        <w:t>ST/SG/AC.10/C.3/2017/</w:t>
      </w:r>
      <w:r w:rsidR="00EA218A">
        <w:t>51,</w:t>
      </w:r>
      <w:r w:rsidR="009252BC">
        <w:t xml:space="preserve"> or 1.4S</w:t>
      </w:r>
      <w:r w:rsidR="00EA218A">
        <w:t>,</w:t>
      </w:r>
      <w:r w:rsidR="009252BC">
        <w:t xml:space="preserve"> </w:t>
      </w:r>
      <w:r w:rsidR="00EA218A">
        <w:t>given that</w:t>
      </w:r>
      <w:r w:rsidR="009252BC">
        <w:t xml:space="preserve"> there </w:t>
      </w:r>
      <w:r w:rsidR="00EA218A">
        <w:t>were</w:t>
      </w:r>
      <w:r w:rsidR="009252BC">
        <w:t xml:space="preserve"> no hazardous effects outside of the package.  </w:t>
      </w:r>
    </w:p>
    <w:p w14:paraId="08C17873" w14:textId="4696D63D" w:rsidR="00595CB0" w:rsidRDefault="00323700" w:rsidP="00EA218A">
      <w:pPr>
        <w:pStyle w:val="SingleTxtG"/>
        <w:tabs>
          <w:tab w:val="left" w:pos="1701"/>
        </w:tabs>
      </w:pPr>
      <w:r>
        <w:t>32.</w:t>
      </w:r>
      <w:r>
        <w:tab/>
      </w:r>
      <w:r w:rsidR="00EA218A">
        <w:t xml:space="preserve">The Sub-Committee noted that the representative of SAAMI would submit a revised proposal for the next session to take account of the comments made. </w:t>
      </w:r>
    </w:p>
    <w:p w14:paraId="726677E3" w14:textId="651E25CD" w:rsidR="00EA218A" w:rsidRDefault="00EA218A" w:rsidP="00EA218A">
      <w:pPr>
        <w:pStyle w:val="H23G"/>
      </w:pPr>
      <w:r>
        <w:tab/>
      </w:r>
      <w:r w:rsidR="0066664F">
        <w:t>2.</w:t>
      </w:r>
      <w:r>
        <w:tab/>
        <w:t>Transport of energetic samples for further testing</w:t>
      </w:r>
    </w:p>
    <w:p w14:paraId="43764BB6" w14:textId="2FBF91EA" w:rsidR="00EA218A" w:rsidRDefault="00EA218A" w:rsidP="001F0E1B">
      <w:pPr>
        <w:pStyle w:val="SingleTxtG"/>
        <w:spacing w:after="0"/>
      </w:pPr>
      <w:r w:rsidRPr="005D2690">
        <w:rPr>
          <w:i/>
          <w:iCs/>
        </w:rPr>
        <w:t>Informal document</w:t>
      </w:r>
      <w:r w:rsidR="001F0E1B">
        <w:rPr>
          <w:i/>
          <w:iCs/>
        </w:rPr>
        <w:t>s</w:t>
      </w:r>
      <w:r w:rsidRPr="005D2690">
        <w:rPr>
          <w:i/>
          <w:iCs/>
        </w:rPr>
        <w:t>:</w:t>
      </w:r>
      <w:r>
        <w:rPr>
          <w:i/>
          <w:iCs/>
        </w:rPr>
        <w:t xml:space="preserve"> </w:t>
      </w:r>
      <w:r>
        <w:rPr>
          <w:i/>
          <w:iCs/>
        </w:rPr>
        <w:tab/>
      </w:r>
      <w:r w:rsidRPr="00634742">
        <w:t>INF.</w:t>
      </w:r>
      <w:r>
        <w:t>12 (CEFIC)</w:t>
      </w:r>
    </w:p>
    <w:p w14:paraId="63030F35" w14:textId="77777777" w:rsidR="001F0E1B" w:rsidRPr="000A1064" w:rsidRDefault="001F0E1B" w:rsidP="006C168A">
      <w:pPr>
        <w:pStyle w:val="SingleTxtG"/>
        <w:ind w:left="3402"/>
        <w:jc w:val="left"/>
      </w:pPr>
      <w:r>
        <w:rPr>
          <w:iCs/>
        </w:rPr>
        <w:t>INF.53 (Chairman of the Working Group)</w:t>
      </w:r>
    </w:p>
    <w:p w14:paraId="3CB54ED1" w14:textId="6650813B" w:rsidR="00383694" w:rsidRDefault="00323700" w:rsidP="001F0E1B">
      <w:pPr>
        <w:pStyle w:val="SingleTxtG"/>
      </w:pPr>
      <w:r>
        <w:t>33.</w:t>
      </w:r>
      <w:r>
        <w:tab/>
      </w:r>
      <w:r w:rsidR="001F0E1B" w:rsidRPr="001F0E1B">
        <w:t>The Sub-Committee noted that, following the discussion and the comments made by the Working Group, the representative of CEFIC would prepare an overview of how self-</w:t>
      </w:r>
      <w:proofErr w:type="spellStart"/>
      <w:r w:rsidR="001F0E1B" w:rsidRPr="001F0E1B">
        <w:t>reactives</w:t>
      </w:r>
      <w:proofErr w:type="spellEnd"/>
      <w:r w:rsidR="001F0E1B" w:rsidRPr="001F0E1B">
        <w:t xml:space="preserve"> are classified and explain how the proposal would address sections 3.3 (c)</w:t>
      </w:r>
      <w:r>
        <w:t xml:space="preserve"> and 5.1 </w:t>
      </w:r>
      <w:r w:rsidR="001F0E1B" w:rsidRPr="001F0E1B">
        <w:t>(b) of Appendix 6 of the Manual of Tests and Criteria</w:t>
      </w:r>
      <w:r w:rsidR="001F0E1B">
        <w:t xml:space="preserve">, for review by the Working Group </w:t>
      </w:r>
      <w:proofErr w:type="spellStart"/>
      <w:r w:rsidR="001F0E1B">
        <w:t>intersessionally</w:t>
      </w:r>
      <w:proofErr w:type="spellEnd"/>
      <w:r w:rsidR="001F0E1B" w:rsidRPr="001F0E1B">
        <w:t xml:space="preserve">. </w:t>
      </w:r>
    </w:p>
    <w:p w14:paraId="36E37F29" w14:textId="77777777" w:rsidR="00B55B47" w:rsidRDefault="00B55B47">
      <w:pPr>
        <w:suppressAutoHyphens w:val="0"/>
        <w:spacing w:line="240" w:lineRule="auto"/>
        <w:rPr>
          <w:b/>
        </w:rPr>
      </w:pPr>
      <w:r>
        <w:br w:type="page"/>
      </w:r>
    </w:p>
    <w:p w14:paraId="00C5C5C5" w14:textId="1FF5E1C8" w:rsidR="001F0E1B" w:rsidRDefault="001F0E1B" w:rsidP="001F0E1B">
      <w:pPr>
        <w:pStyle w:val="H23G"/>
      </w:pPr>
      <w:r>
        <w:tab/>
      </w:r>
      <w:r w:rsidR="0066664F">
        <w:t>3.</w:t>
      </w:r>
      <w:r>
        <w:tab/>
        <w:t>UN No.</w:t>
      </w:r>
      <w:r w:rsidR="00C35DE6">
        <w:t> </w:t>
      </w:r>
      <w:r>
        <w:t>0222 Ammonium nitrate</w:t>
      </w:r>
    </w:p>
    <w:p w14:paraId="0DC8FEE9" w14:textId="634D91DA" w:rsidR="00272BA6" w:rsidRDefault="00272BA6" w:rsidP="00272BA6">
      <w:pPr>
        <w:pStyle w:val="SingleTxtG"/>
        <w:spacing w:after="0"/>
      </w:pPr>
      <w:r w:rsidRPr="005D2690">
        <w:rPr>
          <w:i/>
          <w:iCs/>
        </w:rPr>
        <w:t>Informal document</w:t>
      </w:r>
      <w:r>
        <w:rPr>
          <w:i/>
          <w:iCs/>
        </w:rPr>
        <w:t>s</w:t>
      </w:r>
      <w:r w:rsidRPr="005D2690">
        <w:rPr>
          <w:i/>
          <w:iCs/>
        </w:rPr>
        <w:t>:</w:t>
      </w:r>
      <w:r>
        <w:rPr>
          <w:i/>
          <w:iCs/>
        </w:rPr>
        <w:t xml:space="preserve"> </w:t>
      </w:r>
      <w:r>
        <w:rPr>
          <w:i/>
          <w:iCs/>
        </w:rPr>
        <w:tab/>
      </w:r>
      <w:r w:rsidRPr="00634742">
        <w:t>INF.</w:t>
      </w:r>
      <w:r>
        <w:t>15 (IME)</w:t>
      </w:r>
    </w:p>
    <w:p w14:paraId="72E7F99F" w14:textId="77777777" w:rsidR="00272BA6" w:rsidRPr="000A1064" w:rsidRDefault="00272BA6" w:rsidP="006C168A">
      <w:pPr>
        <w:pStyle w:val="SingleTxtG"/>
        <w:ind w:left="3594" w:hanging="192"/>
        <w:jc w:val="left"/>
      </w:pPr>
      <w:r>
        <w:rPr>
          <w:iCs/>
        </w:rPr>
        <w:t>INF.53 (Chairman of the Working Group)</w:t>
      </w:r>
    </w:p>
    <w:p w14:paraId="1D61358B" w14:textId="199C55EF" w:rsidR="00B7554B" w:rsidRDefault="00323700" w:rsidP="00E55556">
      <w:pPr>
        <w:pStyle w:val="SingleTxtG"/>
      </w:pPr>
      <w:r>
        <w:rPr>
          <w:iCs/>
        </w:rPr>
        <w:t>34.</w:t>
      </w:r>
      <w:r>
        <w:rPr>
          <w:iCs/>
        </w:rPr>
        <w:tab/>
      </w:r>
      <w:r w:rsidR="00E55556">
        <w:rPr>
          <w:iCs/>
        </w:rPr>
        <w:t xml:space="preserve">The Sub-Committee noted that the Working Group considered that the entry for UN No. 0222 should not be removed from the dangerous goods list, on the grounds that although </w:t>
      </w:r>
      <w:r w:rsidR="00B7554B">
        <w:rPr>
          <w:iCs/>
        </w:rPr>
        <w:t xml:space="preserve">no </w:t>
      </w:r>
      <w:r w:rsidR="00272BA6">
        <w:rPr>
          <w:iCs/>
        </w:rPr>
        <w:t>ammonium nitrate</w:t>
      </w:r>
      <w:r w:rsidR="00E55556">
        <w:rPr>
          <w:iCs/>
        </w:rPr>
        <w:t xml:space="preserve"> was manufactured </w:t>
      </w:r>
      <w:r w:rsidR="00B7554B">
        <w:rPr>
          <w:iCs/>
        </w:rPr>
        <w:t>for inclusion in</w:t>
      </w:r>
      <w:r w:rsidR="00E55556">
        <w:rPr>
          <w:iCs/>
        </w:rPr>
        <w:t xml:space="preserve"> </w:t>
      </w:r>
      <w:r w:rsidR="004A49CE">
        <w:rPr>
          <w:iCs/>
        </w:rPr>
        <w:t>UN </w:t>
      </w:r>
      <w:r w:rsidR="00272BA6">
        <w:rPr>
          <w:iCs/>
        </w:rPr>
        <w:t>No. 0222</w:t>
      </w:r>
      <w:r w:rsidR="00B7554B">
        <w:rPr>
          <w:iCs/>
        </w:rPr>
        <w:t xml:space="preserve">, the entry is </w:t>
      </w:r>
      <w:r w:rsidR="00E55556">
        <w:rPr>
          <w:iCs/>
        </w:rPr>
        <w:t xml:space="preserve">used for special purposes, e.g. transport of contaminated ammonium nitrate, ammonium nitrate </w:t>
      </w:r>
      <w:r w:rsidR="00E55556">
        <w:t>of unknown classification</w:t>
      </w:r>
      <w:r w:rsidR="00491C61">
        <w:t>,</w:t>
      </w:r>
      <w:r w:rsidR="00E55556">
        <w:t xml:space="preserve"> and fertilizers that fail </w:t>
      </w:r>
      <w:r w:rsidR="004A49CE">
        <w:t>T</w:t>
      </w:r>
      <w:r w:rsidR="00E55556">
        <w:t xml:space="preserve">est </w:t>
      </w:r>
      <w:r w:rsidR="004A49CE">
        <w:t>S</w:t>
      </w:r>
      <w:r w:rsidR="00E55556">
        <w:t>eries 2.</w:t>
      </w:r>
      <w:r>
        <w:t xml:space="preserve"> It was also noted that </w:t>
      </w:r>
      <w:r w:rsidR="00E55556">
        <w:t>in light of the comments made</w:t>
      </w:r>
      <w:r w:rsidR="00846B01">
        <w:t>,</w:t>
      </w:r>
      <w:r w:rsidR="00E55556">
        <w:t xml:space="preserve"> the representative of IME </w:t>
      </w:r>
      <w:r w:rsidR="00B7554B">
        <w:t>would not pursue this issue further</w:t>
      </w:r>
      <w:r w:rsidR="00E55556">
        <w:t xml:space="preserve">.  </w:t>
      </w:r>
    </w:p>
    <w:p w14:paraId="4B7E7D8A" w14:textId="050CF21D" w:rsidR="00184EB8" w:rsidRPr="0066664F" w:rsidRDefault="00C35A48" w:rsidP="0066664F">
      <w:pPr>
        <w:pStyle w:val="H23G"/>
      </w:pPr>
      <w:r w:rsidRPr="0066664F">
        <w:tab/>
      </w:r>
      <w:r w:rsidR="0066664F">
        <w:t>4.</w:t>
      </w:r>
      <w:r w:rsidRPr="0066664F">
        <w:tab/>
      </w:r>
      <w:r w:rsidR="00184EB8" w:rsidRPr="0066664F">
        <w:t>Proposal to create a new UN number for mines with bursting charge 1.6D</w:t>
      </w:r>
    </w:p>
    <w:p w14:paraId="33D2847D" w14:textId="4440262D" w:rsidR="00595CB0" w:rsidRPr="000A1064" w:rsidRDefault="00184EB8" w:rsidP="00541822">
      <w:pPr>
        <w:pStyle w:val="SingleTxtG"/>
        <w:ind w:left="3402" w:hanging="2268"/>
        <w:jc w:val="left"/>
      </w:pPr>
      <w:r w:rsidRPr="005D2690">
        <w:rPr>
          <w:i/>
          <w:iCs/>
        </w:rPr>
        <w:t>Informal document</w:t>
      </w:r>
      <w:r w:rsidR="00595CB0">
        <w:rPr>
          <w:i/>
          <w:iCs/>
        </w:rPr>
        <w:t>s</w:t>
      </w:r>
      <w:r w:rsidRPr="005D2690">
        <w:rPr>
          <w:i/>
          <w:iCs/>
        </w:rPr>
        <w:t>:</w:t>
      </w:r>
      <w:r>
        <w:rPr>
          <w:i/>
          <w:iCs/>
        </w:rPr>
        <w:t xml:space="preserve"> </w:t>
      </w:r>
      <w:r>
        <w:rPr>
          <w:i/>
          <w:iCs/>
        </w:rPr>
        <w:tab/>
      </w:r>
      <w:r w:rsidRPr="00634742">
        <w:t>INF.</w:t>
      </w:r>
      <w:r>
        <w:t>21 (Finland</w:t>
      </w:r>
      <w:proofErr w:type="gramStart"/>
      <w:r>
        <w:t>)</w:t>
      </w:r>
      <w:proofErr w:type="gramEnd"/>
      <w:r w:rsidR="00595CB0">
        <w:br/>
      </w:r>
      <w:r w:rsidR="00595CB0">
        <w:rPr>
          <w:iCs/>
        </w:rPr>
        <w:t>INF.53 (Chairman of the Working Group)</w:t>
      </w:r>
    </w:p>
    <w:p w14:paraId="56D28F7B" w14:textId="4412C22A" w:rsidR="00595CB0" w:rsidRDefault="00323700" w:rsidP="00184EB8">
      <w:pPr>
        <w:pStyle w:val="SingleTxtG"/>
      </w:pPr>
      <w:r>
        <w:t>35</w:t>
      </w:r>
      <w:r w:rsidR="00184EB8">
        <w:t>.</w:t>
      </w:r>
      <w:r w:rsidR="00184EB8">
        <w:tab/>
        <w:t xml:space="preserve">The Sub-Committee noted that the Working Group confirmed that if the articles described in informal document INF.21 meet </w:t>
      </w:r>
      <w:r w:rsidR="004A49CE">
        <w:t>T</w:t>
      </w:r>
      <w:r w:rsidR="00184EB8">
        <w:t xml:space="preserve">est </w:t>
      </w:r>
      <w:r w:rsidR="004A49CE">
        <w:t>S</w:t>
      </w:r>
      <w:r w:rsidR="00184EB8">
        <w:t xml:space="preserve">eries 7 criteria they could be classified under UN No. 0486, 1.6N. Therefore there was no need to develop a specific entry in the dangerous goods list for this purpose. </w:t>
      </w:r>
      <w:r w:rsidR="000A1DF0">
        <w:t>It</w:t>
      </w:r>
      <w:r w:rsidR="00184EB8">
        <w:t xml:space="preserve"> was the view of the Working Group that P101 does not exclude the possibility for unpackaged transport.</w:t>
      </w:r>
    </w:p>
    <w:p w14:paraId="3659ED91" w14:textId="4F4512B6" w:rsidR="00491C61" w:rsidRDefault="0066664F" w:rsidP="00491C61">
      <w:pPr>
        <w:pStyle w:val="H23G"/>
      </w:pPr>
      <w:r>
        <w:tab/>
        <w:t>5.</w:t>
      </w:r>
      <w:r w:rsidR="00491C61">
        <w:tab/>
        <w:t>Extension of the default firewo</w:t>
      </w:r>
      <w:r w:rsidR="004A49CE">
        <w:t>rks classification table for UN </w:t>
      </w:r>
      <w:r w:rsidR="00491C61">
        <w:t>No.</w:t>
      </w:r>
      <w:r w:rsidR="004A49CE">
        <w:t> </w:t>
      </w:r>
      <w:r w:rsidR="00491C61">
        <w:t>0431 (Articles, pyrotechnic)</w:t>
      </w:r>
    </w:p>
    <w:p w14:paraId="3A8596B4" w14:textId="7B688405" w:rsidR="00491C61" w:rsidRPr="000A1064" w:rsidRDefault="00491C61" w:rsidP="00541822">
      <w:pPr>
        <w:pStyle w:val="SingleTxtG"/>
        <w:ind w:left="3402" w:hanging="2268"/>
        <w:jc w:val="left"/>
      </w:pPr>
      <w:r w:rsidRPr="005D2690">
        <w:rPr>
          <w:i/>
          <w:iCs/>
        </w:rPr>
        <w:t>Informal document</w:t>
      </w:r>
      <w:r>
        <w:rPr>
          <w:i/>
          <w:iCs/>
        </w:rPr>
        <w:t>s</w:t>
      </w:r>
      <w:r w:rsidRPr="005D2690">
        <w:rPr>
          <w:i/>
          <w:iCs/>
        </w:rPr>
        <w:t>:</w:t>
      </w:r>
      <w:r>
        <w:rPr>
          <w:i/>
          <w:iCs/>
        </w:rPr>
        <w:t xml:space="preserve"> </w:t>
      </w:r>
      <w:r>
        <w:rPr>
          <w:i/>
          <w:iCs/>
        </w:rPr>
        <w:tab/>
      </w:r>
      <w:r w:rsidRPr="00634742">
        <w:t>INF.</w:t>
      </w:r>
      <w:r>
        <w:t>33 (United States of America</w:t>
      </w:r>
      <w:proofErr w:type="gramStart"/>
      <w:r>
        <w:t>)</w:t>
      </w:r>
      <w:proofErr w:type="gramEnd"/>
      <w:r>
        <w:br/>
      </w:r>
      <w:r>
        <w:rPr>
          <w:iCs/>
        </w:rPr>
        <w:t>INF.53 (Chairman of the Working Group)</w:t>
      </w:r>
    </w:p>
    <w:p w14:paraId="555230DE" w14:textId="6157B089" w:rsidR="00491C61" w:rsidRDefault="00323700" w:rsidP="00184EB8">
      <w:pPr>
        <w:pStyle w:val="SingleTxtG"/>
      </w:pPr>
      <w:r>
        <w:t>36.</w:t>
      </w:r>
      <w:r>
        <w:tab/>
      </w:r>
      <w:r w:rsidR="00491C61">
        <w:t>The Sub-Committee noted that although there was some sympathy within the Working Group for the proposal</w:t>
      </w:r>
      <w:r w:rsidR="00491C61" w:rsidRPr="00491C61">
        <w:t xml:space="preserve">, </w:t>
      </w:r>
      <w:r w:rsidR="00491C61">
        <w:t xml:space="preserve">experts considered </w:t>
      </w:r>
      <w:r w:rsidR="00491C61" w:rsidRPr="00491C61">
        <w:t xml:space="preserve">that </w:t>
      </w:r>
      <w:r w:rsidR="00491C61">
        <w:t>its scope</w:t>
      </w:r>
      <w:r w:rsidR="00491C61" w:rsidRPr="00491C61">
        <w:t xml:space="preserve"> should be limited to those pyrotechnic articles that are similar to and meet the criteria of those</w:t>
      </w:r>
      <w:r w:rsidR="00491C61">
        <w:t xml:space="preserve"> fireworks in the default table, as they felt that the current proposal was too broad and would allow for </w:t>
      </w:r>
      <w:r w:rsidR="00491C61" w:rsidRPr="00491C61">
        <w:t xml:space="preserve">inappropriate classification of certain pyrotechnic articles.  </w:t>
      </w:r>
    </w:p>
    <w:p w14:paraId="32523006" w14:textId="6E2188FA" w:rsidR="00187692" w:rsidRPr="0066664F" w:rsidRDefault="00187692" w:rsidP="0066664F">
      <w:pPr>
        <w:pStyle w:val="H23G"/>
      </w:pPr>
      <w:r w:rsidRPr="0066664F">
        <w:tab/>
      </w:r>
      <w:r w:rsidR="0066664F">
        <w:t>6.</w:t>
      </w:r>
      <w:r w:rsidRPr="0066664F">
        <w:tab/>
        <w:t>Safety devices (UN No. 3268)</w:t>
      </w:r>
    </w:p>
    <w:p w14:paraId="16093724" w14:textId="43082015" w:rsidR="00187692" w:rsidRDefault="00187692" w:rsidP="00541822">
      <w:pPr>
        <w:pStyle w:val="SingleTxtG"/>
        <w:ind w:left="3402" w:hanging="2268"/>
        <w:jc w:val="left"/>
      </w:pPr>
      <w:r w:rsidRPr="005D2690">
        <w:rPr>
          <w:i/>
          <w:iCs/>
        </w:rPr>
        <w:t>Informal document:</w:t>
      </w:r>
      <w:r w:rsidR="00541822">
        <w:rPr>
          <w:i/>
          <w:iCs/>
        </w:rPr>
        <w:t xml:space="preserve"> </w:t>
      </w:r>
      <w:r w:rsidR="00541822">
        <w:rPr>
          <w:i/>
          <w:iCs/>
        </w:rPr>
        <w:tab/>
      </w:r>
      <w:r w:rsidRPr="00634742">
        <w:t>INF.</w:t>
      </w:r>
      <w:r>
        <w:t>32 (COSTHA)</w:t>
      </w:r>
    </w:p>
    <w:p w14:paraId="7A951533" w14:textId="7BDC783A" w:rsidR="00187692" w:rsidRDefault="00323700" w:rsidP="00187692">
      <w:pPr>
        <w:pStyle w:val="SingleTxtG"/>
      </w:pPr>
      <w:r>
        <w:t>37</w:t>
      </w:r>
      <w:r w:rsidR="00187692">
        <w:t>.</w:t>
      </w:r>
      <w:r w:rsidR="00187692">
        <w:tab/>
        <w:t>There were divergent views on the applicability of UN</w:t>
      </w:r>
      <w:r w:rsidR="004A49CE">
        <w:t> </w:t>
      </w:r>
      <w:r w:rsidR="00187692">
        <w:t>No.</w:t>
      </w:r>
      <w:r w:rsidR="004A49CE">
        <w:t> </w:t>
      </w:r>
      <w:r w:rsidR="00187692">
        <w:t>3268 to micro-gas generators. Some experts noted that these generators could be used in safety devices other than those specifically mentioned in special provision 280 and therefore should not be transported under UN</w:t>
      </w:r>
      <w:r w:rsidR="004A49CE">
        <w:t> </w:t>
      </w:r>
      <w:r w:rsidR="00187692">
        <w:t>No.</w:t>
      </w:r>
      <w:r w:rsidR="004A49CE">
        <w:t> </w:t>
      </w:r>
      <w:r w:rsidR="00187692">
        <w:t>3268. Others expressed the view that a gas generating component for a safety related function as described in special provision 280 would be covered by the current entry. Additionally, some experts considered that UN</w:t>
      </w:r>
      <w:r w:rsidR="004A49CE">
        <w:t> </w:t>
      </w:r>
      <w:r w:rsidR="00187692">
        <w:t>No.</w:t>
      </w:r>
      <w:r w:rsidR="004A49CE">
        <w:t> </w:t>
      </w:r>
      <w:r w:rsidR="00187692">
        <w:t xml:space="preserve">3268 should be assigned on the basis of the characteristics of the safety device only, irrespective of its intended location (a vehicle, a building, </w:t>
      </w:r>
      <w:proofErr w:type="spellStart"/>
      <w:r w:rsidR="00187692">
        <w:t>etc</w:t>
      </w:r>
      <w:proofErr w:type="spellEnd"/>
      <w:r w:rsidR="00187692">
        <w:t xml:space="preserve">). </w:t>
      </w:r>
    </w:p>
    <w:p w14:paraId="445B3D6A" w14:textId="4BE06321" w:rsidR="00187692" w:rsidRDefault="00323700" w:rsidP="00187692">
      <w:pPr>
        <w:pStyle w:val="SingleTxtG"/>
      </w:pPr>
      <w:r>
        <w:t>38</w:t>
      </w:r>
      <w:r w:rsidR="00187692">
        <w:t>.</w:t>
      </w:r>
      <w:r w:rsidR="00187692">
        <w:tab/>
        <w:t xml:space="preserve">The Sub-Committee agreed that the provisions for safety devices currently in the Model Regulations had been initially developed to address only those intended for vehicles, vessels, aircrafts or their completed components. </w:t>
      </w:r>
    </w:p>
    <w:p w14:paraId="40F671D6" w14:textId="3440AC6E" w:rsidR="00187692" w:rsidRDefault="00323700" w:rsidP="00187692">
      <w:pPr>
        <w:pStyle w:val="SingleTxtG"/>
      </w:pPr>
      <w:r>
        <w:t>39</w:t>
      </w:r>
      <w:r w:rsidR="00187692">
        <w:t>.</w:t>
      </w:r>
      <w:r w:rsidR="00187692">
        <w:tab/>
        <w:t>The representative of COSTHA said that he would submit a document to the next session including safety data for micro-gas generators</w:t>
      </w:r>
      <w:r w:rsidR="00187692" w:rsidDel="00607539">
        <w:t xml:space="preserve"> </w:t>
      </w:r>
      <w:r w:rsidR="00187692">
        <w:t>to address some of the questions raised and allow the Sub-Committee to take an informed decision.</w:t>
      </w:r>
    </w:p>
    <w:p w14:paraId="2EBCA278" w14:textId="135465AB" w:rsidR="00EA218A" w:rsidRDefault="00EA218A" w:rsidP="00EA218A">
      <w:pPr>
        <w:pStyle w:val="H23G"/>
      </w:pPr>
      <w:r>
        <w:tab/>
      </w:r>
      <w:r w:rsidR="0066664F">
        <w:t>7.</w:t>
      </w:r>
      <w:r>
        <w:tab/>
        <w:t>Classification of desensitized explosives for the purposes of supply and use according to Chapter 2.17 of the GHS</w:t>
      </w:r>
    </w:p>
    <w:p w14:paraId="15B19F2D" w14:textId="2286A959" w:rsidR="00EA218A" w:rsidRDefault="00EA218A" w:rsidP="00D349B1">
      <w:pPr>
        <w:pStyle w:val="SingleTxtG"/>
        <w:spacing w:after="0"/>
        <w:ind w:left="3402" w:hanging="2268"/>
        <w:jc w:val="left"/>
      </w:pPr>
      <w:r w:rsidRPr="005D2690">
        <w:rPr>
          <w:i/>
          <w:iCs/>
        </w:rPr>
        <w:t>Informal document</w:t>
      </w:r>
      <w:r>
        <w:rPr>
          <w:i/>
          <w:iCs/>
        </w:rPr>
        <w:t>s</w:t>
      </w:r>
      <w:r w:rsidRPr="005D2690">
        <w:rPr>
          <w:i/>
          <w:iCs/>
        </w:rPr>
        <w:t>:</w:t>
      </w:r>
      <w:r>
        <w:rPr>
          <w:i/>
          <w:iCs/>
        </w:rPr>
        <w:t xml:space="preserve"> </w:t>
      </w:r>
      <w:r>
        <w:rPr>
          <w:i/>
          <w:iCs/>
        </w:rPr>
        <w:tab/>
      </w:r>
      <w:r w:rsidRPr="00634742">
        <w:t>INF.</w:t>
      </w:r>
      <w:r>
        <w:t>7 (CEFIC)</w:t>
      </w:r>
    </w:p>
    <w:p w14:paraId="5A34430F" w14:textId="77777777" w:rsidR="00EA218A" w:rsidRDefault="00EA218A" w:rsidP="00D349B1">
      <w:pPr>
        <w:pStyle w:val="SingleTxtG"/>
        <w:spacing w:after="0"/>
        <w:ind w:left="3402" w:hanging="2461"/>
        <w:jc w:val="left"/>
        <w:rPr>
          <w:iCs/>
        </w:rPr>
      </w:pPr>
      <w:r>
        <w:rPr>
          <w:iCs/>
        </w:rPr>
        <w:tab/>
        <w:t>INF.14 (SAAMI)</w:t>
      </w:r>
    </w:p>
    <w:p w14:paraId="21FD7BC1" w14:textId="77777777" w:rsidR="00EA218A" w:rsidRPr="000A1064" w:rsidRDefault="00EA218A" w:rsidP="00D349B1">
      <w:pPr>
        <w:pStyle w:val="SingleTxtG"/>
        <w:ind w:left="3402" w:hanging="2268"/>
        <w:jc w:val="left"/>
      </w:pPr>
      <w:r>
        <w:rPr>
          <w:i/>
          <w:iCs/>
        </w:rPr>
        <w:tab/>
      </w:r>
      <w:r>
        <w:rPr>
          <w:iCs/>
        </w:rPr>
        <w:t>INF.53 (Chairman of the Working Group)</w:t>
      </w:r>
    </w:p>
    <w:p w14:paraId="148164C5" w14:textId="03EB11C7" w:rsidR="00EA218A" w:rsidRDefault="00323700" w:rsidP="00EA218A">
      <w:pPr>
        <w:pStyle w:val="SingleTxtG"/>
      </w:pPr>
      <w:r>
        <w:t>40.</w:t>
      </w:r>
      <w:r>
        <w:tab/>
      </w:r>
      <w:r w:rsidR="00EA218A">
        <w:t xml:space="preserve">The Sub-Committee noted that the Working Group had agreed that classification based on existing test data was desirable in lieu of performing tests. It also noted that the Working Group had discussed the need for a more detailed description of </w:t>
      </w:r>
      <w:r w:rsidR="00EA218A" w:rsidRPr="00962A05">
        <w:t xml:space="preserve">the </w:t>
      </w:r>
      <w:r w:rsidR="00EA218A">
        <w:t xml:space="preserve">steel drum </w:t>
      </w:r>
      <w:r w:rsidR="00EA218A" w:rsidRPr="00962A05">
        <w:t>packaging to which the data applies</w:t>
      </w:r>
      <w:r w:rsidR="00EA218A">
        <w:t xml:space="preserve"> and noted the information from the expert from Sweden about some discrepancies between the results contained in informal document INF.7 and those in Section 51, paragraph 51.4.5.1</w:t>
      </w:r>
      <w:r w:rsidR="004A49CE">
        <w:t>,</w:t>
      </w:r>
      <w:r w:rsidR="00EA218A">
        <w:t xml:space="preserve"> of the Manual of Tests and Criteria. </w:t>
      </w:r>
    </w:p>
    <w:p w14:paraId="65272520" w14:textId="22A756F6" w:rsidR="00EA218A" w:rsidRDefault="00323700" w:rsidP="00187692">
      <w:pPr>
        <w:pStyle w:val="SingleTxtG"/>
      </w:pPr>
      <w:r>
        <w:t>41.</w:t>
      </w:r>
      <w:r>
        <w:tab/>
      </w:r>
      <w:r w:rsidR="00EA218A">
        <w:t xml:space="preserve">The Sub-Committee noted that the representative of </w:t>
      </w:r>
      <w:r w:rsidR="004A49CE">
        <w:t>CEFIC</w:t>
      </w:r>
      <w:r w:rsidR="00EA218A">
        <w:t xml:space="preserve"> would check the discrepancies notified during the discussion and that the representatives of CEFIC and SAAMI would submit revised proposals to the next session, taking account of the comments made.</w:t>
      </w:r>
    </w:p>
    <w:p w14:paraId="38C8C384" w14:textId="77777777" w:rsidR="004011F4" w:rsidRPr="00634742" w:rsidRDefault="004011F4" w:rsidP="004011F4">
      <w:pPr>
        <w:pStyle w:val="HChG"/>
      </w:pPr>
      <w:r w:rsidRPr="00634742">
        <w:tab/>
        <w:t>V.</w:t>
      </w:r>
      <w:r w:rsidRPr="00634742">
        <w:tab/>
        <w:t>Listing, classification and packing (agenda item 3)</w:t>
      </w:r>
    </w:p>
    <w:p w14:paraId="09016A1C" w14:textId="77777777" w:rsidR="004011F4" w:rsidRPr="00634742" w:rsidRDefault="004011F4" w:rsidP="004011F4">
      <w:pPr>
        <w:pStyle w:val="H1G"/>
      </w:pPr>
      <w:r w:rsidRPr="00634742">
        <w:tab/>
        <w:t>A.</w:t>
      </w:r>
      <w:r w:rsidRPr="00634742">
        <w:tab/>
        <w:t>Extension of the name and description of UN No. 2990 LIFE-SAVING APPLIANCES, SELF-INFLATING, Class 9</w:t>
      </w:r>
    </w:p>
    <w:p w14:paraId="16506EC5" w14:textId="77777777" w:rsidR="004011F4" w:rsidRPr="00634742" w:rsidRDefault="004011F4" w:rsidP="00D349B1">
      <w:pPr>
        <w:pStyle w:val="SingleTxtG"/>
        <w:tabs>
          <w:tab w:val="left" w:pos="3402"/>
        </w:tabs>
      </w:pPr>
      <w:r w:rsidRPr="009B0857">
        <w:rPr>
          <w:i/>
          <w:iCs/>
        </w:rPr>
        <w:t>Document:</w:t>
      </w:r>
      <w:r w:rsidRPr="00634742">
        <w:tab/>
        <w:t>ST/SG/AC.10/C.3/2017/29 (Germany)</w:t>
      </w:r>
    </w:p>
    <w:p w14:paraId="26B630B1" w14:textId="5E79C081" w:rsidR="004011F4" w:rsidRPr="00634742" w:rsidRDefault="00323700" w:rsidP="004011F4">
      <w:pPr>
        <w:pStyle w:val="SingleTxtG"/>
      </w:pPr>
      <w:r>
        <w:t>42</w:t>
      </w:r>
      <w:r w:rsidR="004011F4" w:rsidRPr="00634742">
        <w:t>.</w:t>
      </w:r>
      <w:r w:rsidR="004011F4" w:rsidRPr="00634742">
        <w:tab/>
        <w:t xml:space="preserve">Some experts were in favour of the proposal to extend the name and description of UN No. 2990 to include self-inflating recovery devices and make a consequential amendment to special provision 296. </w:t>
      </w:r>
      <w:r w:rsidR="004011F4">
        <w:t xml:space="preserve">However the majority believed that </w:t>
      </w:r>
      <w:r w:rsidR="0052011A">
        <w:t xml:space="preserve">the </w:t>
      </w:r>
      <w:r w:rsidR="004011F4">
        <w:t xml:space="preserve">life-saving appliances entry should remain limited to appliances performing a life-saving </w:t>
      </w:r>
      <w:r w:rsidR="00595CB0">
        <w:t>function</w:t>
      </w:r>
      <w:r w:rsidR="004011F4" w:rsidRPr="00634742">
        <w:t>.</w:t>
      </w:r>
    </w:p>
    <w:p w14:paraId="3676C7D3" w14:textId="7FDAF12C" w:rsidR="004011F4" w:rsidRDefault="00323700" w:rsidP="004011F4">
      <w:pPr>
        <w:pStyle w:val="SingleTxtG"/>
      </w:pPr>
      <w:r>
        <w:t>43</w:t>
      </w:r>
      <w:r w:rsidR="004011F4" w:rsidRPr="00634742">
        <w:t>.</w:t>
      </w:r>
      <w:r w:rsidR="004011F4" w:rsidRPr="00634742">
        <w:tab/>
        <w:t xml:space="preserve">The expert from Germany withdrew her proposal, saying that she would submit another one with more information. Those experts who thought that the matter could be dealt with differently were asked to forward their suggestions to her in writing. </w:t>
      </w:r>
    </w:p>
    <w:p w14:paraId="7BD55634" w14:textId="77777777" w:rsidR="004011F4" w:rsidRPr="009A3A9A" w:rsidRDefault="004011F4" w:rsidP="004011F4">
      <w:pPr>
        <w:pStyle w:val="H1G"/>
      </w:pPr>
      <w:r w:rsidRPr="009A3A9A">
        <w:tab/>
        <w:t>B.</w:t>
      </w:r>
      <w:r w:rsidRPr="009A3A9A">
        <w:tab/>
        <w:t>New entry for UN No. 1390 ALKALI METAL AMIDES</w:t>
      </w:r>
      <w:proofErr w:type="gramStart"/>
      <w:r w:rsidRPr="009A3A9A">
        <w:t>,</w:t>
      </w:r>
      <w:proofErr w:type="gramEnd"/>
      <w:r w:rsidRPr="009A3A9A">
        <w:br/>
        <w:t>packing group I</w:t>
      </w:r>
    </w:p>
    <w:p w14:paraId="4258F397" w14:textId="77777777" w:rsidR="004011F4" w:rsidRPr="009A3A9A" w:rsidRDefault="004011F4" w:rsidP="00D349B1">
      <w:pPr>
        <w:pStyle w:val="SingleTxtG"/>
        <w:tabs>
          <w:tab w:val="left" w:pos="3402"/>
        </w:tabs>
      </w:pPr>
      <w:r w:rsidRPr="00CD146C">
        <w:rPr>
          <w:i/>
          <w:iCs/>
        </w:rPr>
        <w:t>Document</w:t>
      </w:r>
      <w:r w:rsidRPr="009A3A9A">
        <w:t>:</w:t>
      </w:r>
      <w:r w:rsidRPr="009A3A9A">
        <w:tab/>
        <w:t>ST/SG/AC.10/C.3/2017/38 (Germany)</w:t>
      </w:r>
    </w:p>
    <w:p w14:paraId="6985B481" w14:textId="2E5482AC" w:rsidR="004011F4" w:rsidRPr="009A3A9A" w:rsidRDefault="00323700" w:rsidP="004011F4">
      <w:pPr>
        <w:pStyle w:val="SingleTxtG"/>
      </w:pPr>
      <w:r>
        <w:t>44</w:t>
      </w:r>
      <w:r w:rsidR="004011F4" w:rsidRPr="009A3A9A">
        <w:t>.</w:t>
      </w:r>
      <w:r w:rsidR="004011F4" w:rsidRPr="009A3A9A">
        <w:tab/>
        <w:t xml:space="preserve">The Sub-Committee adopted the proposal to add an entry for packing group I (see annex </w:t>
      </w:r>
      <w:r w:rsidR="0052011A">
        <w:t>II</w:t>
      </w:r>
      <w:r w:rsidR="0052011A" w:rsidRPr="009A3A9A">
        <w:t xml:space="preserve">). </w:t>
      </w:r>
      <w:r w:rsidR="004011F4" w:rsidRPr="009A3A9A">
        <w:t>The expert from the United States of America suggested that an entry for packing group III would also be useful. He said that he would submit a proposal in that regard.</w:t>
      </w:r>
    </w:p>
    <w:p w14:paraId="496AB219" w14:textId="7B25BBAD" w:rsidR="004011F4" w:rsidRPr="009A3A9A" w:rsidRDefault="00323700" w:rsidP="004011F4">
      <w:pPr>
        <w:pStyle w:val="SingleTxtG"/>
      </w:pPr>
      <w:r>
        <w:t>45</w:t>
      </w:r>
      <w:r w:rsidR="004011F4" w:rsidRPr="009A3A9A">
        <w:t>.</w:t>
      </w:r>
      <w:r w:rsidR="004011F4" w:rsidRPr="009A3A9A">
        <w:tab/>
        <w:t>The expert from China indicated that a Class 8 subsidiary hazard should also be considered because of the pH14. The Sub-Committee considered that a decision could not be taken on that matter until the relevant data had been presented. If the criteria of class 8 were met, the precedence of hazards table should be taken into account.</w:t>
      </w:r>
    </w:p>
    <w:p w14:paraId="123BCE6D" w14:textId="77777777" w:rsidR="00B55B47" w:rsidRDefault="00B55B47">
      <w:pPr>
        <w:suppressAutoHyphens w:val="0"/>
        <w:spacing w:line="240" w:lineRule="auto"/>
        <w:rPr>
          <w:b/>
          <w:sz w:val="24"/>
        </w:rPr>
      </w:pPr>
      <w:r>
        <w:br w:type="page"/>
      </w:r>
    </w:p>
    <w:p w14:paraId="1D3F3EE1" w14:textId="50922900" w:rsidR="004011F4" w:rsidRPr="009A3A9A" w:rsidRDefault="004011F4" w:rsidP="004011F4">
      <w:pPr>
        <w:pStyle w:val="H1G"/>
      </w:pPr>
      <w:r w:rsidRPr="009A3A9A">
        <w:tab/>
        <w:t>C.</w:t>
      </w:r>
      <w:r w:rsidRPr="009A3A9A">
        <w:tab/>
        <w:t>Assignment of packing groups for Division 6.2 (infectious substances)</w:t>
      </w:r>
    </w:p>
    <w:p w14:paraId="1E5BF064" w14:textId="77777777" w:rsidR="004011F4" w:rsidRPr="009A3A9A" w:rsidRDefault="004011F4" w:rsidP="007D5A17">
      <w:pPr>
        <w:pStyle w:val="SingleTxtG"/>
        <w:tabs>
          <w:tab w:val="left" w:pos="3402"/>
        </w:tabs>
      </w:pPr>
      <w:r w:rsidRPr="00CD146C">
        <w:rPr>
          <w:i/>
          <w:iCs/>
        </w:rPr>
        <w:t>Document</w:t>
      </w:r>
      <w:r w:rsidRPr="009A3A9A">
        <w:t>:</w:t>
      </w:r>
      <w:r w:rsidRPr="009A3A9A">
        <w:tab/>
        <w:t>ST/SG/AC.10/C.3/2017/42 (Canada)</w:t>
      </w:r>
    </w:p>
    <w:p w14:paraId="4821FE13" w14:textId="4D2A11D6" w:rsidR="004011F4" w:rsidRPr="009A3A9A" w:rsidRDefault="00323700" w:rsidP="004011F4">
      <w:pPr>
        <w:pStyle w:val="SingleTxtG"/>
      </w:pPr>
      <w:r>
        <w:t>46</w:t>
      </w:r>
      <w:r w:rsidR="004011F4" w:rsidRPr="009A3A9A">
        <w:t>.</w:t>
      </w:r>
      <w:r w:rsidR="004011F4" w:rsidRPr="009A3A9A">
        <w:tab/>
        <w:t xml:space="preserve">The proposal not to indicate packing group II in column (5) for UN No. 3291 was adopted in order to ensure consistency with the general principle set out in 2.0.1.3 on the understanding that the packaging should remain subject to the performance requirements laid down for packing group II as indicated in packing instructions P621, IBC620 and LP621 (see annex </w:t>
      </w:r>
      <w:r w:rsidR="0052011A">
        <w:t>II</w:t>
      </w:r>
      <w:r w:rsidR="0052011A" w:rsidRPr="009A3A9A">
        <w:t>).</w:t>
      </w:r>
    </w:p>
    <w:p w14:paraId="5B1CFF42" w14:textId="6957DD34" w:rsidR="004011F4" w:rsidRPr="009A3A9A" w:rsidRDefault="004011F4" w:rsidP="004011F4">
      <w:pPr>
        <w:pStyle w:val="H1G"/>
      </w:pPr>
      <w:r w:rsidRPr="009A3A9A">
        <w:tab/>
        <w:t>D.</w:t>
      </w:r>
      <w:r w:rsidRPr="009A3A9A">
        <w:tab/>
        <w:t>Polymerizing substances</w:t>
      </w:r>
      <w:r w:rsidR="00FD1815">
        <w:t xml:space="preserve"> </w:t>
      </w:r>
      <w:r w:rsidRPr="009A3A9A">
        <w:t>UN Nos. 2522 and 2383</w:t>
      </w:r>
    </w:p>
    <w:p w14:paraId="02797773" w14:textId="77777777" w:rsidR="004011F4" w:rsidRPr="009A3A9A" w:rsidRDefault="004011F4" w:rsidP="007D5A17">
      <w:pPr>
        <w:pStyle w:val="SingleTxtG"/>
        <w:tabs>
          <w:tab w:val="left" w:pos="3402"/>
        </w:tabs>
      </w:pPr>
      <w:r w:rsidRPr="00CD146C">
        <w:rPr>
          <w:i/>
          <w:iCs/>
        </w:rPr>
        <w:t>Informal document</w:t>
      </w:r>
      <w:r w:rsidRPr="009A3A9A">
        <w:t>:</w:t>
      </w:r>
      <w:r w:rsidRPr="009A3A9A">
        <w:tab/>
        <w:t>INF.5 (Germany, DGAC and CEFIC)</w:t>
      </w:r>
    </w:p>
    <w:p w14:paraId="4B9BC8F4" w14:textId="79E967CF" w:rsidR="00412E20" w:rsidRDefault="00323700" w:rsidP="004011F4">
      <w:pPr>
        <w:pStyle w:val="SingleTxtG"/>
      </w:pPr>
      <w:r>
        <w:t>47</w:t>
      </w:r>
      <w:r w:rsidR="004011F4" w:rsidRPr="009A3A9A">
        <w:t>.</w:t>
      </w:r>
      <w:r w:rsidR="004011F4" w:rsidRPr="009A3A9A">
        <w:tab/>
        <w:t xml:space="preserve">The proposed amendments relating to those UN numbers were adopted in square brackets for confirmation at the next session (see annex </w:t>
      </w:r>
      <w:r w:rsidR="0052011A">
        <w:t>II</w:t>
      </w:r>
      <w:r w:rsidR="0052011A" w:rsidRPr="009A3A9A">
        <w:t>).</w:t>
      </w:r>
    </w:p>
    <w:p w14:paraId="0E2737E5" w14:textId="77777777" w:rsidR="00187692" w:rsidRPr="00D10092" w:rsidRDefault="00187692" w:rsidP="00187692">
      <w:pPr>
        <w:pStyle w:val="H1G"/>
      </w:pPr>
      <w:r w:rsidRPr="00D10092">
        <w:tab/>
        <w:t>E.</w:t>
      </w:r>
      <w:r w:rsidRPr="00D10092">
        <w:tab/>
        <w:t>Application of packing instruction P003 to large articles</w:t>
      </w:r>
    </w:p>
    <w:p w14:paraId="1198097C" w14:textId="77777777" w:rsidR="00187692" w:rsidRPr="00D10092" w:rsidRDefault="00187692" w:rsidP="007D5A17">
      <w:pPr>
        <w:pStyle w:val="SingleTxtG"/>
        <w:tabs>
          <w:tab w:val="left" w:pos="3402"/>
        </w:tabs>
      </w:pPr>
      <w:r w:rsidRPr="00C31E4D">
        <w:rPr>
          <w:i/>
        </w:rPr>
        <w:t>Document</w:t>
      </w:r>
      <w:r w:rsidRPr="00D10092">
        <w:t>:</w:t>
      </w:r>
      <w:r w:rsidRPr="00D10092">
        <w:tab/>
        <w:t>ST/SG/AC.10/C.3/2017/32 (Germany)</w:t>
      </w:r>
    </w:p>
    <w:p w14:paraId="10B0A3DB" w14:textId="77777777" w:rsidR="00187692" w:rsidRPr="00D10092" w:rsidRDefault="00187692" w:rsidP="007D5A17">
      <w:pPr>
        <w:pStyle w:val="SingleTxtG"/>
        <w:tabs>
          <w:tab w:val="left" w:pos="3402"/>
        </w:tabs>
      </w:pPr>
      <w:r w:rsidRPr="00C31E4D">
        <w:rPr>
          <w:i/>
        </w:rPr>
        <w:t>Informal document</w:t>
      </w:r>
      <w:r w:rsidRPr="00D10092">
        <w:t>:</w:t>
      </w:r>
      <w:r w:rsidRPr="00D10092">
        <w:tab/>
        <w:t>INF.47 (Germany)</w:t>
      </w:r>
    </w:p>
    <w:p w14:paraId="638AB8D0" w14:textId="635905DB" w:rsidR="00187692" w:rsidRDefault="00323700" w:rsidP="00187692">
      <w:pPr>
        <w:pStyle w:val="SingleTxtG"/>
      </w:pPr>
      <w:r>
        <w:t>48</w:t>
      </w:r>
      <w:r w:rsidR="00187692" w:rsidRPr="00D10092">
        <w:t>.</w:t>
      </w:r>
      <w:r w:rsidR="00187692" w:rsidRPr="00D10092">
        <w:tab/>
        <w:t xml:space="preserve">After a plenary discussion, the expert from Germany proposed two options in informal document INF.47 and the Sub-Committee adopted an amendment to provision PP32, as proposed in the first option (see annex </w:t>
      </w:r>
      <w:r w:rsidR="0052011A">
        <w:t>II</w:t>
      </w:r>
      <w:r w:rsidR="0052011A" w:rsidRPr="00D10092">
        <w:t>).</w:t>
      </w:r>
    </w:p>
    <w:p w14:paraId="54D3685C" w14:textId="77777777" w:rsidR="00187692" w:rsidRPr="009B70CD" w:rsidRDefault="00187692" w:rsidP="00187692">
      <w:pPr>
        <w:pStyle w:val="H1G"/>
      </w:pPr>
      <w:r w:rsidRPr="009B70CD">
        <w:tab/>
        <w:t>F.</w:t>
      </w:r>
      <w:r w:rsidRPr="009B70CD">
        <w:tab/>
        <w:t xml:space="preserve">Multiple marking of </w:t>
      </w:r>
      <w:proofErr w:type="spellStart"/>
      <w:r w:rsidRPr="009B70CD">
        <w:t>packagings</w:t>
      </w:r>
      <w:proofErr w:type="spellEnd"/>
      <w:r w:rsidRPr="009B70CD">
        <w:t xml:space="preserve">, including IBCs and large </w:t>
      </w:r>
      <w:proofErr w:type="spellStart"/>
      <w:r w:rsidRPr="009B70CD">
        <w:t>packagings</w:t>
      </w:r>
      <w:proofErr w:type="spellEnd"/>
      <w:r w:rsidRPr="009B70CD">
        <w:t>, indicating conformity with more than one successfully tested design type</w:t>
      </w:r>
    </w:p>
    <w:p w14:paraId="4D576E8F" w14:textId="69428A1B" w:rsidR="00187692" w:rsidRPr="009B70CD" w:rsidRDefault="00187692" w:rsidP="007D5A17">
      <w:pPr>
        <w:tabs>
          <w:tab w:val="left" w:pos="3402"/>
        </w:tabs>
        <w:spacing w:after="120"/>
        <w:ind w:left="414" w:firstLine="720"/>
      </w:pPr>
      <w:r w:rsidRPr="00F4199A">
        <w:rPr>
          <w:i/>
        </w:rPr>
        <w:t>Document</w:t>
      </w:r>
      <w:r>
        <w:t>:</w:t>
      </w:r>
      <w:r w:rsidRPr="009B70CD">
        <w:tab/>
        <w:t>ST/SG/AC.10/C.3/2017/36 (CEFIC, DGAC)</w:t>
      </w:r>
    </w:p>
    <w:p w14:paraId="2E393553" w14:textId="714127F0" w:rsidR="00187692" w:rsidRPr="009B70CD" w:rsidRDefault="00187692" w:rsidP="00187692">
      <w:pPr>
        <w:pStyle w:val="SingleTxtG"/>
        <w:jc w:val="left"/>
      </w:pPr>
      <w:r w:rsidRPr="00F4199A">
        <w:rPr>
          <w:i/>
        </w:rPr>
        <w:t>Informal documents</w:t>
      </w:r>
      <w:r>
        <w:t>:</w:t>
      </w:r>
      <w:r>
        <w:tab/>
      </w:r>
      <w:r w:rsidR="00B55B47">
        <w:tab/>
      </w:r>
      <w:r w:rsidRPr="009B70CD">
        <w:t>INF.23 (ICIBCA)</w:t>
      </w:r>
      <w:r>
        <w:br/>
      </w:r>
      <w:r>
        <w:tab/>
      </w:r>
      <w:r>
        <w:tab/>
      </w:r>
      <w:r>
        <w:tab/>
      </w:r>
      <w:r w:rsidR="00B55B47">
        <w:tab/>
      </w:r>
      <w:r w:rsidRPr="009B70CD">
        <w:t>INF.51 (CEFIC, DGAC)</w:t>
      </w:r>
      <w:r>
        <w:br/>
      </w:r>
      <w:r>
        <w:tab/>
      </w:r>
      <w:r>
        <w:tab/>
      </w:r>
      <w:r>
        <w:tab/>
      </w:r>
      <w:r w:rsidR="007D5A17">
        <w:tab/>
      </w:r>
      <w:r>
        <w:t>INF.45 (ICCR)</w:t>
      </w:r>
    </w:p>
    <w:p w14:paraId="63BF6EAB" w14:textId="62DCE18F" w:rsidR="00187692" w:rsidRDefault="00323700" w:rsidP="00187692">
      <w:pPr>
        <w:pStyle w:val="SingleTxtG"/>
      </w:pPr>
      <w:r>
        <w:t>49</w:t>
      </w:r>
      <w:r w:rsidR="00187692">
        <w:t>.</w:t>
      </w:r>
      <w:r w:rsidR="00187692">
        <w:tab/>
      </w:r>
      <w:r w:rsidR="00187692" w:rsidRPr="009B70CD">
        <w:t xml:space="preserve">The Sub-Committee agreed in principle to the proposals in paragraph 3 of </w:t>
      </w:r>
      <w:r w:rsidR="00187692">
        <w:t xml:space="preserve">informal document </w:t>
      </w:r>
      <w:r w:rsidR="00187692" w:rsidRPr="009B70CD">
        <w:t xml:space="preserve">INF.51 </w:t>
      </w:r>
      <w:r w:rsidR="00846B01">
        <w:t xml:space="preserve">(see annex II) </w:t>
      </w:r>
      <w:r w:rsidR="00187692" w:rsidRPr="009B70CD">
        <w:t xml:space="preserve">and noted that CEFIC and DGAC intended to submit a proposal to the next session to address the </w:t>
      </w:r>
      <w:r w:rsidR="00187692">
        <w:t xml:space="preserve">remaining </w:t>
      </w:r>
      <w:r w:rsidR="00187692" w:rsidRPr="009B70CD">
        <w:t>issue of multiple approvals for packages simultaneously conforming to different design types and categories.</w:t>
      </w:r>
    </w:p>
    <w:p w14:paraId="6F675F84" w14:textId="77777777" w:rsidR="00187692" w:rsidRPr="00C71CC6" w:rsidRDefault="00187692" w:rsidP="00187692">
      <w:pPr>
        <w:pStyle w:val="H1G"/>
      </w:pPr>
      <w:r w:rsidRPr="00C71CC6">
        <w:tab/>
        <w:t>G.</w:t>
      </w:r>
      <w:r w:rsidRPr="00C71CC6">
        <w:tab/>
        <w:t>Proposal to create UN numbers for pyrophoric gases and add criteria for pyrophoric gases in Division 2.1</w:t>
      </w:r>
    </w:p>
    <w:p w14:paraId="6BC840AA" w14:textId="77777777" w:rsidR="00187692" w:rsidRPr="00C71CC6" w:rsidRDefault="00187692" w:rsidP="00BD0A18">
      <w:pPr>
        <w:pStyle w:val="SingleTxtG"/>
        <w:tabs>
          <w:tab w:val="left" w:pos="3402"/>
        </w:tabs>
      </w:pPr>
      <w:r w:rsidRPr="001F4044">
        <w:rPr>
          <w:i/>
          <w:iCs/>
        </w:rPr>
        <w:t>Document</w:t>
      </w:r>
      <w:r>
        <w:t>:</w:t>
      </w:r>
      <w:r>
        <w:tab/>
      </w:r>
      <w:r w:rsidRPr="00C71CC6">
        <w:t>ST/SG/AC.10/C.3/2017/43 (CGA and EIGA)</w:t>
      </w:r>
    </w:p>
    <w:p w14:paraId="7C65A161" w14:textId="57B1DB50" w:rsidR="00187692" w:rsidRPr="00C71CC6" w:rsidRDefault="00323700" w:rsidP="00187692">
      <w:pPr>
        <w:pStyle w:val="SingleTxtG"/>
      </w:pPr>
      <w:r>
        <w:t>50</w:t>
      </w:r>
      <w:r w:rsidR="00187692" w:rsidRPr="00C71CC6">
        <w:t>.</w:t>
      </w:r>
      <w:r w:rsidR="00187692" w:rsidRPr="00C71CC6">
        <w:tab/>
        <w:t xml:space="preserve">Following an introduction in plenary session, </w:t>
      </w:r>
      <w:r w:rsidR="00187692">
        <w:t xml:space="preserve">there was general support for the proposal and </w:t>
      </w:r>
      <w:r w:rsidR="00187692" w:rsidRPr="00C71CC6">
        <w:t xml:space="preserve">the document was entrusted to a lunchtime working group. </w:t>
      </w:r>
    </w:p>
    <w:p w14:paraId="61ED0E88" w14:textId="5D3775EF" w:rsidR="00187692" w:rsidRDefault="00323700" w:rsidP="00187692">
      <w:pPr>
        <w:pStyle w:val="SingleTxtG"/>
      </w:pPr>
      <w:r>
        <w:t>51</w:t>
      </w:r>
      <w:r w:rsidR="00187692" w:rsidRPr="00C71CC6">
        <w:t>.</w:t>
      </w:r>
      <w:r w:rsidR="00187692" w:rsidRPr="00C71CC6">
        <w:tab/>
        <w:t xml:space="preserve">The Sub-Committee noted that the representatives of CGA and EIGA would submit a revised proposal for the next session, which would take into account the comments and observations made. </w:t>
      </w:r>
    </w:p>
    <w:p w14:paraId="3A18F8E2" w14:textId="77777777" w:rsidR="00187692" w:rsidRPr="009A1C57" w:rsidRDefault="00187692" w:rsidP="00187692">
      <w:pPr>
        <w:pStyle w:val="H1G"/>
      </w:pPr>
      <w:r w:rsidRPr="00371765">
        <w:tab/>
      </w:r>
      <w:r w:rsidRPr="009A1C57">
        <w:t>H.</w:t>
      </w:r>
      <w:r w:rsidRPr="009A1C57">
        <w:tab/>
        <w:t>Review of packing instruction P801</w:t>
      </w:r>
    </w:p>
    <w:p w14:paraId="6B10CCDE" w14:textId="746A1487" w:rsidR="00187692" w:rsidRPr="009A1C57" w:rsidRDefault="00187692" w:rsidP="00187692">
      <w:pPr>
        <w:pStyle w:val="SingleTxtG"/>
      </w:pPr>
      <w:r w:rsidRPr="009A1C57">
        <w:rPr>
          <w:i/>
        </w:rPr>
        <w:t>Document</w:t>
      </w:r>
      <w:r w:rsidRPr="009A1C57">
        <w:t xml:space="preserve">: </w:t>
      </w:r>
      <w:r w:rsidRPr="009A1C57">
        <w:tab/>
      </w:r>
      <w:r w:rsidRPr="009A1C57">
        <w:tab/>
      </w:r>
      <w:r w:rsidRPr="009A1C57">
        <w:tab/>
        <w:t>ST/SG/AC.10/C.3/2017/44 (Canada)</w:t>
      </w:r>
    </w:p>
    <w:p w14:paraId="7E904786" w14:textId="05DF0955" w:rsidR="00187692" w:rsidRPr="009A1C57" w:rsidRDefault="00187692" w:rsidP="00187692">
      <w:pPr>
        <w:pStyle w:val="SingleTxtG"/>
      </w:pPr>
      <w:r w:rsidRPr="009A1C57">
        <w:rPr>
          <w:i/>
        </w:rPr>
        <w:t>Informal documents:</w:t>
      </w:r>
      <w:r w:rsidR="00BD0A18">
        <w:t xml:space="preserve"> </w:t>
      </w:r>
      <w:r w:rsidR="00BD0A18">
        <w:tab/>
      </w:r>
      <w:r w:rsidRPr="009A1C57">
        <w:t>INF.52 and INF.61 (Canada)</w:t>
      </w:r>
    </w:p>
    <w:p w14:paraId="0014C8A9" w14:textId="25C49ED9" w:rsidR="00187692" w:rsidRDefault="00323700" w:rsidP="00187692">
      <w:pPr>
        <w:pStyle w:val="SingleTxtG"/>
      </w:pPr>
      <w:r>
        <w:t>52</w:t>
      </w:r>
      <w:r w:rsidR="00187692">
        <w:t>.</w:t>
      </w:r>
      <w:r w:rsidR="00187692">
        <w:tab/>
      </w:r>
      <w:r w:rsidR="00187692" w:rsidRPr="009A1C57">
        <w:t xml:space="preserve">Following discussion in plenary session the </w:t>
      </w:r>
      <w:r w:rsidR="00187692">
        <w:t>expert from Canada submitted a revised proposal in informal document INF.61. However, in light of the oral comments made during its discussion in plenary, it could not be adopted. The Sub-Committee invited the expert from Canada to consider submitting a new revised proposal to the next session.</w:t>
      </w:r>
    </w:p>
    <w:p w14:paraId="41535974" w14:textId="11FD8732" w:rsidR="00144199" w:rsidRDefault="004011F4" w:rsidP="00C35A48">
      <w:pPr>
        <w:pStyle w:val="HChG"/>
      </w:pPr>
      <w:r w:rsidRPr="009A3A9A">
        <w:tab/>
      </w:r>
      <w:r w:rsidR="00546933">
        <w:t>VI</w:t>
      </w:r>
      <w:r w:rsidRPr="009A3A9A">
        <w:t>.</w:t>
      </w:r>
      <w:r w:rsidRPr="009A3A9A">
        <w:tab/>
      </w:r>
      <w:r w:rsidR="00546933">
        <w:t>Electric storage system</w:t>
      </w:r>
      <w:r w:rsidR="0052011A">
        <w:t>s</w:t>
      </w:r>
      <w:r w:rsidR="00546933">
        <w:t xml:space="preserve"> (agenda item 4)</w:t>
      </w:r>
    </w:p>
    <w:p w14:paraId="107EBF8E" w14:textId="030EBC82" w:rsidR="00C35A48" w:rsidRPr="004C2574" w:rsidRDefault="00C35A48" w:rsidP="00C35A48">
      <w:pPr>
        <w:pStyle w:val="H1G"/>
      </w:pPr>
      <w:r w:rsidRPr="004C2574">
        <w:tab/>
      </w:r>
      <w:r>
        <w:t>A</w:t>
      </w:r>
      <w:r w:rsidRPr="004C2574">
        <w:t>.</w:t>
      </w:r>
      <w:r w:rsidRPr="004C2574">
        <w:tab/>
        <w:t>Testing of lithium batteries</w:t>
      </w:r>
    </w:p>
    <w:p w14:paraId="6987645A" w14:textId="5875AE63" w:rsidR="00C35A48" w:rsidRDefault="00C35A48" w:rsidP="00C35A48">
      <w:pPr>
        <w:pStyle w:val="SingleTxtG"/>
      </w:pPr>
      <w:r w:rsidRPr="004C2574">
        <w:rPr>
          <w:i/>
        </w:rPr>
        <w:t>Informal document:</w:t>
      </w:r>
      <w:r w:rsidRPr="004C2574">
        <w:t xml:space="preserve"> </w:t>
      </w:r>
      <w:r w:rsidRPr="004C2574">
        <w:tab/>
      </w:r>
      <w:r w:rsidRPr="004C2574">
        <w:tab/>
        <w:t>INF.58 (MDBTC)</w:t>
      </w:r>
    </w:p>
    <w:p w14:paraId="0A21D2A0" w14:textId="67627A40" w:rsidR="00C35A48" w:rsidRDefault="00323700" w:rsidP="00C35A48">
      <w:pPr>
        <w:pStyle w:val="SingleTxtG"/>
      </w:pPr>
      <w:r>
        <w:t>53</w:t>
      </w:r>
      <w:r w:rsidR="00C35A48">
        <w:t>.</w:t>
      </w:r>
      <w:r w:rsidR="00C35A48">
        <w:tab/>
        <w:t>The Sub-Committee noted that due to the late submission of the document, experts had not had sufficient time to consider in detail the interpretations given in informal document INF.58. However, it agreed to provide some initial feedback to the representative of MDBTC, as follows:</w:t>
      </w:r>
    </w:p>
    <w:p w14:paraId="4E99F640" w14:textId="47F8DDD7" w:rsidR="00C35A48" w:rsidRDefault="00C35A48" w:rsidP="00C35A48">
      <w:pPr>
        <w:pStyle w:val="SingleTxtG"/>
        <w:ind w:left="2127" w:hanging="426"/>
      </w:pPr>
      <w:r>
        <w:t>(a)</w:t>
      </w:r>
      <w:r>
        <w:tab/>
      </w:r>
      <w:r w:rsidR="0052011A">
        <w:t xml:space="preserve">It </w:t>
      </w:r>
      <w:r>
        <w:t>is acceptable to provide a single test summary addressing multiple batteries, manufacturers or products, provided the required information remains available and accessible at any time;</w:t>
      </w:r>
    </w:p>
    <w:p w14:paraId="0388E2F3" w14:textId="4E44D7DF" w:rsidR="00C35A48" w:rsidRDefault="00C35A48" w:rsidP="00C35A48">
      <w:pPr>
        <w:pStyle w:val="SingleTxtG"/>
        <w:ind w:left="2127" w:hanging="426"/>
      </w:pPr>
      <w:r>
        <w:t xml:space="preserve">(b) </w:t>
      </w:r>
      <w:r>
        <w:tab/>
      </w:r>
      <w:r w:rsidR="0052011A">
        <w:t xml:space="preserve">It </w:t>
      </w:r>
      <w:r>
        <w:t xml:space="preserve">should always be possible to identify the test laboratory </w:t>
      </w:r>
      <w:r w:rsidR="0052011A">
        <w:t xml:space="preserve">which </w:t>
      </w:r>
      <w:r>
        <w:t>has performed a given test;</w:t>
      </w:r>
    </w:p>
    <w:p w14:paraId="357734C2" w14:textId="080D092F" w:rsidR="00C35A48" w:rsidRDefault="00C35A48" w:rsidP="00C35A48">
      <w:pPr>
        <w:pStyle w:val="SingleTxtG"/>
        <w:ind w:left="2127" w:hanging="426"/>
      </w:pPr>
      <w:r>
        <w:t>(c)</w:t>
      </w:r>
      <w:r>
        <w:tab/>
        <w:t>“</w:t>
      </w:r>
      <w:r w:rsidR="0052011A">
        <w:t xml:space="preserve">Physical </w:t>
      </w:r>
      <w:r>
        <w:t xml:space="preserve">description of a cell or battery” means a description allowing their identification when installed in different products; </w:t>
      </w:r>
    </w:p>
    <w:p w14:paraId="392FBDF5" w14:textId="06CADC43" w:rsidR="00C35A48" w:rsidRDefault="00C35A48" w:rsidP="00C35A48">
      <w:pPr>
        <w:pStyle w:val="SingleTxtG"/>
        <w:ind w:left="2127" w:hanging="426"/>
      </w:pPr>
      <w:r>
        <w:t>(d)</w:t>
      </w:r>
      <w:r>
        <w:tab/>
      </w:r>
      <w:r w:rsidR="0052011A">
        <w:t>T</w:t>
      </w:r>
      <w:r>
        <w:t>here is no requirement to release confidential business information in the test summary report, as long as all the test summary information is provided</w:t>
      </w:r>
      <w:r w:rsidR="0052011A">
        <w:t>.</w:t>
      </w:r>
    </w:p>
    <w:p w14:paraId="779744C8" w14:textId="2F70B31C" w:rsidR="00C35A48" w:rsidRDefault="00323700" w:rsidP="00C35A48">
      <w:pPr>
        <w:pStyle w:val="SingleTxtG"/>
      </w:pPr>
      <w:r>
        <w:t>54</w:t>
      </w:r>
      <w:r w:rsidR="00C35A48">
        <w:t>.</w:t>
      </w:r>
      <w:r w:rsidR="00C35A48">
        <w:tab/>
        <w:t xml:space="preserve">The representative of PRBA said that he would submit a document for the next session with examples on how to address protection of confidential business information. </w:t>
      </w:r>
    </w:p>
    <w:p w14:paraId="01369243" w14:textId="438D9A8D" w:rsidR="00C35A48" w:rsidRDefault="00323700" w:rsidP="00C35A48">
      <w:pPr>
        <w:pStyle w:val="SingleTxtG"/>
      </w:pPr>
      <w:r>
        <w:t>55</w:t>
      </w:r>
      <w:r w:rsidR="00C35A48">
        <w:t>.</w:t>
      </w:r>
      <w:r w:rsidR="00C35A48">
        <w:tab/>
        <w:t>On the question raised by the representative of IATA on paragraph 6 of informal document INF.39</w:t>
      </w:r>
      <w:r w:rsidR="00846B01">
        <w:t xml:space="preserve"> (see paragraphs 63 and 64 of this report)</w:t>
      </w:r>
      <w:proofErr w:type="gramStart"/>
      <w:r w:rsidR="00C35A48">
        <w:t>,</w:t>
      </w:r>
      <w:proofErr w:type="gramEnd"/>
      <w:r w:rsidR="00C35A48">
        <w:t xml:space="preserve"> t</w:t>
      </w:r>
      <w:r w:rsidR="00C35A48" w:rsidRPr="00A42C14">
        <w:t>he Sub-Committee confirmed that the provisions of the Model Regulations apply to dangerous goods, in this case lithium batteries.  Therefore, the text of 2.9.4</w:t>
      </w:r>
      <w:r w:rsidR="00C35A48">
        <w:t xml:space="preserve"> </w:t>
      </w:r>
      <w:r w:rsidR="00C35A48" w:rsidRPr="00A42C14">
        <w:t>(g) reflects the test summary requirement as applied to lithium cells or batteries.  It was noted that this requirement includes cells or batteries when installed in products.  It was further agreed that the provisions of 2.9.4</w:t>
      </w:r>
      <w:r w:rsidR="00C35A48">
        <w:t xml:space="preserve"> </w:t>
      </w:r>
      <w:r w:rsidR="00C35A48" w:rsidRPr="00A42C14">
        <w:t>(g) could be met by the cell or battery manufacturer or the product manufacturer, and that 38.3.5 of the Manual of Tests and Criteria ensured that the cell, battery or product manufacturer taking responsibility for conformance with 2.9.4</w:t>
      </w:r>
      <w:r w:rsidR="00C35A48">
        <w:t xml:space="preserve"> </w:t>
      </w:r>
      <w:r w:rsidR="00C35A48" w:rsidRPr="00A42C14">
        <w:t>(g) is readily identified in the test summary.</w:t>
      </w:r>
    </w:p>
    <w:p w14:paraId="49487787" w14:textId="74B37969" w:rsidR="004B23F2" w:rsidRDefault="004B23F2" w:rsidP="004B23F2">
      <w:pPr>
        <w:pStyle w:val="H1G"/>
      </w:pPr>
      <w:r>
        <w:tab/>
      </w:r>
      <w:r w:rsidR="00CD6DD3">
        <w:t>B</w:t>
      </w:r>
      <w:r>
        <w:t xml:space="preserve">. </w:t>
      </w:r>
      <w:r>
        <w:tab/>
        <w:t>Hazard-based system for classification of lithium batteries</w:t>
      </w:r>
    </w:p>
    <w:p w14:paraId="7C1E404B" w14:textId="6BA617F9" w:rsidR="004B23F2" w:rsidRDefault="004B23F2" w:rsidP="00BD0A18">
      <w:pPr>
        <w:pStyle w:val="SingleTxtG"/>
        <w:ind w:left="3402" w:hanging="2268"/>
      </w:pPr>
      <w:r>
        <w:rPr>
          <w:i/>
        </w:rPr>
        <w:t>Informal document:</w:t>
      </w:r>
      <w:r w:rsidRPr="009B70CD">
        <w:t xml:space="preserve"> </w:t>
      </w:r>
      <w:r>
        <w:t xml:space="preserve"> </w:t>
      </w:r>
      <w:r w:rsidR="00B55B47">
        <w:tab/>
      </w:r>
      <w:r>
        <w:t xml:space="preserve">INF.59 </w:t>
      </w:r>
      <w:r w:rsidRPr="004306F1">
        <w:t>(</w:t>
      </w:r>
      <w:r>
        <w:t>France on behalf of the informal working group</w:t>
      </w:r>
      <w:r w:rsidRPr="004306F1">
        <w:t>)</w:t>
      </w:r>
    </w:p>
    <w:p w14:paraId="2F957DAD" w14:textId="202A5B16" w:rsidR="004B23F2" w:rsidRDefault="00323700" w:rsidP="004B23F2">
      <w:pPr>
        <w:pStyle w:val="SingleTxtG"/>
      </w:pPr>
      <w:r>
        <w:t>56</w:t>
      </w:r>
      <w:r w:rsidR="004B23F2">
        <w:t>.</w:t>
      </w:r>
      <w:r w:rsidR="004B23F2">
        <w:tab/>
        <w:t xml:space="preserve">The Sub-Committee noted that the informal working group would continue to analyse the data received and that it intended to start the development of a testing scheme. The expert from France encouraged other experts to provide additional data to the informal working group. </w:t>
      </w:r>
    </w:p>
    <w:p w14:paraId="0174C844" w14:textId="77777777" w:rsidR="00C35A48" w:rsidRDefault="00C35A48" w:rsidP="00C35A48">
      <w:pPr>
        <w:pStyle w:val="H1G"/>
      </w:pPr>
      <w:r>
        <w:tab/>
        <w:t>C.</w:t>
      </w:r>
      <w:r>
        <w:tab/>
        <w:t>Transport provisions</w:t>
      </w:r>
    </w:p>
    <w:p w14:paraId="78339C5C" w14:textId="77777777" w:rsidR="00C35A48" w:rsidRPr="004306F1" w:rsidRDefault="00C35A48" w:rsidP="00C35A48">
      <w:pPr>
        <w:pStyle w:val="H23G"/>
      </w:pPr>
      <w:r>
        <w:tab/>
      </w:r>
      <w:r>
        <w:tab/>
        <w:t>Harmonization of the proper shipping names of UN Nos. 3481 and 3091</w:t>
      </w:r>
    </w:p>
    <w:p w14:paraId="6F027672" w14:textId="3F09E2AA" w:rsidR="00C35A48" w:rsidRDefault="00C35A48" w:rsidP="00C35A48">
      <w:pPr>
        <w:pStyle w:val="SingleTxtG"/>
      </w:pPr>
      <w:r w:rsidRPr="003207C0">
        <w:rPr>
          <w:i/>
        </w:rPr>
        <w:t>Document</w:t>
      </w:r>
      <w:r w:rsidRPr="009B70CD">
        <w:t xml:space="preserve">: </w:t>
      </w:r>
      <w:r w:rsidRPr="009B70CD">
        <w:tab/>
      </w:r>
      <w:r w:rsidR="00B55B47">
        <w:tab/>
      </w:r>
      <w:r w:rsidR="00B55B47">
        <w:tab/>
      </w:r>
      <w:r w:rsidRPr="009B70CD">
        <w:t>ST/SG/AC.10/C.3/2017/</w:t>
      </w:r>
      <w:r>
        <w:t>39</w:t>
      </w:r>
      <w:r w:rsidRPr="009B70CD">
        <w:t xml:space="preserve"> (</w:t>
      </w:r>
      <w:r>
        <w:t>RECHARGE, PRBA</w:t>
      </w:r>
      <w:r w:rsidRPr="009B70CD">
        <w:t>)</w:t>
      </w:r>
    </w:p>
    <w:p w14:paraId="4C86F6EA" w14:textId="607C5074" w:rsidR="00C35A48" w:rsidRDefault="00323700" w:rsidP="00C35A48">
      <w:pPr>
        <w:pStyle w:val="SingleTxtG"/>
      </w:pPr>
      <w:r>
        <w:t>57</w:t>
      </w:r>
      <w:r w:rsidR="00C35A48">
        <w:t>.</w:t>
      </w:r>
      <w:r w:rsidR="00C35A48">
        <w:tab/>
      </w:r>
      <w:r w:rsidR="00C35A48" w:rsidRPr="00146FB3">
        <w:t>The Sub-Committee supported in principle the proposal to simplify the provisions applicable to lithium ion and lithium metal batteries packed with or contained in equipment (UN Nos.</w:t>
      </w:r>
      <w:r w:rsidR="00846B01">
        <w:t> </w:t>
      </w:r>
      <w:r w:rsidR="00C35A48" w:rsidRPr="00146FB3">
        <w:t>3841 and 3091)</w:t>
      </w:r>
      <w:r w:rsidR="00C35A48">
        <w:t xml:space="preserve"> but considered that it should be further refined before it could be considered for adoption. The representatives of RECHARGE and PRBA said that they would submit a revised proposal to the next session to take account of the various comments made. </w:t>
      </w:r>
    </w:p>
    <w:p w14:paraId="70BB4074" w14:textId="77777777" w:rsidR="00C35A48" w:rsidRPr="00367CEF" w:rsidRDefault="00C35A48" w:rsidP="00C35A48">
      <w:pPr>
        <w:pStyle w:val="H1G"/>
      </w:pPr>
      <w:r>
        <w:tab/>
        <w:t>D</w:t>
      </w:r>
      <w:r w:rsidRPr="00367CEF">
        <w:t>.</w:t>
      </w:r>
      <w:r w:rsidRPr="00367CEF">
        <w:tab/>
        <w:t>Damaged or defective lithium cells and batteries</w:t>
      </w:r>
    </w:p>
    <w:p w14:paraId="5AA48CFD" w14:textId="0E3E17F1" w:rsidR="00C35A48" w:rsidRDefault="00C35A48" w:rsidP="00C35A48">
      <w:pPr>
        <w:pStyle w:val="SingleTxtG"/>
      </w:pPr>
      <w:r w:rsidRPr="00367CEF">
        <w:rPr>
          <w:i/>
        </w:rPr>
        <w:t xml:space="preserve">Document: </w:t>
      </w:r>
      <w:r w:rsidRPr="00367CEF">
        <w:rPr>
          <w:i/>
        </w:rPr>
        <w:tab/>
      </w:r>
      <w:r w:rsidR="00B55B47">
        <w:rPr>
          <w:i/>
        </w:rPr>
        <w:tab/>
      </w:r>
      <w:r w:rsidR="00B55B47">
        <w:rPr>
          <w:i/>
        </w:rPr>
        <w:tab/>
      </w:r>
      <w:r w:rsidRPr="00367CEF">
        <w:t>ST/SG/AC.10/C.3/2017/49 (RECHARGE, PRBA)</w:t>
      </w:r>
    </w:p>
    <w:p w14:paraId="75C1A0A5" w14:textId="7B017178" w:rsidR="00C35A48" w:rsidRDefault="00323700" w:rsidP="00C35A48">
      <w:pPr>
        <w:pStyle w:val="SingleTxtG"/>
      </w:pPr>
      <w:r>
        <w:t>58</w:t>
      </w:r>
      <w:r w:rsidR="00C35A48">
        <w:t>.</w:t>
      </w:r>
      <w:r w:rsidR="00C35A48">
        <w:tab/>
        <w:t xml:space="preserve">The Sub-Committee did not support the proposal </w:t>
      </w:r>
      <w:r w:rsidR="00C35A48" w:rsidRPr="00393767">
        <w:t xml:space="preserve">in document </w:t>
      </w:r>
      <w:r w:rsidR="00C35A48">
        <w:t xml:space="preserve">ST/SG/AC.10/C.3/2017/49. </w:t>
      </w:r>
    </w:p>
    <w:p w14:paraId="4481CEBB" w14:textId="77777777" w:rsidR="007F0D8B" w:rsidRDefault="00323700" w:rsidP="00C35A48">
      <w:pPr>
        <w:pStyle w:val="SingleTxtG"/>
      </w:pPr>
      <w:r>
        <w:t>59</w:t>
      </w:r>
      <w:r w:rsidR="00C35A48">
        <w:t>.</w:t>
      </w:r>
      <w:r w:rsidR="00C35A48">
        <w:tab/>
        <w:t>Most experts were of the view that assessment in accordance with special provision 376 does not require retesting in accordance with 38.3 to evaluate the damage or defect.</w:t>
      </w:r>
    </w:p>
    <w:p w14:paraId="52D19D09" w14:textId="42E4A54A" w:rsidR="00C35A48" w:rsidRDefault="00323700" w:rsidP="00C35A48">
      <w:pPr>
        <w:pStyle w:val="SingleTxtG"/>
      </w:pPr>
      <w:r>
        <w:t>60</w:t>
      </w:r>
      <w:r w:rsidR="00C35A48">
        <w:t>.</w:t>
      </w:r>
      <w:r w:rsidR="00C35A48">
        <w:tab/>
        <w:t xml:space="preserve">However, some experts recognised that it would be useful to reflect that interpretation in the Model Regulations, as well as to further clarify the applicable transport conditions for used, damaged or defective lithium cells or batteries (e.g. applicability of packing instructions P908, P911 or need for competent authority approval). </w:t>
      </w:r>
    </w:p>
    <w:p w14:paraId="4E825296" w14:textId="2786DF09" w:rsidR="00C35A48" w:rsidRDefault="00323700" w:rsidP="00C35A48">
      <w:pPr>
        <w:pStyle w:val="SingleTxtG"/>
      </w:pPr>
      <w:r>
        <w:t>61</w:t>
      </w:r>
      <w:r w:rsidR="00C35A48">
        <w:t>.</w:t>
      </w:r>
      <w:r w:rsidR="00C35A48">
        <w:tab/>
      </w:r>
      <w:r w:rsidR="00C35A48" w:rsidRPr="00393767">
        <w:t xml:space="preserve">After </w:t>
      </w:r>
      <w:r w:rsidR="00C35A48">
        <w:t>discussion</w:t>
      </w:r>
      <w:r w:rsidR="00C35A48" w:rsidRPr="00393767">
        <w:t>, the representative of PRBA withdrew the proposal</w:t>
      </w:r>
      <w:r w:rsidR="00C35A48">
        <w:t xml:space="preserve"> </w:t>
      </w:r>
      <w:r w:rsidR="00C35A48" w:rsidRPr="00393767">
        <w:t xml:space="preserve">and said that he would submit a revised </w:t>
      </w:r>
      <w:r w:rsidR="00C35A48">
        <w:t>one for the next session, based on the comments made.</w:t>
      </w:r>
    </w:p>
    <w:p w14:paraId="78A7290B" w14:textId="77777777" w:rsidR="00C35A48" w:rsidRDefault="00C35A48" w:rsidP="00C35A48">
      <w:pPr>
        <w:pStyle w:val="H1G"/>
      </w:pPr>
      <w:r>
        <w:tab/>
        <w:t>E.</w:t>
      </w:r>
      <w:r>
        <w:tab/>
        <w:t>Sodium-ion batteries</w:t>
      </w:r>
    </w:p>
    <w:p w14:paraId="3FDE820F" w14:textId="6B5105C7" w:rsidR="00C35A48" w:rsidRDefault="00C35A48" w:rsidP="00C35A48">
      <w:pPr>
        <w:pStyle w:val="SingleTxtG"/>
      </w:pPr>
      <w:r w:rsidRPr="003207C0">
        <w:rPr>
          <w:i/>
        </w:rPr>
        <w:t>Document</w:t>
      </w:r>
      <w:r w:rsidRPr="004306F1">
        <w:rPr>
          <w:i/>
        </w:rPr>
        <w:t xml:space="preserve">: </w:t>
      </w:r>
      <w:r w:rsidRPr="004306F1">
        <w:rPr>
          <w:i/>
        </w:rPr>
        <w:tab/>
      </w:r>
      <w:r w:rsidR="00B55B47">
        <w:rPr>
          <w:i/>
        </w:rPr>
        <w:tab/>
      </w:r>
      <w:r w:rsidR="00B55B47">
        <w:rPr>
          <w:i/>
        </w:rPr>
        <w:tab/>
      </w:r>
      <w:r w:rsidRPr="004306F1">
        <w:t>ST/SG/AC.10/C.3/2017/</w:t>
      </w:r>
      <w:r>
        <w:t>37</w:t>
      </w:r>
      <w:r w:rsidRPr="004306F1">
        <w:t xml:space="preserve"> (</w:t>
      </w:r>
      <w:r>
        <w:t>United Kingdom</w:t>
      </w:r>
      <w:r w:rsidRPr="004306F1">
        <w:t>)</w:t>
      </w:r>
    </w:p>
    <w:p w14:paraId="5630450D" w14:textId="1E57A419" w:rsidR="00C35A48" w:rsidRDefault="00C35A48" w:rsidP="00C35A48">
      <w:pPr>
        <w:pStyle w:val="SingleTxtG"/>
      </w:pPr>
      <w:r>
        <w:rPr>
          <w:i/>
        </w:rPr>
        <w:t>Informal document:</w:t>
      </w:r>
      <w:r w:rsidRPr="009B70CD">
        <w:t xml:space="preserve"> </w:t>
      </w:r>
      <w:r w:rsidR="00B55B47">
        <w:tab/>
      </w:r>
      <w:r w:rsidRPr="009B70CD">
        <w:tab/>
      </w:r>
      <w:r>
        <w:t xml:space="preserve">INF.11 </w:t>
      </w:r>
      <w:r w:rsidRPr="004306F1">
        <w:t>(</w:t>
      </w:r>
      <w:r>
        <w:t>United Kingdom</w:t>
      </w:r>
      <w:r w:rsidRPr="004306F1">
        <w:t>)</w:t>
      </w:r>
    </w:p>
    <w:p w14:paraId="14D5E821" w14:textId="1763C9E1" w:rsidR="00C35A48" w:rsidRPr="00F71FEC" w:rsidRDefault="00323700" w:rsidP="00C35A48">
      <w:pPr>
        <w:pStyle w:val="SingleTxtG"/>
      </w:pPr>
      <w:r>
        <w:t>62</w:t>
      </w:r>
      <w:r w:rsidR="00C35A48">
        <w:t>.</w:t>
      </w:r>
      <w:r w:rsidR="00C35A48">
        <w:tab/>
      </w:r>
      <w:r w:rsidR="00C35A48" w:rsidRPr="00CE19E8">
        <w:t xml:space="preserve">The Sub-Committee agreed that provisions to address safe transport of sodium-ion batteries should be developed but considered that more information was needed before a decision on how to address these batteries in the Model Regulations could be taken (e.g. state of charge during transport, </w:t>
      </w:r>
      <w:r w:rsidR="00C35A48">
        <w:t xml:space="preserve">applicable </w:t>
      </w:r>
      <w:r w:rsidR="00C35A48" w:rsidRPr="00CE19E8">
        <w:t>test methods, chemical hazards, thermal runaway conditions, etc</w:t>
      </w:r>
      <w:r w:rsidR="00C35A48">
        <w:t>.</w:t>
      </w:r>
      <w:r w:rsidR="00C35A48" w:rsidRPr="00CE19E8">
        <w:t xml:space="preserve">). The expert from the United Kingdom </w:t>
      </w:r>
      <w:r w:rsidR="00C35A48">
        <w:t>welcomed</w:t>
      </w:r>
      <w:r w:rsidR="00C35A48" w:rsidRPr="00CE19E8">
        <w:t xml:space="preserve"> the feedback </w:t>
      </w:r>
      <w:r w:rsidR="00C35A48">
        <w:t xml:space="preserve">received </w:t>
      </w:r>
      <w:r w:rsidR="00C35A48" w:rsidRPr="00CE19E8">
        <w:t xml:space="preserve">from the Sub-Committee and said that he would submit a document to the next session providing additional information </w:t>
      </w:r>
      <w:r w:rsidR="00C35A48">
        <w:t xml:space="preserve">to </w:t>
      </w:r>
      <w:r w:rsidR="00C35A48" w:rsidRPr="00CE19E8">
        <w:t>address the comments made.</w:t>
      </w:r>
    </w:p>
    <w:p w14:paraId="6D36FCBF" w14:textId="6A448CE9" w:rsidR="00C35A48" w:rsidRPr="00CE19E8" w:rsidRDefault="00CD6DD3" w:rsidP="00C35A48">
      <w:pPr>
        <w:pStyle w:val="H1G"/>
        <w:ind w:hanging="414"/>
      </w:pPr>
      <w:r>
        <w:t>F</w:t>
      </w:r>
      <w:r w:rsidR="00C35A48" w:rsidRPr="00CE19E8">
        <w:t>.</w:t>
      </w:r>
      <w:r w:rsidR="00C35A48" w:rsidRPr="00CE19E8">
        <w:tab/>
        <w:t>Miscellaneous</w:t>
      </w:r>
    </w:p>
    <w:p w14:paraId="718B2584" w14:textId="77777777" w:rsidR="00C35A48" w:rsidRPr="00CE19E8" w:rsidRDefault="00C35A48" w:rsidP="00C35A48">
      <w:pPr>
        <w:pStyle w:val="H23G"/>
      </w:pPr>
      <w:r w:rsidRPr="00CE19E8">
        <w:tab/>
      </w:r>
      <w:r w:rsidRPr="00CE19E8">
        <w:tab/>
      </w:r>
      <w:r>
        <w:t xml:space="preserve">Parties required to make available the lithium cell and battery test summary </w:t>
      </w:r>
    </w:p>
    <w:p w14:paraId="022B3C28" w14:textId="233F0FDA" w:rsidR="00C35A48" w:rsidRDefault="00C35A48" w:rsidP="00C35A48">
      <w:pPr>
        <w:pStyle w:val="SingleTxtG"/>
      </w:pPr>
      <w:r w:rsidRPr="00CE19E8">
        <w:rPr>
          <w:i/>
        </w:rPr>
        <w:t>Informal document:</w:t>
      </w:r>
      <w:r w:rsidRPr="00CE19E8">
        <w:t xml:space="preserve"> </w:t>
      </w:r>
      <w:r w:rsidRPr="00CE19E8">
        <w:tab/>
      </w:r>
      <w:r w:rsidR="00B55B47">
        <w:tab/>
      </w:r>
      <w:r w:rsidRPr="00CE19E8">
        <w:t>INF.39 (IATA)</w:t>
      </w:r>
    </w:p>
    <w:p w14:paraId="4FAF801B" w14:textId="61AF6255" w:rsidR="00C35A48" w:rsidRDefault="00323700" w:rsidP="00C35A48">
      <w:pPr>
        <w:pStyle w:val="SingleTxtG"/>
      </w:pPr>
      <w:r>
        <w:t>63</w:t>
      </w:r>
      <w:r w:rsidR="00C35A48">
        <w:t>.</w:t>
      </w:r>
      <w:r w:rsidR="00C35A48">
        <w:tab/>
      </w:r>
      <w:r w:rsidR="00C35A48" w:rsidRPr="00CE19E8">
        <w:t xml:space="preserve">The Sub-Committee confirmed that </w:t>
      </w:r>
      <w:r w:rsidR="00C35A48">
        <w:t>the difference between the current text of 2.9.4 (g) in the Model Regulations and paragraph 38.3.5 (a) and (b) of the Manual of Tests and Criteria, as regards the reference to “manufacturers and subsequent distributors” and “product manufacturer of devices” respectively, was intended. It was noted that product manufacturers of devices or equipment could be considered as “subsequent distributors” and that other parties could be covered by this concept as well.</w:t>
      </w:r>
    </w:p>
    <w:p w14:paraId="1AD260C8" w14:textId="6AC1DEA3" w:rsidR="00C35A48" w:rsidRDefault="00323700" w:rsidP="00C35A48">
      <w:pPr>
        <w:pStyle w:val="SingleTxtG"/>
      </w:pPr>
      <w:r>
        <w:t>64</w:t>
      </w:r>
      <w:r w:rsidR="00C35A48">
        <w:t>.</w:t>
      </w:r>
      <w:r w:rsidR="00C35A48">
        <w:tab/>
        <w:t>The representative of IATA said that he would reconsider his proposal in the light of the comments made and on the outcome of the discussions on informal document INF.58</w:t>
      </w:r>
      <w:r w:rsidR="005919B8">
        <w:t xml:space="preserve"> (see paragraph 55</w:t>
      </w:r>
      <w:r w:rsidR="00846B01">
        <w:t xml:space="preserve"> of this report</w:t>
      </w:r>
      <w:r w:rsidR="005919B8">
        <w:t>)</w:t>
      </w:r>
      <w:r w:rsidR="00C35A48">
        <w:t>.</w:t>
      </w:r>
    </w:p>
    <w:p w14:paraId="62209B26" w14:textId="207B09DF" w:rsidR="00C35A48" w:rsidRDefault="00C35A48" w:rsidP="00C35A48">
      <w:pPr>
        <w:pStyle w:val="HChG"/>
      </w:pPr>
      <w:r>
        <w:tab/>
        <w:t>VII.</w:t>
      </w:r>
      <w:r>
        <w:tab/>
        <w:t>Transport of gases (agenda item 5)</w:t>
      </w:r>
    </w:p>
    <w:p w14:paraId="07561076" w14:textId="68D9E3B1" w:rsidR="00CD6DD3" w:rsidRPr="009A3A9A" w:rsidRDefault="00CD6DD3" w:rsidP="00CD6DD3">
      <w:pPr>
        <w:pStyle w:val="H1G"/>
      </w:pPr>
      <w:r w:rsidRPr="009A3A9A">
        <w:tab/>
      </w:r>
      <w:r>
        <w:t>A</w:t>
      </w:r>
      <w:r w:rsidRPr="009A3A9A">
        <w:t>.</w:t>
      </w:r>
      <w:r w:rsidRPr="009A3A9A">
        <w:tab/>
      </w:r>
      <w:r>
        <w:t>Global recognition of UN and non-UN pressure receptacles</w:t>
      </w:r>
    </w:p>
    <w:p w14:paraId="2B366BA8" w14:textId="35C6C060" w:rsidR="00CD6DD3" w:rsidRPr="00323700" w:rsidRDefault="00323700" w:rsidP="005919B8">
      <w:pPr>
        <w:pStyle w:val="SingleTxtG"/>
        <w:rPr>
          <w:rStyle w:val="SingleTxtGZchnZchn"/>
        </w:rPr>
      </w:pPr>
      <w:r w:rsidRPr="00323700">
        <w:rPr>
          <w:rStyle w:val="SingleTxtGZchnZchn"/>
        </w:rPr>
        <w:t>65.</w:t>
      </w:r>
      <w:r w:rsidRPr="00323700">
        <w:rPr>
          <w:rStyle w:val="SingleTxtGZchnZchn"/>
        </w:rPr>
        <w:tab/>
      </w:r>
      <w:r w:rsidR="00CD6DD3" w:rsidRPr="00323700">
        <w:rPr>
          <w:rStyle w:val="SingleTxtGZchnZchn"/>
        </w:rPr>
        <w:t>As no document had been submitted under this agenda sub-item, no discussion took place on this subject.</w:t>
      </w:r>
    </w:p>
    <w:p w14:paraId="13904BB5" w14:textId="0D466F18" w:rsidR="004011F4" w:rsidRPr="009A3A9A" w:rsidRDefault="004011F4" w:rsidP="004011F4">
      <w:pPr>
        <w:pStyle w:val="H1G"/>
      </w:pPr>
      <w:r w:rsidRPr="009A3A9A">
        <w:tab/>
        <w:t>B.</w:t>
      </w:r>
      <w:r w:rsidRPr="009A3A9A">
        <w:tab/>
        <w:t>Miscellaneous</w:t>
      </w:r>
    </w:p>
    <w:p w14:paraId="21B51D3F" w14:textId="77777777" w:rsidR="004011F4" w:rsidRPr="009A3A9A" w:rsidRDefault="004011F4" w:rsidP="004011F4">
      <w:pPr>
        <w:pStyle w:val="H23G"/>
      </w:pPr>
      <w:r w:rsidRPr="009A3A9A">
        <w:tab/>
        <w:t>1.</w:t>
      </w:r>
      <w:r w:rsidRPr="009A3A9A">
        <w:tab/>
        <w:t>Provisions for closures of pressure receptacles</w:t>
      </w:r>
    </w:p>
    <w:p w14:paraId="3C2FC018" w14:textId="77777777" w:rsidR="004011F4" w:rsidRPr="009A3A9A" w:rsidRDefault="004011F4" w:rsidP="00BD0A18">
      <w:pPr>
        <w:pStyle w:val="SingleTxtG"/>
        <w:tabs>
          <w:tab w:val="left" w:pos="3402"/>
        </w:tabs>
      </w:pPr>
      <w:r w:rsidRPr="00CD146C">
        <w:rPr>
          <w:i/>
          <w:iCs/>
        </w:rPr>
        <w:t>Informal document</w:t>
      </w:r>
      <w:r>
        <w:t>:</w:t>
      </w:r>
      <w:r>
        <w:tab/>
      </w:r>
      <w:r w:rsidRPr="009A3A9A">
        <w:t>INF.18 (CGA and EIGA)</w:t>
      </w:r>
    </w:p>
    <w:p w14:paraId="0EE93A21" w14:textId="0E805518" w:rsidR="004011F4" w:rsidRDefault="00323700" w:rsidP="004011F4">
      <w:pPr>
        <w:pStyle w:val="SingleTxtG"/>
      </w:pPr>
      <w:r>
        <w:t>66.</w:t>
      </w:r>
      <w:r w:rsidR="004011F4" w:rsidRPr="009A3A9A">
        <w:tab/>
        <w:t>The Sub-Committee noted that CGA and EIGA would continue their work on the matter through a correspondence group, and all parties interested in those discussions were invited to contact the representatives of CGA and EIGA.</w:t>
      </w:r>
    </w:p>
    <w:p w14:paraId="3EE316B6" w14:textId="6C4D28C5" w:rsidR="004011F4" w:rsidRDefault="004011F4" w:rsidP="004011F4">
      <w:pPr>
        <w:pStyle w:val="H23G"/>
      </w:pPr>
      <w:r>
        <w:tab/>
        <w:t>2.</w:t>
      </w:r>
      <w:r>
        <w:tab/>
        <w:t xml:space="preserve">Transport of fuel gas containment systems — addition of SP 392 to the dangerous goods list entries for gases of </w:t>
      </w:r>
      <w:r w:rsidR="0052011A">
        <w:t xml:space="preserve">Division </w:t>
      </w:r>
      <w:r>
        <w:t>2.2</w:t>
      </w:r>
    </w:p>
    <w:p w14:paraId="28EB2CF2" w14:textId="77777777" w:rsidR="004011F4" w:rsidRDefault="004011F4" w:rsidP="00BD0A18">
      <w:pPr>
        <w:pStyle w:val="SingleTxtG"/>
        <w:tabs>
          <w:tab w:val="left" w:pos="3402"/>
        </w:tabs>
      </w:pPr>
      <w:r w:rsidRPr="000D283D">
        <w:rPr>
          <w:i/>
          <w:iCs/>
        </w:rPr>
        <w:t>Informal document</w:t>
      </w:r>
      <w:r>
        <w:t>:</w:t>
      </w:r>
      <w:r>
        <w:tab/>
        <w:t>INF.31 (Germany)</w:t>
      </w:r>
    </w:p>
    <w:p w14:paraId="6127F7CF" w14:textId="67221077" w:rsidR="004011F4" w:rsidRDefault="00323700" w:rsidP="004011F4">
      <w:pPr>
        <w:pStyle w:val="SingleTxtG"/>
      </w:pPr>
      <w:r>
        <w:t>67</w:t>
      </w:r>
      <w:r w:rsidR="004011F4">
        <w:t>.</w:t>
      </w:r>
      <w:r w:rsidR="004011F4">
        <w:tab/>
        <w:t>The Sub-Committee noted that the RID/ADR/ADN Joint Meeting had decided to apply special provision 392 to containment systems for gases other than the flammable gases used for certain vehicles, by means of special provision 660 of RID/ADR/ADN.</w:t>
      </w:r>
    </w:p>
    <w:p w14:paraId="69A93620" w14:textId="6EFA19A3" w:rsidR="0052011A" w:rsidRDefault="00323700">
      <w:pPr>
        <w:pStyle w:val="SingleTxtG"/>
      </w:pPr>
      <w:r>
        <w:t>68</w:t>
      </w:r>
      <w:r w:rsidR="004011F4">
        <w:t>.</w:t>
      </w:r>
      <w:r w:rsidR="004011F4">
        <w:tab/>
        <w:t xml:space="preserve">The Sub-Committee adopted the proposal made by Germany by consensus, but decided on principle to put the amendments adopted in square brackets since the proposal had been made in an informal document (see annex </w:t>
      </w:r>
      <w:r w:rsidR="0052011A">
        <w:t>II)</w:t>
      </w:r>
      <w:r w:rsidR="004011F4">
        <w:t>.</w:t>
      </w:r>
    </w:p>
    <w:p w14:paraId="5ACEFC36" w14:textId="58A5DB0D" w:rsidR="004011F4" w:rsidRDefault="007F0D8B">
      <w:pPr>
        <w:pStyle w:val="HChG"/>
      </w:pPr>
      <w:r>
        <w:tab/>
      </w:r>
      <w:r w:rsidR="004011F4">
        <w:t>VIII.</w:t>
      </w:r>
      <w:r w:rsidR="004011F4">
        <w:tab/>
        <w:t>Miscellaneous proposals for amendments to the Model Regulations on the Transport of Dangerous Goods (agenda item 6)</w:t>
      </w:r>
    </w:p>
    <w:p w14:paraId="51AE9462" w14:textId="77777777" w:rsidR="004011F4" w:rsidRDefault="004011F4" w:rsidP="004011F4">
      <w:pPr>
        <w:pStyle w:val="H1G"/>
      </w:pPr>
      <w:r>
        <w:tab/>
        <w:t>A.</w:t>
      </w:r>
      <w:r>
        <w:tab/>
        <w:t>Marking and labelling</w:t>
      </w:r>
    </w:p>
    <w:p w14:paraId="317F5B9A" w14:textId="77777777" w:rsidR="004011F4" w:rsidRDefault="004011F4" w:rsidP="004011F4">
      <w:pPr>
        <w:pStyle w:val="H23G"/>
      </w:pPr>
      <w:r>
        <w:tab/>
      </w:r>
      <w:r>
        <w:tab/>
        <w:t>Size of the marking of the UN number on packages</w:t>
      </w:r>
    </w:p>
    <w:p w14:paraId="7DEA0147" w14:textId="6A5D5105" w:rsidR="004011F4" w:rsidRDefault="004011F4" w:rsidP="00BD0A18">
      <w:pPr>
        <w:pStyle w:val="SingleTxtG"/>
        <w:tabs>
          <w:tab w:val="left" w:pos="3402"/>
        </w:tabs>
        <w:jc w:val="left"/>
      </w:pPr>
      <w:r w:rsidRPr="0055751B">
        <w:rPr>
          <w:i/>
          <w:iCs/>
        </w:rPr>
        <w:t>Informal documents</w:t>
      </w:r>
      <w:r w:rsidR="00BD0A18">
        <w:t>:</w:t>
      </w:r>
      <w:r w:rsidR="00BD0A18">
        <w:tab/>
        <w:t>INF.8 (IATA)</w:t>
      </w:r>
      <w:r w:rsidR="00BD0A18">
        <w:br/>
      </w:r>
      <w:r w:rsidR="00BD0A18">
        <w:tab/>
      </w:r>
      <w:r w:rsidR="00BD0A18">
        <w:tab/>
      </w:r>
      <w:r>
        <w:t>INF.37 (EIGA)</w:t>
      </w:r>
    </w:p>
    <w:p w14:paraId="153FF4EF" w14:textId="4AC42B1A" w:rsidR="004011F4" w:rsidRDefault="00323700" w:rsidP="004011F4">
      <w:pPr>
        <w:pStyle w:val="SingleTxtG"/>
      </w:pPr>
      <w:r>
        <w:t>69</w:t>
      </w:r>
      <w:r w:rsidR="004011F4">
        <w:t>.</w:t>
      </w:r>
      <w:r w:rsidR="004011F4">
        <w:tab/>
        <w:t>Most of the experts who took the floor were of the opinion that the amendments to</w:t>
      </w:r>
      <w:r w:rsidR="0052011A">
        <w:t> </w:t>
      </w:r>
      <w:r w:rsidR="004011F4">
        <w:t>5.2.1.1 proposed by IATA would lead to problems of interpretation and so preferred to retain the current text, even though it was not perfect. The representative of IATA therefore withdrew the proposal.</w:t>
      </w:r>
    </w:p>
    <w:p w14:paraId="51A43D47" w14:textId="77777777" w:rsidR="004011F4" w:rsidRDefault="004011F4" w:rsidP="004011F4">
      <w:pPr>
        <w:pStyle w:val="H1G"/>
      </w:pPr>
      <w:r>
        <w:tab/>
        <w:t>B.</w:t>
      </w:r>
      <w:r>
        <w:tab/>
      </w:r>
      <w:proofErr w:type="spellStart"/>
      <w:r>
        <w:t>Packagings</w:t>
      </w:r>
      <w:proofErr w:type="spellEnd"/>
    </w:p>
    <w:p w14:paraId="24CFBF6F" w14:textId="77777777" w:rsidR="004011F4" w:rsidRDefault="004011F4" w:rsidP="004011F4">
      <w:pPr>
        <w:pStyle w:val="H23G"/>
      </w:pPr>
      <w:r>
        <w:tab/>
        <w:t>1.</w:t>
      </w:r>
      <w:r>
        <w:tab/>
        <w:t xml:space="preserve">Drop test for IBCs, large plastic </w:t>
      </w:r>
      <w:proofErr w:type="spellStart"/>
      <w:r>
        <w:t>packagings</w:t>
      </w:r>
      <w:proofErr w:type="spellEnd"/>
      <w:r>
        <w:t xml:space="preserve"> or </w:t>
      </w:r>
      <w:proofErr w:type="spellStart"/>
      <w:r>
        <w:t>packagings</w:t>
      </w:r>
      <w:proofErr w:type="spellEnd"/>
      <w:r>
        <w:t xml:space="preserve"> containing inner plastic </w:t>
      </w:r>
      <w:proofErr w:type="spellStart"/>
      <w:r>
        <w:t>packagings</w:t>
      </w:r>
      <w:proofErr w:type="spellEnd"/>
      <w:r>
        <w:t>/receptacles — conditioning duration at -18°C</w:t>
      </w:r>
    </w:p>
    <w:p w14:paraId="50EFDBB7" w14:textId="77777777" w:rsidR="004011F4" w:rsidRDefault="004011F4" w:rsidP="00BD0A18">
      <w:pPr>
        <w:pStyle w:val="SingleTxtG"/>
        <w:tabs>
          <w:tab w:val="left" w:pos="3402"/>
        </w:tabs>
      </w:pPr>
      <w:r w:rsidRPr="00B21B93">
        <w:rPr>
          <w:i/>
          <w:iCs/>
        </w:rPr>
        <w:t>Informal document</w:t>
      </w:r>
      <w:r>
        <w:t>:</w:t>
      </w:r>
      <w:r>
        <w:tab/>
        <w:t>INF.16 (Belgium)</w:t>
      </w:r>
    </w:p>
    <w:p w14:paraId="1CCCE5E2" w14:textId="62B662B4" w:rsidR="004011F4" w:rsidRDefault="00323700" w:rsidP="004011F4">
      <w:pPr>
        <w:pStyle w:val="SingleTxtG"/>
      </w:pPr>
      <w:r>
        <w:t>70</w:t>
      </w:r>
      <w:r w:rsidR="004011F4">
        <w:t>.</w:t>
      </w:r>
      <w:r w:rsidR="004011F4">
        <w:tab/>
        <w:t>Some experts supported the proposal from Belgium to include a minimum of 24 hours conditioning, while others were not convinced of the need for such a provision. The expert from Belgium pointed out that the discussion showed that practice varied between countries, which could lead to differences in terms of safety. He said that he would raise the matter again at a future session.</w:t>
      </w:r>
    </w:p>
    <w:p w14:paraId="7B9BBFE0" w14:textId="77777777" w:rsidR="004011F4" w:rsidRDefault="004011F4" w:rsidP="004011F4">
      <w:pPr>
        <w:pStyle w:val="H23G"/>
      </w:pPr>
      <w:r>
        <w:tab/>
        <w:t>2.</w:t>
      </w:r>
      <w:r>
        <w:tab/>
        <w:t>Routine maintenance of rigid IBCs</w:t>
      </w:r>
    </w:p>
    <w:p w14:paraId="211CFE18" w14:textId="77777777" w:rsidR="004011F4" w:rsidRDefault="004011F4" w:rsidP="00BD0A18">
      <w:pPr>
        <w:pStyle w:val="SingleTxtG"/>
        <w:tabs>
          <w:tab w:val="left" w:pos="3402"/>
        </w:tabs>
      </w:pPr>
      <w:r w:rsidRPr="00B21B93">
        <w:rPr>
          <w:i/>
          <w:iCs/>
        </w:rPr>
        <w:t>Informal document</w:t>
      </w:r>
      <w:r>
        <w:t>:</w:t>
      </w:r>
      <w:r>
        <w:tab/>
        <w:t>INF.17 (Belgium)</w:t>
      </w:r>
    </w:p>
    <w:p w14:paraId="704CB329" w14:textId="09F58091" w:rsidR="004011F4" w:rsidRDefault="00323700" w:rsidP="004011F4">
      <w:pPr>
        <w:pStyle w:val="SingleTxtG"/>
      </w:pPr>
      <w:r>
        <w:t>71</w:t>
      </w:r>
      <w:r w:rsidR="004011F4">
        <w:t>.</w:t>
      </w:r>
      <w:r w:rsidR="004011F4">
        <w:tab/>
        <w:t>Several delegations agreed with the expert from Belgium that the cleaning of IBCs (part of regular maintenance as defined in 1.2.1) by a party other than the owner should not require marking. Opinions were divided, however, and not all the experts had had time to study the document, which had been submitted late. The expert from Belgium said that he would draw up an official proposal for the next session.</w:t>
      </w:r>
    </w:p>
    <w:p w14:paraId="4B5EC3BC" w14:textId="2A51E0BE" w:rsidR="00CD6DD3" w:rsidRPr="00D10092" w:rsidRDefault="00CD6DD3" w:rsidP="00CD6DD3">
      <w:pPr>
        <w:pStyle w:val="H23G"/>
      </w:pPr>
      <w:r w:rsidRPr="00D10092">
        <w:tab/>
      </w:r>
      <w:r w:rsidR="0066664F">
        <w:t>3</w:t>
      </w:r>
      <w:r w:rsidRPr="00D10092">
        <w:t>.</w:t>
      </w:r>
      <w:r w:rsidRPr="00D10092">
        <w:tab/>
        <w:t>Additional marking of the maximum stacking load of IBCs</w:t>
      </w:r>
    </w:p>
    <w:p w14:paraId="0D87DB6A" w14:textId="77777777" w:rsidR="00CD6DD3" w:rsidRPr="00D10092" w:rsidRDefault="00CD6DD3" w:rsidP="00BD0A18">
      <w:pPr>
        <w:pStyle w:val="SingleTxtG"/>
        <w:tabs>
          <w:tab w:val="left" w:pos="3402"/>
        </w:tabs>
        <w:jc w:val="left"/>
      </w:pPr>
      <w:r w:rsidRPr="00C31E4D">
        <w:rPr>
          <w:i/>
        </w:rPr>
        <w:t>Document</w:t>
      </w:r>
      <w:r w:rsidRPr="00D10092">
        <w:t>:</w:t>
      </w:r>
      <w:r w:rsidRPr="00D10092">
        <w:tab/>
        <w:t>ST/SG/AC.10/C.3/2017/31 (Germany)</w:t>
      </w:r>
    </w:p>
    <w:p w14:paraId="2FF93C5D" w14:textId="4E9881C4" w:rsidR="00CD6DD3" w:rsidRPr="00D10092" w:rsidRDefault="00CD6DD3" w:rsidP="00BD0A18">
      <w:pPr>
        <w:pStyle w:val="SingleTxtG"/>
        <w:tabs>
          <w:tab w:val="left" w:pos="3402"/>
        </w:tabs>
        <w:jc w:val="left"/>
      </w:pPr>
      <w:r w:rsidRPr="00C31E4D">
        <w:rPr>
          <w:i/>
        </w:rPr>
        <w:t>Informal documents</w:t>
      </w:r>
      <w:r w:rsidR="00BD0A18">
        <w:t>:</w:t>
      </w:r>
      <w:r w:rsidR="00BD0A18">
        <w:tab/>
        <w:t>INF.22 (ICPP)</w:t>
      </w:r>
      <w:r w:rsidR="00BD0A18">
        <w:br/>
      </w:r>
      <w:r w:rsidR="00BD0A18">
        <w:tab/>
      </w:r>
      <w:r w:rsidR="00BD0A18">
        <w:tab/>
      </w:r>
      <w:r w:rsidRPr="00D10092">
        <w:t>INF.48 (Germany)</w:t>
      </w:r>
    </w:p>
    <w:p w14:paraId="078D80DF" w14:textId="7B9E4610" w:rsidR="00CD6DD3" w:rsidRPr="00D10092" w:rsidRDefault="00323700" w:rsidP="00CD6DD3">
      <w:pPr>
        <w:pStyle w:val="SingleTxtG"/>
      </w:pPr>
      <w:r>
        <w:t>72</w:t>
      </w:r>
      <w:r w:rsidR="00CD6DD3" w:rsidRPr="00D10092">
        <w:t>.</w:t>
      </w:r>
      <w:r w:rsidR="00CD6DD3" w:rsidRPr="00D10092">
        <w:tab/>
        <w:t xml:space="preserve">After discussing the proposal aimed at clarifying the provisions of 6.5.2.2.1 and 6.5.2.2.2 to highlight the fact that the marking of the maximum </w:t>
      </w:r>
      <w:r w:rsidR="00CD6DD3">
        <w:t xml:space="preserve">permitted </w:t>
      </w:r>
      <w:r w:rsidR="00CD6DD3" w:rsidRPr="00D10092">
        <w:t xml:space="preserve">stacking load should be included only in the pictogram, the Sub-Committee adopted the solution proposed in informal document INF.48, i.e., that the last line of the table in 6.5.2.2.1 and the footnote </w:t>
      </w:r>
      <w:r w:rsidR="00CD6DD3">
        <w:t xml:space="preserve">b </w:t>
      </w:r>
      <w:r w:rsidR="00CD6DD3" w:rsidRPr="00D10092">
        <w:t xml:space="preserve">to </w:t>
      </w:r>
      <w:r w:rsidR="00CD6DD3">
        <w:t xml:space="preserve">the </w:t>
      </w:r>
      <w:r w:rsidR="00CD6DD3" w:rsidRPr="00D10092">
        <w:t xml:space="preserve">table should be deleted (see annex </w:t>
      </w:r>
      <w:r w:rsidR="0052011A">
        <w:t>II</w:t>
      </w:r>
      <w:r w:rsidR="0052011A" w:rsidRPr="00D10092">
        <w:t>).</w:t>
      </w:r>
    </w:p>
    <w:p w14:paraId="5A95B09E" w14:textId="01F2D67E" w:rsidR="00CD6DD3" w:rsidRPr="00D10092" w:rsidRDefault="00323700" w:rsidP="00CD6DD3">
      <w:pPr>
        <w:pStyle w:val="SingleTxtG"/>
      </w:pPr>
      <w:r>
        <w:t>73</w:t>
      </w:r>
      <w:r w:rsidR="00CD6DD3" w:rsidRPr="00D10092">
        <w:t>.</w:t>
      </w:r>
      <w:r w:rsidR="00CD6DD3" w:rsidRPr="00D10092">
        <w:tab/>
        <w:t>After discussion, the ICPP representative withdrew the amendment to the first sentence of 6.5.2.2.2 proposed in informal document INF.22. He said he would submit a new proposal to take account of the comments made.</w:t>
      </w:r>
    </w:p>
    <w:p w14:paraId="3BA593C9" w14:textId="5C1B4ADB" w:rsidR="00CD6DD3" w:rsidRPr="00D10092" w:rsidRDefault="00CD6DD3" w:rsidP="00CD6DD3">
      <w:pPr>
        <w:pStyle w:val="H23G"/>
      </w:pPr>
      <w:r w:rsidRPr="00D10092">
        <w:tab/>
      </w:r>
      <w:r w:rsidR="0066664F">
        <w:t>4</w:t>
      </w:r>
      <w:r w:rsidRPr="00D10092">
        <w:t>.</w:t>
      </w:r>
      <w:r w:rsidRPr="00D10092">
        <w:tab/>
        <w:t xml:space="preserve">Use of </w:t>
      </w:r>
      <w:proofErr w:type="spellStart"/>
      <w:r w:rsidRPr="00D10092">
        <w:t>packagings</w:t>
      </w:r>
      <w:proofErr w:type="spellEnd"/>
      <w:r w:rsidRPr="00D10092">
        <w:t xml:space="preserve"> approved for liquids to transport solid dangerous goods</w:t>
      </w:r>
    </w:p>
    <w:p w14:paraId="5A235F8F" w14:textId="77777777" w:rsidR="00CD6DD3" w:rsidRPr="00D10092" w:rsidRDefault="00CD6DD3" w:rsidP="00BD0A18">
      <w:pPr>
        <w:pStyle w:val="SingleTxtG"/>
        <w:tabs>
          <w:tab w:val="left" w:pos="3402"/>
        </w:tabs>
      </w:pPr>
      <w:r w:rsidRPr="006837A8">
        <w:rPr>
          <w:i/>
        </w:rPr>
        <w:t>Informal document</w:t>
      </w:r>
      <w:r w:rsidRPr="00D10092">
        <w:t>:</w:t>
      </w:r>
      <w:r w:rsidRPr="00D10092">
        <w:tab/>
        <w:t>INF.34 (United States of America)</w:t>
      </w:r>
    </w:p>
    <w:p w14:paraId="1A15CD1D" w14:textId="71B0ED5F" w:rsidR="00CD6DD3" w:rsidRPr="00D10092" w:rsidRDefault="00323700" w:rsidP="00CD6DD3">
      <w:pPr>
        <w:pStyle w:val="SingleTxtG"/>
      </w:pPr>
      <w:r>
        <w:t>74</w:t>
      </w:r>
      <w:r w:rsidR="00CD6DD3" w:rsidRPr="00D10092">
        <w:t>.</w:t>
      </w:r>
      <w:r w:rsidR="00CD6DD3" w:rsidRPr="00D10092">
        <w:tab/>
        <w:t xml:space="preserve">Most of the experts who spoke were not in favour of </w:t>
      </w:r>
      <w:r w:rsidR="00CD6DD3">
        <w:t>introducing</w:t>
      </w:r>
      <w:r w:rsidR="00CD6DD3" w:rsidRPr="00D10092">
        <w:t xml:space="preserve"> provisions to allow the transport of solid substances in </w:t>
      </w:r>
      <w:proofErr w:type="spellStart"/>
      <w:r w:rsidR="00CD6DD3" w:rsidRPr="00D10092">
        <w:t>packagings</w:t>
      </w:r>
      <w:proofErr w:type="spellEnd"/>
      <w:r w:rsidR="00CD6DD3" w:rsidRPr="00D10092">
        <w:t xml:space="preserve"> that were only approved for the transport of liquid substances. They thought that the current provisions were adequate, as the </w:t>
      </w:r>
      <w:proofErr w:type="spellStart"/>
      <w:r w:rsidR="00CD6DD3" w:rsidRPr="00D10092">
        <w:t>packagings</w:t>
      </w:r>
      <w:proofErr w:type="spellEnd"/>
      <w:r w:rsidR="00CD6DD3" w:rsidRPr="00D10092">
        <w:t xml:space="preserve"> could be tested for the transport of liquid substances and for the transport of solid substances, in which case they could bear double markings.</w:t>
      </w:r>
    </w:p>
    <w:p w14:paraId="498220EF" w14:textId="2FCFB6B3" w:rsidR="00107AD3" w:rsidRDefault="0024482C">
      <w:pPr>
        <w:pStyle w:val="H1G"/>
      </w:pPr>
      <w:r>
        <w:tab/>
      </w:r>
      <w:r w:rsidR="00107AD3">
        <w:t>C.</w:t>
      </w:r>
      <w:r w:rsidR="00107AD3">
        <w:tab/>
        <w:t>Portable tanks</w:t>
      </w:r>
    </w:p>
    <w:p w14:paraId="2036402D" w14:textId="77777777" w:rsidR="00107AD3" w:rsidRDefault="00107AD3" w:rsidP="00107AD3">
      <w:pPr>
        <w:pStyle w:val="H23G"/>
      </w:pPr>
      <w:r>
        <w:tab/>
        <w:t>1.</w:t>
      </w:r>
      <w:r>
        <w:tab/>
        <w:t>Inspection of pressure-relief devices</w:t>
      </w:r>
    </w:p>
    <w:p w14:paraId="5C48BF89" w14:textId="35F1A6C0" w:rsidR="00107AD3" w:rsidRDefault="00107AD3" w:rsidP="00BD0A18">
      <w:pPr>
        <w:pStyle w:val="SingleTxtG"/>
        <w:tabs>
          <w:tab w:val="left" w:pos="3402"/>
        </w:tabs>
      </w:pPr>
      <w:r w:rsidRPr="00B21B93">
        <w:rPr>
          <w:i/>
          <w:iCs/>
        </w:rPr>
        <w:t>Document</w:t>
      </w:r>
      <w:r>
        <w:t>:</w:t>
      </w:r>
      <w:r>
        <w:tab/>
        <w:t>ST/SG/AC.10/C.3/2017/</w:t>
      </w:r>
      <w:r w:rsidR="008874C1">
        <w:t>30</w:t>
      </w:r>
      <w:r>
        <w:t xml:space="preserve"> (Germany)</w:t>
      </w:r>
    </w:p>
    <w:p w14:paraId="6DE8C5A8" w14:textId="77777777" w:rsidR="00107AD3" w:rsidRDefault="00107AD3" w:rsidP="00BD0A18">
      <w:pPr>
        <w:pStyle w:val="SingleTxtG"/>
        <w:tabs>
          <w:tab w:val="left" w:pos="3402"/>
        </w:tabs>
      </w:pPr>
      <w:r w:rsidRPr="00B21B93">
        <w:rPr>
          <w:i/>
          <w:iCs/>
        </w:rPr>
        <w:t>Informal document</w:t>
      </w:r>
      <w:r>
        <w:t>:</w:t>
      </w:r>
      <w:r>
        <w:tab/>
        <w:t>INF.38 (EIGA)</w:t>
      </w:r>
    </w:p>
    <w:p w14:paraId="15F3A489" w14:textId="1296DD1C" w:rsidR="00107AD3" w:rsidRDefault="00323700" w:rsidP="00107AD3">
      <w:pPr>
        <w:pStyle w:val="SingleTxtG"/>
      </w:pPr>
      <w:r>
        <w:t>75</w:t>
      </w:r>
      <w:r w:rsidR="00107AD3">
        <w:t>.</w:t>
      </w:r>
      <w:r w:rsidR="00107AD3">
        <w:tab/>
        <w:t>Several delegations thought that the proposal to extend the provisions on the inspection of pressure-relief devices on portable tanks for substances of Class 8 to tanks carrying substances with a Class 8 subsidiary hazard was logical. The representative of EIGA noted that, in the case of gases, it was not necessarily justified.</w:t>
      </w:r>
    </w:p>
    <w:p w14:paraId="3EFBE1D4" w14:textId="40AD27FB" w:rsidR="00107AD3" w:rsidRDefault="00323700" w:rsidP="00107AD3">
      <w:pPr>
        <w:pStyle w:val="SingleTxtG"/>
      </w:pPr>
      <w:r>
        <w:t>76</w:t>
      </w:r>
      <w:r w:rsidR="00107AD3">
        <w:t>.</w:t>
      </w:r>
      <w:r w:rsidR="00107AD3">
        <w:tab/>
        <w:t>The expert from Germany said that she would submit a new proposal to take account of the comments made.</w:t>
      </w:r>
    </w:p>
    <w:p w14:paraId="377B7DA5" w14:textId="77777777" w:rsidR="00107AD3" w:rsidRPr="00D60E24" w:rsidRDefault="00107AD3" w:rsidP="00107AD3">
      <w:pPr>
        <w:pStyle w:val="H23G"/>
      </w:pPr>
      <w:r w:rsidRPr="00D60E24">
        <w:tab/>
        <w:t>2.</w:t>
      </w:r>
      <w:r w:rsidRPr="00D60E24">
        <w:tab/>
        <w:t>Impact testing of portable tanks and MEGCs: proposal to revise section 41 of the Manual of Tests and Criteria</w:t>
      </w:r>
    </w:p>
    <w:p w14:paraId="178FE721" w14:textId="77777777" w:rsidR="00107AD3" w:rsidRPr="00D60E24" w:rsidRDefault="00107AD3" w:rsidP="00BD0A18">
      <w:pPr>
        <w:pStyle w:val="SingleTxtG"/>
        <w:tabs>
          <w:tab w:val="left" w:pos="3402"/>
        </w:tabs>
      </w:pPr>
      <w:r w:rsidRPr="00121DCC">
        <w:rPr>
          <w:i/>
          <w:iCs/>
        </w:rPr>
        <w:t>Document</w:t>
      </w:r>
      <w:r w:rsidRPr="00D60E24">
        <w:t>:</w:t>
      </w:r>
      <w:r w:rsidRPr="00D60E24">
        <w:tab/>
        <w:t>ST/SG/AC.10/C.3/2017/41 (Canada)</w:t>
      </w:r>
    </w:p>
    <w:p w14:paraId="06A29BB5" w14:textId="2E9DEAF1" w:rsidR="00107AD3" w:rsidRPr="00D60E24" w:rsidRDefault="00323700" w:rsidP="00107AD3">
      <w:pPr>
        <w:pStyle w:val="SingleTxtG"/>
      </w:pPr>
      <w:r>
        <w:t>77</w:t>
      </w:r>
      <w:r w:rsidR="00107AD3" w:rsidRPr="00D60E24">
        <w:t>.</w:t>
      </w:r>
      <w:r w:rsidR="00107AD3" w:rsidRPr="00D60E24">
        <w:tab/>
        <w:t xml:space="preserve">The proposed amendments to section 41 of the Manual were adopted (see annex </w:t>
      </w:r>
      <w:r w:rsidR="0052011A">
        <w:t>III</w:t>
      </w:r>
      <w:r w:rsidR="0052011A" w:rsidRPr="00D60E24">
        <w:t xml:space="preserve">). </w:t>
      </w:r>
      <w:r w:rsidR="00107AD3" w:rsidRPr="00D60E24">
        <w:t>The Sub-Committee noted that Canada would propose the consequential amendments to ISO 1496-3.</w:t>
      </w:r>
    </w:p>
    <w:p w14:paraId="273C2381" w14:textId="77777777" w:rsidR="00107AD3" w:rsidRPr="00D60E24" w:rsidRDefault="00107AD3" w:rsidP="00107AD3">
      <w:pPr>
        <w:pStyle w:val="H23G"/>
      </w:pPr>
      <w:r w:rsidRPr="00D60E24">
        <w:tab/>
        <w:t>3.</w:t>
      </w:r>
      <w:r w:rsidRPr="00D60E24">
        <w:tab/>
        <w:t>Minimum shell thickness for portable tanks used for the carriage of non-refrigerated liquefied gases</w:t>
      </w:r>
    </w:p>
    <w:p w14:paraId="492AE0E8" w14:textId="77777777" w:rsidR="00107AD3" w:rsidRPr="00D60E24" w:rsidRDefault="00107AD3" w:rsidP="00BD0A18">
      <w:pPr>
        <w:pStyle w:val="SingleTxtG"/>
        <w:tabs>
          <w:tab w:val="left" w:pos="3402"/>
        </w:tabs>
      </w:pPr>
      <w:r w:rsidRPr="00121DCC">
        <w:rPr>
          <w:i/>
          <w:iCs/>
        </w:rPr>
        <w:t>Informal document</w:t>
      </w:r>
      <w:r w:rsidRPr="00D60E24">
        <w:t>:</w:t>
      </w:r>
      <w:r w:rsidRPr="00D60E24">
        <w:tab/>
        <w:t>INF.25 (Belgium)</w:t>
      </w:r>
    </w:p>
    <w:p w14:paraId="0D030458" w14:textId="7B4AF2CB" w:rsidR="00107AD3" w:rsidRPr="00D60E24" w:rsidRDefault="00323700" w:rsidP="00107AD3">
      <w:pPr>
        <w:pStyle w:val="SingleTxtG"/>
      </w:pPr>
      <w:r>
        <w:t>78</w:t>
      </w:r>
      <w:r w:rsidR="00107AD3" w:rsidRPr="00D60E24">
        <w:t>.</w:t>
      </w:r>
      <w:r w:rsidR="00107AD3" w:rsidRPr="00D60E24">
        <w:tab/>
        <w:t>The Sub-Committee agreed in principle with the proposal of Belgium but requested that the proposal should be submitted as an official document at the next session.</w:t>
      </w:r>
    </w:p>
    <w:p w14:paraId="47CA5233" w14:textId="77777777" w:rsidR="00107AD3" w:rsidRPr="00D60E24" w:rsidRDefault="00107AD3" w:rsidP="00107AD3">
      <w:pPr>
        <w:pStyle w:val="H23G"/>
      </w:pPr>
      <w:r w:rsidRPr="00D60E24">
        <w:tab/>
        <w:t>4.</w:t>
      </w:r>
      <w:r w:rsidRPr="00D60E24">
        <w:tab/>
        <w:t>Clarification of special provision TP19</w:t>
      </w:r>
    </w:p>
    <w:p w14:paraId="37C04B24" w14:textId="77777777" w:rsidR="00107AD3" w:rsidRPr="00D60E24" w:rsidRDefault="00107AD3" w:rsidP="00BD0A18">
      <w:pPr>
        <w:pStyle w:val="SingleTxtG"/>
        <w:tabs>
          <w:tab w:val="left" w:pos="3402"/>
        </w:tabs>
      </w:pPr>
      <w:r w:rsidRPr="00121DCC">
        <w:rPr>
          <w:i/>
          <w:iCs/>
        </w:rPr>
        <w:t>Informal document</w:t>
      </w:r>
      <w:r w:rsidRPr="00D60E24">
        <w:t>:</w:t>
      </w:r>
      <w:r w:rsidRPr="00D60E24">
        <w:tab/>
        <w:t>INF.26 (Belgium)</w:t>
      </w:r>
    </w:p>
    <w:p w14:paraId="670F6B08" w14:textId="05514E62" w:rsidR="00107AD3" w:rsidRDefault="00323700" w:rsidP="00107AD3">
      <w:pPr>
        <w:pStyle w:val="SingleTxtG"/>
      </w:pPr>
      <w:r>
        <w:t>79</w:t>
      </w:r>
      <w:r w:rsidR="00107AD3" w:rsidRPr="00D60E24">
        <w:t>.</w:t>
      </w:r>
      <w:r w:rsidR="00107AD3" w:rsidRPr="00D60E24">
        <w:tab/>
        <w:t>The representative of Belgium was requested to submit his proposal as an official document at the next session, taking into account the comments made.</w:t>
      </w:r>
    </w:p>
    <w:p w14:paraId="20E1FB3A" w14:textId="77777777" w:rsidR="00CD6DD3" w:rsidRPr="009B70CD" w:rsidRDefault="00CD6DD3" w:rsidP="00CD6DD3">
      <w:pPr>
        <w:pStyle w:val="H23G"/>
        <w:rPr>
          <w:i/>
        </w:rPr>
      </w:pPr>
      <w:r w:rsidRPr="009B70CD">
        <w:tab/>
        <w:t>5.</w:t>
      </w:r>
      <w:r w:rsidRPr="009B70CD">
        <w:tab/>
        <w:t>Fibre-reinforced plastics portable tanks (FRP)</w:t>
      </w:r>
    </w:p>
    <w:p w14:paraId="186FAA07" w14:textId="4BB7227B" w:rsidR="00CD6DD3" w:rsidRPr="009B70CD" w:rsidRDefault="00CD6DD3" w:rsidP="00CD6DD3">
      <w:pPr>
        <w:pStyle w:val="SingleTxtG"/>
      </w:pPr>
      <w:r w:rsidRPr="003207C0">
        <w:rPr>
          <w:i/>
        </w:rPr>
        <w:t>Document</w:t>
      </w:r>
      <w:r w:rsidRPr="009B70CD">
        <w:t xml:space="preserve">: </w:t>
      </w:r>
      <w:r w:rsidRPr="009B70CD">
        <w:tab/>
      </w:r>
      <w:r w:rsidRPr="009B70CD">
        <w:tab/>
      </w:r>
      <w:r w:rsidRPr="009B70CD">
        <w:tab/>
        <w:t>ST/SG/AC.10/C.3/2017/40 (Russian Federation)</w:t>
      </w:r>
    </w:p>
    <w:p w14:paraId="0EDA8CBD" w14:textId="2C86437A" w:rsidR="00CD6DD3" w:rsidRPr="009B70CD" w:rsidRDefault="00CD6DD3" w:rsidP="00BD0A18">
      <w:pPr>
        <w:pStyle w:val="SingleTxtG"/>
        <w:tabs>
          <w:tab w:val="left" w:pos="3402"/>
        </w:tabs>
        <w:ind w:left="3402" w:hanging="2268"/>
        <w:jc w:val="left"/>
      </w:pPr>
      <w:r w:rsidRPr="003207C0">
        <w:rPr>
          <w:i/>
        </w:rPr>
        <w:t>Informal documents</w:t>
      </w:r>
      <w:r w:rsidR="00BD0A18">
        <w:t xml:space="preserve">: </w:t>
      </w:r>
      <w:r w:rsidR="00BD0A18">
        <w:tab/>
      </w:r>
      <w:r>
        <w:t>INF.4 (Russian Federation)</w:t>
      </w:r>
      <w:r>
        <w:tab/>
      </w:r>
      <w:r>
        <w:br/>
      </w:r>
      <w:r w:rsidRPr="009B70CD">
        <w:t>INF.36 (Finland</w:t>
      </w:r>
      <w:proofErr w:type="gramStart"/>
      <w:r w:rsidRPr="009B70CD">
        <w:t>)</w:t>
      </w:r>
      <w:proofErr w:type="gramEnd"/>
      <w:r w:rsidRPr="009B70CD">
        <w:br/>
        <w:t>INF.41 (IDGCA)</w:t>
      </w:r>
      <w:r w:rsidRPr="009B70CD">
        <w:br/>
        <w:t>INF.44 and INF.46 (Russian Federation)</w:t>
      </w:r>
      <w:r w:rsidRPr="009B70CD">
        <w:br/>
        <w:t>INF.55 (France)</w:t>
      </w:r>
    </w:p>
    <w:p w14:paraId="7155D8FE" w14:textId="6CB06873" w:rsidR="00CD6DD3" w:rsidRPr="009B70CD" w:rsidRDefault="00323700" w:rsidP="00CD6DD3">
      <w:pPr>
        <w:pStyle w:val="SingleTxtG"/>
      </w:pPr>
      <w:r>
        <w:t>80</w:t>
      </w:r>
      <w:r w:rsidR="00CD6DD3">
        <w:t>.</w:t>
      </w:r>
      <w:r w:rsidR="00CD6DD3">
        <w:tab/>
        <w:t xml:space="preserve">The Sub-Committee supported in principle the proposal </w:t>
      </w:r>
      <w:r w:rsidR="00CD6DD3" w:rsidRPr="009B70CD">
        <w:t xml:space="preserve">in document ST/SG/AC.10/C.3/2017/40. </w:t>
      </w:r>
      <w:r w:rsidR="00CD6DD3">
        <w:t xml:space="preserve">Several experts considered that given the technical nature and the number of questions to be addressed, the work should be entrusted to an inter-sessional informal working group. </w:t>
      </w:r>
      <w:r w:rsidR="00CD6DD3" w:rsidRPr="009B70CD">
        <w:t xml:space="preserve">Following a proposal by the expert from France, a group of experts met during the break to prepare the draft terms of reference for the work, which were </w:t>
      </w:r>
      <w:r w:rsidR="00CD6DD3">
        <w:t xml:space="preserve">later considered </w:t>
      </w:r>
      <w:r w:rsidR="00CD6DD3" w:rsidRPr="009B70CD">
        <w:t>and adopted by the Sub-Committee, as follows:</w:t>
      </w:r>
    </w:p>
    <w:p w14:paraId="05727A2B" w14:textId="77777777" w:rsidR="00CD6DD3" w:rsidRPr="009B70CD" w:rsidRDefault="00CD6DD3" w:rsidP="00CD6DD3">
      <w:pPr>
        <w:pStyle w:val="SingleTxtG"/>
        <w:ind w:left="1701"/>
      </w:pPr>
      <w:r w:rsidRPr="009B70CD">
        <w:t>“Develop requirements for the construction, approval, inspection, and use of fibre reinforced plastics portable tanks taking into account:</w:t>
      </w:r>
    </w:p>
    <w:p w14:paraId="13C57AB2" w14:textId="77777777" w:rsidR="00CD6DD3" w:rsidRPr="009B70CD" w:rsidRDefault="00CD6DD3" w:rsidP="00CD6DD3">
      <w:pPr>
        <w:pStyle w:val="SingleTxtG"/>
        <w:ind w:left="2268" w:hanging="567"/>
      </w:pPr>
      <w:r>
        <w:t>(a</w:t>
      </w:r>
      <w:r w:rsidRPr="009B70CD">
        <w:t xml:space="preserve">) </w:t>
      </w:r>
      <w:r w:rsidRPr="009B70CD">
        <w:tab/>
        <w:t xml:space="preserve">The evaluation of </w:t>
      </w:r>
      <w:proofErr w:type="gramStart"/>
      <w:r w:rsidRPr="009B70CD">
        <w:t>a performance</w:t>
      </w:r>
      <w:proofErr w:type="gramEnd"/>
      <w:r w:rsidRPr="009B70CD">
        <w:t xml:space="preserve"> equivalence with commonly used metal tanks, related </w:t>
      </w:r>
      <w:r w:rsidRPr="009B70CD">
        <w:rPr>
          <w:i/>
        </w:rPr>
        <w:t>inter alia</w:t>
      </w:r>
      <w:r w:rsidRPr="009B70CD">
        <w:t xml:space="preserve"> to:</w:t>
      </w:r>
    </w:p>
    <w:p w14:paraId="1A00C58D" w14:textId="77777777" w:rsidR="00CD6DD3" w:rsidRPr="009B70CD" w:rsidRDefault="00CD6DD3" w:rsidP="00CD6DD3">
      <w:pPr>
        <w:pStyle w:val="SingleTxtG"/>
        <w:ind w:left="2552" w:hanging="284"/>
      </w:pPr>
      <w:r>
        <w:t>(</w:t>
      </w:r>
      <w:proofErr w:type="spellStart"/>
      <w:r>
        <w:t>i</w:t>
      </w:r>
      <w:proofErr w:type="spellEnd"/>
      <w:r>
        <w:t>)</w:t>
      </w:r>
      <w:r w:rsidRPr="009B70CD">
        <w:t xml:space="preserve"> </w:t>
      </w:r>
      <w:r w:rsidRPr="009B70CD">
        <w:tab/>
      </w:r>
      <w:r>
        <w:tab/>
      </w:r>
      <w:proofErr w:type="gramStart"/>
      <w:r w:rsidRPr="009B70CD">
        <w:t>stress</w:t>
      </w:r>
      <w:proofErr w:type="gramEnd"/>
      <w:r w:rsidRPr="009B70CD">
        <w:t xml:space="preserve"> and fatigue resistance</w:t>
      </w:r>
      <w:r>
        <w:t>;</w:t>
      </w:r>
    </w:p>
    <w:p w14:paraId="2AA75F42" w14:textId="77777777" w:rsidR="00CD6DD3" w:rsidRPr="009B70CD" w:rsidRDefault="00CD6DD3" w:rsidP="00CD6DD3">
      <w:pPr>
        <w:pStyle w:val="SingleTxtG"/>
        <w:ind w:left="2552" w:hanging="284"/>
      </w:pPr>
      <w:r>
        <w:t>(ii)</w:t>
      </w:r>
      <w:r w:rsidRPr="009B70CD">
        <w:tab/>
      </w:r>
      <w:r>
        <w:tab/>
      </w:r>
      <w:proofErr w:type="gramStart"/>
      <w:r w:rsidRPr="009B70CD">
        <w:t>chemical</w:t>
      </w:r>
      <w:proofErr w:type="gramEnd"/>
      <w:r w:rsidRPr="009B70CD">
        <w:t xml:space="preserve"> compatibility</w:t>
      </w:r>
      <w:r>
        <w:t>;</w:t>
      </w:r>
    </w:p>
    <w:p w14:paraId="71FE20D2" w14:textId="77777777" w:rsidR="00CD6DD3" w:rsidRPr="009B70CD" w:rsidRDefault="00CD6DD3" w:rsidP="00CD6DD3">
      <w:pPr>
        <w:pStyle w:val="SingleTxtG"/>
        <w:ind w:left="2552" w:hanging="284"/>
      </w:pPr>
      <w:r>
        <w:t>(iii)</w:t>
      </w:r>
      <w:r>
        <w:tab/>
      </w:r>
      <w:proofErr w:type="gramStart"/>
      <w:r w:rsidRPr="009B70CD">
        <w:t>aging</w:t>
      </w:r>
      <w:proofErr w:type="gramEnd"/>
      <w:r>
        <w:t>;</w:t>
      </w:r>
    </w:p>
    <w:p w14:paraId="3D3DFAD2" w14:textId="77777777" w:rsidR="00CD6DD3" w:rsidRPr="009B70CD" w:rsidRDefault="00CD6DD3" w:rsidP="00CD6DD3">
      <w:pPr>
        <w:pStyle w:val="SingleTxtG"/>
        <w:ind w:left="2552" w:hanging="284"/>
      </w:pPr>
      <w:r>
        <w:t>(iv)</w:t>
      </w:r>
      <w:r w:rsidRPr="009B70CD">
        <w:tab/>
      </w:r>
      <w:proofErr w:type="gramStart"/>
      <w:r w:rsidRPr="009B70CD">
        <w:t>fire</w:t>
      </w:r>
      <w:proofErr w:type="gramEnd"/>
      <w:r w:rsidRPr="009B70CD">
        <w:t xml:space="preserve"> resistance</w:t>
      </w:r>
      <w:r>
        <w:t>;</w:t>
      </w:r>
    </w:p>
    <w:p w14:paraId="0DCC1EBD" w14:textId="77777777" w:rsidR="00CD6DD3" w:rsidRPr="009B70CD" w:rsidRDefault="00CD6DD3" w:rsidP="00CD6DD3">
      <w:pPr>
        <w:pStyle w:val="SingleTxtG"/>
        <w:ind w:left="2552" w:hanging="284"/>
      </w:pPr>
      <w:r>
        <w:t>(v)</w:t>
      </w:r>
      <w:r>
        <w:tab/>
      </w:r>
      <w:r w:rsidRPr="009B70CD">
        <w:tab/>
      </w:r>
      <w:proofErr w:type="gramStart"/>
      <w:r w:rsidRPr="009B70CD">
        <w:t>impact</w:t>
      </w:r>
      <w:proofErr w:type="gramEnd"/>
      <w:r w:rsidRPr="009B70CD">
        <w:t xml:space="preserve"> resistance</w:t>
      </w:r>
      <w:r>
        <w:t>;</w:t>
      </w:r>
    </w:p>
    <w:p w14:paraId="6AC3E0F8" w14:textId="77777777" w:rsidR="00CD6DD3" w:rsidRPr="009B70CD" w:rsidRDefault="00CD6DD3" w:rsidP="00CD6DD3">
      <w:pPr>
        <w:pStyle w:val="SingleTxtG"/>
        <w:ind w:left="2268" w:hanging="567"/>
      </w:pPr>
      <w:r>
        <w:t>(b</w:t>
      </w:r>
      <w:r w:rsidRPr="009B70CD">
        <w:t>)</w:t>
      </w:r>
      <w:r w:rsidRPr="009B70CD">
        <w:tab/>
        <w:t>Different materials for fibres and resins including new technologies</w:t>
      </w:r>
      <w:r>
        <w:t>;</w:t>
      </w:r>
    </w:p>
    <w:p w14:paraId="779A7FA7" w14:textId="77777777" w:rsidR="00CD6DD3" w:rsidRPr="009B70CD" w:rsidRDefault="00CD6DD3" w:rsidP="00CD6DD3">
      <w:pPr>
        <w:pStyle w:val="SingleTxtG"/>
        <w:ind w:left="2268" w:hanging="567"/>
      </w:pPr>
      <w:r>
        <w:t>(c</w:t>
      </w:r>
      <w:r w:rsidRPr="009B70CD">
        <w:t>)</w:t>
      </w:r>
      <w:r w:rsidRPr="009B70CD">
        <w:tab/>
        <w:t>Different manufacturing techniques and performance evaluation methods</w:t>
      </w:r>
      <w:r>
        <w:t>;</w:t>
      </w:r>
    </w:p>
    <w:p w14:paraId="7D2029A4" w14:textId="77777777" w:rsidR="00CD6DD3" w:rsidRPr="009B70CD" w:rsidRDefault="00CD6DD3" w:rsidP="00CD6DD3">
      <w:pPr>
        <w:pStyle w:val="SingleTxtG"/>
        <w:ind w:left="2268" w:hanging="567"/>
      </w:pPr>
      <w:r>
        <w:t>(d</w:t>
      </w:r>
      <w:r w:rsidRPr="009B70CD">
        <w:t>)</w:t>
      </w:r>
      <w:r w:rsidRPr="009B70CD">
        <w:tab/>
        <w:t>Suitability for different classes of dangerous goods</w:t>
      </w:r>
      <w:r>
        <w:t>;</w:t>
      </w:r>
    </w:p>
    <w:p w14:paraId="55EA8212" w14:textId="631F4FB4" w:rsidR="00CD6DD3" w:rsidRPr="009B70CD" w:rsidRDefault="00CD6DD3" w:rsidP="00CD6DD3">
      <w:pPr>
        <w:pStyle w:val="SingleTxtG"/>
        <w:ind w:left="2268" w:hanging="567"/>
      </w:pPr>
      <w:r>
        <w:t>(e</w:t>
      </w:r>
      <w:r w:rsidRPr="009B70CD">
        <w:t>)</w:t>
      </w:r>
      <w:r w:rsidRPr="009B70CD">
        <w:tab/>
        <w:t>Existing regulations at international (RID</w:t>
      </w:r>
      <w:r w:rsidR="0052011A">
        <w:t>,</w:t>
      </w:r>
      <w:r w:rsidRPr="009B70CD">
        <w:t xml:space="preserve"> ADR)</w:t>
      </w:r>
      <w:r w:rsidR="0052011A">
        <w:t>,</w:t>
      </w:r>
      <w:r w:rsidRPr="009B70CD">
        <w:t xml:space="preserve"> regional or national level</w:t>
      </w:r>
      <w:r>
        <w:t>;</w:t>
      </w:r>
    </w:p>
    <w:p w14:paraId="208CD25E" w14:textId="77777777" w:rsidR="00CD6DD3" w:rsidRPr="009B70CD" w:rsidRDefault="00CD6DD3" w:rsidP="00CD6DD3">
      <w:pPr>
        <w:pStyle w:val="SingleTxtG"/>
        <w:ind w:left="2268" w:hanging="567"/>
      </w:pPr>
      <w:r>
        <w:t>(f</w:t>
      </w:r>
      <w:r w:rsidRPr="009B70CD">
        <w:t>)</w:t>
      </w:r>
      <w:r w:rsidRPr="009B70CD">
        <w:tab/>
        <w:t>Specific periodic inspection needs, including after repair, and unacceptable damage.”</w:t>
      </w:r>
    </w:p>
    <w:p w14:paraId="556F3438" w14:textId="5E0552D7" w:rsidR="00CD6DD3" w:rsidRPr="009B70CD" w:rsidRDefault="00323700" w:rsidP="00CD6DD3">
      <w:pPr>
        <w:pStyle w:val="SingleTxtG"/>
      </w:pPr>
      <w:r>
        <w:t>81</w:t>
      </w:r>
      <w:r w:rsidR="00CD6DD3">
        <w:t>.</w:t>
      </w:r>
      <w:r w:rsidR="00CD6DD3">
        <w:tab/>
        <w:t xml:space="preserve">The expert from the United States of America volunteered to lead the inter-sessional </w:t>
      </w:r>
      <w:r w:rsidR="008945CB">
        <w:t>correspondence</w:t>
      </w:r>
      <w:r w:rsidR="00CD6DD3">
        <w:t xml:space="preserve"> working group. Experts </w:t>
      </w:r>
      <w:r w:rsidR="00CD6DD3" w:rsidRPr="009B70CD">
        <w:t xml:space="preserve">interested in participating in the </w:t>
      </w:r>
      <w:r w:rsidR="00CD6DD3">
        <w:t>work</w:t>
      </w:r>
      <w:r w:rsidR="00CD6DD3" w:rsidRPr="009B70CD">
        <w:t xml:space="preserve"> were invited to contact </w:t>
      </w:r>
      <w:r w:rsidR="00CD6DD3">
        <w:t>him (steven.webb@dot.gov)</w:t>
      </w:r>
      <w:r w:rsidR="00CD6DD3" w:rsidRPr="009B70CD">
        <w:t>.</w:t>
      </w:r>
    </w:p>
    <w:p w14:paraId="26331A8B" w14:textId="77777777" w:rsidR="00CD6DD3" w:rsidRPr="009B70CD" w:rsidRDefault="00CD6DD3" w:rsidP="00CD6DD3">
      <w:pPr>
        <w:pStyle w:val="H23G"/>
        <w:rPr>
          <w:i/>
        </w:rPr>
      </w:pPr>
      <w:r w:rsidRPr="009B70CD">
        <w:tab/>
        <w:t>6.</w:t>
      </w:r>
      <w:r w:rsidRPr="009B70CD">
        <w:tab/>
        <w:t>Provisions concerning holding time information in the transport document</w:t>
      </w:r>
    </w:p>
    <w:p w14:paraId="118E03F1" w14:textId="35D761EF" w:rsidR="00CD6DD3" w:rsidRPr="009B70CD" w:rsidRDefault="00CD6DD3" w:rsidP="00CD6DD3">
      <w:pPr>
        <w:pStyle w:val="SingleTxtG"/>
      </w:pPr>
      <w:r w:rsidRPr="003207C0">
        <w:rPr>
          <w:i/>
        </w:rPr>
        <w:t>Informal documents</w:t>
      </w:r>
      <w:r w:rsidRPr="009B70CD">
        <w:t xml:space="preserve">: </w:t>
      </w:r>
      <w:r w:rsidRPr="009B70CD">
        <w:tab/>
        <w:t>INF.9 and INF.54 (Belgium)</w:t>
      </w:r>
    </w:p>
    <w:p w14:paraId="4E55CBD8" w14:textId="1A53E74D" w:rsidR="00CD6DD3" w:rsidRPr="00D60E24" w:rsidRDefault="00323700" w:rsidP="00107AD3">
      <w:pPr>
        <w:pStyle w:val="SingleTxtG"/>
      </w:pPr>
      <w:r>
        <w:t>82</w:t>
      </w:r>
      <w:r w:rsidR="00CD6DD3">
        <w:t>.</w:t>
      </w:r>
      <w:r w:rsidR="00CD6DD3">
        <w:tab/>
      </w:r>
      <w:r w:rsidR="00CD6DD3" w:rsidRPr="009B70CD">
        <w:t>There was general support for the proposal with some modifications. The Sub-Committee invited the expert from Belgium to take note of the comments made and to submit</w:t>
      </w:r>
      <w:r w:rsidR="00CD6DD3">
        <w:t xml:space="preserve"> an</w:t>
      </w:r>
      <w:r w:rsidR="00CD6DD3" w:rsidRPr="009B70CD">
        <w:t xml:space="preserve"> official document for the next session. </w:t>
      </w:r>
    </w:p>
    <w:p w14:paraId="14CA3203" w14:textId="77777777" w:rsidR="00AD1F1C" w:rsidRPr="00D10092" w:rsidRDefault="00AD1F1C" w:rsidP="00AD1F1C">
      <w:pPr>
        <w:pStyle w:val="H1G"/>
      </w:pPr>
      <w:r w:rsidRPr="00D10092">
        <w:tab/>
        <w:t>D.</w:t>
      </w:r>
      <w:r w:rsidRPr="00D10092">
        <w:tab/>
        <w:t>Other miscellaneous proposals</w:t>
      </w:r>
    </w:p>
    <w:p w14:paraId="2BED5AAF" w14:textId="77777777" w:rsidR="00AD1F1C" w:rsidRPr="00D10092" w:rsidRDefault="00AD1F1C" w:rsidP="00AD1F1C">
      <w:pPr>
        <w:pStyle w:val="H23G"/>
      </w:pPr>
      <w:r w:rsidRPr="00D10092">
        <w:tab/>
        <w:t>1.</w:t>
      </w:r>
      <w:r w:rsidRPr="00D10092">
        <w:tab/>
        <w:t>Corrections to label models Nos. 7A, 7B and 7C in 5.2.2.2.2</w:t>
      </w:r>
    </w:p>
    <w:p w14:paraId="4BBCAAE3" w14:textId="77777777" w:rsidR="00AD1F1C" w:rsidRPr="00D10092" w:rsidRDefault="00AD1F1C" w:rsidP="00BD0A18">
      <w:pPr>
        <w:pStyle w:val="SingleTxtG"/>
        <w:tabs>
          <w:tab w:val="left" w:pos="3402"/>
        </w:tabs>
      </w:pPr>
      <w:r w:rsidRPr="006837A8">
        <w:rPr>
          <w:i/>
        </w:rPr>
        <w:t>Informal document</w:t>
      </w:r>
      <w:r w:rsidRPr="00D10092">
        <w:t>:</w:t>
      </w:r>
      <w:r w:rsidRPr="00D10092">
        <w:tab/>
        <w:t>INF.24 (Switzerland)</w:t>
      </w:r>
    </w:p>
    <w:p w14:paraId="1FF4B2F7" w14:textId="01BBFD15" w:rsidR="00AD1F1C" w:rsidRPr="00D10092" w:rsidRDefault="00323700" w:rsidP="00AD1F1C">
      <w:pPr>
        <w:pStyle w:val="SingleTxtG"/>
      </w:pPr>
      <w:r>
        <w:t>83</w:t>
      </w:r>
      <w:r w:rsidR="00AD1F1C" w:rsidRPr="00D10092">
        <w:t>.</w:t>
      </w:r>
      <w:r w:rsidR="00AD1F1C" w:rsidRPr="00D10092">
        <w:tab/>
        <w:t xml:space="preserve">The Sub-Committee noted that the errors mentioned were a result of the new presentation of the label models in a table, and approved the proposed corrections (see annex </w:t>
      </w:r>
      <w:r w:rsidR="0052011A">
        <w:t>I</w:t>
      </w:r>
      <w:r w:rsidR="0052011A" w:rsidRPr="00D10092">
        <w:t>).</w:t>
      </w:r>
    </w:p>
    <w:p w14:paraId="3477FE1D" w14:textId="23E8CE9F" w:rsidR="00635905" w:rsidRPr="009B70CD" w:rsidRDefault="00635905" w:rsidP="00635905">
      <w:pPr>
        <w:pStyle w:val="H23G"/>
      </w:pPr>
      <w:r w:rsidRPr="009B70CD">
        <w:tab/>
      </w:r>
      <w:r w:rsidR="0066664F">
        <w:t>2</w:t>
      </w:r>
      <w:r w:rsidRPr="009B70CD">
        <w:t>.</w:t>
      </w:r>
      <w:r w:rsidRPr="009B70CD">
        <w:tab/>
        <w:t>Proposal of amendments to section 5.5.3</w:t>
      </w:r>
    </w:p>
    <w:p w14:paraId="7A5C693C" w14:textId="23F49098" w:rsidR="00635905" w:rsidRPr="009B70CD" w:rsidRDefault="00635905" w:rsidP="00635905">
      <w:pPr>
        <w:pStyle w:val="SingleTxtG"/>
      </w:pPr>
      <w:r w:rsidRPr="003207C0">
        <w:rPr>
          <w:i/>
        </w:rPr>
        <w:t>Document</w:t>
      </w:r>
      <w:r w:rsidRPr="009B70CD">
        <w:t xml:space="preserve">: </w:t>
      </w:r>
      <w:r w:rsidRPr="009B70CD">
        <w:tab/>
      </w:r>
      <w:r w:rsidR="00B55B47">
        <w:tab/>
      </w:r>
      <w:r w:rsidR="00B55B47">
        <w:tab/>
      </w:r>
      <w:r w:rsidRPr="009B70CD">
        <w:t>ST/SG/AC.10/C.3/2017/46 (Russian Federation and Austria)</w:t>
      </w:r>
    </w:p>
    <w:p w14:paraId="463E26AC" w14:textId="785BED88" w:rsidR="00635905" w:rsidRPr="009B70CD" w:rsidRDefault="00635905" w:rsidP="00635905">
      <w:pPr>
        <w:pStyle w:val="SingleTxtG"/>
      </w:pPr>
      <w:r w:rsidRPr="003207C0">
        <w:rPr>
          <w:i/>
        </w:rPr>
        <w:t>Informal documents</w:t>
      </w:r>
      <w:r>
        <w:t>:</w:t>
      </w:r>
      <w:r>
        <w:tab/>
      </w:r>
      <w:r w:rsidR="00B55B47">
        <w:tab/>
      </w:r>
      <w:r w:rsidRPr="009B70CD">
        <w:t>INF.50 and INF.50/Rev.1 (Secretariat)</w:t>
      </w:r>
    </w:p>
    <w:p w14:paraId="595E6255" w14:textId="4A4A900E" w:rsidR="00635905" w:rsidRDefault="00323700" w:rsidP="00635905">
      <w:pPr>
        <w:pStyle w:val="SingleTxtG"/>
      </w:pPr>
      <w:r>
        <w:t>84</w:t>
      </w:r>
      <w:r w:rsidR="00635905">
        <w:t>.</w:t>
      </w:r>
      <w:r w:rsidR="00635905">
        <w:tab/>
      </w:r>
      <w:r w:rsidR="00635905" w:rsidRPr="009B70CD">
        <w:t>The Sub-Committee adopted the proposal in document ST/SG/AC.10/C.3/2017/46, as amended in INF.50/Rev.1 (see annex</w:t>
      </w:r>
      <w:r w:rsidR="0052011A">
        <w:t xml:space="preserve"> II</w:t>
      </w:r>
      <w:r w:rsidR="0052011A" w:rsidRPr="009B70CD">
        <w:t>).</w:t>
      </w:r>
    </w:p>
    <w:p w14:paraId="2C292A6C" w14:textId="77777777" w:rsidR="004011F4" w:rsidRPr="00D10092" w:rsidRDefault="004011F4" w:rsidP="004011F4">
      <w:pPr>
        <w:pStyle w:val="HChG"/>
      </w:pPr>
      <w:r w:rsidRPr="00D10092">
        <w:tab/>
        <w:t>IX.</w:t>
      </w:r>
      <w:r w:rsidRPr="00D10092">
        <w:tab/>
        <w:t>Global harmonization of transport of dangerous goods regulations with the Model Regulations (agenda item 7)</w:t>
      </w:r>
    </w:p>
    <w:p w14:paraId="424D3AD0" w14:textId="77777777" w:rsidR="004011F4" w:rsidRPr="00D10092" w:rsidRDefault="004011F4" w:rsidP="004011F4">
      <w:pPr>
        <w:pStyle w:val="H23G"/>
      </w:pPr>
      <w:r w:rsidRPr="00D10092">
        <w:tab/>
        <w:t>1.</w:t>
      </w:r>
      <w:r w:rsidRPr="00D10092">
        <w:tab/>
        <w:t>Recommendations made by the ICAO Dangerous Goods Panel</w:t>
      </w:r>
    </w:p>
    <w:p w14:paraId="27D625A4" w14:textId="77777777" w:rsidR="004011F4" w:rsidRPr="00D10092" w:rsidRDefault="004011F4" w:rsidP="00BD0A18">
      <w:pPr>
        <w:pStyle w:val="SingleTxtG"/>
        <w:tabs>
          <w:tab w:val="left" w:pos="3402"/>
        </w:tabs>
      </w:pPr>
      <w:r w:rsidRPr="006837A8">
        <w:rPr>
          <w:i/>
        </w:rPr>
        <w:t>Informal document</w:t>
      </w:r>
      <w:r w:rsidRPr="00D10092">
        <w:t>:</w:t>
      </w:r>
      <w:r w:rsidRPr="00D10092">
        <w:tab/>
        <w:t>INF.42 (ICAO)</w:t>
      </w:r>
    </w:p>
    <w:p w14:paraId="5D6EC384" w14:textId="2985415A" w:rsidR="004011F4" w:rsidRPr="00D10092" w:rsidRDefault="00323700" w:rsidP="004011F4">
      <w:pPr>
        <w:pStyle w:val="SingleTxtG"/>
      </w:pPr>
      <w:r>
        <w:t>85</w:t>
      </w:r>
      <w:r w:rsidR="004011F4" w:rsidRPr="00D10092">
        <w:t>.</w:t>
      </w:r>
      <w:r w:rsidR="004011F4" w:rsidRPr="00D10092">
        <w:tab/>
        <w:t xml:space="preserve">The Sub-Committee noted the information provided by ICAO and invited the representative of that organization to submit an official document to the next session to reflect some of the suggested improvements to the Model Regulations, as appropriate. </w:t>
      </w:r>
    </w:p>
    <w:p w14:paraId="7D4F8EF8" w14:textId="7828F27B" w:rsidR="004011F4" w:rsidRPr="00D10092" w:rsidRDefault="00323700" w:rsidP="004011F4">
      <w:pPr>
        <w:pStyle w:val="SingleTxtG"/>
      </w:pPr>
      <w:r>
        <w:t>86</w:t>
      </w:r>
      <w:r w:rsidR="004011F4" w:rsidRPr="00D10092">
        <w:t>.</w:t>
      </w:r>
      <w:r w:rsidR="004011F4" w:rsidRPr="00D10092">
        <w:tab/>
        <w:t>The representative of Brazil highlighted the work related to training conducted within ICAO and suggested that similar activities should be included in the Sub-Committee’s programme of work.</w:t>
      </w:r>
    </w:p>
    <w:p w14:paraId="702CAF23" w14:textId="55EB6240" w:rsidR="004011F4" w:rsidRPr="00D10092" w:rsidRDefault="004011F4" w:rsidP="004011F4">
      <w:pPr>
        <w:pStyle w:val="H23G"/>
      </w:pPr>
      <w:r w:rsidRPr="00D10092">
        <w:tab/>
        <w:t>2.</w:t>
      </w:r>
      <w:r w:rsidRPr="00D10092">
        <w:tab/>
        <w:t>Activities of IMO (Sub-Committee on Carriage of Cargoes and Containers CCC</w:t>
      </w:r>
      <w:r>
        <w:t>4</w:t>
      </w:r>
      <w:r w:rsidRPr="00D10092">
        <w:t>) and the Editorial and Technical Group (E&amp;T 28)</w:t>
      </w:r>
    </w:p>
    <w:p w14:paraId="7D47B30B" w14:textId="77777777" w:rsidR="004011F4" w:rsidRPr="00D10092" w:rsidRDefault="004011F4" w:rsidP="00BD0A18">
      <w:pPr>
        <w:pStyle w:val="SingleTxtG"/>
        <w:tabs>
          <w:tab w:val="left" w:pos="3402"/>
        </w:tabs>
      </w:pPr>
      <w:r w:rsidRPr="006837A8">
        <w:rPr>
          <w:i/>
        </w:rPr>
        <w:t>Informal document</w:t>
      </w:r>
      <w:r w:rsidRPr="00D10092">
        <w:t>:</w:t>
      </w:r>
      <w:r w:rsidRPr="00D10092">
        <w:tab/>
        <w:t>INF.43 (I</w:t>
      </w:r>
      <w:r>
        <w:t>MO</w:t>
      </w:r>
      <w:r w:rsidRPr="00D10092">
        <w:t>)</w:t>
      </w:r>
    </w:p>
    <w:p w14:paraId="42ACAB66" w14:textId="24FBA270" w:rsidR="004011F4" w:rsidRDefault="00323700" w:rsidP="004011F4">
      <w:pPr>
        <w:pStyle w:val="SingleTxtG"/>
      </w:pPr>
      <w:r>
        <w:t>87</w:t>
      </w:r>
      <w:r w:rsidR="004011F4" w:rsidRPr="00D10092">
        <w:t>.</w:t>
      </w:r>
      <w:r w:rsidR="004011F4" w:rsidRPr="00D10092">
        <w:tab/>
        <w:t xml:space="preserve">The Sub-Committee noted the information provided by IMO and considered that the amendments submitted in paragraphs 2 (a) and 2 (b) should give rise to corrections to the Model Regulations (see annex </w:t>
      </w:r>
      <w:r w:rsidR="0052011A">
        <w:t>I</w:t>
      </w:r>
      <w:r w:rsidR="0052011A" w:rsidRPr="00D10092">
        <w:t>).</w:t>
      </w:r>
    </w:p>
    <w:p w14:paraId="2BAB269E" w14:textId="77777777" w:rsidR="00635905" w:rsidRPr="009B70CD" w:rsidRDefault="00635905" w:rsidP="00635905">
      <w:pPr>
        <w:pStyle w:val="H23G"/>
      </w:pPr>
      <w:r w:rsidRPr="009B70CD">
        <w:tab/>
        <w:t>3.</w:t>
      </w:r>
      <w:r w:rsidRPr="009B70CD">
        <w:tab/>
        <w:t xml:space="preserve">Editorial corrections to the twentieth revised edition of the Model Regulations </w:t>
      </w:r>
    </w:p>
    <w:p w14:paraId="5FF541E8" w14:textId="046C828C" w:rsidR="00635905" w:rsidRPr="009B70CD" w:rsidRDefault="00635905" w:rsidP="00635905">
      <w:pPr>
        <w:pStyle w:val="SingleTxtG"/>
      </w:pPr>
      <w:r w:rsidRPr="003207C0">
        <w:rPr>
          <w:i/>
        </w:rPr>
        <w:t>Informal document</w:t>
      </w:r>
      <w:r w:rsidRPr="009B70CD">
        <w:t xml:space="preserve">: </w:t>
      </w:r>
      <w:r w:rsidRPr="009B70CD">
        <w:tab/>
      </w:r>
      <w:r>
        <w:tab/>
      </w:r>
      <w:r w:rsidRPr="009B70CD">
        <w:t>INF.49 (Germany)</w:t>
      </w:r>
    </w:p>
    <w:p w14:paraId="5EEE3832" w14:textId="64937961" w:rsidR="00635905" w:rsidRPr="009B70CD" w:rsidRDefault="00323700" w:rsidP="00635905">
      <w:pPr>
        <w:pStyle w:val="SingleTxtG"/>
      </w:pPr>
      <w:r>
        <w:t>88</w:t>
      </w:r>
      <w:r w:rsidR="00635905">
        <w:t>.</w:t>
      </w:r>
      <w:r w:rsidR="00635905">
        <w:tab/>
        <w:t>O</w:t>
      </w:r>
      <w:r w:rsidR="00635905" w:rsidRPr="009B70CD">
        <w:t>pinions were divided as regards the interpretation of the second sentence in sub-paragraph (c) of special provision 392 ("closing all openings" against</w:t>
      </w:r>
      <w:r w:rsidR="00635905" w:rsidRPr="009B70CD">
        <w:rPr>
          <w:i/>
        </w:rPr>
        <w:t xml:space="preserve"> </w:t>
      </w:r>
      <w:r w:rsidR="00635905" w:rsidRPr="009B70CD">
        <w:t>"closing the valve controlling all openings"). The expert from Switzerland pointed out a discrepancy between the English and French versions in the current text and indicated that the correction proposed by Germany would align the two versions to refer to “closing all openings”.</w:t>
      </w:r>
    </w:p>
    <w:p w14:paraId="573D5697" w14:textId="35C59478" w:rsidR="0052011A" w:rsidRDefault="00323700" w:rsidP="005C4214">
      <w:pPr>
        <w:pStyle w:val="SingleTxtG"/>
      </w:pPr>
      <w:r>
        <w:t>89</w:t>
      </w:r>
      <w:r w:rsidR="00E84BAE" w:rsidRPr="00BC4300">
        <w:t>.</w:t>
      </w:r>
      <w:r w:rsidR="00E84BAE" w:rsidRPr="00BC4300">
        <w:tab/>
        <w:t xml:space="preserve">A member of the secretariat informed the Sub-Committee that the original proposal submitted </w:t>
      </w:r>
      <w:r w:rsidR="00846B01">
        <w:t xml:space="preserve">to </w:t>
      </w:r>
      <w:r w:rsidR="00E84BAE" w:rsidRPr="00BC4300">
        <w:t xml:space="preserve">and adopted at the RID/ADR/ADN Joint </w:t>
      </w:r>
      <w:r w:rsidR="00E84BAE">
        <w:t>M</w:t>
      </w:r>
      <w:r w:rsidR="00E84BAE" w:rsidRPr="00BC4300">
        <w:t xml:space="preserve">eeting referred to “closure of all openings”. The Sub-Committee therefore decided to adopt the proposed corrections to SP392 (c), as amended (see annex </w:t>
      </w:r>
      <w:r w:rsidR="0052011A">
        <w:t>I</w:t>
      </w:r>
      <w:r w:rsidR="0024482C">
        <w:t>).</w:t>
      </w:r>
    </w:p>
    <w:p w14:paraId="165E1749" w14:textId="6293AD40" w:rsidR="00635905" w:rsidRPr="004306F1" w:rsidRDefault="0052011A" w:rsidP="00635905">
      <w:pPr>
        <w:pStyle w:val="H23G"/>
      </w:pPr>
      <w:r>
        <w:tab/>
      </w:r>
      <w:r w:rsidR="00635905">
        <w:t>4.</w:t>
      </w:r>
      <w:r w:rsidR="00635905">
        <w:tab/>
        <w:t xml:space="preserve">Name and description of UN </w:t>
      </w:r>
      <w:r w:rsidR="00846B01">
        <w:t>No. </w:t>
      </w:r>
      <w:r w:rsidR="00635905">
        <w:t>3363</w:t>
      </w:r>
    </w:p>
    <w:p w14:paraId="32B01866" w14:textId="77777777" w:rsidR="00635905" w:rsidRDefault="00635905" w:rsidP="00635905">
      <w:pPr>
        <w:pStyle w:val="SingleTxtG"/>
      </w:pPr>
      <w:r w:rsidRPr="003207C0">
        <w:rPr>
          <w:i/>
        </w:rPr>
        <w:t>Document</w:t>
      </w:r>
      <w:r w:rsidRPr="004306F1">
        <w:rPr>
          <w:i/>
        </w:rPr>
        <w:t xml:space="preserve">: </w:t>
      </w:r>
      <w:r w:rsidRPr="004306F1">
        <w:rPr>
          <w:i/>
        </w:rPr>
        <w:tab/>
      </w:r>
      <w:r w:rsidRPr="004306F1">
        <w:rPr>
          <w:i/>
        </w:rPr>
        <w:tab/>
      </w:r>
      <w:r w:rsidRPr="004306F1">
        <w:rPr>
          <w:i/>
        </w:rPr>
        <w:tab/>
      </w:r>
      <w:r w:rsidRPr="004306F1">
        <w:t>ST/SG/AC.10/C.3/2017/</w:t>
      </w:r>
      <w:r>
        <w:t>34</w:t>
      </w:r>
      <w:r w:rsidRPr="004306F1">
        <w:t xml:space="preserve"> (</w:t>
      </w:r>
      <w:r>
        <w:t>Germany</w:t>
      </w:r>
      <w:r w:rsidRPr="004306F1">
        <w:t>)</w:t>
      </w:r>
    </w:p>
    <w:p w14:paraId="28A4C278" w14:textId="1B3A336F" w:rsidR="00635905" w:rsidRDefault="00635905" w:rsidP="00635905">
      <w:pPr>
        <w:pStyle w:val="SingleTxtG"/>
        <w:jc w:val="left"/>
      </w:pPr>
      <w:r>
        <w:rPr>
          <w:i/>
        </w:rPr>
        <w:t>Informal document</w:t>
      </w:r>
      <w:r w:rsidR="00FC6CC7">
        <w:rPr>
          <w:i/>
        </w:rPr>
        <w:t>s</w:t>
      </w:r>
      <w:r>
        <w:rPr>
          <w:i/>
        </w:rPr>
        <w:t>:</w:t>
      </w:r>
      <w:r w:rsidRPr="009B70CD">
        <w:t xml:space="preserve"> </w:t>
      </w:r>
      <w:r w:rsidRPr="009B70CD">
        <w:tab/>
      </w:r>
      <w:r>
        <w:t xml:space="preserve">INF.27 </w:t>
      </w:r>
      <w:r w:rsidRPr="004306F1">
        <w:t>(</w:t>
      </w:r>
      <w:r>
        <w:t>Switzerland</w:t>
      </w:r>
      <w:r w:rsidRPr="004306F1">
        <w:t>)</w:t>
      </w:r>
      <w:r>
        <w:br/>
      </w:r>
      <w:r>
        <w:tab/>
      </w:r>
      <w:r>
        <w:tab/>
      </w:r>
      <w:r>
        <w:tab/>
      </w:r>
      <w:r>
        <w:tab/>
        <w:t>INF.56 (Germany)</w:t>
      </w:r>
    </w:p>
    <w:p w14:paraId="53C53F06" w14:textId="74C02D8B" w:rsidR="00635905" w:rsidRDefault="00323700" w:rsidP="00635905">
      <w:pPr>
        <w:pStyle w:val="SingleTxtG"/>
      </w:pPr>
      <w:r>
        <w:t>90</w:t>
      </w:r>
      <w:r w:rsidR="00635905">
        <w:t>.</w:t>
      </w:r>
      <w:r w:rsidR="00635905">
        <w:tab/>
        <w:t>T</w:t>
      </w:r>
      <w:r w:rsidR="00635905" w:rsidRPr="00427F99">
        <w:t xml:space="preserve">he Sub-Committee confirmed that articles </w:t>
      </w:r>
      <w:r w:rsidR="00635905">
        <w:t xml:space="preserve">(e.g. machinery, apparatus or devices) </w:t>
      </w:r>
      <w:r w:rsidR="00635905" w:rsidRPr="00427F99">
        <w:t>containing dangerous goods for which a proper shipping name exists in the dangerous goods list shall not be transported under UN No.</w:t>
      </w:r>
      <w:r w:rsidR="00846B01">
        <w:t> </w:t>
      </w:r>
      <w:r w:rsidR="00635905" w:rsidRPr="00427F99">
        <w:t xml:space="preserve">3363. Consequently, </w:t>
      </w:r>
      <w:r w:rsidR="00635905">
        <w:t xml:space="preserve">it also confirmed that </w:t>
      </w:r>
      <w:r w:rsidR="00635905" w:rsidRPr="00427F99">
        <w:t>articles of UN Nos.</w:t>
      </w:r>
      <w:r w:rsidR="00846B01">
        <w:t> </w:t>
      </w:r>
      <w:r w:rsidR="00635905" w:rsidRPr="00427F99">
        <w:t>3537 to 3547 did not need to be reclassified under UN No.</w:t>
      </w:r>
      <w:r w:rsidR="00846B01">
        <w:t> </w:t>
      </w:r>
      <w:r w:rsidR="00635905" w:rsidRPr="00427F99">
        <w:t xml:space="preserve">3363 when transported </w:t>
      </w:r>
      <w:proofErr w:type="spellStart"/>
      <w:r w:rsidR="00635905" w:rsidRPr="00427F99">
        <w:t>uncleaned</w:t>
      </w:r>
      <w:proofErr w:type="spellEnd"/>
      <w:r w:rsidR="00635905" w:rsidRPr="00427F99">
        <w:t xml:space="preserve"> or after being emptied, </w:t>
      </w:r>
      <w:r w:rsidR="00635905">
        <w:t>even if</w:t>
      </w:r>
      <w:r w:rsidR="00635905" w:rsidRPr="00427F99">
        <w:t xml:space="preserve"> </w:t>
      </w:r>
      <w:r w:rsidR="00635905">
        <w:t>the quanti</w:t>
      </w:r>
      <w:r w:rsidR="00846B01">
        <w:t>ty limits specified in column 7 </w:t>
      </w:r>
      <w:r w:rsidR="00635905">
        <w:t>(a) of the dangerous goods list for each of the dangerous goods contained was not exceeded. Some experts suggested that a note could be introduced in the Model Regulations to help users to select the appropriate entry. The expert from Switzerland said that he would take account of the comments made and consider submitting a revised proposal to the next session.</w:t>
      </w:r>
    </w:p>
    <w:p w14:paraId="510FA351" w14:textId="37DC8D71" w:rsidR="00635905" w:rsidRDefault="00323700" w:rsidP="00635905">
      <w:pPr>
        <w:pStyle w:val="SingleTxtG"/>
      </w:pPr>
      <w:r>
        <w:t>91</w:t>
      </w:r>
      <w:r w:rsidR="00635905">
        <w:t>.</w:t>
      </w:r>
      <w:r w:rsidR="00635905">
        <w:tab/>
        <w:t>There were diverging views on the need for amendment to the name and description of UN</w:t>
      </w:r>
      <w:r w:rsidR="0052011A">
        <w:t> </w:t>
      </w:r>
      <w:r w:rsidR="00635905">
        <w:t>No.</w:t>
      </w:r>
      <w:r w:rsidR="0052011A">
        <w:t> </w:t>
      </w:r>
      <w:r w:rsidR="00635905">
        <w:t>3363. Some experts considered that the current proper shipping name was well understood by users and that the proposed changes would create confusion. Some others were concerned by the introduction of the words “limited quantities” in the proper shipping name, as they considered that this could be misunderstood as a need to comply with the labelling provisions of Chapter 3.4 of the Model Regulations (e.g. LQ mark). Others on the contrary considered that replacing “machinery”, “apparatus” and “devices “ with “articles” or alternatively, including “articles” as part of the proper shipping name would make it easier to understand by users and would solve the inconsistencies raised by the expert from Germany.</w:t>
      </w:r>
    </w:p>
    <w:p w14:paraId="5FF947F8" w14:textId="34131899" w:rsidR="00635905" w:rsidRDefault="00323700" w:rsidP="00635905">
      <w:pPr>
        <w:pStyle w:val="SingleTxtG"/>
      </w:pPr>
      <w:r>
        <w:t>92</w:t>
      </w:r>
      <w:r w:rsidR="00635905">
        <w:t>.</w:t>
      </w:r>
      <w:r w:rsidR="00635905">
        <w:tab/>
        <w:t>The Sub-Committee finally adopted the proposal developed by a lunchtime working group led by the expert from Germany as contained i</w:t>
      </w:r>
      <w:r w:rsidR="00846B01">
        <w:t>n informal document INF.56 (see </w:t>
      </w:r>
      <w:r w:rsidR="00635905">
        <w:t>annex</w:t>
      </w:r>
      <w:r w:rsidR="0052011A">
        <w:t xml:space="preserve"> II). </w:t>
      </w:r>
    </w:p>
    <w:p w14:paraId="5B0893BD" w14:textId="77777777" w:rsidR="00635905" w:rsidRPr="00BC4300" w:rsidRDefault="00635905" w:rsidP="00635905">
      <w:pPr>
        <w:pStyle w:val="HChG"/>
      </w:pPr>
      <w:r>
        <w:tab/>
      </w:r>
      <w:r w:rsidRPr="00BC4300">
        <w:t>X.</w:t>
      </w:r>
      <w:r w:rsidRPr="00BC4300">
        <w:tab/>
        <w:t>Cooperation with the International Atomic Energy Agency (agenda item 8)</w:t>
      </w:r>
    </w:p>
    <w:p w14:paraId="73188F86" w14:textId="79B48432" w:rsidR="00635905" w:rsidRPr="00BC4300" w:rsidRDefault="00635905" w:rsidP="00635905">
      <w:pPr>
        <w:pStyle w:val="SingleTxtG"/>
      </w:pPr>
      <w:r w:rsidRPr="00BC4300">
        <w:rPr>
          <w:i/>
        </w:rPr>
        <w:t>Document</w:t>
      </w:r>
      <w:r w:rsidRPr="00BC4300">
        <w:t xml:space="preserve">: </w:t>
      </w:r>
      <w:r w:rsidRPr="00BC4300">
        <w:tab/>
      </w:r>
      <w:r w:rsidRPr="00BC4300">
        <w:tab/>
      </w:r>
      <w:r w:rsidR="00B55B47">
        <w:tab/>
      </w:r>
      <w:r w:rsidRPr="00BC4300">
        <w:t>ST/SG/AC.10/C.3/2017/33/Rev.1 (WNTI)</w:t>
      </w:r>
    </w:p>
    <w:p w14:paraId="10470E08" w14:textId="33952CA5" w:rsidR="00635905" w:rsidRDefault="00323700" w:rsidP="00635905">
      <w:pPr>
        <w:pStyle w:val="SingleTxtG"/>
      </w:pPr>
      <w:r>
        <w:t>93</w:t>
      </w:r>
      <w:r w:rsidR="00635905">
        <w:t>.</w:t>
      </w:r>
      <w:r w:rsidR="00635905">
        <w:tab/>
      </w:r>
      <w:r w:rsidR="00635905" w:rsidRPr="00BC4300">
        <w:t>As the representative of WNTI could not attend the session, the Sub-Committee decided to defer the discussion on this issue to its next session.</w:t>
      </w:r>
    </w:p>
    <w:p w14:paraId="21B96F82" w14:textId="1A74C3A7" w:rsidR="00E84BAE" w:rsidRDefault="007D3A4A" w:rsidP="00323700">
      <w:pPr>
        <w:pStyle w:val="HChG"/>
      </w:pPr>
      <w:r>
        <w:tab/>
        <w:t>XI.</w:t>
      </w:r>
      <w:r>
        <w:tab/>
      </w:r>
      <w:r w:rsidR="00E84BAE">
        <w:t>Guiding principles for the Model Regulations</w:t>
      </w:r>
      <w:r w:rsidR="00E84BAE" w:rsidRPr="00BC4300">
        <w:t xml:space="preserve"> (agenda item </w:t>
      </w:r>
      <w:r w:rsidR="00E84BAE">
        <w:t>9</w:t>
      </w:r>
      <w:r w:rsidR="00E84BAE" w:rsidRPr="00BC4300">
        <w:t>)</w:t>
      </w:r>
    </w:p>
    <w:p w14:paraId="0C82A826" w14:textId="5FC6E912" w:rsidR="00E84BAE" w:rsidRPr="00E84BAE" w:rsidRDefault="00323700" w:rsidP="00323700">
      <w:pPr>
        <w:pStyle w:val="SingleTxtG"/>
      </w:pPr>
      <w:r>
        <w:t>94.</w:t>
      </w:r>
      <w:r>
        <w:tab/>
      </w:r>
      <w:r w:rsidR="00E84BAE">
        <w:t>As no document had been submitted under this agenda item, no discussion took place on this subject.</w:t>
      </w:r>
    </w:p>
    <w:p w14:paraId="5EA03CE3" w14:textId="77777777" w:rsidR="004011F4" w:rsidRPr="00C71CC6" w:rsidRDefault="004011F4" w:rsidP="004011F4">
      <w:pPr>
        <w:pStyle w:val="HChG"/>
        <w:spacing w:before="240"/>
      </w:pPr>
      <w:r>
        <w:tab/>
        <w:t>XII.</w:t>
      </w:r>
      <w:r w:rsidRPr="00C71CC6">
        <w:tab/>
        <w:t>Issues related to the Globally Harmonized System of Classification and Labelling of Chemicals (GHS) (agenda item 10)</w:t>
      </w:r>
    </w:p>
    <w:p w14:paraId="58025531" w14:textId="7930EFA0" w:rsidR="00E84BAE" w:rsidRDefault="004011F4" w:rsidP="004011F4">
      <w:pPr>
        <w:pStyle w:val="H1G"/>
      </w:pPr>
      <w:r w:rsidRPr="00C71CC6">
        <w:tab/>
      </w:r>
      <w:r w:rsidR="00E84BAE">
        <w:t>A.</w:t>
      </w:r>
      <w:r w:rsidRPr="00C71CC6">
        <w:tab/>
      </w:r>
      <w:r w:rsidR="00E84BAE">
        <w:t>Criteria for water-reactivity</w:t>
      </w:r>
    </w:p>
    <w:p w14:paraId="4AF80CBD" w14:textId="74385A63" w:rsidR="00E84BAE" w:rsidRPr="00E84BAE" w:rsidRDefault="00323700" w:rsidP="007F0D8B">
      <w:pPr>
        <w:pStyle w:val="SingleTxtG"/>
      </w:pPr>
      <w:r>
        <w:t>95.</w:t>
      </w:r>
      <w:r>
        <w:tab/>
      </w:r>
      <w:r w:rsidR="00E84BAE">
        <w:t>As no document had been submitted under this agenda item, no discussion took place on this subject.</w:t>
      </w:r>
    </w:p>
    <w:p w14:paraId="444CB4CB" w14:textId="7CDE763A" w:rsidR="004011F4" w:rsidRPr="00C71CC6" w:rsidRDefault="00E84BAE" w:rsidP="004011F4">
      <w:pPr>
        <w:pStyle w:val="H1G"/>
      </w:pPr>
      <w:r>
        <w:tab/>
        <w:t>B.</w:t>
      </w:r>
      <w:r>
        <w:tab/>
      </w:r>
      <w:r w:rsidR="004011F4" w:rsidRPr="00C71CC6">
        <w:t>Testing of oxidizing substances</w:t>
      </w:r>
    </w:p>
    <w:p w14:paraId="4DC0B1E7" w14:textId="77777777" w:rsidR="004011F4" w:rsidRPr="00C71CC6" w:rsidRDefault="004011F4" w:rsidP="00BD0A18">
      <w:pPr>
        <w:pStyle w:val="SingleTxtG"/>
        <w:tabs>
          <w:tab w:val="left" w:pos="3402"/>
        </w:tabs>
      </w:pPr>
      <w:r w:rsidRPr="004D08B5">
        <w:rPr>
          <w:i/>
          <w:iCs/>
        </w:rPr>
        <w:t>Document</w:t>
      </w:r>
      <w:r>
        <w:t>:</w:t>
      </w:r>
      <w:r w:rsidRPr="00C71CC6">
        <w:tab/>
        <w:t>ST/SG/AC.10/C.3/2017/45 (France)</w:t>
      </w:r>
    </w:p>
    <w:p w14:paraId="7475C2CE" w14:textId="77777777" w:rsidR="004011F4" w:rsidRPr="00C71CC6" w:rsidRDefault="004011F4" w:rsidP="00BD0A18">
      <w:pPr>
        <w:pStyle w:val="SingleTxtG"/>
        <w:tabs>
          <w:tab w:val="left" w:pos="3402"/>
        </w:tabs>
      </w:pPr>
      <w:r w:rsidRPr="004D08B5">
        <w:rPr>
          <w:i/>
          <w:iCs/>
        </w:rPr>
        <w:t>Informal document</w:t>
      </w:r>
      <w:r w:rsidRPr="00C71CC6">
        <w:t>:</w:t>
      </w:r>
      <w:r w:rsidRPr="00C71CC6">
        <w:tab/>
        <w:t>INF.35 (France)</w:t>
      </w:r>
    </w:p>
    <w:p w14:paraId="64BF5B82" w14:textId="7D6A896D" w:rsidR="004011F4" w:rsidRDefault="00323700" w:rsidP="004011F4">
      <w:pPr>
        <w:pStyle w:val="SingleTxtG"/>
      </w:pPr>
      <w:r>
        <w:t>96</w:t>
      </w:r>
      <w:r w:rsidR="004011F4" w:rsidRPr="00C71CC6">
        <w:t>.</w:t>
      </w:r>
      <w:r w:rsidR="004011F4" w:rsidRPr="00C71CC6">
        <w:tab/>
        <w:t>The Sub-Committee took note of the progress of work on the topic, including the intention of the expert from France to submit an official proposal at the next session of the TDG and GHS sub-committees. Experts who so wished were invited to transmit their comments to the expert from France so that they could be taken into account in the final proposal.</w:t>
      </w:r>
    </w:p>
    <w:p w14:paraId="3156980D" w14:textId="233AE4DC" w:rsidR="00E84BAE" w:rsidRDefault="00E84BAE" w:rsidP="00E84BAE">
      <w:pPr>
        <w:pStyle w:val="H1G"/>
      </w:pPr>
      <w:r w:rsidRPr="00C71CC6">
        <w:tab/>
      </w:r>
      <w:r>
        <w:t>C.</w:t>
      </w:r>
      <w:r w:rsidRPr="00C71CC6">
        <w:tab/>
      </w:r>
      <w:r>
        <w:t>Updating of references to OECD Guidelines</w:t>
      </w:r>
    </w:p>
    <w:p w14:paraId="4C74B9AB" w14:textId="57B1B2DF" w:rsidR="00E84BAE" w:rsidRPr="005E5361" w:rsidRDefault="00323700" w:rsidP="005C4214">
      <w:pPr>
        <w:pStyle w:val="SingleTxtG"/>
      </w:pPr>
      <w:r>
        <w:t>97.</w:t>
      </w:r>
      <w:r>
        <w:tab/>
      </w:r>
      <w:r w:rsidR="00E84BAE" w:rsidRPr="005E5361">
        <w:t>As no document had been submitted under this agenda item, no discussion took place on this subject.</w:t>
      </w:r>
    </w:p>
    <w:p w14:paraId="6D660E54" w14:textId="0404D187" w:rsidR="00E84BAE" w:rsidRDefault="00E84BAE" w:rsidP="00BF02C4">
      <w:pPr>
        <w:pStyle w:val="H1G"/>
      </w:pPr>
      <w:r>
        <w:tab/>
        <w:t>D.</w:t>
      </w:r>
      <w:r>
        <w:tab/>
        <w:t>Use of the Manual of Tests and Criteria in the context of the GHS</w:t>
      </w:r>
    </w:p>
    <w:p w14:paraId="1BA0D181" w14:textId="77777777" w:rsidR="00C22769" w:rsidRDefault="00FC6CC7" w:rsidP="00C22769">
      <w:pPr>
        <w:pStyle w:val="SingleTxtG"/>
        <w:ind w:left="3399" w:hanging="2265"/>
        <w:jc w:val="left"/>
      </w:pPr>
      <w:r w:rsidRPr="003207C0">
        <w:rPr>
          <w:i/>
        </w:rPr>
        <w:t>Informal documents</w:t>
      </w:r>
      <w:r w:rsidRPr="009B70CD">
        <w:t xml:space="preserve">: </w:t>
      </w:r>
      <w:r w:rsidRPr="009B70CD">
        <w:tab/>
      </w:r>
      <w:r>
        <w:t>INF.3 and Add.1 and 2 (Chairman of the Working Group</w:t>
      </w:r>
      <w:proofErr w:type="gramStart"/>
      <w:r>
        <w:t>)</w:t>
      </w:r>
      <w:proofErr w:type="gramEnd"/>
      <w:r>
        <w:br/>
        <w:t>I</w:t>
      </w:r>
      <w:r w:rsidRPr="009B70CD">
        <w:t>NF.</w:t>
      </w:r>
      <w:r>
        <w:t>13</w:t>
      </w:r>
      <w:r w:rsidRPr="009B70CD">
        <w:t xml:space="preserve"> (</w:t>
      </w:r>
      <w:r>
        <w:t>AEISG</w:t>
      </w:r>
      <w:r w:rsidRPr="009B70CD">
        <w:t>)</w:t>
      </w:r>
      <w:r w:rsidRPr="009B70CD">
        <w:br/>
        <w:t>INF.</w:t>
      </w:r>
      <w:r>
        <w:t>28</w:t>
      </w:r>
      <w:r w:rsidRPr="009B70CD">
        <w:t xml:space="preserve"> (</w:t>
      </w:r>
      <w:r>
        <w:t>SAAMI</w:t>
      </w:r>
      <w:r w:rsidRPr="009B70CD">
        <w:t>)</w:t>
      </w:r>
      <w:r w:rsidRPr="009B70CD">
        <w:br/>
        <w:t>INF.</w:t>
      </w:r>
      <w:r>
        <w:t xml:space="preserve">53 and Add.1 and 2 </w:t>
      </w:r>
      <w:r w:rsidRPr="009B70CD">
        <w:t>(</w:t>
      </w:r>
      <w:r>
        <w:t>Chairman of the Working Group</w:t>
      </w:r>
      <w:r w:rsidRPr="009B70CD">
        <w:t>)</w:t>
      </w:r>
    </w:p>
    <w:p w14:paraId="677EA301" w14:textId="620E6A96" w:rsidR="00FD1815" w:rsidRDefault="00323700" w:rsidP="000A1DF0">
      <w:pPr>
        <w:pStyle w:val="SingleTxtG"/>
      </w:pPr>
      <w:r>
        <w:t>98.</w:t>
      </w:r>
      <w:r>
        <w:tab/>
      </w:r>
      <w:r w:rsidR="00FC6CC7" w:rsidRPr="00AD4144">
        <w:t>The Sub-Committee noted that the Working Group</w:t>
      </w:r>
      <w:r w:rsidR="00275383" w:rsidRPr="00AD4144">
        <w:t xml:space="preserve"> </w:t>
      </w:r>
      <w:r w:rsidR="00FC6CC7" w:rsidRPr="00AD4144">
        <w:t>had completed the review of sections 1 and 10 of the Manual of Tests and Criteria</w:t>
      </w:r>
      <w:r w:rsidR="00AD4144">
        <w:t xml:space="preserve"> (informal document INF.3 and Add.1)</w:t>
      </w:r>
      <w:r w:rsidR="00275383" w:rsidRPr="00AD4144">
        <w:t xml:space="preserve">, </w:t>
      </w:r>
      <w:r w:rsidR="00F8339F" w:rsidRPr="00AD4144">
        <w:t>had not supported the proposals in informal document INF.13</w:t>
      </w:r>
      <w:r w:rsidR="00275383" w:rsidRPr="001E025A">
        <w:t xml:space="preserve"> and h</w:t>
      </w:r>
      <w:r w:rsidR="00F8339F" w:rsidRPr="0043349E">
        <w:t>ad adopted some of the proposals in informal document INF.28, with the remainder being withdrawn by SAAMI</w:t>
      </w:r>
      <w:r w:rsidR="00C22769" w:rsidRPr="0043349E">
        <w:t xml:space="preserve">. </w:t>
      </w:r>
      <w:r w:rsidR="00780E87">
        <w:t xml:space="preserve">It also noted that the </w:t>
      </w:r>
      <w:r w:rsidR="00C6700A">
        <w:t xml:space="preserve">amendments to the Manual of Tests and Criteria agreed by the Working Group </w:t>
      </w:r>
      <w:r w:rsidR="00780E87">
        <w:t>so far were contained in the addenda to the report of the Working Group (informal documents INF.53/Add.1 and 2)</w:t>
      </w:r>
      <w:r w:rsidR="0043349E">
        <w:t xml:space="preserve"> </w:t>
      </w:r>
      <w:r w:rsidR="00780E87">
        <w:t xml:space="preserve">and that </w:t>
      </w:r>
      <w:r w:rsidR="0043349E">
        <w:t xml:space="preserve">they would be submitted as an official proposal </w:t>
      </w:r>
      <w:r w:rsidR="001E025A">
        <w:t>for the next session</w:t>
      </w:r>
      <w:r w:rsidR="00780E87">
        <w:t>.</w:t>
      </w:r>
    </w:p>
    <w:p w14:paraId="4CC9F854" w14:textId="0E4AA8C4" w:rsidR="00BF02C4" w:rsidRDefault="00FD1815" w:rsidP="001679FB">
      <w:pPr>
        <w:pStyle w:val="H1G"/>
      </w:pPr>
      <w:r>
        <w:tab/>
      </w:r>
      <w:r w:rsidR="00BF02C4">
        <w:t>E.</w:t>
      </w:r>
      <w:r w:rsidR="00BF02C4">
        <w:tab/>
        <w:t>Miscellaneous</w:t>
      </w:r>
    </w:p>
    <w:p w14:paraId="52F64BED" w14:textId="10E4E4C5" w:rsidR="00BF02C4" w:rsidRPr="00BF02C4" w:rsidRDefault="00323700" w:rsidP="00323700">
      <w:pPr>
        <w:pStyle w:val="SingleTxtG"/>
      </w:pPr>
      <w:r>
        <w:t>99.</w:t>
      </w:r>
      <w:r>
        <w:tab/>
      </w:r>
      <w:r w:rsidR="00BF02C4">
        <w:t>As no document had been submitted under this agenda item, no discussion took place on this subject.</w:t>
      </w:r>
    </w:p>
    <w:p w14:paraId="138E1F7D" w14:textId="77777777" w:rsidR="004011F4" w:rsidRDefault="00B574C1" w:rsidP="004011F4">
      <w:pPr>
        <w:pStyle w:val="HChG"/>
      </w:pPr>
      <w:r>
        <w:tab/>
      </w:r>
      <w:r w:rsidR="004011F4">
        <w:t>XIII.</w:t>
      </w:r>
      <w:r w:rsidR="004011F4">
        <w:tab/>
        <w:t xml:space="preserve">Other business (agenda item 11) </w:t>
      </w:r>
    </w:p>
    <w:p w14:paraId="4E5AC90A" w14:textId="77777777" w:rsidR="004011F4" w:rsidRPr="009C4D07" w:rsidRDefault="004011F4" w:rsidP="004011F4">
      <w:pPr>
        <w:pStyle w:val="H23G"/>
      </w:pPr>
      <w:r>
        <w:tab/>
      </w:r>
      <w:r>
        <w:tab/>
      </w:r>
      <w:r w:rsidRPr="009C4D07">
        <w:t>Scope of section 1.1.1.2 of the Model Regulations</w:t>
      </w:r>
    </w:p>
    <w:p w14:paraId="0BDF5B2E" w14:textId="09DA36F8" w:rsidR="004011F4" w:rsidRDefault="004011F4" w:rsidP="004011F4">
      <w:pPr>
        <w:pStyle w:val="SingleTxtG"/>
      </w:pPr>
      <w:r>
        <w:rPr>
          <w:i/>
        </w:rPr>
        <w:t>Informal documents:</w:t>
      </w:r>
      <w:r w:rsidRPr="009B70CD">
        <w:t xml:space="preserve"> </w:t>
      </w:r>
      <w:r w:rsidRPr="009B70CD">
        <w:tab/>
      </w:r>
      <w:r>
        <w:t xml:space="preserve">INF.29 and INF.60 </w:t>
      </w:r>
      <w:r w:rsidRPr="004306F1">
        <w:t>(</w:t>
      </w:r>
      <w:r>
        <w:t>Netherlands</w:t>
      </w:r>
      <w:r w:rsidRPr="004306F1">
        <w:t>)</w:t>
      </w:r>
    </w:p>
    <w:p w14:paraId="12B99F53" w14:textId="6BA4ADFE" w:rsidR="004011F4" w:rsidRDefault="00323700" w:rsidP="004011F4">
      <w:pPr>
        <w:pStyle w:val="SingleTxtG"/>
      </w:pPr>
      <w:r>
        <w:t>100</w:t>
      </w:r>
      <w:r w:rsidR="004011F4">
        <w:t>.</w:t>
      </w:r>
      <w:r w:rsidR="004011F4">
        <w:tab/>
      </w:r>
      <w:r w:rsidR="004011F4" w:rsidRPr="00BC4300">
        <w:t xml:space="preserve">The Sub-Committee noted the information provided </w:t>
      </w:r>
      <w:r w:rsidR="004011F4">
        <w:t>in informal document INF.29 which was further discussed in an afternoon working group</w:t>
      </w:r>
      <w:r w:rsidR="00846B01">
        <w:t xml:space="preserve"> (see informal document INF.60)</w:t>
      </w:r>
      <w:r w:rsidR="004011F4">
        <w:t xml:space="preserve">. After an exchange of views, the group decided to initially focus the discussion on data loggers and tracking devices for which clarity was most needed. This work will continue </w:t>
      </w:r>
      <w:proofErr w:type="spellStart"/>
      <w:r w:rsidR="004011F4">
        <w:t>intersessionally</w:t>
      </w:r>
      <w:proofErr w:type="spellEnd"/>
      <w:r w:rsidR="004011F4">
        <w:t>.</w:t>
      </w:r>
    </w:p>
    <w:p w14:paraId="3B34EE76" w14:textId="1CDEE7CC" w:rsidR="00BF02C4" w:rsidRDefault="00BF02C4" w:rsidP="00BF02C4">
      <w:pPr>
        <w:pStyle w:val="H23G"/>
      </w:pPr>
      <w:r>
        <w:tab/>
      </w:r>
      <w:r>
        <w:tab/>
        <w:t xml:space="preserve">Tribute to Mr. O. </w:t>
      </w:r>
      <w:proofErr w:type="spellStart"/>
      <w:r>
        <w:t>Kervella</w:t>
      </w:r>
      <w:proofErr w:type="spellEnd"/>
      <w:r>
        <w:t xml:space="preserve"> (Secretariat), Mr</w:t>
      </w:r>
      <w:r w:rsidR="001679FB">
        <w:t xml:space="preserve">. J. </w:t>
      </w:r>
      <w:proofErr w:type="spellStart"/>
      <w:r w:rsidR="001679FB">
        <w:t>Mayers</w:t>
      </w:r>
      <w:proofErr w:type="spellEnd"/>
      <w:r>
        <w:t xml:space="preserve"> (United Kingdom) and Ms.</w:t>
      </w:r>
      <w:r w:rsidR="00854CE4">
        <w:t> </w:t>
      </w:r>
      <w:r>
        <w:t>T.J. Ness (Norway)</w:t>
      </w:r>
    </w:p>
    <w:p w14:paraId="03B794EC" w14:textId="491CD78B" w:rsidR="00F3681B" w:rsidRDefault="00323700" w:rsidP="00F3681B">
      <w:pPr>
        <w:pStyle w:val="SingleTxtG"/>
      </w:pPr>
      <w:r>
        <w:t>101.</w:t>
      </w:r>
      <w:r>
        <w:tab/>
      </w:r>
      <w:r w:rsidR="00F3681B">
        <w:t xml:space="preserve">Following the retirement of Mr. O. </w:t>
      </w:r>
      <w:proofErr w:type="spellStart"/>
      <w:r w:rsidR="00F3681B">
        <w:t>Kervella</w:t>
      </w:r>
      <w:proofErr w:type="spellEnd"/>
      <w:r w:rsidR="001679FB">
        <w:t xml:space="preserve"> (see also paragraphs 7 and 8</w:t>
      </w:r>
      <w:r w:rsidR="00846B01">
        <w:t xml:space="preserve"> of this report</w:t>
      </w:r>
      <w:r w:rsidR="001679FB">
        <w:t>)</w:t>
      </w:r>
      <w:r w:rsidR="00F3681B">
        <w:t xml:space="preserve">, the Sub-Committee expressed its deep appreciation and gratitude for his work, dedication and </w:t>
      </w:r>
      <w:r w:rsidR="001679FB">
        <w:t xml:space="preserve">35 </w:t>
      </w:r>
      <w:r w:rsidR="00F3681B">
        <w:t xml:space="preserve">years of service </w:t>
      </w:r>
      <w:r w:rsidR="001679FB">
        <w:t>to the United Nations</w:t>
      </w:r>
      <w:r w:rsidR="00F3681B">
        <w:t xml:space="preserve"> </w:t>
      </w:r>
      <w:r w:rsidR="001679FB">
        <w:t xml:space="preserve">in issues </w:t>
      </w:r>
      <w:r w:rsidR="00F3681B">
        <w:t>relating to the transport of dangerous goods and management of chemicals</w:t>
      </w:r>
      <w:r w:rsidR="001679FB">
        <w:t xml:space="preserve">, </w:t>
      </w:r>
      <w:r w:rsidR="00854CE4">
        <w:t>most of</w:t>
      </w:r>
      <w:r w:rsidR="001679FB">
        <w:t xml:space="preserve"> them as secretary to the Sub-Committee and its parent Committee.  The Sub-Committee considered that his broad knowledge in these fields would be greatly missed and wished him </w:t>
      </w:r>
      <w:r w:rsidR="00A350B3">
        <w:t xml:space="preserve">every </w:t>
      </w:r>
      <w:r w:rsidR="001679FB">
        <w:t xml:space="preserve">success in his </w:t>
      </w:r>
      <w:r w:rsidR="00A350B3">
        <w:t>new</w:t>
      </w:r>
      <w:r w:rsidR="001679FB">
        <w:t xml:space="preserve"> undertakings. </w:t>
      </w:r>
    </w:p>
    <w:p w14:paraId="65C69BE3" w14:textId="7C8CE93E" w:rsidR="00FD1815" w:rsidRDefault="00323700" w:rsidP="000A1DF0">
      <w:pPr>
        <w:pStyle w:val="SingleTxtG"/>
      </w:pPr>
      <w:r>
        <w:t>102.</w:t>
      </w:r>
      <w:r>
        <w:tab/>
      </w:r>
      <w:r w:rsidR="00A350B3">
        <w:t xml:space="preserve">The Sub-Committee was also informed that Mr. J. </w:t>
      </w:r>
      <w:proofErr w:type="spellStart"/>
      <w:r w:rsidR="00A350B3">
        <w:t>M</w:t>
      </w:r>
      <w:r w:rsidR="00854CE4">
        <w:t>airs</w:t>
      </w:r>
      <w:proofErr w:type="spellEnd"/>
      <w:r w:rsidR="00A350B3">
        <w:t xml:space="preserve"> (Unit</w:t>
      </w:r>
      <w:r>
        <w:t>ed Kingdom) and Ms. </w:t>
      </w:r>
      <w:r w:rsidR="00A350B3">
        <w:t xml:space="preserve">T.J. Ness (Norway) were attending a session of the Sub-Committee for the last time. </w:t>
      </w:r>
      <w:r w:rsidR="00854CE4">
        <w:t xml:space="preserve">The Sub-Committee wished Mr. J. </w:t>
      </w:r>
      <w:proofErr w:type="spellStart"/>
      <w:r w:rsidR="00854CE4">
        <w:t>Mairs</w:t>
      </w:r>
      <w:proofErr w:type="spellEnd"/>
      <w:r w:rsidR="00854CE4">
        <w:t xml:space="preserve"> a happy and long retirement and Ms. T.J. Ness all the best in her future endeavours.</w:t>
      </w:r>
    </w:p>
    <w:p w14:paraId="6231C724" w14:textId="14EADE1C" w:rsidR="004011F4" w:rsidRDefault="00FD1815">
      <w:pPr>
        <w:pStyle w:val="HChG"/>
      </w:pPr>
      <w:r>
        <w:tab/>
      </w:r>
      <w:r w:rsidR="004011F4" w:rsidRPr="009C4D07">
        <w:t>XIV.</w:t>
      </w:r>
      <w:r w:rsidR="004011F4">
        <w:tab/>
        <w:t>Adoption of the report (agenda item 12)</w:t>
      </w:r>
    </w:p>
    <w:p w14:paraId="096D8A56" w14:textId="2561886C" w:rsidR="0024482C" w:rsidRDefault="00323700" w:rsidP="0024482C">
      <w:pPr>
        <w:pStyle w:val="SingleTxtG"/>
      </w:pPr>
      <w:r>
        <w:t>103</w:t>
      </w:r>
      <w:r w:rsidR="004011F4">
        <w:t>.</w:t>
      </w:r>
      <w:r w:rsidR="004011F4">
        <w:tab/>
        <w:t>The Sub-Committee adopted the report on its fifty-se</w:t>
      </w:r>
      <w:r w:rsidR="0024482C">
        <w:t xml:space="preserve">cond session and its annexes </w:t>
      </w:r>
      <w:r w:rsidR="0024482C" w:rsidRPr="0024482C">
        <w:t>on</w:t>
      </w:r>
      <w:r w:rsidR="00B94333">
        <w:t xml:space="preserve"> </w:t>
      </w:r>
      <w:r w:rsidR="004011F4" w:rsidRPr="0024482C">
        <w:t>the</w:t>
      </w:r>
      <w:r w:rsidR="004011F4">
        <w:t xml:space="preserve"> basis of a draft prepared by the secretariat.</w:t>
      </w:r>
    </w:p>
    <w:p w14:paraId="2B6C0015" w14:textId="4A60AD41" w:rsidR="002C627E" w:rsidRPr="002C627E" w:rsidRDefault="002C627E" w:rsidP="002C627E">
      <w:pPr>
        <w:pStyle w:val="SingleTxtG"/>
        <w:spacing w:before="240" w:after="0"/>
        <w:jc w:val="center"/>
        <w:rPr>
          <w:u w:val="single"/>
        </w:rPr>
      </w:pPr>
      <w:r>
        <w:rPr>
          <w:u w:val="single"/>
        </w:rPr>
        <w:tab/>
      </w:r>
      <w:r>
        <w:rPr>
          <w:u w:val="single"/>
        </w:rPr>
        <w:tab/>
      </w:r>
      <w:r>
        <w:rPr>
          <w:u w:val="single"/>
        </w:rPr>
        <w:tab/>
      </w:r>
    </w:p>
    <w:p w14:paraId="694BEE15" w14:textId="77777777" w:rsidR="002C627E" w:rsidRDefault="002C627E" w:rsidP="004011F4">
      <w:pPr>
        <w:pStyle w:val="SingleTxtG"/>
      </w:pPr>
    </w:p>
    <w:p w14:paraId="20F98E45" w14:textId="77777777" w:rsidR="002C627E" w:rsidRDefault="002C627E" w:rsidP="004011F4">
      <w:pPr>
        <w:pStyle w:val="SingleTxtG"/>
      </w:pPr>
    </w:p>
    <w:p w14:paraId="20D3C376" w14:textId="77777777" w:rsidR="004011F4" w:rsidRPr="004011F4" w:rsidRDefault="004011F4" w:rsidP="004011F4"/>
    <w:sectPr w:rsidR="004011F4" w:rsidRPr="004011F4" w:rsidSect="0020089A">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E4B1C" w14:textId="77777777" w:rsidR="00525F28" w:rsidRDefault="00525F28"/>
  </w:endnote>
  <w:endnote w:type="continuationSeparator" w:id="0">
    <w:p w14:paraId="64F79559" w14:textId="77777777" w:rsidR="00525F28" w:rsidRDefault="00525F28"/>
  </w:endnote>
  <w:endnote w:type="continuationNotice" w:id="1">
    <w:p w14:paraId="148B6F16" w14:textId="77777777" w:rsidR="00525F28" w:rsidRDefault="00525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337D" w14:textId="72D96698" w:rsidR="00525F28" w:rsidRPr="0063461B" w:rsidRDefault="00525F28" w:rsidP="0063461B">
    <w:pPr>
      <w:pStyle w:val="Footer"/>
      <w:tabs>
        <w:tab w:val="right" w:pos="9638"/>
      </w:tabs>
    </w:pPr>
    <w:r w:rsidRPr="0063461B">
      <w:rPr>
        <w:b/>
        <w:sz w:val="18"/>
      </w:rPr>
      <w:fldChar w:fldCharType="begin"/>
    </w:r>
    <w:r w:rsidRPr="0063461B">
      <w:rPr>
        <w:b/>
        <w:sz w:val="18"/>
      </w:rPr>
      <w:instrText xml:space="preserve"> PAGE  \* MERGEFORMAT </w:instrText>
    </w:r>
    <w:r w:rsidRPr="0063461B">
      <w:rPr>
        <w:b/>
        <w:sz w:val="18"/>
      </w:rPr>
      <w:fldChar w:fldCharType="separate"/>
    </w:r>
    <w:r w:rsidR="00887CA3">
      <w:rPr>
        <w:b/>
        <w:noProof/>
        <w:sz w:val="18"/>
      </w:rPr>
      <w:t>2</w:t>
    </w:r>
    <w:r w:rsidRPr="0063461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5CF0" w14:textId="1B2109A6" w:rsidR="00525F28" w:rsidRPr="0063461B" w:rsidRDefault="00525F28" w:rsidP="0063461B">
    <w:pPr>
      <w:pStyle w:val="Footer"/>
      <w:tabs>
        <w:tab w:val="right" w:pos="9638"/>
      </w:tabs>
      <w:rPr>
        <w:b/>
        <w:sz w:val="18"/>
      </w:rPr>
    </w:pPr>
    <w:r>
      <w:tab/>
    </w:r>
    <w:r w:rsidRPr="0063461B">
      <w:rPr>
        <w:b/>
        <w:sz w:val="18"/>
      </w:rPr>
      <w:fldChar w:fldCharType="begin"/>
    </w:r>
    <w:r w:rsidRPr="0063461B">
      <w:rPr>
        <w:b/>
        <w:sz w:val="18"/>
      </w:rPr>
      <w:instrText xml:space="preserve"> PAGE  \* MERGEFORMAT </w:instrText>
    </w:r>
    <w:r w:rsidRPr="0063461B">
      <w:rPr>
        <w:b/>
        <w:sz w:val="18"/>
      </w:rPr>
      <w:fldChar w:fldCharType="separate"/>
    </w:r>
    <w:r w:rsidR="00887CA3">
      <w:rPr>
        <w:b/>
        <w:noProof/>
        <w:sz w:val="18"/>
      </w:rPr>
      <w:t>3</w:t>
    </w:r>
    <w:r w:rsidRPr="006346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314AA" w14:textId="40E12B6A" w:rsidR="00525F28" w:rsidRPr="0063461B" w:rsidRDefault="00525F28" w:rsidP="0063461B">
    <w:pPr>
      <w:pStyle w:val="Footer"/>
      <w:tabs>
        <w:tab w:val="right" w:pos="9638"/>
      </w:tabs>
    </w:pPr>
    <w:r w:rsidRPr="0063461B">
      <w:rPr>
        <w:b/>
        <w:sz w:val="18"/>
      </w:rPr>
      <w:fldChar w:fldCharType="begin"/>
    </w:r>
    <w:r w:rsidRPr="0063461B">
      <w:rPr>
        <w:b/>
        <w:sz w:val="18"/>
      </w:rPr>
      <w:instrText xml:space="preserve"> PAGE  \* MERGEFORMAT </w:instrText>
    </w:r>
    <w:r w:rsidRPr="0063461B">
      <w:rPr>
        <w:b/>
        <w:sz w:val="18"/>
      </w:rPr>
      <w:fldChar w:fldCharType="separate"/>
    </w:r>
    <w:r w:rsidR="00887CA3">
      <w:rPr>
        <w:b/>
        <w:noProof/>
        <w:sz w:val="18"/>
      </w:rPr>
      <w:t>20</w:t>
    </w:r>
    <w:r w:rsidRPr="0063461B">
      <w:rPr>
        <w:b/>
        <w:sz w:val="18"/>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AACE" w14:textId="4ED2F61B" w:rsidR="00525F28" w:rsidRPr="0063461B" w:rsidRDefault="00525F28" w:rsidP="0063461B">
    <w:pPr>
      <w:pStyle w:val="Footer"/>
      <w:tabs>
        <w:tab w:val="right" w:pos="9638"/>
      </w:tabs>
      <w:rPr>
        <w:b/>
        <w:sz w:val="18"/>
      </w:rPr>
    </w:pPr>
    <w:r>
      <w:tab/>
    </w:r>
    <w:r w:rsidRPr="0063461B">
      <w:rPr>
        <w:b/>
        <w:sz w:val="18"/>
      </w:rPr>
      <w:fldChar w:fldCharType="begin"/>
    </w:r>
    <w:r w:rsidRPr="0063461B">
      <w:rPr>
        <w:b/>
        <w:sz w:val="18"/>
      </w:rPr>
      <w:instrText xml:space="preserve"> PAGE  \* MERGEFORMAT </w:instrText>
    </w:r>
    <w:r w:rsidRPr="0063461B">
      <w:rPr>
        <w:b/>
        <w:sz w:val="18"/>
      </w:rPr>
      <w:fldChar w:fldCharType="separate"/>
    </w:r>
    <w:r w:rsidR="00887CA3">
      <w:rPr>
        <w:b/>
        <w:noProof/>
        <w:sz w:val="18"/>
      </w:rPr>
      <w:t>21</w:t>
    </w:r>
    <w:r w:rsidRPr="0063461B">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87178"/>
      <w:docPartObj>
        <w:docPartGallery w:val="Page Numbers (Bottom of Page)"/>
        <w:docPartUnique/>
      </w:docPartObj>
    </w:sdtPr>
    <w:sdtEndPr>
      <w:rPr>
        <w:b/>
        <w:bCs/>
        <w:noProof/>
        <w:sz w:val="18"/>
        <w:szCs w:val="18"/>
      </w:rPr>
    </w:sdtEndPr>
    <w:sdtContent>
      <w:p w14:paraId="65F5359F" w14:textId="631579D3" w:rsidR="00525F28" w:rsidRPr="001B56C6" w:rsidRDefault="00525F28">
        <w:pPr>
          <w:pStyle w:val="Footer"/>
          <w:jc w:val="right"/>
          <w:rPr>
            <w:sz w:val="18"/>
            <w:szCs w:val="18"/>
          </w:rPr>
        </w:pPr>
        <w:r w:rsidRPr="003D5ED7">
          <w:rPr>
            <w:b/>
            <w:bCs/>
            <w:sz w:val="18"/>
            <w:szCs w:val="18"/>
          </w:rPr>
          <w:fldChar w:fldCharType="begin"/>
        </w:r>
        <w:r w:rsidRPr="003D5ED7">
          <w:rPr>
            <w:b/>
            <w:bCs/>
            <w:sz w:val="18"/>
            <w:szCs w:val="18"/>
          </w:rPr>
          <w:instrText xml:space="preserve"> PAGE   \* MERGEFORMAT </w:instrText>
        </w:r>
        <w:r w:rsidRPr="003D5ED7">
          <w:rPr>
            <w:b/>
            <w:bCs/>
            <w:sz w:val="18"/>
            <w:szCs w:val="18"/>
          </w:rPr>
          <w:fldChar w:fldCharType="separate"/>
        </w:r>
        <w:r w:rsidR="00887CA3">
          <w:rPr>
            <w:b/>
            <w:bCs/>
            <w:noProof/>
            <w:sz w:val="18"/>
            <w:szCs w:val="18"/>
          </w:rPr>
          <w:t>5</w:t>
        </w:r>
        <w:r w:rsidRPr="003D5ED7">
          <w:rPr>
            <w:b/>
            <w:bCs/>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F32AE" w14:textId="77777777" w:rsidR="00525F28" w:rsidRPr="000B175B" w:rsidRDefault="00525F28" w:rsidP="000B175B">
      <w:pPr>
        <w:tabs>
          <w:tab w:val="right" w:pos="2155"/>
        </w:tabs>
        <w:spacing w:after="80"/>
        <w:ind w:left="680"/>
        <w:rPr>
          <w:u w:val="single"/>
        </w:rPr>
      </w:pPr>
      <w:r>
        <w:rPr>
          <w:u w:val="single"/>
        </w:rPr>
        <w:tab/>
      </w:r>
    </w:p>
  </w:footnote>
  <w:footnote w:type="continuationSeparator" w:id="0">
    <w:p w14:paraId="522A5A5E" w14:textId="77777777" w:rsidR="00525F28" w:rsidRPr="00FC68B7" w:rsidRDefault="00525F28" w:rsidP="00FC68B7">
      <w:pPr>
        <w:tabs>
          <w:tab w:val="left" w:pos="2155"/>
        </w:tabs>
        <w:spacing w:after="80"/>
        <w:ind w:left="680"/>
        <w:rPr>
          <w:u w:val="single"/>
        </w:rPr>
      </w:pPr>
      <w:r>
        <w:rPr>
          <w:u w:val="single"/>
        </w:rPr>
        <w:tab/>
      </w:r>
    </w:p>
  </w:footnote>
  <w:footnote w:type="continuationNotice" w:id="1">
    <w:p w14:paraId="6105BA22" w14:textId="77777777" w:rsidR="00525F28" w:rsidRDefault="00525F28"/>
  </w:footnote>
  <w:footnote w:id="2">
    <w:p w14:paraId="6C4F6522" w14:textId="7E01C7E4" w:rsidR="00525F28" w:rsidRPr="00B67E04" w:rsidRDefault="00525F28" w:rsidP="00846B01">
      <w:pPr>
        <w:pStyle w:val="FootnoteText"/>
        <w:jc w:val="both"/>
      </w:pPr>
      <w:r>
        <w:tab/>
      </w:r>
      <w:r w:rsidRPr="00B67E04">
        <w:rPr>
          <w:rStyle w:val="FootnoteReference"/>
        </w:rPr>
        <w:footnoteRef/>
      </w:r>
      <w:r w:rsidRPr="00B67E04">
        <w:t xml:space="preserve"> </w:t>
      </w:r>
      <w:r>
        <w:tab/>
        <w:t>For practical reasons, this annex has been published in an addendum to this report (ST/SG/AC.10/C.3/104/Add.1).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0F82" w14:textId="5D998C42" w:rsidR="00525F28" w:rsidRPr="0063461B" w:rsidRDefault="00525F28" w:rsidP="00F245A8">
    <w:pPr>
      <w:pStyle w:val="Header"/>
    </w:pPr>
    <w:r>
      <w:t>ST/SG/AC.10/C.3/10</w:t>
    </w:r>
    <w:r w:rsidR="00B565AE">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641D" w14:textId="2437FF7F" w:rsidR="00525F28" w:rsidRPr="0063461B" w:rsidRDefault="00B565AE" w:rsidP="00F245A8">
    <w:pPr>
      <w:pStyle w:val="Header"/>
      <w:jc w:val="right"/>
    </w:pPr>
    <w:r>
      <w:t>ST/SG/AC.10/C.3/104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5C5B" w14:textId="77777777" w:rsidR="00525F28" w:rsidRPr="0063461B" w:rsidRDefault="00525F28" w:rsidP="00F245A8">
    <w:pPr>
      <w:pStyle w:val="Header"/>
    </w:pPr>
    <w:r>
      <w:t>ST/SG/AC.10/C.3/104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051F3" w14:textId="77777777" w:rsidR="00525F28" w:rsidRPr="0063461B" w:rsidRDefault="00525F28" w:rsidP="00F245A8">
    <w:pPr>
      <w:pStyle w:val="Header"/>
      <w:jc w:val="right"/>
    </w:pPr>
    <w:r>
      <w:t>ST/SG/AC.10/C.3/104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9FA3" w14:textId="77777777" w:rsidR="00525F28" w:rsidRPr="001B56C6" w:rsidRDefault="00525F28" w:rsidP="002926D8">
    <w:pPr>
      <w:pStyle w:val="Header"/>
      <w:pBdr>
        <w:bottom w:val="single" w:sz="4" w:space="1" w:color="auto"/>
      </w:pBdr>
      <w:jc w:val="right"/>
      <w:rPr>
        <w:lang w:val="fr-CH"/>
      </w:rPr>
    </w:pPr>
    <w:r>
      <w:rPr>
        <w:lang w:val="fr-CH"/>
      </w:rPr>
      <w:t>ST/SG/AC.10/C.3/104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FFFFFFFF">
      <w:start w:val="1"/>
      <w:numFmt w:val="bullet"/>
      <w:lvlText w:val="•"/>
      <w:lvlJc w:val="left"/>
      <w:pPr>
        <w:tabs>
          <w:tab w:val="num" w:pos="1701"/>
        </w:tabs>
        <w:ind w:left="1701" w:hanging="17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6F32F5"/>
    <w:multiLevelType w:val="hybridMultilevel"/>
    <w:tmpl w:val="6B9EF0B2"/>
    <w:lvl w:ilvl="0" w:tplc="CEFAC75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8CE72D2"/>
    <w:multiLevelType w:val="singleLevel"/>
    <w:tmpl w:val="0409000F"/>
    <w:lvl w:ilvl="0">
      <w:start w:val="1"/>
      <w:numFmt w:val="decimal"/>
      <w:pStyle w:val="Heading1"/>
      <w:lvlText w:val="%1."/>
      <w:lvlJc w:val="left"/>
      <w:pPr>
        <w:tabs>
          <w:tab w:val="num" w:pos="360"/>
        </w:tabs>
        <w:ind w:left="360" w:hanging="360"/>
      </w:pPr>
    </w:lvl>
  </w:abstractNum>
  <w:abstractNum w:abstractNumId="5">
    <w:nsid w:val="0D773EB6"/>
    <w:multiLevelType w:val="hybridMultilevel"/>
    <w:tmpl w:val="54F23D58"/>
    <w:lvl w:ilvl="0" w:tplc="ED80CD6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7">
    <w:nsid w:val="124C2F1E"/>
    <w:multiLevelType w:val="hybridMultilevel"/>
    <w:tmpl w:val="44BAEB84"/>
    <w:lvl w:ilvl="0" w:tplc="0D2CCF96">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CE7757"/>
    <w:multiLevelType w:val="hybridMultilevel"/>
    <w:tmpl w:val="CDEC7B26"/>
    <w:lvl w:ilvl="0" w:tplc="CEFAC75C">
      <w:start w:val="2"/>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052C73"/>
    <w:multiLevelType w:val="hybridMultilevel"/>
    <w:tmpl w:val="B7EA3C38"/>
    <w:lvl w:ilvl="0" w:tplc="3E328E62">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2">
    <w:nsid w:val="21D176E6"/>
    <w:multiLevelType w:val="hybridMultilevel"/>
    <w:tmpl w:val="942256A4"/>
    <w:lvl w:ilvl="0" w:tplc="E3F603A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23CF07EF"/>
    <w:multiLevelType w:val="hybridMultilevel"/>
    <w:tmpl w:val="0F3A6EF8"/>
    <w:lvl w:ilvl="0" w:tplc="040696B4">
      <w:start w:val="1"/>
      <w:numFmt w:val="upperLetter"/>
      <w:lvlText w:val="%1."/>
      <w:lvlJc w:val="left"/>
      <w:pPr>
        <w:ind w:left="1488" w:hanging="360"/>
      </w:pPr>
      <w:rPr>
        <w:rFonts w:hint="default"/>
      </w:rPr>
    </w:lvl>
    <w:lvl w:ilvl="1" w:tplc="08090019">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4">
    <w:nsid w:val="295D0E11"/>
    <w:multiLevelType w:val="hybridMultilevel"/>
    <w:tmpl w:val="28D285F0"/>
    <w:lvl w:ilvl="0" w:tplc="EB70DEDC">
      <w:start w:val="1"/>
      <w:numFmt w:val="upp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6">
    <w:nsid w:val="2ECC0FC0"/>
    <w:multiLevelType w:val="multilevel"/>
    <w:tmpl w:val="8234A334"/>
    <w:lvl w:ilvl="0">
      <w:start w:val="8"/>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8F160B"/>
    <w:multiLevelType w:val="hybridMultilevel"/>
    <w:tmpl w:val="CDEC7B26"/>
    <w:lvl w:ilvl="0" w:tplc="CEFAC75C">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BD800A5"/>
    <w:multiLevelType w:val="hybridMultilevel"/>
    <w:tmpl w:val="6B9EF0B2"/>
    <w:lvl w:ilvl="0" w:tplc="CEFAC75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3D8312F8"/>
    <w:multiLevelType w:val="hybridMultilevel"/>
    <w:tmpl w:val="360CBB7E"/>
    <w:lvl w:ilvl="0" w:tplc="29D67A82">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1">
    <w:nsid w:val="3EF62816"/>
    <w:multiLevelType w:val="hybridMultilevel"/>
    <w:tmpl w:val="BEB82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4E5EB5"/>
    <w:multiLevelType w:val="hybridMultilevel"/>
    <w:tmpl w:val="74AA08CE"/>
    <w:lvl w:ilvl="0" w:tplc="9E128CB4">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3">
    <w:nsid w:val="414E1F34"/>
    <w:multiLevelType w:val="hybridMultilevel"/>
    <w:tmpl w:val="6DDC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637BE"/>
    <w:multiLevelType w:val="hybridMultilevel"/>
    <w:tmpl w:val="68C00F80"/>
    <w:lvl w:ilvl="0" w:tplc="9F422C0E">
      <w:start w:val="1"/>
      <w:numFmt w:val="decimal"/>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25">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8D25339"/>
    <w:multiLevelType w:val="hybridMultilevel"/>
    <w:tmpl w:val="2646C096"/>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49297561"/>
    <w:multiLevelType w:val="hybridMultilevel"/>
    <w:tmpl w:val="7A14E92C"/>
    <w:lvl w:ilvl="0" w:tplc="46C08464">
      <w:start w:val="1"/>
      <w:numFmt w:val="upperLetter"/>
      <w:lvlText w:val="%1."/>
      <w:lvlJc w:val="left"/>
      <w:pPr>
        <w:ind w:left="1488" w:hanging="360"/>
      </w:pPr>
      <w:rPr>
        <w:rFonts w:hint="default"/>
      </w:rPr>
    </w:lvl>
    <w:lvl w:ilvl="1" w:tplc="08090019">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8">
    <w:nsid w:val="4A317A7D"/>
    <w:multiLevelType w:val="hybridMultilevel"/>
    <w:tmpl w:val="1AB27342"/>
    <w:lvl w:ilvl="0" w:tplc="AA5E5F6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E096D02"/>
    <w:multiLevelType w:val="hybridMultilevel"/>
    <w:tmpl w:val="1696EEFA"/>
    <w:lvl w:ilvl="0" w:tplc="7FFED604">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0">
    <w:nsid w:val="50077358"/>
    <w:multiLevelType w:val="hybridMultilevel"/>
    <w:tmpl w:val="01962F46"/>
    <w:lvl w:ilvl="0" w:tplc="9FF4C5CE">
      <w:start w:val="1"/>
      <w:numFmt w:val="upperLetter"/>
      <w:lvlText w:val="%1."/>
      <w:lvlJc w:val="left"/>
      <w:pPr>
        <w:ind w:left="1704" w:hanging="576"/>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1">
    <w:nsid w:val="56802F74"/>
    <w:multiLevelType w:val="hybridMultilevel"/>
    <w:tmpl w:val="DE167682"/>
    <w:lvl w:ilvl="0" w:tplc="D4D69894">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1030AE6"/>
    <w:multiLevelType w:val="hybridMultilevel"/>
    <w:tmpl w:val="6B341BDA"/>
    <w:lvl w:ilvl="0" w:tplc="B13619BA">
      <w:numFmt w:val="bullet"/>
      <w:lvlText w:val=""/>
      <w:lvlJc w:val="left"/>
      <w:pPr>
        <w:ind w:left="2241" w:hanging="540"/>
      </w:pPr>
      <w:rPr>
        <w:rFonts w:ascii="Symbol" w:eastAsia="Times New Roman" w:hAnsi="Symbol"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6">
    <w:nsid w:val="68443301"/>
    <w:multiLevelType w:val="hybridMultilevel"/>
    <w:tmpl w:val="44B4416E"/>
    <w:lvl w:ilvl="0" w:tplc="4C0CC60C">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7">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47737CB"/>
    <w:multiLevelType w:val="hybridMultilevel"/>
    <w:tmpl w:val="9E76A56C"/>
    <w:lvl w:ilvl="0" w:tplc="160C1414">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9">
    <w:nsid w:val="784246DD"/>
    <w:multiLevelType w:val="hybridMultilevel"/>
    <w:tmpl w:val="9C5E6B8A"/>
    <w:lvl w:ilvl="0" w:tplc="397EE45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nsid w:val="7F802D16"/>
    <w:multiLevelType w:val="hybridMultilevel"/>
    <w:tmpl w:val="CD908C6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1">
    <w:nsid w:val="7FFD64B8"/>
    <w:multiLevelType w:val="hybridMultilevel"/>
    <w:tmpl w:val="30DAA28E"/>
    <w:lvl w:ilvl="0" w:tplc="009817B8">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17"/>
  </w:num>
  <w:num w:numId="2">
    <w:abstractNumId w:val="10"/>
  </w:num>
  <w:num w:numId="3">
    <w:abstractNumId w:val="0"/>
  </w:num>
  <w:num w:numId="4">
    <w:abstractNumId w:val="36"/>
  </w:num>
  <w:num w:numId="5">
    <w:abstractNumId w:val="12"/>
  </w:num>
  <w:num w:numId="6">
    <w:abstractNumId w:val="41"/>
  </w:num>
  <w:num w:numId="7">
    <w:abstractNumId w:val="14"/>
  </w:num>
  <w:num w:numId="8">
    <w:abstractNumId w:val="24"/>
  </w:num>
  <w:num w:numId="9">
    <w:abstractNumId w:val="5"/>
  </w:num>
  <w:num w:numId="10">
    <w:abstractNumId w:val="28"/>
  </w:num>
  <w:num w:numId="11">
    <w:abstractNumId w:val="7"/>
  </w:num>
  <w:num w:numId="12">
    <w:abstractNumId w:val="29"/>
  </w:num>
  <w:num w:numId="13">
    <w:abstractNumId w:val="15"/>
  </w:num>
  <w:num w:numId="14">
    <w:abstractNumId w:val="4"/>
  </w:num>
  <w:num w:numId="15">
    <w:abstractNumId w:val="32"/>
  </w:num>
  <w:num w:numId="16">
    <w:abstractNumId w:val="8"/>
  </w:num>
  <w:num w:numId="17">
    <w:abstractNumId w:val="2"/>
  </w:num>
  <w:num w:numId="18">
    <w:abstractNumId w:val="18"/>
  </w:num>
  <w:num w:numId="19">
    <w:abstractNumId w:val="30"/>
  </w:num>
  <w:num w:numId="20">
    <w:abstractNumId w:val="21"/>
  </w:num>
  <w:num w:numId="21">
    <w:abstractNumId w:val="9"/>
  </w:num>
  <w:num w:numId="22">
    <w:abstractNumId w:val="39"/>
  </w:num>
  <w:num w:numId="23">
    <w:abstractNumId w:val="3"/>
  </w:num>
  <w:num w:numId="24">
    <w:abstractNumId w:val="31"/>
  </w:num>
  <w:num w:numId="25">
    <w:abstractNumId w:val="19"/>
  </w:num>
  <w:num w:numId="26">
    <w:abstractNumId w:val="1"/>
  </w:num>
  <w:num w:numId="27">
    <w:abstractNumId w:val="13"/>
  </w:num>
  <w:num w:numId="28">
    <w:abstractNumId w:val="38"/>
  </w:num>
  <w:num w:numId="29">
    <w:abstractNumId w:val="22"/>
  </w:num>
  <w:num w:numId="30">
    <w:abstractNumId w:val="11"/>
  </w:num>
  <w:num w:numId="31">
    <w:abstractNumId w:val="20"/>
  </w:num>
  <w:num w:numId="32">
    <w:abstractNumId w:val="27"/>
  </w:num>
  <w:num w:numId="33">
    <w:abstractNumId w:val="26"/>
  </w:num>
  <w:num w:numId="34">
    <w:abstractNumId w:val="16"/>
  </w:num>
  <w:num w:numId="35">
    <w:abstractNumId w:val="25"/>
  </w:num>
  <w:num w:numId="36">
    <w:abstractNumId w:val="37"/>
  </w:num>
  <w:num w:numId="37">
    <w:abstractNumId w:val="23"/>
  </w:num>
  <w:num w:numId="38">
    <w:abstractNumId w:val="40"/>
  </w:num>
  <w:num w:numId="39">
    <w:abstractNumId w:val="6"/>
  </w:num>
  <w:num w:numId="40">
    <w:abstractNumId w:val="35"/>
  </w:num>
  <w:num w:numId="41">
    <w:abstractNumId w:val="34"/>
  </w:num>
  <w:num w:numId="42">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CA"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75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1B"/>
    <w:rsid w:val="0000110E"/>
    <w:rsid w:val="0000145A"/>
    <w:rsid w:val="00002351"/>
    <w:rsid w:val="00002A7D"/>
    <w:rsid w:val="00003165"/>
    <w:rsid w:val="000037A2"/>
    <w:rsid w:val="000038A8"/>
    <w:rsid w:val="00003A18"/>
    <w:rsid w:val="00003D91"/>
    <w:rsid w:val="00004458"/>
    <w:rsid w:val="00006790"/>
    <w:rsid w:val="00010B3B"/>
    <w:rsid w:val="00011808"/>
    <w:rsid w:val="000123BB"/>
    <w:rsid w:val="000130A9"/>
    <w:rsid w:val="0001439B"/>
    <w:rsid w:val="00014D4F"/>
    <w:rsid w:val="000156DE"/>
    <w:rsid w:val="00016FB9"/>
    <w:rsid w:val="0001753C"/>
    <w:rsid w:val="00017F67"/>
    <w:rsid w:val="00017FF2"/>
    <w:rsid w:val="000210E8"/>
    <w:rsid w:val="00022685"/>
    <w:rsid w:val="000244A1"/>
    <w:rsid w:val="000247BB"/>
    <w:rsid w:val="00025561"/>
    <w:rsid w:val="000260AC"/>
    <w:rsid w:val="00026837"/>
    <w:rsid w:val="0002697B"/>
    <w:rsid w:val="00027624"/>
    <w:rsid w:val="0002795B"/>
    <w:rsid w:val="00027BF7"/>
    <w:rsid w:val="00030AB9"/>
    <w:rsid w:val="00031EFA"/>
    <w:rsid w:val="0003208D"/>
    <w:rsid w:val="000327C1"/>
    <w:rsid w:val="00033246"/>
    <w:rsid w:val="0003331A"/>
    <w:rsid w:val="000345AB"/>
    <w:rsid w:val="000345BD"/>
    <w:rsid w:val="000403DE"/>
    <w:rsid w:val="00040DC6"/>
    <w:rsid w:val="00040E30"/>
    <w:rsid w:val="00040FDD"/>
    <w:rsid w:val="0004101D"/>
    <w:rsid w:val="00042AB6"/>
    <w:rsid w:val="00043A40"/>
    <w:rsid w:val="00044239"/>
    <w:rsid w:val="00044276"/>
    <w:rsid w:val="00044536"/>
    <w:rsid w:val="00045864"/>
    <w:rsid w:val="00045CB9"/>
    <w:rsid w:val="00046540"/>
    <w:rsid w:val="00046724"/>
    <w:rsid w:val="00047020"/>
    <w:rsid w:val="0004769E"/>
    <w:rsid w:val="0005023A"/>
    <w:rsid w:val="0005069A"/>
    <w:rsid w:val="00050D76"/>
    <w:rsid w:val="00050F6B"/>
    <w:rsid w:val="000523C5"/>
    <w:rsid w:val="000524B6"/>
    <w:rsid w:val="00054B13"/>
    <w:rsid w:val="00054B8F"/>
    <w:rsid w:val="00055F5D"/>
    <w:rsid w:val="00056392"/>
    <w:rsid w:val="00056B4C"/>
    <w:rsid w:val="00061B16"/>
    <w:rsid w:val="00061BD9"/>
    <w:rsid w:val="000628C8"/>
    <w:rsid w:val="00063D1E"/>
    <w:rsid w:val="00064651"/>
    <w:rsid w:val="00064C5D"/>
    <w:rsid w:val="00065A9F"/>
    <w:rsid w:val="00066320"/>
    <w:rsid w:val="000666F0"/>
    <w:rsid w:val="00067680"/>
    <w:rsid w:val="000678CD"/>
    <w:rsid w:val="00067994"/>
    <w:rsid w:val="00067D0E"/>
    <w:rsid w:val="0007221F"/>
    <w:rsid w:val="00072C66"/>
    <w:rsid w:val="00072C8C"/>
    <w:rsid w:val="00073957"/>
    <w:rsid w:val="00075179"/>
    <w:rsid w:val="00080766"/>
    <w:rsid w:val="00080C6F"/>
    <w:rsid w:val="00081288"/>
    <w:rsid w:val="00081CE0"/>
    <w:rsid w:val="00083D4D"/>
    <w:rsid w:val="00084D30"/>
    <w:rsid w:val="00087D93"/>
    <w:rsid w:val="00090320"/>
    <w:rsid w:val="00091656"/>
    <w:rsid w:val="000931C0"/>
    <w:rsid w:val="00093672"/>
    <w:rsid w:val="00093A50"/>
    <w:rsid w:val="00094B4E"/>
    <w:rsid w:val="00095CD6"/>
    <w:rsid w:val="00096FD7"/>
    <w:rsid w:val="000A0682"/>
    <w:rsid w:val="000A0C21"/>
    <w:rsid w:val="000A0FE6"/>
    <w:rsid w:val="000A1064"/>
    <w:rsid w:val="000A17D2"/>
    <w:rsid w:val="000A1DF0"/>
    <w:rsid w:val="000A2E09"/>
    <w:rsid w:val="000A2E93"/>
    <w:rsid w:val="000A3141"/>
    <w:rsid w:val="000A3ED7"/>
    <w:rsid w:val="000A45F6"/>
    <w:rsid w:val="000A573A"/>
    <w:rsid w:val="000A666C"/>
    <w:rsid w:val="000B09F4"/>
    <w:rsid w:val="000B0C60"/>
    <w:rsid w:val="000B1631"/>
    <w:rsid w:val="000B175B"/>
    <w:rsid w:val="000B238B"/>
    <w:rsid w:val="000B3A0F"/>
    <w:rsid w:val="000B3CC6"/>
    <w:rsid w:val="000B4A6F"/>
    <w:rsid w:val="000B64F0"/>
    <w:rsid w:val="000B6EA2"/>
    <w:rsid w:val="000C0DB1"/>
    <w:rsid w:val="000C2C39"/>
    <w:rsid w:val="000C33C0"/>
    <w:rsid w:val="000C3605"/>
    <w:rsid w:val="000C4114"/>
    <w:rsid w:val="000C44D9"/>
    <w:rsid w:val="000C48BC"/>
    <w:rsid w:val="000D0CD0"/>
    <w:rsid w:val="000D0D88"/>
    <w:rsid w:val="000D1F38"/>
    <w:rsid w:val="000D5CD5"/>
    <w:rsid w:val="000D618F"/>
    <w:rsid w:val="000D76F8"/>
    <w:rsid w:val="000D7B27"/>
    <w:rsid w:val="000E0415"/>
    <w:rsid w:val="000E07DD"/>
    <w:rsid w:val="000E1B2E"/>
    <w:rsid w:val="000E2382"/>
    <w:rsid w:val="000E256B"/>
    <w:rsid w:val="000E38EB"/>
    <w:rsid w:val="000E4B65"/>
    <w:rsid w:val="000E6494"/>
    <w:rsid w:val="000E6FBF"/>
    <w:rsid w:val="000E76F4"/>
    <w:rsid w:val="000E77BA"/>
    <w:rsid w:val="000E7D56"/>
    <w:rsid w:val="000E7FA2"/>
    <w:rsid w:val="000F0152"/>
    <w:rsid w:val="000F2EAD"/>
    <w:rsid w:val="000F39E0"/>
    <w:rsid w:val="000F3D82"/>
    <w:rsid w:val="000F4A5C"/>
    <w:rsid w:val="000F6BCD"/>
    <w:rsid w:val="000F7146"/>
    <w:rsid w:val="000F7715"/>
    <w:rsid w:val="000F77FA"/>
    <w:rsid w:val="000F79B7"/>
    <w:rsid w:val="000F7AFC"/>
    <w:rsid w:val="001025C2"/>
    <w:rsid w:val="00102C9D"/>
    <w:rsid w:val="0010502D"/>
    <w:rsid w:val="00105ED4"/>
    <w:rsid w:val="001060CF"/>
    <w:rsid w:val="00106F44"/>
    <w:rsid w:val="00107AD3"/>
    <w:rsid w:val="001107BA"/>
    <w:rsid w:val="00111256"/>
    <w:rsid w:val="001117DA"/>
    <w:rsid w:val="00112A64"/>
    <w:rsid w:val="00112FB1"/>
    <w:rsid w:val="001156E3"/>
    <w:rsid w:val="00115CA3"/>
    <w:rsid w:val="00117660"/>
    <w:rsid w:val="00117B7A"/>
    <w:rsid w:val="001203F4"/>
    <w:rsid w:val="0012096F"/>
    <w:rsid w:val="00123344"/>
    <w:rsid w:val="00124236"/>
    <w:rsid w:val="00124CA2"/>
    <w:rsid w:val="00124E94"/>
    <w:rsid w:val="0012563D"/>
    <w:rsid w:val="00126FE9"/>
    <w:rsid w:val="00127775"/>
    <w:rsid w:val="00130108"/>
    <w:rsid w:val="00131F62"/>
    <w:rsid w:val="0013225D"/>
    <w:rsid w:val="001322EF"/>
    <w:rsid w:val="00132352"/>
    <w:rsid w:val="00132CE8"/>
    <w:rsid w:val="00133515"/>
    <w:rsid w:val="0014155D"/>
    <w:rsid w:val="0014319A"/>
    <w:rsid w:val="00143B34"/>
    <w:rsid w:val="00144199"/>
    <w:rsid w:val="001466BD"/>
    <w:rsid w:val="001474EB"/>
    <w:rsid w:val="00147F92"/>
    <w:rsid w:val="001509A3"/>
    <w:rsid w:val="00154256"/>
    <w:rsid w:val="00154404"/>
    <w:rsid w:val="0015444A"/>
    <w:rsid w:val="00154FBA"/>
    <w:rsid w:val="001552C1"/>
    <w:rsid w:val="0015571C"/>
    <w:rsid w:val="00155E8F"/>
    <w:rsid w:val="00155FDF"/>
    <w:rsid w:val="00156B99"/>
    <w:rsid w:val="001575CD"/>
    <w:rsid w:val="001610E8"/>
    <w:rsid w:val="001637E0"/>
    <w:rsid w:val="00163A93"/>
    <w:rsid w:val="00163D38"/>
    <w:rsid w:val="00163EFA"/>
    <w:rsid w:val="00165632"/>
    <w:rsid w:val="0016610A"/>
    <w:rsid w:val="00166124"/>
    <w:rsid w:val="00167071"/>
    <w:rsid w:val="001679FB"/>
    <w:rsid w:val="0017051B"/>
    <w:rsid w:val="001718EC"/>
    <w:rsid w:val="00171B78"/>
    <w:rsid w:val="00172249"/>
    <w:rsid w:val="001725A3"/>
    <w:rsid w:val="00172E24"/>
    <w:rsid w:val="0017347E"/>
    <w:rsid w:val="0017503C"/>
    <w:rsid w:val="00175468"/>
    <w:rsid w:val="00177936"/>
    <w:rsid w:val="00177AB2"/>
    <w:rsid w:val="00177B23"/>
    <w:rsid w:val="00177F06"/>
    <w:rsid w:val="00180AC3"/>
    <w:rsid w:val="00180DE5"/>
    <w:rsid w:val="00181386"/>
    <w:rsid w:val="001824F7"/>
    <w:rsid w:val="00183153"/>
    <w:rsid w:val="001839D1"/>
    <w:rsid w:val="00183E62"/>
    <w:rsid w:val="001842E3"/>
    <w:rsid w:val="00184318"/>
    <w:rsid w:val="00184A74"/>
    <w:rsid w:val="00184AA2"/>
    <w:rsid w:val="00184DDA"/>
    <w:rsid w:val="00184EB8"/>
    <w:rsid w:val="001857B8"/>
    <w:rsid w:val="0018600D"/>
    <w:rsid w:val="00187222"/>
    <w:rsid w:val="00187692"/>
    <w:rsid w:val="001900CD"/>
    <w:rsid w:val="00190141"/>
    <w:rsid w:val="001907DD"/>
    <w:rsid w:val="001914F8"/>
    <w:rsid w:val="00191A30"/>
    <w:rsid w:val="00191E28"/>
    <w:rsid w:val="00191E97"/>
    <w:rsid w:val="0019301B"/>
    <w:rsid w:val="001932FA"/>
    <w:rsid w:val="00194059"/>
    <w:rsid w:val="00194A4B"/>
    <w:rsid w:val="001957EF"/>
    <w:rsid w:val="00195AF0"/>
    <w:rsid w:val="00195D59"/>
    <w:rsid w:val="00196C7A"/>
    <w:rsid w:val="001975AD"/>
    <w:rsid w:val="00197E40"/>
    <w:rsid w:val="001A0452"/>
    <w:rsid w:val="001A0B49"/>
    <w:rsid w:val="001A19E4"/>
    <w:rsid w:val="001A2E39"/>
    <w:rsid w:val="001A46F2"/>
    <w:rsid w:val="001A5764"/>
    <w:rsid w:val="001A6FCC"/>
    <w:rsid w:val="001A7A01"/>
    <w:rsid w:val="001A7BF2"/>
    <w:rsid w:val="001A7D24"/>
    <w:rsid w:val="001B058D"/>
    <w:rsid w:val="001B0AAC"/>
    <w:rsid w:val="001B0F8A"/>
    <w:rsid w:val="001B162A"/>
    <w:rsid w:val="001B1AB5"/>
    <w:rsid w:val="001B30BE"/>
    <w:rsid w:val="001B43BF"/>
    <w:rsid w:val="001B4B04"/>
    <w:rsid w:val="001B4BDB"/>
    <w:rsid w:val="001B56C6"/>
    <w:rsid w:val="001B5875"/>
    <w:rsid w:val="001B7927"/>
    <w:rsid w:val="001B7F07"/>
    <w:rsid w:val="001C0B81"/>
    <w:rsid w:val="001C1E4E"/>
    <w:rsid w:val="001C22FC"/>
    <w:rsid w:val="001C2EBF"/>
    <w:rsid w:val="001C3F0C"/>
    <w:rsid w:val="001C49EC"/>
    <w:rsid w:val="001C4B9C"/>
    <w:rsid w:val="001C5779"/>
    <w:rsid w:val="001C5921"/>
    <w:rsid w:val="001C60FE"/>
    <w:rsid w:val="001C6663"/>
    <w:rsid w:val="001C7041"/>
    <w:rsid w:val="001C7895"/>
    <w:rsid w:val="001C7B56"/>
    <w:rsid w:val="001D1014"/>
    <w:rsid w:val="001D18F9"/>
    <w:rsid w:val="001D245A"/>
    <w:rsid w:val="001D26DF"/>
    <w:rsid w:val="001D29B9"/>
    <w:rsid w:val="001D2E19"/>
    <w:rsid w:val="001D3B92"/>
    <w:rsid w:val="001D4218"/>
    <w:rsid w:val="001D4D89"/>
    <w:rsid w:val="001E025A"/>
    <w:rsid w:val="001E07FA"/>
    <w:rsid w:val="001E16CB"/>
    <w:rsid w:val="001E1A07"/>
    <w:rsid w:val="001E257C"/>
    <w:rsid w:val="001E3403"/>
    <w:rsid w:val="001E3540"/>
    <w:rsid w:val="001E3D3F"/>
    <w:rsid w:val="001E45AA"/>
    <w:rsid w:val="001E57E9"/>
    <w:rsid w:val="001E60F9"/>
    <w:rsid w:val="001E6F55"/>
    <w:rsid w:val="001E72E6"/>
    <w:rsid w:val="001F0A5B"/>
    <w:rsid w:val="001F0E1B"/>
    <w:rsid w:val="001F0E73"/>
    <w:rsid w:val="001F1599"/>
    <w:rsid w:val="001F19C4"/>
    <w:rsid w:val="001F1CBF"/>
    <w:rsid w:val="001F23C7"/>
    <w:rsid w:val="001F317F"/>
    <w:rsid w:val="001F3827"/>
    <w:rsid w:val="001F3B24"/>
    <w:rsid w:val="001F48FD"/>
    <w:rsid w:val="001F5478"/>
    <w:rsid w:val="001F5840"/>
    <w:rsid w:val="001F60C2"/>
    <w:rsid w:val="001F706D"/>
    <w:rsid w:val="001F7076"/>
    <w:rsid w:val="002002B1"/>
    <w:rsid w:val="0020089A"/>
    <w:rsid w:val="0020136B"/>
    <w:rsid w:val="00202398"/>
    <w:rsid w:val="00202E91"/>
    <w:rsid w:val="002037EA"/>
    <w:rsid w:val="002043F0"/>
    <w:rsid w:val="002046A3"/>
    <w:rsid w:val="00204750"/>
    <w:rsid w:val="00205B0B"/>
    <w:rsid w:val="00206057"/>
    <w:rsid w:val="00206401"/>
    <w:rsid w:val="0020657C"/>
    <w:rsid w:val="00206B08"/>
    <w:rsid w:val="0020792C"/>
    <w:rsid w:val="00210580"/>
    <w:rsid w:val="00210C13"/>
    <w:rsid w:val="00211E0B"/>
    <w:rsid w:val="002126C1"/>
    <w:rsid w:val="0021368B"/>
    <w:rsid w:val="0021403C"/>
    <w:rsid w:val="00215648"/>
    <w:rsid w:val="00216465"/>
    <w:rsid w:val="0021692A"/>
    <w:rsid w:val="002175FF"/>
    <w:rsid w:val="00217D4C"/>
    <w:rsid w:val="00217FA4"/>
    <w:rsid w:val="00220980"/>
    <w:rsid w:val="00220D3F"/>
    <w:rsid w:val="00221319"/>
    <w:rsid w:val="00221533"/>
    <w:rsid w:val="002215FA"/>
    <w:rsid w:val="00221C7A"/>
    <w:rsid w:val="00222889"/>
    <w:rsid w:val="0022374C"/>
    <w:rsid w:val="0022437B"/>
    <w:rsid w:val="0023098F"/>
    <w:rsid w:val="00231E27"/>
    <w:rsid w:val="00232575"/>
    <w:rsid w:val="00232A6D"/>
    <w:rsid w:val="002338BD"/>
    <w:rsid w:val="00235339"/>
    <w:rsid w:val="00235349"/>
    <w:rsid w:val="00235597"/>
    <w:rsid w:val="00235AED"/>
    <w:rsid w:val="00236F04"/>
    <w:rsid w:val="00237AAA"/>
    <w:rsid w:val="00237ECD"/>
    <w:rsid w:val="00240319"/>
    <w:rsid w:val="002417A4"/>
    <w:rsid w:val="00242369"/>
    <w:rsid w:val="002433E9"/>
    <w:rsid w:val="0024378F"/>
    <w:rsid w:val="00243938"/>
    <w:rsid w:val="00243CEA"/>
    <w:rsid w:val="0024402B"/>
    <w:rsid w:val="0024482C"/>
    <w:rsid w:val="00244C65"/>
    <w:rsid w:val="00245549"/>
    <w:rsid w:val="00246E74"/>
    <w:rsid w:val="00247258"/>
    <w:rsid w:val="00247579"/>
    <w:rsid w:val="00250244"/>
    <w:rsid w:val="002502C1"/>
    <w:rsid w:val="002510F0"/>
    <w:rsid w:val="00252841"/>
    <w:rsid w:val="00252BA3"/>
    <w:rsid w:val="0025429E"/>
    <w:rsid w:val="002548B2"/>
    <w:rsid w:val="00255806"/>
    <w:rsid w:val="002562B0"/>
    <w:rsid w:val="00256B18"/>
    <w:rsid w:val="0025719A"/>
    <w:rsid w:val="00257CAC"/>
    <w:rsid w:val="00260575"/>
    <w:rsid w:val="00260C33"/>
    <w:rsid w:val="00261148"/>
    <w:rsid w:val="00264522"/>
    <w:rsid w:val="002658F8"/>
    <w:rsid w:val="00265DF3"/>
    <w:rsid w:val="00266596"/>
    <w:rsid w:val="002677AE"/>
    <w:rsid w:val="00270A13"/>
    <w:rsid w:val="00270FF4"/>
    <w:rsid w:val="00271062"/>
    <w:rsid w:val="002722BA"/>
    <w:rsid w:val="00272A6D"/>
    <w:rsid w:val="00272BA6"/>
    <w:rsid w:val="002735C8"/>
    <w:rsid w:val="00274CF1"/>
    <w:rsid w:val="002752C7"/>
    <w:rsid w:val="00275383"/>
    <w:rsid w:val="00275B10"/>
    <w:rsid w:val="00276E8E"/>
    <w:rsid w:val="00281093"/>
    <w:rsid w:val="002814D9"/>
    <w:rsid w:val="00282231"/>
    <w:rsid w:val="00282C1E"/>
    <w:rsid w:val="0028383C"/>
    <w:rsid w:val="0028433C"/>
    <w:rsid w:val="00285D97"/>
    <w:rsid w:val="00285EB3"/>
    <w:rsid w:val="002904F4"/>
    <w:rsid w:val="0029088C"/>
    <w:rsid w:val="00291254"/>
    <w:rsid w:val="002926D8"/>
    <w:rsid w:val="0029457D"/>
    <w:rsid w:val="002950C6"/>
    <w:rsid w:val="002974E9"/>
    <w:rsid w:val="00297872"/>
    <w:rsid w:val="00297CBD"/>
    <w:rsid w:val="002A191F"/>
    <w:rsid w:val="002A34DF"/>
    <w:rsid w:val="002A353D"/>
    <w:rsid w:val="002A3CB4"/>
    <w:rsid w:val="002A752D"/>
    <w:rsid w:val="002A79B6"/>
    <w:rsid w:val="002A7F94"/>
    <w:rsid w:val="002B109A"/>
    <w:rsid w:val="002B2B4A"/>
    <w:rsid w:val="002B2F06"/>
    <w:rsid w:val="002B365D"/>
    <w:rsid w:val="002B3DCC"/>
    <w:rsid w:val="002B4713"/>
    <w:rsid w:val="002B548B"/>
    <w:rsid w:val="002B67D7"/>
    <w:rsid w:val="002B67F7"/>
    <w:rsid w:val="002B7921"/>
    <w:rsid w:val="002C1191"/>
    <w:rsid w:val="002C1631"/>
    <w:rsid w:val="002C2F19"/>
    <w:rsid w:val="002C3CA7"/>
    <w:rsid w:val="002C4375"/>
    <w:rsid w:val="002C4F4D"/>
    <w:rsid w:val="002C5787"/>
    <w:rsid w:val="002C588B"/>
    <w:rsid w:val="002C627E"/>
    <w:rsid w:val="002C6AF2"/>
    <w:rsid w:val="002C6C50"/>
    <w:rsid w:val="002C6D45"/>
    <w:rsid w:val="002D1569"/>
    <w:rsid w:val="002D161A"/>
    <w:rsid w:val="002D1DA8"/>
    <w:rsid w:val="002D1FD3"/>
    <w:rsid w:val="002D3B19"/>
    <w:rsid w:val="002D4B71"/>
    <w:rsid w:val="002D5E7A"/>
    <w:rsid w:val="002D5F7D"/>
    <w:rsid w:val="002D68A3"/>
    <w:rsid w:val="002D6E53"/>
    <w:rsid w:val="002E21D5"/>
    <w:rsid w:val="002E22E5"/>
    <w:rsid w:val="002E3C48"/>
    <w:rsid w:val="002E451F"/>
    <w:rsid w:val="002E5234"/>
    <w:rsid w:val="002E7613"/>
    <w:rsid w:val="002F046D"/>
    <w:rsid w:val="002F0974"/>
    <w:rsid w:val="002F1EE1"/>
    <w:rsid w:val="002F2DAD"/>
    <w:rsid w:val="002F2DE2"/>
    <w:rsid w:val="002F33DB"/>
    <w:rsid w:val="002F35D5"/>
    <w:rsid w:val="002F4631"/>
    <w:rsid w:val="002F4E14"/>
    <w:rsid w:val="002F5179"/>
    <w:rsid w:val="002F688D"/>
    <w:rsid w:val="002F73BD"/>
    <w:rsid w:val="002F78B2"/>
    <w:rsid w:val="002F7FEF"/>
    <w:rsid w:val="00300F02"/>
    <w:rsid w:val="00301764"/>
    <w:rsid w:val="00302811"/>
    <w:rsid w:val="003028B0"/>
    <w:rsid w:val="0030536B"/>
    <w:rsid w:val="003065F3"/>
    <w:rsid w:val="00306CD5"/>
    <w:rsid w:val="0031038B"/>
    <w:rsid w:val="00310917"/>
    <w:rsid w:val="003133C5"/>
    <w:rsid w:val="00313C52"/>
    <w:rsid w:val="003148AE"/>
    <w:rsid w:val="00314A4A"/>
    <w:rsid w:val="00314C42"/>
    <w:rsid w:val="00316034"/>
    <w:rsid w:val="003165DD"/>
    <w:rsid w:val="0031695F"/>
    <w:rsid w:val="003179E0"/>
    <w:rsid w:val="00317B4A"/>
    <w:rsid w:val="00320EAF"/>
    <w:rsid w:val="00321E87"/>
    <w:rsid w:val="00321EB3"/>
    <w:rsid w:val="0032210A"/>
    <w:rsid w:val="0032272D"/>
    <w:rsid w:val="003229D8"/>
    <w:rsid w:val="00322EDB"/>
    <w:rsid w:val="00323700"/>
    <w:rsid w:val="003238B5"/>
    <w:rsid w:val="003238DF"/>
    <w:rsid w:val="0032616D"/>
    <w:rsid w:val="00327C73"/>
    <w:rsid w:val="00330DB6"/>
    <w:rsid w:val="00330DBA"/>
    <w:rsid w:val="00332D4E"/>
    <w:rsid w:val="00332FA6"/>
    <w:rsid w:val="003346A0"/>
    <w:rsid w:val="00334B84"/>
    <w:rsid w:val="00334E91"/>
    <w:rsid w:val="003353ED"/>
    <w:rsid w:val="00335F4D"/>
    <w:rsid w:val="003360EE"/>
    <w:rsid w:val="00336C97"/>
    <w:rsid w:val="003374C8"/>
    <w:rsid w:val="003379ED"/>
    <w:rsid w:val="00337C13"/>
    <w:rsid w:val="00337F88"/>
    <w:rsid w:val="00340332"/>
    <w:rsid w:val="00342432"/>
    <w:rsid w:val="003434CA"/>
    <w:rsid w:val="003435AA"/>
    <w:rsid w:val="00346830"/>
    <w:rsid w:val="00346CB0"/>
    <w:rsid w:val="003470D3"/>
    <w:rsid w:val="00350791"/>
    <w:rsid w:val="00350D2F"/>
    <w:rsid w:val="00351A9A"/>
    <w:rsid w:val="003524F9"/>
    <w:rsid w:val="00352BA1"/>
    <w:rsid w:val="00352D4B"/>
    <w:rsid w:val="003531C8"/>
    <w:rsid w:val="00354D6A"/>
    <w:rsid w:val="00355701"/>
    <w:rsid w:val="003559FA"/>
    <w:rsid w:val="0035638C"/>
    <w:rsid w:val="00356ADE"/>
    <w:rsid w:val="00356B3C"/>
    <w:rsid w:val="00360370"/>
    <w:rsid w:val="003610E9"/>
    <w:rsid w:val="0036140B"/>
    <w:rsid w:val="00361C77"/>
    <w:rsid w:val="003624C6"/>
    <w:rsid w:val="0036535F"/>
    <w:rsid w:val="0036567C"/>
    <w:rsid w:val="00365EB5"/>
    <w:rsid w:val="003667AB"/>
    <w:rsid w:val="003669AD"/>
    <w:rsid w:val="003707E7"/>
    <w:rsid w:val="00371F0B"/>
    <w:rsid w:val="003727E5"/>
    <w:rsid w:val="00373F02"/>
    <w:rsid w:val="00375E71"/>
    <w:rsid w:val="00377B84"/>
    <w:rsid w:val="00380A1E"/>
    <w:rsid w:val="00382C6B"/>
    <w:rsid w:val="00382E61"/>
    <w:rsid w:val="00383694"/>
    <w:rsid w:val="003837BC"/>
    <w:rsid w:val="00385050"/>
    <w:rsid w:val="00386599"/>
    <w:rsid w:val="003867B1"/>
    <w:rsid w:val="00387427"/>
    <w:rsid w:val="003915B9"/>
    <w:rsid w:val="00392AE2"/>
    <w:rsid w:val="0039378C"/>
    <w:rsid w:val="00396281"/>
    <w:rsid w:val="00396694"/>
    <w:rsid w:val="0039697A"/>
    <w:rsid w:val="00396D59"/>
    <w:rsid w:val="00396DF4"/>
    <w:rsid w:val="00397080"/>
    <w:rsid w:val="003970E2"/>
    <w:rsid w:val="003A06C6"/>
    <w:rsid w:val="003A0853"/>
    <w:rsid w:val="003A12B5"/>
    <w:rsid w:val="003A1E7F"/>
    <w:rsid w:val="003A268D"/>
    <w:rsid w:val="003A46BB"/>
    <w:rsid w:val="003A4956"/>
    <w:rsid w:val="003A4EC7"/>
    <w:rsid w:val="003A7295"/>
    <w:rsid w:val="003B1495"/>
    <w:rsid w:val="003B1F60"/>
    <w:rsid w:val="003B20DA"/>
    <w:rsid w:val="003B244B"/>
    <w:rsid w:val="003B2FC5"/>
    <w:rsid w:val="003B352A"/>
    <w:rsid w:val="003B460E"/>
    <w:rsid w:val="003B472B"/>
    <w:rsid w:val="003B485B"/>
    <w:rsid w:val="003C0A51"/>
    <w:rsid w:val="003C1565"/>
    <w:rsid w:val="003C2A41"/>
    <w:rsid w:val="003C2CC4"/>
    <w:rsid w:val="003C3A07"/>
    <w:rsid w:val="003C43EC"/>
    <w:rsid w:val="003C6A54"/>
    <w:rsid w:val="003C6F55"/>
    <w:rsid w:val="003D11DE"/>
    <w:rsid w:val="003D12B6"/>
    <w:rsid w:val="003D1399"/>
    <w:rsid w:val="003D1401"/>
    <w:rsid w:val="003D156F"/>
    <w:rsid w:val="003D2B01"/>
    <w:rsid w:val="003D2D2D"/>
    <w:rsid w:val="003D2D59"/>
    <w:rsid w:val="003D4172"/>
    <w:rsid w:val="003D4B23"/>
    <w:rsid w:val="003D5ED7"/>
    <w:rsid w:val="003D6807"/>
    <w:rsid w:val="003D6864"/>
    <w:rsid w:val="003D7BC1"/>
    <w:rsid w:val="003E1174"/>
    <w:rsid w:val="003E278A"/>
    <w:rsid w:val="003E379F"/>
    <w:rsid w:val="003E3B2D"/>
    <w:rsid w:val="003E4499"/>
    <w:rsid w:val="003E4E32"/>
    <w:rsid w:val="003E55A4"/>
    <w:rsid w:val="003E6727"/>
    <w:rsid w:val="003F257A"/>
    <w:rsid w:val="003F2659"/>
    <w:rsid w:val="003F3B6A"/>
    <w:rsid w:val="003F4AC6"/>
    <w:rsid w:val="003F4CE4"/>
    <w:rsid w:val="00400B29"/>
    <w:rsid w:val="004011F4"/>
    <w:rsid w:val="00401758"/>
    <w:rsid w:val="00402198"/>
    <w:rsid w:val="00402540"/>
    <w:rsid w:val="00402A7D"/>
    <w:rsid w:val="00402ABC"/>
    <w:rsid w:val="00403246"/>
    <w:rsid w:val="00403377"/>
    <w:rsid w:val="004073DA"/>
    <w:rsid w:val="00407897"/>
    <w:rsid w:val="004108F6"/>
    <w:rsid w:val="0041189F"/>
    <w:rsid w:val="00412C1C"/>
    <w:rsid w:val="00412D01"/>
    <w:rsid w:val="00412E20"/>
    <w:rsid w:val="00413520"/>
    <w:rsid w:val="00413D2D"/>
    <w:rsid w:val="00415E5E"/>
    <w:rsid w:val="00416041"/>
    <w:rsid w:val="00416ED3"/>
    <w:rsid w:val="00417267"/>
    <w:rsid w:val="0042038B"/>
    <w:rsid w:val="0042059C"/>
    <w:rsid w:val="004211EB"/>
    <w:rsid w:val="0042179E"/>
    <w:rsid w:val="00421A51"/>
    <w:rsid w:val="00421E1D"/>
    <w:rsid w:val="00422C12"/>
    <w:rsid w:val="00423689"/>
    <w:rsid w:val="0042372B"/>
    <w:rsid w:val="00424380"/>
    <w:rsid w:val="00425D07"/>
    <w:rsid w:val="00426040"/>
    <w:rsid w:val="004264E0"/>
    <w:rsid w:val="00426566"/>
    <w:rsid w:val="00426632"/>
    <w:rsid w:val="00426C17"/>
    <w:rsid w:val="004309A0"/>
    <w:rsid w:val="004309BD"/>
    <w:rsid w:val="00431398"/>
    <w:rsid w:val="004325CB"/>
    <w:rsid w:val="00432951"/>
    <w:rsid w:val="00432DFA"/>
    <w:rsid w:val="0043349E"/>
    <w:rsid w:val="00433F99"/>
    <w:rsid w:val="004348D1"/>
    <w:rsid w:val="004358E4"/>
    <w:rsid w:val="004363EA"/>
    <w:rsid w:val="00436595"/>
    <w:rsid w:val="00436D14"/>
    <w:rsid w:val="00437C19"/>
    <w:rsid w:val="004402C0"/>
    <w:rsid w:val="00440761"/>
    <w:rsid w:val="00440A07"/>
    <w:rsid w:val="004418E3"/>
    <w:rsid w:val="00442355"/>
    <w:rsid w:val="00442D36"/>
    <w:rsid w:val="00442F21"/>
    <w:rsid w:val="00443D05"/>
    <w:rsid w:val="0044455F"/>
    <w:rsid w:val="00444A43"/>
    <w:rsid w:val="0044728B"/>
    <w:rsid w:val="00447D60"/>
    <w:rsid w:val="0045051D"/>
    <w:rsid w:val="0045059C"/>
    <w:rsid w:val="00451691"/>
    <w:rsid w:val="00452275"/>
    <w:rsid w:val="00452538"/>
    <w:rsid w:val="004531E7"/>
    <w:rsid w:val="00454572"/>
    <w:rsid w:val="00454640"/>
    <w:rsid w:val="00454E7E"/>
    <w:rsid w:val="004553ED"/>
    <w:rsid w:val="004563C2"/>
    <w:rsid w:val="004574E6"/>
    <w:rsid w:val="00462880"/>
    <w:rsid w:val="004647C7"/>
    <w:rsid w:val="004648B3"/>
    <w:rsid w:val="00464ACB"/>
    <w:rsid w:val="00470282"/>
    <w:rsid w:val="00473A0C"/>
    <w:rsid w:val="004751D5"/>
    <w:rsid w:val="00476590"/>
    <w:rsid w:val="00476F24"/>
    <w:rsid w:val="00480E5F"/>
    <w:rsid w:val="00480F4C"/>
    <w:rsid w:val="00480F76"/>
    <w:rsid w:val="00481A21"/>
    <w:rsid w:val="00482048"/>
    <w:rsid w:val="0048275B"/>
    <w:rsid w:val="00483423"/>
    <w:rsid w:val="00485BE7"/>
    <w:rsid w:val="0049044C"/>
    <w:rsid w:val="00491C61"/>
    <w:rsid w:val="00492D8C"/>
    <w:rsid w:val="00492F25"/>
    <w:rsid w:val="00493C34"/>
    <w:rsid w:val="00495410"/>
    <w:rsid w:val="0049693C"/>
    <w:rsid w:val="00497FB4"/>
    <w:rsid w:val="004A14B8"/>
    <w:rsid w:val="004A29A1"/>
    <w:rsid w:val="004A2CCD"/>
    <w:rsid w:val="004A387E"/>
    <w:rsid w:val="004A3BC6"/>
    <w:rsid w:val="004A49CE"/>
    <w:rsid w:val="004A5437"/>
    <w:rsid w:val="004A55C7"/>
    <w:rsid w:val="004A5EFE"/>
    <w:rsid w:val="004A7F33"/>
    <w:rsid w:val="004B0364"/>
    <w:rsid w:val="004B0B18"/>
    <w:rsid w:val="004B23F2"/>
    <w:rsid w:val="004B3709"/>
    <w:rsid w:val="004B3D2C"/>
    <w:rsid w:val="004B4264"/>
    <w:rsid w:val="004B4340"/>
    <w:rsid w:val="004B5321"/>
    <w:rsid w:val="004B5448"/>
    <w:rsid w:val="004B56D0"/>
    <w:rsid w:val="004B6079"/>
    <w:rsid w:val="004B60D3"/>
    <w:rsid w:val="004B6A47"/>
    <w:rsid w:val="004C00D6"/>
    <w:rsid w:val="004C0801"/>
    <w:rsid w:val="004C3429"/>
    <w:rsid w:val="004C4E9A"/>
    <w:rsid w:val="004C55B0"/>
    <w:rsid w:val="004C596C"/>
    <w:rsid w:val="004C5BCC"/>
    <w:rsid w:val="004C6A9D"/>
    <w:rsid w:val="004C6CDC"/>
    <w:rsid w:val="004C6CE0"/>
    <w:rsid w:val="004C78C7"/>
    <w:rsid w:val="004D04DB"/>
    <w:rsid w:val="004D1703"/>
    <w:rsid w:val="004D1A81"/>
    <w:rsid w:val="004D2918"/>
    <w:rsid w:val="004D3F41"/>
    <w:rsid w:val="004D43A0"/>
    <w:rsid w:val="004D526F"/>
    <w:rsid w:val="004D53FD"/>
    <w:rsid w:val="004D7565"/>
    <w:rsid w:val="004E1786"/>
    <w:rsid w:val="004E2479"/>
    <w:rsid w:val="004E2756"/>
    <w:rsid w:val="004E2F61"/>
    <w:rsid w:val="004E3E41"/>
    <w:rsid w:val="004E4283"/>
    <w:rsid w:val="004E5B83"/>
    <w:rsid w:val="004E6B2D"/>
    <w:rsid w:val="004E6B46"/>
    <w:rsid w:val="004E6ECC"/>
    <w:rsid w:val="004E71A4"/>
    <w:rsid w:val="004E7399"/>
    <w:rsid w:val="004E7EB5"/>
    <w:rsid w:val="004F06C1"/>
    <w:rsid w:val="004F07D9"/>
    <w:rsid w:val="004F10F3"/>
    <w:rsid w:val="004F2A9D"/>
    <w:rsid w:val="004F2B8C"/>
    <w:rsid w:val="004F2FBA"/>
    <w:rsid w:val="004F3590"/>
    <w:rsid w:val="004F57E1"/>
    <w:rsid w:val="004F5EE0"/>
    <w:rsid w:val="004F6281"/>
    <w:rsid w:val="004F681B"/>
    <w:rsid w:val="004F6BA0"/>
    <w:rsid w:val="0050019B"/>
    <w:rsid w:val="005002B8"/>
    <w:rsid w:val="005008DC"/>
    <w:rsid w:val="00501091"/>
    <w:rsid w:val="00501AB4"/>
    <w:rsid w:val="00501BB1"/>
    <w:rsid w:val="00501E08"/>
    <w:rsid w:val="00502384"/>
    <w:rsid w:val="00503440"/>
    <w:rsid w:val="00503BEA"/>
    <w:rsid w:val="005043AB"/>
    <w:rsid w:val="00504536"/>
    <w:rsid w:val="00505F08"/>
    <w:rsid w:val="00506150"/>
    <w:rsid w:val="00506348"/>
    <w:rsid w:val="00507CA1"/>
    <w:rsid w:val="005111B8"/>
    <w:rsid w:val="005111F9"/>
    <w:rsid w:val="00511758"/>
    <w:rsid w:val="00511E3E"/>
    <w:rsid w:val="005141AB"/>
    <w:rsid w:val="005143BB"/>
    <w:rsid w:val="005144A3"/>
    <w:rsid w:val="00514AE9"/>
    <w:rsid w:val="00514B58"/>
    <w:rsid w:val="00514CAD"/>
    <w:rsid w:val="00515765"/>
    <w:rsid w:val="00515EF8"/>
    <w:rsid w:val="005161A1"/>
    <w:rsid w:val="005163F1"/>
    <w:rsid w:val="005165F3"/>
    <w:rsid w:val="00516CF0"/>
    <w:rsid w:val="00516EA0"/>
    <w:rsid w:val="00517E22"/>
    <w:rsid w:val="00517FDD"/>
    <w:rsid w:val="0052011A"/>
    <w:rsid w:val="00520429"/>
    <w:rsid w:val="00521325"/>
    <w:rsid w:val="00523D4F"/>
    <w:rsid w:val="00523E02"/>
    <w:rsid w:val="005241CB"/>
    <w:rsid w:val="00525598"/>
    <w:rsid w:val="00525BF5"/>
    <w:rsid w:val="00525F28"/>
    <w:rsid w:val="0052632E"/>
    <w:rsid w:val="00526862"/>
    <w:rsid w:val="005274AC"/>
    <w:rsid w:val="00527641"/>
    <w:rsid w:val="00527E4B"/>
    <w:rsid w:val="00530817"/>
    <w:rsid w:val="005311C6"/>
    <w:rsid w:val="00531295"/>
    <w:rsid w:val="005322EB"/>
    <w:rsid w:val="0053244F"/>
    <w:rsid w:val="0053359F"/>
    <w:rsid w:val="00533616"/>
    <w:rsid w:val="005339A4"/>
    <w:rsid w:val="00534723"/>
    <w:rsid w:val="0053496A"/>
    <w:rsid w:val="00534C09"/>
    <w:rsid w:val="0053552C"/>
    <w:rsid w:val="00535ABA"/>
    <w:rsid w:val="005361E6"/>
    <w:rsid w:val="00537143"/>
    <w:rsid w:val="0053768B"/>
    <w:rsid w:val="00541822"/>
    <w:rsid w:val="005420F2"/>
    <w:rsid w:val="0054285C"/>
    <w:rsid w:val="00542DB9"/>
    <w:rsid w:val="005431CE"/>
    <w:rsid w:val="00543AEE"/>
    <w:rsid w:val="00543BC9"/>
    <w:rsid w:val="00544E86"/>
    <w:rsid w:val="0054526B"/>
    <w:rsid w:val="00545292"/>
    <w:rsid w:val="005458E3"/>
    <w:rsid w:val="00546933"/>
    <w:rsid w:val="00552334"/>
    <w:rsid w:val="00553384"/>
    <w:rsid w:val="00553850"/>
    <w:rsid w:val="00554486"/>
    <w:rsid w:val="005544F7"/>
    <w:rsid w:val="005558FE"/>
    <w:rsid w:val="00556733"/>
    <w:rsid w:val="005610C1"/>
    <w:rsid w:val="00562362"/>
    <w:rsid w:val="00562F68"/>
    <w:rsid w:val="00563325"/>
    <w:rsid w:val="00565E7C"/>
    <w:rsid w:val="00566360"/>
    <w:rsid w:val="005668B7"/>
    <w:rsid w:val="00566F95"/>
    <w:rsid w:val="00567BF8"/>
    <w:rsid w:val="00570334"/>
    <w:rsid w:val="00571BA0"/>
    <w:rsid w:val="00573CE6"/>
    <w:rsid w:val="00574A4A"/>
    <w:rsid w:val="00574F02"/>
    <w:rsid w:val="005754F6"/>
    <w:rsid w:val="0057623E"/>
    <w:rsid w:val="00576D44"/>
    <w:rsid w:val="00580432"/>
    <w:rsid w:val="00580F0F"/>
    <w:rsid w:val="00581CA6"/>
    <w:rsid w:val="00581D4A"/>
    <w:rsid w:val="00584173"/>
    <w:rsid w:val="00584627"/>
    <w:rsid w:val="00584696"/>
    <w:rsid w:val="0059039F"/>
    <w:rsid w:val="005904B9"/>
    <w:rsid w:val="00590AFF"/>
    <w:rsid w:val="00591383"/>
    <w:rsid w:val="005919B8"/>
    <w:rsid w:val="0059289D"/>
    <w:rsid w:val="0059375B"/>
    <w:rsid w:val="005942E8"/>
    <w:rsid w:val="00594F18"/>
    <w:rsid w:val="00595462"/>
    <w:rsid w:val="00595520"/>
    <w:rsid w:val="00595CB0"/>
    <w:rsid w:val="005968C5"/>
    <w:rsid w:val="005A04BD"/>
    <w:rsid w:val="005A08C1"/>
    <w:rsid w:val="005A0BD4"/>
    <w:rsid w:val="005A2025"/>
    <w:rsid w:val="005A2B9B"/>
    <w:rsid w:val="005A2F21"/>
    <w:rsid w:val="005A4168"/>
    <w:rsid w:val="005A43FA"/>
    <w:rsid w:val="005A44B9"/>
    <w:rsid w:val="005A66C1"/>
    <w:rsid w:val="005A7760"/>
    <w:rsid w:val="005A7D18"/>
    <w:rsid w:val="005B0A7D"/>
    <w:rsid w:val="005B0BDC"/>
    <w:rsid w:val="005B0C1A"/>
    <w:rsid w:val="005B1752"/>
    <w:rsid w:val="005B1851"/>
    <w:rsid w:val="005B1BA0"/>
    <w:rsid w:val="005B3DB3"/>
    <w:rsid w:val="005C0371"/>
    <w:rsid w:val="005C13D5"/>
    <w:rsid w:val="005C1B78"/>
    <w:rsid w:val="005C2338"/>
    <w:rsid w:val="005C33A4"/>
    <w:rsid w:val="005C3974"/>
    <w:rsid w:val="005C4190"/>
    <w:rsid w:val="005C4214"/>
    <w:rsid w:val="005C4F8F"/>
    <w:rsid w:val="005C560D"/>
    <w:rsid w:val="005C576C"/>
    <w:rsid w:val="005C6154"/>
    <w:rsid w:val="005C79BC"/>
    <w:rsid w:val="005C79C8"/>
    <w:rsid w:val="005D0601"/>
    <w:rsid w:val="005D0C1C"/>
    <w:rsid w:val="005D15CA"/>
    <w:rsid w:val="005D1E78"/>
    <w:rsid w:val="005D26F6"/>
    <w:rsid w:val="005D411E"/>
    <w:rsid w:val="005D47B5"/>
    <w:rsid w:val="005D56C1"/>
    <w:rsid w:val="005D58F5"/>
    <w:rsid w:val="005D794C"/>
    <w:rsid w:val="005E2172"/>
    <w:rsid w:val="005E3371"/>
    <w:rsid w:val="005E411F"/>
    <w:rsid w:val="005E429A"/>
    <w:rsid w:val="005E4949"/>
    <w:rsid w:val="005E4E63"/>
    <w:rsid w:val="005E5361"/>
    <w:rsid w:val="005E5B52"/>
    <w:rsid w:val="005E6BE0"/>
    <w:rsid w:val="005E6CFE"/>
    <w:rsid w:val="005E70C5"/>
    <w:rsid w:val="005E7EF7"/>
    <w:rsid w:val="005F065E"/>
    <w:rsid w:val="005F13FB"/>
    <w:rsid w:val="005F1668"/>
    <w:rsid w:val="005F1D8D"/>
    <w:rsid w:val="005F3066"/>
    <w:rsid w:val="005F3E61"/>
    <w:rsid w:val="005F42A8"/>
    <w:rsid w:val="005F43CE"/>
    <w:rsid w:val="005F5D54"/>
    <w:rsid w:val="005F65C1"/>
    <w:rsid w:val="005F7369"/>
    <w:rsid w:val="00601136"/>
    <w:rsid w:val="00601767"/>
    <w:rsid w:val="00601C34"/>
    <w:rsid w:val="00601D34"/>
    <w:rsid w:val="00602ED6"/>
    <w:rsid w:val="0060360E"/>
    <w:rsid w:val="00604DDD"/>
    <w:rsid w:val="006052C8"/>
    <w:rsid w:val="00605444"/>
    <w:rsid w:val="00607F91"/>
    <w:rsid w:val="00610C62"/>
    <w:rsid w:val="006115CC"/>
    <w:rsid w:val="00611D81"/>
    <w:rsid w:val="00611FC4"/>
    <w:rsid w:val="00613621"/>
    <w:rsid w:val="00613FAD"/>
    <w:rsid w:val="00614B51"/>
    <w:rsid w:val="00614BF3"/>
    <w:rsid w:val="00616B69"/>
    <w:rsid w:val="00616FAC"/>
    <w:rsid w:val="006176FB"/>
    <w:rsid w:val="0062080E"/>
    <w:rsid w:val="00622AF7"/>
    <w:rsid w:val="00622F2E"/>
    <w:rsid w:val="00625178"/>
    <w:rsid w:val="00625228"/>
    <w:rsid w:val="0062553B"/>
    <w:rsid w:val="00625586"/>
    <w:rsid w:val="006259CC"/>
    <w:rsid w:val="00630FCB"/>
    <w:rsid w:val="006310B2"/>
    <w:rsid w:val="00631FD4"/>
    <w:rsid w:val="00633976"/>
    <w:rsid w:val="00634028"/>
    <w:rsid w:val="0063402F"/>
    <w:rsid w:val="0063461B"/>
    <w:rsid w:val="00634778"/>
    <w:rsid w:val="00635905"/>
    <w:rsid w:val="00637B5B"/>
    <w:rsid w:val="00640375"/>
    <w:rsid w:val="00640599"/>
    <w:rsid w:val="006406FD"/>
    <w:rsid w:val="00640B26"/>
    <w:rsid w:val="00641280"/>
    <w:rsid w:val="00641562"/>
    <w:rsid w:val="00645BB1"/>
    <w:rsid w:val="00645C04"/>
    <w:rsid w:val="006463E3"/>
    <w:rsid w:val="006464BE"/>
    <w:rsid w:val="00646F35"/>
    <w:rsid w:val="006501D8"/>
    <w:rsid w:val="00651176"/>
    <w:rsid w:val="006517D5"/>
    <w:rsid w:val="00651913"/>
    <w:rsid w:val="00651BEE"/>
    <w:rsid w:val="00652CD2"/>
    <w:rsid w:val="00653269"/>
    <w:rsid w:val="00653429"/>
    <w:rsid w:val="00653B9B"/>
    <w:rsid w:val="00653BCB"/>
    <w:rsid w:val="00656DB7"/>
    <w:rsid w:val="00657334"/>
    <w:rsid w:val="006619A4"/>
    <w:rsid w:val="00662461"/>
    <w:rsid w:val="00662A54"/>
    <w:rsid w:val="00664381"/>
    <w:rsid w:val="006644C2"/>
    <w:rsid w:val="0066499A"/>
    <w:rsid w:val="00665E70"/>
    <w:rsid w:val="006662E0"/>
    <w:rsid w:val="0066664F"/>
    <w:rsid w:val="00667C92"/>
    <w:rsid w:val="00667F16"/>
    <w:rsid w:val="00671096"/>
    <w:rsid w:val="0067125E"/>
    <w:rsid w:val="00671752"/>
    <w:rsid w:val="00673B76"/>
    <w:rsid w:val="00673C73"/>
    <w:rsid w:val="006740CA"/>
    <w:rsid w:val="006745D5"/>
    <w:rsid w:val="0067483E"/>
    <w:rsid w:val="006770B2"/>
    <w:rsid w:val="0067749D"/>
    <w:rsid w:val="00677510"/>
    <w:rsid w:val="006822AD"/>
    <w:rsid w:val="00682467"/>
    <w:rsid w:val="00682731"/>
    <w:rsid w:val="0068294C"/>
    <w:rsid w:val="00682B47"/>
    <w:rsid w:val="006839FA"/>
    <w:rsid w:val="006859C7"/>
    <w:rsid w:val="0068639C"/>
    <w:rsid w:val="00687EB0"/>
    <w:rsid w:val="0069019A"/>
    <w:rsid w:val="0069157C"/>
    <w:rsid w:val="00691E8A"/>
    <w:rsid w:val="00692B7C"/>
    <w:rsid w:val="006940E1"/>
    <w:rsid w:val="00694605"/>
    <w:rsid w:val="00694EC3"/>
    <w:rsid w:val="00697660"/>
    <w:rsid w:val="006976C4"/>
    <w:rsid w:val="006A0BB9"/>
    <w:rsid w:val="006A18AA"/>
    <w:rsid w:val="006A1D18"/>
    <w:rsid w:val="006A1E15"/>
    <w:rsid w:val="006A231E"/>
    <w:rsid w:val="006A2D47"/>
    <w:rsid w:val="006A3374"/>
    <w:rsid w:val="006A3BA8"/>
    <w:rsid w:val="006A3C72"/>
    <w:rsid w:val="006A4C6A"/>
    <w:rsid w:val="006A4D54"/>
    <w:rsid w:val="006A4EC1"/>
    <w:rsid w:val="006A6210"/>
    <w:rsid w:val="006A7392"/>
    <w:rsid w:val="006B03A1"/>
    <w:rsid w:val="006B1A63"/>
    <w:rsid w:val="006B1D6B"/>
    <w:rsid w:val="006B2B3D"/>
    <w:rsid w:val="006B48ED"/>
    <w:rsid w:val="006B5A3F"/>
    <w:rsid w:val="006B66F1"/>
    <w:rsid w:val="006B67D9"/>
    <w:rsid w:val="006B701E"/>
    <w:rsid w:val="006B7F1E"/>
    <w:rsid w:val="006C0266"/>
    <w:rsid w:val="006C0CC8"/>
    <w:rsid w:val="006C1541"/>
    <w:rsid w:val="006C168A"/>
    <w:rsid w:val="006C229C"/>
    <w:rsid w:val="006C3359"/>
    <w:rsid w:val="006C38E1"/>
    <w:rsid w:val="006C3B22"/>
    <w:rsid w:val="006C3BAD"/>
    <w:rsid w:val="006C3C30"/>
    <w:rsid w:val="006C3CBA"/>
    <w:rsid w:val="006C40CA"/>
    <w:rsid w:val="006C45B9"/>
    <w:rsid w:val="006C5535"/>
    <w:rsid w:val="006C58E7"/>
    <w:rsid w:val="006C63CD"/>
    <w:rsid w:val="006C66C1"/>
    <w:rsid w:val="006C6A18"/>
    <w:rsid w:val="006C6EFD"/>
    <w:rsid w:val="006C6F24"/>
    <w:rsid w:val="006C7E60"/>
    <w:rsid w:val="006D0589"/>
    <w:rsid w:val="006D08B4"/>
    <w:rsid w:val="006D0A9B"/>
    <w:rsid w:val="006D134D"/>
    <w:rsid w:val="006D1A6D"/>
    <w:rsid w:val="006D21F4"/>
    <w:rsid w:val="006D239D"/>
    <w:rsid w:val="006D242B"/>
    <w:rsid w:val="006D365A"/>
    <w:rsid w:val="006D367E"/>
    <w:rsid w:val="006D3E4A"/>
    <w:rsid w:val="006D4C8F"/>
    <w:rsid w:val="006D4F66"/>
    <w:rsid w:val="006D543A"/>
    <w:rsid w:val="006D6B8F"/>
    <w:rsid w:val="006D6DE6"/>
    <w:rsid w:val="006D7550"/>
    <w:rsid w:val="006D7A54"/>
    <w:rsid w:val="006D7E8B"/>
    <w:rsid w:val="006E22A4"/>
    <w:rsid w:val="006E2450"/>
    <w:rsid w:val="006E24EF"/>
    <w:rsid w:val="006E3898"/>
    <w:rsid w:val="006E4223"/>
    <w:rsid w:val="006E46F7"/>
    <w:rsid w:val="006E4752"/>
    <w:rsid w:val="006E4792"/>
    <w:rsid w:val="006E4EB8"/>
    <w:rsid w:val="006E564B"/>
    <w:rsid w:val="006E6816"/>
    <w:rsid w:val="006E68DE"/>
    <w:rsid w:val="006E7154"/>
    <w:rsid w:val="006F1B4A"/>
    <w:rsid w:val="006F1C8D"/>
    <w:rsid w:val="006F1D62"/>
    <w:rsid w:val="006F2874"/>
    <w:rsid w:val="006F2E03"/>
    <w:rsid w:val="006F399A"/>
    <w:rsid w:val="006F4058"/>
    <w:rsid w:val="006F4919"/>
    <w:rsid w:val="006F500E"/>
    <w:rsid w:val="006F71F9"/>
    <w:rsid w:val="006F7644"/>
    <w:rsid w:val="006F79E5"/>
    <w:rsid w:val="006F7DC2"/>
    <w:rsid w:val="007003CD"/>
    <w:rsid w:val="00700AC5"/>
    <w:rsid w:val="00700B10"/>
    <w:rsid w:val="007018C4"/>
    <w:rsid w:val="00703B4A"/>
    <w:rsid w:val="00705968"/>
    <w:rsid w:val="007061BB"/>
    <w:rsid w:val="007061DF"/>
    <w:rsid w:val="0070701E"/>
    <w:rsid w:val="00711A9B"/>
    <w:rsid w:val="00712576"/>
    <w:rsid w:val="0071429A"/>
    <w:rsid w:val="00721E04"/>
    <w:rsid w:val="00722395"/>
    <w:rsid w:val="007238F7"/>
    <w:rsid w:val="00725985"/>
    <w:rsid w:val="00725C12"/>
    <w:rsid w:val="00726209"/>
    <w:rsid w:val="0072632A"/>
    <w:rsid w:val="007266F8"/>
    <w:rsid w:val="00726951"/>
    <w:rsid w:val="00730233"/>
    <w:rsid w:val="007334CB"/>
    <w:rsid w:val="0073388B"/>
    <w:rsid w:val="00733CF7"/>
    <w:rsid w:val="007358E8"/>
    <w:rsid w:val="00736465"/>
    <w:rsid w:val="00736797"/>
    <w:rsid w:val="00736ECE"/>
    <w:rsid w:val="0073744E"/>
    <w:rsid w:val="00737789"/>
    <w:rsid w:val="00737A3B"/>
    <w:rsid w:val="00737A4F"/>
    <w:rsid w:val="00741741"/>
    <w:rsid w:val="00743491"/>
    <w:rsid w:val="0074533B"/>
    <w:rsid w:val="007454AD"/>
    <w:rsid w:val="00751220"/>
    <w:rsid w:val="0075309F"/>
    <w:rsid w:val="0075329A"/>
    <w:rsid w:val="00753918"/>
    <w:rsid w:val="007552EC"/>
    <w:rsid w:val="00756889"/>
    <w:rsid w:val="007606D5"/>
    <w:rsid w:val="00760822"/>
    <w:rsid w:val="007643BC"/>
    <w:rsid w:val="007655A2"/>
    <w:rsid w:val="00766880"/>
    <w:rsid w:val="00766B95"/>
    <w:rsid w:val="00766F8D"/>
    <w:rsid w:val="00771216"/>
    <w:rsid w:val="007728A5"/>
    <w:rsid w:val="00772AEA"/>
    <w:rsid w:val="007772DE"/>
    <w:rsid w:val="00777BEC"/>
    <w:rsid w:val="00780E87"/>
    <w:rsid w:val="007817EE"/>
    <w:rsid w:val="00782CF8"/>
    <w:rsid w:val="007838FA"/>
    <w:rsid w:val="00783AC1"/>
    <w:rsid w:val="00785B6F"/>
    <w:rsid w:val="0078614F"/>
    <w:rsid w:val="00787260"/>
    <w:rsid w:val="00787678"/>
    <w:rsid w:val="007906A0"/>
    <w:rsid w:val="00790745"/>
    <w:rsid w:val="00790BF5"/>
    <w:rsid w:val="00791AAC"/>
    <w:rsid w:val="00792B01"/>
    <w:rsid w:val="00792F17"/>
    <w:rsid w:val="00792F74"/>
    <w:rsid w:val="00793F63"/>
    <w:rsid w:val="007955FB"/>
    <w:rsid w:val="00795898"/>
    <w:rsid w:val="007959FE"/>
    <w:rsid w:val="007979CA"/>
    <w:rsid w:val="00797A2A"/>
    <w:rsid w:val="00797FBA"/>
    <w:rsid w:val="007A0220"/>
    <w:rsid w:val="007A0CF1"/>
    <w:rsid w:val="007A0E6B"/>
    <w:rsid w:val="007A131E"/>
    <w:rsid w:val="007A199B"/>
    <w:rsid w:val="007A1E3F"/>
    <w:rsid w:val="007A1FB9"/>
    <w:rsid w:val="007A2D59"/>
    <w:rsid w:val="007A2F32"/>
    <w:rsid w:val="007A329D"/>
    <w:rsid w:val="007A6CE7"/>
    <w:rsid w:val="007A7C24"/>
    <w:rsid w:val="007A7DA2"/>
    <w:rsid w:val="007B07FD"/>
    <w:rsid w:val="007B1415"/>
    <w:rsid w:val="007B4C06"/>
    <w:rsid w:val="007B4F87"/>
    <w:rsid w:val="007B6BA5"/>
    <w:rsid w:val="007B786B"/>
    <w:rsid w:val="007C1662"/>
    <w:rsid w:val="007C183A"/>
    <w:rsid w:val="007C2A05"/>
    <w:rsid w:val="007C3390"/>
    <w:rsid w:val="007C3BA3"/>
    <w:rsid w:val="007C4106"/>
    <w:rsid w:val="007C42D8"/>
    <w:rsid w:val="007C4F4B"/>
    <w:rsid w:val="007C575A"/>
    <w:rsid w:val="007C5974"/>
    <w:rsid w:val="007C5A80"/>
    <w:rsid w:val="007C5CC3"/>
    <w:rsid w:val="007C6D88"/>
    <w:rsid w:val="007C720A"/>
    <w:rsid w:val="007C727A"/>
    <w:rsid w:val="007C7CEB"/>
    <w:rsid w:val="007D009C"/>
    <w:rsid w:val="007D03D5"/>
    <w:rsid w:val="007D1278"/>
    <w:rsid w:val="007D3A4A"/>
    <w:rsid w:val="007D4728"/>
    <w:rsid w:val="007D582A"/>
    <w:rsid w:val="007D5A17"/>
    <w:rsid w:val="007D6119"/>
    <w:rsid w:val="007D63A4"/>
    <w:rsid w:val="007D66D4"/>
    <w:rsid w:val="007D681E"/>
    <w:rsid w:val="007D7362"/>
    <w:rsid w:val="007E043A"/>
    <w:rsid w:val="007E0AF4"/>
    <w:rsid w:val="007E1CEB"/>
    <w:rsid w:val="007E287E"/>
    <w:rsid w:val="007E2AC5"/>
    <w:rsid w:val="007E390B"/>
    <w:rsid w:val="007E3FCA"/>
    <w:rsid w:val="007E4623"/>
    <w:rsid w:val="007E47E7"/>
    <w:rsid w:val="007E66C0"/>
    <w:rsid w:val="007F0129"/>
    <w:rsid w:val="007F0425"/>
    <w:rsid w:val="007F0D8B"/>
    <w:rsid w:val="007F11F0"/>
    <w:rsid w:val="007F1E6C"/>
    <w:rsid w:val="007F1EEC"/>
    <w:rsid w:val="007F20C0"/>
    <w:rsid w:val="007F3D07"/>
    <w:rsid w:val="007F3DD7"/>
    <w:rsid w:val="007F4194"/>
    <w:rsid w:val="007F4B9E"/>
    <w:rsid w:val="007F5269"/>
    <w:rsid w:val="007F5C00"/>
    <w:rsid w:val="007F5CCA"/>
    <w:rsid w:val="007F5CE2"/>
    <w:rsid w:val="007F6611"/>
    <w:rsid w:val="007F6F42"/>
    <w:rsid w:val="008008DF"/>
    <w:rsid w:val="00800F49"/>
    <w:rsid w:val="00804037"/>
    <w:rsid w:val="00804A30"/>
    <w:rsid w:val="008060A3"/>
    <w:rsid w:val="0080640A"/>
    <w:rsid w:val="00810211"/>
    <w:rsid w:val="00810BAC"/>
    <w:rsid w:val="00812CB0"/>
    <w:rsid w:val="008134E1"/>
    <w:rsid w:val="00814642"/>
    <w:rsid w:val="0081616C"/>
    <w:rsid w:val="0081675B"/>
    <w:rsid w:val="0081718D"/>
    <w:rsid w:val="008175E9"/>
    <w:rsid w:val="0082087E"/>
    <w:rsid w:val="00820B7D"/>
    <w:rsid w:val="008219C3"/>
    <w:rsid w:val="00821D7F"/>
    <w:rsid w:val="00822B9A"/>
    <w:rsid w:val="00823AAD"/>
    <w:rsid w:val="008242D7"/>
    <w:rsid w:val="00824F32"/>
    <w:rsid w:val="008255CD"/>
    <w:rsid w:val="0082577B"/>
    <w:rsid w:val="00825F48"/>
    <w:rsid w:val="00826CAA"/>
    <w:rsid w:val="00827670"/>
    <w:rsid w:val="0083041C"/>
    <w:rsid w:val="00832394"/>
    <w:rsid w:val="008340EE"/>
    <w:rsid w:val="00837038"/>
    <w:rsid w:val="008379F4"/>
    <w:rsid w:val="00837CF9"/>
    <w:rsid w:val="00840842"/>
    <w:rsid w:val="00840EBE"/>
    <w:rsid w:val="008411F8"/>
    <w:rsid w:val="00843674"/>
    <w:rsid w:val="0084369B"/>
    <w:rsid w:val="00843A8A"/>
    <w:rsid w:val="00843D5A"/>
    <w:rsid w:val="00844217"/>
    <w:rsid w:val="0084453E"/>
    <w:rsid w:val="00846B01"/>
    <w:rsid w:val="00846C31"/>
    <w:rsid w:val="008519C0"/>
    <w:rsid w:val="008529D9"/>
    <w:rsid w:val="00853C0E"/>
    <w:rsid w:val="00854CE4"/>
    <w:rsid w:val="00854F00"/>
    <w:rsid w:val="0085616C"/>
    <w:rsid w:val="00861A3C"/>
    <w:rsid w:val="00863468"/>
    <w:rsid w:val="00864A64"/>
    <w:rsid w:val="00864F21"/>
    <w:rsid w:val="008659A7"/>
    <w:rsid w:val="00865BF8"/>
    <w:rsid w:val="00865F21"/>
    <w:rsid w:val="0086622A"/>
    <w:rsid w:val="00866760"/>
    <w:rsid w:val="00866893"/>
    <w:rsid w:val="00866E93"/>
    <w:rsid w:val="00866F02"/>
    <w:rsid w:val="0086793F"/>
    <w:rsid w:val="00867D18"/>
    <w:rsid w:val="008705B4"/>
    <w:rsid w:val="008706B8"/>
    <w:rsid w:val="00871F68"/>
    <w:rsid w:val="00871F9A"/>
    <w:rsid w:val="00871FD5"/>
    <w:rsid w:val="00872FF7"/>
    <w:rsid w:val="00874D32"/>
    <w:rsid w:val="00874F86"/>
    <w:rsid w:val="008772FF"/>
    <w:rsid w:val="0087748D"/>
    <w:rsid w:val="00880C45"/>
    <w:rsid w:val="00880F79"/>
    <w:rsid w:val="0088172E"/>
    <w:rsid w:val="00881EF9"/>
    <w:rsid w:val="00881EFA"/>
    <w:rsid w:val="00882A13"/>
    <w:rsid w:val="00883356"/>
    <w:rsid w:val="00884D23"/>
    <w:rsid w:val="00885547"/>
    <w:rsid w:val="0088614C"/>
    <w:rsid w:val="008869C0"/>
    <w:rsid w:val="008869D1"/>
    <w:rsid w:val="008874C1"/>
    <w:rsid w:val="008879CB"/>
    <w:rsid w:val="00887CA3"/>
    <w:rsid w:val="00890087"/>
    <w:rsid w:val="0089170C"/>
    <w:rsid w:val="00891960"/>
    <w:rsid w:val="00891BAB"/>
    <w:rsid w:val="00891ED9"/>
    <w:rsid w:val="008922F6"/>
    <w:rsid w:val="00892778"/>
    <w:rsid w:val="00893064"/>
    <w:rsid w:val="008945CB"/>
    <w:rsid w:val="00894EC5"/>
    <w:rsid w:val="00895F2A"/>
    <w:rsid w:val="00896369"/>
    <w:rsid w:val="00896F08"/>
    <w:rsid w:val="008979B1"/>
    <w:rsid w:val="00897C6F"/>
    <w:rsid w:val="008A0D86"/>
    <w:rsid w:val="008A0FAD"/>
    <w:rsid w:val="008A2250"/>
    <w:rsid w:val="008A352C"/>
    <w:rsid w:val="008A4191"/>
    <w:rsid w:val="008A4279"/>
    <w:rsid w:val="008A4A98"/>
    <w:rsid w:val="008A5772"/>
    <w:rsid w:val="008A6B25"/>
    <w:rsid w:val="008A6C4F"/>
    <w:rsid w:val="008A6D19"/>
    <w:rsid w:val="008A7340"/>
    <w:rsid w:val="008A7E01"/>
    <w:rsid w:val="008B1754"/>
    <w:rsid w:val="008B1932"/>
    <w:rsid w:val="008B1F84"/>
    <w:rsid w:val="008B2066"/>
    <w:rsid w:val="008B296E"/>
    <w:rsid w:val="008B2DD6"/>
    <w:rsid w:val="008B389E"/>
    <w:rsid w:val="008B59D0"/>
    <w:rsid w:val="008B605E"/>
    <w:rsid w:val="008B66F1"/>
    <w:rsid w:val="008C104F"/>
    <w:rsid w:val="008C17DC"/>
    <w:rsid w:val="008C218D"/>
    <w:rsid w:val="008C2393"/>
    <w:rsid w:val="008C2915"/>
    <w:rsid w:val="008C3297"/>
    <w:rsid w:val="008C3C15"/>
    <w:rsid w:val="008C40B5"/>
    <w:rsid w:val="008C4E42"/>
    <w:rsid w:val="008C6E27"/>
    <w:rsid w:val="008D0176"/>
    <w:rsid w:val="008D045E"/>
    <w:rsid w:val="008D064A"/>
    <w:rsid w:val="008D1101"/>
    <w:rsid w:val="008D1AE0"/>
    <w:rsid w:val="008D226E"/>
    <w:rsid w:val="008D24A3"/>
    <w:rsid w:val="008D32C3"/>
    <w:rsid w:val="008D345B"/>
    <w:rsid w:val="008D3F25"/>
    <w:rsid w:val="008D44BD"/>
    <w:rsid w:val="008D4D82"/>
    <w:rsid w:val="008D760E"/>
    <w:rsid w:val="008E0354"/>
    <w:rsid w:val="008E0E46"/>
    <w:rsid w:val="008E3AEC"/>
    <w:rsid w:val="008E4844"/>
    <w:rsid w:val="008E499E"/>
    <w:rsid w:val="008E4ACE"/>
    <w:rsid w:val="008E7116"/>
    <w:rsid w:val="008F093A"/>
    <w:rsid w:val="008F096D"/>
    <w:rsid w:val="008F0B38"/>
    <w:rsid w:val="008F143B"/>
    <w:rsid w:val="008F2E8A"/>
    <w:rsid w:val="008F3882"/>
    <w:rsid w:val="008F3CFA"/>
    <w:rsid w:val="008F4B7C"/>
    <w:rsid w:val="008F7486"/>
    <w:rsid w:val="00900673"/>
    <w:rsid w:val="00901FEE"/>
    <w:rsid w:val="009065DD"/>
    <w:rsid w:val="0090676D"/>
    <w:rsid w:val="009068F6"/>
    <w:rsid w:val="00906BE8"/>
    <w:rsid w:val="00907292"/>
    <w:rsid w:val="00907D74"/>
    <w:rsid w:val="00910058"/>
    <w:rsid w:val="00910D21"/>
    <w:rsid w:val="009114A7"/>
    <w:rsid w:val="0091271F"/>
    <w:rsid w:val="009127AF"/>
    <w:rsid w:val="009130C2"/>
    <w:rsid w:val="00913101"/>
    <w:rsid w:val="00914367"/>
    <w:rsid w:val="00915611"/>
    <w:rsid w:val="00915784"/>
    <w:rsid w:val="0091582D"/>
    <w:rsid w:val="00915E6E"/>
    <w:rsid w:val="0091609E"/>
    <w:rsid w:val="00917289"/>
    <w:rsid w:val="00917DAB"/>
    <w:rsid w:val="00920BC8"/>
    <w:rsid w:val="009223E6"/>
    <w:rsid w:val="009233BA"/>
    <w:rsid w:val="00923F13"/>
    <w:rsid w:val="009252BC"/>
    <w:rsid w:val="00926E47"/>
    <w:rsid w:val="00927BB5"/>
    <w:rsid w:val="00927D57"/>
    <w:rsid w:val="009301B3"/>
    <w:rsid w:val="009304B8"/>
    <w:rsid w:val="00930F31"/>
    <w:rsid w:val="00932A6D"/>
    <w:rsid w:val="00933E8B"/>
    <w:rsid w:val="00935AA3"/>
    <w:rsid w:val="00936881"/>
    <w:rsid w:val="00936B9B"/>
    <w:rsid w:val="009378E3"/>
    <w:rsid w:val="00940DB8"/>
    <w:rsid w:val="00943D76"/>
    <w:rsid w:val="00944045"/>
    <w:rsid w:val="00944CFC"/>
    <w:rsid w:val="009451E4"/>
    <w:rsid w:val="00947162"/>
    <w:rsid w:val="0095008E"/>
    <w:rsid w:val="00951C16"/>
    <w:rsid w:val="009540C6"/>
    <w:rsid w:val="0095419E"/>
    <w:rsid w:val="0095500C"/>
    <w:rsid w:val="009558CB"/>
    <w:rsid w:val="00956144"/>
    <w:rsid w:val="0095625B"/>
    <w:rsid w:val="00956B7E"/>
    <w:rsid w:val="00956ECF"/>
    <w:rsid w:val="009575F1"/>
    <w:rsid w:val="00957FC1"/>
    <w:rsid w:val="009610D0"/>
    <w:rsid w:val="00962265"/>
    <w:rsid w:val="0096375C"/>
    <w:rsid w:val="0096535F"/>
    <w:rsid w:val="009658C0"/>
    <w:rsid w:val="00966017"/>
    <w:rsid w:val="009661FB"/>
    <w:rsid w:val="009662E6"/>
    <w:rsid w:val="00966772"/>
    <w:rsid w:val="00967BA3"/>
    <w:rsid w:val="00967E0B"/>
    <w:rsid w:val="0097095E"/>
    <w:rsid w:val="00970E30"/>
    <w:rsid w:val="00971472"/>
    <w:rsid w:val="0097153A"/>
    <w:rsid w:val="009718BB"/>
    <w:rsid w:val="0097255C"/>
    <w:rsid w:val="00973867"/>
    <w:rsid w:val="00973E55"/>
    <w:rsid w:val="00974792"/>
    <w:rsid w:val="0097535A"/>
    <w:rsid w:val="0097566C"/>
    <w:rsid w:val="00975FA7"/>
    <w:rsid w:val="0097613D"/>
    <w:rsid w:val="009772BE"/>
    <w:rsid w:val="00980EFE"/>
    <w:rsid w:val="009830B5"/>
    <w:rsid w:val="00983D24"/>
    <w:rsid w:val="00984CA3"/>
    <w:rsid w:val="0098580D"/>
    <w:rsid w:val="0098592B"/>
    <w:rsid w:val="00985948"/>
    <w:rsid w:val="00985A3B"/>
    <w:rsid w:val="00985FC4"/>
    <w:rsid w:val="00987C6B"/>
    <w:rsid w:val="0099026D"/>
    <w:rsid w:val="00990766"/>
    <w:rsid w:val="00990AE7"/>
    <w:rsid w:val="00991261"/>
    <w:rsid w:val="00991410"/>
    <w:rsid w:val="00991616"/>
    <w:rsid w:val="00991DCF"/>
    <w:rsid w:val="00991FFC"/>
    <w:rsid w:val="00992AF4"/>
    <w:rsid w:val="00992EC3"/>
    <w:rsid w:val="00992FE8"/>
    <w:rsid w:val="0099319E"/>
    <w:rsid w:val="0099374E"/>
    <w:rsid w:val="00993CF1"/>
    <w:rsid w:val="009941AD"/>
    <w:rsid w:val="009950E9"/>
    <w:rsid w:val="00995A1B"/>
    <w:rsid w:val="009964C4"/>
    <w:rsid w:val="00997955"/>
    <w:rsid w:val="009A1847"/>
    <w:rsid w:val="009A1F5E"/>
    <w:rsid w:val="009A2665"/>
    <w:rsid w:val="009A28FC"/>
    <w:rsid w:val="009A2DF0"/>
    <w:rsid w:val="009A2DF8"/>
    <w:rsid w:val="009A3419"/>
    <w:rsid w:val="009A3830"/>
    <w:rsid w:val="009A3E8C"/>
    <w:rsid w:val="009A4629"/>
    <w:rsid w:val="009A50B7"/>
    <w:rsid w:val="009A52E8"/>
    <w:rsid w:val="009A659F"/>
    <w:rsid w:val="009A7B81"/>
    <w:rsid w:val="009B0165"/>
    <w:rsid w:val="009B0A90"/>
    <w:rsid w:val="009B2C45"/>
    <w:rsid w:val="009B2E46"/>
    <w:rsid w:val="009B3162"/>
    <w:rsid w:val="009B33F8"/>
    <w:rsid w:val="009B42E8"/>
    <w:rsid w:val="009B4B30"/>
    <w:rsid w:val="009B596C"/>
    <w:rsid w:val="009B6E0C"/>
    <w:rsid w:val="009B7683"/>
    <w:rsid w:val="009C0C27"/>
    <w:rsid w:val="009C2A55"/>
    <w:rsid w:val="009C2BB1"/>
    <w:rsid w:val="009C38AA"/>
    <w:rsid w:val="009C39D6"/>
    <w:rsid w:val="009C3BDF"/>
    <w:rsid w:val="009C3DFF"/>
    <w:rsid w:val="009C4382"/>
    <w:rsid w:val="009C497E"/>
    <w:rsid w:val="009C5168"/>
    <w:rsid w:val="009C674D"/>
    <w:rsid w:val="009C6BD3"/>
    <w:rsid w:val="009D01C0"/>
    <w:rsid w:val="009D027F"/>
    <w:rsid w:val="009D35A2"/>
    <w:rsid w:val="009D4179"/>
    <w:rsid w:val="009D43BA"/>
    <w:rsid w:val="009D6A08"/>
    <w:rsid w:val="009D722A"/>
    <w:rsid w:val="009D79DD"/>
    <w:rsid w:val="009E0A16"/>
    <w:rsid w:val="009E1D6F"/>
    <w:rsid w:val="009E21F2"/>
    <w:rsid w:val="009E27E7"/>
    <w:rsid w:val="009E2CC1"/>
    <w:rsid w:val="009E2E8D"/>
    <w:rsid w:val="009E497A"/>
    <w:rsid w:val="009E55F7"/>
    <w:rsid w:val="009E5EAD"/>
    <w:rsid w:val="009E6CB7"/>
    <w:rsid w:val="009E75CB"/>
    <w:rsid w:val="009E7970"/>
    <w:rsid w:val="009F2EAC"/>
    <w:rsid w:val="009F57E3"/>
    <w:rsid w:val="009F6161"/>
    <w:rsid w:val="009F6557"/>
    <w:rsid w:val="009F6989"/>
    <w:rsid w:val="009F7AF9"/>
    <w:rsid w:val="00A000E9"/>
    <w:rsid w:val="00A00766"/>
    <w:rsid w:val="00A00983"/>
    <w:rsid w:val="00A00B6F"/>
    <w:rsid w:val="00A023B9"/>
    <w:rsid w:val="00A03769"/>
    <w:rsid w:val="00A03AF8"/>
    <w:rsid w:val="00A07840"/>
    <w:rsid w:val="00A10F4F"/>
    <w:rsid w:val="00A11067"/>
    <w:rsid w:val="00A12258"/>
    <w:rsid w:val="00A12FDD"/>
    <w:rsid w:val="00A141CA"/>
    <w:rsid w:val="00A14D8A"/>
    <w:rsid w:val="00A15170"/>
    <w:rsid w:val="00A16FD3"/>
    <w:rsid w:val="00A16FF1"/>
    <w:rsid w:val="00A17026"/>
    <w:rsid w:val="00A1704A"/>
    <w:rsid w:val="00A174AF"/>
    <w:rsid w:val="00A20356"/>
    <w:rsid w:val="00A20E88"/>
    <w:rsid w:val="00A2136F"/>
    <w:rsid w:val="00A2170D"/>
    <w:rsid w:val="00A21F6E"/>
    <w:rsid w:val="00A223DE"/>
    <w:rsid w:val="00A22446"/>
    <w:rsid w:val="00A24579"/>
    <w:rsid w:val="00A250E3"/>
    <w:rsid w:val="00A27A8C"/>
    <w:rsid w:val="00A27BC2"/>
    <w:rsid w:val="00A31026"/>
    <w:rsid w:val="00A31987"/>
    <w:rsid w:val="00A31BC0"/>
    <w:rsid w:val="00A321C4"/>
    <w:rsid w:val="00A34A62"/>
    <w:rsid w:val="00A34A64"/>
    <w:rsid w:val="00A350B3"/>
    <w:rsid w:val="00A354E2"/>
    <w:rsid w:val="00A356F5"/>
    <w:rsid w:val="00A35758"/>
    <w:rsid w:val="00A36792"/>
    <w:rsid w:val="00A367F4"/>
    <w:rsid w:val="00A36F54"/>
    <w:rsid w:val="00A36F69"/>
    <w:rsid w:val="00A37255"/>
    <w:rsid w:val="00A377C1"/>
    <w:rsid w:val="00A40CFB"/>
    <w:rsid w:val="00A41173"/>
    <w:rsid w:val="00A415E4"/>
    <w:rsid w:val="00A417B8"/>
    <w:rsid w:val="00A41C80"/>
    <w:rsid w:val="00A41D6B"/>
    <w:rsid w:val="00A425EB"/>
    <w:rsid w:val="00A43149"/>
    <w:rsid w:val="00A43340"/>
    <w:rsid w:val="00A44CC8"/>
    <w:rsid w:val="00A4577C"/>
    <w:rsid w:val="00A4631A"/>
    <w:rsid w:val="00A4638A"/>
    <w:rsid w:val="00A46532"/>
    <w:rsid w:val="00A46870"/>
    <w:rsid w:val="00A46ABE"/>
    <w:rsid w:val="00A46DD0"/>
    <w:rsid w:val="00A5102A"/>
    <w:rsid w:val="00A516EF"/>
    <w:rsid w:val="00A51997"/>
    <w:rsid w:val="00A51CFF"/>
    <w:rsid w:val="00A5214C"/>
    <w:rsid w:val="00A52E45"/>
    <w:rsid w:val="00A53ED3"/>
    <w:rsid w:val="00A54384"/>
    <w:rsid w:val="00A5500A"/>
    <w:rsid w:val="00A553ED"/>
    <w:rsid w:val="00A55F85"/>
    <w:rsid w:val="00A56CEE"/>
    <w:rsid w:val="00A56EB2"/>
    <w:rsid w:val="00A57302"/>
    <w:rsid w:val="00A57893"/>
    <w:rsid w:val="00A60120"/>
    <w:rsid w:val="00A60D80"/>
    <w:rsid w:val="00A61507"/>
    <w:rsid w:val="00A615D4"/>
    <w:rsid w:val="00A6236B"/>
    <w:rsid w:val="00A6314B"/>
    <w:rsid w:val="00A6493C"/>
    <w:rsid w:val="00A650AA"/>
    <w:rsid w:val="00A65CE6"/>
    <w:rsid w:val="00A66B51"/>
    <w:rsid w:val="00A66C1F"/>
    <w:rsid w:val="00A6785E"/>
    <w:rsid w:val="00A71536"/>
    <w:rsid w:val="00A7198C"/>
    <w:rsid w:val="00A72F22"/>
    <w:rsid w:val="00A733BC"/>
    <w:rsid w:val="00A7449E"/>
    <w:rsid w:val="00A748A6"/>
    <w:rsid w:val="00A7576F"/>
    <w:rsid w:val="00A75D5C"/>
    <w:rsid w:val="00A765FD"/>
    <w:rsid w:val="00A76A69"/>
    <w:rsid w:val="00A76DA0"/>
    <w:rsid w:val="00A7794D"/>
    <w:rsid w:val="00A77C98"/>
    <w:rsid w:val="00A77FBE"/>
    <w:rsid w:val="00A86F96"/>
    <w:rsid w:val="00A879A4"/>
    <w:rsid w:val="00A90941"/>
    <w:rsid w:val="00A92899"/>
    <w:rsid w:val="00A92B2D"/>
    <w:rsid w:val="00A932D0"/>
    <w:rsid w:val="00A93BF3"/>
    <w:rsid w:val="00A93EAF"/>
    <w:rsid w:val="00A94110"/>
    <w:rsid w:val="00A96566"/>
    <w:rsid w:val="00A975C8"/>
    <w:rsid w:val="00AA0F1C"/>
    <w:rsid w:val="00AA0FF8"/>
    <w:rsid w:val="00AA1848"/>
    <w:rsid w:val="00AA19D8"/>
    <w:rsid w:val="00AA1D65"/>
    <w:rsid w:val="00AA2E31"/>
    <w:rsid w:val="00AA34CC"/>
    <w:rsid w:val="00AA3E51"/>
    <w:rsid w:val="00AB0A4B"/>
    <w:rsid w:val="00AB11E4"/>
    <w:rsid w:val="00AB19D6"/>
    <w:rsid w:val="00AB2102"/>
    <w:rsid w:val="00AB26BE"/>
    <w:rsid w:val="00AB2E77"/>
    <w:rsid w:val="00AB2EA1"/>
    <w:rsid w:val="00AB324C"/>
    <w:rsid w:val="00AB3702"/>
    <w:rsid w:val="00AB3845"/>
    <w:rsid w:val="00AB6B99"/>
    <w:rsid w:val="00AB7B3C"/>
    <w:rsid w:val="00AC0C0A"/>
    <w:rsid w:val="00AC0C36"/>
    <w:rsid w:val="00AC0F2C"/>
    <w:rsid w:val="00AC2545"/>
    <w:rsid w:val="00AC27EA"/>
    <w:rsid w:val="00AC502A"/>
    <w:rsid w:val="00AC786D"/>
    <w:rsid w:val="00AC7B20"/>
    <w:rsid w:val="00AC7C16"/>
    <w:rsid w:val="00AC7DDE"/>
    <w:rsid w:val="00AD0112"/>
    <w:rsid w:val="00AD05F7"/>
    <w:rsid w:val="00AD0842"/>
    <w:rsid w:val="00AD153F"/>
    <w:rsid w:val="00AD1C1A"/>
    <w:rsid w:val="00AD1F1C"/>
    <w:rsid w:val="00AD27D1"/>
    <w:rsid w:val="00AD336F"/>
    <w:rsid w:val="00AD3691"/>
    <w:rsid w:val="00AD4144"/>
    <w:rsid w:val="00AD4D4C"/>
    <w:rsid w:val="00AD60DD"/>
    <w:rsid w:val="00AD66C3"/>
    <w:rsid w:val="00AD6756"/>
    <w:rsid w:val="00AD7924"/>
    <w:rsid w:val="00AE029A"/>
    <w:rsid w:val="00AE07F9"/>
    <w:rsid w:val="00AE0816"/>
    <w:rsid w:val="00AE0A89"/>
    <w:rsid w:val="00AE1499"/>
    <w:rsid w:val="00AE31D8"/>
    <w:rsid w:val="00AE32F4"/>
    <w:rsid w:val="00AE337A"/>
    <w:rsid w:val="00AE37C1"/>
    <w:rsid w:val="00AE3CF3"/>
    <w:rsid w:val="00AE45A4"/>
    <w:rsid w:val="00AE5EAE"/>
    <w:rsid w:val="00AE6E81"/>
    <w:rsid w:val="00AE6F66"/>
    <w:rsid w:val="00AE7151"/>
    <w:rsid w:val="00AE736C"/>
    <w:rsid w:val="00AE7722"/>
    <w:rsid w:val="00AE7F01"/>
    <w:rsid w:val="00AF0580"/>
    <w:rsid w:val="00AF1049"/>
    <w:rsid w:val="00AF10FB"/>
    <w:rsid w:val="00AF2B51"/>
    <w:rsid w:val="00AF58A0"/>
    <w:rsid w:val="00AF58C1"/>
    <w:rsid w:val="00AF65FC"/>
    <w:rsid w:val="00AF74E7"/>
    <w:rsid w:val="00B00671"/>
    <w:rsid w:val="00B0067F"/>
    <w:rsid w:val="00B010B2"/>
    <w:rsid w:val="00B01DAD"/>
    <w:rsid w:val="00B038EF"/>
    <w:rsid w:val="00B03B62"/>
    <w:rsid w:val="00B0450F"/>
    <w:rsid w:val="00B05984"/>
    <w:rsid w:val="00B05B84"/>
    <w:rsid w:val="00B05D66"/>
    <w:rsid w:val="00B05EF0"/>
    <w:rsid w:val="00B05F87"/>
    <w:rsid w:val="00B06643"/>
    <w:rsid w:val="00B07E39"/>
    <w:rsid w:val="00B10783"/>
    <w:rsid w:val="00B10933"/>
    <w:rsid w:val="00B119A8"/>
    <w:rsid w:val="00B15055"/>
    <w:rsid w:val="00B15329"/>
    <w:rsid w:val="00B20548"/>
    <w:rsid w:val="00B22206"/>
    <w:rsid w:val="00B22BFF"/>
    <w:rsid w:val="00B23015"/>
    <w:rsid w:val="00B24FD3"/>
    <w:rsid w:val="00B25DA9"/>
    <w:rsid w:val="00B26C76"/>
    <w:rsid w:val="00B30179"/>
    <w:rsid w:val="00B31B0F"/>
    <w:rsid w:val="00B31C4B"/>
    <w:rsid w:val="00B31EE0"/>
    <w:rsid w:val="00B33247"/>
    <w:rsid w:val="00B343E3"/>
    <w:rsid w:val="00B34B5D"/>
    <w:rsid w:val="00B35B24"/>
    <w:rsid w:val="00B35BB8"/>
    <w:rsid w:val="00B362B5"/>
    <w:rsid w:val="00B37615"/>
    <w:rsid w:val="00B37693"/>
    <w:rsid w:val="00B37B15"/>
    <w:rsid w:val="00B37E11"/>
    <w:rsid w:val="00B37E85"/>
    <w:rsid w:val="00B37ED3"/>
    <w:rsid w:val="00B40D6F"/>
    <w:rsid w:val="00B410EA"/>
    <w:rsid w:val="00B42733"/>
    <w:rsid w:val="00B42F8A"/>
    <w:rsid w:val="00B43035"/>
    <w:rsid w:val="00B455D2"/>
    <w:rsid w:val="00B45BD4"/>
    <w:rsid w:val="00B45C02"/>
    <w:rsid w:val="00B45F3E"/>
    <w:rsid w:val="00B46F04"/>
    <w:rsid w:val="00B47242"/>
    <w:rsid w:val="00B479A3"/>
    <w:rsid w:val="00B47C66"/>
    <w:rsid w:val="00B500EF"/>
    <w:rsid w:val="00B515C8"/>
    <w:rsid w:val="00B5166E"/>
    <w:rsid w:val="00B516E8"/>
    <w:rsid w:val="00B5171E"/>
    <w:rsid w:val="00B5194D"/>
    <w:rsid w:val="00B54CC3"/>
    <w:rsid w:val="00B55B47"/>
    <w:rsid w:val="00B564EB"/>
    <w:rsid w:val="00B565AE"/>
    <w:rsid w:val="00B56C20"/>
    <w:rsid w:val="00B574C1"/>
    <w:rsid w:val="00B57C61"/>
    <w:rsid w:val="00B57CB6"/>
    <w:rsid w:val="00B6082F"/>
    <w:rsid w:val="00B61122"/>
    <w:rsid w:val="00B6251C"/>
    <w:rsid w:val="00B62D2F"/>
    <w:rsid w:val="00B6318B"/>
    <w:rsid w:val="00B64C8C"/>
    <w:rsid w:val="00B64F03"/>
    <w:rsid w:val="00B65588"/>
    <w:rsid w:val="00B66825"/>
    <w:rsid w:val="00B67E04"/>
    <w:rsid w:val="00B72A1E"/>
    <w:rsid w:val="00B73035"/>
    <w:rsid w:val="00B73051"/>
    <w:rsid w:val="00B74164"/>
    <w:rsid w:val="00B74DC3"/>
    <w:rsid w:val="00B7554B"/>
    <w:rsid w:val="00B75ACF"/>
    <w:rsid w:val="00B75CE9"/>
    <w:rsid w:val="00B77F4E"/>
    <w:rsid w:val="00B80E84"/>
    <w:rsid w:val="00B81E12"/>
    <w:rsid w:val="00B827D2"/>
    <w:rsid w:val="00B82ADB"/>
    <w:rsid w:val="00B832B2"/>
    <w:rsid w:val="00B8330A"/>
    <w:rsid w:val="00B85D05"/>
    <w:rsid w:val="00B85D2C"/>
    <w:rsid w:val="00B85EAA"/>
    <w:rsid w:val="00B87A82"/>
    <w:rsid w:val="00B909D0"/>
    <w:rsid w:val="00B92D3C"/>
    <w:rsid w:val="00B94333"/>
    <w:rsid w:val="00B95101"/>
    <w:rsid w:val="00B97098"/>
    <w:rsid w:val="00B97AB3"/>
    <w:rsid w:val="00BA03C5"/>
    <w:rsid w:val="00BA08D9"/>
    <w:rsid w:val="00BA13F6"/>
    <w:rsid w:val="00BA2BD0"/>
    <w:rsid w:val="00BA339B"/>
    <w:rsid w:val="00BA3F7A"/>
    <w:rsid w:val="00BA6839"/>
    <w:rsid w:val="00BA686A"/>
    <w:rsid w:val="00BA7CAB"/>
    <w:rsid w:val="00BB1A7E"/>
    <w:rsid w:val="00BB243D"/>
    <w:rsid w:val="00BB2827"/>
    <w:rsid w:val="00BB35A1"/>
    <w:rsid w:val="00BB58D7"/>
    <w:rsid w:val="00BB5ECB"/>
    <w:rsid w:val="00BB5EE7"/>
    <w:rsid w:val="00BB6F52"/>
    <w:rsid w:val="00BB7154"/>
    <w:rsid w:val="00BC0404"/>
    <w:rsid w:val="00BC0C1B"/>
    <w:rsid w:val="00BC0FBB"/>
    <w:rsid w:val="00BC1830"/>
    <w:rsid w:val="00BC1DD1"/>
    <w:rsid w:val="00BC1E7E"/>
    <w:rsid w:val="00BC351B"/>
    <w:rsid w:val="00BC4191"/>
    <w:rsid w:val="00BC530C"/>
    <w:rsid w:val="00BC5968"/>
    <w:rsid w:val="00BC5A6A"/>
    <w:rsid w:val="00BC5C47"/>
    <w:rsid w:val="00BC6B7C"/>
    <w:rsid w:val="00BC6F19"/>
    <w:rsid w:val="00BC74E9"/>
    <w:rsid w:val="00BD09AD"/>
    <w:rsid w:val="00BD0A18"/>
    <w:rsid w:val="00BD1D39"/>
    <w:rsid w:val="00BD25D7"/>
    <w:rsid w:val="00BD3645"/>
    <w:rsid w:val="00BD4F6D"/>
    <w:rsid w:val="00BD503B"/>
    <w:rsid w:val="00BE0654"/>
    <w:rsid w:val="00BE1BF5"/>
    <w:rsid w:val="00BE1D4A"/>
    <w:rsid w:val="00BE1DE4"/>
    <w:rsid w:val="00BE32A4"/>
    <w:rsid w:val="00BE36A9"/>
    <w:rsid w:val="00BE429A"/>
    <w:rsid w:val="00BE618E"/>
    <w:rsid w:val="00BE684E"/>
    <w:rsid w:val="00BE7BEC"/>
    <w:rsid w:val="00BF02C4"/>
    <w:rsid w:val="00BF0A5A"/>
    <w:rsid w:val="00BF0E63"/>
    <w:rsid w:val="00BF11CD"/>
    <w:rsid w:val="00BF12A3"/>
    <w:rsid w:val="00BF16D7"/>
    <w:rsid w:val="00BF2373"/>
    <w:rsid w:val="00BF3A9D"/>
    <w:rsid w:val="00BF400E"/>
    <w:rsid w:val="00BF4544"/>
    <w:rsid w:val="00BF4B2D"/>
    <w:rsid w:val="00BF5EA5"/>
    <w:rsid w:val="00BF7666"/>
    <w:rsid w:val="00C0050D"/>
    <w:rsid w:val="00C0068A"/>
    <w:rsid w:val="00C00B6A"/>
    <w:rsid w:val="00C01265"/>
    <w:rsid w:val="00C014D7"/>
    <w:rsid w:val="00C02061"/>
    <w:rsid w:val="00C02409"/>
    <w:rsid w:val="00C041D4"/>
    <w:rsid w:val="00C044E2"/>
    <w:rsid w:val="00C04661"/>
    <w:rsid w:val="00C048CB"/>
    <w:rsid w:val="00C04983"/>
    <w:rsid w:val="00C050E4"/>
    <w:rsid w:val="00C06160"/>
    <w:rsid w:val="00C066F3"/>
    <w:rsid w:val="00C069D7"/>
    <w:rsid w:val="00C07A6F"/>
    <w:rsid w:val="00C10869"/>
    <w:rsid w:val="00C1187C"/>
    <w:rsid w:val="00C1282E"/>
    <w:rsid w:val="00C1412D"/>
    <w:rsid w:val="00C155B3"/>
    <w:rsid w:val="00C15619"/>
    <w:rsid w:val="00C15DA6"/>
    <w:rsid w:val="00C1678E"/>
    <w:rsid w:val="00C16E3A"/>
    <w:rsid w:val="00C17FFA"/>
    <w:rsid w:val="00C20D71"/>
    <w:rsid w:val="00C211B8"/>
    <w:rsid w:val="00C2165E"/>
    <w:rsid w:val="00C22769"/>
    <w:rsid w:val="00C2376D"/>
    <w:rsid w:val="00C2607B"/>
    <w:rsid w:val="00C269D1"/>
    <w:rsid w:val="00C27766"/>
    <w:rsid w:val="00C3099B"/>
    <w:rsid w:val="00C31182"/>
    <w:rsid w:val="00C31678"/>
    <w:rsid w:val="00C32257"/>
    <w:rsid w:val="00C33E50"/>
    <w:rsid w:val="00C34E30"/>
    <w:rsid w:val="00C35A48"/>
    <w:rsid w:val="00C35BF9"/>
    <w:rsid w:val="00C35DE6"/>
    <w:rsid w:val="00C4116B"/>
    <w:rsid w:val="00C42916"/>
    <w:rsid w:val="00C429FB"/>
    <w:rsid w:val="00C42C5F"/>
    <w:rsid w:val="00C42EF8"/>
    <w:rsid w:val="00C432BA"/>
    <w:rsid w:val="00C4417C"/>
    <w:rsid w:val="00C445C7"/>
    <w:rsid w:val="00C45626"/>
    <w:rsid w:val="00C45A1D"/>
    <w:rsid w:val="00C45D2E"/>
    <w:rsid w:val="00C46352"/>
    <w:rsid w:val="00C463DD"/>
    <w:rsid w:val="00C464D9"/>
    <w:rsid w:val="00C47C0D"/>
    <w:rsid w:val="00C47F13"/>
    <w:rsid w:val="00C54364"/>
    <w:rsid w:val="00C553A0"/>
    <w:rsid w:val="00C564D0"/>
    <w:rsid w:val="00C56B80"/>
    <w:rsid w:val="00C5715D"/>
    <w:rsid w:val="00C60004"/>
    <w:rsid w:val="00C61639"/>
    <w:rsid w:val="00C619CD"/>
    <w:rsid w:val="00C61B96"/>
    <w:rsid w:val="00C65835"/>
    <w:rsid w:val="00C65D4D"/>
    <w:rsid w:val="00C6700A"/>
    <w:rsid w:val="00C67217"/>
    <w:rsid w:val="00C67D6F"/>
    <w:rsid w:val="00C700C5"/>
    <w:rsid w:val="00C70A67"/>
    <w:rsid w:val="00C71ACE"/>
    <w:rsid w:val="00C72B5A"/>
    <w:rsid w:val="00C72DA9"/>
    <w:rsid w:val="00C741EE"/>
    <w:rsid w:val="00C745C3"/>
    <w:rsid w:val="00C768F6"/>
    <w:rsid w:val="00C7799F"/>
    <w:rsid w:val="00C779E4"/>
    <w:rsid w:val="00C809FB"/>
    <w:rsid w:val="00C812B8"/>
    <w:rsid w:val="00C81B92"/>
    <w:rsid w:val="00C8240A"/>
    <w:rsid w:val="00C82CF0"/>
    <w:rsid w:val="00C84919"/>
    <w:rsid w:val="00C855B7"/>
    <w:rsid w:val="00C85FD7"/>
    <w:rsid w:val="00C8779F"/>
    <w:rsid w:val="00C9269D"/>
    <w:rsid w:val="00C937A1"/>
    <w:rsid w:val="00C93A1A"/>
    <w:rsid w:val="00C94213"/>
    <w:rsid w:val="00C94B63"/>
    <w:rsid w:val="00C96678"/>
    <w:rsid w:val="00C9743C"/>
    <w:rsid w:val="00C97BA9"/>
    <w:rsid w:val="00CA02BD"/>
    <w:rsid w:val="00CA0966"/>
    <w:rsid w:val="00CA1AC1"/>
    <w:rsid w:val="00CA24A4"/>
    <w:rsid w:val="00CA24AE"/>
    <w:rsid w:val="00CA34A6"/>
    <w:rsid w:val="00CA38CD"/>
    <w:rsid w:val="00CA42BA"/>
    <w:rsid w:val="00CA6218"/>
    <w:rsid w:val="00CA7073"/>
    <w:rsid w:val="00CA786F"/>
    <w:rsid w:val="00CB23FC"/>
    <w:rsid w:val="00CB247E"/>
    <w:rsid w:val="00CB3363"/>
    <w:rsid w:val="00CB348D"/>
    <w:rsid w:val="00CB3952"/>
    <w:rsid w:val="00CB7139"/>
    <w:rsid w:val="00CB793C"/>
    <w:rsid w:val="00CC1145"/>
    <w:rsid w:val="00CC1296"/>
    <w:rsid w:val="00CC28CC"/>
    <w:rsid w:val="00CC3C7B"/>
    <w:rsid w:val="00CC402C"/>
    <w:rsid w:val="00CC40BF"/>
    <w:rsid w:val="00CC5240"/>
    <w:rsid w:val="00CC7A4C"/>
    <w:rsid w:val="00CD03DD"/>
    <w:rsid w:val="00CD0E53"/>
    <w:rsid w:val="00CD18A1"/>
    <w:rsid w:val="00CD1C9C"/>
    <w:rsid w:val="00CD348F"/>
    <w:rsid w:val="00CD34E7"/>
    <w:rsid w:val="00CD3B9F"/>
    <w:rsid w:val="00CD3EC0"/>
    <w:rsid w:val="00CD46EA"/>
    <w:rsid w:val="00CD46F5"/>
    <w:rsid w:val="00CD6679"/>
    <w:rsid w:val="00CD67FC"/>
    <w:rsid w:val="00CD6DD3"/>
    <w:rsid w:val="00CD6EF8"/>
    <w:rsid w:val="00CE0DCF"/>
    <w:rsid w:val="00CE186D"/>
    <w:rsid w:val="00CE31AA"/>
    <w:rsid w:val="00CE4A8F"/>
    <w:rsid w:val="00CE4C76"/>
    <w:rsid w:val="00CE619D"/>
    <w:rsid w:val="00CF071D"/>
    <w:rsid w:val="00CF1151"/>
    <w:rsid w:val="00CF1B99"/>
    <w:rsid w:val="00CF372E"/>
    <w:rsid w:val="00CF374B"/>
    <w:rsid w:val="00CF388E"/>
    <w:rsid w:val="00CF3C5D"/>
    <w:rsid w:val="00CF5271"/>
    <w:rsid w:val="00CF551C"/>
    <w:rsid w:val="00CF78CD"/>
    <w:rsid w:val="00D003C7"/>
    <w:rsid w:val="00D00471"/>
    <w:rsid w:val="00D00B23"/>
    <w:rsid w:val="00D01C4E"/>
    <w:rsid w:val="00D01E18"/>
    <w:rsid w:val="00D02B2E"/>
    <w:rsid w:val="00D0434A"/>
    <w:rsid w:val="00D0710E"/>
    <w:rsid w:val="00D07ACB"/>
    <w:rsid w:val="00D10049"/>
    <w:rsid w:val="00D101A6"/>
    <w:rsid w:val="00D15254"/>
    <w:rsid w:val="00D1566C"/>
    <w:rsid w:val="00D15B04"/>
    <w:rsid w:val="00D1669B"/>
    <w:rsid w:val="00D16995"/>
    <w:rsid w:val="00D2031B"/>
    <w:rsid w:val="00D21595"/>
    <w:rsid w:val="00D24440"/>
    <w:rsid w:val="00D25277"/>
    <w:rsid w:val="00D25B14"/>
    <w:rsid w:val="00D25FE2"/>
    <w:rsid w:val="00D26DAF"/>
    <w:rsid w:val="00D3044A"/>
    <w:rsid w:val="00D30B61"/>
    <w:rsid w:val="00D31069"/>
    <w:rsid w:val="00D32507"/>
    <w:rsid w:val="00D32A38"/>
    <w:rsid w:val="00D33287"/>
    <w:rsid w:val="00D334BF"/>
    <w:rsid w:val="00D3393D"/>
    <w:rsid w:val="00D34803"/>
    <w:rsid w:val="00D349B1"/>
    <w:rsid w:val="00D34AE4"/>
    <w:rsid w:val="00D35602"/>
    <w:rsid w:val="00D35DAB"/>
    <w:rsid w:val="00D36574"/>
    <w:rsid w:val="00D36775"/>
    <w:rsid w:val="00D37DA9"/>
    <w:rsid w:val="00D37FF3"/>
    <w:rsid w:val="00D406A7"/>
    <w:rsid w:val="00D41905"/>
    <w:rsid w:val="00D41D2A"/>
    <w:rsid w:val="00D41DD3"/>
    <w:rsid w:val="00D42493"/>
    <w:rsid w:val="00D42A6B"/>
    <w:rsid w:val="00D43252"/>
    <w:rsid w:val="00D43B66"/>
    <w:rsid w:val="00D44118"/>
    <w:rsid w:val="00D442D6"/>
    <w:rsid w:val="00D44C2B"/>
    <w:rsid w:val="00D44D86"/>
    <w:rsid w:val="00D44DCC"/>
    <w:rsid w:val="00D4638C"/>
    <w:rsid w:val="00D47B42"/>
    <w:rsid w:val="00D50B7D"/>
    <w:rsid w:val="00D50EE5"/>
    <w:rsid w:val="00D50FAF"/>
    <w:rsid w:val="00D515D1"/>
    <w:rsid w:val="00D52012"/>
    <w:rsid w:val="00D523C9"/>
    <w:rsid w:val="00D534A3"/>
    <w:rsid w:val="00D54DA5"/>
    <w:rsid w:val="00D556CE"/>
    <w:rsid w:val="00D57ADB"/>
    <w:rsid w:val="00D57BEF"/>
    <w:rsid w:val="00D57EFB"/>
    <w:rsid w:val="00D607BD"/>
    <w:rsid w:val="00D62769"/>
    <w:rsid w:val="00D63BE9"/>
    <w:rsid w:val="00D666AE"/>
    <w:rsid w:val="00D704E5"/>
    <w:rsid w:val="00D709F5"/>
    <w:rsid w:val="00D70B9F"/>
    <w:rsid w:val="00D713BC"/>
    <w:rsid w:val="00D719C7"/>
    <w:rsid w:val="00D72727"/>
    <w:rsid w:val="00D72F18"/>
    <w:rsid w:val="00D7530F"/>
    <w:rsid w:val="00D76FC8"/>
    <w:rsid w:val="00D77570"/>
    <w:rsid w:val="00D803B2"/>
    <w:rsid w:val="00D8090F"/>
    <w:rsid w:val="00D82152"/>
    <w:rsid w:val="00D8254C"/>
    <w:rsid w:val="00D8374E"/>
    <w:rsid w:val="00D84447"/>
    <w:rsid w:val="00D84C9F"/>
    <w:rsid w:val="00D85BDF"/>
    <w:rsid w:val="00D8655F"/>
    <w:rsid w:val="00D87C38"/>
    <w:rsid w:val="00D87D24"/>
    <w:rsid w:val="00D905D8"/>
    <w:rsid w:val="00D91FEC"/>
    <w:rsid w:val="00D9391C"/>
    <w:rsid w:val="00D93C25"/>
    <w:rsid w:val="00D95100"/>
    <w:rsid w:val="00D95695"/>
    <w:rsid w:val="00D957D9"/>
    <w:rsid w:val="00D95D62"/>
    <w:rsid w:val="00D95DAE"/>
    <w:rsid w:val="00D963ED"/>
    <w:rsid w:val="00D978C6"/>
    <w:rsid w:val="00D97D48"/>
    <w:rsid w:val="00DA0956"/>
    <w:rsid w:val="00DA0FEA"/>
    <w:rsid w:val="00DA110A"/>
    <w:rsid w:val="00DA2686"/>
    <w:rsid w:val="00DA2C02"/>
    <w:rsid w:val="00DA357F"/>
    <w:rsid w:val="00DA39F8"/>
    <w:rsid w:val="00DA3E12"/>
    <w:rsid w:val="00DA4044"/>
    <w:rsid w:val="00DA76D6"/>
    <w:rsid w:val="00DB02B3"/>
    <w:rsid w:val="00DB03DF"/>
    <w:rsid w:val="00DB1AA6"/>
    <w:rsid w:val="00DB1AE2"/>
    <w:rsid w:val="00DB371F"/>
    <w:rsid w:val="00DB4F8A"/>
    <w:rsid w:val="00DB58E6"/>
    <w:rsid w:val="00DB605F"/>
    <w:rsid w:val="00DB7EFF"/>
    <w:rsid w:val="00DC18AD"/>
    <w:rsid w:val="00DC18F6"/>
    <w:rsid w:val="00DC2356"/>
    <w:rsid w:val="00DC2FC1"/>
    <w:rsid w:val="00DC35AA"/>
    <w:rsid w:val="00DC4253"/>
    <w:rsid w:val="00DC463C"/>
    <w:rsid w:val="00DC4BC6"/>
    <w:rsid w:val="00DC534C"/>
    <w:rsid w:val="00DC6803"/>
    <w:rsid w:val="00DC7A6F"/>
    <w:rsid w:val="00DC7AE8"/>
    <w:rsid w:val="00DD015F"/>
    <w:rsid w:val="00DD1286"/>
    <w:rsid w:val="00DD12D4"/>
    <w:rsid w:val="00DD22CC"/>
    <w:rsid w:val="00DD30A6"/>
    <w:rsid w:val="00DD33B7"/>
    <w:rsid w:val="00DD411B"/>
    <w:rsid w:val="00DD5075"/>
    <w:rsid w:val="00DD5BDD"/>
    <w:rsid w:val="00DD7315"/>
    <w:rsid w:val="00DE0F55"/>
    <w:rsid w:val="00DE1CB7"/>
    <w:rsid w:val="00DE44D4"/>
    <w:rsid w:val="00DE57FF"/>
    <w:rsid w:val="00DE5CDE"/>
    <w:rsid w:val="00DE71D0"/>
    <w:rsid w:val="00DE76B5"/>
    <w:rsid w:val="00DF0A52"/>
    <w:rsid w:val="00DF14FB"/>
    <w:rsid w:val="00DF189D"/>
    <w:rsid w:val="00DF1B90"/>
    <w:rsid w:val="00DF20DE"/>
    <w:rsid w:val="00DF5A69"/>
    <w:rsid w:val="00DF64D1"/>
    <w:rsid w:val="00DF6788"/>
    <w:rsid w:val="00DF69F0"/>
    <w:rsid w:val="00DF7CAE"/>
    <w:rsid w:val="00E01B83"/>
    <w:rsid w:val="00E02050"/>
    <w:rsid w:val="00E0234B"/>
    <w:rsid w:val="00E03AFC"/>
    <w:rsid w:val="00E125C6"/>
    <w:rsid w:val="00E12FA5"/>
    <w:rsid w:val="00E1393B"/>
    <w:rsid w:val="00E13CE0"/>
    <w:rsid w:val="00E2360F"/>
    <w:rsid w:val="00E23EB6"/>
    <w:rsid w:val="00E30085"/>
    <w:rsid w:val="00E30797"/>
    <w:rsid w:val="00E30880"/>
    <w:rsid w:val="00E30B13"/>
    <w:rsid w:val="00E3301C"/>
    <w:rsid w:val="00E335E3"/>
    <w:rsid w:val="00E33BEE"/>
    <w:rsid w:val="00E363A7"/>
    <w:rsid w:val="00E36CEB"/>
    <w:rsid w:val="00E37762"/>
    <w:rsid w:val="00E400BD"/>
    <w:rsid w:val="00E40698"/>
    <w:rsid w:val="00E42390"/>
    <w:rsid w:val="00E423C0"/>
    <w:rsid w:val="00E427D3"/>
    <w:rsid w:val="00E43E4B"/>
    <w:rsid w:val="00E441CD"/>
    <w:rsid w:val="00E44AF9"/>
    <w:rsid w:val="00E44B72"/>
    <w:rsid w:val="00E469A0"/>
    <w:rsid w:val="00E51BF1"/>
    <w:rsid w:val="00E52FA8"/>
    <w:rsid w:val="00E5312D"/>
    <w:rsid w:val="00E552FF"/>
    <w:rsid w:val="00E55556"/>
    <w:rsid w:val="00E55EF6"/>
    <w:rsid w:val="00E56147"/>
    <w:rsid w:val="00E56CD4"/>
    <w:rsid w:val="00E60016"/>
    <w:rsid w:val="00E60070"/>
    <w:rsid w:val="00E6045E"/>
    <w:rsid w:val="00E61FCE"/>
    <w:rsid w:val="00E627D2"/>
    <w:rsid w:val="00E62A9C"/>
    <w:rsid w:val="00E6414C"/>
    <w:rsid w:val="00E64159"/>
    <w:rsid w:val="00E64CFA"/>
    <w:rsid w:val="00E65C51"/>
    <w:rsid w:val="00E708A5"/>
    <w:rsid w:val="00E7260F"/>
    <w:rsid w:val="00E733FD"/>
    <w:rsid w:val="00E75A59"/>
    <w:rsid w:val="00E779F9"/>
    <w:rsid w:val="00E77A52"/>
    <w:rsid w:val="00E805D2"/>
    <w:rsid w:val="00E80E60"/>
    <w:rsid w:val="00E81A46"/>
    <w:rsid w:val="00E83642"/>
    <w:rsid w:val="00E83A00"/>
    <w:rsid w:val="00E84051"/>
    <w:rsid w:val="00E84BAE"/>
    <w:rsid w:val="00E8702D"/>
    <w:rsid w:val="00E90278"/>
    <w:rsid w:val="00E90D43"/>
    <w:rsid w:val="00E91425"/>
    <w:rsid w:val="00E916A9"/>
    <w:rsid w:val="00E916DE"/>
    <w:rsid w:val="00E91ADF"/>
    <w:rsid w:val="00E942AB"/>
    <w:rsid w:val="00E95AC4"/>
    <w:rsid w:val="00E96630"/>
    <w:rsid w:val="00E96AC8"/>
    <w:rsid w:val="00E97B69"/>
    <w:rsid w:val="00EA218A"/>
    <w:rsid w:val="00EA25B7"/>
    <w:rsid w:val="00EA36B0"/>
    <w:rsid w:val="00EA3D06"/>
    <w:rsid w:val="00EA4477"/>
    <w:rsid w:val="00EA5817"/>
    <w:rsid w:val="00EA5F2C"/>
    <w:rsid w:val="00EA772D"/>
    <w:rsid w:val="00EA79D3"/>
    <w:rsid w:val="00EB0309"/>
    <w:rsid w:val="00EB0335"/>
    <w:rsid w:val="00EB0659"/>
    <w:rsid w:val="00EB1B48"/>
    <w:rsid w:val="00EB2196"/>
    <w:rsid w:val="00EB3F6A"/>
    <w:rsid w:val="00EB3F80"/>
    <w:rsid w:val="00EB4265"/>
    <w:rsid w:val="00EB480E"/>
    <w:rsid w:val="00EB509D"/>
    <w:rsid w:val="00EB51D5"/>
    <w:rsid w:val="00EB54CD"/>
    <w:rsid w:val="00EC01A0"/>
    <w:rsid w:val="00EC04BA"/>
    <w:rsid w:val="00EC0CD4"/>
    <w:rsid w:val="00EC1311"/>
    <w:rsid w:val="00EC1D19"/>
    <w:rsid w:val="00EC2589"/>
    <w:rsid w:val="00EC280A"/>
    <w:rsid w:val="00EC3810"/>
    <w:rsid w:val="00EC4008"/>
    <w:rsid w:val="00EC621C"/>
    <w:rsid w:val="00EC7509"/>
    <w:rsid w:val="00ED18DC"/>
    <w:rsid w:val="00ED19B9"/>
    <w:rsid w:val="00ED1C0A"/>
    <w:rsid w:val="00ED4213"/>
    <w:rsid w:val="00ED4DBD"/>
    <w:rsid w:val="00ED6201"/>
    <w:rsid w:val="00ED6E7C"/>
    <w:rsid w:val="00ED7A2A"/>
    <w:rsid w:val="00ED7E6C"/>
    <w:rsid w:val="00EE021D"/>
    <w:rsid w:val="00EE0256"/>
    <w:rsid w:val="00EE0419"/>
    <w:rsid w:val="00EE18B1"/>
    <w:rsid w:val="00EE2633"/>
    <w:rsid w:val="00EE2707"/>
    <w:rsid w:val="00EE32CE"/>
    <w:rsid w:val="00EE353D"/>
    <w:rsid w:val="00EE3684"/>
    <w:rsid w:val="00EE4A8F"/>
    <w:rsid w:val="00EF1530"/>
    <w:rsid w:val="00EF15AA"/>
    <w:rsid w:val="00EF1D7F"/>
    <w:rsid w:val="00EF34C8"/>
    <w:rsid w:val="00EF3842"/>
    <w:rsid w:val="00EF38E0"/>
    <w:rsid w:val="00EF4580"/>
    <w:rsid w:val="00EF508A"/>
    <w:rsid w:val="00EF623D"/>
    <w:rsid w:val="00EF7B9D"/>
    <w:rsid w:val="00F0113C"/>
    <w:rsid w:val="00F01186"/>
    <w:rsid w:val="00F0137E"/>
    <w:rsid w:val="00F015EB"/>
    <w:rsid w:val="00F0230E"/>
    <w:rsid w:val="00F03F6D"/>
    <w:rsid w:val="00F043A1"/>
    <w:rsid w:val="00F04DBC"/>
    <w:rsid w:val="00F053AB"/>
    <w:rsid w:val="00F06F56"/>
    <w:rsid w:val="00F0701B"/>
    <w:rsid w:val="00F11C27"/>
    <w:rsid w:val="00F128EC"/>
    <w:rsid w:val="00F12BAE"/>
    <w:rsid w:val="00F12C97"/>
    <w:rsid w:val="00F1754D"/>
    <w:rsid w:val="00F2046F"/>
    <w:rsid w:val="00F204E0"/>
    <w:rsid w:val="00F21786"/>
    <w:rsid w:val="00F21BEB"/>
    <w:rsid w:val="00F21F55"/>
    <w:rsid w:val="00F2393A"/>
    <w:rsid w:val="00F23EF8"/>
    <w:rsid w:val="00F245A8"/>
    <w:rsid w:val="00F24615"/>
    <w:rsid w:val="00F25438"/>
    <w:rsid w:val="00F27300"/>
    <w:rsid w:val="00F2746B"/>
    <w:rsid w:val="00F2764C"/>
    <w:rsid w:val="00F30272"/>
    <w:rsid w:val="00F30932"/>
    <w:rsid w:val="00F3138B"/>
    <w:rsid w:val="00F3180D"/>
    <w:rsid w:val="00F3198E"/>
    <w:rsid w:val="00F32E33"/>
    <w:rsid w:val="00F335D4"/>
    <w:rsid w:val="00F34BAD"/>
    <w:rsid w:val="00F34D58"/>
    <w:rsid w:val="00F34FF5"/>
    <w:rsid w:val="00F355C9"/>
    <w:rsid w:val="00F35C89"/>
    <w:rsid w:val="00F3681B"/>
    <w:rsid w:val="00F370EB"/>
    <w:rsid w:val="00F3742B"/>
    <w:rsid w:val="00F37638"/>
    <w:rsid w:val="00F40E07"/>
    <w:rsid w:val="00F41896"/>
    <w:rsid w:val="00F41FDB"/>
    <w:rsid w:val="00F42F33"/>
    <w:rsid w:val="00F43398"/>
    <w:rsid w:val="00F43C0F"/>
    <w:rsid w:val="00F44EFB"/>
    <w:rsid w:val="00F45EB9"/>
    <w:rsid w:val="00F46653"/>
    <w:rsid w:val="00F46AC1"/>
    <w:rsid w:val="00F50E91"/>
    <w:rsid w:val="00F516D0"/>
    <w:rsid w:val="00F52FCD"/>
    <w:rsid w:val="00F53C18"/>
    <w:rsid w:val="00F549D2"/>
    <w:rsid w:val="00F56D63"/>
    <w:rsid w:val="00F572E2"/>
    <w:rsid w:val="00F57471"/>
    <w:rsid w:val="00F578F9"/>
    <w:rsid w:val="00F602A2"/>
    <w:rsid w:val="00F6070B"/>
    <w:rsid w:val="00F609A9"/>
    <w:rsid w:val="00F62952"/>
    <w:rsid w:val="00F629A0"/>
    <w:rsid w:val="00F6313F"/>
    <w:rsid w:val="00F638D5"/>
    <w:rsid w:val="00F64345"/>
    <w:rsid w:val="00F65384"/>
    <w:rsid w:val="00F6689A"/>
    <w:rsid w:val="00F67342"/>
    <w:rsid w:val="00F67614"/>
    <w:rsid w:val="00F67C96"/>
    <w:rsid w:val="00F7047F"/>
    <w:rsid w:val="00F71189"/>
    <w:rsid w:val="00F71811"/>
    <w:rsid w:val="00F72363"/>
    <w:rsid w:val="00F725D3"/>
    <w:rsid w:val="00F72AEF"/>
    <w:rsid w:val="00F72EA1"/>
    <w:rsid w:val="00F761DE"/>
    <w:rsid w:val="00F804C9"/>
    <w:rsid w:val="00F807B1"/>
    <w:rsid w:val="00F80C4D"/>
    <w:rsid w:val="00F80C99"/>
    <w:rsid w:val="00F80F87"/>
    <w:rsid w:val="00F8115F"/>
    <w:rsid w:val="00F832C5"/>
    <w:rsid w:val="00F8339F"/>
    <w:rsid w:val="00F83E8D"/>
    <w:rsid w:val="00F83F65"/>
    <w:rsid w:val="00F85BEF"/>
    <w:rsid w:val="00F85DCC"/>
    <w:rsid w:val="00F867EC"/>
    <w:rsid w:val="00F86ACD"/>
    <w:rsid w:val="00F918B0"/>
    <w:rsid w:val="00F91B2B"/>
    <w:rsid w:val="00F93DE9"/>
    <w:rsid w:val="00F93F3D"/>
    <w:rsid w:val="00F96516"/>
    <w:rsid w:val="00F96C3E"/>
    <w:rsid w:val="00F975D2"/>
    <w:rsid w:val="00F978DA"/>
    <w:rsid w:val="00FA0664"/>
    <w:rsid w:val="00FA0C3C"/>
    <w:rsid w:val="00FA1B98"/>
    <w:rsid w:val="00FA2ED1"/>
    <w:rsid w:val="00FA31FA"/>
    <w:rsid w:val="00FA44E6"/>
    <w:rsid w:val="00FA4648"/>
    <w:rsid w:val="00FA50EC"/>
    <w:rsid w:val="00FA68BB"/>
    <w:rsid w:val="00FA79DB"/>
    <w:rsid w:val="00FB196B"/>
    <w:rsid w:val="00FB1B7E"/>
    <w:rsid w:val="00FB1F2D"/>
    <w:rsid w:val="00FB3344"/>
    <w:rsid w:val="00FB3485"/>
    <w:rsid w:val="00FB4A4B"/>
    <w:rsid w:val="00FB4AD6"/>
    <w:rsid w:val="00FB5F29"/>
    <w:rsid w:val="00FB7FAB"/>
    <w:rsid w:val="00FC03CD"/>
    <w:rsid w:val="00FC0646"/>
    <w:rsid w:val="00FC14C8"/>
    <w:rsid w:val="00FC183A"/>
    <w:rsid w:val="00FC19D1"/>
    <w:rsid w:val="00FC2408"/>
    <w:rsid w:val="00FC47AF"/>
    <w:rsid w:val="00FC4B2F"/>
    <w:rsid w:val="00FC53D1"/>
    <w:rsid w:val="00FC5564"/>
    <w:rsid w:val="00FC56DD"/>
    <w:rsid w:val="00FC612A"/>
    <w:rsid w:val="00FC68B7"/>
    <w:rsid w:val="00FC6CC7"/>
    <w:rsid w:val="00FC7080"/>
    <w:rsid w:val="00FD0FCF"/>
    <w:rsid w:val="00FD1123"/>
    <w:rsid w:val="00FD1815"/>
    <w:rsid w:val="00FD1FD9"/>
    <w:rsid w:val="00FD5A7C"/>
    <w:rsid w:val="00FE0788"/>
    <w:rsid w:val="00FE0ACD"/>
    <w:rsid w:val="00FE0C93"/>
    <w:rsid w:val="00FE0CCD"/>
    <w:rsid w:val="00FE157A"/>
    <w:rsid w:val="00FE1DD2"/>
    <w:rsid w:val="00FE1F3E"/>
    <w:rsid w:val="00FE253A"/>
    <w:rsid w:val="00FE6985"/>
    <w:rsid w:val="00FE7955"/>
    <w:rsid w:val="00FF108F"/>
    <w:rsid w:val="00FF1737"/>
    <w:rsid w:val="00FF23D4"/>
    <w:rsid w:val="00FF4421"/>
    <w:rsid w:val="00FF4650"/>
    <w:rsid w:val="00FF6160"/>
    <w:rsid w:val="00FF68B2"/>
    <w:rsid w:val="00FF76EB"/>
    <w:rsid w:val="00FF7D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65E0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numPr>
        <w:numId w:val="14"/>
      </w:numPr>
      <w:spacing w:after="0" w:line="240" w:lineRule="auto"/>
      <w:ind w:right="0"/>
      <w:jc w:val="left"/>
      <w:outlineLvl w:val="0"/>
    </w:pPr>
  </w:style>
  <w:style w:type="paragraph" w:styleId="Heading2">
    <w:name w:val="heading 2"/>
    <w:basedOn w:val="Normal"/>
    <w:next w:val="Normal"/>
    <w:link w:val="Heading2Char"/>
    <w:qFormat/>
    <w:pPr>
      <w:tabs>
        <w:tab w:val="num" w:pos="360"/>
      </w:tabs>
      <w:spacing w:line="240" w:lineRule="auto"/>
      <w:ind w:left="360" w:hanging="360"/>
      <w:outlineLvl w:val="1"/>
    </w:pPr>
  </w:style>
  <w:style w:type="paragraph" w:styleId="Heading3">
    <w:name w:val="heading 3"/>
    <w:basedOn w:val="Normal"/>
    <w:next w:val="Normal"/>
    <w:link w:val="Heading3Char"/>
    <w:qFormat/>
    <w:pPr>
      <w:tabs>
        <w:tab w:val="num" w:pos="360"/>
      </w:tabs>
      <w:spacing w:line="240" w:lineRule="auto"/>
      <w:ind w:left="360" w:hanging="360"/>
      <w:outlineLvl w:val="2"/>
    </w:pPr>
  </w:style>
  <w:style w:type="paragraph" w:styleId="Heading4">
    <w:name w:val="heading 4"/>
    <w:basedOn w:val="Normal"/>
    <w:next w:val="Normal"/>
    <w:link w:val="Heading4Char"/>
    <w:qFormat/>
    <w:pPr>
      <w:tabs>
        <w:tab w:val="num" w:pos="360"/>
      </w:tabs>
      <w:spacing w:line="240" w:lineRule="auto"/>
      <w:ind w:left="360" w:hanging="360"/>
      <w:outlineLvl w:val="3"/>
    </w:pPr>
  </w:style>
  <w:style w:type="paragraph" w:styleId="Heading5">
    <w:name w:val="heading 5"/>
    <w:basedOn w:val="Normal"/>
    <w:next w:val="Normal"/>
    <w:link w:val="Heading5Char"/>
    <w:qFormat/>
    <w:pPr>
      <w:tabs>
        <w:tab w:val="num" w:pos="360"/>
      </w:tabs>
      <w:spacing w:line="240" w:lineRule="auto"/>
      <w:ind w:left="360" w:hanging="360"/>
      <w:outlineLvl w:val="4"/>
    </w:pPr>
  </w:style>
  <w:style w:type="paragraph" w:styleId="Heading6">
    <w:name w:val="heading 6"/>
    <w:basedOn w:val="Normal"/>
    <w:next w:val="Normal"/>
    <w:link w:val="Heading6Char"/>
    <w:qFormat/>
    <w:pPr>
      <w:tabs>
        <w:tab w:val="num" w:pos="360"/>
      </w:tabs>
      <w:spacing w:line="240" w:lineRule="auto"/>
      <w:ind w:left="360" w:hanging="360"/>
      <w:outlineLvl w:val="5"/>
    </w:pPr>
  </w:style>
  <w:style w:type="paragraph" w:styleId="Heading7">
    <w:name w:val="heading 7"/>
    <w:basedOn w:val="Normal"/>
    <w:next w:val="Normal"/>
    <w:link w:val="Heading7Char"/>
    <w:qFormat/>
    <w:pPr>
      <w:tabs>
        <w:tab w:val="num" w:pos="360"/>
      </w:tabs>
      <w:spacing w:line="240" w:lineRule="auto"/>
      <w:ind w:left="360" w:hanging="360"/>
      <w:outlineLvl w:val="6"/>
    </w:pPr>
  </w:style>
  <w:style w:type="paragraph" w:styleId="Heading8">
    <w:name w:val="heading 8"/>
    <w:basedOn w:val="Normal"/>
    <w:next w:val="Normal"/>
    <w:link w:val="Heading8Char"/>
    <w:qFormat/>
    <w:pPr>
      <w:tabs>
        <w:tab w:val="num" w:pos="360"/>
      </w:tabs>
      <w:spacing w:line="240" w:lineRule="auto"/>
      <w:ind w:left="360" w:hanging="360"/>
      <w:outlineLvl w:val="7"/>
    </w:pPr>
  </w:style>
  <w:style w:type="paragraph" w:styleId="Heading9">
    <w:name w:val="heading 9"/>
    <w:basedOn w:val="Normal"/>
    <w:next w:val="Normal"/>
    <w:link w:val="Heading9Char"/>
    <w:qFormat/>
    <w:pPr>
      <w:tabs>
        <w:tab w:val="num" w:pos="360"/>
      </w:tabs>
      <w:spacing w:line="240" w:lineRule="auto"/>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link w:val="EndnoteTextChar"/>
    <w:rsid w:val="007B6BA5"/>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sid w:val="008A6C4F"/>
    <w:rPr>
      <w:color w:val="0000FF"/>
      <w:u w:val="singl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odyTextIndent">
    <w:name w:val="Body Text Indent"/>
    <w:basedOn w:val="Normal"/>
    <w:link w:val="BodyTextIndentChar1"/>
    <w:rsid w:val="004574E6"/>
    <w:pPr>
      <w:widowControl w:val="0"/>
      <w:suppressAutoHyphens w:val="0"/>
      <w:spacing w:line="240" w:lineRule="auto"/>
      <w:ind w:firstLine="5103"/>
    </w:pPr>
    <w:rPr>
      <w:rFonts w:ascii="CG Times" w:hAnsi="CG Times"/>
      <w:snapToGrid w:val="0"/>
      <w:sz w:val="24"/>
    </w:rPr>
  </w:style>
  <w:style w:type="table" w:styleId="TableGrid">
    <w:name w:val="Table Grid"/>
    <w:basedOn w:val="TableNormal"/>
    <w:rsid w:val="004574E6"/>
    <w:pPr>
      <w:jc w:val="both"/>
    </w:pPr>
    <w:rPr>
      <w:snapToGrid w:val="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4574E6"/>
    <w:rPr>
      <w:b/>
      <w:sz w:val="28"/>
      <w:lang w:val="en-GB" w:eastAsia="en-US" w:bidi="ar-SA"/>
    </w:rPr>
  </w:style>
  <w:style w:type="character" w:customStyle="1" w:styleId="SingleTxtGChar">
    <w:name w:val="_ Single Txt_G Char"/>
    <w:link w:val="SingleTxtG"/>
    <w:qFormat/>
    <w:rsid w:val="004574E6"/>
    <w:rPr>
      <w:lang w:val="en-GB" w:eastAsia="en-US" w:bidi="ar-SA"/>
    </w:rPr>
  </w:style>
  <w:style w:type="character" w:customStyle="1" w:styleId="Heading6Char">
    <w:name w:val="Heading 6 Char"/>
    <w:link w:val="Heading6"/>
    <w:rsid w:val="00354D6A"/>
    <w:rPr>
      <w:lang w:eastAsia="en-US"/>
    </w:rPr>
  </w:style>
  <w:style w:type="character" w:customStyle="1" w:styleId="darkbluebold">
    <w:name w:val="darkbluebold"/>
    <w:basedOn w:val="DefaultParagraphFont"/>
    <w:rsid w:val="000A0FE6"/>
  </w:style>
  <w:style w:type="character" w:customStyle="1" w:styleId="H23GChar">
    <w:name w:val="_ H_2/3_G Char"/>
    <w:link w:val="H23G"/>
    <w:rsid w:val="00FE1F3E"/>
    <w:rPr>
      <w:b/>
      <w:lang w:val="en-GB" w:eastAsia="en-US" w:bidi="ar-SA"/>
    </w:rPr>
  </w:style>
  <w:style w:type="paragraph" w:customStyle="1" w:styleId="ParaNoG">
    <w:name w:val="_ParaNo._G"/>
    <w:basedOn w:val="SingleTxtG"/>
    <w:rsid w:val="00DE1CB7"/>
    <w:pPr>
      <w:numPr>
        <w:numId w:val="3"/>
      </w:numPr>
    </w:pPr>
  </w:style>
  <w:style w:type="paragraph" w:customStyle="1" w:styleId="Docs">
    <w:name w:val="Docs"/>
    <w:basedOn w:val="Normal"/>
    <w:rsid w:val="002502C1"/>
    <w:pPr>
      <w:keepNext/>
      <w:widowControl w:val="0"/>
      <w:autoSpaceDN w:val="0"/>
      <w:spacing w:after="240" w:line="240" w:lineRule="auto"/>
      <w:textAlignment w:val="baseline"/>
    </w:pPr>
    <w:rPr>
      <w:rFonts w:eastAsia="Lucida Sans Unicode"/>
      <w:kern w:val="3"/>
      <w:sz w:val="24"/>
      <w:szCs w:val="24"/>
      <w:lang w:val="en-US"/>
    </w:rPr>
  </w:style>
  <w:style w:type="paragraph" w:customStyle="1" w:styleId="DocList">
    <w:name w:val="DocList"/>
    <w:basedOn w:val="SingleTxtG"/>
    <w:rsid w:val="00A46DD0"/>
    <w:pPr>
      <w:spacing w:after="240"/>
      <w:ind w:left="3701" w:right="1138" w:hanging="2002"/>
      <w:jc w:val="left"/>
    </w:pPr>
    <w:rPr>
      <w:i/>
    </w:rPr>
  </w:style>
  <w:style w:type="character" w:customStyle="1" w:styleId="SingleTxtGZchnZchn">
    <w:name w:val="_ Single Txt_G Zchn Zchn"/>
    <w:rsid w:val="00A46DD0"/>
    <w:rPr>
      <w:lang w:val="en-GB" w:eastAsia="en-US" w:bidi="ar-SA"/>
    </w:rPr>
  </w:style>
  <w:style w:type="character" w:customStyle="1" w:styleId="Heading1Char">
    <w:name w:val="Heading 1 Char"/>
    <w:aliases w:val="Table_G Char"/>
    <w:link w:val="Heading1"/>
    <w:rsid w:val="00BA03C5"/>
    <w:rPr>
      <w:lang w:eastAsia="en-US"/>
    </w:rPr>
  </w:style>
  <w:style w:type="character" w:customStyle="1" w:styleId="Heading2Char">
    <w:name w:val="Heading 2 Char"/>
    <w:link w:val="Heading2"/>
    <w:rsid w:val="00BA03C5"/>
    <w:rPr>
      <w:lang w:eastAsia="en-US"/>
    </w:rPr>
  </w:style>
  <w:style w:type="character" w:customStyle="1" w:styleId="Heading3Char">
    <w:name w:val="Heading 3 Char"/>
    <w:link w:val="Heading3"/>
    <w:rsid w:val="00BA03C5"/>
    <w:rPr>
      <w:lang w:eastAsia="en-US"/>
    </w:rPr>
  </w:style>
  <w:style w:type="character" w:customStyle="1" w:styleId="Heading4Char">
    <w:name w:val="Heading 4 Char"/>
    <w:link w:val="Heading4"/>
    <w:rsid w:val="00BA03C5"/>
    <w:rPr>
      <w:lang w:eastAsia="en-US"/>
    </w:rPr>
  </w:style>
  <w:style w:type="character" w:customStyle="1" w:styleId="Heading5Char">
    <w:name w:val="Heading 5 Char"/>
    <w:link w:val="Heading5"/>
    <w:rsid w:val="00BA03C5"/>
    <w:rPr>
      <w:lang w:eastAsia="en-US"/>
    </w:rPr>
  </w:style>
  <w:style w:type="character" w:customStyle="1" w:styleId="Heading7Char">
    <w:name w:val="Heading 7 Char"/>
    <w:link w:val="Heading7"/>
    <w:rsid w:val="00BA03C5"/>
    <w:rPr>
      <w:lang w:eastAsia="en-US"/>
    </w:rPr>
  </w:style>
  <w:style w:type="character" w:customStyle="1" w:styleId="Heading8Char">
    <w:name w:val="Heading 8 Char"/>
    <w:link w:val="Heading8"/>
    <w:rsid w:val="00BA03C5"/>
    <w:rPr>
      <w:lang w:eastAsia="en-US"/>
    </w:rPr>
  </w:style>
  <w:style w:type="character" w:customStyle="1" w:styleId="Heading9Char">
    <w:name w:val="Heading 9 Char"/>
    <w:link w:val="Heading9"/>
    <w:rsid w:val="00BA03C5"/>
    <w:rPr>
      <w:lang w:eastAsia="en-US"/>
    </w:rPr>
  </w:style>
  <w:style w:type="paragraph" w:styleId="PlainText">
    <w:name w:val="Plain Text"/>
    <w:basedOn w:val="Normal"/>
    <w:link w:val="PlainTextChar"/>
    <w:rsid w:val="00BA03C5"/>
    <w:rPr>
      <w:rFonts w:cs="Courier New"/>
    </w:rPr>
  </w:style>
  <w:style w:type="character" w:customStyle="1" w:styleId="PlainTextChar">
    <w:name w:val="Plain Text Char"/>
    <w:link w:val="PlainText"/>
    <w:rsid w:val="00BA03C5"/>
    <w:rPr>
      <w:rFonts w:cs="Courier New"/>
      <w:lang w:eastAsia="en-US"/>
    </w:rPr>
  </w:style>
  <w:style w:type="paragraph" w:styleId="BodyText">
    <w:name w:val="Body Text"/>
    <w:basedOn w:val="Normal"/>
    <w:next w:val="Normal"/>
    <w:link w:val="BodyTextChar"/>
    <w:rsid w:val="00BA03C5"/>
  </w:style>
  <w:style w:type="character" w:customStyle="1" w:styleId="BodyTextChar">
    <w:name w:val="Body Text Char"/>
    <w:link w:val="BodyText"/>
    <w:rsid w:val="00BA03C5"/>
    <w:rPr>
      <w:lang w:eastAsia="en-US"/>
    </w:rPr>
  </w:style>
  <w:style w:type="character" w:customStyle="1" w:styleId="BodyTextIndentChar">
    <w:name w:val="Body Text Indent Char"/>
    <w:semiHidden/>
    <w:rsid w:val="00BA03C5"/>
    <w:rPr>
      <w:lang w:eastAsia="en-US"/>
    </w:rPr>
  </w:style>
  <w:style w:type="paragraph" w:styleId="BlockText">
    <w:name w:val="Block Text"/>
    <w:basedOn w:val="Normal"/>
    <w:rsid w:val="00BA03C5"/>
    <w:pPr>
      <w:ind w:left="1440" w:right="1440"/>
    </w:pPr>
  </w:style>
  <w:style w:type="character" w:customStyle="1" w:styleId="FootnoteTextChar">
    <w:name w:val="Footnote Text Char"/>
    <w:aliases w:val="5_G Char"/>
    <w:link w:val="FootnoteText"/>
    <w:uiPriority w:val="99"/>
    <w:rsid w:val="00BA03C5"/>
    <w:rPr>
      <w:sz w:val="18"/>
      <w:lang w:eastAsia="en-US"/>
    </w:rPr>
  </w:style>
  <w:style w:type="character" w:customStyle="1" w:styleId="EndnoteTextChar">
    <w:name w:val="Endnote Text Char"/>
    <w:aliases w:val="2_G Char"/>
    <w:link w:val="EndnoteText"/>
    <w:rsid w:val="00BA03C5"/>
    <w:rPr>
      <w:sz w:val="18"/>
      <w:lang w:eastAsia="en-US"/>
    </w:rPr>
  </w:style>
  <w:style w:type="character" w:styleId="CommentReference">
    <w:name w:val="annotation reference"/>
    <w:rsid w:val="00BA03C5"/>
    <w:rPr>
      <w:sz w:val="6"/>
    </w:rPr>
  </w:style>
  <w:style w:type="paragraph" w:styleId="CommentText">
    <w:name w:val="annotation text"/>
    <w:basedOn w:val="Normal"/>
    <w:link w:val="CommentTextChar"/>
    <w:rsid w:val="00BA03C5"/>
  </w:style>
  <w:style w:type="character" w:customStyle="1" w:styleId="CommentTextChar">
    <w:name w:val="Comment Text Char"/>
    <w:link w:val="CommentText"/>
    <w:rsid w:val="00BA03C5"/>
    <w:rPr>
      <w:lang w:eastAsia="en-US"/>
    </w:rPr>
  </w:style>
  <w:style w:type="character" w:styleId="LineNumber">
    <w:name w:val="line number"/>
    <w:rsid w:val="00BA03C5"/>
    <w:rPr>
      <w:sz w:val="14"/>
    </w:rPr>
  </w:style>
  <w:style w:type="numbering" w:styleId="111111">
    <w:name w:val="Outline List 2"/>
    <w:basedOn w:val="NoList"/>
    <w:rsid w:val="00BA03C5"/>
    <w:pPr>
      <w:numPr>
        <w:numId w:val="15"/>
      </w:numPr>
    </w:pPr>
  </w:style>
  <w:style w:type="numbering" w:styleId="1ai">
    <w:name w:val="Outline List 1"/>
    <w:basedOn w:val="NoList"/>
    <w:rsid w:val="00BA03C5"/>
    <w:pPr>
      <w:numPr>
        <w:numId w:val="16"/>
      </w:numPr>
    </w:pPr>
  </w:style>
  <w:style w:type="numbering" w:styleId="ArticleSection">
    <w:name w:val="Outline List 3"/>
    <w:basedOn w:val="NoList"/>
    <w:rsid w:val="00BA03C5"/>
    <w:pPr>
      <w:numPr>
        <w:numId w:val="17"/>
      </w:numPr>
    </w:pPr>
  </w:style>
  <w:style w:type="paragraph" w:styleId="BodyText2">
    <w:name w:val="Body Text 2"/>
    <w:basedOn w:val="Normal"/>
    <w:link w:val="BodyText2Char"/>
    <w:rsid w:val="00BA03C5"/>
    <w:pPr>
      <w:spacing w:after="120" w:line="480" w:lineRule="auto"/>
    </w:pPr>
  </w:style>
  <w:style w:type="character" w:customStyle="1" w:styleId="BodyText2Char">
    <w:name w:val="Body Text 2 Char"/>
    <w:link w:val="BodyText2"/>
    <w:rsid w:val="00BA03C5"/>
    <w:rPr>
      <w:lang w:eastAsia="en-US"/>
    </w:rPr>
  </w:style>
  <w:style w:type="paragraph" w:styleId="BodyText3">
    <w:name w:val="Body Text 3"/>
    <w:basedOn w:val="Normal"/>
    <w:link w:val="BodyText3Char"/>
    <w:rsid w:val="00BA03C5"/>
    <w:pPr>
      <w:spacing w:after="120"/>
    </w:pPr>
    <w:rPr>
      <w:sz w:val="16"/>
      <w:szCs w:val="16"/>
    </w:rPr>
  </w:style>
  <w:style w:type="character" w:customStyle="1" w:styleId="BodyText3Char">
    <w:name w:val="Body Text 3 Char"/>
    <w:link w:val="BodyText3"/>
    <w:rsid w:val="00BA03C5"/>
    <w:rPr>
      <w:sz w:val="16"/>
      <w:szCs w:val="16"/>
      <w:lang w:eastAsia="en-US"/>
    </w:rPr>
  </w:style>
  <w:style w:type="paragraph" w:styleId="BodyTextFirstIndent">
    <w:name w:val="Body Text First Indent"/>
    <w:basedOn w:val="BodyText"/>
    <w:link w:val="BodyTextFirstIndentChar"/>
    <w:rsid w:val="00BA03C5"/>
    <w:pPr>
      <w:spacing w:after="120"/>
      <w:ind w:firstLine="210"/>
    </w:pPr>
  </w:style>
  <w:style w:type="character" w:customStyle="1" w:styleId="BodyTextFirstIndentChar">
    <w:name w:val="Body Text First Indent Char"/>
    <w:basedOn w:val="BodyTextChar"/>
    <w:link w:val="BodyTextFirstIndent"/>
    <w:rsid w:val="00BA03C5"/>
    <w:rPr>
      <w:lang w:eastAsia="en-US"/>
    </w:rPr>
  </w:style>
  <w:style w:type="paragraph" w:styleId="BodyTextFirstIndent2">
    <w:name w:val="Body Text First Indent 2"/>
    <w:basedOn w:val="BodyTextIndent"/>
    <w:link w:val="BodyTextFirstIndent2Char"/>
    <w:rsid w:val="00BA03C5"/>
    <w:pPr>
      <w:widowControl/>
      <w:suppressAutoHyphens/>
      <w:spacing w:after="120" w:line="240" w:lineRule="atLeast"/>
      <w:ind w:left="283" w:firstLine="210"/>
    </w:pPr>
    <w:rPr>
      <w:rFonts w:ascii="Times New Roman" w:hAnsi="Times New Roman"/>
      <w:snapToGrid/>
      <w:sz w:val="20"/>
    </w:rPr>
  </w:style>
  <w:style w:type="character" w:customStyle="1" w:styleId="BodyTextIndentChar1">
    <w:name w:val="Body Text Indent Char1"/>
    <w:link w:val="BodyTextIndent"/>
    <w:rsid w:val="00BA03C5"/>
    <w:rPr>
      <w:rFonts w:ascii="CG Times" w:hAnsi="CG Times"/>
      <w:snapToGrid w:val="0"/>
      <w:sz w:val="24"/>
      <w:lang w:eastAsia="en-US"/>
    </w:rPr>
  </w:style>
  <w:style w:type="character" w:customStyle="1" w:styleId="BodyTextFirstIndent2Char">
    <w:name w:val="Body Text First Indent 2 Char"/>
    <w:link w:val="BodyTextFirstIndent2"/>
    <w:rsid w:val="00BA03C5"/>
    <w:rPr>
      <w:rFonts w:ascii="CG Times" w:hAnsi="CG Times"/>
      <w:snapToGrid/>
      <w:sz w:val="24"/>
      <w:lang w:eastAsia="en-US"/>
    </w:rPr>
  </w:style>
  <w:style w:type="paragraph" w:styleId="BodyTextIndent2">
    <w:name w:val="Body Text Indent 2"/>
    <w:basedOn w:val="Normal"/>
    <w:link w:val="BodyTextIndent2Char"/>
    <w:rsid w:val="00BA03C5"/>
    <w:pPr>
      <w:spacing w:after="120" w:line="480" w:lineRule="auto"/>
      <w:ind w:left="283"/>
    </w:pPr>
  </w:style>
  <w:style w:type="character" w:customStyle="1" w:styleId="BodyTextIndent2Char">
    <w:name w:val="Body Text Indent 2 Char"/>
    <w:link w:val="BodyTextIndent2"/>
    <w:rsid w:val="00BA03C5"/>
    <w:rPr>
      <w:lang w:eastAsia="en-US"/>
    </w:rPr>
  </w:style>
  <w:style w:type="paragraph" w:styleId="BodyTextIndent3">
    <w:name w:val="Body Text Indent 3"/>
    <w:basedOn w:val="Normal"/>
    <w:link w:val="BodyTextIndent3Char"/>
    <w:rsid w:val="00BA03C5"/>
    <w:pPr>
      <w:spacing w:after="120"/>
      <w:ind w:left="283"/>
    </w:pPr>
    <w:rPr>
      <w:sz w:val="16"/>
      <w:szCs w:val="16"/>
    </w:rPr>
  </w:style>
  <w:style w:type="character" w:customStyle="1" w:styleId="BodyTextIndent3Char">
    <w:name w:val="Body Text Indent 3 Char"/>
    <w:link w:val="BodyTextIndent3"/>
    <w:rsid w:val="00BA03C5"/>
    <w:rPr>
      <w:sz w:val="16"/>
      <w:szCs w:val="16"/>
      <w:lang w:eastAsia="en-US"/>
    </w:rPr>
  </w:style>
  <w:style w:type="paragraph" w:styleId="Closing">
    <w:name w:val="Closing"/>
    <w:basedOn w:val="Normal"/>
    <w:link w:val="ClosingChar"/>
    <w:rsid w:val="00BA03C5"/>
    <w:pPr>
      <w:ind w:left="4252"/>
    </w:pPr>
  </w:style>
  <w:style w:type="character" w:customStyle="1" w:styleId="ClosingChar">
    <w:name w:val="Closing Char"/>
    <w:link w:val="Closing"/>
    <w:rsid w:val="00BA03C5"/>
    <w:rPr>
      <w:lang w:eastAsia="en-US"/>
    </w:rPr>
  </w:style>
  <w:style w:type="paragraph" w:styleId="Date">
    <w:name w:val="Date"/>
    <w:basedOn w:val="Normal"/>
    <w:next w:val="Normal"/>
    <w:link w:val="DateChar"/>
    <w:rsid w:val="00BA03C5"/>
  </w:style>
  <w:style w:type="character" w:customStyle="1" w:styleId="DateChar">
    <w:name w:val="Date Char"/>
    <w:link w:val="Date"/>
    <w:rsid w:val="00BA03C5"/>
    <w:rPr>
      <w:lang w:eastAsia="en-US"/>
    </w:rPr>
  </w:style>
  <w:style w:type="paragraph" w:styleId="E-mailSignature">
    <w:name w:val="E-mail Signature"/>
    <w:basedOn w:val="Normal"/>
    <w:link w:val="E-mailSignatureChar"/>
    <w:rsid w:val="00BA03C5"/>
  </w:style>
  <w:style w:type="character" w:customStyle="1" w:styleId="E-mailSignatureChar">
    <w:name w:val="E-mail Signature Char"/>
    <w:link w:val="E-mailSignature"/>
    <w:rsid w:val="00BA03C5"/>
    <w:rPr>
      <w:lang w:eastAsia="en-US"/>
    </w:rPr>
  </w:style>
  <w:style w:type="character" w:styleId="Emphasis">
    <w:name w:val="Emphasis"/>
    <w:qFormat/>
    <w:rsid w:val="00BA03C5"/>
    <w:rPr>
      <w:i/>
      <w:iCs/>
    </w:rPr>
  </w:style>
  <w:style w:type="paragraph" w:styleId="EnvelopeReturn">
    <w:name w:val="envelope return"/>
    <w:basedOn w:val="Normal"/>
    <w:rsid w:val="00BA03C5"/>
    <w:rPr>
      <w:rFonts w:ascii="Arial" w:hAnsi="Arial" w:cs="Arial"/>
    </w:rPr>
  </w:style>
  <w:style w:type="character" w:styleId="FollowedHyperlink">
    <w:name w:val="FollowedHyperlink"/>
    <w:rsid w:val="00BA03C5"/>
    <w:rPr>
      <w:color w:val="800080"/>
      <w:u w:val="single"/>
    </w:rPr>
  </w:style>
  <w:style w:type="character" w:styleId="HTMLAcronym">
    <w:name w:val="HTML Acronym"/>
    <w:rsid w:val="00BA03C5"/>
  </w:style>
  <w:style w:type="paragraph" w:styleId="HTMLAddress">
    <w:name w:val="HTML Address"/>
    <w:basedOn w:val="Normal"/>
    <w:link w:val="HTMLAddressChar"/>
    <w:rsid w:val="00BA03C5"/>
    <w:rPr>
      <w:i/>
      <w:iCs/>
    </w:rPr>
  </w:style>
  <w:style w:type="character" w:customStyle="1" w:styleId="HTMLAddressChar">
    <w:name w:val="HTML Address Char"/>
    <w:link w:val="HTMLAddress"/>
    <w:rsid w:val="00BA03C5"/>
    <w:rPr>
      <w:i/>
      <w:iCs/>
      <w:lang w:eastAsia="en-US"/>
    </w:rPr>
  </w:style>
  <w:style w:type="character" w:styleId="HTMLCite">
    <w:name w:val="HTML Cite"/>
    <w:rsid w:val="00BA03C5"/>
    <w:rPr>
      <w:i/>
      <w:iCs/>
    </w:rPr>
  </w:style>
  <w:style w:type="character" w:styleId="HTMLCode">
    <w:name w:val="HTML Code"/>
    <w:rsid w:val="00BA03C5"/>
    <w:rPr>
      <w:rFonts w:ascii="Courier New" w:hAnsi="Courier New" w:cs="Courier New"/>
      <w:sz w:val="20"/>
      <w:szCs w:val="20"/>
    </w:rPr>
  </w:style>
  <w:style w:type="character" w:styleId="HTMLDefinition">
    <w:name w:val="HTML Definition"/>
    <w:rsid w:val="00BA03C5"/>
    <w:rPr>
      <w:i/>
      <w:iCs/>
    </w:rPr>
  </w:style>
  <w:style w:type="character" w:styleId="HTMLKeyboard">
    <w:name w:val="HTML Keyboard"/>
    <w:rsid w:val="00BA03C5"/>
    <w:rPr>
      <w:rFonts w:ascii="Courier New" w:hAnsi="Courier New" w:cs="Courier New"/>
      <w:sz w:val="20"/>
      <w:szCs w:val="20"/>
    </w:rPr>
  </w:style>
  <w:style w:type="paragraph" w:styleId="HTMLPreformatted">
    <w:name w:val="HTML Preformatted"/>
    <w:basedOn w:val="Normal"/>
    <w:link w:val="HTMLPreformattedChar"/>
    <w:rsid w:val="00BA03C5"/>
    <w:rPr>
      <w:rFonts w:ascii="Courier New" w:hAnsi="Courier New" w:cs="Courier New"/>
    </w:rPr>
  </w:style>
  <w:style w:type="character" w:customStyle="1" w:styleId="HTMLPreformattedChar">
    <w:name w:val="HTML Preformatted Char"/>
    <w:link w:val="HTMLPreformatted"/>
    <w:rsid w:val="00BA03C5"/>
    <w:rPr>
      <w:rFonts w:ascii="Courier New" w:hAnsi="Courier New" w:cs="Courier New"/>
      <w:lang w:eastAsia="en-US"/>
    </w:rPr>
  </w:style>
  <w:style w:type="character" w:styleId="HTMLSample">
    <w:name w:val="HTML Sample"/>
    <w:rsid w:val="00BA03C5"/>
    <w:rPr>
      <w:rFonts w:ascii="Courier New" w:hAnsi="Courier New" w:cs="Courier New"/>
    </w:rPr>
  </w:style>
  <w:style w:type="character" w:styleId="HTMLTypewriter">
    <w:name w:val="HTML Typewriter"/>
    <w:rsid w:val="00BA03C5"/>
    <w:rPr>
      <w:rFonts w:ascii="Courier New" w:hAnsi="Courier New" w:cs="Courier New"/>
      <w:sz w:val="20"/>
      <w:szCs w:val="20"/>
    </w:rPr>
  </w:style>
  <w:style w:type="character" w:styleId="HTMLVariable">
    <w:name w:val="HTML Variable"/>
    <w:rsid w:val="00BA03C5"/>
    <w:rPr>
      <w:i/>
      <w:iCs/>
    </w:rPr>
  </w:style>
  <w:style w:type="paragraph" w:styleId="List">
    <w:name w:val="List"/>
    <w:basedOn w:val="Normal"/>
    <w:rsid w:val="00BA03C5"/>
    <w:pPr>
      <w:ind w:left="283" w:hanging="283"/>
    </w:pPr>
  </w:style>
  <w:style w:type="paragraph" w:styleId="List2">
    <w:name w:val="List 2"/>
    <w:basedOn w:val="Normal"/>
    <w:rsid w:val="00BA03C5"/>
    <w:pPr>
      <w:ind w:left="566" w:hanging="283"/>
    </w:pPr>
  </w:style>
  <w:style w:type="paragraph" w:styleId="List3">
    <w:name w:val="List 3"/>
    <w:basedOn w:val="Normal"/>
    <w:rsid w:val="00BA03C5"/>
    <w:pPr>
      <w:ind w:left="849" w:hanging="283"/>
    </w:pPr>
  </w:style>
  <w:style w:type="paragraph" w:styleId="List4">
    <w:name w:val="List 4"/>
    <w:basedOn w:val="Normal"/>
    <w:rsid w:val="00BA03C5"/>
    <w:pPr>
      <w:ind w:left="1132" w:hanging="283"/>
    </w:pPr>
  </w:style>
  <w:style w:type="paragraph" w:styleId="List5">
    <w:name w:val="List 5"/>
    <w:basedOn w:val="Normal"/>
    <w:rsid w:val="00BA03C5"/>
    <w:pPr>
      <w:ind w:left="1415" w:hanging="283"/>
    </w:pPr>
  </w:style>
  <w:style w:type="paragraph" w:styleId="ListBullet">
    <w:name w:val="List Bullet"/>
    <w:basedOn w:val="Normal"/>
    <w:rsid w:val="00BA03C5"/>
    <w:pPr>
      <w:tabs>
        <w:tab w:val="num" w:pos="360"/>
      </w:tabs>
      <w:ind w:left="360" w:hanging="360"/>
    </w:pPr>
  </w:style>
  <w:style w:type="paragraph" w:styleId="ListBullet2">
    <w:name w:val="List Bullet 2"/>
    <w:basedOn w:val="Normal"/>
    <w:rsid w:val="00BA03C5"/>
    <w:pPr>
      <w:tabs>
        <w:tab w:val="num" w:pos="643"/>
      </w:tabs>
      <w:ind w:left="643" w:hanging="360"/>
    </w:pPr>
  </w:style>
  <w:style w:type="paragraph" w:styleId="ListBullet3">
    <w:name w:val="List Bullet 3"/>
    <w:basedOn w:val="Normal"/>
    <w:rsid w:val="00BA03C5"/>
    <w:pPr>
      <w:tabs>
        <w:tab w:val="num" w:pos="926"/>
      </w:tabs>
      <w:ind w:left="926" w:hanging="360"/>
    </w:pPr>
  </w:style>
  <w:style w:type="paragraph" w:styleId="ListBullet4">
    <w:name w:val="List Bullet 4"/>
    <w:basedOn w:val="Normal"/>
    <w:rsid w:val="00BA03C5"/>
    <w:pPr>
      <w:tabs>
        <w:tab w:val="num" w:pos="1209"/>
      </w:tabs>
      <w:ind w:left="1209" w:hanging="360"/>
    </w:pPr>
  </w:style>
  <w:style w:type="paragraph" w:styleId="ListBullet5">
    <w:name w:val="List Bullet 5"/>
    <w:basedOn w:val="Normal"/>
    <w:rsid w:val="00BA03C5"/>
    <w:pPr>
      <w:tabs>
        <w:tab w:val="num" w:pos="1492"/>
      </w:tabs>
      <w:ind w:left="1492" w:hanging="360"/>
    </w:pPr>
  </w:style>
  <w:style w:type="paragraph" w:styleId="ListContinue">
    <w:name w:val="List Continue"/>
    <w:basedOn w:val="Normal"/>
    <w:rsid w:val="00BA03C5"/>
    <w:pPr>
      <w:spacing w:after="120"/>
      <w:ind w:left="283"/>
    </w:pPr>
  </w:style>
  <w:style w:type="paragraph" w:styleId="ListContinue2">
    <w:name w:val="List Continue 2"/>
    <w:basedOn w:val="Normal"/>
    <w:rsid w:val="00BA03C5"/>
    <w:pPr>
      <w:spacing w:after="120"/>
      <w:ind w:left="566"/>
    </w:pPr>
  </w:style>
  <w:style w:type="paragraph" w:styleId="ListContinue3">
    <w:name w:val="List Continue 3"/>
    <w:basedOn w:val="Normal"/>
    <w:rsid w:val="00BA03C5"/>
    <w:pPr>
      <w:spacing w:after="120"/>
      <w:ind w:left="849"/>
    </w:pPr>
  </w:style>
  <w:style w:type="paragraph" w:styleId="ListContinue4">
    <w:name w:val="List Continue 4"/>
    <w:basedOn w:val="Normal"/>
    <w:rsid w:val="00BA03C5"/>
    <w:pPr>
      <w:spacing w:after="120"/>
      <w:ind w:left="1132"/>
    </w:pPr>
  </w:style>
  <w:style w:type="paragraph" w:styleId="ListContinue5">
    <w:name w:val="List Continue 5"/>
    <w:basedOn w:val="Normal"/>
    <w:rsid w:val="00BA03C5"/>
    <w:pPr>
      <w:spacing w:after="120"/>
      <w:ind w:left="1415"/>
    </w:pPr>
  </w:style>
  <w:style w:type="paragraph" w:styleId="ListNumber">
    <w:name w:val="List Number"/>
    <w:basedOn w:val="Normal"/>
    <w:rsid w:val="00BA03C5"/>
    <w:pPr>
      <w:tabs>
        <w:tab w:val="num" w:pos="360"/>
      </w:tabs>
      <w:ind w:left="360" w:hanging="360"/>
    </w:pPr>
  </w:style>
  <w:style w:type="paragraph" w:styleId="ListNumber2">
    <w:name w:val="List Number 2"/>
    <w:basedOn w:val="Normal"/>
    <w:rsid w:val="00BA03C5"/>
    <w:pPr>
      <w:tabs>
        <w:tab w:val="num" w:pos="643"/>
      </w:tabs>
      <w:ind w:left="643" w:hanging="360"/>
    </w:pPr>
  </w:style>
  <w:style w:type="paragraph" w:styleId="ListNumber3">
    <w:name w:val="List Number 3"/>
    <w:basedOn w:val="Normal"/>
    <w:rsid w:val="00BA03C5"/>
    <w:pPr>
      <w:tabs>
        <w:tab w:val="num" w:pos="926"/>
      </w:tabs>
      <w:ind w:left="926" w:hanging="360"/>
    </w:pPr>
  </w:style>
  <w:style w:type="paragraph" w:styleId="ListNumber4">
    <w:name w:val="List Number 4"/>
    <w:basedOn w:val="Normal"/>
    <w:rsid w:val="00BA03C5"/>
    <w:pPr>
      <w:tabs>
        <w:tab w:val="num" w:pos="1209"/>
      </w:tabs>
      <w:ind w:left="1209" w:hanging="360"/>
    </w:pPr>
  </w:style>
  <w:style w:type="paragraph" w:styleId="ListNumber5">
    <w:name w:val="List Number 5"/>
    <w:basedOn w:val="Normal"/>
    <w:rsid w:val="00BA03C5"/>
    <w:pPr>
      <w:tabs>
        <w:tab w:val="num" w:pos="1492"/>
      </w:tabs>
      <w:ind w:left="1492" w:hanging="360"/>
    </w:pPr>
  </w:style>
  <w:style w:type="paragraph" w:styleId="MessageHeader">
    <w:name w:val="Message Header"/>
    <w:basedOn w:val="Normal"/>
    <w:link w:val="MessageHeaderChar"/>
    <w:rsid w:val="00BA0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BA03C5"/>
    <w:rPr>
      <w:rFonts w:ascii="Arial" w:hAnsi="Arial" w:cs="Arial"/>
      <w:sz w:val="24"/>
      <w:szCs w:val="24"/>
      <w:shd w:val="pct20" w:color="auto" w:fill="auto"/>
      <w:lang w:eastAsia="en-US"/>
    </w:rPr>
  </w:style>
  <w:style w:type="paragraph" w:styleId="NormalWeb">
    <w:name w:val="Normal (Web)"/>
    <w:basedOn w:val="Normal"/>
    <w:rsid w:val="00BA03C5"/>
    <w:rPr>
      <w:sz w:val="24"/>
      <w:szCs w:val="24"/>
    </w:rPr>
  </w:style>
  <w:style w:type="paragraph" w:styleId="NormalIndent">
    <w:name w:val="Normal Indent"/>
    <w:basedOn w:val="Normal"/>
    <w:rsid w:val="00BA03C5"/>
    <w:pPr>
      <w:ind w:left="567"/>
    </w:pPr>
  </w:style>
  <w:style w:type="paragraph" w:styleId="NoteHeading">
    <w:name w:val="Note Heading"/>
    <w:basedOn w:val="Normal"/>
    <w:next w:val="Normal"/>
    <w:link w:val="NoteHeadingChar"/>
    <w:rsid w:val="00BA03C5"/>
  </w:style>
  <w:style w:type="character" w:customStyle="1" w:styleId="NoteHeadingChar">
    <w:name w:val="Note Heading Char"/>
    <w:link w:val="NoteHeading"/>
    <w:rsid w:val="00BA03C5"/>
    <w:rPr>
      <w:lang w:eastAsia="en-US"/>
    </w:rPr>
  </w:style>
  <w:style w:type="paragraph" w:styleId="Salutation">
    <w:name w:val="Salutation"/>
    <w:basedOn w:val="Normal"/>
    <w:next w:val="Normal"/>
    <w:link w:val="SalutationChar"/>
    <w:rsid w:val="00BA03C5"/>
  </w:style>
  <w:style w:type="character" w:customStyle="1" w:styleId="SalutationChar">
    <w:name w:val="Salutation Char"/>
    <w:link w:val="Salutation"/>
    <w:rsid w:val="00BA03C5"/>
    <w:rPr>
      <w:lang w:eastAsia="en-US"/>
    </w:rPr>
  </w:style>
  <w:style w:type="paragraph" w:styleId="Signature">
    <w:name w:val="Signature"/>
    <w:basedOn w:val="Normal"/>
    <w:link w:val="SignatureChar"/>
    <w:rsid w:val="00BA03C5"/>
    <w:pPr>
      <w:ind w:left="4252"/>
    </w:pPr>
  </w:style>
  <w:style w:type="character" w:customStyle="1" w:styleId="SignatureChar">
    <w:name w:val="Signature Char"/>
    <w:link w:val="Signature"/>
    <w:rsid w:val="00BA03C5"/>
    <w:rPr>
      <w:lang w:eastAsia="en-US"/>
    </w:rPr>
  </w:style>
  <w:style w:type="character" w:styleId="Strong">
    <w:name w:val="Strong"/>
    <w:qFormat/>
    <w:rsid w:val="00BA03C5"/>
    <w:rPr>
      <w:b/>
      <w:bCs/>
    </w:rPr>
  </w:style>
  <w:style w:type="paragraph" w:styleId="Subtitle">
    <w:name w:val="Subtitle"/>
    <w:basedOn w:val="Normal"/>
    <w:link w:val="SubtitleChar"/>
    <w:qFormat/>
    <w:rsid w:val="00BA03C5"/>
    <w:pPr>
      <w:spacing w:after="60"/>
      <w:jc w:val="center"/>
      <w:outlineLvl w:val="1"/>
    </w:pPr>
    <w:rPr>
      <w:rFonts w:ascii="Arial" w:hAnsi="Arial" w:cs="Arial"/>
      <w:sz w:val="24"/>
      <w:szCs w:val="24"/>
    </w:rPr>
  </w:style>
  <w:style w:type="character" w:customStyle="1" w:styleId="SubtitleChar">
    <w:name w:val="Subtitle Char"/>
    <w:link w:val="Subtitle"/>
    <w:rsid w:val="00BA03C5"/>
    <w:rPr>
      <w:rFonts w:ascii="Arial" w:hAnsi="Arial" w:cs="Arial"/>
      <w:sz w:val="24"/>
      <w:szCs w:val="24"/>
      <w:lang w:eastAsia="en-US"/>
    </w:rPr>
  </w:style>
  <w:style w:type="table" w:styleId="Table3Deffects1">
    <w:name w:val="Table 3D effects 1"/>
    <w:basedOn w:val="TableNormal"/>
    <w:rsid w:val="00BA03C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03C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03C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03C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03C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03C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03C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03C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03C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03C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03C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03C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03C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03C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03C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03C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03C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03C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03C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03C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03C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03C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03C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03C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3C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03C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03C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03C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03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03C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03C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03C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03C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A03C5"/>
    <w:rPr>
      <w:rFonts w:ascii="Arial" w:hAnsi="Arial" w:cs="Arial"/>
      <w:b/>
      <w:bCs/>
      <w:kern w:val="28"/>
      <w:sz w:val="32"/>
      <w:szCs w:val="32"/>
      <w:lang w:eastAsia="en-US"/>
    </w:rPr>
  </w:style>
  <w:style w:type="paragraph" w:styleId="EnvelopeAddress">
    <w:name w:val="envelope address"/>
    <w:basedOn w:val="Normal"/>
    <w:rsid w:val="00BA03C5"/>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uiPriority w:val="99"/>
    <w:rsid w:val="00BA03C5"/>
    <w:rPr>
      <w:sz w:val="16"/>
      <w:lang w:eastAsia="en-US"/>
    </w:rPr>
  </w:style>
  <w:style w:type="character" w:customStyle="1" w:styleId="HeaderChar">
    <w:name w:val="Header Char"/>
    <w:aliases w:val="6_G Char"/>
    <w:link w:val="Header"/>
    <w:rsid w:val="00BA03C5"/>
    <w:rPr>
      <w:b/>
      <w:sz w:val="18"/>
      <w:lang w:eastAsia="en-US"/>
    </w:rPr>
  </w:style>
  <w:style w:type="paragraph" w:styleId="BalloonText">
    <w:name w:val="Balloon Text"/>
    <w:basedOn w:val="Normal"/>
    <w:link w:val="BalloonTextChar"/>
    <w:rsid w:val="00787260"/>
    <w:pPr>
      <w:spacing w:line="240" w:lineRule="auto"/>
    </w:pPr>
    <w:rPr>
      <w:rFonts w:ascii="Tahoma" w:hAnsi="Tahoma" w:cs="Tahoma"/>
      <w:sz w:val="16"/>
      <w:szCs w:val="16"/>
    </w:rPr>
  </w:style>
  <w:style w:type="character" w:customStyle="1" w:styleId="BalloonTextChar">
    <w:name w:val="Balloon Text Char"/>
    <w:link w:val="BalloonText"/>
    <w:rsid w:val="00787260"/>
    <w:rPr>
      <w:rFonts w:ascii="Tahoma" w:hAnsi="Tahoma" w:cs="Tahoma"/>
      <w:sz w:val="16"/>
      <w:szCs w:val="16"/>
      <w:lang w:eastAsia="en-US"/>
    </w:rPr>
  </w:style>
  <w:style w:type="paragraph" w:customStyle="1" w:styleId="H1">
    <w:name w:val="_ H_1"/>
    <w:basedOn w:val="Normal"/>
    <w:next w:val="SingleTxt"/>
    <w:rsid w:val="001F3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rsid w:val="001F3B24"/>
    <w:pPr>
      <w:spacing w:line="300" w:lineRule="exact"/>
      <w:ind w:left="0" w:right="0" w:firstLine="0"/>
    </w:pPr>
    <w:rPr>
      <w:spacing w:val="-2"/>
      <w:sz w:val="28"/>
    </w:rPr>
  </w:style>
  <w:style w:type="paragraph" w:customStyle="1" w:styleId="SingleTxt">
    <w:name w:val="__Single Txt"/>
    <w:basedOn w:val="Normal"/>
    <w:rsid w:val="001F3B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Normal"/>
    <w:next w:val="SingleTxt"/>
    <w:rsid w:val="006D24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character" w:customStyle="1" w:styleId="H1GChar">
    <w:name w:val="_ H_1_G Char"/>
    <w:link w:val="H1G"/>
    <w:rsid w:val="000B3CC6"/>
    <w:rPr>
      <w:b/>
      <w:sz w:val="24"/>
      <w:lang w:eastAsia="en-US"/>
    </w:rPr>
  </w:style>
  <w:style w:type="paragraph" w:customStyle="1" w:styleId="Default">
    <w:name w:val="Default"/>
    <w:rsid w:val="000B3CC6"/>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A12FDD"/>
    <w:pPr>
      <w:suppressAutoHyphens w:val="0"/>
      <w:spacing w:after="200" w:line="276" w:lineRule="auto"/>
      <w:ind w:left="720"/>
      <w:contextualSpacing/>
    </w:pPr>
    <w:rPr>
      <w:rFonts w:ascii="Calibri" w:eastAsia="Calibri" w:hAnsi="Calibri"/>
      <w:sz w:val="22"/>
      <w:szCs w:val="22"/>
      <w:lang w:val="en-US"/>
    </w:rPr>
  </w:style>
  <w:style w:type="paragraph" w:styleId="Revision">
    <w:name w:val="Revision"/>
    <w:hidden/>
    <w:uiPriority w:val="99"/>
    <w:semiHidden/>
    <w:rsid w:val="00314C42"/>
    <w:rPr>
      <w:lang w:eastAsia="en-US"/>
    </w:rPr>
  </w:style>
  <w:style w:type="paragraph" w:styleId="CommentSubject">
    <w:name w:val="annotation subject"/>
    <w:basedOn w:val="CommentText"/>
    <w:next w:val="CommentText"/>
    <w:link w:val="CommentSubjectChar"/>
    <w:semiHidden/>
    <w:unhideWhenUsed/>
    <w:rsid w:val="00066320"/>
    <w:pPr>
      <w:spacing w:line="240" w:lineRule="auto"/>
    </w:pPr>
    <w:rPr>
      <w:b/>
      <w:bCs/>
    </w:rPr>
  </w:style>
  <w:style w:type="character" w:customStyle="1" w:styleId="CommentSubjectChar">
    <w:name w:val="Comment Subject Char"/>
    <w:basedOn w:val="CommentTextChar"/>
    <w:link w:val="CommentSubject"/>
    <w:semiHidden/>
    <w:rsid w:val="0006632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numPr>
        <w:numId w:val="14"/>
      </w:numPr>
      <w:spacing w:after="0" w:line="240" w:lineRule="auto"/>
      <w:ind w:right="0"/>
      <w:jc w:val="left"/>
      <w:outlineLvl w:val="0"/>
    </w:pPr>
  </w:style>
  <w:style w:type="paragraph" w:styleId="Heading2">
    <w:name w:val="heading 2"/>
    <w:basedOn w:val="Normal"/>
    <w:next w:val="Normal"/>
    <w:link w:val="Heading2Char"/>
    <w:qFormat/>
    <w:pPr>
      <w:tabs>
        <w:tab w:val="num" w:pos="360"/>
      </w:tabs>
      <w:spacing w:line="240" w:lineRule="auto"/>
      <w:ind w:left="360" w:hanging="360"/>
      <w:outlineLvl w:val="1"/>
    </w:pPr>
  </w:style>
  <w:style w:type="paragraph" w:styleId="Heading3">
    <w:name w:val="heading 3"/>
    <w:basedOn w:val="Normal"/>
    <w:next w:val="Normal"/>
    <w:link w:val="Heading3Char"/>
    <w:qFormat/>
    <w:pPr>
      <w:tabs>
        <w:tab w:val="num" w:pos="360"/>
      </w:tabs>
      <w:spacing w:line="240" w:lineRule="auto"/>
      <w:ind w:left="360" w:hanging="360"/>
      <w:outlineLvl w:val="2"/>
    </w:pPr>
  </w:style>
  <w:style w:type="paragraph" w:styleId="Heading4">
    <w:name w:val="heading 4"/>
    <w:basedOn w:val="Normal"/>
    <w:next w:val="Normal"/>
    <w:link w:val="Heading4Char"/>
    <w:qFormat/>
    <w:pPr>
      <w:tabs>
        <w:tab w:val="num" w:pos="360"/>
      </w:tabs>
      <w:spacing w:line="240" w:lineRule="auto"/>
      <w:ind w:left="360" w:hanging="360"/>
      <w:outlineLvl w:val="3"/>
    </w:pPr>
  </w:style>
  <w:style w:type="paragraph" w:styleId="Heading5">
    <w:name w:val="heading 5"/>
    <w:basedOn w:val="Normal"/>
    <w:next w:val="Normal"/>
    <w:link w:val="Heading5Char"/>
    <w:qFormat/>
    <w:pPr>
      <w:tabs>
        <w:tab w:val="num" w:pos="360"/>
      </w:tabs>
      <w:spacing w:line="240" w:lineRule="auto"/>
      <w:ind w:left="360" w:hanging="360"/>
      <w:outlineLvl w:val="4"/>
    </w:pPr>
  </w:style>
  <w:style w:type="paragraph" w:styleId="Heading6">
    <w:name w:val="heading 6"/>
    <w:basedOn w:val="Normal"/>
    <w:next w:val="Normal"/>
    <w:link w:val="Heading6Char"/>
    <w:qFormat/>
    <w:pPr>
      <w:tabs>
        <w:tab w:val="num" w:pos="360"/>
      </w:tabs>
      <w:spacing w:line="240" w:lineRule="auto"/>
      <w:ind w:left="360" w:hanging="360"/>
      <w:outlineLvl w:val="5"/>
    </w:pPr>
  </w:style>
  <w:style w:type="paragraph" w:styleId="Heading7">
    <w:name w:val="heading 7"/>
    <w:basedOn w:val="Normal"/>
    <w:next w:val="Normal"/>
    <w:link w:val="Heading7Char"/>
    <w:qFormat/>
    <w:pPr>
      <w:tabs>
        <w:tab w:val="num" w:pos="360"/>
      </w:tabs>
      <w:spacing w:line="240" w:lineRule="auto"/>
      <w:ind w:left="360" w:hanging="360"/>
      <w:outlineLvl w:val="6"/>
    </w:pPr>
  </w:style>
  <w:style w:type="paragraph" w:styleId="Heading8">
    <w:name w:val="heading 8"/>
    <w:basedOn w:val="Normal"/>
    <w:next w:val="Normal"/>
    <w:link w:val="Heading8Char"/>
    <w:qFormat/>
    <w:pPr>
      <w:tabs>
        <w:tab w:val="num" w:pos="360"/>
      </w:tabs>
      <w:spacing w:line="240" w:lineRule="auto"/>
      <w:ind w:left="360" w:hanging="360"/>
      <w:outlineLvl w:val="7"/>
    </w:pPr>
  </w:style>
  <w:style w:type="paragraph" w:styleId="Heading9">
    <w:name w:val="heading 9"/>
    <w:basedOn w:val="Normal"/>
    <w:next w:val="Normal"/>
    <w:link w:val="Heading9Char"/>
    <w:qFormat/>
    <w:pPr>
      <w:tabs>
        <w:tab w:val="num" w:pos="360"/>
      </w:tabs>
      <w:spacing w:line="240" w:lineRule="auto"/>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link w:val="EndnoteTextChar"/>
    <w:rsid w:val="007B6BA5"/>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sid w:val="008A6C4F"/>
    <w:rPr>
      <w:color w:val="0000FF"/>
      <w:u w:val="singl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odyTextIndent">
    <w:name w:val="Body Text Indent"/>
    <w:basedOn w:val="Normal"/>
    <w:link w:val="BodyTextIndentChar1"/>
    <w:rsid w:val="004574E6"/>
    <w:pPr>
      <w:widowControl w:val="0"/>
      <w:suppressAutoHyphens w:val="0"/>
      <w:spacing w:line="240" w:lineRule="auto"/>
      <w:ind w:firstLine="5103"/>
    </w:pPr>
    <w:rPr>
      <w:rFonts w:ascii="CG Times" w:hAnsi="CG Times"/>
      <w:snapToGrid w:val="0"/>
      <w:sz w:val="24"/>
    </w:rPr>
  </w:style>
  <w:style w:type="table" w:styleId="TableGrid">
    <w:name w:val="Table Grid"/>
    <w:basedOn w:val="TableNormal"/>
    <w:rsid w:val="004574E6"/>
    <w:pPr>
      <w:jc w:val="both"/>
    </w:pPr>
    <w:rPr>
      <w:snapToGrid w:val="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4574E6"/>
    <w:rPr>
      <w:b/>
      <w:sz w:val="28"/>
      <w:lang w:val="en-GB" w:eastAsia="en-US" w:bidi="ar-SA"/>
    </w:rPr>
  </w:style>
  <w:style w:type="character" w:customStyle="1" w:styleId="SingleTxtGChar">
    <w:name w:val="_ Single Txt_G Char"/>
    <w:link w:val="SingleTxtG"/>
    <w:qFormat/>
    <w:rsid w:val="004574E6"/>
    <w:rPr>
      <w:lang w:val="en-GB" w:eastAsia="en-US" w:bidi="ar-SA"/>
    </w:rPr>
  </w:style>
  <w:style w:type="character" w:customStyle="1" w:styleId="Heading6Char">
    <w:name w:val="Heading 6 Char"/>
    <w:link w:val="Heading6"/>
    <w:rsid w:val="00354D6A"/>
    <w:rPr>
      <w:lang w:eastAsia="en-US"/>
    </w:rPr>
  </w:style>
  <w:style w:type="character" w:customStyle="1" w:styleId="darkbluebold">
    <w:name w:val="darkbluebold"/>
    <w:basedOn w:val="DefaultParagraphFont"/>
    <w:rsid w:val="000A0FE6"/>
  </w:style>
  <w:style w:type="character" w:customStyle="1" w:styleId="H23GChar">
    <w:name w:val="_ H_2/3_G Char"/>
    <w:link w:val="H23G"/>
    <w:rsid w:val="00FE1F3E"/>
    <w:rPr>
      <w:b/>
      <w:lang w:val="en-GB" w:eastAsia="en-US" w:bidi="ar-SA"/>
    </w:rPr>
  </w:style>
  <w:style w:type="paragraph" w:customStyle="1" w:styleId="ParaNoG">
    <w:name w:val="_ParaNo._G"/>
    <w:basedOn w:val="SingleTxtG"/>
    <w:rsid w:val="00DE1CB7"/>
    <w:pPr>
      <w:numPr>
        <w:numId w:val="3"/>
      </w:numPr>
    </w:pPr>
  </w:style>
  <w:style w:type="paragraph" w:customStyle="1" w:styleId="Docs">
    <w:name w:val="Docs"/>
    <w:basedOn w:val="Normal"/>
    <w:rsid w:val="002502C1"/>
    <w:pPr>
      <w:keepNext/>
      <w:widowControl w:val="0"/>
      <w:autoSpaceDN w:val="0"/>
      <w:spacing w:after="240" w:line="240" w:lineRule="auto"/>
      <w:textAlignment w:val="baseline"/>
    </w:pPr>
    <w:rPr>
      <w:rFonts w:eastAsia="Lucida Sans Unicode"/>
      <w:kern w:val="3"/>
      <w:sz w:val="24"/>
      <w:szCs w:val="24"/>
      <w:lang w:val="en-US"/>
    </w:rPr>
  </w:style>
  <w:style w:type="paragraph" w:customStyle="1" w:styleId="DocList">
    <w:name w:val="DocList"/>
    <w:basedOn w:val="SingleTxtG"/>
    <w:rsid w:val="00A46DD0"/>
    <w:pPr>
      <w:spacing w:after="240"/>
      <w:ind w:left="3701" w:right="1138" w:hanging="2002"/>
      <w:jc w:val="left"/>
    </w:pPr>
    <w:rPr>
      <w:i/>
    </w:rPr>
  </w:style>
  <w:style w:type="character" w:customStyle="1" w:styleId="SingleTxtGZchnZchn">
    <w:name w:val="_ Single Txt_G Zchn Zchn"/>
    <w:rsid w:val="00A46DD0"/>
    <w:rPr>
      <w:lang w:val="en-GB" w:eastAsia="en-US" w:bidi="ar-SA"/>
    </w:rPr>
  </w:style>
  <w:style w:type="character" w:customStyle="1" w:styleId="Heading1Char">
    <w:name w:val="Heading 1 Char"/>
    <w:aliases w:val="Table_G Char"/>
    <w:link w:val="Heading1"/>
    <w:rsid w:val="00BA03C5"/>
    <w:rPr>
      <w:lang w:eastAsia="en-US"/>
    </w:rPr>
  </w:style>
  <w:style w:type="character" w:customStyle="1" w:styleId="Heading2Char">
    <w:name w:val="Heading 2 Char"/>
    <w:link w:val="Heading2"/>
    <w:rsid w:val="00BA03C5"/>
    <w:rPr>
      <w:lang w:eastAsia="en-US"/>
    </w:rPr>
  </w:style>
  <w:style w:type="character" w:customStyle="1" w:styleId="Heading3Char">
    <w:name w:val="Heading 3 Char"/>
    <w:link w:val="Heading3"/>
    <w:rsid w:val="00BA03C5"/>
    <w:rPr>
      <w:lang w:eastAsia="en-US"/>
    </w:rPr>
  </w:style>
  <w:style w:type="character" w:customStyle="1" w:styleId="Heading4Char">
    <w:name w:val="Heading 4 Char"/>
    <w:link w:val="Heading4"/>
    <w:rsid w:val="00BA03C5"/>
    <w:rPr>
      <w:lang w:eastAsia="en-US"/>
    </w:rPr>
  </w:style>
  <w:style w:type="character" w:customStyle="1" w:styleId="Heading5Char">
    <w:name w:val="Heading 5 Char"/>
    <w:link w:val="Heading5"/>
    <w:rsid w:val="00BA03C5"/>
    <w:rPr>
      <w:lang w:eastAsia="en-US"/>
    </w:rPr>
  </w:style>
  <w:style w:type="character" w:customStyle="1" w:styleId="Heading7Char">
    <w:name w:val="Heading 7 Char"/>
    <w:link w:val="Heading7"/>
    <w:rsid w:val="00BA03C5"/>
    <w:rPr>
      <w:lang w:eastAsia="en-US"/>
    </w:rPr>
  </w:style>
  <w:style w:type="character" w:customStyle="1" w:styleId="Heading8Char">
    <w:name w:val="Heading 8 Char"/>
    <w:link w:val="Heading8"/>
    <w:rsid w:val="00BA03C5"/>
    <w:rPr>
      <w:lang w:eastAsia="en-US"/>
    </w:rPr>
  </w:style>
  <w:style w:type="character" w:customStyle="1" w:styleId="Heading9Char">
    <w:name w:val="Heading 9 Char"/>
    <w:link w:val="Heading9"/>
    <w:rsid w:val="00BA03C5"/>
    <w:rPr>
      <w:lang w:eastAsia="en-US"/>
    </w:rPr>
  </w:style>
  <w:style w:type="paragraph" w:styleId="PlainText">
    <w:name w:val="Plain Text"/>
    <w:basedOn w:val="Normal"/>
    <w:link w:val="PlainTextChar"/>
    <w:rsid w:val="00BA03C5"/>
    <w:rPr>
      <w:rFonts w:cs="Courier New"/>
    </w:rPr>
  </w:style>
  <w:style w:type="character" w:customStyle="1" w:styleId="PlainTextChar">
    <w:name w:val="Plain Text Char"/>
    <w:link w:val="PlainText"/>
    <w:rsid w:val="00BA03C5"/>
    <w:rPr>
      <w:rFonts w:cs="Courier New"/>
      <w:lang w:eastAsia="en-US"/>
    </w:rPr>
  </w:style>
  <w:style w:type="paragraph" w:styleId="BodyText">
    <w:name w:val="Body Text"/>
    <w:basedOn w:val="Normal"/>
    <w:next w:val="Normal"/>
    <w:link w:val="BodyTextChar"/>
    <w:rsid w:val="00BA03C5"/>
  </w:style>
  <w:style w:type="character" w:customStyle="1" w:styleId="BodyTextChar">
    <w:name w:val="Body Text Char"/>
    <w:link w:val="BodyText"/>
    <w:rsid w:val="00BA03C5"/>
    <w:rPr>
      <w:lang w:eastAsia="en-US"/>
    </w:rPr>
  </w:style>
  <w:style w:type="character" w:customStyle="1" w:styleId="BodyTextIndentChar">
    <w:name w:val="Body Text Indent Char"/>
    <w:semiHidden/>
    <w:rsid w:val="00BA03C5"/>
    <w:rPr>
      <w:lang w:eastAsia="en-US"/>
    </w:rPr>
  </w:style>
  <w:style w:type="paragraph" w:styleId="BlockText">
    <w:name w:val="Block Text"/>
    <w:basedOn w:val="Normal"/>
    <w:rsid w:val="00BA03C5"/>
    <w:pPr>
      <w:ind w:left="1440" w:right="1440"/>
    </w:pPr>
  </w:style>
  <w:style w:type="character" w:customStyle="1" w:styleId="FootnoteTextChar">
    <w:name w:val="Footnote Text Char"/>
    <w:aliases w:val="5_G Char"/>
    <w:link w:val="FootnoteText"/>
    <w:uiPriority w:val="99"/>
    <w:rsid w:val="00BA03C5"/>
    <w:rPr>
      <w:sz w:val="18"/>
      <w:lang w:eastAsia="en-US"/>
    </w:rPr>
  </w:style>
  <w:style w:type="character" w:customStyle="1" w:styleId="EndnoteTextChar">
    <w:name w:val="Endnote Text Char"/>
    <w:aliases w:val="2_G Char"/>
    <w:link w:val="EndnoteText"/>
    <w:rsid w:val="00BA03C5"/>
    <w:rPr>
      <w:sz w:val="18"/>
      <w:lang w:eastAsia="en-US"/>
    </w:rPr>
  </w:style>
  <w:style w:type="character" w:styleId="CommentReference">
    <w:name w:val="annotation reference"/>
    <w:rsid w:val="00BA03C5"/>
    <w:rPr>
      <w:sz w:val="6"/>
    </w:rPr>
  </w:style>
  <w:style w:type="paragraph" w:styleId="CommentText">
    <w:name w:val="annotation text"/>
    <w:basedOn w:val="Normal"/>
    <w:link w:val="CommentTextChar"/>
    <w:rsid w:val="00BA03C5"/>
  </w:style>
  <w:style w:type="character" w:customStyle="1" w:styleId="CommentTextChar">
    <w:name w:val="Comment Text Char"/>
    <w:link w:val="CommentText"/>
    <w:rsid w:val="00BA03C5"/>
    <w:rPr>
      <w:lang w:eastAsia="en-US"/>
    </w:rPr>
  </w:style>
  <w:style w:type="character" w:styleId="LineNumber">
    <w:name w:val="line number"/>
    <w:rsid w:val="00BA03C5"/>
    <w:rPr>
      <w:sz w:val="14"/>
    </w:rPr>
  </w:style>
  <w:style w:type="numbering" w:styleId="111111">
    <w:name w:val="Outline List 2"/>
    <w:basedOn w:val="NoList"/>
    <w:rsid w:val="00BA03C5"/>
    <w:pPr>
      <w:numPr>
        <w:numId w:val="15"/>
      </w:numPr>
    </w:pPr>
  </w:style>
  <w:style w:type="numbering" w:styleId="1ai">
    <w:name w:val="Outline List 1"/>
    <w:basedOn w:val="NoList"/>
    <w:rsid w:val="00BA03C5"/>
    <w:pPr>
      <w:numPr>
        <w:numId w:val="16"/>
      </w:numPr>
    </w:pPr>
  </w:style>
  <w:style w:type="numbering" w:styleId="ArticleSection">
    <w:name w:val="Outline List 3"/>
    <w:basedOn w:val="NoList"/>
    <w:rsid w:val="00BA03C5"/>
    <w:pPr>
      <w:numPr>
        <w:numId w:val="17"/>
      </w:numPr>
    </w:pPr>
  </w:style>
  <w:style w:type="paragraph" w:styleId="BodyText2">
    <w:name w:val="Body Text 2"/>
    <w:basedOn w:val="Normal"/>
    <w:link w:val="BodyText2Char"/>
    <w:rsid w:val="00BA03C5"/>
    <w:pPr>
      <w:spacing w:after="120" w:line="480" w:lineRule="auto"/>
    </w:pPr>
  </w:style>
  <w:style w:type="character" w:customStyle="1" w:styleId="BodyText2Char">
    <w:name w:val="Body Text 2 Char"/>
    <w:link w:val="BodyText2"/>
    <w:rsid w:val="00BA03C5"/>
    <w:rPr>
      <w:lang w:eastAsia="en-US"/>
    </w:rPr>
  </w:style>
  <w:style w:type="paragraph" w:styleId="BodyText3">
    <w:name w:val="Body Text 3"/>
    <w:basedOn w:val="Normal"/>
    <w:link w:val="BodyText3Char"/>
    <w:rsid w:val="00BA03C5"/>
    <w:pPr>
      <w:spacing w:after="120"/>
    </w:pPr>
    <w:rPr>
      <w:sz w:val="16"/>
      <w:szCs w:val="16"/>
    </w:rPr>
  </w:style>
  <w:style w:type="character" w:customStyle="1" w:styleId="BodyText3Char">
    <w:name w:val="Body Text 3 Char"/>
    <w:link w:val="BodyText3"/>
    <w:rsid w:val="00BA03C5"/>
    <w:rPr>
      <w:sz w:val="16"/>
      <w:szCs w:val="16"/>
      <w:lang w:eastAsia="en-US"/>
    </w:rPr>
  </w:style>
  <w:style w:type="paragraph" w:styleId="BodyTextFirstIndent">
    <w:name w:val="Body Text First Indent"/>
    <w:basedOn w:val="BodyText"/>
    <w:link w:val="BodyTextFirstIndentChar"/>
    <w:rsid w:val="00BA03C5"/>
    <w:pPr>
      <w:spacing w:after="120"/>
      <w:ind w:firstLine="210"/>
    </w:pPr>
  </w:style>
  <w:style w:type="character" w:customStyle="1" w:styleId="BodyTextFirstIndentChar">
    <w:name w:val="Body Text First Indent Char"/>
    <w:basedOn w:val="BodyTextChar"/>
    <w:link w:val="BodyTextFirstIndent"/>
    <w:rsid w:val="00BA03C5"/>
    <w:rPr>
      <w:lang w:eastAsia="en-US"/>
    </w:rPr>
  </w:style>
  <w:style w:type="paragraph" w:styleId="BodyTextFirstIndent2">
    <w:name w:val="Body Text First Indent 2"/>
    <w:basedOn w:val="BodyTextIndent"/>
    <w:link w:val="BodyTextFirstIndent2Char"/>
    <w:rsid w:val="00BA03C5"/>
    <w:pPr>
      <w:widowControl/>
      <w:suppressAutoHyphens/>
      <w:spacing w:after="120" w:line="240" w:lineRule="atLeast"/>
      <w:ind w:left="283" w:firstLine="210"/>
    </w:pPr>
    <w:rPr>
      <w:rFonts w:ascii="Times New Roman" w:hAnsi="Times New Roman"/>
      <w:snapToGrid/>
      <w:sz w:val="20"/>
    </w:rPr>
  </w:style>
  <w:style w:type="character" w:customStyle="1" w:styleId="BodyTextIndentChar1">
    <w:name w:val="Body Text Indent Char1"/>
    <w:link w:val="BodyTextIndent"/>
    <w:rsid w:val="00BA03C5"/>
    <w:rPr>
      <w:rFonts w:ascii="CG Times" w:hAnsi="CG Times"/>
      <w:snapToGrid w:val="0"/>
      <w:sz w:val="24"/>
      <w:lang w:eastAsia="en-US"/>
    </w:rPr>
  </w:style>
  <w:style w:type="character" w:customStyle="1" w:styleId="BodyTextFirstIndent2Char">
    <w:name w:val="Body Text First Indent 2 Char"/>
    <w:link w:val="BodyTextFirstIndent2"/>
    <w:rsid w:val="00BA03C5"/>
    <w:rPr>
      <w:rFonts w:ascii="CG Times" w:hAnsi="CG Times"/>
      <w:snapToGrid/>
      <w:sz w:val="24"/>
      <w:lang w:eastAsia="en-US"/>
    </w:rPr>
  </w:style>
  <w:style w:type="paragraph" w:styleId="BodyTextIndent2">
    <w:name w:val="Body Text Indent 2"/>
    <w:basedOn w:val="Normal"/>
    <w:link w:val="BodyTextIndent2Char"/>
    <w:rsid w:val="00BA03C5"/>
    <w:pPr>
      <w:spacing w:after="120" w:line="480" w:lineRule="auto"/>
      <w:ind w:left="283"/>
    </w:pPr>
  </w:style>
  <w:style w:type="character" w:customStyle="1" w:styleId="BodyTextIndent2Char">
    <w:name w:val="Body Text Indent 2 Char"/>
    <w:link w:val="BodyTextIndent2"/>
    <w:rsid w:val="00BA03C5"/>
    <w:rPr>
      <w:lang w:eastAsia="en-US"/>
    </w:rPr>
  </w:style>
  <w:style w:type="paragraph" w:styleId="BodyTextIndent3">
    <w:name w:val="Body Text Indent 3"/>
    <w:basedOn w:val="Normal"/>
    <w:link w:val="BodyTextIndent3Char"/>
    <w:rsid w:val="00BA03C5"/>
    <w:pPr>
      <w:spacing w:after="120"/>
      <w:ind w:left="283"/>
    </w:pPr>
    <w:rPr>
      <w:sz w:val="16"/>
      <w:szCs w:val="16"/>
    </w:rPr>
  </w:style>
  <w:style w:type="character" w:customStyle="1" w:styleId="BodyTextIndent3Char">
    <w:name w:val="Body Text Indent 3 Char"/>
    <w:link w:val="BodyTextIndent3"/>
    <w:rsid w:val="00BA03C5"/>
    <w:rPr>
      <w:sz w:val="16"/>
      <w:szCs w:val="16"/>
      <w:lang w:eastAsia="en-US"/>
    </w:rPr>
  </w:style>
  <w:style w:type="paragraph" w:styleId="Closing">
    <w:name w:val="Closing"/>
    <w:basedOn w:val="Normal"/>
    <w:link w:val="ClosingChar"/>
    <w:rsid w:val="00BA03C5"/>
    <w:pPr>
      <w:ind w:left="4252"/>
    </w:pPr>
  </w:style>
  <w:style w:type="character" w:customStyle="1" w:styleId="ClosingChar">
    <w:name w:val="Closing Char"/>
    <w:link w:val="Closing"/>
    <w:rsid w:val="00BA03C5"/>
    <w:rPr>
      <w:lang w:eastAsia="en-US"/>
    </w:rPr>
  </w:style>
  <w:style w:type="paragraph" w:styleId="Date">
    <w:name w:val="Date"/>
    <w:basedOn w:val="Normal"/>
    <w:next w:val="Normal"/>
    <w:link w:val="DateChar"/>
    <w:rsid w:val="00BA03C5"/>
  </w:style>
  <w:style w:type="character" w:customStyle="1" w:styleId="DateChar">
    <w:name w:val="Date Char"/>
    <w:link w:val="Date"/>
    <w:rsid w:val="00BA03C5"/>
    <w:rPr>
      <w:lang w:eastAsia="en-US"/>
    </w:rPr>
  </w:style>
  <w:style w:type="paragraph" w:styleId="E-mailSignature">
    <w:name w:val="E-mail Signature"/>
    <w:basedOn w:val="Normal"/>
    <w:link w:val="E-mailSignatureChar"/>
    <w:rsid w:val="00BA03C5"/>
  </w:style>
  <w:style w:type="character" w:customStyle="1" w:styleId="E-mailSignatureChar">
    <w:name w:val="E-mail Signature Char"/>
    <w:link w:val="E-mailSignature"/>
    <w:rsid w:val="00BA03C5"/>
    <w:rPr>
      <w:lang w:eastAsia="en-US"/>
    </w:rPr>
  </w:style>
  <w:style w:type="character" w:styleId="Emphasis">
    <w:name w:val="Emphasis"/>
    <w:qFormat/>
    <w:rsid w:val="00BA03C5"/>
    <w:rPr>
      <w:i/>
      <w:iCs/>
    </w:rPr>
  </w:style>
  <w:style w:type="paragraph" w:styleId="EnvelopeReturn">
    <w:name w:val="envelope return"/>
    <w:basedOn w:val="Normal"/>
    <w:rsid w:val="00BA03C5"/>
    <w:rPr>
      <w:rFonts w:ascii="Arial" w:hAnsi="Arial" w:cs="Arial"/>
    </w:rPr>
  </w:style>
  <w:style w:type="character" w:styleId="FollowedHyperlink">
    <w:name w:val="FollowedHyperlink"/>
    <w:rsid w:val="00BA03C5"/>
    <w:rPr>
      <w:color w:val="800080"/>
      <w:u w:val="single"/>
    </w:rPr>
  </w:style>
  <w:style w:type="character" w:styleId="HTMLAcronym">
    <w:name w:val="HTML Acronym"/>
    <w:rsid w:val="00BA03C5"/>
  </w:style>
  <w:style w:type="paragraph" w:styleId="HTMLAddress">
    <w:name w:val="HTML Address"/>
    <w:basedOn w:val="Normal"/>
    <w:link w:val="HTMLAddressChar"/>
    <w:rsid w:val="00BA03C5"/>
    <w:rPr>
      <w:i/>
      <w:iCs/>
    </w:rPr>
  </w:style>
  <w:style w:type="character" w:customStyle="1" w:styleId="HTMLAddressChar">
    <w:name w:val="HTML Address Char"/>
    <w:link w:val="HTMLAddress"/>
    <w:rsid w:val="00BA03C5"/>
    <w:rPr>
      <w:i/>
      <w:iCs/>
      <w:lang w:eastAsia="en-US"/>
    </w:rPr>
  </w:style>
  <w:style w:type="character" w:styleId="HTMLCite">
    <w:name w:val="HTML Cite"/>
    <w:rsid w:val="00BA03C5"/>
    <w:rPr>
      <w:i/>
      <w:iCs/>
    </w:rPr>
  </w:style>
  <w:style w:type="character" w:styleId="HTMLCode">
    <w:name w:val="HTML Code"/>
    <w:rsid w:val="00BA03C5"/>
    <w:rPr>
      <w:rFonts w:ascii="Courier New" w:hAnsi="Courier New" w:cs="Courier New"/>
      <w:sz w:val="20"/>
      <w:szCs w:val="20"/>
    </w:rPr>
  </w:style>
  <w:style w:type="character" w:styleId="HTMLDefinition">
    <w:name w:val="HTML Definition"/>
    <w:rsid w:val="00BA03C5"/>
    <w:rPr>
      <w:i/>
      <w:iCs/>
    </w:rPr>
  </w:style>
  <w:style w:type="character" w:styleId="HTMLKeyboard">
    <w:name w:val="HTML Keyboard"/>
    <w:rsid w:val="00BA03C5"/>
    <w:rPr>
      <w:rFonts w:ascii="Courier New" w:hAnsi="Courier New" w:cs="Courier New"/>
      <w:sz w:val="20"/>
      <w:szCs w:val="20"/>
    </w:rPr>
  </w:style>
  <w:style w:type="paragraph" w:styleId="HTMLPreformatted">
    <w:name w:val="HTML Preformatted"/>
    <w:basedOn w:val="Normal"/>
    <w:link w:val="HTMLPreformattedChar"/>
    <w:rsid w:val="00BA03C5"/>
    <w:rPr>
      <w:rFonts w:ascii="Courier New" w:hAnsi="Courier New" w:cs="Courier New"/>
    </w:rPr>
  </w:style>
  <w:style w:type="character" w:customStyle="1" w:styleId="HTMLPreformattedChar">
    <w:name w:val="HTML Preformatted Char"/>
    <w:link w:val="HTMLPreformatted"/>
    <w:rsid w:val="00BA03C5"/>
    <w:rPr>
      <w:rFonts w:ascii="Courier New" w:hAnsi="Courier New" w:cs="Courier New"/>
      <w:lang w:eastAsia="en-US"/>
    </w:rPr>
  </w:style>
  <w:style w:type="character" w:styleId="HTMLSample">
    <w:name w:val="HTML Sample"/>
    <w:rsid w:val="00BA03C5"/>
    <w:rPr>
      <w:rFonts w:ascii="Courier New" w:hAnsi="Courier New" w:cs="Courier New"/>
    </w:rPr>
  </w:style>
  <w:style w:type="character" w:styleId="HTMLTypewriter">
    <w:name w:val="HTML Typewriter"/>
    <w:rsid w:val="00BA03C5"/>
    <w:rPr>
      <w:rFonts w:ascii="Courier New" w:hAnsi="Courier New" w:cs="Courier New"/>
      <w:sz w:val="20"/>
      <w:szCs w:val="20"/>
    </w:rPr>
  </w:style>
  <w:style w:type="character" w:styleId="HTMLVariable">
    <w:name w:val="HTML Variable"/>
    <w:rsid w:val="00BA03C5"/>
    <w:rPr>
      <w:i/>
      <w:iCs/>
    </w:rPr>
  </w:style>
  <w:style w:type="paragraph" w:styleId="List">
    <w:name w:val="List"/>
    <w:basedOn w:val="Normal"/>
    <w:rsid w:val="00BA03C5"/>
    <w:pPr>
      <w:ind w:left="283" w:hanging="283"/>
    </w:pPr>
  </w:style>
  <w:style w:type="paragraph" w:styleId="List2">
    <w:name w:val="List 2"/>
    <w:basedOn w:val="Normal"/>
    <w:rsid w:val="00BA03C5"/>
    <w:pPr>
      <w:ind w:left="566" w:hanging="283"/>
    </w:pPr>
  </w:style>
  <w:style w:type="paragraph" w:styleId="List3">
    <w:name w:val="List 3"/>
    <w:basedOn w:val="Normal"/>
    <w:rsid w:val="00BA03C5"/>
    <w:pPr>
      <w:ind w:left="849" w:hanging="283"/>
    </w:pPr>
  </w:style>
  <w:style w:type="paragraph" w:styleId="List4">
    <w:name w:val="List 4"/>
    <w:basedOn w:val="Normal"/>
    <w:rsid w:val="00BA03C5"/>
    <w:pPr>
      <w:ind w:left="1132" w:hanging="283"/>
    </w:pPr>
  </w:style>
  <w:style w:type="paragraph" w:styleId="List5">
    <w:name w:val="List 5"/>
    <w:basedOn w:val="Normal"/>
    <w:rsid w:val="00BA03C5"/>
    <w:pPr>
      <w:ind w:left="1415" w:hanging="283"/>
    </w:pPr>
  </w:style>
  <w:style w:type="paragraph" w:styleId="ListBullet">
    <w:name w:val="List Bullet"/>
    <w:basedOn w:val="Normal"/>
    <w:rsid w:val="00BA03C5"/>
    <w:pPr>
      <w:tabs>
        <w:tab w:val="num" w:pos="360"/>
      </w:tabs>
      <w:ind w:left="360" w:hanging="360"/>
    </w:pPr>
  </w:style>
  <w:style w:type="paragraph" w:styleId="ListBullet2">
    <w:name w:val="List Bullet 2"/>
    <w:basedOn w:val="Normal"/>
    <w:rsid w:val="00BA03C5"/>
    <w:pPr>
      <w:tabs>
        <w:tab w:val="num" w:pos="643"/>
      </w:tabs>
      <w:ind w:left="643" w:hanging="360"/>
    </w:pPr>
  </w:style>
  <w:style w:type="paragraph" w:styleId="ListBullet3">
    <w:name w:val="List Bullet 3"/>
    <w:basedOn w:val="Normal"/>
    <w:rsid w:val="00BA03C5"/>
    <w:pPr>
      <w:tabs>
        <w:tab w:val="num" w:pos="926"/>
      </w:tabs>
      <w:ind w:left="926" w:hanging="360"/>
    </w:pPr>
  </w:style>
  <w:style w:type="paragraph" w:styleId="ListBullet4">
    <w:name w:val="List Bullet 4"/>
    <w:basedOn w:val="Normal"/>
    <w:rsid w:val="00BA03C5"/>
    <w:pPr>
      <w:tabs>
        <w:tab w:val="num" w:pos="1209"/>
      </w:tabs>
      <w:ind w:left="1209" w:hanging="360"/>
    </w:pPr>
  </w:style>
  <w:style w:type="paragraph" w:styleId="ListBullet5">
    <w:name w:val="List Bullet 5"/>
    <w:basedOn w:val="Normal"/>
    <w:rsid w:val="00BA03C5"/>
    <w:pPr>
      <w:tabs>
        <w:tab w:val="num" w:pos="1492"/>
      </w:tabs>
      <w:ind w:left="1492" w:hanging="360"/>
    </w:pPr>
  </w:style>
  <w:style w:type="paragraph" w:styleId="ListContinue">
    <w:name w:val="List Continue"/>
    <w:basedOn w:val="Normal"/>
    <w:rsid w:val="00BA03C5"/>
    <w:pPr>
      <w:spacing w:after="120"/>
      <w:ind w:left="283"/>
    </w:pPr>
  </w:style>
  <w:style w:type="paragraph" w:styleId="ListContinue2">
    <w:name w:val="List Continue 2"/>
    <w:basedOn w:val="Normal"/>
    <w:rsid w:val="00BA03C5"/>
    <w:pPr>
      <w:spacing w:after="120"/>
      <w:ind w:left="566"/>
    </w:pPr>
  </w:style>
  <w:style w:type="paragraph" w:styleId="ListContinue3">
    <w:name w:val="List Continue 3"/>
    <w:basedOn w:val="Normal"/>
    <w:rsid w:val="00BA03C5"/>
    <w:pPr>
      <w:spacing w:after="120"/>
      <w:ind w:left="849"/>
    </w:pPr>
  </w:style>
  <w:style w:type="paragraph" w:styleId="ListContinue4">
    <w:name w:val="List Continue 4"/>
    <w:basedOn w:val="Normal"/>
    <w:rsid w:val="00BA03C5"/>
    <w:pPr>
      <w:spacing w:after="120"/>
      <w:ind w:left="1132"/>
    </w:pPr>
  </w:style>
  <w:style w:type="paragraph" w:styleId="ListContinue5">
    <w:name w:val="List Continue 5"/>
    <w:basedOn w:val="Normal"/>
    <w:rsid w:val="00BA03C5"/>
    <w:pPr>
      <w:spacing w:after="120"/>
      <w:ind w:left="1415"/>
    </w:pPr>
  </w:style>
  <w:style w:type="paragraph" w:styleId="ListNumber">
    <w:name w:val="List Number"/>
    <w:basedOn w:val="Normal"/>
    <w:rsid w:val="00BA03C5"/>
    <w:pPr>
      <w:tabs>
        <w:tab w:val="num" w:pos="360"/>
      </w:tabs>
      <w:ind w:left="360" w:hanging="360"/>
    </w:pPr>
  </w:style>
  <w:style w:type="paragraph" w:styleId="ListNumber2">
    <w:name w:val="List Number 2"/>
    <w:basedOn w:val="Normal"/>
    <w:rsid w:val="00BA03C5"/>
    <w:pPr>
      <w:tabs>
        <w:tab w:val="num" w:pos="643"/>
      </w:tabs>
      <w:ind w:left="643" w:hanging="360"/>
    </w:pPr>
  </w:style>
  <w:style w:type="paragraph" w:styleId="ListNumber3">
    <w:name w:val="List Number 3"/>
    <w:basedOn w:val="Normal"/>
    <w:rsid w:val="00BA03C5"/>
    <w:pPr>
      <w:tabs>
        <w:tab w:val="num" w:pos="926"/>
      </w:tabs>
      <w:ind w:left="926" w:hanging="360"/>
    </w:pPr>
  </w:style>
  <w:style w:type="paragraph" w:styleId="ListNumber4">
    <w:name w:val="List Number 4"/>
    <w:basedOn w:val="Normal"/>
    <w:rsid w:val="00BA03C5"/>
    <w:pPr>
      <w:tabs>
        <w:tab w:val="num" w:pos="1209"/>
      </w:tabs>
      <w:ind w:left="1209" w:hanging="360"/>
    </w:pPr>
  </w:style>
  <w:style w:type="paragraph" w:styleId="ListNumber5">
    <w:name w:val="List Number 5"/>
    <w:basedOn w:val="Normal"/>
    <w:rsid w:val="00BA03C5"/>
    <w:pPr>
      <w:tabs>
        <w:tab w:val="num" w:pos="1492"/>
      </w:tabs>
      <w:ind w:left="1492" w:hanging="360"/>
    </w:pPr>
  </w:style>
  <w:style w:type="paragraph" w:styleId="MessageHeader">
    <w:name w:val="Message Header"/>
    <w:basedOn w:val="Normal"/>
    <w:link w:val="MessageHeaderChar"/>
    <w:rsid w:val="00BA0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BA03C5"/>
    <w:rPr>
      <w:rFonts w:ascii="Arial" w:hAnsi="Arial" w:cs="Arial"/>
      <w:sz w:val="24"/>
      <w:szCs w:val="24"/>
      <w:shd w:val="pct20" w:color="auto" w:fill="auto"/>
      <w:lang w:eastAsia="en-US"/>
    </w:rPr>
  </w:style>
  <w:style w:type="paragraph" w:styleId="NormalWeb">
    <w:name w:val="Normal (Web)"/>
    <w:basedOn w:val="Normal"/>
    <w:rsid w:val="00BA03C5"/>
    <w:rPr>
      <w:sz w:val="24"/>
      <w:szCs w:val="24"/>
    </w:rPr>
  </w:style>
  <w:style w:type="paragraph" w:styleId="NormalIndent">
    <w:name w:val="Normal Indent"/>
    <w:basedOn w:val="Normal"/>
    <w:rsid w:val="00BA03C5"/>
    <w:pPr>
      <w:ind w:left="567"/>
    </w:pPr>
  </w:style>
  <w:style w:type="paragraph" w:styleId="NoteHeading">
    <w:name w:val="Note Heading"/>
    <w:basedOn w:val="Normal"/>
    <w:next w:val="Normal"/>
    <w:link w:val="NoteHeadingChar"/>
    <w:rsid w:val="00BA03C5"/>
  </w:style>
  <w:style w:type="character" w:customStyle="1" w:styleId="NoteHeadingChar">
    <w:name w:val="Note Heading Char"/>
    <w:link w:val="NoteHeading"/>
    <w:rsid w:val="00BA03C5"/>
    <w:rPr>
      <w:lang w:eastAsia="en-US"/>
    </w:rPr>
  </w:style>
  <w:style w:type="paragraph" w:styleId="Salutation">
    <w:name w:val="Salutation"/>
    <w:basedOn w:val="Normal"/>
    <w:next w:val="Normal"/>
    <w:link w:val="SalutationChar"/>
    <w:rsid w:val="00BA03C5"/>
  </w:style>
  <w:style w:type="character" w:customStyle="1" w:styleId="SalutationChar">
    <w:name w:val="Salutation Char"/>
    <w:link w:val="Salutation"/>
    <w:rsid w:val="00BA03C5"/>
    <w:rPr>
      <w:lang w:eastAsia="en-US"/>
    </w:rPr>
  </w:style>
  <w:style w:type="paragraph" w:styleId="Signature">
    <w:name w:val="Signature"/>
    <w:basedOn w:val="Normal"/>
    <w:link w:val="SignatureChar"/>
    <w:rsid w:val="00BA03C5"/>
    <w:pPr>
      <w:ind w:left="4252"/>
    </w:pPr>
  </w:style>
  <w:style w:type="character" w:customStyle="1" w:styleId="SignatureChar">
    <w:name w:val="Signature Char"/>
    <w:link w:val="Signature"/>
    <w:rsid w:val="00BA03C5"/>
    <w:rPr>
      <w:lang w:eastAsia="en-US"/>
    </w:rPr>
  </w:style>
  <w:style w:type="character" w:styleId="Strong">
    <w:name w:val="Strong"/>
    <w:qFormat/>
    <w:rsid w:val="00BA03C5"/>
    <w:rPr>
      <w:b/>
      <w:bCs/>
    </w:rPr>
  </w:style>
  <w:style w:type="paragraph" w:styleId="Subtitle">
    <w:name w:val="Subtitle"/>
    <w:basedOn w:val="Normal"/>
    <w:link w:val="SubtitleChar"/>
    <w:qFormat/>
    <w:rsid w:val="00BA03C5"/>
    <w:pPr>
      <w:spacing w:after="60"/>
      <w:jc w:val="center"/>
      <w:outlineLvl w:val="1"/>
    </w:pPr>
    <w:rPr>
      <w:rFonts w:ascii="Arial" w:hAnsi="Arial" w:cs="Arial"/>
      <w:sz w:val="24"/>
      <w:szCs w:val="24"/>
    </w:rPr>
  </w:style>
  <w:style w:type="character" w:customStyle="1" w:styleId="SubtitleChar">
    <w:name w:val="Subtitle Char"/>
    <w:link w:val="Subtitle"/>
    <w:rsid w:val="00BA03C5"/>
    <w:rPr>
      <w:rFonts w:ascii="Arial" w:hAnsi="Arial" w:cs="Arial"/>
      <w:sz w:val="24"/>
      <w:szCs w:val="24"/>
      <w:lang w:eastAsia="en-US"/>
    </w:rPr>
  </w:style>
  <w:style w:type="table" w:styleId="Table3Deffects1">
    <w:name w:val="Table 3D effects 1"/>
    <w:basedOn w:val="TableNormal"/>
    <w:rsid w:val="00BA03C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03C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03C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03C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03C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03C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03C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03C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03C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03C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03C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03C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03C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03C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03C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03C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03C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03C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03C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03C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03C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03C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03C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03C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3C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03C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03C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03C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03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03C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03C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03C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03C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A03C5"/>
    <w:rPr>
      <w:rFonts w:ascii="Arial" w:hAnsi="Arial" w:cs="Arial"/>
      <w:b/>
      <w:bCs/>
      <w:kern w:val="28"/>
      <w:sz w:val="32"/>
      <w:szCs w:val="32"/>
      <w:lang w:eastAsia="en-US"/>
    </w:rPr>
  </w:style>
  <w:style w:type="paragraph" w:styleId="EnvelopeAddress">
    <w:name w:val="envelope address"/>
    <w:basedOn w:val="Normal"/>
    <w:rsid w:val="00BA03C5"/>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uiPriority w:val="99"/>
    <w:rsid w:val="00BA03C5"/>
    <w:rPr>
      <w:sz w:val="16"/>
      <w:lang w:eastAsia="en-US"/>
    </w:rPr>
  </w:style>
  <w:style w:type="character" w:customStyle="1" w:styleId="HeaderChar">
    <w:name w:val="Header Char"/>
    <w:aliases w:val="6_G Char"/>
    <w:link w:val="Header"/>
    <w:rsid w:val="00BA03C5"/>
    <w:rPr>
      <w:b/>
      <w:sz w:val="18"/>
      <w:lang w:eastAsia="en-US"/>
    </w:rPr>
  </w:style>
  <w:style w:type="paragraph" w:styleId="BalloonText">
    <w:name w:val="Balloon Text"/>
    <w:basedOn w:val="Normal"/>
    <w:link w:val="BalloonTextChar"/>
    <w:rsid w:val="00787260"/>
    <w:pPr>
      <w:spacing w:line="240" w:lineRule="auto"/>
    </w:pPr>
    <w:rPr>
      <w:rFonts w:ascii="Tahoma" w:hAnsi="Tahoma" w:cs="Tahoma"/>
      <w:sz w:val="16"/>
      <w:szCs w:val="16"/>
    </w:rPr>
  </w:style>
  <w:style w:type="character" w:customStyle="1" w:styleId="BalloonTextChar">
    <w:name w:val="Balloon Text Char"/>
    <w:link w:val="BalloonText"/>
    <w:rsid w:val="00787260"/>
    <w:rPr>
      <w:rFonts w:ascii="Tahoma" w:hAnsi="Tahoma" w:cs="Tahoma"/>
      <w:sz w:val="16"/>
      <w:szCs w:val="16"/>
      <w:lang w:eastAsia="en-US"/>
    </w:rPr>
  </w:style>
  <w:style w:type="paragraph" w:customStyle="1" w:styleId="H1">
    <w:name w:val="_ H_1"/>
    <w:basedOn w:val="Normal"/>
    <w:next w:val="SingleTxt"/>
    <w:rsid w:val="001F3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rsid w:val="001F3B24"/>
    <w:pPr>
      <w:spacing w:line="300" w:lineRule="exact"/>
      <w:ind w:left="0" w:right="0" w:firstLine="0"/>
    </w:pPr>
    <w:rPr>
      <w:spacing w:val="-2"/>
      <w:sz w:val="28"/>
    </w:rPr>
  </w:style>
  <w:style w:type="paragraph" w:customStyle="1" w:styleId="SingleTxt">
    <w:name w:val="__Single Txt"/>
    <w:basedOn w:val="Normal"/>
    <w:rsid w:val="001F3B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Normal"/>
    <w:next w:val="SingleTxt"/>
    <w:rsid w:val="006D24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character" w:customStyle="1" w:styleId="H1GChar">
    <w:name w:val="_ H_1_G Char"/>
    <w:link w:val="H1G"/>
    <w:rsid w:val="000B3CC6"/>
    <w:rPr>
      <w:b/>
      <w:sz w:val="24"/>
      <w:lang w:eastAsia="en-US"/>
    </w:rPr>
  </w:style>
  <w:style w:type="paragraph" w:customStyle="1" w:styleId="Default">
    <w:name w:val="Default"/>
    <w:rsid w:val="000B3CC6"/>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A12FDD"/>
    <w:pPr>
      <w:suppressAutoHyphens w:val="0"/>
      <w:spacing w:after="200" w:line="276" w:lineRule="auto"/>
      <w:ind w:left="720"/>
      <w:contextualSpacing/>
    </w:pPr>
    <w:rPr>
      <w:rFonts w:ascii="Calibri" w:eastAsia="Calibri" w:hAnsi="Calibri"/>
      <w:sz w:val="22"/>
      <w:szCs w:val="22"/>
      <w:lang w:val="en-US"/>
    </w:rPr>
  </w:style>
  <w:style w:type="paragraph" w:styleId="Revision">
    <w:name w:val="Revision"/>
    <w:hidden/>
    <w:uiPriority w:val="99"/>
    <w:semiHidden/>
    <w:rsid w:val="00314C42"/>
    <w:rPr>
      <w:lang w:eastAsia="en-US"/>
    </w:rPr>
  </w:style>
  <w:style w:type="paragraph" w:styleId="CommentSubject">
    <w:name w:val="annotation subject"/>
    <w:basedOn w:val="CommentText"/>
    <w:next w:val="CommentText"/>
    <w:link w:val="CommentSubjectChar"/>
    <w:semiHidden/>
    <w:unhideWhenUsed/>
    <w:rsid w:val="00066320"/>
    <w:pPr>
      <w:spacing w:line="240" w:lineRule="auto"/>
    </w:pPr>
    <w:rPr>
      <w:b/>
      <w:bCs/>
    </w:rPr>
  </w:style>
  <w:style w:type="character" w:customStyle="1" w:styleId="CommentSubjectChar">
    <w:name w:val="Comment Subject Char"/>
    <w:basedOn w:val="CommentTextChar"/>
    <w:link w:val="CommentSubject"/>
    <w:semiHidden/>
    <w:rsid w:val="000663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837B-C009-4287-8FEC-6C487AFF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45</TotalTime>
  <Pages>21</Pages>
  <Words>7623</Words>
  <Characters>41815</Characters>
  <Application>Microsoft Office Word</Application>
  <DocSecurity>0</DocSecurity>
  <Lines>787</Lines>
  <Paragraphs>374</Paragraphs>
  <ScaleCrop>false</ScaleCrop>
  <HeadingPairs>
    <vt:vector size="2" baseType="variant">
      <vt:variant>
        <vt:lpstr>Title</vt:lpstr>
      </vt:variant>
      <vt:variant>
        <vt:i4>1</vt:i4>
      </vt:variant>
    </vt:vector>
  </HeadingPairs>
  <TitlesOfParts>
    <vt:vector size="1" baseType="lpstr">
      <vt:lpstr>1622034</vt:lpstr>
    </vt:vector>
  </TitlesOfParts>
  <Company>CSD</Company>
  <LinksUpToDate>false</LinksUpToDate>
  <CharactersWithSpaces>49630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1622034</dc:title>
  <dc:subject>ST/SG/AC.10/C.3/100</dc:subject>
  <dc:creator>Berthet</dc:creator>
  <cp:lastModifiedBy>Laurence Berthet</cp:lastModifiedBy>
  <cp:revision>15</cp:revision>
  <cp:lastPrinted>2018-01-15T07:09:00Z</cp:lastPrinted>
  <dcterms:created xsi:type="dcterms:W3CDTF">2018-01-11T14:30:00Z</dcterms:created>
  <dcterms:modified xsi:type="dcterms:W3CDTF">2018-01-15T07:09:00Z</dcterms:modified>
</cp:coreProperties>
</file>