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64F17FB" w14:textId="77777777" w:rsidTr="006476E1">
        <w:trPr>
          <w:trHeight w:val="851"/>
        </w:trPr>
        <w:tc>
          <w:tcPr>
            <w:tcW w:w="1259" w:type="dxa"/>
            <w:tcBorders>
              <w:top w:val="nil"/>
              <w:left w:val="nil"/>
              <w:bottom w:val="single" w:sz="4" w:space="0" w:color="auto"/>
              <w:right w:val="nil"/>
            </w:tcBorders>
          </w:tcPr>
          <w:p w14:paraId="2634ABBD" w14:textId="77777777"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14:paraId="4DAD28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6E97C38" w14:textId="77777777" w:rsidR="00E52109" w:rsidRDefault="00CE73BA" w:rsidP="00CE73BA">
            <w:pPr>
              <w:suppressAutoHyphens w:val="0"/>
              <w:spacing w:after="20"/>
              <w:jc w:val="right"/>
            </w:pPr>
            <w:r w:rsidRPr="00CE73BA">
              <w:rPr>
                <w:sz w:val="40"/>
              </w:rPr>
              <w:t>ST</w:t>
            </w:r>
            <w:r>
              <w:t>/SG/AC.10/C.3/2017/9</w:t>
            </w:r>
          </w:p>
        </w:tc>
      </w:tr>
      <w:tr w:rsidR="00E52109" w14:paraId="41CF31C8" w14:textId="77777777" w:rsidTr="006476E1">
        <w:trPr>
          <w:trHeight w:val="2835"/>
        </w:trPr>
        <w:tc>
          <w:tcPr>
            <w:tcW w:w="1259" w:type="dxa"/>
            <w:tcBorders>
              <w:top w:val="single" w:sz="4" w:space="0" w:color="auto"/>
              <w:left w:val="nil"/>
              <w:bottom w:val="single" w:sz="12" w:space="0" w:color="auto"/>
              <w:right w:val="nil"/>
            </w:tcBorders>
          </w:tcPr>
          <w:p w14:paraId="6357D564" w14:textId="77777777" w:rsidR="00E52109" w:rsidRDefault="00E52109" w:rsidP="006476E1">
            <w:pPr>
              <w:spacing w:before="120"/>
              <w:jc w:val="center"/>
            </w:pPr>
            <w:r>
              <w:rPr>
                <w:noProof/>
                <w:lang w:eastAsia="en-GB"/>
              </w:rPr>
              <w:drawing>
                <wp:inline distT="0" distB="0" distL="0" distR="0" wp14:anchorId="665B6DB1" wp14:editId="5C8C066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A25C0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EB17EAA" w14:textId="77777777" w:rsidR="00D94B05" w:rsidRDefault="00CE73BA" w:rsidP="00CE73BA">
            <w:pPr>
              <w:suppressAutoHyphens w:val="0"/>
              <w:spacing w:before="240" w:line="240" w:lineRule="exact"/>
            </w:pPr>
            <w:r>
              <w:t>Distr.: General</w:t>
            </w:r>
          </w:p>
          <w:p w14:paraId="5A551ED7" w14:textId="77777777" w:rsidR="00CE73BA" w:rsidRDefault="00CE73BA" w:rsidP="00CE73BA">
            <w:pPr>
              <w:suppressAutoHyphens w:val="0"/>
            </w:pPr>
            <w:r>
              <w:t>3 April 2017</w:t>
            </w:r>
          </w:p>
          <w:p w14:paraId="0E8D0B34" w14:textId="77777777" w:rsidR="00CE73BA" w:rsidRDefault="00CE73BA" w:rsidP="00CE73BA">
            <w:pPr>
              <w:suppressAutoHyphens w:val="0"/>
            </w:pPr>
            <w:r>
              <w:t>English</w:t>
            </w:r>
          </w:p>
          <w:p w14:paraId="53F38F59" w14:textId="77777777" w:rsidR="00CE73BA" w:rsidRDefault="00CE73BA" w:rsidP="00CE73BA">
            <w:pPr>
              <w:suppressAutoHyphens w:val="0"/>
            </w:pPr>
            <w:r>
              <w:t>Original: French</w:t>
            </w:r>
          </w:p>
        </w:tc>
      </w:tr>
    </w:tbl>
    <w:p w14:paraId="44B5A770" w14:textId="77777777" w:rsidR="00FE77F8" w:rsidRPr="00C47CFB" w:rsidRDefault="00FE77F8" w:rsidP="00580DBE">
      <w:pPr>
        <w:spacing w:before="120" w:after="120"/>
        <w:rPr>
          <w:b/>
          <w:sz w:val="24"/>
          <w:szCs w:val="24"/>
        </w:rPr>
      </w:pPr>
      <w:r w:rsidRPr="00C47CFB">
        <w:rPr>
          <w:b/>
          <w:sz w:val="24"/>
          <w:szCs w:val="24"/>
        </w:rPr>
        <w:t>Committee of Experts on the Transport of Dangerous Goods</w:t>
      </w:r>
      <w:r w:rsidRPr="00C47CFB">
        <w:rPr>
          <w:b/>
          <w:sz w:val="24"/>
          <w:szCs w:val="24"/>
        </w:rPr>
        <w:br/>
        <w:t>and on the Globally Harmonized System of Classification</w:t>
      </w:r>
      <w:r w:rsidRPr="00C47CFB">
        <w:rPr>
          <w:b/>
          <w:sz w:val="24"/>
          <w:szCs w:val="24"/>
        </w:rPr>
        <w:br/>
        <w:t>and Labelling of Chemicals</w:t>
      </w:r>
    </w:p>
    <w:p w14:paraId="07E54F1B" w14:textId="77777777" w:rsidR="00FE77F8" w:rsidRPr="00C47CFB" w:rsidRDefault="00FE77F8" w:rsidP="00FE77F8">
      <w:pPr>
        <w:rPr>
          <w:b/>
        </w:rPr>
      </w:pPr>
      <w:r w:rsidRPr="00C47CFB">
        <w:rPr>
          <w:b/>
        </w:rPr>
        <w:t>Sub-Committee of Experts on the Transport of Dangerous Goods</w:t>
      </w:r>
    </w:p>
    <w:p w14:paraId="03186301" w14:textId="77777777" w:rsidR="00FE77F8" w:rsidRPr="00C47CFB" w:rsidRDefault="00FE77F8" w:rsidP="00580DBE">
      <w:pPr>
        <w:spacing w:before="120"/>
        <w:rPr>
          <w:b/>
        </w:rPr>
      </w:pPr>
      <w:r w:rsidRPr="00C47CFB">
        <w:rPr>
          <w:b/>
        </w:rPr>
        <w:t>Fifty-first session</w:t>
      </w:r>
    </w:p>
    <w:p w14:paraId="599AC693" w14:textId="77777777" w:rsidR="00FE77F8" w:rsidRPr="00C47CFB" w:rsidRDefault="00FE77F8" w:rsidP="00FE77F8">
      <w:r w:rsidRPr="00C47CFB">
        <w:t>Geneva, 3-7 July 2017</w:t>
      </w:r>
    </w:p>
    <w:p w14:paraId="21C0CB80" w14:textId="77777777" w:rsidR="00FE77F8" w:rsidRPr="00C47CFB" w:rsidRDefault="00FE77F8" w:rsidP="00FE77F8">
      <w:r w:rsidRPr="00C47CFB">
        <w:t>Item 4 (c) of the provisional agenda</w:t>
      </w:r>
      <w:r w:rsidRPr="00C47CFB">
        <w:br/>
      </w:r>
      <w:r w:rsidRPr="00C47CFB">
        <w:rPr>
          <w:b/>
        </w:rPr>
        <w:t>Electric storage systems: Transport provisions</w:t>
      </w:r>
    </w:p>
    <w:p w14:paraId="020ED44F" w14:textId="75309042" w:rsidR="00DD4F8A" w:rsidRPr="00C47CFB" w:rsidRDefault="009C21C7" w:rsidP="009C21C7">
      <w:pPr>
        <w:pStyle w:val="HChG"/>
      </w:pPr>
      <w:r w:rsidRPr="00C47CFB">
        <w:tab/>
      </w:r>
      <w:r w:rsidRPr="00C47CFB">
        <w:tab/>
      </w:r>
      <w:r w:rsidR="00DD4F8A" w:rsidRPr="00C47CFB">
        <w:t xml:space="preserve">Transport of damaged or defective lithium cells and batteries contained in vehicles and their equipment </w:t>
      </w:r>
    </w:p>
    <w:p w14:paraId="7C4BACA9" w14:textId="082518B4" w:rsidR="00BA24F8" w:rsidRPr="00C47CFB" w:rsidRDefault="00DD4F8A" w:rsidP="009C21C7">
      <w:pPr>
        <w:pStyle w:val="H1G"/>
      </w:pPr>
      <w:r w:rsidRPr="00C47CFB">
        <w:tab/>
      </w:r>
      <w:r w:rsidRPr="00C47CFB">
        <w:tab/>
        <w:t>Communication from the expert from Switzerland</w:t>
      </w:r>
      <w:r w:rsidR="00585CC8" w:rsidRPr="00C47CFB">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9C21C7" w:rsidRPr="00C47CFB" w14:paraId="323054AE" w14:textId="77777777" w:rsidTr="009C21C7">
        <w:trPr>
          <w:jc w:val="center"/>
        </w:trPr>
        <w:tc>
          <w:tcPr>
            <w:tcW w:w="9637" w:type="dxa"/>
            <w:tcBorders>
              <w:bottom w:val="nil"/>
            </w:tcBorders>
          </w:tcPr>
          <w:p w14:paraId="219A2955" w14:textId="17FE5089" w:rsidR="009C21C7" w:rsidRPr="00C47CFB" w:rsidRDefault="009C21C7" w:rsidP="009C21C7">
            <w:pPr>
              <w:tabs>
                <w:tab w:val="left" w:pos="255"/>
              </w:tabs>
              <w:suppressAutoHyphens w:val="0"/>
              <w:spacing w:before="240" w:after="120"/>
              <w:rPr>
                <w:sz w:val="24"/>
                <w:lang w:val="en-GB"/>
              </w:rPr>
            </w:pPr>
            <w:r w:rsidRPr="00C47CFB">
              <w:rPr>
                <w:lang w:val="en-GB"/>
              </w:rPr>
              <w:tab/>
            </w:r>
            <w:r w:rsidRPr="00C47CFB">
              <w:rPr>
                <w:i/>
                <w:sz w:val="24"/>
                <w:lang w:val="en-GB"/>
              </w:rPr>
              <w:t>Summary</w:t>
            </w:r>
          </w:p>
        </w:tc>
      </w:tr>
      <w:tr w:rsidR="005F5F20" w:rsidRPr="00C47CFB" w14:paraId="0E9FA929" w14:textId="77777777" w:rsidTr="009C21C7">
        <w:trPr>
          <w:jc w:val="center"/>
        </w:trPr>
        <w:tc>
          <w:tcPr>
            <w:tcW w:w="9637" w:type="dxa"/>
            <w:tcBorders>
              <w:top w:val="nil"/>
              <w:bottom w:val="nil"/>
            </w:tcBorders>
            <w:shd w:val="clear" w:color="auto" w:fill="auto"/>
          </w:tcPr>
          <w:p w14:paraId="2CDF53D4" w14:textId="7CD659D7" w:rsidR="005F5F20" w:rsidRPr="00C47CFB" w:rsidRDefault="009C61E1" w:rsidP="00626200">
            <w:pPr>
              <w:tabs>
                <w:tab w:val="left" w:pos="255"/>
              </w:tabs>
              <w:suppressAutoHyphens w:val="0"/>
              <w:spacing w:after="120"/>
              <w:ind w:left="2268" w:hanging="2268"/>
              <w:rPr>
                <w:i/>
                <w:lang w:val="en-GB"/>
              </w:rPr>
            </w:pPr>
            <w:r w:rsidRPr="00C47CFB">
              <w:rPr>
                <w:lang w:val="en-GB"/>
              </w:rPr>
              <w:tab/>
            </w:r>
            <w:r w:rsidR="00316DD0" w:rsidRPr="00C47CFB">
              <w:rPr>
                <w:b/>
                <w:lang w:val="en-GB"/>
              </w:rPr>
              <w:t>Executive summary</w:t>
            </w:r>
            <w:r w:rsidR="00913CCA" w:rsidRPr="00C47CFB">
              <w:rPr>
                <w:lang w:val="en-GB"/>
              </w:rPr>
              <w:t>:</w:t>
            </w:r>
            <w:r w:rsidR="00626200" w:rsidRPr="00C47CFB">
              <w:rPr>
                <w:i/>
                <w:lang w:val="en-GB"/>
              </w:rPr>
              <w:tab/>
            </w:r>
            <w:r w:rsidR="00913CCA" w:rsidRPr="00C47CFB">
              <w:rPr>
                <w:lang w:val="en-GB"/>
              </w:rPr>
              <w:t>Damaged or defective cells and batteries separated from vehicles or their equipment should be able to be transported according to the existing provisions, without the intervention of the competent authority, in all cases.</w:t>
            </w:r>
          </w:p>
        </w:tc>
      </w:tr>
      <w:tr w:rsidR="005F5F20" w:rsidRPr="00C47CFB" w14:paraId="3B9EFC06" w14:textId="77777777" w:rsidTr="009C21C7">
        <w:trPr>
          <w:jc w:val="center"/>
        </w:trPr>
        <w:tc>
          <w:tcPr>
            <w:tcW w:w="9637" w:type="dxa"/>
            <w:tcBorders>
              <w:top w:val="nil"/>
              <w:bottom w:val="nil"/>
            </w:tcBorders>
            <w:shd w:val="clear" w:color="auto" w:fill="auto"/>
          </w:tcPr>
          <w:p w14:paraId="5980C1FD" w14:textId="20A04470" w:rsidR="005F5F20" w:rsidRPr="00C47CFB" w:rsidRDefault="00316DD0" w:rsidP="00C0099B">
            <w:pPr>
              <w:tabs>
                <w:tab w:val="left" w:pos="255"/>
              </w:tabs>
              <w:suppressAutoHyphens w:val="0"/>
              <w:spacing w:after="120"/>
              <w:ind w:left="2268" w:hanging="2268"/>
              <w:rPr>
                <w:lang w:val="en-GB"/>
              </w:rPr>
            </w:pPr>
            <w:r w:rsidRPr="00C47CFB">
              <w:rPr>
                <w:lang w:val="en-GB"/>
              </w:rPr>
              <w:tab/>
            </w:r>
            <w:r w:rsidRPr="00C47CFB">
              <w:rPr>
                <w:b/>
                <w:lang w:val="en-GB"/>
              </w:rPr>
              <w:t>Action to be taken</w:t>
            </w:r>
            <w:r w:rsidR="00913CCA" w:rsidRPr="00C47CFB">
              <w:rPr>
                <w:lang w:val="en-GB"/>
              </w:rPr>
              <w:t>:</w:t>
            </w:r>
            <w:r w:rsidR="00913CCA" w:rsidRPr="00C47CFB">
              <w:rPr>
                <w:lang w:val="en-GB"/>
              </w:rPr>
              <w:tab/>
            </w:r>
            <w:r w:rsidR="00913CCA" w:rsidRPr="00C47CFB">
              <w:rPr>
                <w:lang w:val="en-GB"/>
              </w:rPr>
              <w:tab/>
              <w:t>Add provisions similar to those in special provision 310 to special provision 388.</w:t>
            </w:r>
          </w:p>
        </w:tc>
      </w:tr>
      <w:tr w:rsidR="009C21C7" w:rsidRPr="00C47CFB" w14:paraId="02370750" w14:textId="77777777" w:rsidTr="009C21C7">
        <w:trPr>
          <w:jc w:val="center"/>
        </w:trPr>
        <w:tc>
          <w:tcPr>
            <w:tcW w:w="9637" w:type="dxa"/>
            <w:tcBorders>
              <w:top w:val="nil"/>
              <w:bottom w:val="nil"/>
            </w:tcBorders>
            <w:shd w:val="clear" w:color="auto" w:fill="auto"/>
          </w:tcPr>
          <w:p w14:paraId="032D76E6" w14:textId="092AAEEE" w:rsidR="009C21C7" w:rsidRPr="00C47CFB" w:rsidRDefault="00316DD0" w:rsidP="00626200">
            <w:pPr>
              <w:tabs>
                <w:tab w:val="left" w:pos="255"/>
              </w:tabs>
              <w:suppressAutoHyphens w:val="0"/>
              <w:spacing w:after="120"/>
              <w:ind w:left="2268" w:hanging="2268"/>
              <w:rPr>
                <w:lang w:val="en-GB"/>
              </w:rPr>
            </w:pPr>
            <w:r w:rsidRPr="00C47CFB">
              <w:rPr>
                <w:lang w:val="en-GB"/>
              </w:rPr>
              <w:tab/>
            </w:r>
            <w:r w:rsidRPr="00C47CFB">
              <w:rPr>
                <w:b/>
                <w:lang w:val="en-GB"/>
              </w:rPr>
              <w:t>Reference documents</w:t>
            </w:r>
            <w:r w:rsidRPr="00C47CFB">
              <w:rPr>
                <w:lang w:val="en-GB"/>
              </w:rPr>
              <w:t>:</w:t>
            </w:r>
            <w:r w:rsidR="00F436D0" w:rsidRPr="00C47CFB">
              <w:rPr>
                <w:lang w:val="en-GB"/>
              </w:rPr>
              <w:tab/>
              <w:t>ST/SG/AC.10/44/Add.1.</w:t>
            </w:r>
          </w:p>
        </w:tc>
      </w:tr>
      <w:tr w:rsidR="009C21C7" w:rsidRPr="00C47CFB" w14:paraId="315A1FAB" w14:textId="77777777" w:rsidTr="009C21C7">
        <w:trPr>
          <w:jc w:val="center"/>
        </w:trPr>
        <w:tc>
          <w:tcPr>
            <w:tcW w:w="9637" w:type="dxa"/>
            <w:tcBorders>
              <w:top w:val="nil"/>
            </w:tcBorders>
          </w:tcPr>
          <w:p w14:paraId="14202C8F" w14:textId="77777777" w:rsidR="009C21C7" w:rsidRPr="00C47CFB" w:rsidRDefault="009C21C7" w:rsidP="009C21C7">
            <w:pPr>
              <w:suppressAutoHyphens w:val="0"/>
              <w:rPr>
                <w:lang w:val="en-GB"/>
              </w:rPr>
            </w:pPr>
          </w:p>
        </w:tc>
      </w:tr>
    </w:tbl>
    <w:p w14:paraId="618FE481" w14:textId="10E08166" w:rsidR="00FA5FCD" w:rsidRPr="00C47CFB" w:rsidRDefault="00FA5FCD" w:rsidP="00FA5FCD">
      <w:pPr>
        <w:pStyle w:val="HChG"/>
      </w:pPr>
      <w:r w:rsidRPr="00C47CFB">
        <w:tab/>
      </w:r>
      <w:r w:rsidRPr="00C47CFB">
        <w:tab/>
        <w:t>Introduction</w:t>
      </w:r>
    </w:p>
    <w:p w14:paraId="683E24CB" w14:textId="41C36473" w:rsidR="00FA5FCD" w:rsidRPr="00C47CFB" w:rsidRDefault="00FA5FCD" w:rsidP="00FA5FCD">
      <w:pPr>
        <w:pStyle w:val="SingleTxtG"/>
      </w:pPr>
      <w:r w:rsidRPr="00C47CFB">
        <w:t>1.</w:t>
      </w:r>
      <w:r w:rsidRPr="00C47CFB">
        <w:tab/>
        <w:t xml:space="preserve">Special provision 388 has been assigned to UN Nos. 3166 and 3171 (see report, ST/SG/AC.10/44/Add.1). The last paragraph refers to the competent authority in all cases where a lithium cell or battery installed in a vehicle or equipment is damaged or defective and stipulates that the </w:t>
      </w:r>
      <w:r w:rsidR="00C47CFB">
        <w:t>“</w:t>
      </w:r>
      <w:r w:rsidRPr="00C47CFB">
        <w:t>vehicle or equipment shall be transported as defined by the competent authority.</w:t>
      </w:r>
      <w:r w:rsidR="00C47CFB">
        <w:t>”</w:t>
      </w:r>
    </w:p>
    <w:p w14:paraId="33166A38" w14:textId="77777777" w:rsidR="00FA5FCD" w:rsidRPr="00C47CFB" w:rsidRDefault="00FA5FCD" w:rsidP="00FA5FCD">
      <w:pPr>
        <w:pStyle w:val="SingleTxtG"/>
      </w:pPr>
      <w:r w:rsidRPr="00C47CFB">
        <w:t>2.</w:t>
      </w:r>
      <w:r w:rsidRPr="00C47CFB">
        <w:tab/>
        <w:t>The text has the following shortcomings:</w:t>
      </w:r>
    </w:p>
    <w:p w14:paraId="587E7560" w14:textId="24CA8939" w:rsidR="00FA5FCD" w:rsidRPr="00C47CFB" w:rsidRDefault="005364D9" w:rsidP="00FA5FCD">
      <w:pPr>
        <w:pStyle w:val="SingleTxtG"/>
      </w:pPr>
      <w:r w:rsidRPr="00C47CFB">
        <w:tab/>
      </w:r>
      <w:r w:rsidR="00FA5FCD" w:rsidRPr="00C47CFB">
        <w:t>(a)</w:t>
      </w:r>
      <w:r w:rsidR="00FA5FCD" w:rsidRPr="00C47CFB">
        <w:tab/>
        <w:t>It is the competent authority that must decide in all cases what to do with the vehicle or the equipment;</w:t>
      </w:r>
    </w:p>
    <w:p w14:paraId="0669B89F" w14:textId="08FF19F7" w:rsidR="00FA5FCD" w:rsidRPr="00C47CFB" w:rsidRDefault="005364D9" w:rsidP="00FA5FCD">
      <w:pPr>
        <w:pStyle w:val="SingleTxtG"/>
      </w:pPr>
      <w:r w:rsidRPr="00C47CFB">
        <w:lastRenderedPageBreak/>
        <w:tab/>
      </w:r>
      <w:r w:rsidR="00FA5FCD" w:rsidRPr="00C47CFB">
        <w:t>(b)</w:t>
      </w:r>
      <w:r w:rsidR="00FA5FCD" w:rsidRPr="00C47CFB">
        <w:tab/>
        <w:t>The text makes no provision for cases in which damaged or defective cells or batteries are separated from the vehicle before being shipped.</w:t>
      </w:r>
    </w:p>
    <w:p w14:paraId="20DC6FF3" w14:textId="77777777" w:rsidR="00FA5FCD" w:rsidRPr="00C47CFB" w:rsidRDefault="00FA5FCD" w:rsidP="00FA5FCD">
      <w:pPr>
        <w:pStyle w:val="SingleTxtG"/>
      </w:pPr>
      <w:r w:rsidRPr="00C47CFB">
        <w:t>3.</w:t>
      </w:r>
      <w:r w:rsidRPr="00C47CFB">
        <w:tab/>
        <w:t>It does not seem necessary for the competent authority to intervene in all cases where damaged or defective cells or batteries are present. The existing provisions for such cases can be applied without the intervention of the competent authority in the decision-making process (special provisions 376 and 377 and packing instructions P908, LP904 and P909). It is only as a last resort, i.e., when the defective or damaged cells or batteries are not transported separately, that the competent authority should intervene.</w:t>
      </w:r>
    </w:p>
    <w:p w14:paraId="43BF7BFE" w14:textId="77777777" w:rsidR="00FA5FCD" w:rsidRPr="00C47CFB" w:rsidRDefault="00FA5FCD" w:rsidP="00FA5FCD">
      <w:pPr>
        <w:pStyle w:val="SingleTxtG"/>
      </w:pPr>
      <w:r w:rsidRPr="00C47CFB">
        <w:t>4.</w:t>
      </w:r>
      <w:r w:rsidRPr="00C47CFB">
        <w:tab/>
        <w:t>The following proposal is aimed at describing that possibility.</w:t>
      </w:r>
    </w:p>
    <w:p w14:paraId="24049A63" w14:textId="77777777" w:rsidR="00FA5FCD" w:rsidRPr="00C47CFB" w:rsidRDefault="00FA5FCD" w:rsidP="005364D9">
      <w:pPr>
        <w:pStyle w:val="HChG"/>
      </w:pPr>
      <w:r w:rsidRPr="00C47CFB">
        <w:tab/>
      </w:r>
      <w:r w:rsidRPr="00C47CFB">
        <w:tab/>
        <w:t>Proposal</w:t>
      </w:r>
    </w:p>
    <w:p w14:paraId="5FA39D02" w14:textId="77777777" w:rsidR="00FA5FCD" w:rsidRPr="00C47CFB" w:rsidRDefault="00FA5FCD" w:rsidP="00FA5FCD">
      <w:pPr>
        <w:pStyle w:val="SingleTxtG"/>
      </w:pPr>
      <w:r w:rsidRPr="00C47CFB">
        <w:t>5.</w:t>
      </w:r>
      <w:r w:rsidRPr="00C47CFB">
        <w:tab/>
        <w:t>Add the following text before the last paragraph of special provision 388:</w:t>
      </w:r>
    </w:p>
    <w:p w14:paraId="22CB35C9" w14:textId="3BA1E24E" w:rsidR="00FA5FCD" w:rsidRPr="00C47CFB" w:rsidRDefault="00C47CFB" w:rsidP="00C47CFB">
      <w:pPr>
        <w:pStyle w:val="SingleTxtG"/>
        <w:ind w:left="1701"/>
      </w:pPr>
      <w:r>
        <w:t>“</w:t>
      </w:r>
      <w:r w:rsidR="00FA5FCD" w:rsidRPr="00C47CFB">
        <w:t>Damaged or defective cells, batteries or cells and batteries separated from vehicles or their equipment shall be carried in accordance with special provision 376 and packaged in accordance with packing instruction P908 of 4.1.4.1 or packaging instruction LP904 of 4.1.4.3, as applicable.</w:t>
      </w:r>
    </w:p>
    <w:p w14:paraId="68DB349D" w14:textId="0B938257" w:rsidR="00FA5FCD" w:rsidRPr="00C47CFB" w:rsidRDefault="00FA5FCD" w:rsidP="00C47CFB">
      <w:pPr>
        <w:pStyle w:val="SingleTxtG"/>
        <w:ind w:left="1701"/>
      </w:pPr>
      <w:r w:rsidRPr="00C47CFB">
        <w:t>Cells, batteries or cells and batteries separated from vehicles or their equipment and transported with a view to their disposal or recycling may be packaged in accordance with special provision 377 and packing instruction P909 of 4.1.4.1.</w:t>
      </w:r>
      <w:r w:rsidR="00C47CFB">
        <w:t>”</w:t>
      </w:r>
    </w:p>
    <w:p w14:paraId="6C57608C" w14:textId="77777777" w:rsidR="005364D9" w:rsidRPr="00C47CFB" w:rsidRDefault="005364D9">
      <w:pPr>
        <w:spacing w:before="240"/>
        <w:jc w:val="center"/>
        <w:rPr>
          <w:u w:val="single"/>
        </w:rPr>
      </w:pPr>
      <w:r w:rsidRPr="00C47CFB">
        <w:rPr>
          <w:u w:val="single"/>
        </w:rPr>
        <w:tab/>
      </w:r>
      <w:r w:rsidRPr="00C47CFB">
        <w:rPr>
          <w:u w:val="single"/>
        </w:rPr>
        <w:tab/>
      </w:r>
      <w:r w:rsidRPr="00C47CFB">
        <w:rPr>
          <w:u w:val="single"/>
        </w:rPr>
        <w:tab/>
      </w:r>
    </w:p>
    <w:sectPr w:rsidR="005364D9" w:rsidRPr="00C47CFB" w:rsidSect="00CE73B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F7AE" w14:textId="77777777" w:rsidR="006E0C99" w:rsidRPr="00C47B2E" w:rsidRDefault="006E0C99" w:rsidP="00C47B2E">
      <w:pPr>
        <w:pStyle w:val="Footer"/>
      </w:pPr>
    </w:p>
  </w:endnote>
  <w:endnote w:type="continuationSeparator" w:id="0">
    <w:p w14:paraId="4FA7259B" w14:textId="77777777" w:rsidR="006E0C99" w:rsidRPr="00C47B2E" w:rsidRDefault="006E0C99" w:rsidP="00C47B2E">
      <w:pPr>
        <w:pStyle w:val="Footer"/>
      </w:pPr>
    </w:p>
  </w:endnote>
  <w:endnote w:type="continuationNotice" w:id="1">
    <w:p w14:paraId="5C4CF49D" w14:textId="77777777" w:rsidR="006E0C99" w:rsidRPr="00C47B2E" w:rsidRDefault="006E0C9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9ABF" w14:textId="1BA078A9" w:rsidR="00D94B05" w:rsidRPr="00CE73BA" w:rsidRDefault="00CE73BA" w:rsidP="00D94B05">
    <w:pPr>
      <w:pStyle w:val="Footer"/>
      <w:tabs>
        <w:tab w:val="right" w:pos="9598"/>
      </w:tabs>
    </w:pPr>
    <w:r w:rsidRPr="00CE73BA">
      <w:rPr>
        <w:b/>
        <w:sz w:val="18"/>
      </w:rPr>
      <w:fldChar w:fldCharType="begin"/>
    </w:r>
    <w:r w:rsidRPr="00CE73BA">
      <w:rPr>
        <w:b/>
        <w:sz w:val="18"/>
      </w:rPr>
      <w:instrText xml:space="preserve"> PAGE  \* MERGEFORMAT </w:instrText>
    </w:r>
    <w:r w:rsidRPr="00CE73BA">
      <w:rPr>
        <w:b/>
        <w:sz w:val="18"/>
      </w:rPr>
      <w:fldChar w:fldCharType="separate"/>
    </w:r>
    <w:r w:rsidR="00233BF3">
      <w:rPr>
        <w:b/>
        <w:noProof/>
        <w:sz w:val="18"/>
      </w:rPr>
      <w:t>2</w:t>
    </w:r>
    <w:r w:rsidRPr="00CE73BA">
      <w:rPr>
        <w:b/>
        <w:sz w:val="18"/>
      </w:rPr>
      <w:fldChar w:fldCharType="end"/>
    </w:r>
    <w:r>
      <w:rPr>
        <w:sz w:val="18"/>
      </w:rPr>
      <w:tab/>
    </w:r>
    <w:r>
      <w:t>GE.17-05103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D3D4" w14:textId="77777777" w:rsidR="00D94B05" w:rsidRPr="00CE73BA" w:rsidRDefault="00CE73BA" w:rsidP="00343302">
    <w:pPr>
      <w:pStyle w:val="Footer"/>
      <w:tabs>
        <w:tab w:val="left" w:pos="5775"/>
        <w:tab w:val="right" w:pos="9598"/>
      </w:tabs>
      <w:rPr>
        <w:sz w:val="18"/>
      </w:rPr>
    </w:pPr>
    <w:r>
      <w:rPr>
        <w:b/>
      </w:rPr>
      <w:t>GE.17-05103</w:t>
    </w:r>
    <w:r>
      <w:rPr>
        <w:b/>
      </w:rPr>
      <w:tab/>
    </w:r>
    <w:r w:rsidRPr="00CE73BA">
      <w:rPr>
        <w:sz w:val="18"/>
      </w:rPr>
      <w:fldChar w:fldCharType="begin"/>
    </w:r>
    <w:r w:rsidRPr="00CE73BA">
      <w:rPr>
        <w:sz w:val="18"/>
      </w:rPr>
      <w:instrText xml:space="preserve"> PAGE  \* MERGEFORMAT </w:instrText>
    </w:r>
    <w:r w:rsidRPr="00CE73BA">
      <w:rPr>
        <w:sz w:val="18"/>
      </w:rPr>
      <w:fldChar w:fldCharType="separate"/>
    </w:r>
    <w:r>
      <w:rPr>
        <w:noProof/>
        <w:sz w:val="18"/>
      </w:rPr>
      <w:t>3</w:t>
    </w:r>
    <w:r w:rsidRPr="00CE73B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DBB8" w14:textId="77777777"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70016" behindDoc="0" locked="1" layoutInCell="1" allowOverlap="1" wp14:anchorId="45D62D1B" wp14:editId="448D4684">
          <wp:simplePos x="0" y="0"/>
          <wp:positionH relativeFrom="margin">
            <wp:posOffset>4319905</wp:posOffset>
          </wp:positionH>
          <wp:positionV relativeFrom="margin">
            <wp:posOffset>9114790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DD70B" w14:textId="774701A6" w:rsidR="00CE73BA" w:rsidRDefault="00CE73BA" w:rsidP="00CE73BA">
    <w:pPr>
      <w:pStyle w:val="Footer"/>
      <w:rPr>
        <w:rFonts w:asciiTheme="majorBidi" w:hAnsiTheme="majorBidi" w:cstheme="majorBidi"/>
        <w:sz w:val="20"/>
      </w:rPr>
    </w:pPr>
    <w:r>
      <w:rPr>
        <w:rFonts w:asciiTheme="majorBidi" w:hAnsiTheme="majorBidi" w:cstheme="majorBidi"/>
        <w:sz w:val="20"/>
      </w:rPr>
      <w:t>GE.17-05103  (E)</w:t>
    </w:r>
    <w:r w:rsidR="00C47CFB">
      <w:rPr>
        <w:rFonts w:asciiTheme="majorBidi" w:hAnsiTheme="majorBidi" w:cstheme="majorBidi"/>
        <w:sz w:val="20"/>
      </w:rPr>
      <w:t xml:space="preserve">    270417    150517</w:t>
    </w:r>
  </w:p>
  <w:p w14:paraId="70DF997C" w14:textId="77777777" w:rsidR="00CE73BA" w:rsidRPr="00CE73BA" w:rsidRDefault="00CE73BA" w:rsidP="00CE73BA">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87424" behindDoc="0" locked="0" layoutInCell="1" allowOverlap="1" wp14:anchorId="7AD70A65" wp14:editId="26B6B9BB">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ST/SG/AC.10/C.3/2017/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AD32" w14:textId="77777777" w:rsidR="006E0C99" w:rsidRPr="00C47B2E" w:rsidRDefault="006E0C99" w:rsidP="00C47B2E">
      <w:pPr>
        <w:tabs>
          <w:tab w:val="right" w:pos="2155"/>
        </w:tabs>
        <w:spacing w:after="80" w:line="240" w:lineRule="auto"/>
        <w:ind w:left="680"/>
      </w:pPr>
      <w:r>
        <w:rPr>
          <w:u w:val="single"/>
        </w:rPr>
        <w:tab/>
      </w:r>
    </w:p>
  </w:footnote>
  <w:footnote w:type="continuationSeparator" w:id="0">
    <w:p w14:paraId="6286C611" w14:textId="77777777" w:rsidR="006E0C99" w:rsidRPr="00C47B2E" w:rsidRDefault="006E0C99" w:rsidP="005E716E">
      <w:pPr>
        <w:tabs>
          <w:tab w:val="right" w:pos="2155"/>
        </w:tabs>
        <w:spacing w:after="80" w:line="240" w:lineRule="auto"/>
        <w:ind w:left="680"/>
      </w:pPr>
      <w:r>
        <w:rPr>
          <w:u w:val="single"/>
        </w:rPr>
        <w:tab/>
      </w:r>
    </w:p>
  </w:footnote>
  <w:footnote w:type="continuationNotice" w:id="1">
    <w:p w14:paraId="53A876FF" w14:textId="77777777" w:rsidR="006E0C99" w:rsidRPr="00C47B2E" w:rsidRDefault="006E0C99" w:rsidP="00C47B2E">
      <w:pPr>
        <w:pStyle w:val="Footer"/>
      </w:pPr>
    </w:p>
  </w:footnote>
  <w:footnote w:id="2">
    <w:p w14:paraId="123175A7" w14:textId="107D1CA0" w:rsidR="00585CC8" w:rsidRPr="00585CC8" w:rsidRDefault="00585CC8">
      <w:pPr>
        <w:pStyle w:val="FootnoteText"/>
      </w:pPr>
      <w:r>
        <w:rPr>
          <w:rStyle w:val="FootnoteReference"/>
        </w:rPr>
        <w:tab/>
      </w:r>
      <w:r w:rsidRPr="00585CC8">
        <w:rPr>
          <w:rStyle w:val="FootnoteReference"/>
          <w:sz w:val="20"/>
          <w:vertAlign w:val="baseline"/>
        </w:rPr>
        <w:t>*</w:t>
      </w:r>
      <w:r>
        <w:rPr>
          <w:rStyle w:val="FootnoteReference"/>
          <w:sz w:val="20"/>
          <w:vertAlign w:val="baseline"/>
        </w:rPr>
        <w:tab/>
      </w:r>
      <w:r w:rsidRPr="00992904">
        <w:rPr>
          <w:spacing w:val="-2"/>
        </w:rPr>
        <w:t>In accordance with the programme of work of the Sub-Committee for 2017</w:t>
      </w:r>
      <w:r w:rsidR="00C47CFB">
        <w:rPr>
          <w:spacing w:val="-2"/>
        </w:rPr>
        <w:t>-</w:t>
      </w:r>
      <w:r w:rsidRPr="00992904">
        <w:rPr>
          <w:spacing w:val="-2"/>
        </w:rPr>
        <w:t xml:space="preserve">2018 approved by the Committee at its eighth session (see ST/SG/AC.10/C.3/100, para. </w:t>
      </w:r>
      <w:r w:rsidRPr="00992904">
        <w:rPr>
          <w:spacing w:val="-2"/>
          <w:lang w:val="fr-FR"/>
        </w:rPr>
        <w:t>98 and ST/SG/AC.10/44,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B90B" w14:textId="77777777" w:rsidR="00CE73BA" w:rsidRPr="00CE73BA" w:rsidRDefault="00CE73BA" w:rsidP="00CE73BA">
    <w:pPr>
      <w:pStyle w:val="Header"/>
    </w:pPr>
    <w:r w:rsidRPr="00CE73BA">
      <w:t>ST/SG/AC.10/C.3/2017/9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0304" w14:textId="77777777" w:rsidR="00D94B05" w:rsidRPr="00CE73BA" w:rsidRDefault="00CE73BA" w:rsidP="00CE73BA">
    <w:pPr>
      <w:pStyle w:val="Header"/>
      <w:jc w:val="right"/>
    </w:pPr>
    <w:r w:rsidRPr="00CE73BA">
      <w:t>ST/SG/AC.10/C.3/2017/9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99"/>
    <w:rsid w:val="00010FBB"/>
    <w:rsid w:val="00046E92"/>
    <w:rsid w:val="00063C90"/>
    <w:rsid w:val="000C72C5"/>
    <w:rsid w:val="000D3DFC"/>
    <w:rsid w:val="00101B98"/>
    <w:rsid w:val="00127EEA"/>
    <w:rsid w:val="00233BF3"/>
    <w:rsid w:val="00247E2C"/>
    <w:rsid w:val="002A32CB"/>
    <w:rsid w:val="002D6C53"/>
    <w:rsid w:val="002F5595"/>
    <w:rsid w:val="002F55AA"/>
    <w:rsid w:val="00316DD0"/>
    <w:rsid w:val="00334F6A"/>
    <w:rsid w:val="00342AC8"/>
    <w:rsid w:val="00343302"/>
    <w:rsid w:val="003979DE"/>
    <w:rsid w:val="003B4550"/>
    <w:rsid w:val="003D2A18"/>
    <w:rsid w:val="003E33FF"/>
    <w:rsid w:val="00461253"/>
    <w:rsid w:val="00473773"/>
    <w:rsid w:val="004A2814"/>
    <w:rsid w:val="004C0622"/>
    <w:rsid w:val="005042C2"/>
    <w:rsid w:val="005364D9"/>
    <w:rsid w:val="00580DBE"/>
    <w:rsid w:val="00585CC8"/>
    <w:rsid w:val="005E716E"/>
    <w:rsid w:val="005F5F20"/>
    <w:rsid w:val="00626200"/>
    <w:rsid w:val="006476E1"/>
    <w:rsid w:val="006604DF"/>
    <w:rsid w:val="00671529"/>
    <w:rsid w:val="006E0C99"/>
    <w:rsid w:val="0070489D"/>
    <w:rsid w:val="007268F9"/>
    <w:rsid w:val="00750282"/>
    <w:rsid w:val="00764440"/>
    <w:rsid w:val="0077101B"/>
    <w:rsid w:val="007C52B0"/>
    <w:rsid w:val="008147C8"/>
    <w:rsid w:val="0081753A"/>
    <w:rsid w:val="00842A43"/>
    <w:rsid w:val="0085070B"/>
    <w:rsid w:val="00891929"/>
    <w:rsid w:val="00913CCA"/>
    <w:rsid w:val="009411B4"/>
    <w:rsid w:val="009C21C7"/>
    <w:rsid w:val="009C61E1"/>
    <w:rsid w:val="009D0139"/>
    <w:rsid w:val="009D717D"/>
    <w:rsid w:val="009F5CDC"/>
    <w:rsid w:val="00A775CF"/>
    <w:rsid w:val="00AD1A9C"/>
    <w:rsid w:val="00AF5DE1"/>
    <w:rsid w:val="00B06045"/>
    <w:rsid w:val="00B52EF4"/>
    <w:rsid w:val="00BA24F8"/>
    <w:rsid w:val="00C0099B"/>
    <w:rsid w:val="00C03015"/>
    <w:rsid w:val="00C0358D"/>
    <w:rsid w:val="00C35A27"/>
    <w:rsid w:val="00C47B2E"/>
    <w:rsid w:val="00C47CFB"/>
    <w:rsid w:val="00CE73BA"/>
    <w:rsid w:val="00D63CD2"/>
    <w:rsid w:val="00D94B05"/>
    <w:rsid w:val="00DD4F8A"/>
    <w:rsid w:val="00E02C2B"/>
    <w:rsid w:val="00E21C27"/>
    <w:rsid w:val="00E26BCF"/>
    <w:rsid w:val="00E52109"/>
    <w:rsid w:val="00E75317"/>
    <w:rsid w:val="00ED6C48"/>
    <w:rsid w:val="00F436D0"/>
    <w:rsid w:val="00F65F5D"/>
    <w:rsid w:val="00F86A3A"/>
    <w:rsid w:val="00FA5FCD"/>
    <w:rsid w:val="00FE77F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footnote reference" w:qFormat="1"/>
    <w:lsdException w:name="annotation reference" w:uiPriority="0"/>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E77F8"/>
    <w:rPr>
      <w:sz w:val="16"/>
      <w:szCs w:val="16"/>
    </w:rPr>
  </w:style>
  <w:style w:type="paragraph" w:styleId="CommentText">
    <w:name w:val="annotation text"/>
    <w:basedOn w:val="Normal"/>
    <w:link w:val="CommentTextChar"/>
    <w:semiHidden/>
    <w:unhideWhenUsed/>
    <w:rsid w:val="00FE77F8"/>
    <w:pPr>
      <w:kinsoku/>
      <w:overflowPunct/>
      <w:autoSpaceDE/>
      <w:autoSpaceDN/>
      <w:adjustRightInd/>
      <w:snapToGrid/>
      <w:spacing w:line="240" w:lineRule="auto"/>
    </w:pPr>
    <w:rPr>
      <w:rFonts w:eastAsia="Times New Roman"/>
      <w:lang w:val="fr-CH"/>
    </w:rPr>
  </w:style>
  <w:style w:type="character" w:customStyle="1" w:styleId="CommentTextChar">
    <w:name w:val="Comment Text Char"/>
    <w:basedOn w:val="DefaultParagraphFont"/>
    <w:link w:val="CommentText"/>
    <w:semiHidden/>
    <w:rsid w:val="00FE77F8"/>
    <w:rPr>
      <w:rFonts w:ascii="Times New Roman" w:eastAsia="Times New Roman" w:hAnsi="Times New Roman" w:cs="Times New Roman"/>
      <w:sz w:val="20"/>
      <w:szCs w:val="20"/>
      <w:lang w:val="fr-CH" w:eastAsia="en-US"/>
    </w:rPr>
  </w:style>
  <w:style w:type="paragraph" w:styleId="Revision">
    <w:name w:val="Revision"/>
    <w:hidden/>
    <w:uiPriority w:val="99"/>
    <w:semiHidden/>
    <w:rsid w:val="003E33FF"/>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footnote reference" w:qFormat="1"/>
    <w:lsdException w:name="annotation reference" w:uiPriority="0"/>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E77F8"/>
    <w:rPr>
      <w:sz w:val="16"/>
      <w:szCs w:val="16"/>
    </w:rPr>
  </w:style>
  <w:style w:type="paragraph" w:styleId="CommentText">
    <w:name w:val="annotation text"/>
    <w:basedOn w:val="Normal"/>
    <w:link w:val="CommentTextChar"/>
    <w:semiHidden/>
    <w:unhideWhenUsed/>
    <w:rsid w:val="00FE77F8"/>
    <w:pPr>
      <w:kinsoku/>
      <w:overflowPunct/>
      <w:autoSpaceDE/>
      <w:autoSpaceDN/>
      <w:adjustRightInd/>
      <w:snapToGrid/>
      <w:spacing w:line="240" w:lineRule="auto"/>
    </w:pPr>
    <w:rPr>
      <w:rFonts w:eastAsia="Times New Roman"/>
      <w:lang w:val="fr-CH"/>
    </w:rPr>
  </w:style>
  <w:style w:type="character" w:customStyle="1" w:styleId="CommentTextChar">
    <w:name w:val="Comment Text Char"/>
    <w:basedOn w:val="DefaultParagraphFont"/>
    <w:link w:val="CommentText"/>
    <w:semiHidden/>
    <w:rsid w:val="00FE77F8"/>
    <w:rPr>
      <w:rFonts w:ascii="Times New Roman" w:eastAsia="Times New Roman" w:hAnsi="Times New Roman" w:cs="Times New Roman"/>
      <w:sz w:val="20"/>
      <w:szCs w:val="20"/>
      <w:lang w:val="fr-CH" w:eastAsia="en-US"/>
    </w:rPr>
  </w:style>
  <w:style w:type="paragraph" w:styleId="Revision">
    <w:name w:val="Revision"/>
    <w:hidden/>
    <w:uiPriority w:val="99"/>
    <w:semiHidden/>
    <w:rsid w:val="003E33F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7026-26D9-48DC-80D1-66715FE9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1705103</vt:lpstr>
    </vt:vector>
  </TitlesOfParts>
  <Company>ECE-ISU</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1705103</dc:title>
  <dc:subject>ST/SG/AC.10/C.3/2017/9</dc:subject>
  <dc:creator>SCHNEEBERGER</dc:creator>
  <cp:lastModifiedBy>Laurence Berthet</cp:lastModifiedBy>
  <cp:revision>2</cp:revision>
  <cp:lastPrinted>2017-05-16T14:53:00Z</cp:lastPrinted>
  <dcterms:created xsi:type="dcterms:W3CDTF">2017-05-16T14:54:00Z</dcterms:created>
  <dcterms:modified xsi:type="dcterms:W3CDTF">2017-05-16T14:54:00Z</dcterms:modified>
</cp:coreProperties>
</file>