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1474" w:rsidTr="00BA24A5">
        <w:trPr>
          <w:trHeight w:hRule="exact" w:val="851"/>
        </w:trPr>
        <w:tc>
          <w:tcPr>
            <w:tcW w:w="1276" w:type="dxa"/>
            <w:tcBorders>
              <w:bottom w:val="single" w:sz="4" w:space="0" w:color="auto"/>
            </w:tcBorders>
          </w:tcPr>
          <w:p w:rsidR="00B31474" w:rsidRDefault="00B31474"/>
        </w:tc>
        <w:tc>
          <w:tcPr>
            <w:tcW w:w="2268" w:type="dxa"/>
            <w:tcBorders>
              <w:bottom w:val="single" w:sz="4" w:space="0" w:color="auto"/>
            </w:tcBorders>
            <w:vAlign w:val="bottom"/>
          </w:tcPr>
          <w:p w:rsidR="00B31474" w:rsidRDefault="00B31474">
            <w:pPr>
              <w:spacing w:after="80" w:line="300" w:lineRule="exact"/>
              <w:rPr>
                <w:sz w:val="28"/>
              </w:rPr>
            </w:pPr>
            <w:r>
              <w:rPr>
                <w:sz w:val="28"/>
              </w:rPr>
              <w:t>Nations Unies</w:t>
            </w:r>
          </w:p>
        </w:tc>
        <w:tc>
          <w:tcPr>
            <w:tcW w:w="6095" w:type="dxa"/>
            <w:gridSpan w:val="2"/>
            <w:tcBorders>
              <w:bottom w:val="single" w:sz="4" w:space="0" w:color="auto"/>
            </w:tcBorders>
            <w:vAlign w:val="bottom"/>
          </w:tcPr>
          <w:p w:rsidR="00B31474" w:rsidRDefault="005F25FC" w:rsidP="00F62ED1">
            <w:pPr>
              <w:jc w:val="right"/>
              <w:rPr>
                <w:lang w:val="en-US"/>
              </w:rPr>
            </w:pPr>
            <w:r w:rsidRPr="007E25DA">
              <w:rPr>
                <w:sz w:val="40"/>
              </w:rPr>
              <w:t>ST</w:t>
            </w:r>
            <w:r w:rsidR="00CB75C1">
              <w:t>/SG/AC.10/C.3/201</w:t>
            </w:r>
            <w:r w:rsidR="00F62ED1">
              <w:t>7</w:t>
            </w:r>
            <w:r>
              <w:t>/</w:t>
            </w:r>
            <w:r w:rsidR="00AB7366">
              <w:t>5</w:t>
            </w:r>
          </w:p>
        </w:tc>
      </w:tr>
      <w:tr w:rsidR="00B31474">
        <w:trPr>
          <w:trHeight w:hRule="exact" w:val="2835"/>
        </w:trPr>
        <w:tc>
          <w:tcPr>
            <w:tcW w:w="1276" w:type="dxa"/>
            <w:tcBorders>
              <w:top w:val="single" w:sz="4" w:space="0" w:color="auto"/>
              <w:bottom w:val="single" w:sz="12" w:space="0" w:color="auto"/>
            </w:tcBorders>
          </w:tcPr>
          <w:p w:rsidR="00B31474" w:rsidRDefault="00853D9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46.5pt">
                  <v:imagedata r:id="rId9" o:title="_unlogo"/>
                </v:shape>
              </w:pict>
            </w:r>
          </w:p>
        </w:tc>
        <w:tc>
          <w:tcPr>
            <w:tcW w:w="5528" w:type="dxa"/>
            <w:gridSpan w:val="2"/>
            <w:tcBorders>
              <w:top w:val="single" w:sz="4" w:space="0" w:color="auto"/>
              <w:bottom w:val="single" w:sz="12" w:space="0" w:color="auto"/>
            </w:tcBorders>
          </w:tcPr>
          <w:p w:rsidR="00B31474" w:rsidRDefault="00E60D87">
            <w:pPr>
              <w:spacing w:before="120" w:line="420" w:lineRule="exact"/>
              <w:rPr>
                <w:b/>
                <w:sz w:val="40"/>
                <w:szCs w:val="40"/>
              </w:rPr>
            </w:pPr>
            <w:r>
              <w:rPr>
                <w:b/>
                <w:sz w:val="40"/>
                <w:szCs w:val="40"/>
              </w:rPr>
              <w:t>Secré</w:t>
            </w:r>
            <w:r w:rsidR="00C557B3">
              <w:rPr>
                <w:b/>
                <w:sz w:val="40"/>
                <w:szCs w:val="40"/>
              </w:rPr>
              <w:t>tariat</w:t>
            </w:r>
          </w:p>
        </w:tc>
        <w:tc>
          <w:tcPr>
            <w:tcW w:w="2835" w:type="dxa"/>
            <w:tcBorders>
              <w:top w:val="single" w:sz="4" w:space="0" w:color="auto"/>
              <w:bottom w:val="single" w:sz="12" w:space="0" w:color="auto"/>
            </w:tcBorders>
          </w:tcPr>
          <w:p w:rsidR="00C3425D" w:rsidRDefault="00B31474">
            <w:pPr>
              <w:spacing w:before="240" w:line="240" w:lineRule="exact"/>
            </w:pPr>
            <w:proofErr w:type="spellStart"/>
            <w:r>
              <w:t>Distr</w:t>
            </w:r>
            <w:proofErr w:type="spellEnd"/>
            <w:r>
              <w:t>. générale</w:t>
            </w:r>
            <w:r w:rsidR="00C3425D">
              <w:br/>
              <w:t>28 mars 2017</w:t>
            </w:r>
          </w:p>
          <w:p w:rsidR="00B31474" w:rsidRDefault="00B31474">
            <w:pPr>
              <w:spacing w:line="240" w:lineRule="exact"/>
            </w:pPr>
          </w:p>
          <w:p w:rsidR="00B31474" w:rsidRDefault="00B31474">
            <w:pPr>
              <w:spacing w:line="240" w:lineRule="exact"/>
            </w:pPr>
            <w:r>
              <w:t>Original: français</w:t>
            </w:r>
          </w:p>
        </w:tc>
      </w:tr>
    </w:tbl>
    <w:p w:rsidR="00853D97" w:rsidRPr="00CA0680" w:rsidRDefault="00853D97" w:rsidP="00853D97">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853D97" w:rsidRPr="00CA0680" w:rsidRDefault="00853D97" w:rsidP="00853D97">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rsidR="00853D97" w:rsidRDefault="00853D97" w:rsidP="00853D97">
      <w:pPr>
        <w:spacing w:before="120"/>
        <w:rPr>
          <w:b/>
        </w:rPr>
      </w:pPr>
      <w:r w:rsidRPr="00F52BC4">
        <w:rPr>
          <w:b/>
          <w:lang w:val="fr-FR"/>
        </w:rPr>
        <w:t xml:space="preserve">Cinquante et unième </w:t>
      </w:r>
      <w:r w:rsidRPr="00CA0680">
        <w:rPr>
          <w:b/>
        </w:rPr>
        <w:t>session</w:t>
      </w:r>
    </w:p>
    <w:p w:rsidR="00C3425D" w:rsidRDefault="00C3425D" w:rsidP="00C3425D">
      <w:pPr>
        <w:rPr>
          <w:lang w:eastAsia="it-IT"/>
        </w:rPr>
      </w:pPr>
      <w:bookmarkStart w:id="0" w:name="_GoBack"/>
      <w:bookmarkEnd w:id="0"/>
      <w:r w:rsidRPr="00AD6354">
        <w:t xml:space="preserve">Genève, </w:t>
      </w:r>
      <w:r w:rsidR="00C31757">
        <w:rPr>
          <w:lang w:eastAsia="it-IT"/>
        </w:rPr>
        <w:t>3-7 juillet</w:t>
      </w:r>
      <w:r>
        <w:rPr>
          <w:lang w:eastAsia="it-IT"/>
        </w:rPr>
        <w:t xml:space="preserve"> 2017</w:t>
      </w:r>
    </w:p>
    <w:p w:rsidR="00C3425D" w:rsidRPr="00C31757" w:rsidRDefault="00C3425D" w:rsidP="00C3425D">
      <w:pPr>
        <w:rPr>
          <w:b/>
        </w:rPr>
      </w:pPr>
      <w:r>
        <w:t xml:space="preserve">Point </w:t>
      </w:r>
      <w:r w:rsidR="00C31757">
        <w:t>3</w:t>
      </w:r>
      <w:r w:rsidRPr="00AD6354">
        <w:t xml:space="preserve"> de l’ordre du jour provisoire</w:t>
      </w:r>
      <w:r>
        <w:br/>
      </w:r>
      <w:r w:rsidR="00C31757" w:rsidRPr="00C31757">
        <w:rPr>
          <w:b/>
          <w:lang w:val="fr-FR"/>
        </w:rPr>
        <w:t>Inscription, classement et emballage</w:t>
      </w:r>
    </w:p>
    <w:p w:rsidR="0026107C" w:rsidRPr="00317257" w:rsidRDefault="00B90BC5" w:rsidP="0026107C">
      <w:pPr>
        <w:pStyle w:val="HChG"/>
        <w:rPr>
          <w:lang w:val="fr-FR"/>
        </w:rPr>
      </w:pPr>
      <w:r>
        <w:rPr>
          <w:lang w:val="fr-FR"/>
        </w:rPr>
        <w:tab/>
      </w:r>
      <w:r>
        <w:rPr>
          <w:lang w:val="fr-FR"/>
        </w:rPr>
        <w:tab/>
      </w:r>
      <w:r w:rsidR="007808F4" w:rsidRPr="007808F4">
        <w:rPr>
          <w:lang w:val="fr-FR"/>
        </w:rPr>
        <w:t xml:space="preserve">Exemption </w:t>
      </w:r>
      <w:r w:rsidR="00A63DC6">
        <w:rPr>
          <w:lang w:val="fr-FR"/>
        </w:rPr>
        <w:t>dans la disposition</w:t>
      </w:r>
      <w:r w:rsidR="007808F4">
        <w:rPr>
          <w:lang w:val="fr-FR"/>
        </w:rPr>
        <w:t xml:space="preserve"> spéciale 375 pour les matières dangereuses pour l’environnement </w:t>
      </w:r>
      <w:proofErr w:type="spellStart"/>
      <w:r w:rsidR="007808F4">
        <w:rPr>
          <w:lang w:val="fr-FR"/>
        </w:rPr>
        <w:t>des</w:t>
      </w:r>
      <w:proofErr w:type="spellEnd"/>
      <w:r w:rsidR="007808F4">
        <w:rPr>
          <w:lang w:val="fr-FR"/>
        </w:rPr>
        <w:t xml:space="preserve"> Nos ONU</w:t>
      </w:r>
      <w:r w:rsidR="007808F4" w:rsidRPr="007808F4">
        <w:rPr>
          <w:lang w:val="fr-FR"/>
        </w:rPr>
        <w:t xml:space="preserve"> 3077 et 3082</w:t>
      </w:r>
    </w:p>
    <w:p w:rsidR="00E72C4C" w:rsidRDefault="00E72C4C" w:rsidP="00734DB1">
      <w:pPr>
        <w:pStyle w:val="H1G"/>
        <w:keepNext w:val="0"/>
        <w:keepLines w:val="0"/>
        <w:rPr>
          <w:rFonts w:eastAsia="Arial"/>
          <w:lang w:val="fr-FR"/>
        </w:rPr>
      </w:pPr>
      <w:r>
        <w:rPr>
          <w:rFonts w:eastAsia="Arial"/>
          <w:lang w:val="fr-FR"/>
        </w:rPr>
        <w:tab/>
      </w:r>
      <w:r>
        <w:rPr>
          <w:rFonts w:eastAsia="Arial"/>
          <w:lang w:val="fr-FR"/>
        </w:rPr>
        <w:tab/>
      </w:r>
      <w:r w:rsidRPr="00E72C4C">
        <w:rPr>
          <w:rFonts w:eastAsia="Arial"/>
          <w:lang w:val="fr-FR"/>
        </w:rPr>
        <w:t>Communication d</w:t>
      </w:r>
      <w:r w:rsidR="00BC3265">
        <w:rPr>
          <w:rFonts w:eastAsia="Arial"/>
          <w:lang w:val="fr-FR"/>
        </w:rPr>
        <w:t>e l’expert</w:t>
      </w:r>
      <w:r w:rsidR="004362EC">
        <w:rPr>
          <w:rFonts w:eastAsia="Arial"/>
          <w:lang w:val="fr-FR"/>
        </w:rPr>
        <w:t xml:space="preserve"> de la</w:t>
      </w:r>
      <w:r w:rsidRPr="00E72C4C">
        <w:rPr>
          <w:rFonts w:eastAsia="Arial"/>
          <w:lang w:val="fr-FR"/>
        </w:rPr>
        <w:t xml:space="preserve"> </w:t>
      </w:r>
      <w:r w:rsidR="00210222">
        <w:rPr>
          <w:rFonts w:eastAsia="Arial"/>
          <w:lang w:val="fr-FR"/>
        </w:rPr>
        <w:t>Suisse</w:t>
      </w:r>
      <w:r w:rsidR="00C3425D">
        <w:rPr>
          <w:rStyle w:val="FootnoteReference"/>
          <w:rFonts w:eastAsia="Arial"/>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734DB1" w:rsidTr="00E6328D">
        <w:trPr>
          <w:jc w:val="center"/>
        </w:trPr>
        <w:tc>
          <w:tcPr>
            <w:tcW w:w="9637" w:type="dxa"/>
          </w:tcPr>
          <w:p w:rsidR="00734DB1" w:rsidRDefault="00734DB1" w:rsidP="00E6328D">
            <w:pPr>
              <w:spacing w:before="240" w:after="120"/>
              <w:ind w:left="255"/>
              <w:rPr>
                <w:rFonts w:eastAsia="Arial"/>
                <w:i/>
                <w:sz w:val="24"/>
                <w:lang w:val="fr-FR"/>
              </w:rPr>
            </w:pPr>
            <w:r>
              <w:rPr>
                <w:rFonts w:eastAsia="Arial"/>
                <w:i/>
                <w:sz w:val="24"/>
                <w:lang w:val="fr-FR"/>
              </w:rPr>
              <w:t xml:space="preserve">Résumé </w:t>
            </w:r>
          </w:p>
        </w:tc>
      </w:tr>
      <w:tr w:rsidR="00734DB1" w:rsidTr="00C3425D">
        <w:trPr>
          <w:trHeight w:val="1416"/>
          <w:jc w:val="center"/>
        </w:trPr>
        <w:tc>
          <w:tcPr>
            <w:tcW w:w="9637" w:type="dxa"/>
          </w:tcPr>
          <w:p w:rsidR="00734DB1" w:rsidRPr="00C3425D" w:rsidRDefault="00734DB1" w:rsidP="00C3425D">
            <w:pPr>
              <w:pStyle w:val="SingleTxtG"/>
              <w:ind w:left="2499" w:hanging="2248"/>
              <w:rPr>
                <w:lang w:val="fr-FR"/>
              </w:rPr>
            </w:pPr>
            <w:r>
              <w:rPr>
                <w:b/>
                <w:lang w:val="fr-FR"/>
              </w:rPr>
              <w:t>Résumé analytique:</w:t>
            </w:r>
            <w:r>
              <w:rPr>
                <w:b/>
                <w:sz w:val="24"/>
                <w:szCs w:val="24"/>
                <w:lang w:val="fr-FR"/>
              </w:rPr>
              <w:tab/>
            </w:r>
            <w:r w:rsidR="005D5FB8" w:rsidRPr="005D5FB8">
              <w:rPr>
                <w:lang w:val="fr-FR"/>
              </w:rPr>
              <w:t xml:space="preserve">Est-il </w:t>
            </w:r>
            <w:r w:rsidR="005D5FB8">
              <w:rPr>
                <w:lang w:val="fr-FR"/>
              </w:rPr>
              <w:t xml:space="preserve">permis de </w:t>
            </w:r>
            <w:r w:rsidR="005D5FB8" w:rsidRPr="005D5FB8">
              <w:rPr>
                <w:lang w:val="fr-FR"/>
              </w:rPr>
              <w:t xml:space="preserve">transporter les marchandises dangereuses des </w:t>
            </w:r>
            <w:r w:rsidR="005D5FB8">
              <w:rPr>
                <w:lang w:val="fr-FR"/>
              </w:rPr>
              <w:t xml:space="preserve">rubriques Nos ONU </w:t>
            </w:r>
            <w:r w:rsidR="005D5FB8" w:rsidRPr="005D5FB8">
              <w:rPr>
                <w:lang w:val="fr-FR"/>
              </w:rPr>
              <w:t xml:space="preserve">3077 et 3082 dans </w:t>
            </w:r>
            <w:r w:rsidR="005D5FB8">
              <w:rPr>
                <w:lang w:val="fr-FR"/>
              </w:rPr>
              <w:t>d</w:t>
            </w:r>
            <w:r w:rsidR="005D5FB8" w:rsidRPr="005D5FB8">
              <w:rPr>
                <w:lang w:val="fr-FR"/>
              </w:rPr>
              <w:t xml:space="preserve">es </w:t>
            </w:r>
            <w:r w:rsidR="005D5FB8">
              <w:rPr>
                <w:lang w:val="fr-FR"/>
              </w:rPr>
              <w:t xml:space="preserve">emballages ne dépassant pas </w:t>
            </w:r>
            <w:r w:rsidR="005D5FB8" w:rsidRPr="005D5FB8">
              <w:rPr>
                <w:lang w:val="fr-FR"/>
              </w:rPr>
              <w:t xml:space="preserve">5 l ou kilogrammes sans appliquer l'exemption </w:t>
            </w:r>
            <w:r w:rsidR="005D5FB8">
              <w:rPr>
                <w:lang w:val="fr-FR"/>
              </w:rPr>
              <w:t>de la DS</w:t>
            </w:r>
            <w:r w:rsidR="00663195">
              <w:rPr>
                <w:lang w:val="fr-FR"/>
              </w:rPr>
              <w:t>375 du chapitre 3.3</w:t>
            </w:r>
            <w:r w:rsidR="005D5FB8" w:rsidRPr="005D5FB8">
              <w:rPr>
                <w:lang w:val="fr-FR"/>
              </w:rPr>
              <w:t>?</w:t>
            </w:r>
            <w:r w:rsidR="007808F4">
              <w:rPr>
                <w:lang w:val="fr-FR"/>
              </w:rPr>
              <w:br/>
              <w:t>Le cas échéant les mêmes modifications sont proposées pour toutes les dispositions spéciales qui exemptent de l’application du Règlement type.</w:t>
            </w:r>
          </w:p>
        </w:tc>
      </w:tr>
      <w:tr w:rsidR="00734DB1" w:rsidTr="00E6328D">
        <w:trPr>
          <w:jc w:val="center"/>
        </w:trPr>
        <w:tc>
          <w:tcPr>
            <w:tcW w:w="9637" w:type="dxa"/>
          </w:tcPr>
          <w:p w:rsidR="00734DB1" w:rsidRPr="00C3425D" w:rsidRDefault="00663195" w:rsidP="00C3425D">
            <w:pPr>
              <w:pStyle w:val="SingleTxtG"/>
              <w:ind w:left="2499" w:hanging="2248"/>
              <w:rPr>
                <w:sz w:val="24"/>
                <w:szCs w:val="24"/>
              </w:rPr>
            </w:pPr>
            <w:r>
              <w:rPr>
                <w:b/>
                <w:lang w:val="fr-FR"/>
              </w:rPr>
              <w:t>Mesures à prendre</w:t>
            </w:r>
            <w:r w:rsidR="00490C26" w:rsidRPr="004C4820">
              <w:rPr>
                <w:b/>
                <w:lang w:val="fr-FR"/>
              </w:rPr>
              <w:t xml:space="preserve">: </w:t>
            </w:r>
            <w:r w:rsidR="00490C26" w:rsidRPr="004C4820">
              <w:rPr>
                <w:b/>
                <w:lang w:val="fr-FR"/>
              </w:rPr>
              <w:tab/>
            </w:r>
            <w:r w:rsidR="00490C26">
              <w:rPr>
                <w:lang w:val="fr-FR"/>
              </w:rPr>
              <w:t xml:space="preserve">Modifier le </w:t>
            </w:r>
            <w:r w:rsidR="00CB75C1">
              <w:rPr>
                <w:lang w:val="fr-FR"/>
              </w:rPr>
              <w:t xml:space="preserve">texte </w:t>
            </w:r>
            <w:r w:rsidR="004B6935">
              <w:rPr>
                <w:lang w:val="fr-FR"/>
              </w:rPr>
              <w:t>d</w:t>
            </w:r>
            <w:r w:rsidR="005D5FB8">
              <w:rPr>
                <w:lang w:val="fr-FR"/>
              </w:rPr>
              <w:t>e la DS375</w:t>
            </w:r>
            <w:r w:rsidR="007808F4">
              <w:rPr>
                <w:lang w:val="fr-FR"/>
              </w:rPr>
              <w:t>.</w:t>
            </w:r>
          </w:p>
        </w:tc>
      </w:tr>
    </w:tbl>
    <w:p w:rsidR="00B31474" w:rsidRDefault="00B31474" w:rsidP="00734DB1">
      <w:pPr>
        <w:pStyle w:val="HChG"/>
        <w:keepNext w:val="0"/>
        <w:keepLines w:val="0"/>
        <w:tabs>
          <w:tab w:val="left" w:pos="1500"/>
        </w:tabs>
        <w:ind w:left="1100" w:firstLine="0"/>
        <w:rPr>
          <w:lang w:val="fr-FR"/>
        </w:rPr>
      </w:pPr>
      <w:r>
        <w:rPr>
          <w:lang w:val="fr-FR"/>
        </w:rPr>
        <w:t>Introduction</w:t>
      </w:r>
    </w:p>
    <w:p w:rsidR="006655BC" w:rsidRPr="00C10B9F" w:rsidRDefault="006655BC" w:rsidP="006655BC">
      <w:pPr>
        <w:pStyle w:val="SingleTxtG"/>
        <w:spacing w:before="240"/>
      </w:pPr>
      <w:r>
        <w:rPr>
          <w:lang w:val="fr-FR"/>
        </w:rPr>
        <w:t>1.</w:t>
      </w:r>
      <w:r>
        <w:rPr>
          <w:lang w:val="fr-FR"/>
        </w:rPr>
        <w:tab/>
      </w:r>
      <w:r w:rsidR="007808F4">
        <w:rPr>
          <w:lang w:val="fr-FR"/>
        </w:rPr>
        <w:t xml:space="preserve">Le sujet présenté dans le présent document avait déjà été discuté en décembre 2014 </w:t>
      </w:r>
      <w:r w:rsidR="00C31757">
        <w:rPr>
          <w:lang w:val="fr-FR"/>
        </w:rPr>
        <w:t>(</w:t>
      </w:r>
      <w:r w:rsidR="00083294">
        <w:rPr>
          <w:lang w:val="fr-FR"/>
        </w:rPr>
        <w:t>quarante-sixième</w:t>
      </w:r>
      <w:r w:rsidR="00C31757">
        <w:rPr>
          <w:lang w:val="fr-FR"/>
        </w:rPr>
        <w:t xml:space="preserve"> session) </w:t>
      </w:r>
      <w:r w:rsidR="007808F4">
        <w:rPr>
          <w:lang w:val="fr-FR"/>
        </w:rPr>
        <w:t>sur la base d’</w:t>
      </w:r>
      <w:r>
        <w:rPr>
          <w:lang w:val="fr-FR"/>
        </w:rPr>
        <w:t xml:space="preserve">un document informel INF.25 </w:t>
      </w:r>
      <w:r w:rsidR="007808F4">
        <w:rPr>
          <w:lang w:val="fr-FR"/>
        </w:rPr>
        <w:t xml:space="preserve">en relation avec l’introduction </w:t>
      </w:r>
      <w:r w:rsidR="007808F4" w:rsidRPr="00A63DC6">
        <w:rPr>
          <w:lang w:val="fr-FR"/>
        </w:rPr>
        <w:t xml:space="preserve">du nouveau texte au 2.0.0.2 qui était proposé dans le document </w:t>
      </w:r>
      <w:r w:rsidR="007808F4" w:rsidRPr="00A63DC6">
        <w:t>ST/SG/AC.10/C.3/2014/74.</w:t>
      </w:r>
      <w:r w:rsidR="007808F4">
        <w:t xml:space="preserve"> </w:t>
      </w:r>
      <w:r w:rsidR="009C65A4" w:rsidRPr="002D0389">
        <w:t>Le WP.15 a</w:t>
      </w:r>
      <w:r w:rsidR="009C65A4">
        <w:t>vait</w:t>
      </w:r>
      <w:r w:rsidR="009C65A4" w:rsidRPr="002D0389">
        <w:t xml:space="preserve"> considéré cette question </w:t>
      </w:r>
      <w:r w:rsidR="009C65A4">
        <w:t xml:space="preserve">au cours de la </w:t>
      </w:r>
      <w:r w:rsidR="009C65A4" w:rsidRPr="002D0389">
        <w:t xml:space="preserve">session </w:t>
      </w:r>
      <w:r w:rsidR="009C65A4">
        <w:t>de novembre 2014</w:t>
      </w:r>
      <w:r w:rsidR="009C65A4" w:rsidRPr="002D0389">
        <w:t>. Les résultats des discussions peuvent être trouvés dans les p</w:t>
      </w:r>
      <w:r w:rsidR="00C31757">
        <w:t>aragraphes</w:t>
      </w:r>
      <w:r w:rsidR="009C65A4" w:rsidRPr="002D0389">
        <w:t xml:space="preserve"> </w:t>
      </w:r>
      <w:r w:rsidR="009C65A4" w:rsidRPr="002D0389">
        <w:lastRenderedPageBreak/>
        <w:t>2</w:t>
      </w:r>
      <w:r w:rsidR="009C65A4">
        <w:t>0</w:t>
      </w:r>
      <w:r w:rsidR="00C31757">
        <w:t xml:space="preserve"> </w:t>
      </w:r>
      <w:r w:rsidR="009C65A4" w:rsidRPr="002D0389">
        <w:t>et 2</w:t>
      </w:r>
      <w:r w:rsidR="009C65A4">
        <w:t>1</w:t>
      </w:r>
      <w:r w:rsidR="009C65A4" w:rsidRPr="002D0389">
        <w:t xml:space="preserve"> du rapport ECE/TRANS/WP.15/</w:t>
      </w:r>
      <w:r w:rsidR="00AB7366">
        <w:t>226. Le Sous-comité a</w:t>
      </w:r>
      <w:r w:rsidR="009C65A4">
        <w:t xml:space="preserve"> confirmé l’interprétation donnée par le WP.15. Celle-ci est </w:t>
      </w:r>
      <w:r w:rsidR="007808F4">
        <w:t>résumé</w:t>
      </w:r>
      <w:r>
        <w:t>e</w:t>
      </w:r>
      <w:r w:rsidR="007808F4">
        <w:t xml:space="preserve"> au p</w:t>
      </w:r>
      <w:r w:rsidR="00C31757">
        <w:t>aragraphe</w:t>
      </w:r>
      <w:r w:rsidR="007808F4">
        <w:t xml:space="preserve"> 19 du rapport ST/SG/AC.10/C.3/92 de la séance </w:t>
      </w:r>
      <w:r w:rsidR="009C65A4">
        <w:t xml:space="preserve">de décembre 2014 </w:t>
      </w:r>
      <w:r w:rsidR="007808F4">
        <w:t>dans les termes suivants :</w:t>
      </w:r>
      <w:r w:rsidRPr="006655BC">
        <w:t xml:space="preserve"> </w:t>
      </w:r>
    </w:p>
    <w:p w:rsidR="006655BC" w:rsidRDefault="00AB7366" w:rsidP="006655BC">
      <w:pPr>
        <w:pStyle w:val="SingleTxtG"/>
        <w:ind w:left="1701"/>
        <w:rPr>
          <w:i/>
        </w:rPr>
      </w:pPr>
      <w:r>
        <w:rPr>
          <w:i/>
        </w:rPr>
        <w:t>«</w:t>
      </w:r>
      <w:r w:rsidR="006655BC" w:rsidRPr="006655BC">
        <w:rPr>
          <w:i/>
        </w:rPr>
        <w:t>19.</w:t>
      </w:r>
      <w:r w:rsidR="006655BC" w:rsidRPr="006655BC">
        <w:rPr>
          <w:i/>
        </w:rPr>
        <w:tab/>
        <w:t>Le Sous-Comité a confirmé que l’application de la disposition spéciale 375 était optionnelle, c’est-à-dire qu’un expéditeur peut choisir de ne pas profiter de la dérogation prévue, auquel cas toutes les dispositions prévues pour ces matières doivent être satisfaites. Si l’expert de la Suisse considère que le libellé de cette disposition 375, tout comme celui d’autres dispositions spéciales similaires, peut porter à confusion, il devrait soumettre une proposition d’amélioration du texte durant la prochaine péri</w:t>
      </w:r>
      <w:r>
        <w:rPr>
          <w:i/>
        </w:rPr>
        <w:t>ode biennale.</w:t>
      </w:r>
      <w:r w:rsidR="006655BC" w:rsidRPr="006655BC">
        <w:rPr>
          <w:i/>
        </w:rPr>
        <w:t>»</w:t>
      </w:r>
    </w:p>
    <w:p w:rsidR="006655BC" w:rsidRPr="00C10B9F" w:rsidRDefault="006655BC" w:rsidP="006655BC">
      <w:pPr>
        <w:pStyle w:val="SingleTxtG"/>
        <w:spacing w:before="240"/>
      </w:pPr>
      <w:r>
        <w:t>2.</w:t>
      </w:r>
      <w:r>
        <w:tab/>
      </w:r>
      <w:r w:rsidRPr="007808F4">
        <w:rPr>
          <w:lang w:val="fr-FR"/>
        </w:rPr>
        <w:t>Nous av</w:t>
      </w:r>
      <w:r>
        <w:rPr>
          <w:lang w:val="fr-FR"/>
        </w:rPr>
        <w:t>i</w:t>
      </w:r>
      <w:r w:rsidRPr="007808F4">
        <w:rPr>
          <w:lang w:val="fr-FR"/>
        </w:rPr>
        <w:t xml:space="preserve">ons été confrontés avec la question de l'application de la </w:t>
      </w:r>
      <w:r>
        <w:rPr>
          <w:lang w:val="fr-FR"/>
        </w:rPr>
        <w:t>disposition sp</w:t>
      </w:r>
      <w:r w:rsidRPr="007808F4">
        <w:rPr>
          <w:lang w:val="fr-FR"/>
        </w:rPr>
        <w:t xml:space="preserve">éciale 375 du chapitre 3.3. La question est de savoir si les </w:t>
      </w:r>
      <w:r>
        <w:rPr>
          <w:lang w:val="fr-FR"/>
        </w:rPr>
        <w:t>entreprises</w:t>
      </w:r>
      <w:r w:rsidRPr="007808F4">
        <w:rPr>
          <w:lang w:val="fr-FR"/>
        </w:rPr>
        <w:t xml:space="preserve"> sont obligées de ne pas transporter </w:t>
      </w:r>
      <w:r>
        <w:rPr>
          <w:lang w:val="fr-FR"/>
        </w:rPr>
        <w:t xml:space="preserve">en tant que marchandises dangereuses </w:t>
      </w:r>
      <w:r w:rsidRPr="007808F4">
        <w:rPr>
          <w:lang w:val="fr-FR"/>
        </w:rPr>
        <w:t>les ma</w:t>
      </w:r>
      <w:r>
        <w:rPr>
          <w:lang w:val="fr-FR"/>
        </w:rPr>
        <w:t xml:space="preserve">tières </w:t>
      </w:r>
      <w:r w:rsidRPr="007808F4">
        <w:rPr>
          <w:lang w:val="fr-FR"/>
        </w:rPr>
        <w:t xml:space="preserve">dangereuses </w:t>
      </w:r>
      <w:r>
        <w:rPr>
          <w:lang w:val="fr-FR"/>
        </w:rPr>
        <w:t xml:space="preserve">pour </w:t>
      </w:r>
      <w:r w:rsidRPr="007808F4">
        <w:rPr>
          <w:lang w:val="fr-FR"/>
        </w:rPr>
        <w:t xml:space="preserve">l'environnement </w:t>
      </w:r>
      <w:proofErr w:type="spellStart"/>
      <w:r>
        <w:rPr>
          <w:lang w:val="fr-FR"/>
        </w:rPr>
        <w:t>des</w:t>
      </w:r>
      <w:proofErr w:type="spellEnd"/>
      <w:r>
        <w:rPr>
          <w:lang w:val="fr-FR"/>
        </w:rPr>
        <w:t xml:space="preserve"> Nos ONU </w:t>
      </w:r>
      <w:r w:rsidRPr="007808F4">
        <w:rPr>
          <w:lang w:val="fr-FR"/>
        </w:rPr>
        <w:t xml:space="preserve">3077 et 3082 qui peuvent bénéficier de l'exemption </w:t>
      </w:r>
      <w:r>
        <w:rPr>
          <w:lang w:val="fr-FR"/>
        </w:rPr>
        <w:t xml:space="preserve">totale </w:t>
      </w:r>
      <w:r w:rsidRPr="007808F4">
        <w:rPr>
          <w:lang w:val="fr-FR"/>
        </w:rPr>
        <w:t xml:space="preserve">qui </w:t>
      </w:r>
      <w:r>
        <w:rPr>
          <w:lang w:val="fr-FR"/>
        </w:rPr>
        <w:t xml:space="preserve">figure </w:t>
      </w:r>
      <w:r w:rsidRPr="007808F4">
        <w:rPr>
          <w:lang w:val="fr-FR"/>
        </w:rPr>
        <w:t>dans la disposition spéciale 375</w:t>
      </w:r>
      <w:r>
        <w:rPr>
          <w:lang w:val="fr-FR"/>
        </w:rPr>
        <w:t>.</w:t>
      </w:r>
      <w:r w:rsidRPr="006655BC">
        <w:t xml:space="preserve"> </w:t>
      </w:r>
    </w:p>
    <w:p w:rsidR="006B41BB" w:rsidRDefault="006655BC" w:rsidP="006655BC">
      <w:pPr>
        <w:pStyle w:val="SingleTxtG"/>
        <w:spacing w:before="240"/>
        <w:rPr>
          <w:lang w:val="fr-FR"/>
        </w:rPr>
      </w:pPr>
      <w:r>
        <w:rPr>
          <w:lang w:val="fr-FR"/>
        </w:rPr>
        <w:t>3.</w:t>
      </w:r>
      <w:r>
        <w:rPr>
          <w:lang w:val="fr-FR"/>
        </w:rPr>
        <w:tab/>
      </w:r>
      <w:r w:rsidRPr="006655BC">
        <w:rPr>
          <w:lang w:val="fr-FR"/>
        </w:rPr>
        <w:t xml:space="preserve">Ces compagnies transportent les mêmes produits dans les mêmes envois en même temps dans </w:t>
      </w:r>
      <w:r>
        <w:rPr>
          <w:lang w:val="fr-FR"/>
        </w:rPr>
        <w:t>d</w:t>
      </w:r>
      <w:r w:rsidRPr="006655BC">
        <w:rPr>
          <w:lang w:val="fr-FR"/>
        </w:rPr>
        <w:t xml:space="preserve">es </w:t>
      </w:r>
      <w:r>
        <w:rPr>
          <w:lang w:val="fr-FR"/>
        </w:rPr>
        <w:t xml:space="preserve">emballages de </w:t>
      </w:r>
      <w:r w:rsidRPr="006655BC">
        <w:rPr>
          <w:lang w:val="fr-FR"/>
        </w:rPr>
        <w:t xml:space="preserve">capacité </w:t>
      </w:r>
      <w:r>
        <w:rPr>
          <w:lang w:val="fr-FR"/>
        </w:rPr>
        <w:t xml:space="preserve">inférieure à </w:t>
      </w:r>
      <w:r w:rsidRPr="006655BC">
        <w:rPr>
          <w:lang w:val="fr-FR"/>
        </w:rPr>
        <w:t xml:space="preserve">5 l ou kilogrammes </w:t>
      </w:r>
      <w:r>
        <w:rPr>
          <w:lang w:val="fr-FR"/>
        </w:rPr>
        <w:t xml:space="preserve">ensemble avec des emballages qui dépassent </w:t>
      </w:r>
      <w:r w:rsidRPr="006655BC">
        <w:rPr>
          <w:lang w:val="fr-FR"/>
        </w:rPr>
        <w:t>5 l ou kilogrammes. La gestion séparée des mêmes envois</w:t>
      </w:r>
      <w:r w:rsidR="006B41BB">
        <w:rPr>
          <w:lang w:val="fr-FR"/>
        </w:rPr>
        <w:t xml:space="preserve"> en fonction du </w:t>
      </w:r>
      <w:r w:rsidRPr="006655BC">
        <w:rPr>
          <w:lang w:val="fr-FR"/>
        </w:rPr>
        <w:t xml:space="preserve">fait </w:t>
      </w:r>
      <w:r w:rsidR="006B41BB">
        <w:rPr>
          <w:lang w:val="fr-FR"/>
        </w:rPr>
        <w:t xml:space="preserve">qu’ils sont exemptés </w:t>
      </w:r>
      <w:r w:rsidRPr="006655BC">
        <w:rPr>
          <w:lang w:val="fr-FR"/>
        </w:rPr>
        <w:t xml:space="preserve">ou pas pour le même produit induit des coûts additionnels de modification </w:t>
      </w:r>
      <w:r w:rsidR="006B41BB">
        <w:rPr>
          <w:lang w:val="fr-FR"/>
        </w:rPr>
        <w:t xml:space="preserve">de gestion informatique </w:t>
      </w:r>
      <w:r w:rsidRPr="006655BC">
        <w:rPr>
          <w:lang w:val="fr-FR"/>
        </w:rPr>
        <w:t xml:space="preserve">et logistique qui pose des problèmes à tous les niveaux de la chaîne de la distribution. </w:t>
      </w:r>
      <w:r w:rsidR="006B41BB">
        <w:rPr>
          <w:lang w:val="fr-FR"/>
        </w:rPr>
        <w:t xml:space="preserve">Ceci concerne </w:t>
      </w:r>
      <w:r w:rsidRPr="006655BC">
        <w:rPr>
          <w:lang w:val="fr-FR"/>
        </w:rPr>
        <w:t xml:space="preserve">les grandes </w:t>
      </w:r>
      <w:r w:rsidR="006B41BB">
        <w:rPr>
          <w:lang w:val="fr-FR"/>
        </w:rPr>
        <w:t xml:space="preserve">entreprises mais les incidences financières </w:t>
      </w:r>
      <w:r w:rsidRPr="006655BC">
        <w:rPr>
          <w:lang w:val="fr-FR"/>
        </w:rPr>
        <w:t xml:space="preserve">de cette gestion plus compliquée </w:t>
      </w:r>
      <w:r w:rsidR="00963ABD">
        <w:rPr>
          <w:lang w:val="fr-FR"/>
        </w:rPr>
        <w:t>ont</w:t>
      </w:r>
      <w:r w:rsidRPr="006655BC">
        <w:rPr>
          <w:lang w:val="fr-FR"/>
        </w:rPr>
        <w:t xml:space="preserve"> plus d'impact à l'extrémité de la chaîne </w:t>
      </w:r>
      <w:r w:rsidR="006B41BB">
        <w:rPr>
          <w:lang w:val="fr-FR"/>
        </w:rPr>
        <w:t xml:space="preserve">de transport </w:t>
      </w:r>
      <w:r w:rsidRPr="006655BC">
        <w:rPr>
          <w:lang w:val="fr-FR"/>
        </w:rPr>
        <w:t xml:space="preserve">parmi les petites et moyennes </w:t>
      </w:r>
      <w:r w:rsidR="006B41BB">
        <w:rPr>
          <w:lang w:val="fr-FR"/>
        </w:rPr>
        <w:t>entreprises.</w:t>
      </w:r>
    </w:p>
    <w:p w:rsidR="006655BC" w:rsidRDefault="006B41BB" w:rsidP="006655BC">
      <w:pPr>
        <w:pStyle w:val="SingleTxtG"/>
        <w:spacing w:before="240"/>
      </w:pPr>
      <w:r>
        <w:t>4.</w:t>
      </w:r>
      <w:r>
        <w:tab/>
      </w:r>
      <w:r w:rsidRPr="006B41BB">
        <w:t xml:space="preserve">En outre, la pratique parmi les autorités de </w:t>
      </w:r>
      <w:r>
        <w:t xml:space="preserve">contrôle est </w:t>
      </w:r>
      <w:r w:rsidRPr="006B41BB">
        <w:t xml:space="preserve">très souvent simple: Les marchandises qui ne sont pas sujettes aux règlements ne devraient pas être transportées en tant que marchandises dangereuses et n'importe quelle indication, </w:t>
      </w:r>
      <w:r w:rsidR="00963ABD">
        <w:t>étiquetage ou marquage doit être enlevée parce qu’en</w:t>
      </w:r>
      <w:r w:rsidRPr="006B41BB">
        <w:t xml:space="preserve"> cas d'accident </w:t>
      </w:r>
      <w:r w:rsidR="00963ABD">
        <w:t>ceci peut induire</w:t>
      </w:r>
      <w:r w:rsidRPr="006B41BB">
        <w:t xml:space="preserve"> des coûts disproportionnés d'intervention et compliquent </w:t>
      </w:r>
      <w:r w:rsidR="00963ABD">
        <w:t>les contrôles inutilement</w:t>
      </w:r>
      <w:r w:rsidRPr="006B41BB">
        <w:t>.</w:t>
      </w:r>
      <w:r w:rsidR="006655BC" w:rsidRPr="006655BC">
        <w:t xml:space="preserve"> </w:t>
      </w:r>
    </w:p>
    <w:p w:rsidR="00963ABD" w:rsidRDefault="00963ABD" w:rsidP="006655BC">
      <w:pPr>
        <w:pStyle w:val="SingleTxtG"/>
        <w:spacing w:before="240"/>
      </w:pPr>
      <w:r>
        <w:t>5.</w:t>
      </w:r>
      <w:r>
        <w:tab/>
      </w:r>
      <w:r w:rsidRPr="00963ABD">
        <w:t xml:space="preserve">Un autre point qui n'aide pas les utilisateurs est la description de la colonne 6 </w:t>
      </w:r>
      <w:r>
        <w:t>du</w:t>
      </w:r>
      <w:r w:rsidRPr="00963ABD">
        <w:t xml:space="preserve"> chapitre 3.2</w:t>
      </w:r>
      <w:r w:rsidR="00042CFB">
        <w:t> :</w:t>
      </w:r>
    </w:p>
    <w:p w:rsidR="00042CFB" w:rsidRDefault="00AB7366" w:rsidP="00AB7366">
      <w:pPr>
        <w:pStyle w:val="SingleTxtG"/>
        <w:spacing w:before="240"/>
        <w:ind w:left="1701"/>
        <w:rPr>
          <w:i/>
          <w:lang w:val="fr-FR"/>
        </w:rPr>
      </w:pPr>
      <w:r>
        <w:rPr>
          <w:lang w:val="fr-FR"/>
        </w:rPr>
        <w:t>«</w:t>
      </w:r>
      <w:r w:rsidR="00042CFB" w:rsidRPr="00054394">
        <w:rPr>
          <w:i/>
          <w:lang w:val="fr-FR"/>
        </w:rPr>
        <w:t>Colonne (6)</w:t>
      </w:r>
      <w:r w:rsidR="00042CFB" w:rsidRPr="00054394">
        <w:rPr>
          <w:i/>
          <w:lang w:val="fr-FR"/>
        </w:rPr>
        <w:tab/>
        <w:t>"Dispositions spéciales"</w:t>
      </w:r>
      <w:r w:rsidR="00054394">
        <w:rPr>
          <w:i/>
          <w:lang w:val="fr-FR"/>
        </w:rPr>
        <w:t xml:space="preserve"> – cette colonne indique, par numéro, toute disposition spéciale éventuelle, </w:t>
      </w:r>
      <w:proofErr w:type="spellStart"/>
      <w:r w:rsidR="00054394">
        <w:rPr>
          <w:i/>
          <w:lang w:val="fr-FR"/>
        </w:rPr>
        <w:t>consignéee</w:t>
      </w:r>
      <w:proofErr w:type="spellEnd"/>
      <w:r w:rsidR="00054394">
        <w:rPr>
          <w:i/>
          <w:lang w:val="fr-FR"/>
        </w:rPr>
        <w:t xml:space="preserve"> en 3.3.1, s’appliquant à l’objet ou à la matière. Sauf indication contraire dans le</w:t>
      </w:r>
      <w:r w:rsidR="00C31757">
        <w:rPr>
          <w:i/>
          <w:lang w:val="fr-FR"/>
        </w:rPr>
        <w:t>ur</w:t>
      </w:r>
      <w:r w:rsidR="00054394">
        <w:rPr>
          <w:i/>
          <w:lang w:val="fr-FR"/>
        </w:rPr>
        <w:t xml:space="preserve"> libellé, les dispositions spéciales sont applicables à l’ensemble des matières ou objets visés par le numéro ONU, quel que soit le groupe d’emba</w:t>
      </w:r>
      <w:r>
        <w:rPr>
          <w:i/>
          <w:lang w:val="fr-FR"/>
        </w:rPr>
        <w:t>llage auquel ils sont affectés.</w:t>
      </w:r>
      <w:r w:rsidR="00054394">
        <w:rPr>
          <w:i/>
          <w:lang w:val="fr-FR"/>
        </w:rPr>
        <w:t>»</w:t>
      </w:r>
    </w:p>
    <w:p w:rsidR="006655BC" w:rsidRDefault="00054394" w:rsidP="00054394">
      <w:pPr>
        <w:pStyle w:val="SingleTxtG"/>
        <w:tabs>
          <w:tab w:val="left" w:pos="1701"/>
          <w:tab w:val="left" w:pos="1985"/>
          <w:tab w:val="left" w:pos="2268"/>
        </w:tabs>
      </w:pPr>
      <w:r>
        <w:t xml:space="preserve">Dans la DS 375 le libellé n’indique pas que la disposition spéciale pourrait </w:t>
      </w:r>
      <w:r w:rsidR="002D0389">
        <w:t>être optionnelle de sorte que l’exemption stipulée dans cette disposition spéciale est contraignante.</w:t>
      </w:r>
    </w:p>
    <w:p w:rsidR="002D0389" w:rsidRDefault="002D0389" w:rsidP="00054394">
      <w:pPr>
        <w:pStyle w:val="SingleTxtG"/>
        <w:tabs>
          <w:tab w:val="left" w:pos="1701"/>
          <w:tab w:val="left" w:pos="1985"/>
          <w:tab w:val="left" w:pos="2268"/>
        </w:tabs>
      </w:pPr>
      <w:r>
        <w:t>6.</w:t>
      </w:r>
      <w:r>
        <w:tab/>
      </w:r>
      <w:r w:rsidRPr="002D0389">
        <w:t xml:space="preserve">Vu les discussions qui ont eu lieu </w:t>
      </w:r>
      <w:r>
        <w:t>au cours de la période biennale 2013-2014 q</w:t>
      </w:r>
      <w:r w:rsidR="009C65A4">
        <w:t>u</w:t>
      </w:r>
      <w:r>
        <w:t>i ont conduit à l’adoption du texte au 2.0.0.2 relatif à la classification plus stricte que celle prévue dans le Règlement</w:t>
      </w:r>
      <w:r w:rsidRPr="002D0389">
        <w:t xml:space="preserve">, par analogie et pour les mêmes raisons, </w:t>
      </w:r>
      <w:r>
        <w:t xml:space="preserve">il ne serait pas permis </w:t>
      </w:r>
      <w:r w:rsidRPr="002D0389">
        <w:t xml:space="preserve">sans approbation de l'autorité compétente de transporter des marchandises </w:t>
      </w:r>
      <w:r>
        <w:t xml:space="preserve">dangereuses </w:t>
      </w:r>
      <w:proofErr w:type="spellStart"/>
      <w:r>
        <w:t>des</w:t>
      </w:r>
      <w:proofErr w:type="spellEnd"/>
      <w:r>
        <w:t xml:space="preserve"> Nos ONU</w:t>
      </w:r>
      <w:r w:rsidRPr="002D0389">
        <w:t xml:space="preserve"> 3077 et </w:t>
      </w:r>
      <w:r>
        <w:t>3</w:t>
      </w:r>
      <w:r w:rsidRPr="002D0389">
        <w:t xml:space="preserve">082 dans </w:t>
      </w:r>
      <w:r>
        <w:t xml:space="preserve">des emballages ne dépassant pas </w:t>
      </w:r>
      <w:r w:rsidRPr="002D0389">
        <w:t>5 l ou k</w:t>
      </w:r>
      <w:r>
        <w:t xml:space="preserve">g en </w:t>
      </w:r>
      <w:r w:rsidRPr="002D0389">
        <w:t xml:space="preserve">contredisant la disposition spéciale 375 et </w:t>
      </w:r>
      <w:r>
        <w:t xml:space="preserve">en </w:t>
      </w:r>
      <w:r w:rsidRPr="002D0389">
        <w:t>ap</w:t>
      </w:r>
      <w:r>
        <w:t>pliquant toutes dispositions du Règlement type</w:t>
      </w:r>
      <w:r w:rsidRPr="002D0389">
        <w:t xml:space="preserve"> (classification, </w:t>
      </w:r>
      <w:r>
        <w:t>étiquetage</w:t>
      </w:r>
      <w:r w:rsidRPr="002D0389">
        <w:t>, marqu</w:t>
      </w:r>
      <w:r>
        <w:t>age</w:t>
      </w:r>
      <w:r w:rsidRPr="002D0389">
        <w:t xml:space="preserve">, </w:t>
      </w:r>
      <w:r>
        <w:t>documentation, etc.).</w:t>
      </w:r>
    </w:p>
    <w:p w:rsidR="007F7FB2" w:rsidRDefault="00AB7366" w:rsidP="009C65A4">
      <w:pPr>
        <w:pStyle w:val="SingleTxtG"/>
        <w:tabs>
          <w:tab w:val="left" w:pos="1701"/>
          <w:tab w:val="left" w:pos="1985"/>
          <w:tab w:val="left" w:pos="2268"/>
        </w:tabs>
      </w:pPr>
      <w:r>
        <w:br w:type="page"/>
      </w:r>
      <w:r w:rsidR="009C65A4">
        <w:lastRenderedPageBreak/>
        <w:t>7.</w:t>
      </w:r>
      <w:r w:rsidR="009C65A4">
        <w:tab/>
        <w:t xml:space="preserve">Pour répondre à la demande du Sous-comité nous soumettons la proposition suivante </w:t>
      </w:r>
      <w:r w:rsidR="00CD093A">
        <w:t xml:space="preserve">qui résout le problème spécifique à la disposition spéciale 375 et également tous les cas qui éventuellement pourraient concerner d’autres exemptions existant dans le Règlement type. </w:t>
      </w:r>
    </w:p>
    <w:p w:rsidR="001058BC" w:rsidRDefault="007F7FB2" w:rsidP="001058BC">
      <w:pPr>
        <w:pStyle w:val="SingleTxtG"/>
        <w:tabs>
          <w:tab w:val="left" w:pos="1701"/>
          <w:tab w:val="left" w:pos="1985"/>
          <w:tab w:val="left" w:pos="2268"/>
        </w:tabs>
      </w:pPr>
      <w:r>
        <w:t>8.</w:t>
      </w:r>
      <w:r>
        <w:tab/>
        <w:t xml:space="preserve">Nous avons renoncé de faire une proposition dans le sens suggéré par les  conclusions du rapport de la réunion de décembre 2014 consistant à analyser une par une toutes les autres exemptions existantes dans le Règlement type car pour cela il faut connaître pour chaque envoi le contexte précis qui justifie le non-respect de l’exemption prévue. De la même manière que la responsabilité de classer une marchandise correctement en tant que marchandise dangereuse est laissée à l’expéditeur, il semble également pertinent de lui laisser </w:t>
      </w:r>
      <w:r w:rsidR="00ED14EB">
        <w:t xml:space="preserve">la </w:t>
      </w:r>
      <w:r>
        <w:t xml:space="preserve">responsabilité </w:t>
      </w:r>
      <w:r w:rsidR="00ED14EB">
        <w:t xml:space="preserve">d’envoyer en tant que marchandise dangereuse soumise à toutes les dispositions du Règlement </w:t>
      </w:r>
      <w:r>
        <w:t xml:space="preserve">une marchandise que le Règlement type définit comme s’agissant d’une marchandise dangereuse </w:t>
      </w:r>
      <w:r w:rsidR="00ED14EB">
        <w:t>mais que le Règlement simultanément exempte par une disposition spéciale.</w:t>
      </w:r>
    </w:p>
    <w:p w:rsidR="00C3691C" w:rsidRDefault="00C3691C" w:rsidP="001058BC">
      <w:pPr>
        <w:pStyle w:val="SingleTxtG"/>
        <w:tabs>
          <w:tab w:val="left" w:pos="1701"/>
          <w:tab w:val="left" w:pos="1985"/>
          <w:tab w:val="left" w:pos="2268"/>
        </w:tabs>
      </w:pPr>
      <w:r>
        <w:t>9.</w:t>
      </w:r>
      <w:r>
        <w:tab/>
        <w:t>Il est possible que la solution générale dans la proposition 1</w:t>
      </w:r>
      <w:r w:rsidR="00F62ED1">
        <w:t>a</w:t>
      </w:r>
      <w:r>
        <w:t xml:space="preserve"> n’ait aucun effet dans la plupart des cas prévus au chapitre 3.3 ou qu’elle amène des confusions dans certains cas. C’est pourquoi nous présentons une proposition 1b qui ne s’applique que dans le cas des rubriques UN 3077 et 3082.</w:t>
      </w:r>
    </w:p>
    <w:p w:rsidR="00490C26" w:rsidRPr="0072378C" w:rsidRDefault="00AB7366" w:rsidP="00AB7366">
      <w:pPr>
        <w:pStyle w:val="HChG"/>
      </w:pPr>
      <w:r>
        <w:tab/>
      </w:r>
      <w:r>
        <w:tab/>
      </w:r>
      <w:r w:rsidR="00490C26" w:rsidRPr="00AB7366">
        <w:t>Proposition</w:t>
      </w:r>
      <w:r w:rsidR="00490C26">
        <w:t xml:space="preserve"> </w:t>
      </w:r>
      <w:r w:rsidR="00C3691C">
        <w:t>1a</w:t>
      </w:r>
    </w:p>
    <w:p w:rsidR="00CD093A" w:rsidRDefault="00AB7366" w:rsidP="00AB7366">
      <w:pPr>
        <w:pStyle w:val="SingleTxtG"/>
      </w:pPr>
      <w:r>
        <w:t>10.</w:t>
      </w:r>
      <w:r>
        <w:tab/>
        <w:t>Ajouter la</w:t>
      </w:r>
      <w:r w:rsidR="00CD093A">
        <w:t xml:space="preserve"> phrase suivante à la fin du 2.0.0.1</w:t>
      </w:r>
    </w:p>
    <w:p w:rsidR="00CD093A" w:rsidRDefault="00AB7366" w:rsidP="00AB7366">
      <w:pPr>
        <w:pStyle w:val="SingleTxtG"/>
        <w:ind w:left="1701"/>
      </w:pPr>
      <w:r>
        <w:t>«</w:t>
      </w:r>
      <w:r w:rsidR="001058BC">
        <w:t>Dans le cas d’envois de marchandises dangereuses pouvant bénéficier d’une exemption du présent Règlement u</w:t>
      </w:r>
      <w:r w:rsidR="00CD093A" w:rsidRPr="00CD093A">
        <w:t xml:space="preserve">n expéditeur </w:t>
      </w:r>
      <w:r w:rsidR="00CD093A">
        <w:t>est autorisé d</w:t>
      </w:r>
      <w:r w:rsidR="001058BC">
        <w:t xml:space="preserve">e les </w:t>
      </w:r>
      <w:r w:rsidR="00CD093A">
        <w:t xml:space="preserve">envoyer </w:t>
      </w:r>
      <w:r w:rsidR="006E38B9" w:rsidRPr="00CD093A">
        <w:t xml:space="preserve">sans </w:t>
      </w:r>
      <w:r w:rsidR="006E38B9">
        <w:t xml:space="preserve">tenir compte des exemptions possibles prévues par </w:t>
      </w:r>
      <w:r w:rsidR="006E38B9" w:rsidRPr="00CD093A">
        <w:t>ailleurs</w:t>
      </w:r>
      <w:r w:rsidR="006E38B9">
        <w:t xml:space="preserve"> dans le présent Règlement et </w:t>
      </w:r>
      <w:r w:rsidR="00CD093A">
        <w:t>en appli</w:t>
      </w:r>
      <w:r w:rsidR="006E38B9">
        <w:t xml:space="preserve">quant toutes les autres dispositions prévues </w:t>
      </w:r>
      <w:r w:rsidR="00CD093A" w:rsidRPr="00CD093A">
        <w:t xml:space="preserve">dans </w:t>
      </w:r>
      <w:r w:rsidR="006E38B9">
        <w:t>celui-ci.</w:t>
      </w:r>
      <w:r w:rsidR="00CD093A" w:rsidRPr="00CD093A">
        <w:t>»</w:t>
      </w:r>
      <w:r w:rsidR="00CD093A">
        <w:t>.</w:t>
      </w:r>
    </w:p>
    <w:p w:rsidR="00C3691C" w:rsidRPr="0072378C" w:rsidRDefault="00C3691C" w:rsidP="00AB7366">
      <w:pPr>
        <w:pStyle w:val="HChG"/>
        <w:tabs>
          <w:tab w:val="clear" w:pos="851"/>
        </w:tabs>
        <w:ind w:firstLine="0"/>
      </w:pPr>
      <w:r w:rsidRPr="0007542D">
        <w:t>Proposition</w:t>
      </w:r>
      <w:r>
        <w:t xml:space="preserve"> 1b</w:t>
      </w:r>
    </w:p>
    <w:p w:rsidR="00C3691C" w:rsidRDefault="00AB7366" w:rsidP="00AB7366">
      <w:pPr>
        <w:pStyle w:val="SingleTxtG"/>
      </w:pPr>
      <w:r>
        <w:t>11.</w:t>
      </w:r>
      <w:r>
        <w:tab/>
      </w:r>
      <w:r w:rsidR="00C3691C">
        <w:t>Modifier le texte de la DS375 comme suit </w:t>
      </w:r>
      <w:r w:rsidR="005A4236">
        <w:t>(texte ajoute souligné, texte éliminé biffé)</w:t>
      </w:r>
      <w:r w:rsidR="00C3691C">
        <w:t>:</w:t>
      </w:r>
    </w:p>
    <w:p w:rsidR="00582F51" w:rsidRPr="003C4DF9" w:rsidRDefault="00AB7366" w:rsidP="00AB7366">
      <w:pPr>
        <w:pStyle w:val="SingleTxtG"/>
        <w:ind w:left="1494"/>
      </w:pPr>
      <w:r>
        <w:t>«</w:t>
      </w:r>
      <w:r w:rsidR="005A4236" w:rsidRPr="00BF5510">
        <w:rPr>
          <w:bCs/>
        </w:rPr>
        <w:t>Ces matières, lorsqu’elles sont transportées dans des emballages simples ou combinés contenant une quantité nette par emballage simple ou intérieur inférieure ou égale à 5 </w:t>
      </w:r>
      <w:r w:rsidR="005A4236" w:rsidRPr="00BF5510">
        <w:rPr>
          <w:bCs/>
          <w:i/>
        </w:rPr>
        <w:t>l</w:t>
      </w:r>
      <w:r w:rsidR="005A4236" w:rsidRPr="00BF5510">
        <w:rPr>
          <w:bCs/>
        </w:rPr>
        <w:t xml:space="preserve"> pour les liquides ou ayant une masse nette par emballage simple ou intérieur inférieure ou égale à 5 kg pour les solides, </w:t>
      </w:r>
      <w:r w:rsidR="00BE4353" w:rsidRPr="00BE4353">
        <w:rPr>
          <w:bCs/>
          <w:strike/>
        </w:rPr>
        <w:t>ne sont soumises à aucune autre disposition</w:t>
      </w:r>
      <w:r w:rsidR="00BE4353">
        <w:rPr>
          <w:bCs/>
        </w:rPr>
        <w:t xml:space="preserve"> </w:t>
      </w:r>
      <w:r w:rsidR="00BE4353" w:rsidRPr="00BE4353">
        <w:rPr>
          <w:bCs/>
          <w:u w:val="single"/>
        </w:rPr>
        <w:t>peuvent être exemptées de toutes les autres dispositions</w:t>
      </w:r>
      <w:r w:rsidR="00BE4353">
        <w:rPr>
          <w:bCs/>
        </w:rPr>
        <w:t xml:space="preserve"> </w:t>
      </w:r>
      <w:r w:rsidR="005A4236">
        <w:rPr>
          <w:bCs/>
        </w:rPr>
        <w:t xml:space="preserve">du présent Règlement </w:t>
      </w:r>
      <w:r w:rsidR="005A4236" w:rsidRPr="00BF5510">
        <w:rPr>
          <w:bCs/>
        </w:rPr>
        <w:t>à condition que les emballages satisfassent aux dispositions générales des 4.1.1.1, 4.1.1.2 et 4.1.1.4 à 4.1.1.8.</w:t>
      </w:r>
      <w:r w:rsidR="00C3691C" w:rsidRPr="00CD093A">
        <w:t>»</w:t>
      </w:r>
      <w:r>
        <w:t>.</w:t>
      </w:r>
    </w:p>
    <w:p w:rsidR="00B31474" w:rsidRDefault="00B31474">
      <w:pPr>
        <w:pStyle w:val="SingleTxtG"/>
        <w:spacing w:before="240" w:after="0"/>
        <w:jc w:val="center"/>
        <w:rPr>
          <w:u w:val="single"/>
        </w:rPr>
      </w:pPr>
      <w:r>
        <w:rPr>
          <w:rFonts w:eastAsia="Arial"/>
          <w:u w:val="single"/>
        </w:rPr>
        <w:tab/>
      </w:r>
      <w:r>
        <w:rPr>
          <w:rFonts w:eastAsia="Arial"/>
          <w:u w:val="single"/>
        </w:rPr>
        <w:tab/>
      </w:r>
      <w:r>
        <w:rPr>
          <w:rFonts w:eastAsia="Arial"/>
          <w:u w:val="single"/>
        </w:rPr>
        <w:tab/>
      </w:r>
    </w:p>
    <w:sectPr w:rsidR="00B31474">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09" w:rsidRDefault="00D13709"/>
  </w:endnote>
  <w:endnote w:type="continuationSeparator" w:id="0">
    <w:p w:rsidR="00D13709" w:rsidRDefault="00D13709"/>
  </w:endnote>
  <w:endnote w:type="continuationNotice" w:id="1">
    <w:p w:rsidR="00D13709" w:rsidRDefault="00D13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7C237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853D97">
      <w:rPr>
        <w:b/>
        <w:noProof/>
        <w:sz w:val="18"/>
      </w:rPr>
      <w:t>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7C2370">
    <w:pPr>
      <w:pStyle w:val="Footer"/>
      <w:tabs>
        <w:tab w:val="right" w:pos="9638"/>
      </w:tabs>
      <w:rPr>
        <w:sz w:val="18"/>
      </w:rPr>
    </w:pPr>
    <w:r>
      <w:tab/>
    </w:r>
    <w:r>
      <w:rPr>
        <w:b/>
        <w:sz w:val="18"/>
      </w:rPr>
      <w:fldChar w:fldCharType="begin"/>
    </w:r>
    <w:r>
      <w:rPr>
        <w:b/>
        <w:sz w:val="18"/>
      </w:rPr>
      <w:instrText xml:space="preserve"> PAGE  \* MERGEFORMAT </w:instrText>
    </w:r>
    <w:r>
      <w:rPr>
        <w:b/>
        <w:sz w:val="18"/>
      </w:rPr>
      <w:fldChar w:fldCharType="separate"/>
    </w:r>
    <w:r w:rsidR="00853D97">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95" w:rsidRDefault="00663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09" w:rsidRDefault="00D13709">
      <w:pPr>
        <w:tabs>
          <w:tab w:val="right" w:pos="2155"/>
        </w:tabs>
        <w:spacing w:after="80"/>
        <w:ind w:left="680"/>
        <w:rPr>
          <w:u w:val="single"/>
        </w:rPr>
      </w:pPr>
      <w:r>
        <w:rPr>
          <w:u w:val="single"/>
        </w:rPr>
        <w:tab/>
      </w:r>
    </w:p>
  </w:footnote>
  <w:footnote w:type="continuationSeparator" w:id="0">
    <w:p w:rsidR="00D13709" w:rsidRDefault="00D13709">
      <w:pPr>
        <w:tabs>
          <w:tab w:val="left" w:pos="2155"/>
        </w:tabs>
        <w:spacing w:after="80"/>
        <w:ind w:left="680"/>
        <w:rPr>
          <w:u w:val="single"/>
        </w:rPr>
      </w:pPr>
      <w:r>
        <w:rPr>
          <w:u w:val="single"/>
        </w:rPr>
        <w:tab/>
      </w:r>
    </w:p>
  </w:footnote>
  <w:footnote w:type="continuationNotice" w:id="1">
    <w:p w:rsidR="00D13709" w:rsidRDefault="00D13709"/>
  </w:footnote>
  <w:footnote w:id="2">
    <w:p w:rsidR="00C3425D" w:rsidRDefault="00C3425D" w:rsidP="00C3425D">
      <w:pPr>
        <w:pStyle w:val="FootnoteText"/>
        <w:tabs>
          <w:tab w:val="left" w:pos="1418"/>
        </w:tabs>
        <w:ind w:firstLine="0"/>
      </w:pPr>
      <w:r>
        <w:rPr>
          <w:rStyle w:val="FootnoteReference"/>
        </w:rPr>
        <w:footnoteRef/>
      </w:r>
      <w:r>
        <w:tab/>
      </w:r>
      <w:r w:rsidR="00FC4339" w:rsidRPr="00BB2688">
        <w:rPr>
          <w:spacing w:val="-2"/>
          <w:lang w:val="fr-FR"/>
        </w:rPr>
        <w:t>Conformément au programme de travail du Sous-Comi</w:t>
      </w:r>
      <w:r w:rsidR="00FC4339">
        <w:rPr>
          <w:spacing w:val="-2"/>
          <w:lang w:val="fr-FR"/>
        </w:rPr>
        <w:t>té pour la période biennale 2017-2018</w:t>
      </w:r>
      <w:r w:rsidR="00FC4339" w:rsidRPr="00BB2688">
        <w:rPr>
          <w:spacing w:val="-2"/>
          <w:lang w:val="fr-FR"/>
        </w:rPr>
        <w:t xml:space="preserve">, approuvé par le Comité à sa </w:t>
      </w:r>
      <w:r w:rsidR="00FC4339">
        <w:rPr>
          <w:spacing w:val="-2"/>
          <w:lang w:val="fr-FR"/>
        </w:rPr>
        <w:t>huitième</w:t>
      </w:r>
      <w:r w:rsidR="00FC4339" w:rsidRPr="00BB2688">
        <w:rPr>
          <w:spacing w:val="-2"/>
          <w:lang w:val="fr-FR"/>
        </w:rPr>
        <w:t xml:space="preserve"> session (voir ST/SG/AC.10/C.3/</w:t>
      </w:r>
      <w:r w:rsidR="00FC4339">
        <w:rPr>
          <w:spacing w:val="-2"/>
          <w:lang w:val="fr-FR"/>
        </w:rPr>
        <w:t>100, par. 98, et ST/SG/AC.10/44, par. 14</w:t>
      </w:r>
      <w:r w:rsidR="00FC4339" w:rsidRPr="00BB2688">
        <w:rPr>
          <w:spacing w:val="-2"/>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7C2370">
    <w:pPr>
      <w:pStyle w:val="Header"/>
      <w:rPr>
        <w:lang w:val="en-US"/>
      </w:rPr>
    </w:pPr>
    <w:r>
      <w:rPr>
        <w:lang w:val="en-US"/>
      </w:rPr>
      <w:t>S</w:t>
    </w:r>
    <w:r w:rsidR="00AB7366">
      <w:rPr>
        <w:lang w:val="en-US"/>
      </w:rPr>
      <w:t>T/SG/AC.10/C.3/2017</w:t>
    </w:r>
    <w:r>
      <w:rPr>
        <w:lang w:val="en-US"/>
      </w:rPr>
      <w:t>/</w:t>
    </w:r>
    <w:r w:rsidR="00AB7366">
      <w:rPr>
        <w:lang w:val="en-US"/>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663195">
    <w:pPr>
      <w:pStyle w:val="Header"/>
      <w:jc w:val="right"/>
      <w:rPr>
        <w:lang w:val="en-US"/>
      </w:rPr>
    </w:pPr>
    <w:r>
      <w:rPr>
        <w:lang w:val="en-US"/>
      </w:rPr>
      <w:t>ST/SG/AC.10/C.3/2017/5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7C2370" w:rsidP="00C3425D">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5"/>
      <w:numFmt w:val="bullet"/>
      <w:lvlText w:val="-"/>
      <w:lvlJc w:val="left"/>
      <w:pPr>
        <w:tabs>
          <w:tab w:val="num" w:pos="2771"/>
        </w:tabs>
        <w:ind w:left="2771" w:hanging="360"/>
      </w:pPr>
      <w:rPr>
        <w:rFonts w:ascii="Times New Roman" w:hAnsi="Times New Roman" w:cs="Times New Roman"/>
      </w:rPr>
    </w:lvl>
  </w:abstractNum>
  <w:abstractNum w:abstractNumId="1">
    <w:nsid w:val="00000004"/>
    <w:multiLevelType w:val="singleLevel"/>
    <w:tmpl w:val="00000004"/>
    <w:name w:val="WW8Num7"/>
    <w:lvl w:ilvl="0">
      <w:start w:val="2"/>
      <w:numFmt w:val="lowerRoman"/>
      <w:lvlText w:val="(%1)"/>
      <w:lvlJc w:val="left"/>
      <w:pPr>
        <w:tabs>
          <w:tab w:val="num" w:pos="3131"/>
        </w:tabs>
        <w:ind w:left="3131" w:hanging="720"/>
      </w:p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EBE41F9"/>
    <w:multiLevelType w:val="multilevel"/>
    <w:tmpl w:val="9CFC1C9A"/>
    <w:lvl w:ilvl="0">
      <w:start w:val="2"/>
      <w:numFmt w:val="lowerRoman"/>
      <w:lvlText w:val="(%1)"/>
      <w:lvlJc w:val="left"/>
      <w:pPr>
        <w:tabs>
          <w:tab w:val="num" w:pos="1080"/>
        </w:tabs>
        <w:ind w:left="1080" w:hanging="72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156DAD"/>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6">
    <w:nsid w:val="1B4C6716"/>
    <w:multiLevelType w:val="hybridMultilevel"/>
    <w:tmpl w:val="DD385F0C"/>
    <w:lvl w:ilvl="0" w:tplc="F64C8474">
      <w:start w:val="1"/>
      <w:numFmt w:val="decimal"/>
      <w:lvlText w:val="%1."/>
      <w:lvlJc w:val="left"/>
      <w:pPr>
        <w:ind w:left="1710" w:hanging="576"/>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28FE6458"/>
    <w:multiLevelType w:val="hybridMultilevel"/>
    <w:tmpl w:val="4C4A47A8"/>
    <w:lvl w:ilvl="0" w:tplc="7A28CF46">
      <w:start w:val="8"/>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8">
    <w:nsid w:val="30892B70"/>
    <w:multiLevelType w:val="hybridMultilevel"/>
    <w:tmpl w:val="E8CC56C0"/>
    <w:lvl w:ilvl="0" w:tplc="9A7AE07A">
      <w:start w:val="5"/>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nsid w:val="3C6C4A17"/>
    <w:multiLevelType w:val="hybridMultilevel"/>
    <w:tmpl w:val="1954FCD6"/>
    <w:lvl w:ilvl="0" w:tplc="3D3469FA">
      <w:start w:val="1"/>
      <w:numFmt w:val="lowerRoman"/>
      <w:lvlText w:val="(%1)"/>
      <w:lvlJc w:val="left"/>
      <w:pPr>
        <w:tabs>
          <w:tab w:val="num" w:pos="1080"/>
        </w:tabs>
        <w:ind w:left="1080" w:hanging="720"/>
      </w:pPr>
      <w:rPr>
        <w:rFonts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0164AD2"/>
    <w:multiLevelType w:val="hybridMultilevel"/>
    <w:tmpl w:val="30A6C164"/>
    <w:lvl w:ilvl="0" w:tplc="CFF0ADDA">
      <w:start w:val="1"/>
      <w:numFmt w:val="lowerLetter"/>
      <w:lvlText w:val="%1)"/>
      <w:lvlJc w:val="left"/>
      <w:pPr>
        <w:tabs>
          <w:tab w:val="num" w:pos="2775"/>
        </w:tabs>
        <w:ind w:left="2775" w:hanging="360"/>
      </w:pPr>
      <w:rPr>
        <w:rFonts w:hint="default"/>
      </w:rPr>
    </w:lvl>
    <w:lvl w:ilvl="1" w:tplc="040C0019" w:tentative="1">
      <w:start w:val="1"/>
      <w:numFmt w:val="lowerLetter"/>
      <w:lvlText w:val="%2."/>
      <w:lvlJc w:val="left"/>
      <w:pPr>
        <w:tabs>
          <w:tab w:val="num" w:pos="3495"/>
        </w:tabs>
        <w:ind w:left="3495" w:hanging="360"/>
      </w:pPr>
    </w:lvl>
    <w:lvl w:ilvl="2" w:tplc="040C001B" w:tentative="1">
      <w:start w:val="1"/>
      <w:numFmt w:val="lowerRoman"/>
      <w:lvlText w:val="%3."/>
      <w:lvlJc w:val="right"/>
      <w:pPr>
        <w:tabs>
          <w:tab w:val="num" w:pos="4215"/>
        </w:tabs>
        <w:ind w:left="4215" w:hanging="180"/>
      </w:pPr>
    </w:lvl>
    <w:lvl w:ilvl="3" w:tplc="040C000F" w:tentative="1">
      <w:start w:val="1"/>
      <w:numFmt w:val="decimal"/>
      <w:lvlText w:val="%4."/>
      <w:lvlJc w:val="left"/>
      <w:pPr>
        <w:tabs>
          <w:tab w:val="num" w:pos="4935"/>
        </w:tabs>
        <w:ind w:left="4935" w:hanging="360"/>
      </w:pPr>
    </w:lvl>
    <w:lvl w:ilvl="4" w:tplc="040C0019" w:tentative="1">
      <w:start w:val="1"/>
      <w:numFmt w:val="lowerLetter"/>
      <w:lvlText w:val="%5."/>
      <w:lvlJc w:val="left"/>
      <w:pPr>
        <w:tabs>
          <w:tab w:val="num" w:pos="5655"/>
        </w:tabs>
        <w:ind w:left="5655" w:hanging="360"/>
      </w:pPr>
    </w:lvl>
    <w:lvl w:ilvl="5" w:tplc="040C001B" w:tentative="1">
      <w:start w:val="1"/>
      <w:numFmt w:val="lowerRoman"/>
      <w:lvlText w:val="%6."/>
      <w:lvlJc w:val="right"/>
      <w:pPr>
        <w:tabs>
          <w:tab w:val="num" w:pos="6375"/>
        </w:tabs>
        <w:ind w:left="6375" w:hanging="180"/>
      </w:pPr>
    </w:lvl>
    <w:lvl w:ilvl="6" w:tplc="040C000F" w:tentative="1">
      <w:start w:val="1"/>
      <w:numFmt w:val="decimal"/>
      <w:lvlText w:val="%7."/>
      <w:lvlJc w:val="left"/>
      <w:pPr>
        <w:tabs>
          <w:tab w:val="num" w:pos="7095"/>
        </w:tabs>
        <w:ind w:left="7095" w:hanging="360"/>
      </w:pPr>
    </w:lvl>
    <w:lvl w:ilvl="7" w:tplc="040C0019" w:tentative="1">
      <w:start w:val="1"/>
      <w:numFmt w:val="lowerLetter"/>
      <w:lvlText w:val="%8."/>
      <w:lvlJc w:val="left"/>
      <w:pPr>
        <w:tabs>
          <w:tab w:val="num" w:pos="7815"/>
        </w:tabs>
        <w:ind w:left="7815" w:hanging="360"/>
      </w:pPr>
    </w:lvl>
    <w:lvl w:ilvl="8" w:tplc="040C001B" w:tentative="1">
      <w:start w:val="1"/>
      <w:numFmt w:val="lowerRoman"/>
      <w:lvlText w:val="%9."/>
      <w:lvlJc w:val="right"/>
      <w:pPr>
        <w:tabs>
          <w:tab w:val="num" w:pos="8535"/>
        </w:tabs>
        <w:ind w:left="8535" w:hanging="180"/>
      </w:pPr>
    </w:lvl>
  </w:abstractNum>
  <w:abstractNum w:abstractNumId="12">
    <w:nsid w:val="45187CC0"/>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5A83202E"/>
    <w:multiLevelType w:val="hybridMultilevel"/>
    <w:tmpl w:val="087E3266"/>
    <w:lvl w:ilvl="0" w:tplc="B7D26494">
      <w:start w:val="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5">
    <w:nsid w:val="68AD07B2"/>
    <w:multiLevelType w:val="hybridMultilevel"/>
    <w:tmpl w:val="F67EDAEE"/>
    <w:lvl w:ilvl="0" w:tplc="69602098">
      <w:start w:val="1"/>
      <w:numFmt w:val="lowerLetter"/>
      <w:pStyle w:val="Bullet1G"/>
      <w:lvlText w:val="(%1)"/>
      <w:lvlJc w:val="left"/>
      <w:pPr>
        <w:tabs>
          <w:tab w:val="num" w:pos="1701"/>
        </w:tabs>
        <w:ind w:left="1701" w:hanging="170"/>
      </w:pPr>
      <w:rPr>
        <w:rFonts w:ascii="Times New Roman" w:eastAsia="Times New Roman" w:hAnsi="Times New Roman" w:cs="Times New Roman"/>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0177220"/>
    <w:multiLevelType w:val="hybridMultilevel"/>
    <w:tmpl w:val="4948A01E"/>
    <w:lvl w:ilvl="0" w:tplc="E8D4B2A8">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7">
    <w:nsid w:val="71C60DE8"/>
    <w:multiLevelType w:val="hybridMultilevel"/>
    <w:tmpl w:val="6A14144A"/>
    <w:lvl w:ilvl="0" w:tplc="FB208D76">
      <w:start w:val="6"/>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8">
    <w:nsid w:val="766E1B63"/>
    <w:multiLevelType w:val="hybridMultilevel"/>
    <w:tmpl w:val="5B288170"/>
    <w:lvl w:ilvl="0" w:tplc="0DBEB288">
      <w:start w:val="2"/>
      <w:numFmt w:val="lowerRoman"/>
      <w:lvlText w:val="(%1)"/>
      <w:lvlJc w:val="left"/>
      <w:pPr>
        <w:tabs>
          <w:tab w:val="num" w:pos="1080"/>
        </w:tabs>
        <w:ind w:left="1080" w:hanging="720"/>
      </w:pPr>
      <w:rPr>
        <w:rFonts w:cs="Aria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0"/>
  </w:num>
  <w:num w:numId="4">
    <w:abstractNumId w:val="1"/>
  </w:num>
  <w:num w:numId="5">
    <w:abstractNumId w:val="2"/>
  </w:num>
  <w:num w:numId="6">
    <w:abstractNumId w:val="8"/>
  </w:num>
  <w:num w:numId="7">
    <w:abstractNumId w:val="14"/>
  </w:num>
  <w:num w:numId="8">
    <w:abstractNumId w:val="17"/>
  </w:num>
  <w:num w:numId="9">
    <w:abstractNumId w:val="11"/>
  </w:num>
  <w:num w:numId="10">
    <w:abstractNumId w:val="18"/>
  </w:num>
  <w:num w:numId="11">
    <w:abstractNumId w:val="10"/>
  </w:num>
  <w:num w:numId="12">
    <w:abstractNumId w:val="15"/>
  </w:num>
  <w:num w:numId="13">
    <w:abstractNumId w:val="15"/>
  </w:num>
  <w:num w:numId="14">
    <w:abstractNumId w:val="15"/>
  </w:num>
  <w:num w:numId="15">
    <w:abstractNumId w:val="4"/>
  </w:num>
  <w:num w:numId="16">
    <w:abstractNumId w:val="6"/>
  </w:num>
  <w:num w:numId="17">
    <w:abstractNumId w:val="13"/>
  </w:num>
  <w:num w:numId="18">
    <w:abstractNumId w:val="3"/>
  </w:num>
  <w:num w:numId="19">
    <w:abstractNumId w:val="16"/>
  </w:num>
  <w:num w:numId="20">
    <w:abstractNumId w:val="7"/>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numFmt w:val="chicago"/>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102"/>
    <w:rsid w:val="00012DAC"/>
    <w:rsid w:val="00013866"/>
    <w:rsid w:val="00014AEA"/>
    <w:rsid w:val="00042CFB"/>
    <w:rsid w:val="00046BFA"/>
    <w:rsid w:val="00051400"/>
    <w:rsid w:val="00054394"/>
    <w:rsid w:val="0005650A"/>
    <w:rsid w:val="000659E4"/>
    <w:rsid w:val="000806FE"/>
    <w:rsid w:val="00083294"/>
    <w:rsid w:val="000B3266"/>
    <w:rsid w:val="000C06F0"/>
    <w:rsid w:val="000F1361"/>
    <w:rsid w:val="000F7333"/>
    <w:rsid w:val="001058BC"/>
    <w:rsid w:val="0015596D"/>
    <w:rsid w:val="001A44AF"/>
    <w:rsid w:val="001C6A24"/>
    <w:rsid w:val="001E0915"/>
    <w:rsid w:val="001E36A9"/>
    <w:rsid w:val="00203D55"/>
    <w:rsid w:val="00210222"/>
    <w:rsid w:val="0023481B"/>
    <w:rsid w:val="00236B05"/>
    <w:rsid w:val="00237CAF"/>
    <w:rsid w:val="00242278"/>
    <w:rsid w:val="00253A00"/>
    <w:rsid w:val="0026107C"/>
    <w:rsid w:val="002D0389"/>
    <w:rsid w:val="002D0D8B"/>
    <w:rsid w:val="002D3C26"/>
    <w:rsid w:val="002E2543"/>
    <w:rsid w:val="00321DA8"/>
    <w:rsid w:val="00366908"/>
    <w:rsid w:val="00377958"/>
    <w:rsid w:val="003A46D3"/>
    <w:rsid w:val="003C1D73"/>
    <w:rsid w:val="003F76C3"/>
    <w:rsid w:val="00403C69"/>
    <w:rsid w:val="00410486"/>
    <w:rsid w:val="00411A60"/>
    <w:rsid w:val="004133DE"/>
    <w:rsid w:val="004362EC"/>
    <w:rsid w:val="00460828"/>
    <w:rsid w:val="00460FB7"/>
    <w:rsid w:val="004909C7"/>
    <w:rsid w:val="00490C26"/>
    <w:rsid w:val="004B6935"/>
    <w:rsid w:val="004C7AF3"/>
    <w:rsid w:val="004D406E"/>
    <w:rsid w:val="004E16BC"/>
    <w:rsid w:val="00553ABF"/>
    <w:rsid w:val="00582F51"/>
    <w:rsid w:val="005A4236"/>
    <w:rsid w:val="005B7088"/>
    <w:rsid w:val="005D5FB8"/>
    <w:rsid w:val="005F08E7"/>
    <w:rsid w:val="005F25FC"/>
    <w:rsid w:val="00602038"/>
    <w:rsid w:val="00637F41"/>
    <w:rsid w:val="006437EB"/>
    <w:rsid w:val="00654BFA"/>
    <w:rsid w:val="00663195"/>
    <w:rsid w:val="006655BC"/>
    <w:rsid w:val="00692206"/>
    <w:rsid w:val="00693E6C"/>
    <w:rsid w:val="006B41BB"/>
    <w:rsid w:val="006E38B9"/>
    <w:rsid w:val="00714E18"/>
    <w:rsid w:val="00734DB1"/>
    <w:rsid w:val="007651D0"/>
    <w:rsid w:val="007808F4"/>
    <w:rsid w:val="007848F1"/>
    <w:rsid w:val="00797850"/>
    <w:rsid w:val="007B3972"/>
    <w:rsid w:val="007C2370"/>
    <w:rsid w:val="007C44B3"/>
    <w:rsid w:val="007F25D7"/>
    <w:rsid w:val="007F44FA"/>
    <w:rsid w:val="007F5758"/>
    <w:rsid w:val="007F7FB2"/>
    <w:rsid w:val="00853D97"/>
    <w:rsid w:val="0088239A"/>
    <w:rsid w:val="008E603E"/>
    <w:rsid w:val="00925219"/>
    <w:rsid w:val="00936806"/>
    <w:rsid w:val="00963ABD"/>
    <w:rsid w:val="009809C7"/>
    <w:rsid w:val="009C65A4"/>
    <w:rsid w:val="009F1D42"/>
    <w:rsid w:val="00A12E4C"/>
    <w:rsid w:val="00A33E02"/>
    <w:rsid w:val="00A47DAE"/>
    <w:rsid w:val="00A63DC6"/>
    <w:rsid w:val="00A64AD8"/>
    <w:rsid w:val="00A64E61"/>
    <w:rsid w:val="00AB7366"/>
    <w:rsid w:val="00AD6337"/>
    <w:rsid w:val="00B31474"/>
    <w:rsid w:val="00B535AB"/>
    <w:rsid w:val="00B87401"/>
    <w:rsid w:val="00B90BC5"/>
    <w:rsid w:val="00B96B24"/>
    <w:rsid w:val="00BA24A5"/>
    <w:rsid w:val="00BC3265"/>
    <w:rsid w:val="00BE4353"/>
    <w:rsid w:val="00BF5491"/>
    <w:rsid w:val="00C06386"/>
    <w:rsid w:val="00C25565"/>
    <w:rsid w:val="00C31757"/>
    <w:rsid w:val="00C3425D"/>
    <w:rsid w:val="00C3691C"/>
    <w:rsid w:val="00C45B63"/>
    <w:rsid w:val="00C557B3"/>
    <w:rsid w:val="00C55D8F"/>
    <w:rsid w:val="00CA6F0F"/>
    <w:rsid w:val="00CB75C1"/>
    <w:rsid w:val="00CD093A"/>
    <w:rsid w:val="00CE7102"/>
    <w:rsid w:val="00CF15C4"/>
    <w:rsid w:val="00D13709"/>
    <w:rsid w:val="00D80310"/>
    <w:rsid w:val="00D96C4D"/>
    <w:rsid w:val="00DA422B"/>
    <w:rsid w:val="00DC7C47"/>
    <w:rsid w:val="00DF0BF7"/>
    <w:rsid w:val="00E342C8"/>
    <w:rsid w:val="00E60D87"/>
    <w:rsid w:val="00E6328D"/>
    <w:rsid w:val="00E72C4C"/>
    <w:rsid w:val="00E8311F"/>
    <w:rsid w:val="00EC76DD"/>
    <w:rsid w:val="00ED14EB"/>
    <w:rsid w:val="00ED6661"/>
    <w:rsid w:val="00EE3058"/>
    <w:rsid w:val="00F433B8"/>
    <w:rsid w:val="00F43B95"/>
    <w:rsid w:val="00F43BCB"/>
    <w:rsid w:val="00F46AFD"/>
    <w:rsid w:val="00F62ED1"/>
    <w:rsid w:val="00F71F61"/>
    <w:rsid w:val="00FA4A4F"/>
    <w:rsid w:val="00FC4339"/>
    <w:rsid w:val="00FD1977"/>
    <w:rsid w:val="00FE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BFA"/>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semiHidden/>
    <w:rPr>
      <w:rFonts w:ascii="Times New Roman" w:hAnsi="Times New Roman"/>
      <w:sz w:val="18"/>
      <w:vertAlign w:val="superscript"/>
      <w:lang w:val="fr-CH"/>
    </w:rPr>
  </w:style>
  <w:style w:type="character" w:styleId="EndnoteReference">
    <w:name w:val="endnote reference"/>
    <w:aliases w:val="1_G"/>
    <w:basedOn w:val="FootnoteReference"/>
    <w:semiHidden/>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customStyle="1" w:styleId="WW8Num13z2">
    <w:name w:val="WW8Num13z2"/>
    <w:rsid w:val="00E72C4C"/>
    <w:rPr>
      <w:rFonts w:ascii="Wingdings" w:hAnsi="Wingdings"/>
    </w:rPr>
  </w:style>
  <w:style w:type="character" w:customStyle="1" w:styleId="SingleTxtGChar">
    <w:name w:val="_ Single Txt_G Char"/>
    <w:link w:val="SingleTxtG"/>
    <w:rsid w:val="004133DE"/>
    <w:rPr>
      <w:lang w:val="fr-CH" w:eastAsia="en-US" w:bidi="ar-SA"/>
    </w:r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Lgende1">
    <w:name w:val="Légende1"/>
    <w:basedOn w:val="Normal"/>
    <w:next w:val="Normal"/>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Caption">
    <w:name w:val="caption"/>
    <w:basedOn w:val="Normal"/>
    <w:next w:val="Normal"/>
    <w:qFormat/>
    <w:rsid w:val="004133DE"/>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BodyText2">
    <w:name w:val="Body Text 2"/>
    <w:basedOn w:val="Normal"/>
    <w:rsid w:val="004133DE"/>
    <w:pPr>
      <w:tabs>
        <w:tab w:val="left" w:pos="425"/>
        <w:tab w:val="left" w:pos="851"/>
        <w:tab w:val="left" w:pos="1276"/>
        <w:tab w:val="left" w:pos="2410"/>
      </w:tabs>
      <w:suppressAutoHyphens w:val="0"/>
      <w:spacing w:line="240" w:lineRule="auto"/>
      <w:jc w:val="both"/>
    </w:pPr>
    <w:rPr>
      <w:color w:val="000000"/>
      <w:sz w:val="24"/>
      <w:szCs w:val="24"/>
      <w:lang w:val="fr-FR" w:eastAsia="ar-SA"/>
    </w:rPr>
  </w:style>
  <w:style w:type="paragraph" w:styleId="BlockText">
    <w:name w:val="Block Text"/>
    <w:basedOn w:val="Normal"/>
    <w:rsid w:val="004133DE"/>
    <w:pPr>
      <w:tabs>
        <w:tab w:val="left" w:pos="2268"/>
      </w:tabs>
      <w:spacing w:line="240" w:lineRule="auto"/>
      <w:ind w:left="2268" w:right="-12"/>
      <w:jc w:val="both"/>
    </w:pPr>
    <w:rPr>
      <w:rFonts w:cs="Arial"/>
      <w:sz w:val="24"/>
      <w:lang w:val="en-GB" w:eastAsia="ar-SA"/>
    </w:rPr>
  </w:style>
  <w:style w:type="paragraph" w:styleId="BodyText3">
    <w:name w:val="Body Text 3"/>
    <w:basedOn w:val="Normal"/>
    <w:rsid w:val="004133DE"/>
    <w:pPr>
      <w:tabs>
        <w:tab w:val="left" w:pos="0"/>
        <w:tab w:val="left" w:pos="425"/>
        <w:tab w:val="left" w:pos="851"/>
        <w:tab w:val="left" w:pos="1276"/>
      </w:tabs>
      <w:suppressAutoHyphens w:val="0"/>
      <w:spacing w:line="240" w:lineRule="auto"/>
      <w:ind w:right="-12"/>
      <w:jc w:val="both"/>
    </w:pPr>
    <w:rPr>
      <w:color w:val="000000"/>
      <w:sz w:val="24"/>
      <w:lang w:val="fr-FR" w:eastAsia="ar-SA"/>
    </w:rPr>
  </w:style>
  <w:style w:type="table" w:styleId="TableGrid">
    <w:name w:val="Table Grid"/>
    <w:basedOn w:val="TableNormal"/>
    <w:rsid w:val="00236B0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36A9"/>
    <w:pPr>
      <w:spacing w:line="240" w:lineRule="auto"/>
    </w:pPr>
    <w:rPr>
      <w:rFonts w:ascii="Tahoma" w:hAnsi="Tahoma" w:cs="Tahoma"/>
      <w:sz w:val="16"/>
      <w:szCs w:val="16"/>
    </w:rPr>
  </w:style>
  <w:style w:type="character" w:customStyle="1" w:styleId="BalloonTextChar">
    <w:name w:val="Balloon Text Char"/>
    <w:link w:val="BalloonText"/>
    <w:rsid w:val="001E36A9"/>
    <w:rPr>
      <w:rFonts w:ascii="Tahoma" w:hAnsi="Tahoma" w:cs="Tahoma"/>
      <w:sz w:val="16"/>
      <w:szCs w:val="16"/>
      <w:lang w:val="fr-CH"/>
    </w:rPr>
  </w:style>
  <w:style w:type="character" w:customStyle="1" w:styleId="SingleTxtGCar">
    <w:name w:val="_ Single Txt_G Car"/>
    <w:rsid w:val="00490C26"/>
    <w:rPr>
      <w:lang w:val="fr-CH" w:eastAsia="en-US" w:bidi="ar-SA"/>
    </w:rPr>
  </w:style>
  <w:style w:type="character" w:customStyle="1" w:styleId="HChGChar">
    <w:name w:val="_ H _Ch_G Char"/>
    <w:link w:val="HChG"/>
    <w:rsid w:val="00490C26"/>
    <w:rPr>
      <w:b/>
      <w:sz w:val="28"/>
      <w:lang w:val="fr-CH"/>
    </w:rPr>
  </w:style>
  <w:style w:type="paragraph" w:customStyle="1" w:styleId="ParNoG">
    <w:name w:val="_ParNo_G"/>
    <w:basedOn w:val="SingleTxtG"/>
    <w:link w:val="ParNoGCar"/>
    <w:rsid w:val="00460828"/>
    <w:pPr>
      <w:numPr>
        <w:numId w:val="18"/>
      </w:numPr>
    </w:pPr>
  </w:style>
  <w:style w:type="character" w:customStyle="1" w:styleId="ParNoGCar">
    <w:name w:val="_ParNo_G Car"/>
    <w:link w:val="ParNoG"/>
    <w:rsid w:val="00460828"/>
    <w:rPr>
      <w:lang w:eastAsia="en-US"/>
    </w:rPr>
  </w:style>
  <w:style w:type="character" w:customStyle="1" w:styleId="H23GChar">
    <w:name w:val="_ H_2/3_G Char"/>
    <w:link w:val="H23G"/>
    <w:rsid w:val="006655BC"/>
    <w:rPr>
      <w:b/>
      <w:lang w:eastAsia="en-US"/>
    </w:rPr>
  </w:style>
  <w:style w:type="paragraph" w:styleId="BodyTextIndent3">
    <w:name w:val="Body Text Indent 3"/>
    <w:basedOn w:val="Normal"/>
    <w:link w:val="BodyTextIndent3Char"/>
    <w:rsid w:val="00042CFB"/>
    <w:pPr>
      <w:spacing w:after="120"/>
      <w:ind w:left="283"/>
    </w:pPr>
    <w:rPr>
      <w:sz w:val="16"/>
      <w:szCs w:val="16"/>
    </w:rPr>
  </w:style>
  <w:style w:type="character" w:customStyle="1" w:styleId="BodyTextIndent3Char">
    <w:name w:val="Body Text Indent 3 Char"/>
    <w:link w:val="BodyTextIndent3"/>
    <w:rsid w:val="00042CFB"/>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98642">
      <w:bodyDiv w:val="1"/>
      <w:marLeft w:val="0"/>
      <w:marRight w:val="0"/>
      <w:marTop w:val="0"/>
      <w:marBottom w:val="0"/>
      <w:divBdr>
        <w:top w:val="none" w:sz="0" w:space="0" w:color="auto"/>
        <w:left w:val="none" w:sz="0" w:space="0" w:color="auto"/>
        <w:bottom w:val="none" w:sz="0" w:space="0" w:color="auto"/>
        <w:right w:val="none" w:sz="0" w:space="0" w:color="auto"/>
      </w:divBdr>
    </w:div>
    <w:div w:id="1940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AB3F-E91F-4912-B7CA-0E5FA698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1103</Words>
  <Characters>6289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Collet</dc:creator>
  <cp:lastModifiedBy>Laurence Berthet</cp:lastModifiedBy>
  <cp:revision>10</cp:revision>
  <cp:lastPrinted>2017-03-28T11:46:00Z</cp:lastPrinted>
  <dcterms:created xsi:type="dcterms:W3CDTF">2017-03-28T08:31:00Z</dcterms:created>
  <dcterms:modified xsi:type="dcterms:W3CDTF">2017-03-31T05:53:00Z</dcterms:modified>
</cp:coreProperties>
</file>