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F65D85">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F65D85" w:rsidP="00F65D85">
            <w:pPr>
              <w:jc w:val="right"/>
            </w:pPr>
            <w:r w:rsidRPr="00F65D85">
              <w:rPr>
                <w:sz w:val="40"/>
              </w:rPr>
              <w:t>ST</w:t>
            </w:r>
            <w:r>
              <w:t>/SG/AC.10/C.3/2017/10</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val="en-GB" w:eastAsia="en-GB"/>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F65D85" w:rsidP="00F01738">
            <w:pPr>
              <w:spacing w:before="240"/>
            </w:pPr>
            <w:r>
              <w:t>Distr. générale</w:t>
            </w:r>
          </w:p>
          <w:p w:rsidR="00F65D85" w:rsidRDefault="00F65D85" w:rsidP="00F65D85">
            <w:pPr>
              <w:spacing w:line="240" w:lineRule="exact"/>
            </w:pPr>
            <w:r>
              <w:t>4 avril 2017</w:t>
            </w:r>
          </w:p>
          <w:p w:rsidR="00F65D85" w:rsidRDefault="00F65D85" w:rsidP="00F65D85">
            <w:pPr>
              <w:spacing w:line="240" w:lineRule="exact"/>
            </w:pPr>
            <w:r>
              <w:t>Français</w:t>
            </w:r>
          </w:p>
          <w:p w:rsidR="00F65D85" w:rsidRPr="00DB58B5" w:rsidRDefault="00F65D85" w:rsidP="00F65D85">
            <w:pPr>
              <w:spacing w:line="240" w:lineRule="exact"/>
            </w:pPr>
            <w:r>
              <w:t>Original : anglais</w:t>
            </w:r>
          </w:p>
        </w:tc>
      </w:tr>
    </w:tbl>
    <w:p w:rsidR="00F65D85" w:rsidRPr="00CA0680" w:rsidRDefault="00F65D85" w:rsidP="000305D3">
      <w:pPr>
        <w:spacing w:before="120"/>
        <w:rPr>
          <w:b/>
          <w:sz w:val="24"/>
          <w:szCs w:val="24"/>
        </w:rPr>
      </w:pPr>
      <w:r w:rsidRPr="00CA0680">
        <w:rPr>
          <w:b/>
          <w:sz w:val="24"/>
          <w:szCs w:val="24"/>
        </w:rPr>
        <w:t>Comité d</w:t>
      </w:r>
      <w:r w:rsidR="00D45126">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proofErr w:type="gramStart"/>
      <w:r w:rsidRPr="00CA0680">
        <w:rPr>
          <w:b/>
          <w:sz w:val="24"/>
          <w:szCs w:val="24"/>
        </w:rPr>
        <w:t>et</w:t>
      </w:r>
      <w:proofErr w:type="gramEnd"/>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D45126">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F65D85" w:rsidRPr="00CA0680" w:rsidRDefault="00F65D85" w:rsidP="000305D3">
      <w:pPr>
        <w:spacing w:before="120"/>
        <w:rPr>
          <w:b/>
        </w:rPr>
      </w:pPr>
      <w:r w:rsidRPr="00CA0680">
        <w:rPr>
          <w:b/>
        </w:rPr>
        <w:t>Sous</w:t>
      </w:r>
      <w:r>
        <w:rPr>
          <w:b/>
        </w:rPr>
        <w:t>-</w:t>
      </w:r>
      <w:r w:rsidRPr="00CA0680">
        <w:rPr>
          <w:b/>
        </w:rPr>
        <w:t>Comité d</w:t>
      </w:r>
      <w:r w:rsidR="00D45126">
        <w:rPr>
          <w:b/>
        </w:rPr>
        <w:t>’</w:t>
      </w:r>
      <w:r w:rsidRPr="00CA0680">
        <w:rPr>
          <w:b/>
        </w:rPr>
        <w:t>experts du transport des marchandises dangereuses</w:t>
      </w:r>
    </w:p>
    <w:p w:rsidR="00F65D85" w:rsidRDefault="00F65D85" w:rsidP="000305D3">
      <w:pPr>
        <w:spacing w:before="120"/>
        <w:rPr>
          <w:b/>
        </w:rPr>
      </w:pPr>
      <w:r w:rsidRPr="00F65D85">
        <w:rPr>
          <w:b/>
          <w:lang w:val="fr-FR"/>
        </w:rPr>
        <w:t>Cinquante et unième</w:t>
      </w:r>
      <w:r>
        <w:rPr>
          <w:b/>
          <w:lang w:val="fr-FR"/>
        </w:rPr>
        <w:t xml:space="preserve"> </w:t>
      </w:r>
      <w:r w:rsidRPr="00CA0680">
        <w:rPr>
          <w:b/>
        </w:rPr>
        <w:t>session</w:t>
      </w:r>
    </w:p>
    <w:p w:rsidR="00F65D85" w:rsidRDefault="00F65D85" w:rsidP="000305D3">
      <w:r>
        <w:t xml:space="preserve">Genève, </w:t>
      </w:r>
      <w:r w:rsidRPr="00FE4DAE">
        <w:rPr>
          <w:color w:val="333333"/>
          <w:lang w:val="fr-FR" w:eastAsia="it-IT"/>
        </w:rPr>
        <w:t>3</w:t>
      </w:r>
      <w:r>
        <w:rPr>
          <w:color w:val="333333"/>
          <w:lang w:val="fr-FR" w:eastAsia="it-IT"/>
        </w:rPr>
        <w:t>-</w:t>
      </w:r>
      <w:r w:rsidRPr="00FE4DAE">
        <w:rPr>
          <w:color w:val="333333"/>
          <w:lang w:val="fr-FR" w:eastAsia="it-IT"/>
        </w:rPr>
        <w:t>7 juillet 2017</w:t>
      </w:r>
    </w:p>
    <w:p w:rsidR="00F65D85" w:rsidRDefault="00F65D85" w:rsidP="000305D3">
      <w:r>
        <w:t>Point 3 de l</w:t>
      </w:r>
      <w:r w:rsidR="00D45126">
        <w:t>’</w:t>
      </w:r>
      <w:r>
        <w:t>ordre du jour provisoire</w:t>
      </w:r>
    </w:p>
    <w:p w:rsidR="00F65D85" w:rsidRDefault="00F65D85" w:rsidP="00AC3823">
      <w:r w:rsidRPr="00F65D85">
        <w:rPr>
          <w:b/>
          <w:lang w:val="fr-FR"/>
        </w:rPr>
        <w:t>Inscription, classement et emballage</w:t>
      </w:r>
    </w:p>
    <w:p w:rsidR="00F65D85" w:rsidRPr="00F65D85" w:rsidRDefault="00F65D85" w:rsidP="00F65D85">
      <w:pPr>
        <w:pStyle w:val="HChG"/>
      </w:pPr>
      <w:r>
        <w:tab/>
      </w:r>
      <w:r>
        <w:tab/>
      </w:r>
      <w:r w:rsidRPr="00FE4DAE">
        <w:rPr>
          <w:lang w:val="fr-FR"/>
        </w:rPr>
        <w:t>Interprétation</w:t>
      </w:r>
      <w:r>
        <w:rPr>
          <w:lang w:val="fr-FR"/>
        </w:rPr>
        <w:t xml:space="preserve"> de la disposition spéciale 366</w:t>
      </w:r>
    </w:p>
    <w:p w:rsidR="00F65D85" w:rsidRPr="00FE4DAE" w:rsidRDefault="00F65D85" w:rsidP="00F65D85">
      <w:pPr>
        <w:pStyle w:val="H1G"/>
        <w:rPr>
          <w:b w:val="0"/>
          <w:lang w:val="fr-FR"/>
        </w:rPr>
      </w:pPr>
      <w:r w:rsidRPr="00FE4DAE">
        <w:rPr>
          <w:lang w:val="fr-FR"/>
        </w:rPr>
        <w:tab/>
      </w:r>
      <w:r w:rsidRPr="00FE4DAE">
        <w:rPr>
          <w:lang w:val="fr-FR"/>
        </w:rPr>
        <w:tab/>
        <w:t>Communication de l</w:t>
      </w:r>
      <w:r w:rsidR="00D45126">
        <w:rPr>
          <w:lang w:val="fr-FR"/>
        </w:rPr>
        <w:t>’</w:t>
      </w:r>
      <w:r w:rsidRPr="00FE4DAE">
        <w:rPr>
          <w:lang w:val="fr-FR"/>
        </w:rPr>
        <w:t>expert de l</w:t>
      </w:r>
      <w:r w:rsidR="00D45126">
        <w:rPr>
          <w:lang w:val="fr-FR"/>
        </w:rPr>
        <w:t>’</w:t>
      </w:r>
      <w:r w:rsidRPr="00FE4DAE">
        <w:rPr>
          <w:lang w:val="fr-FR"/>
        </w:rPr>
        <w:t>Allemagne</w:t>
      </w:r>
      <w:r w:rsidRPr="00FE4DAE">
        <w:rPr>
          <w:rStyle w:val="FootnoteReference"/>
          <w:b w:val="0"/>
          <w:sz w:val="20"/>
          <w:vertAlign w:val="baseline"/>
          <w:lang w:val="fr-FR"/>
        </w:rPr>
        <w:footnoteReference w:customMarkFollows="1" w:id="2"/>
        <w:t>*</w:t>
      </w:r>
    </w:p>
    <w:p w:rsidR="00446FE5" w:rsidRDefault="00F65D85" w:rsidP="00F65D85">
      <w:pPr>
        <w:pStyle w:val="HChG"/>
        <w:rPr>
          <w:lang w:val="fr-FR"/>
        </w:rPr>
      </w:pPr>
      <w:r w:rsidRPr="00FE4DAE">
        <w:rPr>
          <w:lang w:val="fr-FR"/>
        </w:rPr>
        <w:tab/>
      </w:r>
      <w:r w:rsidRPr="00FE4DAE">
        <w:rPr>
          <w:lang w:val="fr-FR"/>
        </w:rPr>
        <w:tab/>
        <w:t>Introduction</w:t>
      </w:r>
    </w:p>
    <w:p w:rsidR="002C1C1C" w:rsidRPr="002C1C1C" w:rsidRDefault="002C1C1C" w:rsidP="002C1C1C">
      <w:pPr>
        <w:pStyle w:val="SingleTxtG"/>
        <w:numPr>
          <w:ilvl w:val="0"/>
          <w:numId w:val="14"/>
        </w:numPr>
        <w:ind w:left="1134" w:firstLine="0"/>
        <w:rPr>
          <w:lang w:val="fr-FR"/>
        </w:rPr>
      </w:pPr>
      <w:r w:rsidRPr="002C1C1C">
        <w:rPr>
          <w:lang w:val="fr-FR"/>
        </w:rPr>
        <w:t>Conformément à la disposition spéciale 366, les appareils et objets manufacturés contenant au plus 1</w:t>
      </w:r>
      <w:r>
        <w:rPr>
          <w:lang w:val="fr-FR"/>
        </w:rPr>
        <w:t> </w:t>
      </w:r>
      <w:r w:rsidRPr="002C1C1C">
        <w:rPr>
          <w:lang w:val="fr-FR"/>
        </w:rPr>
        <w:t>kg de mercure ne sont pas soumis aux dispositions du Règlement type. Pour le transport aérien, cette exemption s</w:t>
      </w:r>
      <w:r w:rsidR="00D45126">
        <w:rPr>
          <w:lang w:val="fr-FR"/>
        </w:rPr>
        <w:t>’</w:t>
      </w:r>
      <w:r w:rsidRPr="002C1C1C">
        <w:rPr>
          <w:lang w:val="fr-FR"/>
        </w:rPr>
        <w:t>applique aux appareils et objets contenant au plus 15</w:t>
      </w:r>
      <w:r>
        <w:rPr>
          <w:lang w:val="fr-FR"/>
        </w:rPr>
        <w:t> </w:t>
      </w:r>
      <w:r w:rsidRPr="002C1C1C">
        <w:rPr>
          <w:lang w:val="fr-FR"/>
        </w:rPr>
        <w:t>g de mercure. La disposition ne mentionne pas d</w:t>
      </w:r>
      <w:r w:rsidR="00D45126">
        <w:rPr>
          <w:lang w:val="fr-FR"/>
        </w:rPr>
        <w:t>’</w:t>
      </w:r>
      <w:r w:rsidRPr="002C1C1C">
        <w:rPr>
          <w:lang w:val="fr-FR"/>
        </w:rPr>
        <w:t>autres exemptions.</w:t>
      </w:r>
    </w:p>
    <w:p w:rsidR="002C1C1C" w:rsidRPr="002C1C1C" w:rsidRDefault="002C1C1C" w:rsidP="002C1C1C">
      <w:pPr>
        <w:pStyle w:val="SingleTxtG"/>
        <w:numPr>
          <w:ilvl w:val="0"/>
          <w:numId w:val="14"/>
        </w:numPr>
        <w:ind w:left="1134" w:firstLine="0"/>
        <w:rPr>
          <w:lang w:val="fr-FR"/>
        </w:rPr>
      </w:pPr>
      <w:r w:rsidRPr="002C1C1C">
        <w:rPr>
          <w:lang w:val="fr-FR"/>
        </w:rPr>
        <w:t>Le champ d</w:t>
      </w:r>
      <w:r w:rsidR="00D45126">
        <w:rPr>
          <w:lang w:val="fr-FR"/>
        </w:rPr>
        <w:t>’</w:t>
      </w:r>
      <w:r w:rsidRPr="002C1C1C">
        <w:rPr>
          <w:lang w:val="fr-FR"/>
        </w:rPr>
        <w:t xml:space="preserve">application de cette exemption </w:t>
      </w:r>
      <w:r>
        <w:rPr>
          <w:lang w:val="fr-FR"/>
        </w:rPr>
        <w:t>se prête à plusieurs interprétations.</w:t>
      </w:r>
      <w:r w:rsidRPr="002C1C1C">
        <w:rPr>
          <w:lang w:val="fr-FR"/>
        </w:rPr>
        <w:t xml:space="preserve"> L</w:t>
      </w:r>
      <w:r w:rsidR="00D45126">
        <w:rPr>
          <w:lang w:val="fr-FR"/>
        </w:rPr>
        <w:t>’</w:t>
      </w:r>
      <w:r w:rsidRPr="002C1C1C">
        <w:rPr>
          <w:lang w:val="fr-FR"/>
        </w:rPr>
        <w:t>expert de l</w:t>
      </w:r>
      <w:r w:rsidR="00D45126">
        <w:rPr>
          <w:lang w:val="fr-FR"/>
        </w:rPr>
        <w:t>’</w:t>
      </w:r>
      <w:r w:rsidRPr="002C1C1C">
        <w:rPr>
          <w:lang w:val="fr-FR"/>
        </w:rPr>
        <w:t>Allemagne déduit de l</w:t>
      </w:r>
      <w:r w:rsidR="00D45126">
        <w:rPr>
          <w:lang w:val="fr-FR"/>
        </w:rPr>
        <w:t>’</w:t>
      </w:r>
      <w:r w:rsidRPr="002C1C1C">
        <w:rPr>
          <w:lang w:val="fr-FR"/>
        </w:rPr>
        <w:t xml:space="preserve">usage du terme </w:t>
      </w:r>
      <w:r>
        <w:rPr>
          <w:lang w:val="fr-FR"/>
        </w:rPr>
        <w:t>« </w:t>
      </w:r>
      <w:r w:rsidRPr="002C1C1C">
        <w:rPr>
          <w:lang w:val="fr-FR"/>
        </w:rPr>
        <w:t>contenant</w:t>
      </w:r>
      <w:r>
        <w:rPr>
          <w:lang w:val="fr-FR"/>
        </w:rPr>
        <w:t> »</w:t>
      </w:r>
      <w:r w:rsidRPr="002C1C1C">
        <w:rPr>
          <w:lang w:val="fr-FR"/>
        </w:rPr>
        <w:t xml:space="preserve"> que l</w:t>
      </w:r>
      <w:r w:rsidR="00D45126">
        <w:rPr>
          <w:lang w:val="fr-FR"/>
        </w:rPr>
        <w:t>’</w:t>
      </w:r>
      <w:r w:rsidRPr="002C1C1C">
        <w:rPr>
          <w:lang w:val="fr-FR"/>
        </w:rPr>
        <w:t>exemption s</w:t>
      </w:r>
      <w:r w:rsidR="00D45126">
        <w:rPr>
          <w:lang w:val="fr-FR"/>
        </w:rPr>
        <w:t>’</w:t>
      </w:r>
      <w:r w:rsidRPr="002C1C1C">
        <w:rPr>
          <w:lang w:val="fr-FR"/>
        </w:rPr>
        <w:t>applique lorsque le mercure s</w:t>
      </w:r>
      <w:r>
        <w:rPr>
          <w:lang w:val="fr-FR"/>
        </w:rPr>
        <w:t xml:space="preserve">e trouve effectivement </w:t>
      </w:r>
      <w:r w:rsidRPr="002C1C1C">
        <w:rPr>
          <w:lang w:val="fr-FR"/>
        </w:rPr>
        <w:t>dans l</w:t>
      </w:r>
      <w:r w:rsidR="00D45126">
        <w:rPr>
          <w:lang w:val="fr-FR"/>
        </w:rPr>
        <w:t>’</w:t>
      </w:r>
      <w:r w:rsidRPr="002C1C1C">
        <w:rPr>
          <w:lang w:val="fr-FR"/>
        </w:rPr>
        <w:t>appareil et/ou l</w:t>
      </w:r>
      <w:r w:rsidR="00D45126">
        <w:rPr>
          <w:lang w:val="fr-FR"/>
        </w:rPr>
        <w:t>’</w:t>
      </w:r>
      <w:r w:rsidRPr="002C1C1C">
        <w:rPr>
          <w:lang w:val="fr-FR"/>
        </w:rPr>
        <w:t>objet concerné. Toutefois, si l</w:t>
      </w:r>
      <w:r w:rsidR="00D45126">
        <w:rPr>
          <w:lang w:val="fr-FR"/>
        </w:rPr>
        <w:t>’</w:t>
      </w:r>
      <w:r w:rsidRPr="002C1C1C">
        <w:rPr>
          <w:lang w:val="fr-FR"/>
        </w:rPr>
        <w:t>appareil ou l</w:t>
      </w:r>
      <w:r w:rsidR="00D45126">
        <w:rPr>
          <w:lang w:val="fr-FR"/>
        </w:rPr>
        <w:t>’</w:t>
      </w:r>
      <w:r w:rsidRPr="002C1C1C">
        <w:rPr>
          <w:lang w:val="fr-FR"/>
        </w:rPr>
        <w:t>objet est endommagé de sorte que du mercure s</w:t>
      </w:r>
      <w:r w:rsidR="00D45126">
        <w:rPr>
          <w:lang w:val="fr-FR"/>
        </w:rPr>
        <w:t>’</w:t>
      </w:r>
      <w:r w:rsidRPr="002C1C1C">
        <w:rPr>
          <w:lang w:val="fr-FR"/>
        </w:rPr>
        <w:t>en échappe lorsqu</w:t>
      </w:r>
      <w:r w:rsidR="00D45126">
        <w:rPr>
          <w:lang w:val="fr-FR"/>
        </w:rPr>
        <w:t>’</w:t>
      </w:r>
      <w:r w:rsidRPr="002C1C1C">
        <w:rPr>
          <w:lang w:val="fr-FR"/>
        </w:rPr>
        <w:t>il est présenté au transport, ou s</w:t>
      </w:r>
      <w:r w:rsidR="00D45126">
        <w:rPr>
          <w:lang w:val="fr-FR"/>
        </w:rPr>
        <w:t>’</w:t>
      </w:r>
      <w:r w:rsidRPr="002C1C1C">
        <w:rPr>
          <w:lang w:val="fr-FR"/>
        </w:rPr>
        <w:t>il est endommagé pendant le transport de sorte que des substances dangereuses s</w:t>
      </w:r>
      <w:r w:rsidR="00D45126">
        <w:rPr>
          <w:lang w:val="fr-FR"/>
        </w:rPr>
        <w:t>’</w:t>
      </w:r>
      <w:r w:rsidRPr="002C1C1C">
        <w:rPr>
          <w:lang w:val="fr-FR"/>
        </w:rPr>
        <w:t>en échappent</w:t>
      </w:r>
      <w:r w:rsidR="007C506D">
        <w:rPr>
          <w:lang w:val="fr-FR"/>
        </w:rPr>
        <w:t>,</w:t>
      </w:r>
      <w:r w:rsidRPr="002C1C1C">
        <w:rPr>
          <w:lang w:val="fr-FR"/>
        </w:rPr>
        <w:t xml:space="preserve"> l</w:t>
      </w:r>
      <w:r w:rsidR="00D45126">
        <w:rPr>
          <w:lang w:val="fr-FR"/>
        </w:rPr>
        <w:t>’</w:t>
      </w:r>
      <w:r w:rsidRPr="002C1C1C">
        <w:rPr>
          <w:lang w:val="fr-FR"/>
        </w:rPr>
        <w:t>exemption</w:t>
      </w:r>
      <w:r w:rsidR="009E35A1">
        <w:rPr>
          <w:lang w:val="fr-FR"/>
        </w:rPr>
        <w:t xml:space="preserve"> ne s</w:t>
      </w:r>
      <w:r w:rsidR="00D45126">
        <w:rPr>
          <w:lang w:val="fr-FR"/>
        </w:rPr>
        <w:t>’</w:t>
      </w:r>
      <w:r w:rsidR="009E35A1">
        <w:rPr>
          <w:lang w:val="fr-FR"/>
        </w:rPr>
        <w:t>applique pas</w:t>
      </w:r>
      <w:r w:rsidRPr="002C1C1C">
        <w:rPr>
          <w:lang w:val="fr-FR"/>
        </w:rPr>
        <w:t>.</w:t>
      </w:r>
    </w:p>
    <w:p w:rsidR="002C1C1C" w:rsidRPr="002C1C1C" w:rsidRDefault="002C1C1C" w:rsidP="009E35A1">
      <w:pPr>
        <w:pStyle w:val="HChG"/>
        <w:rPr>
          <w:lang w:val="fr-FR"/>
        </w:rPr>
      </w:pPr>
      <w:r w:rsidRPr="002C1C1C">
        <w:rPr>
          <w:lang w:val="fr-FR"/>
        </w:rPr>
        <w:tab/>
      </w:r>
      <w:r w:rsidRPr="002C1C1C">
        <w:rPr>
          <w:lang w:val="fr-FR"/>
        </w:rPr>
        <w:tab/>
        <w:t>Contexte</w:t>
      </w:r>
    </w:p>
    <w:p w:rsidR="002C1C1C" w:rsidRPr="002C1C1C" w:rsidRDefault="002C1C1C" w:rsidP="002C1C1C">
      <w:pPr>
        <w:pStyle w:val="SingleTxtG"/>
        <w:numPr>
          <w:ilvl w:val="0"/>
          <w:numId w:val="14"/>
        </w:numPr>
        <w:ind w:left="1134" w:firstLine="0"/>
        <w:rPr>
          <w:lang w:val="fr-FR"/>
        </w:rPr>
      </w:pPr>
      <w:r w:rsidRPr="002C1C1C">
        <w:rPr>
          <w:lang w:val="fr-FR"/>
        </w:rPr>
        <w:t>On peut déduire de la section 1.1.1.9 du Règlement type que la disposition spéciale</w:t>
      </w:r>
      <w:r w:rsidR="009E35A1">
        <w:rPr>
          <w:lang w:val="fr-FR"/>
        </w:rPr>
        <w:t> </w:t>
      </w:r>
      <w:r w:rsidRPr="002C1C1C">
        <w:rPr>
          <w:lang w:val="fr-FR"/>
        </w:rPr>
        <w:t>366 s</w:t>
      </w:r>
      <w:r w:rsidR="00D45126">
        <w:rPr>
          <w:lang w:val="fr-FR"/>
        </w:rPr>
        <w:t>’</w:t>
      </w:r>
      <w:r w:rsidRPr="002C1C1C">
        <w:rPr>
          <w:lang w:val="fr-FR"/>
        </w:rPr>
        <w:t>applique également au transport de lampes contenant du mercure. Une proposition visant à préciser les conditions de l</w:t>
      </w:r>
      <w:r w:rsidR="00D45126">
        <w:rPr>
          <w:lang w:val="fr-FR"/>
        </w:rPr>
        <w:t>’</w:t>
      </w:r>
      <w:r w:rsidRPr="002C1C1C">
        <w:rPr>
          <w:lang w:val="fr-FR"/>
        </w:rPr>
        <w:t>exemption pour ce type de lampes (ECE/TRANS/WP.15/AC.1/2017/9 et document INF.32) a été examinée à la session de mars de la Réunion commune de la Commission de sécurité du RID et du Groupe de travail des transports de marchandises dangereuses de la CEE. En Allemagne aussi, les lampes fluorescentes usagées contenant du mercure étaient, dans la pratique, souvent transportées non emballées (sur des palettes) ou dans des boîtes aux fins de leur élimination ou de leur recyclage</w:t>
      </w:r>
      <w:r w:rsidR="007C506D">
        <w:rPr>
          <w:lang w:val="fr-FR"/>
        </w:rPr>
        <w:t> </w:t>
      </w:r>
      <w:r w:rsidRPr="002C1C1C">
        <w:rPr>
          <w:lang w:val="fr-FR"/>
        </w:rPr>
        <w:t xml:space="preserve">; au cours de ces opérations de transport, un certain nombre de ces lampes fluorescentes était souvent endommagé, provoquant des fuites de mercure. En outre, </w:t>
      </w:r>
      <w:r w:rsidRPr="002C1C1C">
        <w:rPr>
          <w:lang w:val="fr-FR"/>
        </w:rPr>
        <w:lastRenderedPageBreak/>
        <w:t>les</w:t>
      </w:r>
      <w:r w:rsidR="00D451FD">
        <w:rPr>
          <w:lang w:val="fr-FR"/>
        </w:rPr>
        <w:t> </w:t>
      </w:r>
      <w:r w:rsidRPr="002C1C1C">
        <w:rPr>
          <w:lang w:val="fr-FR"/>
        </w:rPr>
        <w:t>composants de ce type de lampes sont aussi contaminés par des résidus de mercure</w:t>
      </w:r>
      <w:r w:rsidR="009E35A1">
        <w:rPr>
          <w:rStyle w:val="FootnoteReference"/>
        </w:rPr>
        <w:footnoteReference w:id="3"/>
      </w:r>
      <w:r w:rsidRPr="002C1C1C">
        <w:rPr>
          <w:lang w:val="fr-FR"/>
        </w:rPr>
        <w:t>. Pour cette raison, l</w:t>
      </w:r>
      <w:r w:rsidR="00D45126">
        <w:rPr>
          <w:lang w:val="fr-FR"/>
        </w:rPr>
        <w:t>’</w:t>
      </w:r>
      <w:r w:rsidRPr="002C1C1C">
        <w:rPr>
          <w:lang w:val="fr-FR"/>
        </w:rPr>
        <w:t>Allemagne avait supposé que, en application des dispositions juridiques actuelles, seules les lampes n</w:t>
      </w:r>
      <w:r w:rsidR="00D45126">
        <w:rPr>
          <w:lang w:val="fr-FR"/>
        </w:rPr>
        <w:t>’</w:t>
      </w:r>
      <w:r w:rsidRPr="002C1C1C">
        <w:rPr>
          <w:lang w:val="fr-FR"/>
        </w:rPr>
        <w:t xml:space="preserve">ayant pas été endommagées pendant le transport étaient </w:t>
      </w:r>
      <w:r w:rsidRPr="005245AF">
        <w:rPr>
          <w:spacing w:val="-2"/>
          <w:lang w:val="fr-FR"/>
        </w:rPr>
        <w:t>exemptées par la disposition spéciale 366, et que, dans tous les autres cas, la section 1.1.1.9</w:t>
      </w:r>
      <w:r w:rsidR="005245AF">
        <w:rPr>
          <w:spacing w:val="-2"/>
          <w:lang w:val="fr-FR"/>
        </w:rPr>
        <w:t> </w:t>
      </w:r>
      <w:r w:rsidRPr="005245AF">
        <w:rPr>
          <w:spacing w:val="-2"/>
          <w:lang w:val="fr-FR"/>
        </w:rPr>
        <w:t>c)</w:t>
      </w:r>
      <w:r w:rsidRPr="002C1C1C">
        <w:rPr>
          <w:lang w:val="fr-FR"/>
        </w:rPr>
        <w:t xml:space="preserve"> du Règlement type devait être appliquée. Après examen, la Réunion commune est convenue de commencer par soumettre la question de l</w:t>
      </w:r>
      <w:r w:rsidR="00D45126">
        <w:rPr>
          <w:lang w:val="fr-FR"/>
        </w:rPr>
        <w:t>’</w:t>
      </w:r>
      <w:r w:rsidRPr="002C1C1C">
        <w:rPr>
          <w:lang w:val="fr-FR"/>
        </w:rPr>
        <w:t>interprétation de la disposition spéciale 366 au Sous-Comité pour décision (voir le rapport publié sous la cote ECE/TRANS/WP.15/AC.1/146, par</w:t>
      </w:r>
      <w:r w:rsidR="009E35A1">
        <w:rPr>
          <w:lang w:val="fr-FR"/>
        </w:rPr>
        <w:t>. </w:t>
      </w:r>
      <w:r w:rsidRPr="002C1C1C">
        <w:rPr>
          <w:lang w:val="fr-FR"/>
        </w:rPr>
        <w:t>24 à 26).</w:t>
      </w:r>
    </w:p>
    <w:p w:rsidR="002C1C1C" w:rsidRPr="002C1C1C" w:rsidRDefault="002C1C1C" w:rsidP="002C1C1C">
      <w:pPr>
        <w:pStyle w:val="SingleTxtG"/>
        <w:numPr>
          <w:ilvl w:val="0"/>
          <w:numId w:val="14"/>
        </w:numPr>
        <w:ind w:left="1134" w:firstLine="0"/>
        <w:rPr>
          <w:lang w:val="fr-FR"/>
        </w:rPr>
      </w:pPr>
      <w:r w:rsidRPr="002C1C1C">
        <w:rPr>
          <w:lang w:val="fr-FR"/>
        </w:rPr>
        <w:t>Si le Sous-Comité partage l</w:t>
      </w:r>
      <w:r w:rsidR="00D45126">
        <w:rPr>
          <w:lang w:val="fr-FR"/>
        </w:rPr>
        <w:t>’</w:t>
      </w:r>
      <w:r w:rsidRPr="002C1C1C">
        <w:rPr>
          <w:lang w:val="fr-FR"/>
        </w:rPr>
        <w:t>avis que la disposition spéciale 366 n</w:t>
      </w:r>
      <w:r w:rsidR="00D45126">
        <w:rPr>
          <w:lang w:val="fr-FR"/>
        </w:rPr>
        <w:t>’</w:t>
      </w:r>
      <w:r w:rsidRPr="002C1C1C">
        <w:rPr>
          <w:lang w:val="fr-FR"/>
        </w:rPr>
        <w:t>a pas pour intention de permettre la fuite d</w:t>
      </w:r>
      <w:r w:rsidR="00D45126">
        <w:rPr>
          <w:lang w:val="fr-FR"/>
        </w:rPr>
        <w:t>’</w:t>
      </w:r>
      <w:r w:rsidRPr="002C1C1C">
        <w:rPr>
          <w:lang w:val="fr-FR"/>
        </w:rPr>
        <w:t>une quantité de mercure pouvant s</w:t>
      </w:r>
      <w:r w:rsidR="00D45126">
        <w:rPr>
          <w:lang w:val="fr-FR"/>
        </w:rPr>
        <w:t>’</w:t>
      </w:r>
      <w:r w:rsidRPr="002C1C1C">
        <w:rPr>
          <w:lang w:val="fr-FR"/>
        </w:rPr>
        <w:t>élever jusqu</w:t>
      </w:r>
      <w:r w:rsidR="00D45126">
        <w:rPr>
          <w:lang w:val="fr-FR"/>
        </w:rPr>
        <w:t>’</w:t>
      </w:r>
      <w:r w:rsidRPr="002C1C1C">
        <w:rPr>
          <w:lang w:val="fr-FR"/>
        </w:rPr>
        <w:t>à 1</w:t>
      </w:r>
      <w:r w:rsidR="005245AF">
        <w:rPr>
          <w:lang w:val="fr-FR"/>
        </w:rPr>
        <w:t> </w:t>
      </w:r>
      <w:r w:rsidRPr="002C1C1C">
        <w:rPr>
          <w:lang w:val="fr-FR"/>
        </w:rPr>
        <w:t>kg, cette disposition devrait être modifiée. La modification devrait viser à préciser que l</w:t>
      </w:r>
      <w:r w:rsidR="00D45126">
        <w:rPr>
          <w:lang w:val="fr-FR"/>
        </w:rPr>
        <w:t>’</w:t>
      </w:r>
      <w:r w:rsidRPr="002C1C1C">
        <w:rPr>
          <w:lang w:val="fr-FR"/>
        </w:rPr>
        <w:t>exemption ne s</w:t>
      </w:r>
      <w:r w:rsidR="00D45126">
        <w:rPr>
          <w:lang w:val="fr-FR"/>
        </w:rPr>
        <w:t>’</w:t>
      </w:r>
      <w:r w:rsidRPr="002C1C1C">
        <w:rPr>
          <w:lang w:val="fr-FR"/>
        </w:rPr>
        <w:t>applique que si le mercure est contenu de manière permanente dans l</w:t>
      </w:r>
      <w:r w:rsidR="00D45126">
        <w:rPr>
          <w:lang w:val="fr-FR"/>
        </w:rPr>
        <w:t>’</w:t>
      </w:r>
      <w:r w:rsidRPr="002C1C1C">
        <w:rPr>
          <w:lang w:val="fr-FR"/>
        </w:rPr>
        <w:t>appareil ou, si cela ne peut pas être assuré par l</w:t>
      </w:r>
      <w:r w:rsidR="00D45126">
        <w:rPr>
          <w:lang w:val="fr-FR"/>
        </w:rPr>
        <w:t>’</w:t>
      </w:r>
      <w:r w:rsidRPr="002C1C1C">
        <w:rPr>
          <w:lang w:val="fr-FR"/>
        </w:rPr>
        <w:t xml:space="preserve">appareil lui-même, si la fuite de </w:t>
      </w:r>
      <w:r w:rsidR="005245AF">
        <w:rPr>
          <w:lang w:val="fr-FR"/>
        </w:rPr>
        <w:t>matières</w:t>
      </w:r>
      <w:r w:rsidRPr="002C1C1C">
        <w:rPr>
          <w:lang w:val="fr-FR"/>
        </w:rPr>
        <w:t xml:space="preserve"> dangereuses solides ou liquides, y compris l</w:t>
      </w:r>
      <w:r w:rsidR="00D45126">
        <w:rPr>
          <w:lang w:val="fr-FR"/>
        </w:rPr>
        <w:t>’</w:t>
      </w:r>
      <w:r w:rsidRPr="002C1C1C">
        <w:rPr>
          <w:lang w:val="fr-FR"/>
        </w:rPr>
        <w:t>appareil contaminé, est empêchée par un emballage extérieur.</w:t>
      </w:r>
    </w:p>
    <w:p w:rsidR="002C1C1C" w:rsidRPr="002C1C1C" w:rsidRDefault="005245AF" w:rsidP="005245AF">
      <w:pPr>
        <w:pStyle w:val="HChG"/>
        <w:rPr>
          <w:lang w:val="fr-FR"/>
        </w:rPr>
      </w:pPr>
      <w:r>
        <w:rPr>
          <w:lang w:val="fr-FR"/>
        </w:rPr>
        <w:tab/>
      </w:r>
      <w:r>
        <w:rPr>
          <w:lang w:val="fr-FR"/>
        </w:rPr>
        <w:tab/>
        <w:t>Proposition</w:t>
      </w:r>
    </w:p>
    <w:p w:rsidR="002C1C1C" w:rsidRPr="002C1C1C" w:rsidRDefault="002C1C1C" w:rsidP="002C1C1C">
      <w:pPr>
        <w:pStyle w:val="SingleTxtG"/>
        <w:numPr>
          <w:ilvl w:val="0"/>
          <w:numId w:val="14"/>
        </w:numPr>
        <w:ind w:left="1134" w:firstLine="0"/>
        <w:rPr>
          <w:lang w:val="fr-FR"/>
        </w:rPr>
      </w:pPr>
      <w:r w:rsidRPr="002C1C1C">
        <w:rPr>
          <w:lang w:val="fr-FR"/>
        </w:rPr>
        <w:t>Si le Sous-Comité est d</w:t>
      </w:r>
      <w:r w:rsidR="00D45126">
        <w:rPr>
          <w:lang w:val="fr-FR"/>
        </w:rPr>
        <w:t>’</w:t>
      </w:r>
      <w:r w:rsidRPr="002C1C1C">
        <w:rPr>
          <w:lang w:val="fr-FR"/>
        </w:rPr>
        <w:t>accord avec l</w:t>
      </w:r>
      <w:r w:rsidR="00D45126">
        <w:rPr>
          <w:lang w:val="fr-FR"/>
        </w:rPr>
        <w:t>’</w:t>
      </w:r>
      <w:r w:rsidRPr="002C1C1C">
        <w:rPr>
          <w:lang w:val="fr-FR"/>
        </w:rPr>
        <w:t>argument avancé au paragraphe</w:t>
      </w:r>
      <w:r w:rsidR="005245AF">
        <w:rPr>
          <w:lang w:val="fr-FR"/>
        </w:rPr>
        <w:t> </w:t>
      </w:r>
      <w:r w:rsidRPr="002C1C1C">
        <w:rPr>
          <w:lang w:val="fr-FR"/>
        </w:rPr>
        <w:t>4, un libellé concernant les emballages extérieurs analogue à celui du 1.1.1.9</w:t>
      </w:r>
      <w:r w:rsidR="005245AF">
        <w:rPr>
          <w:lang w:val="fr-FR"/>
        </w:rPr>
        <w:t> </w:t>
      </w:r>
      <w:r w:rsidRPr="002C1C1C">
        <w:rPr>
          <w:lang w:val="fr-FR"/>
        </w:rPr>
        <w:t>c) devrait être ajouté à la disposition spéciale 366</w:t>
      </w:r>
      <w:r w:rsidR="005245AF">
        <w:rPr>
          <w:lang w:val="fr-FR"/>
        </w:rPr>
        <w:t> </w:t>
      </w:r>
      <w:r w:rsidRPr="002C1C1C">
        <w:rPr>
          <w:lang w:val="fr-FR"/>
        </w:rPr>
        <w:t>:</w:t>
      </w:r>
    </w:p>
    <w:p w:rsidR="002C1C1C" w:rsidRDefault="005245AF" w:rsidP="00EE4453">
      <w:pPr>
        <w:pStyle w:val="SingleTxtG"/>
        <w:tabs>
          <w:tab w:val="left" w:pos="2410"/>
        </w:tabs>
        <w:ind w:left="1701"/>
        <w:rPr>
          <w:lang w:val="fr-FR"/>
        </w:rPr>
      </w:pPr>
      <w:r>
        <w:rPr>
          <w:lang w:val="fr-FR"/>
        </w:rPr>
        <w:t>« </w:t>
      </w:r>
      <w:r w:rsidR="002C1C1C" w:rsidRPr="002C1C1C">
        <w:rPr>
          <w:lang w:val="fr-FR"/>
        </w:rPr>
        <w:t>366</w:t>
      </w:r>
      <w:r>
        <w:rPr>
          <w:lang w:val="fr-FR"/>
        </w:rPr>
        <w:tab/>
      </w:r>
      <w:r w:rsidR="002C1C1C" w:rsidRPr="002C1C1C">
        <w:rPr>
          <w:lang w:val="fr-FR"/>
        </w:rPr>
        <w:t>Pour le transport terrestre et maritime, les appareils et objets manufacturés contenant au plus 1 kg de mercure ne sont pas soumis au présent Règlement. Pour le transport aérien, les objets contenant au plus 15</w:t>
      </w:r>
      <w:r>
        <w:rPr>
          <w:lang w:val="fr-FR"/>
        </w:rPr>
        <w:t> </w:t>
      </w:r>
      <w:r w:rsidR="002C1C1C" w:rsidRPr="002C1C1C">
        <w:rPr>
          <w:lang w:val="fr-FR"/>
        </w:rPr>
        <w:t xml:space="preserve">g de mercure ne sont pas soumis au présent Règlement. </w:t>
      </w:r>
      <w:r w:rsidR="002C1C1C" w:rsidRPr="002C1C1C">
        <w:rPr>
          <w:u w:val="single"/>
          <w:lang w:val="fr-FR"/>
        </w:rPr>
        <w:t xml:space="preserve">Les appareils et les objets manufacturés endommagés ou défectueux doivent être emballés dans des emballages extérieurs suffisamment résistants pour éviter </w:t>
      </w:r>
      <w:r w:rsidR="001B28DE">
        <w:rPr>
          <w:u w:val="single"/>
          <w:lang w:val="fr-FR"/>
        </w:rPr>
        <w:t>toute</w:t>
      </w:r>
      <w:r w:rsidR="002C1C1C" w:rsidRPr="002C1C1C">
        <w:rPr>
          <w:u w:val="single"/>
          <w:lang w:val="fr-FR"/>
        </w:rPr>
        <w:t xml:space="preserve"> fuite du contenu dans les conditions normales de transport.</w:t>
      </w:r>
      <w:r>
        <w:rPr>
          <w:u w:val="single"/>
          <w:lang w:val="fr-FR"/>
        </w:rPr>
        <w:t> </w:t>
      </w:r>
      <w:r w:rsidRPr="006A42B2">
        <w:rPr>
          <w:lang w:val="fr-FR"/>
        </w:rPr>
        <w:t>».</w:t>
      </w:r>
    </w:p>
    <w:p w:rsidR="00EE4453" w:rsidRPr="00EE4453" w:rsidRDefault="00EE4453" w:rsidP="00EE4453">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EE4453" w:rsidRPr="00EE4453" w:rsidSect="00F65D8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821" w:rsidRDefault="00066821" w:rsidP="00F95C08">
      <w:pPr>
        <w:spacing w:line="240" w:lineRule="auto"/>
      </w:pPr>
    </w:p>
  </w:endnote>
  <w:endnote w:type="continuationSeparator" w:id="0">
    <w:p w:rsidR="00066821" w:rsidRPr="00AC3823" w:rsidRDefault="00066821" w:rsidP="00AC3823">
      <w:pPr>
        <w:pStyle w:val="Footer"/>
      </w:pPr>
    </w:p>
  </w:endnote>
  <w:endnote w:type="continuationNotice" w:id="1">
    <w:p w:rsidR="00066821" w:rsidRDefault="000668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85" w:rsidRPr="00F65D85" w:rsidRDefault="00F65D85" w:rsidP="00F65D85">
    <w:pPr>
      <w:pStyle w:val="Footer"/>
      <w:tabs>
        <w:tab w:val="right" w:pos="9638"/>
      </w:tabs>
    </w:pPr>
    <w:r w:rsidRPr="00F65D85">
      <w:rPr>
        <w:b/>
        <w:sz w:val="18"/>
      </w:rPr>
      <w:fldChar w:fldCharType="begin"/>
    </w:r>
    <w:r w:rsidRPr="00F65D85">
      <w:rPr>
        <w:b/>
        <w:sz w:val="18"/>
      </w:rPr>
      <w:instrText xml:space="preserve"> PAGE  \* MERGEFORMAT </w:instrText>
    </w:r>
    <w:r w:rsidRPr="00F65D85">
      <w:rPr>
        <w:b/>
        <w:sz w:val="18"/>
      </w:rPr>
      <w:fldChar w:fldCharType="separate"/>
    </w:r>
    <w:r w:rsidR="009C3374">
      <w:rPr>
        <w:b/>
        <w:noProof/>
        <w:sz w:val="18"/>
      </w:rPr>
      <w:t>2</w:t>
    </w:r>
    <w:r w:rsidRPr="00F65D85">
      <w:rPr>
        <w:b/>
        <w:sz w:val="18"/>
      </w:rPr>
      <w:fldChar w:fldCharType="end"/>
    </w:r>
    <w:r>
      <w:rPr>
        <w:b/>
        <w:sz w:val="18"/>
      </w:rPr>
      <w:tab/>
    </w:r>
    <w:r>
      <w:t>GE.17-05104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85" w:rsidRPr="00F65D85" w:rsidRDefault="00F65D85" w:rsidP="00F65D85">
    <w:pPr>
      <w:pStyle w:val="Footer"/>
      <w:tabs>
        <w:tab w:val="right" w:pos="9638"/>
      </w:tabs>
      <w:rPr>
        <w:b/>
        <w:sz w:val="18"/>
      </w:rPr>
    </w:pPr>
    <w:r>
      <w:t>GE.17-05104</w:t>
    </w:r>
    <w:r>
      <w:tab/>
    </w:r>
    <w:r w:rsidRPr="00F65D85">
      <w:rPr>
        <w:b/>
        <w:sz w:val="18"/>
      </w:rPr>
      <w:fldChar w:fldCharType="begin"/>
    </w:r>
    <w:r w:rsidRPr="00F65D85">
      <w:rPr>
        <w:b/>
        <w:sz w:val="18"/>
      </w:rPr>
      <w:instrText xml:space="preserve"> PAGE  \* MERGEFORMAT </w:instrText>
    </w:r>
    <w:r w:rsidRPr="00F65D85">
      <w:rPr>
        <w:b/>
        <w:sz w:val="18"/>
      </w:rPr>
      <w:fldChar w:fldCharType="separate"/>
    </w:r>
    <w:r w:rsidR="002C1C1C">
      <w:rPr>
        <w:b/>
        <w:noProof/>
        <w:sz w:val="18"/>
      </w:rPr>
      <w:t>3</w:t>
    </w:r>
    <w:r w:rsidRPr="00F65D8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F65D85" w:rsidRDefault="00F65D85" w:rsidP="00F65D85">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1DC30181" wp14:editId="5D1D8256">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17-05104  (F)    030517    080517</w:t>
    </w:r>
    <w:r>
      <w:rPr>
        <w:sz w:val="20"/>
      </w:rPr>
      <w:br/>
    </w:r>
    <w:r w:rsidRPr="00F65D85">
      <w:rPr>
        <w:rFonts w:ascii="C39T30Lfz" w:hAnsi="C39T30Lfz"/>
        <w:sz w:val="56"/>
      </w:rPr>
      <w:t></w:t>
    </w:r>
    <w:r w:rsidRPr="00F65D85">
      <w:rPr>
        <w:rFonts w:ascii="C39T30Lfz" w:hAnsi="C39T30Lfz"/>
        <w:sz w:val="56"/>
      </w:rPr>
      <w:t></w:t>
    </w:r>
    <w:r w:rsidRPr="00F65D85">
      <w:rPr>
        <w:rFonts w:ascii="C39T30Lfz" w:hAnsi="C39T30Lfz"/>
        <w:sz w:val="56"/>
      </w:rPr>
      <w:t></w:t>
    </w:r>
    <w:r w:rsidRPr="00F65D85">
      <w:rPr>
        <w:rFonts w:ascii="C39T30Lfz" w:hAnsi="C39T30Lfz"/>
        <w:sz w:val="56"/>
      </w:rPr>
      <w:t></w:t>
    </w:r>
    <w:r w:rsidRPr="00F65D85">
      <w:rPr>
        <w:rFonts w:ascii="C39T30Lfz" w:hAnsi="C39T30Lfz"/>
        <w:sz w:val="56"/>
      </w:rPr>
      <w:t></w:t>
    </w:r>
    <w:r w:rsidRPr="00F65D85">
      <w:rPr>
        <w:rFonts w:ascii="C39T30Lfz" w:hAnsi="C39T30Lfz"/>
        <w:sz w:val="56"/>
      </w:rPr>
      <w:t></w:t>
    </w:r>
    <w:r w:rsidRPr="00F65D85">
      <w:rPr>
        <w:rFonts w:ascii="C39T30Lfz" w:hAnsi="C39T30Lfz"/>
        <w:sz w:val="56"/>
      </w:rPr>
      <w:t></w:t>
    </w:r>
    <w:r w:rsidRPr="00F65D85">
      <w:rPr>
        <w:rFonts w:ascii="C39T30Lfz" w:hAnsi="C39T30Lfz"/>
        <w:sz w:val="56"/>
      </w:rPr>
      <w:t></w:t>
    </w:r>
    <w:r w:rsidRPr="00F65D85">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501DFA3A" wp14:editId="29156CDF">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7/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7/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821" w:rsidRPr="00AC3823" w:rsidRDefault="00066821" w:rsidP="00AC3823">
      <w:pPr>
        <w:pStyle w:val="Footer"/>
        <w:tabs>
          <w:tab w:val="right" w:pos="2155"/>
        </w:tabs>
        <w:spacing w:after="80" w:line="240" w:lineRule="atLeast"/>
        <w:ind w:left="680"/>
        <w:rPr>
          <w:u w:val="single"/>
        </w:rPr>
      </w:pPr>
      <w:r>
        <w:rPr>
          <w:u w:val="single"/>
        </w:rPr>
        <w:tab/>
      </w:r>
    </w:p>
  </w:footnote>
  <w:footnote w:type="continuationSeparator" w:id="0">
    <w:p w:rsidR="00066821" w:rsidRPr="00AC3823" w:rsidRDefault="00066821" w:rsidP="00AC3823">
      <w:pPr>
        <w:pStyle w:val="Footer"/>
        <w:tabs>
          <w:tab w:val="right" w:pos="2155"/>
        </w:tabs>
        <w:spacing w:after="80" w:line="240" w:lineRule="atLeast"/>
        <w:ind w:left="680"/>
        <w:rPr>
          <w:u w:val="single"/>
        </w:rPr>
      </w:pPr>
      <w:r>
        <w:rPr>
          <w:u w:val="single"/>
        </w:rPr>
        <w:tab/>
      </w:r>
    </w:p>
  </w:footnote>
  <w:footnote w:type="continuationNotice" w:id="1">
    <w:p w:rsidR="00066821" w:rsidRPr="00AC3823" w:rsidRDefault="00066821">
      <w:pPr>
        <w:spacing w:line="240" w:lineRule="auto"/>
        <w:rPr>
          <w:sz w:val="2"/>
          <w:szCs w:val="2"/>
        </w:rPr>
      </w:pPr>
    </w:p>
  </w:footnote>
  <w:footnote w:id="2">
    <w:p w:rsidR="00F65D85" w:rsidRPr="00787BA2" w:rsidRDefault="00F65D85" w:rsidP="009E35A1">
      <w:pPr>
        <w:pStyle w:val="FootnoteText"/>
      </w:pPr>
      <w:r>
        <w:rPr>
          <w:rStyle w:val="FootnoteReference"/>
        </w:rPr>
        <w:tab/>
      </w:r>
      <w:r w:rsidRPr="004862FF">
        <w:rPr>
          <w:rStyle w:val="FootnoteReference"/>
          <w:sz w:val="20"/>
          <w:vertAlign w:val="baseline"/>
        </w:rPr>
        <w:t>*</w:t>
      </w:r>
      <w:r>
        <w:rPr>
          <w:rStyle w:val="FootnoteReference"/>
          <w:sz w:val="20"/>
          <w:vertAlign w:val="baseline"/>
        </w:rPr>
        <w:tab/>
      </w:r>
      <w:r w:rsidRPr="00F65D85">
        <w:t>Conformément au programme de travail du Sous</w:t>
      </w:r>
      <w:r w:rsidRPr="00F65D85">
        <w:noBreakHyphen/>
        <w:t>Comité pour la période 201</w:t>
      </w:r>
      <w:r w:rsidR="009E35A1">
        <w:t>7-</w:t>
      </w:r>
      <w:r w:rsidRPr="00F65D85">
        <w:t>201</w:t>
      </w:r>
      <w:r w:rsidR="009E35A1">
        <w:t>8</w:t>
      </w:r>
      <w:r w:rsidRPr="00F65D85">
        <w:t xml:space="preserve"> tel qu’approuvé par le Comité à sa huitième session (voir ST/SG/AC.10/C.3/100, par. 98 et ST/SG/AC.10/44, par. 14).</w:t>
      </w:r>
    </w:p>
  </w:footnote>
  <w:footnote w:id="3">
    <w:p w:rsidR="009E35A1" w:rsidRPr="004B569E" w:rsidRDefault="009E35A1" w:rsidP="009E35A1">
      <w:pPr>
        <w:pStyle w:val="FootnoteText"/>
        <w:rPr>
          <w:lang w:val="de-DE"/>
        </w:rPr>
      </w:pPr>
      <w:r>
        <w:tab/>
      </w:r>
      <w:r>
        <w:rPr>
          <w:rStyle w:val="FootnoteReference"/>
        </w:rPr>
        <w:footnoteRef/>
      </w:r>
      <w:r>
        <w:tab/>
        <w:t xml:space="preserve">Cf. </w:t>
      </w:r>
      <w:r w:rsidRPr="004B569E">
        <w:rPr>
          <w:lang w:val="de-DE"/>
        </w:rPr>
        <w:t>HUG, E.</w:t>
      </w:r>
      <w:r w:rsidR="00EE4453">
        <w:rPr>
          <w:lang w:val="de-DE"/>
        </w:rPr>
        <w:t> </w:t>
      </w:r>
      <w:r w:rsidRPr="004B569E">
        <w:rPr>
          <w:lang w:val="de-DE"/>
        </w:rPr>
        <w:t>; RENNER, N. (2010)</w:t>
      </w:r>
      <w:r w:rsidR="00EE4453">
        <w:rPr>
          <w:lang w:val="de-DE"/>
        </w:rPr>
        <w:t> </w:t>
      </w:r>
      <w:r w:rsidRPr="004B569E">
        <w:rPr>
          <w:lang w:val="de-DE"/>
        </w:rPr>
        <w:t>: Erhebung von Quecksilberkonzentrationen in Fraktionen der Leuchtmittelverarbeitung unter Berücksichtigung von Aspekten zur Probenahme und Analytik. Technische Kontrollstelle SENS. Zurich.</w:t>
      </w:r>
    </w:p>
    <w:p w:rsidR="009E35A1" w:rsidRDefault="009E35A1" w:rsidP="00EE4453">
      <w:pPr>
        <w:pStyle w:val="FootnoteText"/>
        <w:ind w:firstLine="0"/>
      </w:pPr>
      <w:r w:rsidRPr="004B569E">
        <w:rPr>
          <w:lang w:val="de-DE"/>
        </w:rPr>
        <w:t>TESAR</w:t>
      </w:r>
      <w:r w:rsidR="00EE4453">
        <w:rPr>
          <w:lang w:val="de-DE"/>
        </w:rPr>
        <w:t> </w:t>
      </w:r>
      <w:r w:rsidRPr="004B569E">
        <w:rPr>
          <w:lang w:val="de-DE"/>
        </w:rPr>
        <w:t>; DENNER (2014)</w:t>
      </w:r>
      <w:r w:rsidR="00B67455">
        <w:rPr>
          <w:lang w:val="de-DE"/>
        </w:rPr>
        <w:t> </w:t>
      </w:r>
      <w:r w:rsidRPr="004B569E">
        <w:rPr>
          <w:lang w:val="de-DE"/>
        </w:rPr>
        <w:t>: Lampenbehandlung</w:t>
      </w:r>
      <w:r w:rsidR="00B67455">
        <w:rPr>
          <w:lang w:val="de-DE"/>
        </w:rPr>
        <w:t> </w:t>
      </w:r>
      <w:r w:rsidRPr="004B569E">
        <w:rPr>
          <w:lang w:val="de-DE"/>
        </w:rPr>
        <w:t>: Ist-Stand in Österreich mit besonderer Berücksichtigung der Anforderungen der Abfallbehandlungspflichtenverordnung, Zusammenfassung; UBA Vienna</w:t>
      </w:r>
      <w:r>
        <w:rPr>
          <w:lang w:val="de-D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85" w:rsidRPr="00F65D85" w:rsidRDefault="009C3374">
    <w:pPr>
      <w:pStyle w:val="Header"/>
    </w:pPr>
    <w:r>
      <w:fldChar w:fldCharType="begin"/>
    </w:r>
    <w:r>
      <w:instrText xml:space="preserve"> TITLE  \* MERGEFORMAT </w:instrText>
    </w:r>
    <w:r>
      <w:fldChar w:fldCharType="separate"/>
    </w:r>
    <w:r>
      <w:t>ST/SG/AC.10/C.3/2017/10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D85" w:rsidRPr="00F65D85" w:rsidRDefault="009C3374" w:rsidP="00F65D85">
    <w:pPr>
      <w:pStyle w:val="Header"/>
      <w:jc w:val="right"/>
    </w:pPr>
    <w:r>
      <w:fldChar w:fldCharType="begin"/>
    </w:r>
    <w:r>
      <w:instrText xml:space="preserve"> TITLE  \* MERGEFORMAT </w:instrText>
    </w:r>
    <w:r>
      <w:fldChar w:fldCharType="separate"/>
    </w:r>
    <w:r>
      <w:t>ST/SG/AC.10/C.3/2017/10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6460F9C"/>
    <w:multiLevelType w:val="hybridMultilevel"/>
    <w:tmpl w:val="084EE312"/>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821"/>
    <w:rsid w:val="00017F94"/>
    <w:rsid w:val="00023842"/>
    <w:rsid w:val="000305D3"/>
    <w:rsid w:val="000334F9"/>
    <w:rsid w:val="00066821"/>
    <w:rsid w:val="0007796D"/>
    <w:rsid w:val="000B7790"/>
    <w:rsid w:val="00111F2F"/>
    <w:rsid w:val="00132EA9"/>
    <w:rsid w:val="0014365E"/>
    <w:rsid w:val="00163462"/>
    <w:rsid w:val="00176178"/>
    <w:rsid w:val="001B28DE"/>
    <w:rsid w:val="001F525A"/>
    <w:rsid w:val="00223272"/>
    <w:rsid w:val="0024779E"/>
    <w:rsid w:val="00283190"/>
    <w:rsid w:val="002832AC"/>
    <w:rsid w:val="002C1C1C"/>
    <w:rsid w:val="002D7C93"/>
    <w:rsid w:val="00441C3B"/>
    <w:rsid w:val="00446FE5"/>
    <w:rsid w:val="00452396"/>
    <w:rsid w:val="004E0E34"/>
    <w:rsid w:val="004E468C"/>
    <w:rsid w:val="005245AF"/>
    <w:rsid w:val="005505B7"/>
    <w:rsid w:val="00573BE5"/>
    <w:rsid w:val="00586ED3"/>
    <w:rsid w:val="00596AA9"/>
    <w:rsid w:val="0068456F"/>
    <w:rsid w:val="006A42B2"/>
    <w:rsid w:val="0071601D"/>
    <w:rsid w:val="007A46DC"/>
    <w:rsid w:val="007A62E6"/>
    <w:rsid w:val="007C506D"/>
    <w:rsid w:val="0080684C"/>
    <w:rsid w:val="00871C75"/>
    <w:rsid w:val="008776DC"/>
    <w:rsid w:val="008B40CD"/>
    <w:rsid w:val="009705C8"/>
    <w:rsid w:val="009C1CF4"/>
    <w:rsid w:val="009C3374"/>
    <w:rsid w:val="009E35A1"/>
    <w:rsid w:val="00A30353"/>
    <w:rsid w:val="00AC3823"/>
    <w:rsid w:val="00AE323C"/>
    <w:rsid w:val="00B00181"/>
    <w:rsid w:val="00B00B0D"/>
    <w:rsid w:val="00B67455"/>
    <w:rsid w:val="00B765F7"/>
    <w:rsid w:val="00BA0CA9"/>
    <w:rsid w:val="00C02897"/>
    <w:rsid w:val="00D14EA5"/>
    <w:rsid w:val="00D3439C"/>
    <w:rsid w:val="00D45126"/>
    <w:rsid w:val="00D451FD"/>
    <w:rsid w:val="00DB1831"/>
    <w:rsid w:val="00DD3BFD"/>
    <w:rsid w:val="00DF6678"/>
    <w:rsid w:val="00DF6E8B"/>
    <w:rsid w:val="00EE4453"/>
    <w:rsid w:val="00EF2E22"/>
    <w:rsid w:val="00F01738"/>
    <w:rsid w:val="00F65D85"/>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F65D85"/>
    <w:rPr>
      <w:rFonts w:ascii="Times New Roman" w:hAnsi="Times New Roman" w:cs="Times New Roman"/>
      <w:b/>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F65D85"/>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3540</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ST/SG/AC.10/C.3/2017/10</vt:lpstr>
      <vt:lpstr>ST/SG/AC.10/C.3/2017/10</vt:lpstr>
    </vt:vector>
  </TitlesOfParts>
  <Company>DCM</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ST/SG/AC.10/C.3/2017/10</dc:title>
  <dc:creator>Robert Corinne</dc:creator>
  <cp:lastModifiedBy>Laurence Berthet</cp:lastModifiedBy>
  <cp:revision>3</cp:revision>
  <cp:lastPrinted>2017-05-09T13:33:00Z</cp:lastPrinted>
  <dcterms:created xsi:type="dcterms:W3CDTF">2017-05-09T13:33:00Z</dcterms:created>
  <dcterms:modified xsi:type="dcterms:W3CDTF">2017-05-09T13:34:00Z</dcterms:modified>
</cp:coreProperties>
</file>