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9B614C" w14:paraId="116970C7" w14:textId="77777777" w:rsidTr="0034591A">
        <w:trPr>
          <w:trHeight w:hRule="exact" w:val="851"/>
        </w:trPr>
        <w:tc>
          <w:tcPr>
            <w:tcW w:w="1276" w:type="dxa"/>
            <w:tcBorders>
              <w:bottom w:val="single" w:sz="4" w:space="0" w:color="auto"/>
            </w:tcBorders>
          </w:tcPr>
          <w:p w14:paraId="3F993477" w14:textId="77777777" w:rsidR="00482AF2" w:rsidRPr="009B614C" w:rsidRDefault="00482AF2" w:rsidP="00866D64">
            <w:pPr>
              <w:rPr>
                <w:lang w:val="fr-FR"/>
              </w:rPr>
            </w:pPr>
          </w:p>
        </w:tc>
        <w:tc>
          <w:tcPr>
            <w:tcW w:w="2268" w:type="dxa"/>
            <w:tcBorders>
              <w:bottom w:val="single" w:sz="4" w:space="0" w:color="auto"/>
            </w:tcBorders>
            <w:vAlign w:val="bottom"/>
          </w:tcPr>
          <w:p w14:paraId="737E87AD" w14:textId="77777777" w:rsidR="00482AF2" w:rsidRPr="009B614C" w:rsidRDefault="00482AF2" w:rsidP="00866D64">
            <w:pPr>
              <w:spacing w:after="80" w:line="300" w:lineRule="exact"/>
              <w:rPr>
                <w:sz w:val="28"/>
                <w:lang w:val="fr-FR"/>
              </w:rPr>
            </w:pPr>
            <w:r w:rsidRPr="009B614C">
              <w:rPr>
                <w:sz w:val="28"/>
                <w:lang w:val="fr-FR"/>
              </w:rPr>
              <w:t>Nations Unies</w:t>
            </w:r>
          </w:p>
        </w:tc>
        <w:tc>
          <w:tcPr>
            <w:tcW w:w="6095" w:type="dxa"/>
            <w:gridSpan w:val="2"/>
            <w:tcBorders>
              <w:bottom w:val="single" w:sz="4" w:space="0" w:color="auto"/>
            </w:tcBorders>
            <w:vAlign w:val="bottom"/>
          </w:tcPr>
          <w:p w14:paraId="5827FEDE" w14:textId="77777777" w:rsidR="00482AF2" w:rsidRPr="009B614C" w:rsidRDefault="00FF35B7" w:rsidP="00FF35B7">
            <w:pPr>
              <w:jc w:val="right"/>
              <w:rPr>
                <w:lang w:val="fr-FR"/>
              </w:rPr>
            </w:pPr>
            <w:r w:rsidRPr="00FF35B7">
              <w:rPr>
                <w:sz w:val="40"/>
                <w:lang w:val="fr-FR"/>
              </w:rPr>
              <w:t>ST</w:t>
            </w:r>
            <w:r w:rsidR="004858C0">
              <w:rPr>
                <w:lang w:val="fr-FR"/>
              </w:rPr>
              <w:t>/SG/AC.10</w:t>
            </w:r>
            <w:r>
              <w:rPr>
                <w:lang w:val="fr-FR"/>
              </w:rPr>
              <w:t>/44/Add.1</w:t>
            </w:r>
          </w:p>
        </w:tc>
      </w:tr>
      <w:tr w:rsidR="00482AF2" w:rsidRPr="009B614C" w14:paraId="2722C60D" w14:textId="77777777" w:rsidTr="00866D64">
        <w:trPr>
          <w:trHeight w:hRule="exact" w:val="2835"/>
        </w:trPr>
        <w:tc>
          <w:tcPr>
            <w:tcW w:w="1276" w:type="dxa"/>
            <w:tcBorders>
              <w:top w:val="single" w:sz="4" w:space="0" w:color="auto"/>
              <w:bottom w:val="single" w:sz="12" w:space="0" w:color="auto"/>
            </w:tcBorders>
          </w:tcPr>
          <w:p w14:paraId="15184BE0" w14:textId="77777777" w:rsidR="00482AF2" w:rsidRPr="009B614C" w:rsidRDefault="009B614C" w:rsidP="00866D64">
            <w:pPr>
              <w:spacing w:before="120"/>
              <w:jc w:val="center"/>
              <w:rPr>
                <w:lang w:val="fr-FR"/>
              </w:rPr>
            </w:pPr>
            <w:r>
              <w:rPr>
                <w:noProof/>
                <w:lang w:val="en-GB" w:eastAsia="en-GB"/>
              </w:rPr>
              <w:drawing>
                <wp:inline distT="0" distB="0" distL="0" distR="0" wp14:anchorId="419A7A52" wp14:editId="5E537986">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239216" w14:textId="59BA7370" w:rsidR="00482AF2" w:rsidRPr="009B614C" w:rsidRDefault="00482AF2" w:rsidP="00866D64">
            <w:pPr>
              <w:spacing w:before="120" w:line="420" w:lineRule="exact"/>
              <w:rPr>
                <w:b/>
                <w:sz w:val="40"/>
                <w:szCs w:val="40"/>
                <w:lang w:val="fr-FR"/>
              </w:rPr>
            </w:pPr>
            <w:r w:rsidRPr="009B614C">
              <w:rPr>
                <w:b/>
                <w:sz w:val="40"/>
                <w:szCs w:val="40"/>
                <w:lang w:val="fr-FR"/>
              </w:rPr>
              <w:t>Secrétariat</w:t>
            </w:r>
          </w:p>
        </w:tc>
        <w:tc>
          <w:tcPr>
            <w:tcW w:w="2835" w:type="dxa"/>
            <w:tcBorders>
              <w:top w:val="single" w:sz="4" w:space="0" w:color="auto"/>
              <w:bottom w:val="single" w:sz="12" w:space="0" w:color="auto"/>
            </w:tcBorders>
          </w:tcPr>
          <w:p w14:paraId="4FA83B4B" w14:textId="77777777" w:rsidR="00482AF2" w:rsidRDefault="00FF35B7" w:rsidP="00FF35B7">
            <w:pPr>
              <w:spacing w:before="240" w:line="240" w:lineRule="exact"/>
              <w:rPr>
                <w:lang w:val="fr-FR"/>
              </w:rPr>
            </w:pPr>
            <w:proofErr w:type="spellStart"/>
            <w:r>
              <w:rPr>
                <w:lang w:val="fr-FR"/>
              </w:rPr>
              <w:t>Distr</w:t>
            </w:r>
            <w:proofErr w:type="spellEnd"/>
            <w:r>
              <w:rPr>
                <w:lang w:val="fr-FR"/>
              </w:rPr>
              <w:t>. Générale</w:t>
            </w:r>
          </w:p>
          <w:p w14:paraId="03F79C45" w14:textId="22A8B834" w:rsidR="00FF35B7" w:rsidRDefault="00DF2BC7" w:rsidP="00FF35B7">
            <w:pPr>
              <w:spacing w:line="240" w:lineRule="exact"/>
              <w:rPr>
                <w:lang w:val="fr-FR"/>
              </w:rPr>
            </w:pPr>
            <w:r>
              <w:rPr>
                <w:lang w:val="fr-FR"/>
              </w:rPr>
              <w:t>1</w:t>
            </w:r>
            <w:r w:rsidR="00410B90">
              <w:rPr>
                <w:lang w:val="fr-FR"/>
              </w:rPr>
              <w:t>6</w:t>
            </w:r>
            <w:r w:rsidR="00D21E76">
              <w:rPr>
                <w:lang w:val="fr-FR"/>
              </w:rPr>
              <w:t xml:space="preserve"> f</w:t>
            </w:r>
            <w:r w:rsidR="005064DA">
              <w:rPr>
                <w:lang w:val="fr-FR"/>
              </w:rPr>
              <w:t>évrier</w:t>
            </w:r>
            <w:r w:rsidR="00FF35B7">
              <w:rPr>
                <w:lang w:val="fr-FR"/>
              </w:rPr>
              <w:t xml:space="preserve"> 2017</w:t>
            </w:r>
          </w:p>
          <w:p w14:paraId="4D32A562" w14:textId="77777777" w:rsidR="00FF35B7" w:rsidRDefault="00500D1F" w:rsidP="00FF35B7">
            <w:pPr>
              <w:spacing w:line="240" w:lineRule="exact"/>
              <w:rPr>
                <w:lang w:val="fr-FR"/>
              </w:rPr>
            </w:pPr>
            <w:r>
              <w:rPr>
                <w:lang w:val="fr-FR"/>
              </w:rPr>
              <w:t>Français</w:t>
            </w:r>
          </w:p>
          <w:p w14:paraId="2AFF81C9" w14:textId="0F38B69B" w:rsidR="00FF35B7" w:rsidRPr="009B614C" w:rsidRDefault="00FF35B7" w:rsidP="005064DA">
            <w:pPr>
              <w:spacing w:line="240" w:lineRule="exact"/>
              <w:rPr>
                <w:lang w:val="fr-FR"/>
              </w:rPr>
            </w:pPr>
            <w:r>
              <w:rPr>
                <w:lang w:val="fr-FR"/>
              </w:rPr>
              <w:t xml:space="preserve">Original: </w:t>
            </w:r>
            <w:r w:rsidR="005064DA">
              <w:rPr>
                <w:lang w:val="fr-FR"/>
              </w:rPr>
              <w:t>anglais et français</w:t>
            </w:r>
          </w:p>
        </w:tc>
      </w:tr>
    </w:tbl>
    <w:p w14:paraId="7C14A5E1" w14:textId="77777777" w:rsidR="0034591A" w:rsidRPr="009B614C" w:rsidRDefault="0034591A" w:rsidP="00CA0680">
      <w:pPr>
        <w:spacing w:before="120"/>
        <w:rPr>
          <w:b/>
          <w:sz w:val="24"/>
          <w:szCs w:val="24"/>
          <w:lang w:val="fr-FR"/>
        </w:rPr>
      </w:pPr>
      <w:r w:rsidRPr="009B614C">
        <w:rPr>
          <w:b/>
          <w:sz w:val="24"/>
          <w:szCs w:val="24"/>
          <w:lang w:val="fr-FR"/>
        </w:rPr>
        <w:t>C</w:t>
      </w:r>
      <w:r w:rsidR="00CA0680" w:rsidRPr="009B614C">
        <w:rPr>
          <w:b/>
          <w:sz w:val="24"/>
          <w:szCs w:val="24"/>
          <w:lang w:val="fr-FR"/>
        </w:rPr>
        <w:t>omité d’experts du transport des marchandises dangereuses</w:t>
      </w:r>
      <w:r w:rsidR="00CA0680" w:rsidRPr="009B614C">
        <w:rPr>
          <w:b/>
          <w:sz w:val="24"/>
          <w:szCs w:val="24"/>
          <w:lang w:val="fr-FR"/>
        </w:rPr>
        <w:br/>
        <w:t>et du Système général harmonisé de classification</w:t>
      </w:r>
      <w:r w:rsidR="00CA0680" w:rsidRPr="009B614C">
        <w:rPr>
          <w:b/>
          <w:sz w:val="24"/>
          <w:szCs w:val="24"/>
          <w:lang w:val="fr-FR"/>
        </w:rPr>
        <w:br/>
        <w:t>et d’étiquetage des produits chimiques</w:t>
      </w:r>
    </w:p>
    <w:p w14:paraId="0EC5F2F8" w14:textId="45921263" w:rsidR="00D17B51" w:rsidRPr="004B7705" w:rsidRDefault="00D17B51" w:rsidP="00D17B51">
      <w:pPr>
        <w:pStyle w:val="HChG"/>
        <w:rPr>
          <w:bCs/>
        </w:rPr>
      </w:pPr>
      <w:r w:rsidRPr="004B7705">
        <w:rPr>
          <w:bCs/>
        </w:rPr>
        <w:tab/>
      </w:r>
      <w:r w:rsidRPr="004B7705">
        <w:rPr>
          <w:bCs/>
        </w:rPr>
        <w:tab/>
        <w:t xml:space="preserve">Rapport du Comité d’experts du transport des marchandises dangereuses et du </w:t>
      </w:r>
      <w:r>
        <w:rPr>
          <w:bCs/>
        </w:rPr>
        <w:t>s</w:t>
      </w:r>
      <w:r w:rsidRPr="004B7705">
        <w:rPr>
          <w:bCs/>
        </w:rPr>
        <w:t xml:space="preserve">ystème général harmonisé de classification et d’étiquetage des produits chimiques sur sa </w:t>
      </w:r>
      <w:r>
        <w:rPr>
          <w:bCs/>
        </w:rPr>
        <w:t>huitième</w:t>
      </w:r>
      <w:r w:rsidRPr="004B7705">
        <w:rPr>
          <w:bCs/>
        </w:rPr>
        <w:t xml:space="preserve"> session </w:t>
      </w:r>
    </w:p>
    <w:p w14:paraId="5B06CD6A" w14:textId="3CFFFE91" w:rsidR="00D17B51" w:rsidRPr="004B7705" w:rsidRDefault="00D17B51" w:rsidP="00D17B51">
      <w:pPr>
        <w:pStyle w:val="H56G"/>
      </w:pPr>
      <w:r w:rsidRPr="004B7705">
        <w:tab/>
      </w:r>
      <w:r w:rsidRPr="004B7705">
        <w:tab/>
      </w:r>
      <w:proofErr w:type="gramStart"/>
      <w:r>
        <w:t>t</w:t>
      </w:r>
      <w:r w:rsidRPr="004B7705">
        <w:t>enue</w:t>
      </w:r>
      <w:proofErr w:type="gramEnd"/>
      <w:r w:rsidRPr="004B7705">
        <w:t xml:space="preserve"> à Genève le </w:t>
      </w:r>
      <w:r>
        <w:t>9</w:t>
      </w:r>
      <w:r w:rsidRPr="004B7705">
        <w:t xml:space="preserve"> décembre </w:t>
      </w:r>
      <w:r>
        <w:t>2016</w:t>
      </w:r>
    </w:p>
    <w:p w14:paraId="2F0333A0" w14:textId="77777777" w:rsidR="00D17B51" w:rsidRPr="004B7705" w:rsidRDefault="00D17B51" w:rsidP="00D17B51">
      <w:pPr>
        <w:pStyle w:val="H23G"/>
      </w:pPr>
      <w:r w:rsidRPr="004B7705">
        <w:tab/>
      </w:r>
      <w:r w:rsidRPr="004B7705">
        <w:tab/>
        <w:t>Additif</w:t>
      </w:r>
    </w:p>
    <w:p w14:paraId="28E04BFB" w14:textId="77777777" w:rsidR="00D17B51" w:rsidRPr="004B7705" w:rsidRDefault="00D17B51" w:rsidP="00D17B51">
      <w:pPr>
        <w:pStyle w:val="H1G"/>
      </w:pPr>
      <w:r w:rsidRPr="004B7705">
        <w:tab/>
      </w:r>
      <w:r w:rsidRPr="004B7705">
        <w:tab/>
        <w:t>Annexe I</w:t>
      </w:r>
    </w:p>
    <w:p w14:paraId="3FCFA145" w14:textId="379F5699" w:rsidR="00D17B51" w:rsidRPr="004B7705" w:rsidRDefault="00D17B51" w:rsidP="00D17B51">
      <w:pPr>
        <w:pStyle w:val="H1G"/>
      </w:pPr>
      <w:r w:rsidRPr="004B7705">
        <w:tab/>
      </w:r>
      <w:r w:rsidRPr="004B7705">
        <w:tab/>
        <w:t xml:space="preserve">Amendements à la </w:t>
      </w:r>
      <w:r>
        <w:t>dix-neuvième</w:t>
      </w:r>
      <w:r w:rsidRPr="004B7705">
        <w:t xml:space="preserve"> édition révisée des Recommandations </w:t>
      </w:r>
      <w:proofErr w:type="gramStart"/>
      <w:r w:rsidRPr="004B7705">
        <w:t>relatives</w:t>
      </w:r>
      <w:proofErr w:type="gramEnd"/>
      <w:r w:rsidRPr="004B7705">
        <w:t xml:space="preserve"> au transport des marchandises dangereuses, Règlement type </w:t>
      </w:r>
      <w:r w:rsidRPr="00DF2BC7">
        <w:t>(ST/SG/AC.10/1/Rev.19)</w:t>
      </w:r>
      <w:r w:rsidRPr="00DF2BC7">
        <w:rPr>
          <w:rStyle w:val="FootnoteReference"/>
          <w:sz w:val="20"/>
        </w:rPr>
        <w:footnoteReference w:customMarkFollows="1" w:id="2"/>
        <w:t>*</w:t>
      </w:r>
    </w:p>
    <w:p w14:paraId="770760D9" w14:textId="77777777" w:rsidR="00FF35B7" w:rsidRDefault="00FF35B7" w:rsidP="00E443A7">
      <w:pPr>
        <w:pStyle w:val="HChG"/>
        <w:rPr>
          <w:lang w:val="fr-FR"/>
        </w:rPr>
      </w:pPr>
      <w:r>
        <w:rPr>
          <w:lang w:val="fr-FR"/>
        </w:rPr>
        <w:br w:type="page"/>
      </w:r>
    </w:p>
    <w:p w14:paraId="44057053" w14:textId="77777777" w:rsidR="00196C06" w:rsidRPr="0059443A" w:rsidRDefault="00196C06" w:rsidP="00196C06">
      <w:pPr>
        <w:pStyle w:val="H1G"/>
      </w:pPr>
      <w:r>
        <w:lastRenderedPageBreak/>
        <w:tab/>
      </w:r>
      <w:r>
        <w:tab/>
      </w:r>
      <w:r w:rsidRPr="0059443A">
        <w:t>Recommandations</w:t>
      </w:r>
    </w:p>
    <w:p w14:paraId="1FB2E9CF" w14:textId="791EA6DE" w:rsidR="00196C06" w:rsidRDefault="00196C06" w:rsidP="00196C06">
      <w:pPr>
        <w:pStyle w:val="SingleTxtG"/>
        <w:rPr>
          <w:lang w:eastAsia="en-GB"/>
        </w:rPr>
      </w:pPr>
      <w:r w:rsidRPr="0059443A">
        <w:t>Paragraphe 6</w:t>
      </w:r>
      <w:r w:rsidRPr="0059443A">
        <w:tab/>
      </w:r>
      <w:r>
        <w:tab/>
      </w:r>
      <w:r w:rsidRPr="0059443A">
        <w:rPr>
          <w:lang w:eastAsia="en-GB"/>
        </w:rPr>
        <w:t>Sans objet en français.</w:t>
      </w:r>
    </w:p>
    <w:p w14:paraId="27F49793" w14:textId="6E6B1379" w:rsidR="00E14FBA" w:rsidRPr="0059443A" w:rsidRDefault="00E14FBA" w:rsidP="00196C06">
      <w:pPr>
        <w:pStyle w:val="SingleTxtG"/>
        <w:rPr>
          <w:lang w:eastAsia="en-GB"/>
        </w:rPr>
      </w:pPr>
      <w:r>
        <w:rPr>
          <w:lang w:eastAsia="en-GB"/>
        </w:rPr>
        <w:t>Paragraphe 8</w:t>
      </w:r>
      <w:r>
        <w:rPr>
          <w:lang w:eastAsia="en-GB"/>
        </w:rPr>
        <w:tab/>
      </w:r>
      <w:r>
        <w:rPr>
          <w:lang w:eastAsia="en-GB"/>
        </w:rPr>
        <w:tab/>
        <w:t>Après «</w:t>
      </w:r>
      <w:r w:rsidRPr="00E14FBA">
        <w:rPr>
          <w:lang w:eastAsia="en-GB"/>
        </w:rPr>
        <w:t>ST/SG/AC.10/11/Rev.6</w:t>
      </w:r>
      <w:r>
        <w:rPr>
          <w:lang w:eastAsia="en-GB"/>
        </w:rPr>
        <w:t>» ajouter «</w:t>
      </w:r>
      <w:r w:rsidRPr="00E14FBA">
        <w:rPr>
          <w:lang w:eastAsia="en-GB"/>
        </w:rPr>
        <w:t>et Amend.</w:t>
      </w:r>
      <w:r>
        <w:rPr>
          <w:lang w:eastAsia="en-GB"/>
        </w:rPr>
        <w:t>1».</w:t>
      </w:r>
    </w:p>
    <w:p w14:paraId="2DC072E2" w14:textId="77777777" w:rsidR="00196C06" w:rsidRPr="0059443A" w:rsidRDefault="00196C06" w:rsidP="00196C06">
      <w:pPr>
        <w:pStyle w:val="SingleTxtG"/>
      </w:pPr>
      <w:r w:rsidRPr="0059443A">
        <w:t>Paragraphe 11</w:t>
      </w:r>
      <w:r w:rsidRPr="0059443A">
        <w:tab/>
        <w:t>Au début, remplacer «risque» par «danger».</w:t>
      </w:r>
    </w:p>
    <w:p w14:paraId="4B0402EC" w14:textId="057D686F" w:rsidR="00196C06" w:rsidRPr="004337F4" w:rsidRDefault="00196C06" w:rsidP="004337F4">
      <w:pPr>
        <w:pStyle w:val="SingleTxtG"/>
      </w:pPr>
      <w:r w:rsidRPr="004337F4">
        <w:t>Paragraphe 12</w:t>
      </w:r>
      <w:r w:rsidRPr="004337F4">
        <w:tab/>
      </w:r>
      <w:r w:rsidR="001F7C97" w:rsidRPr="004337F4">
        <w:t xml:space="preserve">Dans la première phrase, </w:t>
      </w:r>
      <w:proofErr w:type="gramStart"/>
      <w:r w:rsidR="001F7C97" w:rsidRPr="004337F4">
        <w:t>remplacer</w:t>
      </w:r>
      <w:proofErr w:type="gramEnd"/>
      <w:r w:rsidR="001F7C97" w:rsidRPr="004337F4">
        <w:t xml:space="preserve"> «risques potentiels» par «dangers». </w:t>
      </w:r>
      <w:r w:rsidR="004337F4" w:rsidRPr="004337F4">
        <w:t>D</w:t>
      </w:r>
      <w:r w:rsidR="001F7C97" w:rsidRPr="004337F4">
        <w:t>ans la deuxième phrase, remplacer «risques» par «dangers»</w:t>
      </w:r>
    </w:p>
    <w:p w14:paraId="1DE8E5AF" w14:textId="0D5E7EEC" w:rsidR="00CA761A" w:rsidRDefault="00CA761A" w:rsidP="00CA761A">
      <w:pPr>
        <w:pStyle w:val="H1G"/>
      </w:pPr>
      <w:r w:rsidRPr="0059443A">
        <w:rPr>
          <w:lang w:val="fr-FR"/>
        </w:rPr>
        <w:tab/>
      </w:r>
      <w:r w:rsidRPr="0059443A">
        <w:rPr>
          <w:lang w:val="fr-FR"/>
        </w:rPr>
        <w:tab/>
      </w:r>
      <w:r w:rsidRPr="006646BC">
        <w:rPr>
          <w:lang w:val="fr-FR"/>
        </w:rPr>
        <w:t>Chapitre 1</w:t>
      </w:r>
      <w:r>
        <w:rPr>
          <w:lang w:val="fr-FR"/>
        </w:rPr>
        <w:t>.1</w:t>
      </w:r>
    </w:p>
    <w:p w14:paraId="0AC01B95" w14:textId="440E2D8F" w:rsidR="00CA761A" w:rsidRDefault="00CA761A" w:rsidP="00CA761A">
      <w:pPr>
        <w:pStyle w:val="SingleTxtG"/>
        <w:rPr>
          <w:lang w:eastAsia="en-GB"/>
        </w:rPr>
      </w:pPr>
      <w:r>
        <w:t xml:space="preserve">Dans le Nota 1, </w:t>
      </w:r>
      <w:r>
        <w:rPr>
          <w:lang w:eastAsia="en-GB"/>
        </w:rPr>
        <w:t>après «</w:t>
      </w:r>
      <w:r w:rsidRPr="00E14FBA">
        <w:rPr>
          <w:lang w:eastAsia="en-GB"/>
        </w:rPr>
        <w:t>ST/SG/AC.10/11/Rev.6</w:t>
      </w:r>
      <w:r>
        <w:rPr>
          <w:lang w:eastAsia="en-GB"/>
        </w:rPr>
        <w:t>» ajouter «</w:t>
      </w:r>
      <w:r w:rsidRPr="00E14FBA">
        <w:rPr>
          <w:lang w:eastAsia="en-GB"/>
        </w:rPr>
        <w:t>et Amend.</w:t>
      </w:r>
      <w:r>
        <w:rPr>
          <w:lang w:eastAsia="en-GB"/>
        </w:rPr>
        <w:t>1».</w:t>
      </w:r>
    </w:p>
    <w:p w14:paraId="77FF796F" w14:textId="77777777" w:rsidR="006646BC" w:rsidRDefault="00196C06" w:rsidP="006646BC">
      <w:pPr>
        <w:pStyle w:val="H1G"/>
      </w:pPr>
      <w:r w:rsidRPr="0059443A">
        <w:rPr>
          <w:lang w:val="fr-FR"/>
        </w:rPr>
        <w:tab/>
      </w:r>
      <w:r w:rsidRPr="0059443A">
        <w:rPr>
          <w:lang w:val="fr-FR"/>
        </w:rPr>
        <w:tab/>
      </w:r>
      <w:r w:rsidR="006646BC" w:rsidRPr="006646BC">
        <w:rPr>
          <w:lang w:val="fr-FR"/>
        </w:rPr>
        <w:t>Chapitre 1.2</w:t>
      </w:r>
    </w:p>
    <w:p w14:paraId="1EE290A3" w14:textId="469A7BC7" w:rsidR="006646BC" w:rsidRDefault="006646BC" w:rsidP="006646BC">
      <w:pPr>
        <w:pStyle w:val="SingleTxtG"/>
      </w:pPr>
      <w:r>
        <w:t>1.2.1</w:t>
      </w:r>
      <w:r>
        <w:tab/>
        <w:t>Dans la définition de «</w:t>
      </w:r>
      <w:r>
        <w:rPr>
          <w:i/>
          <w:iCs/>
        </w:rPr>
        <w:t>Matériel animal</w:t>
      </w:r>
      <w:r>
        <w:t>», remplacer «ou des aliments pour animaux» par «ou des denrées alimentaires ou des aliments».</w:t>
      </w:r>
    </w:p>
    <w:p w14:paraId="2F8B6540" w14:textId="009D6241" w:rsidR="00C8061B" w:rsidRDefault="00C8061B" w:rsidP="006646BC">
      <w:pPr>
        <w:pStyle w:val="SingleTxtG"/>
      </w:pPr>
      <w:r>
        <w:t>1.2.1</w:t>
      </w:r>
      <w:r>
        <w:tab/>
        <w:t>Dans la définition de «</w:t>
      </w:r>
      <w:r>
        <w:rPr>
          <w:i/>
        </w:rPr>
        <w:t>SGH</w:t>
      </w:r>
      <w:r>
        <w:t>»</w:t>
      </w:r>
      <w:r w:rsidR="001C6399">
        <w:t>, remplacer «sixième» par «septième» et remplacer «ST/SG/C.10/30/Rev.6» par «ST/SG/C.10/30/Rev.7».</w:t>
      </w:r>
    </w:p>
    <w:p w14:paraId="30CF173B" w14:textId="1F2A49C5" w:rsidR="002D1EAC" w:rsidRDefault="002D1EAC" w:rsidP="002D1EAC">
      <w:pPr>
        <w:pStyle w:val="SingleTxtG"/>
      </w:pPr>
      <w:r>
        <w:t>1.2.1</w:t>
      </w:r>
      <w:r>
        <w:tab/>
        <w:t>Dans la définition de «</w:t>
      </w:r>
      <w:r>
        <w:rPr>
          <w:i/>
        </w:rPr>
        <w:t>Liquide</w:t>
      </w:r>
      <w:r>
        <w:t>», dans la note de bas de page 1, remplacer «</w:t>
      </w:r>
      <w:r>
        <w:rPr>
          <w:i/>
        </w:rPr>
        <w:t>ECE/TRANS/242 (numéro de vente: F.14.VIII.1)</w:t>
      </w:r>
      <w:r>
        <w:t>» par «</w:t>
      </w:r>
      <w:r>
        <w:rPr>
          <w:i/>
        </w:rPr>
        <w:t>ECE/TRANS/257 (numéro de vente: F.16.VIII.1)</w:t>
      </w:r>
      <w:r>
        <w:t>».</w:t>
      </w:r>
    </w:p>
    <w:p w14:paraId="345CD067" w14:textId="284E1534" w:rsidR="00186FAC" w:rsidRDefault="00186FAC" w:rsidP="002D1EAC">
      <w:pPr>
        <w:pStyle w:val="SingleTxtG"/>
      </w:pPr>
      <w:r>
        <w:t>1.2.1</w:t>
      </w:r>
      <w:r>
        <w:tab/>
        <w:t>Dans la définition de «</w:t>
      </w:r>
      <w:r>
        <w:rPr>
          <w:i/>
        </w:rPr>
        <w:t>Manuel d’épreuves et de critères</w:t>
      </w:r>
      <w:r>
        <w:t>», après «ST/SG/AC.10/11/Rev.6», ajouter «et Amend.1».</w:t>
      </w:r>
    </w:p>
    <w:p w14:paraId="6F0A02CC" w14:textId="38ACBEDF" w:rsidR="00196C06" w:rsidRDefault="002D1EAC" w:rsidP="006646BC">
      <w:pPr>
        <w:pStyle w:val="H1G"/>
        <w:rPr>
          <w:lang w:val="fr-FR"/>
        </w:rPr>
      </w:pPr>
      <w:r>
        <w:rPr>
          <w:lang w:val="fr-FR"/>
        </w:rPr>
        <w:t xml:space="preserve"> </w:t>
      </w:r>
      <w:r w:rsidR="006646BC">
        <w:rPr>
          <w:lang w:val="fr-FR"/>
        </w:rPr>
        <w:tab/>
      </w:r>
      <w:r w:rsidR="006646BC">
        <w:rPr>
          <w:lang w:val="fr-FR"/>
        </w:rPr>
        <w:tab/>
      </w:r>
      <w:r w:rsidR="00196C06">
        <w:rPr>
          <w:lang w:val="fr-FR"/>
        </w:rPr>
        <w:t>Chapitre 1.3</w:t>
      </w:r>
    </w:p>
    <w:p w14:paraId="6E1A409F" w14:textId="77777777" w:rsidR="00196C06" w:rsidRPr="00EF61FC" w:rsidRDefault="00196C06" w:rsidP="00196C06">
      <w:pPr>
        <w:pStyle w:val="SingleTxtG"/>
        <w:rPr>
          <w:lang w:val="fr-FR"/>
        </w:rPr>
      </w:pPr>
      <w:r w:rsidRPr="00EF61FC">
        <w:rPr>
          <w:lang w:val="fr-FR"/>
        </w:rPr>
        <w:t>1.3.2 iii)</w:t>
      </w:r>
      <w:r w:rsidRPr="00EF61FC">
        <w:rPr>
          <w:lang w:val="fr-FR"/>
        </w:rPr>
        <w:tab/>
        <w:t>Remplacer «les risques généraux» par «les dangers généraux».</w:t>
      </w:r>
    </w:p>
    <w:p w14:paraId="7F9BE0AF" w14:textId="77777777" w:rsidR="00196C06" w:rsidRPr="0059443A" w:rsidRDefault="00196C06" w:rsidP="00196C06">
      <w:pPr>
        <w:pStyle w:val="H1G"/>
        <w:rPr>
          <w:lang w:val="fr-FR"/>
        </w:rPr>
      </w:pPr>
      <w:r>
        <w:rPr>
          <w:lang w:val="fr-FR"/>
        </w:rPr>
        <w:tab/>
      </w:r>
      <w:r>
        <w:rPr>
          <w:lang w:val="fr-FR"/>
        </w:rPr>
        <w:tab/>
      </w:r>
      <w:r w:rsidRPr="0059443A">
        <w:rPr>
          <w:lang w:val="fr-FR"/>
        </w:rPr>
        <w:t>Chapitre 1.4</w:t>
      </w:r>
    </w:p>
    <w:p w14:paraId="1A07A34C" w14:textId="77777777" w:rsidR="00196C06" w:rsidRPr="0059443A" w:rsidRDefault="00196C06" w:rsidP="00196C06">
      <w:pPr>
        <w:spacing w:before="120" w:after="120" w:line="240" w:lineRule="auto"/>
        <w:ind w:left="1134" w:right="1134"/>
        <w:jc w:val="both"/>
      </w:pPr>
      <w:r w:rsidRPr="0059443A">
        <w:rPr>
          <w:iCs/>
          <w:lang w:val="fr-FR"/>
        </w:rPr>
        <w:t>1.4.3.1.5</w:t>
      </w:r>
      <w:r w:rsidRPr="0059443A">
        <w:rPr>
          <w:iCs/>
          <w:lang w:val="fr-FR"/>
        </w:rPr>
        <w:tab/>
      </w:r>
      <w:r w:rsidRPr="0059443A">
        <w:t>Remplacer «risques subsidiaires» par «dangers subsidiaires».</w:t>
      </w:r>
    </w:p>
    <w:p w14:paraId="37E3A468" w14:textId="77777777" w:rsidR="00196C06" w:rsidRPr="0059443A" w:rsidRDefault="00196C06" w:rsidP="00196C06">
      <w:pPr>
        <w:spacing w:before="120" w:after="120" w:line="240" w:lineRule="auto"/>
        <w:ind w:left="1134" w:right="1134"/>
        <w:jc w:val="both"/>
        <w:rPr>
          <w:lang w:val="fr-FR"/>
        </w:rPr>
      </w:pPr>
      <w:r w:rsidRPr="0059443A">
        <w:rPr>
          <w:lang w:val="fr-FR"/>
        </w:rPr>
        <w:t>1.4.3.2.1</w:t>
      </w:r>
      <w:r w:rsidRPr="0059443A">
        <w:rPr>
          <w:lang w:val="fr-FR"/>
        </w:rPr>
        <w:tab/>
        <w:t>Ajouter le nouveau Nota suivant à la fin:</w:t>
      </w:r>
    </w:p>
    <w:p w14:paraId="3326E93F" w14:textId="3C141391" w:rsidR="00196C06" w:rsidRPr="0059443A" w:rsidRDefault="00196C06" w:rsidP="00196C06">
      <w:pPr>
        <w:pStyle w:val="SingleTxtG"/>
        <w:rPr>
          <w:iCs/>
          <w:lang w:val="fr-FR"/>
        </w:rPr>
      </w:pPr>
      <w:r w:rsidRPr="0059443A">
        <w:rPr>
          <w:iCs/>
          <w:lang w:val="fr-FR"/>
        </w:rPr>
        <w:t>«</w:t>
      </w:r>
      <w:r w:rsidRPr="0059443A">
        <w:rPr>
          <w:b/>
          <w:i/>
          <w:iCs/>
          <w:lang w:val="fr-FR"/>
        </w:rPr>
        <w:t>NOTA:</w:t>
      </w:r>
      <w:r w:rsidRPr="0059443A">
        <w:rPr>
          <w:i/>
          <w:iCs/>
          <w:lang w:val="fr-FR"/>
        </w:rPr>
        <w:t xml:space="preserve"> </w:t>
      </w:r>
      <w:r w:rsidR="001218B6">
        <w:rPr>
          <w:i/>
          <w:iCs/>
          <w:lang w:val="fr-FR"/>
        </w:rPr>
        <w:tab/>
      </w:r>
      <w:r w:rsidRPr="0059443A">
        <w:rPr>
          <w:i/>
          <w:iCs/>
          <w:lang w:val="fr-FR"/>
        </w:rPr>
        <w:t xml:space="preserve">En plus des dispositions de </w:t>
      </w:r>
      <w:r w:rsidRPr="0059443A">
        <w:rPr>
          <w:i/>
          <w:lang w:val="fr-FR"/>
        </w:rPr>
        <w:t xml:space="preserve">sûreté </w:t>
      </w:r>
      <w:r w:rsidRPr="0059443A">
        <w:rPr>
          <w:i/>
          <w:iCs/>
          <w:lang w:val="fr-FR"/>
        </w:rPr>
        <w:t xml:space="preserve">du présent Règlement, les autorités compétentes peuvent mettre en œuvre d’autres dispositions de </w:t>
      </w:r>
      <w:r w:rsidRPr="0059443A">
        <w:rPr>
          <w:i/>
          <w:lang w:val="fr-FR"/>
        </w:rPr>
        <w:t xml:space="preserve">sûreté </w:t>
      </w:r>
      <w:r w:rsidRPr="0059443A">
        <w:rPr>
          <w:i/>
          <w:iCs/>
          <w:lang w:val="fr-FR"/>
        </w:rPr>
        <w:t xml:space="preserve">pour des raisons autres que la sécurité des marchandises dangereuses pendant le transport. Afin de ne pas entraver le transport international et multimodal par différents marquages de </w:t>
      </w:r>
      <w:r w:rsidRPr="0059443A">
        <w:rPr>
          <w:i/>
          <w:lang w:val="fr-FR"/>
        </w:rPr>
        <w:t xml:space="preserve">sûreté </w:t>
      </w:r>
      <w:r w:rsidRPr="0059443A">
        <w:rPr>
          <w:i/>
          <w:iCs/>
          <w:lang w:val="fr-FR"/>
        </w:rPr>
        <w:t>des explosifs, il est recommandé que le format de ces marques soient conformes à une norme harmonisée au niveau international (par exemple directive 2008/43/CE de la Commission européenne).</w:t>
      </w:r>
      <w:r w:rsidR="004C1C06">
        <w:rPr>
          <w:iCs/>
          <w:lang w:val="fr-FR"/>
        </w:rPr>
        <w:t>».</w:t>
      </w:r>
    </w:p>
    <w:p w14:paraId="7AF22E32" w14:textId="77777777" w:rsidR="00196C06" w:rsidRPr="0059443A" w:rsidRDefault="00196C06" w:rsidP="00196C06">
      <w:pPr>
        <w:pStyle w:val="H1G"/>
        <w:rPr>
          <w:lang w:val="fr-FR"/>
        </w:rPr>
      </w:pPr>
      <w:r w:rsidRPr="00410B90">
        <w:rPr>
          <w:lang w:val="fr-FR"/>
        </w:rPr>
        <w:tab/>
      </w:r>
      <w:r w:rsidRPr="00410B90">
        <w:rPr>
          <w:lang w:val="fr-FR"/>
        </w:rPr>
        <w:tab/>
      </w:r>
      <w:r w:rsidRPr="0059443A">
        <w:rPr>
          <w:lang w:val="fr-FR"/>
        </w:rPr>
        <w:t>Chapitre 1.5</w:t>
      </w:r>
    </w:p>
    <w:p w14:paraId="37E33E68" w14:textId="77777777" w:rsidR="00196C06" w:rsidRPr="00343167" w:rsidRDefault="00196C06" w:rsidP="00196C06">
      <w:pPr>
        <w:pStyle w:val="SingleTxtG"/>
        <w:rPr>
          <w:lang w:val="fr-FR"/>
        </w:rPr>
      </w:pPr>
      <w:r w:rsidRPr="00343167">
        <w:rPr>
          <w:lang w:val="fr-FR"/>
        </w:rPr>
        <w:t xml:space="preserve">1.5.1.1 </w:t>
      </w:r>
      <w:r w:rsidRPr="00343167">
        <w:rPr>
          <w:lang w:val="fr-FR"/>
        </w:rPr>
        <w:tab/>
        <w:t>Remplacer «des risques radiologiques, des risques de criticité et des risques thermiques» par «des dangers radiologiques, des dangers de criticité et des dangers thermiques».</w:t>
      </w:r>
    </w:p>
    <w:p w14:paraId="15E25DE7" w14:textId="77777777" w:rsidR="00196C06" w:rsidRDefault="00196C06" w:rsidP="00196C06">
      <w:pPr>
        <w:pStyle w:val="SingleTxtG"/>
        <w:rPr>
          <w:lang w:val="fr-FR"/>
        </w:rPr>
      </w:pPr>
      <w:r w:rsidRPr="00343167">
        <w:rPr>
          <w:lang w:val="fr-FR"/>
        </w:rPr>
        <w:lastRenderedPageBreak/>
        <w:t>1.5.1.2</w:t>
      </w:r>
      <w:r w:rsidRPr="00343167">
        <w:rPr>
          <w:lang w:val="fr-FR"/>
        </w:rPr>
        <w:tab/>
      </w:r>
      <w:r>
        <w:rPr>
          <w:lang w:val="fr-FR"/>
        </w:rPr>
        <w:tab/>
      </w:r>
      <w:r w:rsidRPr="00343167">
        <w:rPr>
          <w:lang w:val="fr-FR"/>
        </w:rPr>
        <w:t>Dans le dernier paragraphe, remplacer «le risque que présente le contenu radioactif» par «le danger que présente le contenu radioactif».</w:t>
      </w:r>
    </w:p>
    <w:p w14:paraId="3120ED17" w14:textId="77777777" w:rsidR="00196C06" w:rsidRPr="0059443A" w:rsidRDefault="00196C06" w:rsidP="00196C06">
      <w:pPr>
        <w:pStyle w:val="SingleTxtG"/>
      </w:pPr>
      <w:r w:rsidRPr="0059443A">
        <w:t>Figure 1, 1.5.2</w:t>
      </w:r>
      <w:r w:rsidRPr="0059443A">
        <w:tab/>
        <w:t>Remplacer «Risque(s) subsidiaire(s)» par «Danger(s) subsidiaire(s)»</w:t>
      </w:r>
      <w:r>
        <w:t>.</w:t>
      </w:r>
    </w:p>
    <w:p w14:paraId="0DA85D08" w14:textId="77777777" w:rsidR="00196C06" w:rsidRPr="0059443A" w:rsidRDefault="00196C06" w:rsidP="00196C06">
      <w:pPr>
        <w:spacing w:before="120" w:after="120" w:line="240" w:lineRule="auto"/>
        <w:ind w:left="1134" w:right="1134"/>
        <w:jc w:val="both"/>
        <w:rPr>
          <w:iCs/>
          <w:lang w:val="fr-FR"/>
        </w:rPr>
      </w:pPr>
      <w:r w:rsidRPr="0059443A">
        <w:t>1.5.5.1</w:t>
      </w:r>
      <w:r w:rsidRPr="0059443A">
        <w:tab/>
      </w:r>
      <w:r w:rsidRPr="0059443A">
        <w:tab/>
      </w:r>
      <w:r>
        <w:t>Dans la première phrase, r</w:t>
      </w:r>
      <w:r w:rsidRPr="0059443A">
        <w:t>emplacer «risque subsidiaire» par «danger subsidiaire».</w:t>
      </w:r>
    </w:p>
    <w:p w14:paraId="6A7BF95F" w14:textId="77777777" w:rsidR="00196C06" w:rsidRPr="0059443A" w:rsidRDefault="00196C06" w:rsidP="00196C06">
      <w:pPr>
        <w:pStyle w:val="H1G"/>
      </w:pPr>
      <w:r w:rsidRPr="0059443A">
        <w:tab/>
      </w:r>
      <w:r w:rsidRPr="0059443A">
        <w:tab/>
        <w:t>Chapitre 2.0</w:t>
      </w:r>
    </w:p>
    <w:p w14:paraId="311AA414" w14:textId="77777777" w:rsidR="00196C06" w:rsidRPr="00EF61FC" w:rsidRDefault="00196C06" w:rsidP="00196C06">
      <w:pPr>
        <w:pStyle w:val="SingleTxtG"/>
        <w:rPr>
          <w:lang w:val="fr-FR"/>
        </w:rPr>
      </w:pPr>
      <w:r>
        <w:rPr>
          <w:lang w:val="fr-FR"/>
        </w:rPr>
        <w:t>2.0.0.2</w:t>
      </w:r>
      <w:r>
        <w:rPr>
          <w:lang w:val="fr-FR"/>
        </w:rPr>
        <w:tab/>
      </w:r>
      <w:r>
        <w:rPr>
          <w:lang w:val="fr-FR"/>
        </w:rPr>
        <w:tab/>
        <w:t>Au premier tiret, remplacer «les risques recensés» par «les dangers recensés».</w:t>
      </w:r>
      <w:r w:rsidRPr="008B2DF8">
        <w:t xml:space="preserve"> </w:t>
      </w:r>
      <w:r w:rsidRPr="0059443A">
        <w:t>Au deuxième tiret, remplacer «risques subsidiaires» par «dangers subsidiaires».</w:t>
      </w:r>
    </w:p>
    <w:p w14:paraId="5D77E875" w14:textId="77777777" w:rsidR="00196C06" w:rsidRDefault="00196C06" w:rsidP="00196C06">
      <w:pPr>
        <w:spacing w:before="120" w:after="120" w:line="240" w:lineRule="auto"/>
        <w:ind w:left="1134" w:right="1134"/>
        <w:jc w:val="both"/>
        <w:rPr>
          <w:lang w:val="fr-FR"/>
        </w:rPr>
      </w:pPr>
      <w:r w:rsidRPr="00EF61FC">
        <w:rPr>
          <w:lang w:val="fr-FR"/>
        </w:rPr>
        <w:t xml:space="preserve">2.0.1.1 </w:t>
      </w:r>
      <w:r>
        <w:rPr>
          <w:lang w:val="fr-FR"/>
        </w:rPr>
        <w:tab/>
        <w:t>Remplacer «risque» par «danger» (11 fois).</w:t>
      </w:r>
    </w:p>
    <w:p w14:paraId="78A6E8F1" w14:textId="77777777" w:rsidR="00196C06" w:rsidRPr="00EF61FC" w:rsidRDefault="00196C06" w:rsidP="00196C06">
      <w:pPr>
        <w:pStyle w:val="SingleTxtG"/>
        <w:rPr>
          <w:lang w:val="fr-FR"/>
        </w:rPr>
      </w:pPr>
      <w:r w:rsidRPr="00EF61FC">
        <w:rPr>
          <w:lang w:val="fr-FR"/>
        </w:rPr>
        <w:t xml:space="preserve">2.0.1.4 </w:t>
      </w:r>
      <w:r>
        <w:rPr>
          <w:lang w:val="fr-FR"/>
        </w:rPr>
        <w:tab/>
        <w:t>Remplacer «risques» par «dangers».</w:t>
      </w:r>
    </w:p>
    <w:p w14:paraId="4F257701" w14:textId="77777777" w:rsidR="00196C06" w:rsidRPr="0059443A" w:rsidRDefault="00196C06" w:rsidP="00196C06">
      <w:pPr>
        <w:spacing w:before="120" w:after="120" w:line="240" w:lineRule="auto"/>
        <w:ind w:left="1134" w:right="1134"/>
        <w:jc w:val="both"/>
      </w:pPr>
      <w:r w:rsidRPr="0059443A">
        <w:rPr>
          <w:iCs/>
        </w:rPr>
        <w:t>2.0.1.5</w:t>
      </w:r>
      <w:r w:rsidRPr="0059443A">
        <w:rPr>
          <w:iCs/>
        </w:rPr>
        <w:tab/>
      </w:r>
      <w:r w:rsidRPr="0059443A">
        <w:rPr>
          <w:iCs/>
        </w:rPr>
        <w:tab/>
      </w:r>
      <w:r w:rsidRPr="0059443A">
        <w:t>Remplacer «risque(s) subsidiaire(s)» par «danger(s) subsidiaire(s)».</w:t>
      </w:r>
    </w:p>
    <w:p w14:paraId="755A914E" w14:textId="77777777" w:rsidR="00196C06" w:rsidRPr="0059443A" w:rsidRDefault="00196C06" w:rsidP="00196C06">
      <w:pPr>
        <w:spacing w:before="120" w:after="120" w:line="240" w:lineRule="auto"/>
        <w:ind w:left="1134" w:right="1134"/>
        <w:jc w:val="both"/>
      </w:pPr>
      <w:r w:rsidRPr="0059443A">
        <w:t>2.0.1.6</w:t>
      </w:r>
      <w:r w:rsidRPr="0059443A">
        <w:tab/>
      </w:r>
      <w:r w:rsidRPr="0059443A">
        <w:tab/>
        <w:t>Remplacer «divisions de risque» par «divisions de danger» et «risque(s) subsidiaire(s)» par «danger(s) subsidiaire(s)».</w:t>
      </w:r>
    </w:p>
    <w:p w14:paraId="4E707CB9" w14:textId="77777777" w:rsidR="00196C06" w:rsidRDefault="00196C06" w:rsidP="00196C06">
      <w:pPr>
        <w:pStyle w:val="SingleTxtG"/>
        <w:rPr>
          <w:lang w:val="fr-FR"/>
        </w:rPr>
      </w:pPr>
      <w:r w:rsidRPr="00EF61FC">
        <w:rPr>
          <w:lang w:val="fr-FR"/>
        </w:rPr>
        <w:t xml:space="preserve">2.0.2.1 </w:t>
      </w:r>
      <w:r>
        <w:rPr>
          <w:lang w:val="fr-FR"/>
        </w:rPr>
        <w:tab/>
        <w:t>Remplacer «risque» par «danger».</w:t>
      </w:r>
    </w:p>
    <w:p w14:paraId="24E5BC40" w14:textId="77777777" w:rsidR="00196C06" w:rsidRPr="0059443A" w:rsidRDefault="00196C06" w:rsidP="00196C06">
      <w:pPr>
        <w:spacing w:before="120" w:after="120" w:line="240" w:lineRule="auto"/>
        <w:ind w:left="1134" w:right="1134"/>
        <w:jc w:val="both"/>
      </w:pPr>
      <w:r w:rsidRPr="0059443A">
        <w:t>2.0.2.2</w:t>
      </w:r>
      <w:r w:rsidRPr="0059443A">
        <w:tab/>
      </w:r>
      <w:r w:rsidRPr="0059443A">
        <w:tab/>
        <w:t>Au deuxième paragraphe, remplacer «la classe de risque, le(s) risque(s) subsidiaire(s)» par «la classe de danger, le(s) danger(s) subsidiaire(s)».</w:t>
      </w:r>
    </w:p>
    <w:p w14:paraId="197E4E57" w14:textId="77777777" w:rsidR="00196C06" w:rsidRPr="0059443A" w:rsidRDefault="00196C06" w:rsidP="00196C06">
      <w:pPr>
        <w:spacing w:before="120" w:after="120" w:line="240" w:lineRule="auto"/>
        <w:ind w:left="1134" w:right="1134"/>
        <w:jc w:val="both"/>
        <w:rPr>
          <w:iCs/>
        </w:rPr>
      </w:pPr>
      <w:r w:rsidRPr="0059443A">
        <w:t>2.0.2.5 c)</w:t>
      </w:r>
      <w:r w:rsidRPr="0059443A">
        <w:tab/>
        <w:t>Remplacer «la classe ou division de risque, le ou les risques subsidiaires» par «la classe ou division de danger, le ou les dangers subsidiaires».</w:t>
      </w:r>
    </w:p>
    <w:p w14:paraId="3C94AEA7" w14:textId="77777777" w:rsidR="00196C06" w:rsidRPr="0059443A" w:rsidRDefault="00196C06" w:rsidP="00196C06">
      <w:pPr>
        <w:spacing w:before="120" w:after="120" w:line="240" w:lineRule="auto"/>
        <w:ind w:left="1134" w:right="1134"/>
        <w:jc w:val="both"/>
      </w:pPr>
      <w:r w:rsidRPr="0059443A">
        <w:t>2.0.2.9</w:t>
      </w:r>
      <w:r w:rsidRPr="0059443A">
        <w:tab/>
      </w:r>
      <w:r w:rsidRPr="0059443A">
        <w:tab/>
        <w:t>Remplacer «la classe ou division de risque, le ou les risques subsidiaires» par «la classe ou division de danger, le ou les dangers subsidiaires».</w:t>
      </w:r>
    </w:p>
    <w:p w14:paraId="3E46EB8C" w14:textId="2C8E4ACE" w:rsidR="00196C06" w:rsidRPr="0059443A" w:rsidRDefault="00196C06" w:rsidP="005064DA">
      <w:pPr>
        <w:spacing w:before="120" w:after="120" w:line="240" w:lineRule="auto"/>
        <w:ind w:left="1134" w:right="1134"/>
        <w:jc w:val="both"/>
        <w:rPr>
          <w:lang w:eastAsia="en-GB"/>
        </w:rPr>
      </w:pPr>
      <w:r w:rsidRPr="0059443A">
        <w:t>2.0.3.1</w:t>
      </w:r>
      <w:r w:rsidRPr="0059443A">
        <w:tab/>
      </w:r>
      <w:r w:rsidRPr="0059443A">
        <w:tab/>
      </w:r>
      <w:r w:rsidR="009716FC">
        <w:rPr>
          <w:lang w:eastAsia="en-GB"/>
        </w:rPr>
        <w:t xml:space="preserve">Le premier amendement ne s’applique pas au texte français. </w:t>
      </w:r>
      <w:r w:rsidR="009716FC">
        <w:t>À la fin de la première phrase, ajouter: «ou pour attribuer la rubrique appropriée aux objets qui contiennent des marchandises dangereuses N.S.A. (Nos ONU 3537 à 3548, voir 2.0.5)».</w:t>
      </w:r>
      <w:r w:rsidR="005064DA">
        <w:t xml:space="preserve"> L’amendement à la deuxième phrase </w:t>
      </w:r>
      <w:r w:rsidR="005064DA">
        <w:rPr>
          <w:lang w:eastAsia="en-GB"/>
        </w:rPr>
        <w:t>ne s’applique pas au texte français.</w:t>
      </w:r>
    </w:p>
    <w:p w14:paraId="1E8DF4D4" w14:textId="77777777" w:rsidR="00196C06" w:rsidRPr="0059443A" w:rsidRDefault="00196C06" w:rsidP="00196C06">
      <w:pPr>
        <w:spacing w:before="120" w:after="120" w:line="240" w:lineRule="auto"/>
        <w:ind w:left="1134" w:right="1134"/>
        <w:jc w:val="both"/>
        <w:rPr>
          <w:iCs/>
        </w:rPr>
      </w:pPr>
      <w:r w:rsidRPr="0059443A">
        <w:rPr>
          <w:lang w:eastAsia="en-GB"/>
        </w:rPr>
        <w:t>2.0.3.2</w:t>
      </w:r>
      <w:r w:rsidRPr="0059443A">
        <w:rPr>
          <w:lang w:eastAsia="en-GB"/>
        </w:rPr>
        <w:tab/>
      </w:r>
      <w:r w:rsidRPr="0059443A">
        <w:rPr>
          <w:lang w:eastAsia="en-GB"/>
        </w:rPr>
        <w:tab/>
      </w:r>
      <w:r w:rsidRPr="0059443A">
        <w:t>Remplacer «risque subsidiaire» par «danger subsidiaire».</w:t>
      </w:r>
    </w:p>
    <w:p w14:paraId="15084CAD" w14:textId="1ACD327B" w:rsidR="00E3532A" w:rsidRDefault="00E3532A" w:rsidP="002342EA">
      <w:pPr>
        <w:pStyle w:val="SingleTxtG"/>
      </w:pPr>
      <w:r>
        <w:t>2.0.4</w:t>
      </w:r>
      <w:r>
        <w:tab/>
        <w:t>Ajouter la nouvelle sous-section 2.0.4.3 suivante:</w:t>
      </w:r>
    </w:p>
    <w:p w14:paraId="38117E52" w14:textId="3E8F2728" w:rsidR="00E3532A" w:rsidRPr="00706B12" w:rsidRDefault="00E3532A" w:rsidP="00E3532A">
      <w:pPr>
        <w:pStyle w:val="SingleTxtG"/>
        <w:rPr>
          <w:b/>
        </w:rPr>
      </w:pPr>
      <w:r w:rsidRPr="00AB547F">
        <w:t>«</w:t>
      </w:r>
      <w:r w:rsidRPr="00AB547F">
        <w:rPr>
          <w:b/>
        </w:rPr>
        <w:t>2.0.4.3</w:t>
      </w:r>
      <w:r w:rsidRPr="00AB547F">
        <w:rPr>
          <w:b/>
        </w:rPr>
        <w:tab/>
      </w:r>
      <w:r w:rsidRPr="00AB547F">
        <w:rPr>
          <w:b/>
          <w:i/>
        </w:rPr>
        <w:t>Échantillons de matières énergétiques</w:t>
      </w:r>
      <w:r w:rsidR="00AB547F">
        <w:rPr>
          <w:b/>
          <w:i/>
        </w:rPr>
        <w:t xml:space="preserve"> aux fins d’épreuves</w:t>
      </w:r>
    </w:p>
    <w:p w14:paraId="1227ED61" w14:textId="2F9B671B" w:rsidR="00E3532A" w:rsidRPr="00B66A05" w:rsidRDefault="00E3532A" w:rsidP="00AB547F">
      <w:pPr>
        <w:pStyle w:val="SingleTxtG"/>
      </w:pPr>
      <w:r w:rsidRPr="00706B12">
        <w:t>2.0.4.3.1</w:t>
      </w:r>
      <w:r w:rsidRPr="00706B12">
        <w:tab/>
        <w:t>Les échantillons de matières organiques dont les groupes fonctionnels sont énuméré</w:t>
      </w:r>
      <w:r w:rsidR="003B6D8B">
        <w:t>s dans les tableaux A6.1 ou A6.3</w:t>
      </w:r>
      <w:r w:rsidRPr="00706B12">
        <w:t xml:space="preserve"> de l’appendice 6 (Procédures de présélection) du Manuel d’épreuves et de critères peuvent être transportés sous le No ONU 3224 (</w:t>
      </w:r>
      <w:r w:rsidR="00AB547F">
        <w:t xml:space="preserve">solide </w:t>
      </w:r>
      <w:proofErr w:type="spellStart"/>
      <w:r w:rsidR="00AB547F">
        <w:t>autoréactif</w:t>
      </w:r>
      <w:proofErr w:type="spellEnd"/>
      <w:r w:rsidR="00AB547F">
        <w:t xml:space="preserve"> du type C</w:t>
      </w:r>
      <w:r w:rsidRPr="00706B12">
        <w:t xml:space="preserve">) ou </w:t>
      </w:r>
      <w:r w:rsidR="00AB547F">
        <w:t xml:space="preserve">sous le No ONU </w:t>
      </w:r>
      <w:r w:rsidRPr="00706B12">
        <w:t>3223 (</w:t>
      </w:r>
      <w:r w:rsidR="00AB547F">
        <w:t xml:space="preserve">liquide </w:t>
      </w:r>
      <w:proofErr w:type="spellStart"/>
      <w:r w:rsidR="00AB547F">
        <w:t>autoréactif</w:t>
      </w:r>
      <w:proofErr w:type="spellEnd"/>
      <w:r w:rsidR="00AB547F">
        <w:t xml:space="preserve"> du type C</w:t>
      </w:r>
      <w:r w:rsidRPr="00706B12">
        <w:t>) de la Division 4.1</w:t>
      </w:r>
      <w:r w:rsidR="00771312">
        <w:t>, selon le cas, à condition que</w:t>
      </w:r>
      <w:r w:rsidRPr="00706B12">
        <w:t>:</w:t>
      </w:r>
    </w:p>
    <w:p w14:paraId="20CA50B2" w14:textId="3C6F6966" w:rsidR="00E3532A" w:rsidRPr="00B66A05" w:rsidRDefault="00E3532A" w:rsidP="00E3532A">
      <w:pPr>
        <w:pStyle w:val="SingleTxtG"/>
      </w:pPr>
      <w:r w:rsidRPr="00B66A05">
        <w:t>a)</w:t>
      </w:r>
      <w:r w:rsidRPr="00B66A05">
        <w:tab/>
        <w:t>Les échantillons ne contiennent:</w:t>
      </w:r>
    </w:p>
    <w:p w14:paraId="0C8687D2" w14:textId="6145AD58" w:rsidR="00E3532A" w:rsidRPr="00B66A05" w:rsidRDefault="00E3532A" w:rsidP="00E3532A">
      <w:pPr>
        <w:pStyle w:val="SingleTxtG"/>
        <w:ind w:firstLine="567"/>
      </w:pPr>
      <w:r w:rsidRPr="00B66A05">
        <w:t>-</w:t>
      </w:r>
      <w:r w:rsidRPr="00B66A05">
        <w:tab/>
        <w:t>aucun explosif connu;</w:t>
      </w:r>
    </w:p>
    <w:p w14:paraId="20153DE3" w14:textId="77777777" w:rsidR="00E3532A" w:rsidRPr="00B66A05" w:rsidRDefault="00E3532A" w:rsidP="00E3532A">
      <w:pPr>
        <w:pStyle w:val="SingleTxtG"/>
        <w:ind w:firstLine="567"/>
      </w:pPr>
      <w:r w:rsidRPr="00B66A05">
        <w:t xml:space="preserve">- </w:t>
      </w:r>
      <w:r w:rsidRPr="00B66A05">
        <w:tab/>
        <w:t>aucune matière ne montrant des effets explosifs lors des épreuves;</w:t>
      </w:r>
    </w:p>
    <w:p w14:paraId="69F3E296" w14:textId="7FCE3B77" w:rsidR="00E3532A" w:rsidRPr="00B66A05" w:rsidRDefault="00E3532A" w:rsidP="00706B12">
      <w:pPr>
        <w:pStyle w:val="SingleTxtG"/>
        <w:ind w:left="2268" w:hanging="567"/>
      </w:pPr>
      <w:r w:rsidRPr="00B66A05">
        <w:t>-</w:t>
      </w:r>
      <w:r w:rsidRPr="00B66A05">
        <w:tab/>
        <w:t xml:space="preserve">aucun composé conçu pour produire un effet explosif pratique ou un effet pyrotechnique; </w:t>
      </w:r>
      <w:r w:rsidR="00A041B2">
        <w:t>ou</w:t>
      </w:r>
    </w:p>
    <w:p w14:paraId="4C488C61" w14:textId="6F3DFED7" w:rsidR="00E3532A" w:rsidRPr="00B66A05" w:rsidRDefault="00E3532A" w:rsidP="00E3532A">
      <w:pPr>
        <w:pStyle w:val="SingleTxtG"/>
        <w:ind w:firstLine="567"/>
      </w:pPr>
      <w:r w:rsidRPr="00B66A05">
        <w:t>-</w:t>
      </w:r>
      <w:r w:rsidRPr="00B66A05">
        <w:tab/>
        <w:t>aucun composé de précurseurs synthéti</w:t>
      </w:r>
      <w:r w:rsidR="00771312">
        <w:t>ques d’explosifs intentionnels</w:t>
      </w:r>
      <w:r w:rsidRPr="00B66A05">
        <w:t>;</w:t>
      </w:r>
    </w:p>
    <w:p w14:paraId="163E30B2" w14:textId="769EA4EA" w:rsidR="00E3532A" w:rsidRPr="00B66A05" w:rsidRDefault="00E3532A" w:rsidP="00E3532A">
      <w:pPr>
        <w:pStyle w:val="SingleTxtG"/>
      </w:pPr>
      <w:r w:rsidRPr="00706B12">
        <w:t>b)</w:t>
      </w:r>
      <w:r w:rsidRPr="00706B12">
        <w:tab/>
        <w:t xml:space="preserve">Pour les mélanges, les complexes ou les sels de matières comburantes inorganiques de la Division 5.1 </w:t>
      </w:r>
      <w:r w:rsidR="00657D7C" w:rsidRPr="00706B12">
        <w:t xml:space="preserve">et de </w:t>
      </w:r>
      <w:r w:rsidRPr="00706B12">
        <w:t xml:space="preserve">matières organiques, la concentration de la matière oxydante inorganique </w:t>
      </w:r>
      <w:r w:rsidR="00657D7C" w:rsidRPr="00706B12">
        <w:t>soit</w:t>
      </w:r>
      <w:r w:rsidRPr="00706B12">
        <w:t>:</w:t>
      </w:r>
    </w:p>
    <w:p w14:paraId="6ADECCC4" w14:textId="3CCD568E" w:rsidR="00E3532A" w:rsidRPr="00B66A05" w:rsidRDefault="00E3532A" w:rsidP="00706B12">
      <w:pPr>
        <w:pStyle w:val="SingleTxtG"/>
        <w:ind w:left="2268" w:hanging="567"/>
      </w:pPr>
      <w:r>
        <w:lastRenderedPageBreak/>
        <w:t>-</w:t>
      </w:r>
      <w:r>
        <w:tab/>
      </w:r>
      <w:r w:rsidR="00657D7C">
        <w:t>i</w:t>
      </w:r>
      <w:r w:rsidRPr="00B66A05">
        <w:t>nférieure à 15 % en masse, si elle est affectée au groupe d’emballage I (très dangereuse)</w:t>
      </w:r>
      <w:r>
        <w:t xml:space="preserve"> ou II (moyennement dangereuse)</w:t>
      </w:r>
      <w:r w:rsidRPr="00B66A05">
        <w:t>; ou</w:t>
      </w:r>
    </w:p>
    <w:p w14:paraId="00626C93" w14:textId="053B46B1" w:rsidR="00E3532A" w:rsidRPr="00B66A05" w:rsidRDefault="00E3532A" w:rsidP="00706B12">
      <w:pPr>
        <w:pStyle w:val="SingleTxtG"/>
        <w:ind w:left="2268" w:hanging="567"/>
      </w:pPr>
      <w:r>
        <w:t>-</w:t>
      </w:r>
      <w:r>
        <w:tab/>
      </w:r>
      <w:r w:rsidR="00657D7C">
        <w:t>i</w:t>
      </w:r>
      <w:r w:rsidRPr="00B66A05">
        <w:t>nférieure à 30 % en masse si elle est affectée au groupe d’emball</w:t>
      </w:r>
      <w:r>
        <w:t>age III (faiblement dangereuse)</w:t>
      </w:r>
      <w:r w:rsidRPr="00B66A05">
        <w:t>;</w:t>
      </w:r>
    </w:p>
    <w:p w14:paraId="5AEBF022" w14:textId="76308874" w:rsidR="00E3532A" w:rsidRPr="00B66A05" w:rsidRDefault="00E3532A" w:rsidP="00E3532A">
      <w:pPr>
        <w:pStyle w:val="SingleTxtG"/>
      </w:pPr>
      <w:r w:rsidRPr="00B66A05">
        <w:t>c)</w:t>
      </w:r>
      <w:r w:rsidRPr="00B66A05">
        <w:tab/>
        <w:t xml:space="preserve">Les données disponibles ne permettent pas une classification plus précise; </w:t>
      </w:r>
    </w:p>
    <w:p w14:paraId="2868330D" w14:textId="288D8B69" w:rsidR="00E3532A" w:rsidRPr="00B66A05" w:rsidRDefault="00E3532A" w:rsidP="00E3532A">
      <w:pPr>
        <w:pStyle w:val="SingleTxtG"/>
      </w:pPr>
      <w:r w:rsidRPr="00B66A05">
        <w:t>d)</w:t>
      </w:r>
      <w:r w:rsidRPr="00B66A05">
        <w:tab/>
        <w:t xml:space="preserve">L’échantillon ne soit pas emballé avec d’autres marchandises; </w:t>
      </w:r>
      <w:r w:rsidR="00A041B2">
        <w:t>e</w:t>
      </w:r>
      <w:r w:rsidRPr="00B66A05">
        <w:t>t</w:t>
      </w:r>
    </w:p>
    <w:p w14:paraId="566F8AEA" w14:textId="6CC11357" w:rsidR="00E3532A" w:rsidRPr="00B66A05" w:rsidRDefault="00E3532A" w:rsidP="00E3532A">
      <w:pPr>
        <w:pStyle w:val="SingleTxtG"/>
      </w:pPr>
      <w:proofErr w:type="gramStart"/>
      <w:r w:rsidRPr="00B66A05">
        <w:t>e</w:t>
      </w:r>
      <w:proofErr w:type="gramEnd"/>
      <w:r w:rsidRPr="00B66A05">
        <w:t>)</w:t>
      </w:r>
      <w:r w:rsidRPr="00B66A05">
        <w:tab/>
        <w:t xml:space="preserve">L’échantillon </w:t>
      </w:r>
      <w:r w:rsidR="00A041B2">
        <w:t>soit</w:t>
      </w:r>
      <w:r w:rsidRPr="00B66A05">
        <w:t xml:space="preserve"> emballé conformément à l’instruction d’emballage P520 et la disposition spéciale d’emballage PP94 ou PP95 du 4.1.4.1, selon le cas.».</w:t>
      </w:r>
    </w:p>
    <w:p w14:paraId="423D0938" w14:textId="142D1B7A" w:rsidR="002342EA" w:rsidRDefault="002342EA" w:rsidP="002342EA">
      <w:pPr>
        <w:pStyle w:val="SingleTxtG"/>
      </w:pPr>
      <w:r>
        <w:t>Ajouter la nouvelle section 2.0.5 suivante:</w:t>
      </w:r>
    </w:p>
    <w:p w14:paraId="3A977CBD" w14:textId="78A6D4F2" w:rsidR="002342EA" w:rsidRPr="00084A4F" w:rsidRDefault="002342EA" w:rsidP="002342EA">
      <w:pPr>
        <w:pStyle w:val="SingleTxtG"/>
        <w:rPr>
          <w:i/>
        </w:rPr>
      </w:pPr>
      <w:r>
        <w:t>«</w:t>
      </w:r>
      <w:r w:rsidRPr="008C16DE">
        <w:rPr>
          <w:b/>
        </w:rPr>
        <w:t>2.0.5</w:t>
      </w:r>
      <w:r w:rsidRPr="008C16DE">
        <w:rPr>
          <w:b/>
        </w:rPr>
        <w:tab/>
      </w:r>
      <w:r w:rsidR="00706B12">
        <w:rPr>
          <w:b/>
        </w:rPr>
        <w:tab/>
      </w:r>
      <w:r w:rsidRPr="008C16DE">
        <w:rPr>
          <w:b/>
        </w:rPr>
        <w:t>Transport d</w:t>
      </w:r>
      <w:r>
        <w:rPr>
          <w:b/>
        </w:rPr>
        <w:t>’</w:t>
      </w:r>
      <w:r w:rsidRPr="008C16DE">
        <w:rPr>
          <w:b/>
        </w:rPr>
        <w:t xml:space="preserve">objets qui contiennent des marchandises dangereuses </w:t>
      </w:r>
      <w:r w:rsidRPr="00605E3B">
        <w:rPr>
          <w:b/>
        </w:rPr>
        <w:t>N.S.A.</w:t>
      </w:r>
    </w:p>
    <w:p w14:paraId="60993EDE" w14:textId="61B79771" w:rsidR="002342EA" w:rsidRPr="00417D49" w:rsidRDefault="002342EA" w:rsidP="002342EA">
      <w:pPr>
        <w:pStyle w:val="SingleTxtG"/>
        <w:rPr>
          <w:i/>
        </w:rPr>
      </w:pPr>
      <w:r w:rsidRPr="00417D49">
        <w:rPr>
          <w:b/>
          <w:i/>
        </w:rPr>
        <w:t>NOTA:</w:t>
      </w:r>
      <w:r w:rsidRPr="00084A4F">
        <w:tab/>
      </w:r>
      <w:r w:rsidRPr="00417D49">
        <w:rPr>
          <w:i/>
        </w:rPr>
        <w:t xml:space="preserve">Pour les objets qui n’ont pas de désignation officielle de transport </w:t>
      </w:r>
      <w:r w:rsidR="0096688F">
        <w:rPr>
          <w:i/>
        </w:rPr>
        <w:t xml:space="preserve">existante </w:t>
      </w:r>
      <w:r w:rsidRPr="00417D49">
        <w:rPr>
          <w:i/>
        </w:rPr>
        <w:t>et qui contiennent seulement des marchandises dangereuses en quantités ne dépassant pas celles fixées à la colonne 7a de la Liste des marchandises dangereuses, voir le No ONU 3363 et la disposition spéciale 301 du chapitre 3.3.</w:t>
      </w:r>
    </w:p>
    <w:p w14:paraId="720DAD2D" w14:textId="19900353" w:rsidR="002342EA" w:rsidRPr="00530DA3" w:rsidRDefault="002342EA" w:rsidP="002342EA">
      <w:pPr>
        <w:pStyle w:val="SingleTxtG"/>
      </w:pPr>
      <w:r w:rsidRPr="00530DA3">
        <w:t>2.0.5.1</w:t>
      </w:r>
      <w:r w:rsidRPr="00530DA3">
        <w:tab/>
      </w:r>
      <w:r w:rsidRPr="00530DA3">
        <w:tab/>
      </w:r>
      <w:r>
        <w:t xml:space="preserve">Les objets qui contiennent des marchandises dangereuses peuvent être transportés </w:t>
      </w:r>
      <w:r w:rsidRPr="0094792A">
        <w:t xml:space="preserve">conformément aux dispositions </w:t>
      </w:r>
      <w:r>
        <w:t xml:space="preserve">figurant par ailleurs dans le </w:t>
      </w:r>
      <w:r w:rsidRPr="0094792A">
        <w:t xml:space="preserve">présent </w:t>
      </w:r>
      <w:r w:rsidR="00462D41">
        <w:t>R</w:t>
      </w:r>
      <w:r w:rsidRPr="0094792A">
        <w:t>èglement</w:t>
      </w:r>
      <w:r>
        <w:t xml:space="preserve"> sous la désignation officielle de transport correspondant aux marchandises dangereuses qu’ils contiennent ou être transportés conformément à la présente section. </w:t>
      </w:r>
      <w:r w:rsidRPr="00530DA3">
        <w:t xml:space="preserve">Aux </w:t>
      </w:r>
      <w:r>
        <w:t>fins de la présente section, le terme «</w:t>
      </w:r>
      <w:r w:rsidRPr="00530DA3">
        <w:t>objet</w:t>
      </w:r>
      <w:r>
        <w:t>»</w:t>
      </w:r>
      <w:r w:rsidRPr="00530DA3">
        <w:t xml:space="preserve"> désigne </w:t>
      </w:r>
      <w:r>
        <w:t>des</w:t>
      </w:r>
      <w:r w:rsidRPr="00530DA3">
        <w:t xml:space="preserve"> machine</w:t>
      </w:r>
      <w:r>
        <w:t>s</w:t>
      </w:r>
      <w:r w:rsidRPr="00530DA3">
        <w:t xml:space="preserve">, </w:t>
      </w:r>
      <w:r>
        <w:t>des</w:t>
      </w:r>
      <w:r w:rsidRPr="00530DA3">
        <w:t xml:space="preserve"> appareil</w:t>
      </w:r>
      <w:r>
        <w:t>s</w:t>
      </w:r>
      <w:r w:rsidRPr="00530DA3">
        <w:t xml:space="preserve"> ou d</w:t>
      </w:r>
      <w:r>
        <w:t>’</w:t>
      </w:r>
      <w:r w:rsidRPr="00530DA3">
        <w:t xml:space="preserve">autres dispositifs contenant une ou plusieurs marchandises dangereuses (ou résidus de </w:t>
      </w:r>
      <w:r>
        <w:t>ce</w:t>
      </w:r>
      <w:r w:rsidRPr="00530DA3">
        <w:t>s marchandi</w:t>
      </w:r>
      <w:r>
        <w:t>s</w:t>
      </w:r>
      <w:r w:rsidRPr="00530DA3">
        <w:t>es) qui font intégralement partie de l</w:t>
      </w:r>
      <w:r>
        <w:t>’</w:t>
      </w:r>
      <w:r w:rsidRPr="00530DA3">
        <w:t>objet, nécessa</w:t>
      </w:r>
      <w:r>
        <w:t>ires à son fonctionnement et qui ne peuvent être enlevés pour le transport. Un emballage intérieur n’est pas considéré comme un objet.</w:t>
      </w:r>
    </w:p>
    <w:p w14:paraId="11B99215" w14:textId="1374B302" w:rsidR="002342EA" w:rsidRPr="00706B12" w:rsidRDefault="002342EA" w:rsidP="002342EA">
      <w:pPr>
        <w:pStyle w:val="SingleTxtG"/>
      </w:pPr>
      <w:r w:rsidRPr="00706B12">
        <w:t>2.0.5.2</w:t>
      </w:r>
      <w:r w:rsidRPr="00706B12">
        <w:tab/>
      </w:r>
      <w:r w:rsidRPr="00706B12">
        <w:tab/>
        <w:t xml:space="preserve">Ces objets peuvent en outre contenir des batteries. Les </w:t>
      </w:r>
      <w:r w:rsidR="00F67E8B" w:rsidRPr="00706B12">
        <w:t xml:space="preserve">piles </w:t>
      </w:r>
      <w:r w:rsidRPr="00706B12">
        <w:t xml:space="preserve">au lithium qui font partie intégrante d’un objet doivent être conformes à un type dont il a été démontré qu’il satisfait aux prescriptions en matière d’épreuves du Manuel d’épreuves et de critères, </w:t>
      </w:r>
      <w:r w:rsidR="008E517B" w:rsidRPr="00706B12">
        <w:t xml:space="preserve">troisième </w:t>
      </w:r>
      <w:r w:rsidRPr="00706B12">
        <w:t>part</w:t>
      </w:r>
      <w:r w:rsidR="008E517B" w:rsidRPr="00706B12">
        <w:t>ie</w:t>
      </w:r>
      <w:r w:rsidRPr="00706B12">
        <w:t xml:space="preserve">, sous-section 38.3, sauf indications contraires du présent Règlement (par exemple pour les objets prototypes de pré-production contenant des </w:t>
      </w:r>
      <w:r w:rsidR="00F67E8B" w:rsidRPr="00706B12">
        <w:t xml:space="preserve">piles </w:t>
      </w:r>
      <w:r w:rsidRPr="00706B12">
        <w:t>au lithium ou pour une petite série de production comprenant au plus 100 de ces objets).</w:t>
      </w:r>
    </w:p>
    <w:p w14:paraId="1725F77D" w14:textId="4C7A8398" w:rsidR="002342EA" w:rsidRPr="00706B12" w:rsidRDefault="002342EA" w:rsidP="002342EA">
      <w:pPr>
        <w:pStyle w:val="SingleTxtG"/>
      </w:pPr>
      <w:r w:rsidRPr="00706B12">
        <w:t>2.0.5.3</w:t>
      </w:r>
      <w:r w:rsidRPr="00706B12">
        <w:tab/>
      </w:r>
      <w:r w:rsidRPr="00706B12">
        <w:tab/>
        <w:t>La présente section ne s’applique pas aux objets possédant déjà une désignation officielle de transport plus précise dans la Liste des marchandises dangereuses du chapitre 3.2.</w:t>
      </w:r>
    </w:p>
    <w:p w14:paraId="2694314E" w14:textId="7F0407CC" w:rsidR="002342EA" w:rsidRPr="00423142" w:rsidRDefault="002342EA" w:rsidP="002342EA">
      <w:pPr>
        <w:pStyle w:val="SingleTxtG"/>
      </w:pPr>
      <w:r w:rsidRPr="00706B12">
        <w:t>2.0.5.4</w:t>
      </w:r>
      <w:r w:rsidRPr="00706B12">
        <w:tab/>
      </w:r>
      <w:r w:rsidRPr="00706B12">
        <w:tab/>
        <w:t>La présente section ne s’applique pas aux marchandises dangereuses de la classe 1, de la division 6.2 ou de la classe 7 ou au</w:t>
      </w:r>
      <w:r w:rsidR="00F67E8B" w:rsidRPr="00706B12">
        <w:t>x</w:t>
      </w:r>
      <w:r w:rsidRPr="00706B12">
        <w:t xml:space="preserve"> matières radioactives contenues dans </w:t>
      </w:r>
      <w:r w:rsidR="00F67E8B" w:rsidRPr="00706B12">
        <w:t xml:space="preserve">des </w:t>
      </w:r>
      <w:r w:rsidRPr="00706B12">
        <w:t>objets.</w:t>
      </w:r>
    </w:p>
    <w:p w14:paraId="1E344E56" w14:textId="7ED1D4D0" w:rsidR="002342EA" w:rsidRDefault="002342EA" w:rsidP="002342EA">
      <w:pPr>
        <w:pStyle w:val="SingleTxtG"/>
      </w:pPr>
      <w:r w:rsidRPr="00706B12">
        <w:t>2.0.5.5</w:t>
      </w:r>
      <w:r w:rsidRPr="00706B12">
        <w:tab/>
      </w:r>
      <w:r w:rsidRPr="00706B12">
        <w:tab/>
        <w:t xml:space="preserve">Les objets contenant des marchandises dangereuses doivent être affectés à une classe ou à une division en fonction de leurs dangers en utilisant, pour chacune des marchandises dangereuses contenues dans l’objet en question, l’ordre de prépondérance des caractéristiques de danger indiquées dans le tableau 2.0.3.3 le cas échéant. Si l’objet contient des marchandises dangereuses de la classe 9, toutes les autres matières dangereuses sont considérées comme présentant un </w:t>
      </w:r>
      <w:r w:rsidR="007B22B9" w:rsidRPr="00706B12">
        <w:t xml:space="preserve">danger </w:t>
      </w:r>
      <w:r w:rsidRPr="00706B12">
        <w:t>plus élevé.</w:t>
      </w:r>
    </w:p>
    <w:p w14:paraId="57ADFA47" w14:textId="73036689" w:rsidR="002342EA" w:rsidRDefault="002342EA" w:rsidP="002342EA">
      <w:pPr>
        <w:pStyle w:val="SingleTxtG"/>
      </w:pPr>
      <w:r w:rsidRPr="00706B12">
        <w:t>2.0.5.6</w:t>
      </w:r>
      <w:r w:rsidRPr="00706B12">
        <w:tab/>
      </w:r>
      <w:r w:rsidRPr="00706B12">
        <w:tab/>
        <w:t xml:space="preserve">Les </w:t>
      </w:r>
      <w:r w:rsidR="00F50C27" w:rsidRPr="00706B12">
        <w:t xml:space="preserve">dangers </w:t>
      </w:r>
      <w:r w:rsidRPr="00706B12">
        <w:t xml:space="preserve">subsidiaires doivent être représentatifs du </w:t>
      </w:r>
      <w:r w:rsidR="00F50C27" w:rsidRPr="00706B12">
        <w:t xml:space="preserve">danger </w:t>
      </w:r>
      <w:r w:rsidRPr="00706B12">
        <w:t xml:space="preserve">principal posé par les autres </w:t>
      </w:r>
      <w:r w:rsidR="007B22B9" w:rsidRPr="00706B12">
        <w:t xml:space="preserve">marchandises </w:t>
      </w:r>
      <w:r w:rsidRPr="00706B12">
        <w:t xml:space="preserve">dangereuses présentes dans l’objet. Alternativement, lorsqu’une seule </w:t>
      </w:r>
      <w:r w:rsidR="007B22B9" w:rsidRPr="00706B12">
        <w:t xml:space="preserve">marchandise </w:t>
      </w:r>
      <w:r w:rsidRPr="00706B12">
        <w:t xml:space="preserve">dangereuse est présente dans l’objet, les </w:t>
      </w:r>
      <w:r w:rsidR="00F50C27" w:rsidRPr="00706B12">
        <w:t xml:space="preserve">dangers </w:t>
      </w:r>
      <w:r w:rsidRPr="00706B12">
        <w:t xml:space="preserve">subsidiaires doivent être ceux qui sont listés dans la colonne 4 de la Liste des marchandises dangereuses. Si l’objet contient plusieurs marchandises dangereuses, et que celles-ci peuvent réagir </w:t>
      </w:r>
      <w:r w:rsidRPr="00706B12">
        <w:lastRenderedPageBreak/>
        <w:t>dangereusement entre elles durant le transport, chacune d’elles doit être enfermée séparément (voir 4.1.1.6).».</w:t>
      </w:r>
    </w:p>
    <w:p w14:paraId="7E1F4FE4" w14:textId="77777777" w:rsidR="00196C06" w:rsidRPr="0059443A" w:rsidRDefault="00196C06" w:rsidP="00196C06">
      <w:pPr>
        <w:pStyle w:val="H1G"/>
      </w:pPr>
      <w:r w:rsidRPr="0059443A">
        <w:tab/>
      </w:r>
      <w:r w:rsidRPr="0059443A">
        <w:tab/>
        <w:t>Chapitre 2.1</w:t>
      </w:r>
    </w:p>
    <w:p w14:paraId="1248DEB5" w14:textId="77777777" w:rsidR="00196C06" w:rsidRDefault="00196C06" w:rsidP="00196C06">
      <w:pPr>
        <w:pStyle w:val="SingleTxtG"/>
        <w:spacing w:before="120"/>
        <w:rPr>
          <w:lang w:val="fr-FR"/>
        </w:rPr>
      </w:pPr>
      <w:r>
        <w:rPr>
          <w:lang w:val="fr-FR"/>
        </w:rPr>
        <w:t>Dans le Nota 4 sous le titre, remplacer «risque» par «danger».</w:t>
      </w:r>
    </w:p>
    <w:p w14:paraId="2D68822C" w14:textId="77777777" w:rsidR="00196C06" w:rsidRDefault="00196C06" w:rsidP="00196C06">
      <w:pPr>
        <w:pStyle w:val="SingleTxtG"/>
        <w:spacing w:before="120"/>
        <w:rPr>
          <w:lang w:val="fr-FR"/>
        </w:rPr>
      </w:pPr>
      <w:r>
        <w:rPr>
          <w:lang w:val="fr-FR"/>
        </w:rPr>
        <w:t>Figure 2.1.1</w:t>
      </w:r>
      <w:r>
        <w:rPr>
          <w:lang w:val="fr-FR"/>
        </w:rPr>
        <w:tab/>
        <w:t>Remplacer «division de risque» par «division de danger».</w:t>
      </w:r>
    </w:p>
    <w:p w14:paraId="1FCE5D8D" w14:textId="77777777" w:rsidR="00196C06" w:rsidRDefault="00196C06" w:rsidP="00196C06">
      <w:pPr>
        <w:pStyle w:val="SingleTxtG"/>
        <w:spacing w:before="120"/>
        <w:rPr>
          <w:lang w:val="fr-FR"/>
        </w:rPr>
      </w:pPr>
      <w:r>
        <w:rPr>
          <w:lang w:val="fr-FR"/>
        </w:rPr>
        <w:t xml:space="preserve">2.1.1.1 </w:t>
      </w:r>
      <w:r w:rsidRPr="00EF61FC">
        <w:rPr>
          <w:lang w:val="fr-FR"/>
        </w:rPr>
        <w:t xml:space="preserve">a) </w:t>
      </w:r>
      <w:r>
        <w:rPr>
          <w:lang w:val="fr-FR"/>
        </w:rPr>
        <w:tab/>
        <w:t>Remplacer «risque» par «danger».</w:t>
      </w:r>
    </w:p>
    <w:p w14:paraId="3F0ED5AF" w14:textId="6B6A2439" w:rsidR="00E3532A" w:rsidRPr="00E3532A" w:rsidRDefault="00E3532A" w:rsidP="00196C06">
      <w:pPr>
        <w:pStyle w:val="SingleTxtG"/>
        <w:spacing w:before="120"/>
        <w:rPr>
          <w:b/>
          <w:iCs/>
        </w:rPr>
      </w:pPr>
      <w:r>
        <w:rPr>
          <w:iCs/>
        </w:rPr>
        <w:t>2.1.1.1 c)</w:t>
      </w:r>
      <w:r>
        <w:rPr>
          <w:iCs/>
        </w:rPr>
        <w:tab/>
      </w:r>
      <w:r w:rsidRPr="00BC3E0B">
        <w:rPr>
          <w:lang w:val="fr-FR"/>
        </w:rPr>
        <w:t>L’amendement ne s’applique pas au texte français.</w:t>
      </w:r>
    </w:p>
    <w:p w14:paraId="3739F86B" w14:textId="77777777" w:rsidR="00196C06" w:rsidRPr="00EF61FC" w:rsidRDefault="00196C06" w:rsidP="00196C06">
      <w:pPr>
        <w:pStyle w:val="SingleTxtG"/>
        <w:rPr>
          <w:lang w:val="fr-FR"/>
        </w:rPr>
      </w:pPr>
      <w:r w:rsidRPr="00EF61FC">
        <w:rPr>
          <w:lang w:val="fr-FR"/>
        </w:rPr>
        <w:t xml:space="preserve">2.1.1.4 </w:t>
      </w:r>
      <w:r>
        <w:rPr>
          <w:lang w:val="fr-FR"/>
        </w:rPr>
        <w:tab/>
        <w:t>Dans les alinéas a) à f) avant le Nota, remplacer «risque» par «danger» (11 fois).</w:t>
      </w:r>
    </w:p>
    <w:p w14:paraId="6D413BA2" w14:textId="77777777" w:rsidR="00196C06" w:rsidRPr="0059443A" w:rsidRDefault="00196C06" w:rsidP="00196C06">
      <w:pPr>
        <w:spacing w:before="120" w:after="120" w:line="240" w:lineRule="auto"/>
        <w:ind w:left="1134" w:right="1134"/>
        <w:jc w:val="both"/>
      </w:pPr>
      <w:r w:rsidRPr="0059443A">
        <w:rPr>
          <w:lang w:eastAsia="en-GB"/>
        </w:rPr>
        <w:t>2.1.1.4 f)</w:t>
      </w:r>
      <w:r w:rsidRPr="0059443A">
        <w:rPr>
          <w:lang w:eastAsia="en-GB"/>
        </w:rPr>
        <w:tab/>
        <w:t>Dans le Nota, r</w:t>
      </w:r>
      <w:r w:rsidRPr="0059443A">
        <w:t>emplacer «risque» par «danger».</w:t>
      </w:r>
    </w:p>
    <w:p w14:paraId="74D6153F" w14:textId="77777777" w:rsidR="00196C06" w:rsidRDefault="00196C06" w:rsidP="00196C06">
      <w:pPr>
        <w:tabs>
          <w:tab w:val="left" w:pos="2268"/>
        </w:tabs>
        <w:spacing w:before="120" w:after="120" w:line="240" w:lineRule="auto"/>
        <w:ind w:left="1134" w:right="1134"/>
        <w:jc w:val="both"/>
        <w:rPr>
          <w:i/>
          <w:iCs/>
        </w:rPr>
      </w:pPr>
      <w:r>
        <w:rPr>
          <w:lang w:val="fr-FR"/>
        </w:rPr>
        <w:t>2.1.2.1</w:t>
      </w:r>
      <w:r>
        <w:rPr>
          <w:lang w:val="fr-FR"/>
        </w:rPr>
        <w:tab/>
      </w:r>
      <w:r>
        <w:rPr>
          <w:iCs/>
          <w:lang w:val="fr-FR"/>
        </w:rPr>
        <w:t>À</w:t>
      </w:r>
      <w:r>
        <w:rPr>
          <w:lang w:val="fr-FR"/>
        </w:rPr>
        <w:t xml:space="preserve"> la fin, remplacer «risque» par «danger».</w:t>
      </w:r>
    </w:p>
    <w:p w14:paraId="389DF03F" w14:textId="77777777" w:rsidR="00196C06" w:rsidRPr="0059443A" w:rsidRDefault="00196C06" w:rsidP="00196C06">
      <w:pPr>
        <w:spacing w:before="120" w:after="120" w:line="240" w:lineRule="auto"/>
        <w:ind w:left="1134" w:right="1134"/>
        <w:jc w:val="both"/>
      </w:pPr>
      <w:r w:rsidRPr="0059443A">
        <w:t>2.1.2.1.1</w:t>
      </w:r>
      <w:r w:rsidRPr="0059443A">
        <w:tab/>
        <w:t xml:space="preserve">Dans le tableau, pour le Groupe de compatibilité «L», dans la première colonne, </w:t>
      </w:r>
      <w:r w:rsidRPr="0059443A">
        <w:rPr>
          <w:lang w:eastAsia="en-GB"/>
        </w:rPr>
        <w:t>r</w:t>
      </w:r>
      <w:r w:rsidRPr="0059443A">
        <w:t>emplacer «risque» par «danger».</w:t>
      </w:r>
    </w:p>
    <w:p w14:paraId="5CBA4269" w14:textId="77777777" w:rsidR="00196C06" w:rsidRDefault="00196C06" w:rsidP="00196C06">
      <w:pPr>
        <w:spacing w:before="120" w:after="120" w:line="240" w:lineRule="auto"/>
        <w:ind w:left="1134" w:right="1134"/>
        <w:jc w:val="both"/>
      </w:pPr>
      <w:r w:rsidRPr="00EF61FC">
        <w:rPr>
          <w:lang w:val="fr-FR"/>
        </w:rPr>
        <w:t xml:space="preserve">2.1.2.1.2 </w:t>
      </w:r>
      <w:r>
        <w:rPr>
          <w:lang w:val="fr-FR"/>
        </w:rPr>
        <w:tab/>
        <w:t>Dans le premier paragraphe et dans le titre de la première colonne du tableau, remplacer «division de risque» par «division de danger».</w:t>
      </w:r>
    </w:p>
    <w:p w14:paraId="40F5705E" w14:textId="77777777" w:rsidR="00196C06" w:rsidRPr="0059443A" w:rsidRDefault="00196C06" w:rsidP="00196C06">
      <w:pPr>
        <w:spacing w:before="120" w:after="120" w:line="240" w:lineRule="auto"/>
        <w:ind w:left="1134" w:right="1134"/>
        <w:jc w:val="both"/>
      </w:pPr>
      <w:r w:rsidRPr="0059443A">
        <w:t>2.1.3.1.2 c)</w:t>
      </w:r>
      <w:r w:rsidRPr="0059443A">
        <w:tab/>
        <w:t>Dans le Nota, remplacer «un risque faible en un risque d’explosion» par «un danger faible en un danger d’explosion».</w:t>
      </w:r>
    </w:p>
    <w:p w14:paraId="36760E9F" w14:textId="77777777" w:rsidR="00196C06" w:rsidRDefault="00196C06" w:rsidP="00196C06">
      <w:pPr>
        <w:spacing w:before="120" w:after="120" w:line="240" w:lineRule="auto"/>
        <w:ind w:left="1134" w:right="1134"/>
        <w:jc w:val="both"/>
        <w:rPr>
          <w:i/>
          <w:iCs/>
        </w:rPr>
      </w:pPr>
      <w:r>
        <w:rPr>
          <w:lang w:val="fr-FR"/>
        </w:rPr>
        <w:t>2.1.3.2.1</w:t>
      </w:r>
      <w:r>
        <w:rPr>
          <w:lang w:val="fr-FR"/>
        </w:rPr>
        <w:tab/>
      </w:r>
      <w:r>
        <w:rPr>
          <w:iCs/>
          <w:lang w:val="fr-FR"/>
        </w:rPr>
        <w:t>À</w:t>
      </w:r>
      <w:r>
        <w:rPr>
          <w:lang w:val="fr-FR"/>
        </w:rPr>
        <w:t xml:space="preserve"> la fin, remplacer «division de risque» par «division de danger».</w:t>
      </w:r>
    </w:p>
    <w:p w14:paraId="42322A66" w14:textId="77777777" w:rsidR="00196C06" w:rsidRDefault="00196C06" w:rsidP="00196C06">
      <w:pPr>
        <w:pStyle w:val="SingleTxtG"/>
        <w:spacing w:before="120"/>
        <w:rPr>
          <w:lang w:val="fr-FR"/>
        </w:rPr>
      </w:pPr>
      <w:r>
        <w:rPr>
          <w:lang w:val="fr-FR"/>
        </w:rPr>
        <w:t>2.1.3.3.1</w:t>
      </w:r>
      <w:r>
        <w:rPr>
          <w:lang w:val="fr-FR"/>
        </w:rPr>
        <w:tab/>
        <w:t xml:space="preserve">Dans le Nota, à la quatrième phrase, </w:t>
      </w:r>
      <w:proofErr w:type="gramStart"/>
      <w:r>
        <w:rPr>
          <w:lang w:val="fr-FR"/>
        </w:rPr>
        <w:t>remplacer</w:t>
      </w:r>
      <w:proofErr w:type="gramEnd"/>
      <w:r>
        <w:rPr>
          <w:lang w:val="fr-FR"/>
        </w:rPr>
        <w:t xml:space="preserve"> «déterminer le risque» par «déterminer le danger».</w:t>
      </w:r>
    </w:p>
    <w:p w14:paraId="79EF75D3" w14:textId="77777777" w:rsidR="00196C06" w:rsidRDefault="00196C06" w:rsidP="00196C06">
      <w:pPr>
        <w:pStyle w:val="SingleTxtG"/>
        <w:spacing w:before="120"/>
        <w:rPr>
          <w:lang w:val="fr-FR"/>
        </w:rPr>
      </w:pPr>
      <w:r>
        <w:rPr>
          <w:lang w:val="fr-FR"/>
        </w:rPr>
        <w:t>2.1.3.4</w:t>
      </w:r>
      <w:r>
        <w:rPr>
          <w:lang w:val="fr-FR"/>
        </w:rPr>
        <w:tab/>
      </w:r>
      <w:r>
        <w:rPr>
          <w:lang w:val="fr-FR"/>
        </w:rPr>
        <w:tab/>
        <w:t>Remplacer «divisions de risque» par «divisions de danger».</w:t>
      </w:r>
    </w:p>
    <w:p w14:paraId="6BF89DC4" w14:textId="77777777" w:rsidR="00196C06" w:rsidRDefault="00196C06" w:rsidP="00196C06">
      <w:pPr>
        <w:pStyle w:val="SingleTxtG"/>
        <w:spacing w:before="120"/>
        <w:rPr>
          <w:i/>
          <w:iCs/>
        </w:rPr>
      </w:pPr>
      <w:r w:rsidRPr="00EF61FC">
        <w:rPr>
          <w:lang w:val="fr-FR"/>
        </w:rPr>
        <w:t xml:space="preserve">2.1.3.4.1 </w:t>
      </w:r>
      <w:r>
        <w:rPr>
          <w:lang w:val="fr-FR"/>
        </w:rPr>
        <w:tab/>
        <w:t>Remplacer «risque» par «danger» (deux fois).</w:t>
      </w:r>
    </w:p>
    <w:p w14:paraId="392FEA19" w14:textId="77777777" w:rsidR="00196C06" w:rsidRDefault="00196C06" w:rsidP="00196C06">
      <w:pPr>
        <w:pStyle w:val="SingleTxtG"/>
        <w:spacing w:before="120"/>
        <w:rPr>
          <w:lang w:val="fr-FR"/>
        </w:rPr>
      </w:pPr>
      <w:r>
        <w:rPr>
          <w:lang w:val="fr-FR"/>
        </w:rPr>
        <w:t>2.1.3.4.2</w:t>
      </w:r>
      <w:r>
        <w:rPr>
          <w:lang w:val="fr-FR"/>
        </w:rPr>
        <w:tab/>
        <w:t>Remplacer «division de risques» par «division de danger».</w:t>
      </w:r>
    </w:p>
    <w:p w14:paraId="4131180A" w14:textId="77777777" w:rsidR="00196C06" w:rsidRDefault="00196C06" w:rsidP="00196C06">
      <w:pPr>
        <w:pStyle w:val="SingleTxtG"/>
        <w:spacing w:before="120"/>
        <w:rPr>
          <w:i/>
          <w:iCs/>
        </w:rPr>
      </w:pPr>
      <w:r>
        <w:rPr>
          <w:lang w:val="fr-FR"/>
        </w:rPr>
        <w:t>2.1.3.5</w:t>
      </w:r>
      <w:r>
        <w:rPr>
          <w:lang w:val="fr-FR"/>
        </w:rPr>
        <w:tab/>
      </w:r>
      <w:r>
        <w:rPr>
          <w:lang w:val="fr-FR"/>
        </w:rPr>
        <w:tab/>
        <w:t>Remplacer «risque» par «danger».</w:t>
      </w:r>
    </w:p>
    <w:p w14:paraId="6598AE98" w14:textId="77777777" w:rsidR="00196C06" w:rsidRDefault="00196C06" w:rsidP="00196C06">
      <w:pPr>
        <w:pStyle w:val="SingleTxtG"/>
        <w:spacing w:before="120"/>
        <w:rPr>
          <w:lang w:val="fr-FR"/>
        </w:rPr>
      </w:pPr>
      <w:r>
        <w:rPr>
          <w:lang w:val="fr-FR"/>
        </w:rPr>
        <w:t>2.1.3.5.1</w:t>
      </w:r>
      <w:r>
        <w:rPr>
          <w:lang w:val="fr-FR"/>
        </w:rPr>
        <w:tab/>
        <w:t>Dans la première phrase, remplacer «risque» par «danger».</w:t>
      </w:r>
    </w:p>
    <w:p w14:paraId="13A14511" w14:textId="77777777" w:rsidR="00196C06" w:rsidRPr="00193B8A" w:rsidRDefault="00196C06" w:rsidP="00196C06">
      <w:pPr>
        <w:pStyle w:val="SingleTxtG"/>
        <w:spacing w:before="120"/>
        <w:rPr>
          <w:lang w:val="fr-FR"/>
        </w:rPr>
      </w:pPr>
      <w:r>
        <w:t xml:space="preserve">2.1.3.5.1 </w:t>
      </w:r>
      <w:r w:rsidRPr="00C57D44">
        <w:t>a)</w:t>
      </w:r>
      <w:r w:rsidRPr="00C57D44">
        <w:tab/>
      </w:r>
      <w:r>
        <w:rPr>
          <w:lang w:val="fr-FR"/>
        </w:rPr>
        <w:t>Remplacer «</w:t>
      </w:r>
      <w:r w:rsidRPr="00841800">
        <w:t>qui obtiennent un résultat positif à l’issue de l’épreuve HSL des compositions éclair décrite à l’appendice 7 du Manuel d’épreuves et de critères doivent être affectés</w:t>
      </w:r>
      <w:r>
        <w:rPr>
          <w:lang w:val="fr-FR"/>
        </w:rPr>
        <w:t>» par «</w:t>
      </w:r>
      <w:r w:rsidRPr="00ED3A60">
        <w:rPr>
          <w:lang w:val="fr-FR"/>
        </w:rPr>
        <w:t>contenant une composition éclair (voir 2.1.3.5.5, Nota 2) doivent être affecté</w:t>
      </w:r>
      <w:r>
        <w:rPr>
          <w:lang w:val="fr-FR"/>
        </w:rPr>
        <w:t>e</w:t>
      </w:r>
      <w:r w:rsidRPr="00ED3A60">
        <w:rPr>
          <w:lang w:val="fr-FR"/>
        </w:rPr>
        <w:t>s</w:t>
      </w:r>
      <w:r>
        <w:rPr>
          <w:lang w:val="fr-FR"/>
        </w:rPr>
        <w:t>».</w:t>
      </w:r>
    </w:p>
    <w:p w14:paraId="2ABEC421" w14:textId="77777777" w:rsidR="00196C06" w:rsidRDefault="00196C06" w:rsidP="00196C06">
      <w:pPr>
        <w:pStyle w:val="SingleTxtG"/>
        <w:spacing w:before="120"/>
        <w:rPr>
          <w:lang w:val="fr-FR"/>
        </w:rPr>
      </w:pPr>
      <w:r w:rsidRPr="00EF61FC">
        <w:rPr>
          <w:lang w:val="fr-FR"/>
        </w:rPr>
        <w:t xml:space="preserve">2.1.3.5.2 </w:t>
      </w:r>
      <w:r>
        <w:rPr>
          <w:lang w:val="fr-FR"/>
        </w:rPr>
        <w:tab/>
        <w:t>Dans le Nota 2, remplacer «risque» par «danger».</w:t>
      </w:r>
    </w:p>
    <w:p w14:paraId="36BCFFA3" w14:textId="77777777" w:rsidR="00196C06" w:rsidRDefault="00196C06" w:rsidP="00196C06">
      <w:pPr>
        <w:pStyle w:val="SingleTxtG"/>
        <w:spacing w:before="120"/>
        <w:rPr>
          <w:lang w:val="fr-FR"/>
        </w:rPr>
      </w:pPr>
      <w:r w:rsidRPr="00EF61FC">
        <w:rPr>
          <w:lang w:val="fr-FR"/>
        </w:rPr>
        <w:t xml:space="preserve">2.1.3.5.3 </w:t>
      </w:r>
      <w:r>
        <w:rPr>
          <w:lang w:val="fr-FR"/>
        </w:rPr>
        <w:tab/>
        <w:t>Remplacer «risque» par «danger» (deux fois).</w:t>
      </w:r>
    </w:p>
    <w:p w14:paraId="4363716A" w14:textId="4A8E347A" w:rsidR="00196C06" w:rsidRPr="00193B8A" w:rsidRDefault="00196C06" w:rsidP="00196C06">
      <w:pPr>
        <w:pStyle w:val="SingleTxtG"/>
        <w:spacing w:before="120"/>
        <w:rPr>
          <w:lang w:val="fr-FR"/>
        </w:rPr>
      </w:pPr>
      <w:r w:rsidRPr="00193B8A">
        <w:rPr>
          <w:lang w:val="fr-FR"/>
        </w:rPr>
        <w:t>2.1.3.5.5</w:t>
      </w:r>
      <w:r w:rsidRPr="00193B8A">
        <w:rPr>
          <w:lang w:val="fr-FR"/>
        </w:rPr>
        <w:tab/>
        <w:t xml:space="preserve">Modifier </w:t>
      </w:r>
      <w:r w:rsidR="00597A79">
        <w:rPr>
          <w:lang w:val="fr-FR"/>
        </w:rPr>
        <w:t xml:space="preserve">le Nota 2 </w:t>
      </w:r>
      <w:r w:rsidRPr="00193B8A">
        <w:rPr>
          <w:lang w:val="fr-FR"/>
        </w:rPr>
        <w:t>pour lire comme suit:</w:t>
      </w:r>
    </w:p>
    <w:p w14:paraId="5902C3CD" w14:textId="27617753" w:rsidR="00196C06" w:rsidRPr="00193B8A" w:rsidRDefault="00196C06" w:rsidP="00597A79">
      <w:pPr>
        <w:pStyle w:val="SingleTxtG"/>
        <w:spacing w:before="120"/>
        <w:rPr>
          <w:lang w:val="fr-FR"/>
        </w:rPr>
      </w:pPr>
      <w:r w:rsidRPr="00193B8A">
        <w:rPr>
          <w:lang w:val="fr-FR"/>
        </w:rPr>
        <w:t>«</w:t>
      </w:r>
      <w:r w:rsidRPr="00597A79">
        <w:rPr>
          <w:b/>
          <w:i/>
          <w:lang w:val="fr-FR"/>
        </w:rPr>
        <w:t>NOTA 2</w:t>
      </w:r>
      <w:r w:rsidR="00597A79" w:rsidRPr="00597A79">
        <w:rPr>
          <w:b/>
          <w:i/>
          <w:lang w:val="fr-FR"/>
        </w:rPr>
        <w:t>:</w:t>
      </w:r>
      <w:r w:rsidRPr="00597A79">
        <w:rPr>
          <w:i/>
          <w:lang w:val="fr-FR"/>
        </w:rPr>
        <w:tab/>
      </w:r>
      <w:r w:rsidR="00597A79" w:rsidRPr="00B02F96">
        <w:rPr>
          <w:i/>
        </w:rPr>
        <w:t xml:space="preserve">Le terme </w:t>
      </w:r>
      <w:r w:rsidR="00597A79">
        <w:rPr>
          <w:i/>
        </w:rPr>
        <w:t>"</w:t>
      </w:r>
      <w:r w:rsidR="00597A79" w:rsidRPr="00B02F96">
        <w:rPr>
          <w:i/>
        </w:rPr>
        <w:t>Composition éclair</w:t>
      </w:r>
      <w:r w:rsidR="00597A79">
        <w:rPr>
          <w:i/>
        </w:rPr>
        <w:t xml:space="preserve">" </w:t>
      </w:r>
      <w:r w:rsidR="00597A79" w:rsidRPr="00B02F96">
        <w:rPr>
          <w:i/>
        </w:rPr>
        <w:t xml:space="preserve">dans ce tableau se réfère à des matières pyrotechniques, sous forme de poudre ou en tant que composant pyrotechnique élémentaire, telles que présentées dans l'artifice de divertissement, qui sont utilisées </w:t>
      </w:r>
      <w:r w:rsidR="00597A79" w:rsidRPr="00597A79">
        <w:rPr>
          <w:i/>
        </w:rPr>
        <w:t xml:space="preserve">dans les cascades, ou </w:t>
      </w:r>
      <w:r w:rsidR="00597A79" w:rsidRPr="00B02F96">
        <w:rPr>
          <w:i/>
        </w:rPr>
        <w:t>pour produire un effet sonore ou utilisées en tant que charge d’éclatement, ou en tant que charge propulsive à moins</w:t>
      </w:r>
      <w:r w:rsidR="00597A79">
        <w:rPr>
          <w:i/>
        </w:rPr>
        <w:t xml:space="preserve">: </w:t>
      </w:r>
    </w:p>
    <w:p w14:paraId="5A1E7693" w14:textId="1F37A735" w:rsidR="00196C06" w:rsidRPr="00597A79" w:rsidRDefault="00196C06" w:rsidP="00196C06">
      <w:pPr>
        <w:pStyle w:val="SingleTxtG"/>
        <w:spacing w:before="120"/>
        <w:rPr>
          <w:i/>
        </w:rPr>
      </w:pPr>
      <w:r w:rsidRPr="00597A79">
        <w:rPr>
          <w:i/>
          <w:lang w:val="fr-FR"/>
        </w:rPr>
        <w:t>a)</w:t>
      </w:r>
      <w:r w:rsidRPr="00597A79">
        <w:rPr>
          <w:i/>
          <w:lang w:val="fr-FR"/>
        </w:rPr>
        <w:tab/>
      </w:r>
      <w:r w:rsidRPr="00597A79">
        <w:rPr>
          <w:i/>
        </w:rPr>
        <w:t>qu’il soit démontré que le temps de montée en pression dans l’épreuve HSL des compositions éclair de l’appendice 7 du Manuel d’épreuves et de critères est supérieur à 6 ms pour 0,5 g de matière pyrotechnique; ou</w:t>
      </w:r>
    </w:p>
    <w:p w14:paraId="5DB7BCD8" w14:textId="233EF4A5" w:rsidR="00196C06" w:rsidRDefault="00196C06" w:rsidP="00196C06">
      <w:pPr>
        <w:spacing w:before="120" w:after="120" w:line="240" w:lineRule="auto"/>
        <w:ind w:left="1134" w:right="1134"/>
        <w:jc w:val="both"/>
        <w:rPr>
          <w:lang w:val="fr-FR"/>
        </w:rPr>
      </w:pPr>
      <w:r w:rsidRPr="00597A79">
        <w:rPr>
          <w:i/>
        </w:rPr>
        <w:lastRenderedPageBreak/>
        <w:t>b)</w:t>
      </w:r>
      <w:r w:rsidRPr="00597A79">
        <w:rPr>
          <w:i/>
        </w:rPr>
        <w:tab/>
      </w:r>
      <w:r w:rsidR="0096688F">
        <w:rPr>
          <w:i/>
        </w:rPr>
        <w:t xml:space="preserve">que </w:t>
      </w:r>
      <w:r w:rsidRPr="00597A79">
        <w:rPr>
          <w:i/>
        </w:rPr>
        <w:t xml:space="preserve">la matière pyrotechnique donne un résultat négatif "-" dans l’épreuve des compositions éclair des </w:t>
      </w:r>
      <w:r w:rsidR="0096688F">
        <w:rPr>
          <w:i/>
        </w:rPr>
        <w:t>É</w:t>
      </w:r>
      <w:r w:rsidRPr="00597A79">
        <w:rPr>
          <w:i/>
        </w:rPr>
        <w:t>tats-Unis de l’appendice 7 du Manuel d’épreuves et de critères.</w:t>
      </w:r>
      <w:r>
        <w:rPr>
          <w:lang w:val="fr-FR"/>
        </w:rPr>
        <w:t>».</w:t>
      </w:r>
    </w:p>
    <w:p w14:paraId="2FBF3E0E" w14:textId="77777777" w:rsidR="00196C06" w:rsidRPr="00193B8A" w:rsidRDefault="00196C06" w:rsidP="00196C06">
      <w:pPr>
        <w:pStyle w:val="SingleTxtG"/>
        <w:rPr>
          <w:iCs/>
          <w:lang w:val="fr-FR"/>
        </w:rPr>
      </w:pPr>
      <w:r w:rsidRPr="00193B8A">
        <w:rPr>
          <w:iCs/>
          <w:lang w:val="fr-FR"/>
        </w:rPr>
        <w:t>2.1.3.5.5</w:t>
      </w:r>
      <w:r>
        <w:rPr>
          <w:iCs/>
          <w:lang w:val="fr-FR"/>
        </w:rPr>
        <w:tab/>
        <w:t>Dans le t</w:t>
      </w:r>
      <w:r w:rsidRPr="00193B8A">
        <w:rPr>
          <w:iCs/>
          <w:lang w:val="fr-FR"/>
        </w:rPr>
        <w:t>ableau</w:t>
      </w:r>
      <w:r>
        <w:rPr>
          <w:iCs/>
          <w:lang w:val="fr-FR"/>
        </w:rPr>
        <w:t>, pour la rubrique «Cascade»</w:t>
      </w:r>
      <w:r w:rsidRPr="00193B8A">
        <w:rPr>
          <w:iCs/>
          <w:lang w:val="fr-FR"/>
        </w:rPr>
        <w:t>, dans la colonne «Caractéristiques», modifier le texte de la première ligne pour lire «Contient une composition éclair, indépendamment des résultats des épreuves de la série 6 (voir 2.1.3.5.1 a))». Modifier le texte de la deuxième ligne pour lire «Ne contie</w:t>
      </w:r>
      <w:r>
        <w:rPr>
          <w:iCs/>
          <w:lang w:val="fr-FR"/>
        </w:rPr>
        <w:t>nt pas une composition éclair».</w:t>
      </w:r>
    </w:p>
    <w:p w14:paraId="13F15661" w14:textId="77777777" w:rsidR="00196C06" w:rsidRDefault="00196C06" w:rsidP="00196C06">
      <w:pPr>
        <w:spacing w:before="120" w:after="120" w:line="240" w:lineRule="auto"/>
        <w:ind w:left="1134" w:right="1134"/>
        <w:jc w:val="both"/>
        <w:rPr>
          <w:lang w:eastAsia="en-GB"/>
        </w:rPr>
      </w:pPr>
      <w:r>
        <w:rPr>
          <w:lang w:val="fr-FR"/>
        </w:rPr>
        <w:t>2.1.3.5.5</w:t>
      </w:r>
      <w:r>
        <w:rPr>
          <w:lang w:val="fr-FR"/>
        </w:rPr>
        <w:tab/>
        <w:t>Dans le tableau, dans la première colonne, pour la rubrique «</w:t>
      </w:r>
      <w:r w:rsidRPr="00D2455C">
        <w:rPr>
          <w:lang w:val="fr-FR"/>
        </w:rPr>
        <w:t>Petit artifice de</w:t>
      </w:r>
      <w:r>
        <w:rPr>
          <w:lang w:val="fr-FR"/>
        </w:rPr>
        <w:t xml:space="preserve"> </w:t>
      </w:r>
      <w:r w:rsidRPr="00D2455C">
        <w:rPr>
          <w:lang w:val="fr-FR"/>
        </w:rPr>
        <w:t>divertissement</w:t>
      </w:r>
      <w:r>
        <w:rPr>
          <w:lang w:val="fr-FR"/>
        </w:rPr>
        <w:t xml:space="preserve"> </w:t>
      </w:r>
      <w:r w:rsidRPr="00D2455C">
        <w:rPr>
          <w:lang w:val="fr-FR"/>
        </w:rPr>
        <w:t>grand public et</w:t>
      </w:r>
      <w:r>
        <w:rPr>
          <w:lang w:val="fr-FR"/>
        </w:rPr>
        <w:t xml:space="preserve"> </w:t>
      </w:r>
      <w:r w:rsidRPr="00D2455C">
        <w:rPr>
          <w:lang w:val="fr-FR"/>
        </w:rPr>
        <w:t>artifice</w:t>
      </w:r>
      <w:r>
        <w:rPr>
          <w:lang w:val="fr-FR"/>
        </w:rPr>
        <w:t xml:space="preserve"> </w:t>
      </w:r>
      <w:r w:rsidRPr="00D2455C">
        <w:rPr>
          <w:lang w:val="fr-FR"/>
        </w:rPr>
        <w:t>présentant un</w:t>
      </w:r>
      <w:r>
        <w:rPr>
          <w:lang w:val="fr-FR"/>
        </w:rPr>
        <w:t xml:space="preserve"> </w:t>
      </w:r>
      <w:r w:rsidRPr="00D2455C">
        <w:rPr>
          <w:lang w:val="fr-FR"/>
        </w:rPr>
        <w:t>risque faible</w:t>
      </w:r>
      <w:r>
        <w:rPr>
          <w:lang w:val="fr-FR"/>
        </w:rPr>
        <w:t>», remplacer «risque» par «danger».</w:t>
      </w:r>
    </w:p>
    <w:p w14:paraId="02116091" w14:textId="77777777" w:rsidR="00196C06" w:rsidRPr="0059443A" w:rsidRDefault="00196C06" w:rsidP="00196C06">
      <w:pPr>
        <w:pStyle w:val="SingleTxtG"/>
      </w:pPr>
      <w:r w:rsidRPr="0059443A">
        <w:t>2.1.3.6.3</w:t>
      </w:r>
      <w:r w:rsidRPr="0059443A">
        <w:tab/>
        <w:t>Dans la dernière phrase, remplacer «risques» par «danger».</w:t>
      </w:r>
    </w:p>
    <w:p w14:paraId="234DE3CC" w14:textId="77777777" w:rsidR="00196C06" w:rsidRPr="0059443A" w:rsidRDefault="00196C06" w:rsidP="00196C06">
      <w:pPr>
        <w:pStyle w:val="SingleTxtG"/>
      </w:pPr>
      <w:r w:rsidRPr="0059443A">
        <w:t>2.1.3.6.4</w:t>
      </w:r>
      <w:r w:rsidRPr="0059443A">
        <w:tab/>
        <w:t xml:space="preserve">Dans le Nota 2, à la fin, </w:t>
      </w:r>
      <w:r w:rsidRPr="0059443A">
        <w:rPr>
          <w:lang w:eastAsia="en-GB"/>
        </w:rPr>
        <w:t>r</w:t>
      </w:r>
      <w:r w:rsidRPr="0059443A">
        <w:t>emplacer «risque» par «danger».</w:t>
      </w:r>
    </w:p>
    <w:p w14:paraId="7E727A28" w14:textId="77777777" w:rsidR="00196C06" w:rsidRDefault="00196C06" w:rsidP="00196C06">
      <w:pPr>
        <w:pStyle w:val="SingleTxtG"/>
        <w:rPr>
          <w:lang w:val="fr-FR"/>
        </w:rPr>
      </w:pPr>
      <w:r>
        <w:rPr>
          <w:lang w:val="fr-FR"/>
        </w:rPr>
        <w:t xml:space="preserve">2.1.3.7.4 </w:t>
      </w:r>
      <w:r w:rsidRPr="00EF61FC">
        <w:rPr>
          <w:lang w:val="fr-FR"/>
        </w:rPr>
        <w:t xml:space="preserve">f) </w:t>
      </w:r>
      <w:r>
        <w:rPr>
          <w:lang w:val="fr-FR"/>
        </w:rPr>
        <w:tab/>
        <w:t>Remplacer «risque» par «danger».</w:t>
      </w:r>
    </w:p>
    <w:p w14:paraId="151E8964" w14:textId="77777777" w:rsidR="00196C06" w:rsidRPr="0059443A" w:rsidRDefault="00196C06" w:rsidP="00196C06">
      <w:pPr>
        <w:pStyle w:val="H1G"/>
      </w:pPr>
      <w:r>
        <w:tab/>
      </w:r>
      <w:r>
        <w:tab/>
      </w:r>
      <w:r w:rsidRPr="0059443A">
        <w:t>Chapitre 2.2</w:t>
      </w:r>
    </w:p>
    <w:p w14:paraId="4F89806B" w14:textId="77777777" w:rsidR="00196C06" w:rsidRDefault="00196C06" w:rsidP="00196C06">
      <w:pPr>
        <w:spacing w:before="120" w:after="120" w:line="240" w:lineRule="auto"/>
        <w:ind w:left="1134" w:right="1134"/>
        <w:jc w:val="both"/>
        <w:rPr>
          <w:lang w:val="fr-FR"/>
        </w:rPr>
      </w:pPr>
      <w:r>
        <w:t>2.2.2.1</w:t>
      </w:r>
      <w:r>
        <w:tab/>
      </w:r>
      <w:r>
        <w:tab/>
      </w:r>
      <w:r>
        <w:rPr>
          <w:lang w:val="fr-FR"/>
        </w:rPr>
        <w:t>Dans la première phrase, remplacer «risque» par «danger».</w:t>
      </w:r>
    </w:p>
    <w:p w14:paraId="345175AB" w14:textId="77777777" w:rsidR="00196C06" w:rsidRPr="0059443A" w:rsidRDefault="00196C06" w:rsidP="00196C06">
      <w:pPr>
        <w:spacing w:before="120" w:after="120" w:line="240" w:lineRule="auto"/>
        <w:ind w:left="1134" w:right="1134"/>
        <w:jc w:val="both"/>
      </w:pPr>
      <w:r w:rsidRPr="0059443A">
        <w:t>2.2.2.1 c)</w:t>
      </w:r>
      <w:r w:rsidRPr="0059443A">
        <w:tab/>
        <w:t xml:space="preserve">Dans le Nota, </w:t>
      </w:r>
      <w:proofErr w:type="gramStart"/>
      <w:r w:rsidRPr="0059443A">
        <w:rPr>
          <w:lang w:eastAsia="en-GB"/>
        </w:rPr>
        <w:t>r</w:t>
      </w:r>
      <w:r w:rsidRPr="0059443A">
        <w:t>emplacer</w:t>
      </w:r>
      <w:proofErr w:type="gramEnd"/>
      <w:r w:rsidRPr="0059443A">
        <w:t xml:space="preserve"> «risque» par «danger».</w:t>
      </w:r>
    </w:p>
    <w:p w14:paraId="31ADF313" w14:textId="77777777" w:rsidR="00196C06" w:rsidRDefault="00196C06" w:rsidP="00196C06">
      <w:pPr>
        <w:spacing w:before="120" w:after="120" w:line="240" w:lineRule="auto"/>
        <w:ind w:left="1134" w:right="1134"/>
        <w:jc w:val="both"/>
        <w:rPr>
          <w:lang w:val="fr-FR"/>
        </w:rPr>
      </w:pPr>
      <w:r>
        <w:rPr>
          <w:lang w:val="fr-FR"/>
        </w:rPr>
        <w:t xml:space="preserve">2.2.2.1 </w:t>
      </w:r>
      <w:r w:rsidRPr="00EF61FC">
        <w:rPr>
          <w:lang w:val="fr-FR"/>
        </w:rPr>
        <w:t xml:space="preserve">c) </w:t>
      </w:r>
      <w:r>
        <w:rPr>
          <w:lang w:val="fr-FR"/>
        </w:rPr>
        <w:t>i)</w:t>
      </w:r>
      <w:r>
        <w:rPr>
          <w:lang w:val="fr-FR"/>
        </w:rPr>
        <w:tab/>
        <w:t>Remplacer «risque pour la santé» par «danger pour la santé».</w:t>
      </w:r>
    </w:p>
    <w:p w14:paraId="7BBD284D" w14:textId="77777777" w:rsidR="00196C06" w:rsidRDefault="00196C06" w:rsidP="00196C06">
      <w:pPr>
        <w:pStyle w:val="SingleTxtG"/>
        <w:rPr>
          <w:lang w:val="fr-FR"/>
        </w:rPr>
      </w:pPr>
      <w:r w:rsidRPr="00EF61FC">
        <w:rPr>
          <w:lang w:val="fr-FR"/>
        </w:rPr>
        <w:t xml:space="preserve">2.2.2.2 </w:t>
      </w:r>
      <w:r>
        <w:rPr>
          <w:lang w:val="fr-FR"/>
        </w:rPr>
        <w:tab/>
        <w:t>Dans la phrase d’introduction avant les alinéas, remplacer «risques» par «dangers».</w:t>
      </w:r>
    </w:p>
    <w:p w14:paraId="3BE82CB8" w14:textId="77777777" w:rsidR="00196C06" w:rsidRPr="0059443A" w:rsidRDefault="00196C06" w:rsidP="00196C06">
      <w:pPr>
        <w:spacing w:before="120" w:after="120" w:line="240" w:lineRule="auto"/>
        <w:ind w:left="1134" w:right="1134"/>
        <w:jc w:val="both"/>
        <w:rPr>
          <w:iCs/>
        </w:rPr>
      </w:pPr>
      <w:r w:rsidRPr="0059443A">
        <w:t>2.2.3 c)</w:t>
      </w:r>
      <w:r w:rsidRPr="0059443A">
        <w:tab/>
      </w:r>
      <w:r w:rsidRPr="0059443A">
        <w:rPr>
          <w:lang w:eastAsia="en-GB"/>
        </w:rPr>
        <w:t>R</w:t>
      </w:r>
      <w:r w:rsidRPr="0059443A">
        <w:t>emplacer «risque» par «danger».</w:t>
      </w:r>
    </w:p>
    <w:p w14:paraId="3C910B2C" w14:textId="77777777" w:rsidR="00196C06" w:rsidRPr="0059443A" w:rsidRDefault="00196C06" w:rsidP="00196C06">
      <w:pPr>
        <w:pStyle w:val="H1G"/>
      </w:pPr>
      <w:r w:rsidRPr="0059443A">
        <w:tab/>
      </w:r>
      <w:r w:rsidRPr="0059443A">
        <w:tab/>
        <w:t>Chapitre 2.3</w:t>
      </w:r>
    </w:p>
    <w:p w14:paraId="23666B81" w14:textId="77777777" w:rsidR="00196C06" w:rsidRPr="0059443A" w:rsidRDefault="00196C06" w:rsidP="00196C06">
      <w:pPr>
        <w:spacing w:before="120" w:after="120" w:line="240" w:lineRule="auto"/>
        <w:ind w:left="1134" w:right="1134"/>
        <w:jc w:val="both"/>
      </w:pPr>
      <w:r w:rsidRPr="0059443A">
        <w:t xml:space="preserve">2.3.2.1 </w:t>
      </w:r>
      <w:r w:rsidRPr="0059443A">
        <w:tab/>
      </w:r>
      <w:r w:rsidRPr="0059443A">
        <w:rPr>
          <w:lang w:eastAsia="en-GB"/>
        </w:rPr>
        <w:t>R</w:t>
      </w:r>
      <w:r w:rsidRPr="0059443A">
        <w:t>emplacer «risque» par «danger» (deux fois).</w:t>
      </w:r>
    </w:p>
    <w:p w14:paraId="79748B4D" w14:textId="77777777" w:rsidR="00196C06" w:rsidRPr="0059443A" w:rsidRDefault="00196C06" w:rsidP="00196C06">
      <w:pPr>
        <w:spacing w:before="120" w:after="120" w:line="240" w:lineRule="auto"/>
        <w:ind w:left="1134" w:right="1134"/>
        <w:jc w:val="both"/>
      </w:pPr>
      <w:r w:rsidRPr="0059443A">
        <w:t>2.3.2.1.1</w:t>
      </w:r>
      <w:r w:rsidRPr="0059443A">
        <w:tab/>
      </w:r>
      <w:r w:rsidRPr="0059443A">
        <w:rPr>
          <w:lang w:eastAsia="en-GB"/>
        </w:rPr>
        <w:t>R</w:t>
      </w:r>
      <w:r w:rsidRPr="0059443A">
        <w:t>emplacer «risque» par «danger».</w:t>
      </w:r>
    </w:p>
    <w:p w14:paraId="339F94D6" w14:textId="77777777" w:rsidR="00196C06" w:rsidRPr="0059443A" w:rsidRDefault="00196C06" w:rsidP="00196C06">
      <w:pPr>
        <w:spacing w:before="120" w:after="120" w:line="240" w:lineRule="auto"/>
        <w:ind w:left="1134" w:right="1134"/>
        <w:jc w:val="both"/>
      </w:pPr>
      <w:r w:rsidRPr="0059443A">
        <w:t>2.3.2.1.2</w:t>
      </w:r>
      <w:r w:rsidRPr="0059443A">
        <w:tab/>
        <w:t>remplacer «risque(s)» par «danger(s)» (deux fois).</w:t>
      </w:r>
    </w:p>
    <w:p w14:paraId="69A39BC6" w14:textId="77777777" w:rsidR="00196C06" w:rsidRPr="0059443A" w:rsidRDefault="00196C06" w:rsidP="00196C06">
      <w:pPr>
        <w:pStyle w:val="H1G"/>
      </w:pPr>
      <w:r w:rsidRPr="0059443A">
        <w:tab/>
      </w:r>
      <w:r w:rsidRPr="0059443A">
        <w:tab/>
        <w:t>Chapitre 2.4</w:t>
      </w:r>
    </w:p>
    <w:p w14:paraId="449BE660" w14:textId="77777777" w:rsidR="00196C06" w:rsidRPr="0059443A" w:rsidRDefault="00196C06" w:rsidP="00196C06">
      <w:pPr>
        <w:pStyle w:val="SingleTxtG"/>
      </w:pPr>
      <w:r>
        <w:t xml:space="preserve">Dans les </w:t>
      </w:r>
      <w:r w:rsidRPr="0059443A">
        <w:t xml:space="preserve">Notas liminaires, </w:t>
      </w:r>
      <w:r>
        <w:t>dans le Nota 3, r</w:t>
      </w:r>
      <w:r w:rsidRPr="0059443A">
        <w:t>emplacer «risques subsidiaires supplémentaires» par «dangers subsidiaires».</w:t>
      </w:r>
    </w:p>
    <w:p w14:paraId="12E240DC" w14:textId="77777777" w:rsidR="00196C06" w:rsidRPr="0059443A" w:rsidRDefault="00196C06" w:rsidP="00196C06">
      <w:pPr>
        <w:spacing w:before="120" w:after="120" w:line="240" w:lineRule="auto"/>
        <w:ind w:left="1134" w:right="1134"/>
        <w:jc w:val="both"/>
      </w:pPr>
      <w:r w:rsidRPr="0059443A">
        <w:rPr>
          <w:lang w:eastAsia="en-GB"/>
        </w:rPr>
        <w:t>2.4.2.3.2.2</w:t>
      </w:r>
      <w:r w:rsidRPr="0059443A">
        <w:rPr>
          <w:lang w:eastAsia="en-GB"/>
        </w:rPr>
        <w:tab/>
      </w:r>
      <w:r w:rsidRPr="0059443A">
        <w:t>Remplacer «risques subsidiaires» par «dangers subsidiaires».</w:t>
      </w:r>
    </w:p>
    <w:p w14:paraId="7E5043C7" w14:textId="2E89FFD7" w:rsidR="00196C06" w:rsidRPr="00CC6AA6" w:rsidRDefault="00196C06" w:rsidP="00196C06">
      <w:pPr>
        <w:pStyle w:val="SingleTxtG"/>
        <w:spacing w:before="120"/>
      </w:pPr>
      <w:r w:rsidRPr="00CC6AA6">
        <w:t>2.4.2.3.2.3</w:t>
      </w:r>
      <w:r w:rsidRPr="00CC6AA6">
        <w:tab/>
      </w:r>
      <w:r>
        <w:rPr>
          <w:iCs/>
          <w:lang w:val="fr-FR"/>
        </w:rPr>
        <w:t>À</w:t>
      </w:r>
      <w:r w:rsidRPr="00CC6AA6">
        <w:t xml:space="preserve"> la fin du premier paragraphe, ajouter la nouvelle phrase suivante: «Les </w:t>
      </w:r>
      <w:r w:rsidRPr="00136752">
        <w:t xml:space="preserve">préparations énumérées dans l’instruction d’emballage IBC520 du 4.1.4.2 et dans l’instruction de transport en citerne mobile T23 du 4.2.5.2.6 peuvent également être transportées </w:t>
      </w:r>
      <w:r w:rsidR="0028695B" w:rsidRPr="00136752">
        <w:t>emballées conformément</w:t>
      </w:r>
      <w:r w:rsidRPr="00136752">
        <w:t xml:space="preserve"> à la méthode d’emballage OP8 </w:t>
      </w:r>
      <w:r w:rsidR="0028695B" w:rsidRPr="00136752">
        <w:t>de</w:t>
      </w:r>
      <w:r w:rsidRPr="00136752">
        <w:t xml:space="preserve"> </w:t>
      </w:r>
      <w:r w:rsidR="0028695B" w:rsidRPr="00136752">
        <w:t>l’</w:t>
      </w:r>
      <w:r w:rsidRPr="00136752">
        <w:t>instruction d’emballage P520 du 4.1.4.1, avec les mêmes températures de régulation et critiques, le cas échéant.».</w:t>
      </w:r>
    </w:p>
    <w:p w14:paraId="4055BEE2" w14:textId="045E7DE3" w:rsidR="00196C06" w:rsidRPr="00CC6AA6" w:rsidRDefault="00196C06" w:rsidP="00196C06">
      <w:pPr>
        <w:pStyle w:val="SingleTxtG"/>
        <w:spacing w:before="120"/>
      </w:pPr>
      <w:r w:rsidRPr="00CC6AA6">
        <w:t>2.4.2.3.2.3</w:t>
      </w:r>
      <w:r w:rsidRPr="00CC6AA6">
        <w:tab/>
      </w:r>
      <w:r w:rsidR="00830168">
        <w:t>Dans le tableau, i</w:t>
      </w:r>
      <w:r w:rsidRPr="00CC6AA6">
        <w:t xml:space="preserve">nsérer </w:t>
      </w:r>
      <w:r w:rsidR="00EF486A">
        <w:t>la nouvelle rubrique</w:t>
      </w:r>
      <w:r w:rsidRPr="00CC6AA6">
        <w:t xml:space="preserve"> suivante: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1E0" w:firstRow="1" w:lastRow="1" w:firstColumn="1" w:lastColumn="1" w:noHBand="0" w:noVBand="0"/>
      </w:tblPr>
      <w:tblGrid>
        <w:gridCol w:w="2268"/>
        <w:gridCol w:w="1134"/>
        <w:gridCol w:w="1134"/>
        <w:gridCol w:w="1134"/>
        <w:gridCol w:w="993"/>
        <w:gridCol w:w="850"/>
        <w:gridCol w:w="851"/>
      </w:tblGrid>
      <w:tr w:rsidR="00196C06" w:rsidRPr="00CC6AA6" w14:paraId="72E535AF" w14:textId="77777777" w:rsidTr="006201FD">
        <w:trPr>
          <w:cantSplit/>
        </w:trPr>
        <w:tc>
          <w:tcPr>
            <w:tcW w:w="2268" w:type="dxa"/>
            <w:tcBorders>
              <w:top w:val="single" w:sz="4" w:space="0" w:color="auto"/>
              <w:bottom w:val="single" w:sz="12" w:space="0" w:color="auto"/>
            </w:tcBorders>
            <w:shd w:val="clear" w:color="auto" w:fill="auto"/>
            <w:vAlign w:val="bottom"/>
          </w:tcPr>
          <w:p w14:paraId="3488C476" w14:textId="77777777" w:rsidR="00196C06" w:rsidRPr="00CC6AA6" w:rsidRDefault="00196C06" w:rsidP="006201FD">
            <w:pPr>
              <w:keepNext/>
              <w:keepLines/>
              <w:spacing w:before="80" w:after="80" w:line="200" w:lineRule="exact"/>
              <w:rPr>
                <w:bCs/>
                <w:i/>
                <w:sz w:val="16"/>
                <w:szCs w:val="16"/>
              </w:rPr>
            </w:pPr>
            <w:r w:rsidRPr="00CC6AA6">
              <w:rPr>
                <w:bCs/>
                <w:i/>
                <w:sz w:val="16"/>
                <w:szCs w:val="16"/>
              </w:rPr>
              <w:lastRenderedPageBreak/>
              <w:t xml:space="preserve">Matières </w:t>
            </w:r>
            <w:proofErr w:type="spellStart"/>
            <w:r w:rsidRPr="00CC6AA6">
              <w:rPr>
                <w:bCs/>
                <w:i/>
                <w:sz w:val="16"/>
                <w:szCs w:val="16"/>
              </w:rPr>
              <w:t>autoréactives</w:t>
            </w:r>
            <w:proofErr w:type="spellEnd"/>
          </w:p>
        </w:tc>
        <w:tc>
          <w:tcPr>
            <w:tcW w:w="1134" w:type="dxa"/>
            <w:tcBorders>
              <w:top w:val="single" w:sz="4" w:space="0" w:color="auto"/>
              <w:bottom w:val="single" w:sz="12" w:space="0" w:color="auto"/>
            </w:tcBorders>
            <w:shd w:val="clear" w:color="auto" w:fill="auto"/>
          </w:tcPr>
          <w:p w14:paraId="7DE5ACF8" w14:textId="77777777" w:rsidR="00196C06" w:rsidRPr="00CC6AA6" w:rsidRDefault="00196C06" w:rsidP="006201FD">
            <w:pPr>
              <w:keepNext/>
              <w:keepLines/>
              <w:spacing w:before="80" w:after="80" w:line="200" w:lineRule="exact"/>
              <w:rPr>
                <w:bCs/>
                <w:i/>
                <w:sz w:val="16"/>
                <w:szCs w:val="16"/>
              </w:rPr>
            </w:pPr>
            <w:r w:rsidRPr="00CC6AA6">
              <w:rPr>
                <w:bCs/>
                <w:i/>
                <w:sz w:val="16"/>
                <w:szCs w:val="16"/>
              </w:rPr>
              <w:t>Concentration (%)</w:t>
            </w:r>
          </w:p>
        </w:tc>
        <w:tc>
          <w:tcPr>
            <w:tcW w:w="1134" w:type="dxa"/>
            <w:tcBorders>
              <w:top w:val="single" w:sz="4" w:space="0" w:color="auto"/>
              <w:bottom w:val="single" w:sz="12" w:space="0" w:color="auto"/>
            </w:tcBorders>
            <w:shd w:val="clear" w:color="auto" w:fill="auto"/>
          </w:tcPr>
          <w:p w14:paraId="6F299895" w14:textId="77777777" w:rsidR="00196C06" w:rsidRPr="00CC6AA6" w:rsidRDefault="00196C06" w:rsidP="006201FD">
            <w:pPr>
              <w:keepNext/>
              <w:keepLines/>
              <w:spacing w:before="80" w:after="80" w:line="200" w:lineRule="exact"/>
              <w:rPr>
                <w:bCs/>
                <w:i/>
                <w:sz w:val="16"/>
                <w:szCs w:val="16"/>
              </w:rPr>
            </w:pPr>
            <w:r w:rsidRPr="00CC6AA6">
              <w:rPr>
                <w:bCs/>
                <w:i/>
                <w:sz w:val="16"/>
                <w:szCs w:val="16"/>
              </w:rPr>
              <w:t>Méthode d’emballage</w:t>
            </w:r>
          </w:p>
        </w:tc>
        <w:tc>
          <w:tcPr>
            <w:tcW w:w="1134" w:type="dxa"/>
            <w:tcBorders>
              <w:top w:val="single" w:sz="4" w:space="0" w:color="auto"/>
              <w:bottom w:val="single" w:sz="12" w:space="0" w:color="auto"/>
            </w:tcBorders>
            <w:shd w:val="clear" w:color="auto" w:fill="auto"/>
          </w:tcPr>
          <w:p w14:paraId="29CF7AF3" w14:textId="77777777" w:rsidR="00196C06" w:rsidRPr="00CC6AA6" w:rsidRDefault="00196C06" w:rsidP="006201FD">
            <w:pPr>
              <w:keepNext/>
              <w:keepLines/>
              <w:spacing w:before="80" w:after="80" w:line="200" w:lineRule="exact"/>
              <w:rPr>
                <w:bCs/>
                <w:i/>
                <w:sz w:val="16"/>
                <w:szCs w:val="16"/>
              </w:rPr>
            </w:pPr>
            <w:r w:rsidRPr="00CC6AA6">
              <w:rPr>
                <w:bCs/>
                <w:i/>
                <w:sz w:val="16"/>
                <w:szCs w:val="16"/>
              </w:rPr>
              <w:t>Température de régulation (°C)</w:t>
            </w:r>
          </w:p>
        </w:tc>
        <w:tc>
          <w:tcPr>
            <w:tcW w:w="993" w:type="dxa"/>
            <w:tcBorders>
              <w:top w:val="single" w:sz="4" w:space="0" w:color="auto"/>
              <w:bottom w:val="single" w:sz="12" w:space="0" w:color="auto"/>
            </w:tcBorders>
            <w:shd w:val="clear" w:color="auto" w:fill="auto"/>
          </w:tcPr>
          <w:p w14:paraId="17AC88A2" w14:textId="77777777" w:rsidR="00196C06" w:rsidRPr="00CC6AA6" w:rsidRDefault="00196C06" w:rsidP="006201FD">
            <w:pPr>
              <w:keepNext/>
              <w:keepLines/>
              <w:spacing w:before="80" w:after="80" w:line="200" w:lineRule="exact"/>
              <w:rPr>
                <w:bCs/>
                <w:i/>
                <w:sz w:val="16"/>
                <w:szCs w:val="16"/>
              </w:rPr>
            </w:pPr>
            <w:r w:rsidRPr="00CC6AA6">
              <w:rPr>
                <w:bCs/>
                <w:i/>
                <w:sz w:val="16"/>
                <w:szCs w:val="16"/>
              </w:rPr>
              <w:t>Température critique (°C)</w:t>
            </w:r>
          </w:p>
        </w:tc>
        <w:tc>
          <w:tcPr>
            <w:tcW w:w="850" w:type="dxa"/>
            <w:tcBorders>
              <w:top w:val="single" w:sz="4" w:space="0" w:color="auto"/>
              <w:bottom w:val="single" w:sz="12" w:space="0" w:color="auto"/>
            </w:tcBorders>
            <w:shd w:val="clear" w:color="auto" w:fill="auto"/>
          </w:tcPr>
          <w:p w14:paraId="510265D9" w14:textId="77777777" w:rsidR="00196C06" w:rsidRPr="00CC6AA6" w:rsidRDefault="00196C06" w:rsidP="006201FD">
            <w:pPr>
              <w:keepNext/>
              <w:keepLines/>
              <w:spacing w:before="80" w:after="80" w:line="200" w:lineRule="exact"/>
              <w:rPr>
                <w:bCs/>
                <w:i/>
                <w:sz w:val="16"/>
                <w:szCs w:val="16"/>
              </w:rPr>
            </w:pPr>
            <w:r w:rsidRPr="00CC6AA6">
              <w:rPr>
                <w:bCs/>
                <w:i/>
                <w:sz w:val="16"/>
                <w:szCs w:val="16"/>
              </w:rPr>
              <w:t>Rubrique générique ONU</w:t>
            </w:r>
          </w:p>
        </w:tc>
        <w:tc>
          <w:tcPr>
            <w:tcW w:w="851" w:type="dxa"/>
            <w:tcBorders>
              <w:top w:val="single" w:sz="4" w:space="0" w:color="auto"/>
              <w:bottom w:val="single" w:sz="12" w:space="0" w:color="auto"/>
            </w:tcBorders>
            <w:shd w:val="clear" w:color="auto" w:fill="auto"/>
          </w:tcPr>
          <w:p w14:paraId="640A1C1B" w14:textId="77777777" w:rsidR="00196C06" w:rsidRPr="00CC6AA6" w:rsidRDefault="00196C06" w:rsidP="006201FD">
            <w:pPr>
              <w:keepNext/>
              <w:keepLines/>
              <w:spacing w:before="80" w:after="80" w:line="200" w:lineRule="exact"/>
              <w:rPr>
                <w:bCs/>
                <w:i/>
                <w:sz w:val="16"/>
                <w:szCs w:val="16"/>
              </w:rPr>
            </w:pPr>
            <w:r w:rsidRPr="00CC6AA6">
              <w:rPr>
                <w:bCs/>
                <w:i/>
                <w:sz w:val="16"/>
                <w:szCs w:val="16"/>
              </w:rPr>
              <w:t>Remarques</w:t>
            </w:r>
          </w:p>
        </w:tc>
      </w:tr>
      <w:tr w:rsidR="00196C06" w:rsidRPr="00CC6AA6" w14:paraId="755572BB" w14:textId="77777777" w:rsidTr="006201FD">
        <w:trPr>
          <w:cantSplit/>
          <w:trHeight w:hRule="exact" w:val="113"/>
        </w:trPr>
        <w:tc>
          <w:tcPr>
            <w:tcW w:w="2268" w:type="dxa"/>
            <w:tcBorders>
              <w:top w:val="single" w:sz="12" w:space="0" w:color="auto"/>
            </w:tcBorders>
            <w:shd w:val="clear" w:color="auto" w:fill="auto"/>
          </w:tcPr>
          <w:p w14:paraId="5E4980C5" w14:textId="77777777" w:rsidR="00196C06" w:rsidRPr="00CC6AA6" w:rsidRDefault="00196C06" w:rsidP="006201FD">
            <w:pPr>
              <w:keepNext/>
              <w:keepLines/>
              <w:jc w:val="center"/>
              <w:rPr>
                <w:b/>
                <w:bCs/>
                <w:sz w:val="18"/>
                <w:szCs w:val="18"/>
              </w:rPr>
            </w:pPr>
          </w:p>
        </w:tc>
        <w:tc>
          <w:tcPr>
            <w:tcW w:w="1134" w:type="dxa"/>
            <w:tcBorders>
              <w:top w:val="single" w:sz="12" w:space="0" w:color="auto"/>
            </w:tcBorders>
            <w:shd w:val="clear" w:color="auto" w:fill="auto"/>
          </w:tcPr>
          <w:p w14:paraId="44DDEBB2" w14:textId="77777777" w:rsidR="00196C06" w:rsidRPr="00CC6AA6" w:rsidRDefault="00196C06" w:rsidP="006201FD">
            <w:pPr>
              <w:keepNext/>
              <w:keepLines/>
              <w:jc w:val="center"/>
              <w:rPr>
                <w:b/>
                <w:bCs/>
                <w:sz w:val="18"/>
                <w:szCs w:val="18"/>
              </w:rPr>
            </w:pPr>
          </w:p>
        </w:tc>
        <w:tc>
          <w:tcPr>
            <w:tcW w:w="1134" w:type="dxa"/>
            <w:tcBorders>
              <w:top w:val="single" w:sz="12" w:space="0" w:color="auto"/>
            </w:tcBorders>
            <w:shd w:val="clear" w:color="auto" w:fill="auto"/>
          </w:tcPr>
          <w:p w14:paraId="10A7D53F" w14:textId="77777777" w:rsidR="00196C06" w:rsidRPr="00CC6AA6" w:rsidRDefault="00196C06" w:rsidP="006201FD">
            <w:pPr>
              <w:keepNext/>
              <w:keepLines/>
              <w:jc w:val="center"/>
              <w:rPr>
                <w:b/>
                <w:bCs/>
                <w:sz w:val="18"/>
                <w:szCs w:val="18"/>
              </w:rPr>
            </w:pPr>
          </w:p>
        </w:tc>
        <w:tc>
          <w:tcPr>
            <w:tcW w:w="1134" w:type="dxa"/>
            <w:tcBorders>
              <w:top w:val="single" w:sz="12" w:space="0" w:color="auto"/>
            </w:tcBorders>
            <w:shd w:val="clear" w:color="auto" w:fill="auto"/>
          </w:tcPr>
          <w:p w14:paraId="11AC939A" w14:textId="77777777" w:rsidR="00196C06" w:rsidRPr="00CC6AA6" w:rsidRDefault="00196C06" w:rsidP="006201FD">
            <w:pPr>
              <w:keepNext/>
              <w:keepLines/>
              <w:jc w:val="center"/>
              <w:rPr>
                <w:b/>
                <w:bCs/>
                <w:sz w:val="18"/>
                <w:szCs w:val="18"/>
              </w:rPr>
            </w:pPr>
          </w:p>
        </w:tc>
        <w:tc>
          <w:tcPr>
            <w:tcW w:w="993" w:type="dxa"/>
            <w:tcBorders>
              <w:top w:val="single" w:sz="12" w:space="0" w:color="auto"/>
            </w:tcBorders>
            <w:shd w:val="clear" w:color="auto" w:fill="auto"/>
          </w:tcPr>
          <w:p w14:paraId="24A739E3" w14:textId="77777777" w:rsidR="00196C06" w:rsidRPr="00CC6AA6" w:rsidRDefault="00196C06" w:rsidP="006201FD">
            <w:pPr>
              <w:keepNext/>
              <w:keepLines/>
              <w:jc w:val="center"/>
              <w:rPr>
                <w:b/>
                <w:bCs/>
                <w:sz w:val="18"/>
                <w:szCs w:val="18"/>
              </w:rPr>
            </w:pPr>
          </w:p>
        </w:tc>
        <w:tc>
          <w:tcPr>
            <w:tcW w:w="850" w:type="dxa"/>
            <w:tcBorders>
              <w:top w:val="single" w:sz="12" w:space="0" w:color="auto"/>
            </w:tcBorders>
            <w:shd w:val="clear" w:color="auto" w:fill="auto"/>
          </w:tcPr>
          <w:p w14:paraId="3E64831F" w14:textId="77777777" w:rsidR="00196C06" w:rsidRPr="00CC6AA6" w:rsidRDefault="00196C06" w:rsidP="006201FD">
            <w:pPr>
              <w:keepNext/>
              <w:keepLines/>
              <w:jc w:val="center"/>
              <w:rPr>
                <w:b/>
                <w:bCs/>
                <w:sz w:val="18"/>
                <w:szCs w:val="18"/>
              </w:rPr>
            </w:pPr>
          </w:p>
        </w:tc>
        <w:tc>
          <w:tcPr>
            <w:tcW w:w="851" w:type="dxa"/>
            <w:tcBorders>
              <w:top w:val="single" w:sz="12" w:space="0" w:color="auto"/>
            </w:tcBorders>
            <w:shd w:val="clear" w:color="auto" w:fill="auto"/>
          </w:tcPr>
          <w:p w14:paraId="310704F2" w14:textId="77777777" w:rsidR="00196C06" w:rsidRPr="00CC6AA6" w:rsidRDefault="00196C06" w:rsidP="006201FD">
            <w:pPr>
              <w:keepNext/>
              <w:keepLines/>
              <w:jc w:val="center"/>
              <w:rPr>
                <w:b/>
                <w:bCs/>
                <w:sz w:val="18"/>
                <w:szCs w:val="18"/>
              </w:rPr>
            </w:pPr>
          </w:p>
        </w:tc>
      </w:tr>
      <w:tr w:rsidR="00196C06" w:rsidRPr="00CC6AA6" w14:paraId="10B3A681" w14:textId="77777777" w:rsidTr="006201FD">
        <w:trPr>
          <w:cantSplit/>
        </w:trPr>
        <w:tc>
          <w:tcPr>
            <w:tcW w:w="2268" w:type="dxa"/>
            <w:tcBorders>
              <w:bottom w:val="single" w:sz="4" w:space="0" w:color="auto"/>
            </w:tcBorders>
            <w:shd w:val="clear" w:color="auto" w:fill="auto"/>
          </w:tcPr>
          <w:p w14:paraId="6A1F6053" w14:textId="77777777" w:rsidR="00196C06" w:rsidRPr="00CC6AA6" w:rsidRDefault="00196C06" w:rsidP="006201FD">
            <w:pPr>
              <w:keepNext/>
              <w:keepLines/>
              <w:spacing w:before="40" w:after="120"/>
              <w:rPr>
                <w:sz w:val="18"/>
                <w:szCs w:val="18"/>
              </w:rPr>
            </w:pPr>
            <w:proofErr w:type="spellStart"/>
            <w:r w:rsidRPr="00A177BF">
              <w:rPr>
                <w:sz w:val="18"/>
                <w:szCs w:val="18"/>
              </w:rPr>
              <w:t>Thiophosphate</w:t>
            </w:r>
            <w:proofErr w:type="spellEnd"/>
            <w:r w:rsidRPr="00A177BF">
              <w:rPr>
                <w:sz w:val="18"/>
                <w:szCs w:val="18"/>
              </w:rPr>
              <w:t xml:space="preserve"> de O-[(</w:t>
            </w:r>
            <w:proofErr w:type="spellStart"/>
            <w:r w:rsidRPr="00A177BF">
              <w:rPr>
                <w:sz w:val="18"/>
                <w:szCs w:val="18"/>
              </w:rPr>
              <w:t>cyanophénylméthylène</w:t>
            </w:r>
            <w:proofErr w:type="spellEnd"/>
            <w:r w:rsidRPr="00A177BF">
              <w:rPr>
                <w:sz w:val="18"/>
                <w:szCs w:val="18"/>
              </w:rPr>
              <w:t xml:space="preserve">) </w:t>
            </w:r>
            <w:proofErr w:type="spellStart"/>
            <w:r w:rsidRPr="00A177BF">
              <w:rPr>
                <w:sz w:val="18"/>
                <w:szCs w:val="18"/>
              </w:rPr>
              <w:t>azanyle</w:t>
            </w:r>
            <w:proofErr w:type="spellEnd"/>
            <w:r w:rsidRPr="00A177BF">
              <w:rPr>
                <w:sz w:val="18"/>
                <w:szCs w:val="18"/>
              </w:rPr>
              <w:t>] et de O</w:t>
            </w:r>
            <w:proofErr w:type="gramStart"/>
            <w:r w:rsidRPr="00A177BF">
              <w:rPr>
                <w:sz w:val="18"/>
                <w:szCs w:val="18"/>
              </w:rPr>
              <w:t>,O</w:t>
            </w:r>
            <w:proofErr w:type="gramEnd"/>
            <w:r w:rsidRPr="00A177BF">
              <w:rPr>
                <w:sz w:val="18"/>
                <w:szCs w:val="18"/>
              </w:rPr>
              <w:t>-</w:t>
            </w:r>
            <w:proofErr w:type="spellStart"/>
            <w:r w:rsidRPr="00A177BF">
              <w:rPr>
                <w:sz w:val="18"/>
                <w:szCs w:val="18"/>
              </w:rPr>
              <w:t>diéthyle</w:t>
            </w:r>
            <w:proofErr w:type="spellEnd"/>
          </w:p>
        </w:tc>
        <w:tc>
          <w:tcPr>
            <w:tcW w:w="1134" w:type="dxa"/>
            <w:tcBorders>
              <w:bottom w:val="single" w:sz="4" w:space="0" w:color="auto"/>
            </w:tcBorders>
            <w:shd w:val="clear" w:color="auto" w:fill="auto"/>
          </w:tcPr>
          <w:p w14:paraId="50BF3BAC" w14:textId="77777777" w:rsidR="00196C06" w:rsidRPr="00CC6AA6" w:rsidRDefault="00196C06" w:rsidP="006201FD">
            <w:pPr>
              <w:keepNext/>
              <w:keepLines/>
              <w:spacing w:before="40" w:after="120"/>
              <w:rPr>
                <w:sz w:val="18"/>
                <w:szCs w:val="18"/>
              </w:rPr>
            </w:pPr>
            <w:r w:rsidRPr="00CC6AA6">
              <w:rPr>
                <w:sz w:val="17"/>
              </w:rPr>
              <w:t>82-91 (isomère Z)</w:t>
            </w:r>
          </w:p>
        </w:tc>
        <w:tc>
          <w:tcPr>
            <w:tcW w:w="1134" w:type="dxa"/>
            <w:tcBorders>
              <w:bottom w:val="single" w:sz="4" w:space="0" w:color="auto"/>
            </w:tcBorders>
            <w:shd w:val="clear" w:color="auto" w:fill="auto"/>
          </w:tcPr>
          <w:p w14:paraId="5361286C" w14:textId="77777777" w:rsidR="00196C06" w:rsidRPr="00CC6AA6" w:rsidRDefault="00196C06" w:rsidP="006201FD">
            <w:pPr>
              <w:keepNext/>
              <w:keepLines/>
              <w:spacing w:before="40" w:after="120"/>
              <w:rPr>
                <w:sz w:val="18"/>
                <w:szCs w:val="18"/>
              </w:rPr>
            </w:pPr>
            <w:r w:rsidRPr="00CC6AA6">
              <w:rPr>
                <w:sz w:val="17"/>
              </w:rPr>
              <w:t>OP8</w:t>
            </w:r>
          </w:p>
        </w:tc>
        <w:tc>
          <w:tcPr>
            <w:tcW w:w="1134" w:type="dxa"/>
            <w:tcBorders>
              <w:bottom w:val="single" w:sz="4" w:space="0" w:color="auto"/>
            </w:tcBorders>
            <w:shd w:val="clear" w:color="auto" w:fill="auto"/>
          </w:tcPr>
          <w:p w14:paraId="5158A980" w14:textId="77777777" w:rsidR="00196C06" w:rsidRPr="00CC6AA6" w:rsidRDefault="00196C06" w:rsidP="006201FD">
            <w:pPr>
              <w:keepNext/>
              <w:keepLines/>
              <w:spacing w:before="40" w:after="120"/>
              <w:rPr>
                <w:sz w:val="18"/>
                <w:szCs w:val="18"/>
              </w:rPr>
            </w:pPr>
          </w:p>
        </w:tc>
        <w:tc>
          <w:tcPr>
            <w:tcW w:w="993" w:type="dxa"/>
            <w:tcBorders>
              <w:bottom w:val="single" w:sz="4" w:space="0" w:color="auto"/>
            </w:tcBorders>
            <w:shd w:val="clear" w:color="auto" w:fill="auto"/>
          </w:tcPr>
          <w:p w14:paraId="516B6D6A" w14:textId="77777777" w:rsidR="00196C06" w:rsidRPr="00CC6AA6" w:rsidRDefault="00196C06" w:rsidP="006201FD">
            <w:pPr>
              <w:keepNext/>
              <w:keepLines/>
              <w:spacing w:before="40" w:after="120"/>
              <w:rPr>
                <w:sz w:val="18"/>
                <w:szCs w:val="18"/>
              </w:rPr>
            </w:pPr>
          </w:p>
        </w:tc>
        <w:tc>
          <w:tcPr>
            <w:tcW w:w="850" w:type="dxa"/>
            <w:tcBorders>
              <w:bottom w:val="single" w:sz="4" w:space="0" w:color="auto"/>
            </w:tcBorders>
            <w:shd w:val="clear" w:color="auto" w:fill="auto"/>
          </w:tcPr>
          <w:p w14:paraId="21515426" w14:textId="77777777" w:rsidR="00196C06" w:rsidRPr="00CC6AA6" w:rsidRDefault="00196C06" w:rsidP="006201FD">
            <w:pPr>
              <w:keepNext/>
              <w:keepLines/>
              <w:spacing w:before="40" w:after="120"/>
              <w:rPr>
                <w:sz w:val="18"/>
                <w:szCs w:val="18"/>
              </w:rPr>
            </w:pPr>
            <w:r w:rsidRPr="00CC6AA6">
              <w:rPr>
                <w:sz w:val="18"/>
                <w:szCs w:val="18"/>
              </w:rPr>
              <w:t>3227</w:t>
            </w:r>
            <w:r w:rsidRPr="00CC6AA6">
              <w:rPr>
                <w:sz w:val="18"/>
                <w:szCs w:val="18"/>
              </w:rPr>
              <w:tab/>
            </w:r>
          </w:p>
        </w:tc>
        <w:tc>
          <w:tcPr>
            <w:tcW w:w="851" w:type="dxa"/>
            <w:tcBorders>
              <w:bottom w:val="single" w:sz="4" w:space="0" w:color="auto"/>
            </w:tcBorders>
            <w:shd w:val="clear" w:color="auto" w:fill="auto"/>
          </w:tcPr>
          <w:p w14:paraId="48160B13" w14:textId="77777777" w:rsidR="00196C06" w:rsidRPr="00CC6AA6" w:rsidRDefault="00196C06" w:rsidP="006201FD">
            <w:pPr>
              <w:keepNext/>
              <w:keepLines/>
              <w:spacing w:before="40" w:after="120"/>
              <w:rPr>
                <w:sz w:val="18"/>
                <w:szCs w:val="18"/>
              </w:rPr>
            </w:pPr>
            <w:r w:rsidRPr="00CC6AA6">
              <w:rPr>
                <w:sz w:val="18"/>
                <w:szCs w:val="18"/>
              </w:rPr>
              <w:t>10)</w:t>
            </w:r>
          </w:p>
        </w:tc>
      </w:tr>
    </w:tbl>
    <w:p w14:paraId="387E551C" w14:textId="4D70E66B" w:rsidR="00803EFF" w:rsidRDefault="007113E4" w:rsidP="00137D2E">
      <w:pPr>
        <w:pStyle w:val="SingleTxtG"/>
        <w:spacing w:before="120"/>
        <w:rPr>
          <w:iCs/>
          <w:lang w:val="fr-FR"/>
        </w:rPr>
      </w:pPr>
      <w:r w:rsidRPr="0059443A">
        <w:rPr>
          <w:lang w:eastAsia="en-GB"/>
        </w:rPr>
        <w:t>2.4.2.3.2.3</w:t>
      </w:r>
      <w:r w:rsidRPr="0059443A">
        <w:rPr>
          <w:lang w:eastAsia="en-GB"/>
        </w:rPr>
        <w:tab/>
      </w:r>
      <w:r w:rsidR="00803EFF" w:rsidRPr="00A425B4">
        <w:rPr>
          <w:iCs/>
          <w:lang w:val="fr-FR"/>
        </w:rPr>
        <w:t xml:space="preserve">Après le tableau, </w:t>
      </w:r>
      <w:r w:rsidR="00803EFF" w:rsidRPr="00CE1820">
        <w:rPr>
          <w:iCs/>
          <w:lang w:val="fr-FR"/>
        </w:rPr>
        <w:t xml:space="preserve">dans l’observation 1), remplacer «7.1.5.3 </w:t>
      </w:r>
      <w:r w:rsidR="009434EC" w:rsidRPr="00137D2E">
        <w:rPr>
          <w:iCs/>
          <w:lang w:val="fr-FR"/>
        </w:rPr>
        <w:t>et</w:t>
      </w:r>
      <w:r w:rsidR="00803EFF" w:rsidRPr="00A425B4">
        <w:rPr>
          <w:iCs/>
          <w:lang w:val="fr-FR"/>
        </w:rPr>
        <w:t xml:space="preserve"> 7.1.5.3.1.3» par «7.1.5.3 à 7.1.5.3.6».</w:t>
      </w:r>
    </w:p>
    <w:p w14:paraId="6198667E" w14:textId="7E6253DF" w:rsidR="00830168" w:rsidRPr="0059443A" w:rsidRDefault="00830168" w:rsidP="00830168">
      <w:pPr>
        <w:spacing w:before="120" w:after="120" w:line="240" w:lineRule="auto"/>
        <w:ind w:left="1134" w:right="1134"/>
        <w:jc w:val="both"/>
      </w:pPr>
      <w:r w:rsidRPr="0059443A">
        <w:rPr>
          <w:lang w:eastAsia="en-GB"/>
        </w:rPr>
        <w:t>2.4.2.3.2.3</w:t>
      </w:r>
      <w:r w:rsidRPr="0059443A">
        <w:rPr>
          <w:lang w:eastAsia="en-GB"/>
        </w:rPr>
        <w:tab/>
      </w:r>
      <w:r w:rsidR="007113E4" w:rsidRPr="00A425B4">
        <w:rPr>
          <w:iCs/>
          <w:lang w:val="fr-FR"/>
        </w:rPr>
        <w:t xml:space="preserve">Après le tableau, </w:t>
      </w:r>
      <w:r w:rsidR="007113E4" w:rsidRPr="00CE1820">
        <w:rPr>
          <w:iCs/>
          <w:lang w:val="fr-FR"/>
        </w:rPr>
        <w:t>dans l’</w:t>
      </w:r>
      <w:r>
        <w:rPr>
          <w:lang w:eastAsia="en-GB"/>
        </w:rPr>
        <w:t>observation</w:t>
      </w:r>
      <w:r w:rsidRPr="0059443A">
        <w:rPr>
          <w:lang w:eastAsia="en-GB"/>
        </w:rPr>
        <w:t xml:space="preserve"> 2) sous le tableau, r</w:t>
      </w:r>
      <w:r w:rsidRPr="0059443A">
        <w:t>emplacer «risque» par «danger».</w:t>
      </w:r>
    </w:p>
    <w:p w14:paraId="52A45574" w14:textId="46E062C4" w:rsidR="00196C06" w:rsidRPr="00CC6AA6" w:rsidRDefault="007113E4" w:rsidP="00196C06">
      <w:pPr>
        <w:pStyle w:val="SingleTxtG"/>
        <w:rPr>
          <w:iCs/>
          <w:lang w:val="fr-FR"/>
        </w:rPr>
      </w:pPr>
      <w:r w:rsidRPr="0059443A">
        <w:rPr>
          <w:lang w:eastAsia="en-GB"/>
        </w:rPr>
        <w:t>2.4.2.3.2.3</w:t>
      </w:r>
      <w:r w:rsidRPr="0059443A">
        <w:rPr>
          <w:lang w:eastAsia="en-GB"/>
        </w:rPr>
        <w:tab/>
      </w:r>
      <w:r w:rsidR="00196C06" w:rsidRPr="00CC6AA6">
        <w:rPr>
          <w:iCs/>
          <w:lang w:val="fr-FR"/>
        </w:rPr>
        <w:t>Après le tableau, ajouter la nouvelle observation 10) suivante:</w:t>
      </w:r>
    </w:p>
    <w:p w14:paraId="056F25E6" w14:textId="6334AE40" w:rsidR="00196C06" w:rsidRDefault="00196C06" w:rsidP="00196C06">
      <w:pPr>
        <w:spacing w:before="120" w:after="120" w:line="240" w:lineRule="auto"/>
        <w:ind w:left="1134" w:right="1134"/>
        <w:jc w:val="both"/>
      </w:pPr>
      <w:r w:rsidRPr="00CC6AA6">
        <w:t>«10)</w:t>
      </w:r>
      <w:r>
        <w:tab/>
      </w:r>
      <w:r w:rsidRPr="00CC6AA6">
        <w:t xml:space="preserve">Cette rubrique s’applique </w:t>
      </w:r>
      <w:r w:rsidR="007D0603">
        <w:t>au</w:t>
      </w:r>
      <w:r w:rsidRPr="00CC6AA6">
        <w:t xml:space="preserve"> mélange technique dans du n-butanol </w:t>
      </w:r>
      <w:r>
        <w:t>dans les</w:t>
      </w:r>
      <w:r w:rsidRPr="00CC6AA6">
        <w:t xml:space="preserve"> limites de concentration </w:t>
      </w:r>
      <w:r>
        <w:t xml:space="preserve">spécifiées pour </w:t>
      </w:r>
      <w:r w:rsidRPr="00CC6AA6">
        <w:t>l’isomère (Z).».</w:t>
      </w:r>
    </w:p>
    <w:p w14:paraId="6B77D5EF" w14:textId="77777777" w:rsidR="00196C06" w:rsidRDefault="00196C06" w:rsidP="00196C06">
      <w:pPr>
        <w:spacing w:before="120" w:after="120" w:line="240" w:lineRule="auto"/>
        <w:ind w:left="1134" w:right="1134"/>
        <w:jc w:val="both"/>
      </w:pPr>
      <w:r>
        <w:t>2.4.2.3.3.2 b)</w:t>
      </w:r>
      <w:r>
        <w:tab/>
      </w:r>
      <w:r w:rsidRPr="0059443A">
        <w:rPr>
          <w:lang w:eastAsia="en-GB"/>
        </w:rPr>
        <w:t>R</w:t>
      </w:r>
      <w:r w:rsidRPr="0059443A">
        <w:t>emplacer «risque» par «danger».</w:t>
      </w:r>
    </w:p>
    <w:p w14:paraId="7E581199" w14:textId="77777777" w:rsidR="00196C06" w:rsidRDefault="00196C06" w:rsidP="00196C06">
      <w:pPr>
        <w:spacing w:before="120" w:after="120" w:line="240" w:lineRule="auto"/>
        <w:ind w:left="1134" w:right="1134"/>
        <w:jc w:val="both"/>
      </w:pPr>
      <w:r>
        <w:t>2.4.2.3.3.2 c)</w:t>
      </w:r>
      <w:r>
        <w:tab/>
      </w:r>
      <w:r w:rsidRPr="0059443A">
        <w:rPr>
          <w:lang w:eastAsia="en-GB"/>
        </w:rPr>
        <w:t>R</w:t>
      </w:r>
      <w:r w:rsidRPr="0059443A">
        <w:t>emplacer «risque» par «danger».</w:t>
      </w:r>
    </w:p>
    <w:p w14:paraId="0BC5BA40" w14:textId="5A63AFA3" w:rsidR="009434EC" w:rsidRPr="007A0606" w:rsidRDefault="009434EC" w:rsidP="00196C06">
      <w:pPr>
        <w:pStyle w:val="SingleTxtG"/>
        <w:rPr>
          <w:lang w:val="fr-FR"/>
        </w:rPr>
      </w:pPr>
      <w:r w:rsidRPr="007A0606">
        <w:t>2.4.2.3.5.4</w:t>
      </w:r>
      <w:r w:rsidRPr="007A0606">
        <w:tab/>
        <w:t>À la fin, remp</w:t>
      </w:r>
      <w:r w:rsidR="00957766" w:rsidRPr="007A0606">
        <w:t>lacer «7.1.5.3.1» par «7.1.5.3</w:t>
      </w:r>
      <w:r w:rsidRPr="007A0606">
        <w:t>».</w:t>
      </w:r>
    </w:p>
    <w:p w14:paraId="328E68FA" w14:textId="4ACA9554" w:rsidR="0032624D" w:rsidRDefault="0032624D" w:rsidP="00196C06">
      <w:pPr>
        <w:pStyle w:val="SingleTxtG"/>
        <w:rPr>
          <w:lang w:val="fr-FR"/>
        </w:rPr>
      </w:pPr>
      <w:r w:rsidRPr="007A0606">
        <w:rPr>
          <w:lang w:val="fr-FR"/>
        </w:rPr>
        <w:t>2.4.2.5.2</w:t>
      </w:r>
      <w:r w:rsidRPr="007A0606">
        <w:rPr>
          <w:lang w:val="fr-FR"/>
        </w:rPr>
        <w:tab/>
      </w:r>
      <w:r w:rsidR="00EF486A" w:rsidRPr="007A0606">
        <w:rPr>
          <w:lang w:val="fr-FR"/>
        </w:rPr>
        <w:t>À</w:t>
      </w:r>
      <w:r w:rsidRPr="007A0606">
        <w:rPr>
          <w:lang w:val="fr-FR"/>
        </w:rPr>
        <w:t xml:space="preserve"> la fin, ajouter </w:t>
      </w:r>
      <w:r w:rsidR="009434EC" w:rsidRPr="007A0606">
        <w:rPr>
          <w:lang w:val="fr-FR"/>
        </w:rPr>
        <w:t>le Nota suivant</w:t>
      </w:r>
      <w:r w:rsidRPr="007A0606">
        <w:rPr>
          <w:lang w:val="fr-FR"/>
        </w:rPr>
        <w:t>:</w:t>
      </w:r>
    </w:p>
    <w:p w14:paraId="1C5DFED0" w14:textId="41609E4C" w:rsidR="0032624D" w:rsidRDefault="0032624D" w:rsidP="0032624D">
      <w:pPr>
        <w:pStyle w:val="SingleTxtG"/>
      </w:pPr>
      <w:r>
        <w:rPr>
          <w:lang w:val="fr-FR"/>
        </w:rPr>
        <w:t>«</w:t>
      </w:r>
      <w:r w:rsidRPr="009434EC">
        <w:rPr>
          <w:b/>
          <w:i/>
          <w:lang w:val="fr-FR"/>
        </w:rPr>
        <w:t>NOTA:</w:t>
      </w:r>
      <w:r w:rsidRPr="009434EC">
        <w:rPr>
          <w:i/>
          <w:lang w:val="fr-FR"/>
        </w:rPr>
        <w:t xml:space="preserve"> </w:t>
      </w:r>
      <w:r w:rsidR="00EF486A">
        <w:rPr>
          <w:i/>
          <w:lang w:val="fr-FR"/>
        </w:rPr>
        <w:tab/>
      </w:r>
      <w:r w:rsidRPr="009434EC">
        <w:rPr>
          <w:i/>
          <w:lang w:val="fr-FR"/>
        </w:rPr>
        <w:t>Les matières remplissant les critères d’appartenance à la catégorie des matières qui polymérisent et de classement dans les classes 1 à 8 doivent satisfaire aux prescriptions de la disposition spéciale 386</w:t>
      </w:r>
      <w:r w:rsidR="009434EC">
        <w:rPr>
          <w:i/>
          <w:lang w:val="fr-FR"/>
        </w:rPr>
        <w:t xml:space="preserve"> du chapitre 3.3</w:t>
      </w:r>
      <w:r w:rsidRPr="009434EC">
        <w:rPr>
          <w:i/>
          <w:lang w:val="fr-FR"/>
        </w:rPr>
        <w:t>.</w:t>
      </w:r>
      <w:r>
        <w:rPr>
          <w:lang w:val="fr-FR"/>
        </w:rPr>
        <w:t>»</w:t>
      </w:r>
      <w:r>
        <w:t>.</w:t>
      </w:r>
    </w:p>
    <w:p w14:paraId="2A1CFA4A" w14:textId="77777777" w:rsidR="00196C06" w:rsidRDefault="00196C06" w:rsidP="00196C06">
      <w:pPr>
        <w:pStyle w:val="SingleTxtG"/>
        <w:rPr>
          <w:lang w:val="fr-FR"/>
        </w:rPr>
      </w:pPr>
      <w:r>
        <w:rPr>
          <w:lang w:val="fr-FR"/>
        </w:rPr>
        <w:t>2.4.3.1.1 a)</w:t>
      </w:r>
      <w:r>
        <w:rPr>
          <w:lang w:val="fr-FR"/>
        </w:rPr>
        <w:tab/>
        <w:t>Remplacer «risque d’inflammation» par «danger d’inflammation».</w:t>
      </w:r>
    </w:p>
    <w:p w14:paraId="77F0315D" w14:textId="77777777" w:rsidR="00196C06" w:rsidRPr="0059443A" w:rsidRDefault="00196C06" w:rsidP="00196C06">
      <w:pPr>
        <w:pStyle w:val="H1G"/>
      </w:pPr>
      <w:r w:rsidRPr="0059443A">
        <w:tab/>
      </w:r>
      <w:r w:rsidRPr="0059443A">
        <w:tab/>
        <w:t>Chapitre 2.5</w:t>
      </w:r>
    </w:p>
    <w:p w14:paraId="228E97FC" w14:textId="77777777" w:rsidR="00EF486A" w:rsidRDefault="00196C06" w:rsidP="00196C06">
      <w:pPr>
        <w:spacing w:before="120" w:after="120" w:line="240" w:lineRule="auto"/>
        <w:ind w:left="1134" w:right="1134"/>
        <w:jc w:val="both"/>
      </w:pPr>
      <w:r w:rsidRPr="0059443A">
        <w:t>2.5.2.1.2</w:t>
      </w:r>
      <w:r w:rsidRPr="0059443A">
        <w:tab/>
      </w:r>
      <w:r w:rsidRPr="0059443A">
        <w:rPr>
          <w:lang w:eastAsia="en-GB"/>
        </w:rPr>
        <w:t>R</w:t>
      </w:r>
      <w:r w:rsidRPr="0059443A">
        <w:t>emplacer «risques» par «dangers»</w:t>
      </w:r>
      <w:r w:rsidR="00BD056C">
        <w:t xml:space="preserve"> et renuméroter en tant que paragraphe 2.5.2.1.3</w:t>
      </w:r>
      <w:r w:rsidRPr="0059443A">
        <w:t>.</w:t>
      </w:r>
      <w:r w:rsidR="00BD056C">
        <w:t xml:space="preserve"> </w:t>
      </w:r>
    </w:p>
    <w:p w14:paraId="54A2BABD" w14:textId="0D341822" w:rsidR="00196C06" w:rsidRDefault="00BD056C" w:rsidP="00196C06">
      <w:pPr>
        <w:spacing w:before="120" w:after="120" w:line="240" w:lineRule="auto"/>
        <w:ind w:left="1134" w:right="1134"/>
        <w:jc w:val="both"/>
      </w:pPr>
      <w:r>
        <w:t>Ajouter un nouveau 2.5.2.1.2 pour lire comme suit:</w:t>
      </w:r>
    </w:p>
    <w:p w14:paraId="275719B7" w14:textId="28C747E7" w:rsidR="00BD056C" w:rsidRPr="0059443A" w:rsidRDefault="00BD056C" w:rsidP="00196C06">
      <w:pPr>
        <w:spacing w:before="120" w:after="120" w:line="240" w:lineRule="auto"/>
        <w:ind w:left="1134" w:right="1134"/>
        <w:jc w:val="both"/>
      </w:pPr>
      <w:r>
        <w:t>«2.5.2.1.2</w:t>
      </w:r>
      <w:r>
        <w:tab/>
        <w:t xml:space="preserve">À titre </w:t>
      </w:r>
      <w:r w:rsidRPr="00AA10BE">
        <w:t>exception</w:t>
      </w:r>
      <w:r>
        <w:t>nel</w:t>
      </w:r>
      <w:r w:rsidRPr="00AA10BE">
        <w:t xml:space="preserve">, </w:t>
      </w:r>
      <w:r>
        <w:t>les engrais au nitrate d’ammonium solide sont classés conformément à la procédure définie dans le Manuel d’épreuves et de critères, troisième partie, section 39.».</w:t>
      </w:r>
    </w:p>
    <w:p w14:paraId="74A72FAB" w14:textId="77777777" w:rsidR="00196C06" w:rsidRPr="0059443A" w:rsidRDefault="00196C06" w:rsidP="00196C06">
      <w:pPr>
        <w:spacing w:before="120" w:after="120" w:line="240" w:lineRule="auto"/>
        <w:ind w:left="1134" w:right="1134"/>
        <w:jc w:val="both"/>
      </w:pPr>
      <w:r w:rsidRPr="0059443A">
        <w:t>2.5.3.2.3</w:t>
      </w:r>
      <w:r w:rsidRPr="0059443A">
        <w:tab/>
      </w:r>
      <w:r w:rsidRPr="0059443A">
        <w:rPr>
          <w:lang w:eastAsia="en-GB"/>
        </w:rPr>
        <w:t>R</w:t>
      </w:r>
      <w:r w:rsidRPr="0059443A">
        <w:t>emplacer «risques» par «dangers».</w:t>
      </w:r>
    </w:p>
    <w:p w14:paraId="45CD8E62" w14:textId="77777777" w:rsidR="00196C06" w:rsidRPr="0059443A" w:rsidRDefault="00196C06" w:rsidP="00196C06">
      <w:pPr>
        <w:spacing w:before="120" w:after="120" w:line="240" w:lineRule="auto"/>
        <w:ind w:left="1134" w:right="1134"/>
        <w:jc w:val="both"/>
        <w:rPr>
          <w:lang w:eastAsia="en-GB"/>
        </w:rPr>
      </w:pPr>
      <w:r w:rsidRPr="0059443A">
        <w:rPr>
          <w:lang w:eastAsia="en-GB"/>
        </w:rPr>
        <w:t>2.5.3.2.4</w:t>
      </w:r>
      <w:r>
        <w:rPr>
          <w:lang w:eastAsia="en-GB"/>
        </w:rPr>
        <w:tab/>
        <w:t xml:space="preserve">L’amendement à </w:t>
      </w:r>
      <w:r w:rsidRPr="0059443A">
        <w:rPr>
          <w:lang w:eastAsia="en-GB"/>
        </w:rPr>
        <w:t>l’</w:t>
      </w:r>
      <w:r>
        <w:rPr>
          <w:lang w:eastAsia="en-GB"/>
        </w:rPr>
        <w:t xml:space="preserve">intitulé de la dernière colonne du tableau ne s’applique pas au texte </w:t>
      </w:r>
      <w:r w:rsidRPr="0059443A">
        <w:rPr>
          <w:lang w:eastAsia="en-GB"/>
        </w:rPr>
        <w:t>français.</w:t>
      </w:r>
    </w:p>
    <w:p w14:paraId="0F1EC7AA" w14:textId="77777777" w:rsidR="00196C06" w:rsidRPr="0059443A" w:rsidRDefault="00196C06" w:rsidP="00196C06">
      <w:pPr>
        <w:spacing w:before="120" w:after="120" w:line="240" w:lineRule="auto"/>
        <w:ind w:left="1134" w:right="1134"/>
        <w:jc w:val="both"/>
      </w:pPr>
      <w:r w:rsidRPr="0059443A">
        <w:t>2.5.3.2.4</w:t>
      </w:r>
      <w:r w:rsidRPr="0059443A">
        <w:tab/>
        <w:t xml:space="preserve">Dans les notes de bas de tableau 3, 13, 18 et 27, </w:t>
      </w:r>
      <w:r w:rsidRPr="0059443A">
        <w:rPr>
          <w:lang w:eastAsia="en-GB"/>
        </w:rPr>
        <w:t>r</w:t>
      </w:r>
      <w:r w:rsidRPr="0059443A">
        <w:t>emplacer «risque» par «danger».</w:t>
      </w:r>
    </w:p>
    <w:p w14:paraId="31DFFCAE" w14:textId="10AA6825" w:rsidR="00196C06" w:rsidRPr="00CC6AA6" w:rsidRDefault="00196C06" w:rsidP="00196C06">
      <w:pPr>
        <w:pStyle w:val="SingleTxtG"/>
        <w:spacing w:before="120"/>
      </w:pPr>
      <w:r w:rsidRPr="00560063">
        <w:t>2.5.3.2.4</w:t>
      </w:r>
      <w:r w:rsidRPr="00560063">
        <w:tab/>
      </w:r>
      <w:r w:rsidRPr="00560063">
        <w:rPr>
          <w:iCs/>
          <w:lang w:val="fr-FR"/>
        </w:rPr>
        <w:t>À</w:t>
      </w:r>
      <w:r w:rsidRPr="00560063">
        <w:t xml:space="preserve"> la fin du premier paragraphe, ajouter la nouvelle phrase suivante: «Les préparations énumérées dans l’instruction d’emballage IBC 520 du 4.1.4.2 et dans l’instruction de transport en citerne mobile T23 du 4.2.5.2.6 peuvent également être transportées </w:t>
      </w:r>
      <w:r w:rsidR="00F8604F" w:rsidRPr="00560063">
        <w:t>emballées conformément à la méthode d’emballage OP8 de l’instruction</w:t>
      </w:r>
      <w:r w:rsidRPr="00560063">
        <w:t xml:space="preserve"> P520 du 4.1.4.1, avec les mêmes températures de régulation et critiques, le cas échéant.».</w:t>
      </w:r>
    </w:p>
    <w:p w14:paraId="47051385" w14:textId="5D8F7BAC" w:rsidR="00196C06" w:rsidRPr="00CC6AA6" w:rsidRDefault="00196C06" w:rsidP="00196C06">
      <w:pPr>
        <w:pStyle w:val="SingleTxtG"/>
        <w:spacing w:before="120"/>
      </w:pPr>
      <w:r w:rsidRPr="00CC6AA6">
        <w:t>2.5.3.2.4</w:t>
      </w:r>
      <w:r w:rsidRPr="00CC6AA6">
        <w:tab/>
      </w:r>
      <w:r w:rsidR="00A46E9F">
        <w:t>Dans le tableau, i</w:t>
      </w:r>
      <w:r w:rsidRPr="00CC6AA6">
        <w:t>nsérer les nouvelles rubriques suivantes</w:t>
      </w:r>
      <w:r>
        <w:t>:</w:t>
      </w: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1E0" w:firstRow="1" w:lastRow="1" w:firstColumn="1" w:lastColumn="1" w:noHBand="0" w:noVBand="0"/>
      </w:tblPr>
      <w:tblGrid>
        <w:gridCol w:w="3827"/>
        <w:gridCol w:w="1009"/>
        <w:gridCol w:w="502"/>
        <w:gridCol w:w="502"/>
        <w:gridCol w:w="502"/>
        <w:gridCol w:w="502"/>
        <w:gridCol w:w="502"/>
        <w:gridCol w:w="502"/>
        <w:gridCol w:w="502"/>
        <w:gridCol w:w="502"/>
        <w:gridCol w:w="503"/>
      </w:tblGrid>
      <w:tr w:rsidR="00196C06" w:rsidRPr="00CC6AA6" w14:paraId="40003C1F" w14:textId="77777777" w:rsidTr="006201FD">
        <w:trPr>
          <w:cantSplit/>
        </w:trPr>
        <w:tc>
          <w:tcPr>
            <w:tcW w:w="3827" w:type="dxa"/>
            <w:tcBorders>
              <w:top w:val="single" w:sz="4" w:space="0" w:color="auto"/>
              <w:bottom w:val="single" w:sz="12" w:space="0" w:color="auto"/>
            </w:tcBorders>
            <w:shd w:val="clear" w:color="auto" w:fill="auto"/>
            <w:vAlign w:val="bottom"/>
          </w:tcPr>
          <w:p w14:paraId="28CAA32B" w14:textId="77777777" w:rsidR="00196C06" w:rsidRPr="00CC6AA6" w:rsidRDefault="00196C06" w:rsidP="006201FD">
            <w:pPr>
              <w:keepNext/>
              <w:keepLines/>
              <w:spacing w:before="80" w:after="80" w:line="200" w:lineRule="exact"/>
              <w:rPr>
                <w:bCs/>
                <w:i/>
                <w:sz w:val="16"/>
                <w:szCs w:val="16"/>
              </w:rPr>
            </w:pPr>
            <w:r w:rsidRPr="00CC6AA6">
              <w:rPr>
                <w:bCs/>
                <w:i/>
                <w:sz w:val="16"/>
                <w:szCs w:val="16"/>
              </w:rPr>
              <w:lastRenderedPageBreak/>
              <w:t>Peroxyde organique</w:t>
            </w:r>
          </w:p>
        </w:tc>
        <w:tc>
          <w:tcPr>
            <w:tcW w:w="1009" w:type="dxa"/>
            <w:tcBorders>
              <w:top w:val="single" w:sz="4" w:space="0" w:color="auto"/>
              <w:bottom w:val="single" w:sz="12" w:space="0" w:color="auto"/>
            </w:tcBorders>
            <w:shd w:val="clear" w:color="auto" w:fill="auto"/>
          </w:tcPr>
          <w:p w14:paraId="00E277E6" w14:textId="77777777" w:rsidR="00196C06" w:rsidRPr="00CC6AA6" w:rsidRDefault="00196C06" w:rsidP="006201FD">
            <w:pPr>
              <w:keepNext/>
              <w:keepLines/>
              <w:spacing w:before="80" w:after="80" w:line="200" w:lineRule="exact"/>
              <w:rPr>
                <w:bCs/>
                <w:i/>
                <w:sz w:val="16"/>
                <w:szCs w:val="16"/>
              </w:rPr>
            </w:pPr>
            <w:r w:rsidRPr="00CC6AA6">
              <w:rPr>
                <w:bCs/>
                <w:i/>
                <w:sz w:val="16"/>
                <w:szCs w:val="16"/>
              </w:rPr>
              <w:t>(2)</w:t>
            </w:r>
          </w:p>
        </w:tc>
        <w:tc>
          <w:tcPr>
            <w:tcW w:w="502" w:type="dxa"/>
            <w:tcBorders>
              <w:top w:val="single" w:sz="4" w:space="0" w:color="auto"/>
              <w:bottom w:val="single" w:sz="12" w:space="0" w:color="auto"/>
            </w:tcBorders>
            <w:shd w:val="clear" w:color="auto" w:fill="auto"/>
          </w:tcPr>
          <w:p w14:paraId="0B1E6CC7" w14:textId="77777777" w:rsidR="00196C06" w:rsidRPr="00CC6AA6" w:rsidRDefault="00196C06" w:rsidP="006201FD">
            <w:pPr>
              <w:keepNext/>
              <w:keepLines/>
              <w:spacing w:before="80" w:after="80" w:line="200" w:lineRule="exact"/>
              <w:rPr>
                <w:bCs/>
                <w:i/>
                <w:sz w:val="16"/>
                <w:szCs w:val="16"/>
              </w:rPr>
            </w:pPr>
            <w:r w:rsidRPr="00CC6AA6">
              <w:rPr>
                <w:bCs/>
                <w:i/>
                <w:sz w:val="16"/>
                <w:szCs w:val="16"/>
              </w:rPr>
              <w:t>(3)</w:t>
            </w:r>
          </w:p>
        </w:tc>
        <w:tc>
          <w:tcPr>
            <w:tcW w:w="502" w:type="dxa"/>
            <w:tcBorders>
              <w:top w:val="single" w:sz="4" w:space="0" w:color="auto"/>
              <w:bottom w:val="single" w:sz="12" w:space="0" w:color="auto"/>
            </w:tcBorders>
            <w:shd w:val="clear" w:color="auto" w:fill="auto"/>
          </w:tcPr>
          <w:p w14:paraId="293FC6F1" w14:textId="77777777" w:rsidR="00196C06" w:rsidRPr="00CC6AA6" w:rsidRDefault="00196C06" w:rsidP="006201FD">
            <w:pPr>
              <w:keepNext/>
              <w:keepLines/>
              <w:spacing w:before="80" w:after="80" w:line="200" w:lineRule="exact"/>
              <w:rPr>
                <w:bCs/>
                <w:i/>
                <w:sz w:val="16"/>
                <w:szCs w:val="16"/>
              </w:rPr>
            </w:pPr>
            <w:r w:rsidRPr="00CC6AA6">
              <w:rPr>
                <w:bCs/>
                <w:i/>
                <w:sz w:val="16"/>
                <w:szCs w:val="16"/>
              </w:rPr>
              <w:t>(4)</w:t>
            </w:r>
          </w:p>
        </w:tc>
        <w:tc>
          <w:tcPr>
            <w:tcW w:w="502" w:type="dxa"/>
            <w:tcBorders>
              <w:top w:val="single" w:sz="4" w:space="0" w:color="auto"/>
              <w:bottom w:val="single" w:sz="12" w:space="0" w:color="auto"/>
            </w:tcBorders>
            <w:shd w:val="clear" w:color="auto" w:fill="auto"/>
          </w:tcPr>
          <w:p w14:paraId="0EBFD6D2" w14:textId="77777777" w:rsidR="00196C06" w:rsidRPr="00CC6AA6" w:rsidRDefault="00196C06" w:rsidP="006201FD">
            <w:pPr>
              <w:keepNext/>
              <w:keepLines/>
              <w:spacing w:before="80" w:after="80" w:line="200" w:lineRule="exact"/>
              <w:rPr>
                <w:bCs/>
                <w:i/>
                <w:sz w:val="16"/>
                <w:szCs w:val="16"/>
              </w:rPr>
            </w:pPr>
            <w:r w:rsidRPr="00CC6AA6">
              <w:rPr>
                <w:bCs/>
                <w:i/>
                <w:sz w:val="16"/>
                <w:szCs w:val="16"/>
              </w:rPr>
              <w:t>(5)</w:t>
            </w:r>
          </w:p>
        </w:tc>
        <w:tc>
          <w:tcPr>
            <w:tcW w:w="502" w:type="dxa"/>
            <w:tcBorders>
              <w:top w:val="single" w:sz="4" w:space="0" w:color="auto"/>
              <w:bottom w:val="single" w:sz="12" w:space="0" w:color="auto"/>
            </w:tcBorders>
            <w:shd w:val="clear" w:color="auto" w:fill="auto"/>
          </w:tcPr>
          <w:p w14:paraId="70A0E827" w14:textId="77777777" w:rsidR="00196C06" w:rsidRPr="00CC6AA6" w:rsidRDefault="00196C06" w:rsidP="006201FD">
            <w:pPr>
              <w:keepNext/>
              <w:keepLines/>
              <w:spacing w:before="80" w:after="80" w:line="200" w:lineRule="exact"/>
              <w:rPr>
                <w:bCs/>
                <w:i/>
                <w:sz w:val="16"/>
                <w:szCs w:val="16"/>
              </w:rPr>
            </w:pPr>
            <w:r w:rsidRPr="00CC6AA6">
              <w:rPr>
                <w:bCs/>
                <w:i/>
                <w:sz w:val="16"/>
                <w:szCs w:val="16"/>
              </w:rPr>
              <w:t>(6)</w:t>
            </w:r>
          </w:p>
        </w:tc>
        <w:tc>
          <w:tcPr>
            <w:tcW w:w="502" w:type="dxa"/>
            <w:tcBorders>
              <w:top w:val="single" w:sz="4" w:space="0" w:color="auto"/>
              <w:bottom w:val="single" w:sz="12" w:space="0" w:color="auto"/>
            </w:tcBorders>
            <w:shd w:val="clear" w:color="auto" w:fill="auto"/>
          </w:tcPr>
          <w:p w14:paraId="67F708A7" w14:textId="77777777" w:rsidR="00196C06" w:rsidRPr="00CC6AA6" w:rsidRDefault="00196C06" w:rsidP="006201FD">
            <w:pPr>
              <w:keepNext/>
              <w:keepLines/>
              <w:spacing w:before="80" w:after="80" w:line="200" w:lineRule="exact"/>
              <w:rPr>
                <w:bCs/>
                <w:i/>
                <w:sz w:val="16"/>
                <w:szCs w:val="16"/>
              </w:rPr>
            </w:pPr>
            <w:r w:rsidRPr="00CC6AA6">
              <w:rPr>
                <w:bCs/>
                <w:i/>
                <w:sz w:val="16"/>
                <w:szCs w:val="16"/>
              </w:rPr>
              <w:t>(7)</w:t>
            </w:r>
          </w:p>
        </w:tc>
        <w:tc>
          <w:tcPr>
            <w:tcW w:w="502" w:type="dxa"/>
            <w:tcBorders>
              <w:top w:val="single" w:sz="4" w:space="0" w:color="auto"/>
              <w:bottom w:val="single" w:sz="12" w:space="0" w:color="auto"/>
            </w:tcBorders>
            <w:shd w:val="clear" w:color="auto" w:fill="auto"/>
          </w:tcPr>
          <w:p w14:paraId="0B13E73B" w14:textId="77777777" w:rsidR="00196C06" w:rsidRPr="00CC6AA6" w:rsidRDefault="00196C06" w:rsidP="006201FD">
            <w:pPr>
              <w:keepNext/>
              <w:keepLines/>
              <w:spacing w:before="80" w:after="80" w:line="200" w:lineRule="exact"/>
              <w:rPr>
                <w:bCs/>
                <w:i/>
                <w:sz w:val="16"/>
                <w:szCs w:val="16"/>
              </w:rPr>
            </w:pPr>
            <w:r w:rsidRPr="00CC6AA6">
              <w:rPr>
                <w:bCs/>
                <w:i/>
                <w:sz w:val="16"/>
                <w:szCs w:val="16"/>
              </w:rPr>
              <w:t>(8)</w:t>
            </w:r>
          </w:p>
        </w:tc>
        <w:tc>
          <w:tcPr>
            <w:tcW w:w="502" w:type="dxa"/>
            <w:tcBorders>
              <w:top w:val="single" w:sz="4" w:space="0" w:color="auto"/>
              <w:bottom w:val="single" w:sz="12" w:space="0" w:color="auto"/>
            </w:tcBorders>
            <w:shd w:val="clear" w:color="auto" w:fill="auto"/>
          </w:tcPr>
          <w:p w14:paraId="159A7FE1" w14:textId="77777777" w:rsidR="00196C06" w:rsidRPr="00CC6AA6" w:rsidRDefault="00196C06" w:rsidP="006201FD">
            <w:pPr>
              <w:keepNext/>
              <w:keepLines/>
              <w:spacing w:before="80" w:after="80" w:line="200" w:lineRule="exact"/>
              <w:rPr>
                <w:bCs/>
                <w:i/>
                <w:sz w:val="16"/>
                <w:szCs w:val="16"/>
              </w:rPr>
            </w:pPr>
            <w:r w:rsidRPr="00CC6AA6">
              <w:rPr>
                <w:bCs/>
                <w:i/>
                <w:sz w:val="16"/>
                <w:szCs w:val="16"/>
              </w:rPr>
              <w:t>(9)</w:t>
            </w:r>
          </w:p>
        </w:tc>
        <w:tc>
          <w:tcPr>
            <w:tcW w:w="502" w:type="dxa"/>
            <w:tcBorders>
              <w:top w:val="single" w:sz="4" w:space="0" w:color="auto"/>
              <w:bottom w:val="single" w:sz="12" w:space="0" w:color="auto"/>
            </w:tcBorders>
            <w:shd w:val="clear" w:color="auto" w:fill="auto"/>
          </w:tcPr>
          <w:p w14:paraId="63288C1D" w14:textId="77777777" w:rsidR="00196C06" w:rsidRPr="00CC6AA6" w:rsidRDefault="00196C06" w:rsidP="006201FD">
            <w:pPr>
              <w:keepNext/>
              <w:keepLines/>
              <w:spacing w:before="80" w:after="80" w:line="200" w:lineRule="exact"/>
              <w:rPr>
                <w:bCs/>
                <w:i/>
                <w:sz w:val="16"/>
                <w:szCs w:val="16"/>
              </w:rPr>
            </w:pPr>
            <w:r w:rsidRPr="00CC6AA6">
              <w:rPr>
                <w:bCs/>
                <w:i/>
                <w:sz w:val="16"/>
                <w:szCs w:val="16"/>
              </w:rPr>
              <w:t>(10)</w:t>
            </w:r>
          </w:p>
        </w:tc>
        <w:tc>
          <w:tcPr>
            <w:tcW w:w="503" w:type="dxa"/>
            <w:tcBorders>
              <w:top w:val="single" w:sz="4" w:space="0" w:color="auto"/>
              <w:bottom w:val="single" w:sz="12" w:space="0" w:color="auto"/>
            </w:tcBorders>
            <w:shd w:val="clear" w:color="auto" w:fill="auto"/>
          </w:tcPr>
          <w:p w14:paraId="25942946" w14:textId="77777777" w:rsidR="00196C06" w:rsidRPr="00CC6AA6" w:rsidRDefault="00196C06" w:rsidP="006201FD">
            <w:pPr>
              <w:keepNext/>
              <w:keepLines/>
              <w:spacing w:before="80" w:after="80" w:line="200" w:lineRule="exact"/>
              <w:rPr>
                <w:bCs/>
                <w:i/>
                <w:sz w:val="16"/>
                <w:szCs w:val="16"/>
              </w:rPr>
            </w:pPr>
            <w:r w:rsidRPr="00CC6AA6">
              <w:rPr>
                <w:bCs/>
                <w:i/>
                <w:sz w:val="16"/>
                <w:szCs w:val="16"/>
              </w:rPr>
              <w:t>(11)</w:t>
            </w:r>
          </w:p>
        </w:tc>
      </w:tr>
      <w:tr w:rsidR="00196C06" w:rsidRPr="00CC6AA6" w14:paraId="1E24E9E8" w14:textId="77777777" w:rsidTr="006201FD">
        <w:trPr>
          <w:cantSplit/>
          <w:trHeight w:hRule="exact" w:val="113"/>
        </w:trPr>
        <w:tc>
          <w:tcPr>
            <w:tcW w:w="3827" w:type="dxa"/>
            <w:tcBorders>
              <w:top w:val="single" w:sz="12" w:space="0" w:color="auto"/>
            </w:tcBorders>
            <w:shd w:val="clear" w:color="auto" w:fill="auto"/>
          </w:tcPr>
          <w:p w14:paraId="640F34FF" w14:textId="77777777" w:rsidR="00196C06" w:rsidRPr="00CC6AA6" w:rsidRDefault="00196C06" w:rsidP="006201FD">
            <w:pPr>
              <w:keepNext/>
              <w:keepLines/>
              <w:jc w:val="center"/>
              <w:rPr>
                <w:b/>
                <w:bCs/>
                <w:sz w:val="18"/>
                <w:szCs w:val="18"/>
              </w:rPr>
            </w:pPr>
          </w:p>
        </w:tc>
        <w:tc>
          <w:tcPr>
            <w:tcW w:w="1009" w:type="dxa"/>
            <w:tcBorders>
              <w:top w:val="single" w:sz="12" w:space="0" w:color="auto"/>
            </w:tcBorders>
            <w:shd w:val="clear" w:color="auto" w:fill="auto"/>
          </w:tcPr>
          <w:p w14:paraId="3670FC45" w14:textId="77777777" w:rsidR="00196C06" w:rsidRPr="00CC6AA6" w:rsidRDefault="00196C06" w:rsidP="006201FD">
            <w:pPr>
              <w:keepNext/>
              <w:keepLines/>
              <w:jc w:val="center"/>
              <w:rPr>
                <w:b/>
                <w:bCs/>
                <w:sz w:val="18"/>
                <w:szCs w:val="18"/>
              </w:rPr>
            </w:pPr>
          </w:p>
        </w:tc>
        <w:tc>
          <w:tcPr>
            <w:tcW w:w="502" w:type="dxa"/>
            <w:tcBorders>
              <w:top w:val="single" w:sz="12" w:space="0" w:color="auto"/>
            </w:tcBorders>
            <w:shd w:val="clear" w:color="auto" w:fill="auto"/>
          </w:tcPr>
          <w:p w14:paraId="278AB08B" w14:textId="77777777" w:rsidR="00196C06" w:rsidRPr="00CC6AA6" w:rsidRDefault="00196C06" w:rsidP="006201FD">
            <w:pPr>
              <w:keepNext/>
              <w:keepLines/>
              <w:jc w:val="center"/>
              <w:rPr>
                <w:b/>
                <w:bCs/>
                <w:sz w:val="18"/>
                <w:szCs w:val="18"/>
              </w:rPr>
            </w:pPr>
          </w:p>
        </w:tc>
        <w:tc>
          <w:tcPr>
            <w:tcW w:w="502" w:type="dxa"/>
            <w:tcBorders>
              <w:top w:val="single" w:sz="12" w:space="0" w:color="auto"/>
            </w:tcBorders>
            <w:shd w:val="clear" w:color="auto" w:fill="auto"/>
          </w:tcPr>
          <w:p w14:paraId="0EA3974C" w14:textId="77777777" w:rsidR="00196C06" w:rsidRPr="00CC6AA6" w:rsidRDefault="00196C06" w:rsidP="006201FD">
            <w:pPr>
              <w:keepNext/>
              <w:keepLines/>
              <w:jc w:val="center"/>
              <w:rPr>
                <w:b/>
                <w:bCs/>
                <w:sz w:val="18"/>
                <w:szCs w:val="18"/>
              </w:rPr>
            </w:pPr>
          </w:p>
        </w:tc>
        <w:tc>
          <w:tcPr>
            <w:tcW w:w="502" w:type="dxa"/>
            <w:tcBorders>
              <w:top w:val="single" w:sz="12" w:space="0" w:color="auto"/>
            </w:tcBorders>
            <w:shd w:val="clear" w:color="auto" w:fill="auto"/>
          </w:tcPr>
          <w:p w14:paraId="34EFE712" w14:textId="77777777" w:rsidR="00196C06" w:rsidRPr="00CC6AA6" w:rsidRDefault="00196C06" w:rsidP="006201FD">
            <w:pPr>
              <w:keepNext/>
              <w:keepLines/>
              <w:jc w:val="center"/>
              <w:rPr>
                <w:b/>
                <w:bCs/>
                <w:sz w:val="18"/>
                <w:szCs w:val="18"/>
              </w:rPr>
            </w:pPr>
          </w:p>
        </w:tc>
        <w:tc>
          <w:tcPr>
            <w:tcW w:w="502" w:type="dxa"/>
            <w:tcBorders>
              <w:top w:val="single" w:sz="12" w:space="0" w:color="auto"/>
            </w:tcBorders>
            <w:shd w:val="clear" w:color="auto" w:fill="auto"/>
          </w:tcPr>
          <w:p w14:paraId="72807AAC" w14:textId="77777777" w:rsidR="00196C06" w:rsidRPr="00CC6AA6" w:rsidRDefault="00196C06" w:rsidP="006201FD">
            <w:pPr>
              <w:keepNext/>
              <w:keepLines/>
              <w:jc w:val="center"/>
              <w:rPr>
                <w:b/>
                <w:bCs/>
                <w:sz w:val="18"/>
                <w:szCs w:val="18"/>
              </w:rPr>
            </w:pPr>
          </w:p>
        </w:tc>
        <w:tc>
          <w:tcPr>
            <w:tcW w:w="502" w:type="dxa"/>
            <w:tcBorders>
              <w:top w:val="single" w:sz="12" w:space="0" w:color="auto"/>
            </w:tcBorders>
            <w:shd w:val="clear" w:color="auto" w:fill="auto"/>
          </w:tcPr>
          <w:p w14:paraId="45EF1038" w14:textId="77777777" w:rsidR="00196C06" w:rsidRPr="00CC6AA6" w:rsidRDefault="00196C06" w:rsidP="006201FD">
            <w:pPr>
              <w:keepNext/>
              <w:keepLines/>
              <w:jc w:val="center"/>
              <w:rPr>
                <w:b/>
                <w:bCs/>
                <w:sz w:val="18"/>
                <w:szCs w:val="18"/>
              </w:rPr>
            </w:pPr>
          </w:p>
        </w:tc>
        <w:tc>
          <w:tcPr>
            <w:tcW w:w="502" w:type="dxa"/>
            <w:tcBorders>
              <w:top w:val="single" w:sz="12" w:space="0" w:color="auto"/>
            </w:tcBorders>
            <w:shd w:val="clear" w:color="auto" w:fill="auto"/>
          </w:tcPr>
          <w:p w14:paraId="7F4E185F" w14:textId="77777777" w:rsidR="00196C06" w:rsidRPr="00CC6AA6" w:rsidRDefault="00196C06" w:rsidP="006201FD">
            <w:pPr>
              <w:keepNext/>
              <w:keepLines/>
              <w:jc w:val="center"/>
              <w:rPr>
                <w:b/>
                <w:bCs/>
                <w:sz w:val="18"/>
                <w:szCs w:val="18"/>
              </w:rPr>
            </w:pPr>
          </w:p>
        </w:tc>
        <w:tc>
          <w:tcPr>
            <w:tcW w:w="502" w:type="dxa"/>
            <w:tcBorders>
              <w:top w:val="single" w:sz="12" w:space="0" w:color="auto"/>
            </w:tcBorders>
            <w:shd w:val="clear" w:color="auto" w:fill="auto"/>
          </w:tcPr>
          <w:p w14:paraId="7209E128" w14:textId="77777777" w:rsidR="00196C06" w:rsidRPr="00CC6AA6" w:rsidRDefault="00196C06" w:rsidP="006201FD">
            <w:pPr>
              <w:keepNext/>
              <w:keepLines/>
              <w:jc w:val="center"/>
              <w:rPr>
                <w:b/>
                <w:bCs/>
                <w:sz w:val="18"/>
                <w:szCs w:val="18"/>
              </w:rPr>
            </w:pPr>
          </w:p>
        </w:tc>
        <w:tc>
          <w:tcPr>
            <w:tcW w:w="502" w:type="dxa"/>
            <w:tcBorders>
              <w:top w:val="single" w:sz="12" w:space="0" w:color="auto"/>
            </w:tcBorders>
            <w:shd w:val="clear" w:color="auto" w:fill="auto"/>
          </w:tcPr>
          <w:p w14:paraId="000FA40F" w14:textId="77777777" w:rsidR="00196C06" w:rsidRPr="00CC6AA6" w:rsidRDefault="00196C06" w:rsidP="006201FD">
            <w:pPr>
              <w:keepNext/>
              <w:keepLines/>
              <w:jc w:val="center"/>
              <w:rPr>
                <w:b/>
                <w:bCs/>
                <w:sz w:val="18"/>
                <w:szCs w:val="18"/>
              </w:rPr>
            </w:pPr>
          </w:p>
        </w:tc>
        <w:tc>
          <w:tcPr>
            <w:tcW w:w="503" w:type="dxa"/>
            <w:tcBorders>
              <w:top w:val="single" w:sz="12" w:space="0" w:color="auto"/>
            </w:tcBorders>
            <w:shd w:val="clear" w:color="auto" w:fill="auto"/>
          </w:tcPr>
          <w:p w14:paraId="731595E8" w14:textId="77777777" w:rsidR="00196C06" w:rsidRPr="00CC6AA6" w:rsidRDefault="00196C06" w:rsidP="006201FD">
            <w:pPr>
              <w:keepNext/>
              <w:keepLines/>
              <w:jc w:val="center"/>
              <w:rPr>
                <w:b/>
                <w:bCs/>
                <w:sz w:val="18"/>
                <w:szCs w:val="18"/>
              </w:rPr>
            </w:pPr>
          </w:p>
        </w:tc>
      </w:tr>
      <w:tr w:rsidR="00196C06" w:rsidRPr="00CC6AA6" w14:paraId="7EEC27B2" w14:textId="77777777" w:rsidTr="006201FD">
        <w:trPr>
          <w:cantSplit/>
        </w:trPr>
        <w:tc>
          <w:tcPr>
            <w:tcW w:w="3827" w:type="dxa"/>
            <w:shd w:val="clear" w:color="auto" w:fill="auto"/>
          </w:tcPr>
          <w:p w14:paraId="092E3DE1" w14:textId="77777777" w:rsidR="00196C06" w:rsidRPr="00CC6AA6" w:rsidRDefault="00196C06" w:rsidP="006201FD">
            <w:pPr>
              <w:keepNext/>
              <w:keepLines/>
              <w:spacing w:before="40" w:after="120"/>
              <w:rPr>
                <w:sz w:val="18"/>
                <w:szCs w:val="18"/>
              </w:rPr>
            </w:pPr>
            <w:r>
              <w:rPr>
                <w:sz w:val="18"/>
                <w:szCs w:val="18"/>
              </w:rPr>
              <w:t>PEROXYDE DE DIISOBUTYRYLE</w:t>
            </w:r>
          </w:p>
        </w:tc>
        <w:tc>
          <w:tcPr>
            <w:tcW w:w="1009" w:type="dxa"/>
            <w:shd w:val="clear" w:color="auto" w:fill="auto"/>
          </w:tcPr>
          <w:p w14:paraId="4E0896FC" w14:textId="77777777" w:rsidR="00196C06" w:rsidRPr="00CC6AA6" w:rsidRDefault="00196C06" w:rsidP="006201FD">
            <w:pPr>
              <w:keepNext/>
              <w:keepLines/>
              <w:spacing w:before="40" w:after="120"/>
              <w:rPr>
                <w:sz w:val="17"/>
              </w:rPr>
            </w:pPr>
            <w:r w:rsidRPr="00CC6AA6">
              <w:rPr>
                <w:sz w:val="18"/>
                <w:szCs w:val="18"/>
              </w:rPr>
              <w:t>≤ 42 (dispersion stable dans l’eau)</w:t>
            </w:r>
          </w:p>
        </w:tc>
        <w:tc>
          <w:tcPr>
            <w:tcW w:w="502" w:type="dxa"/>
            <w:shd w:val="clear" w:color="auto" w:fill="auto"/>
          </w:tcPr>
          <w:p w14:paraId="3A952EDE" w14:textId="77777777" w:rsidR="00196C06" w:rsidRPr="00CC6AA6" w:rsidRDefault="00196C06" w:rsidP="006201FD">
            <w:pPr>
              <w:keepNext/>
              <w:keepLines/>
              <w:spacing w:before="40" w:after="120"/>
              <w:rPr>
                <w:sz w:val="18"/>
                <w:szCs w:val="18"/>
              </w:rPr>
            </w:pPr>
          </w:p>
        </w:tc>
        <w:tc>
          <w:tcPr>
            <w:tcW w:w="502" w:type="dxa"/>
            <w:shd w:val="clear" w:color="auto" w:fill="auto"/>
          </w:tcPr>
          <w:p w14:paraId="0833D504" w14:textId="77777777" w:rsidR="00196C06" w:rsidRPr="00CC6AA6" w:rsidRDefault="00196C06" w:rsidP="006201FD">
            <w:pPr>
              <w:keepNext/>
              <w:keepLines/>
              <w:spacing w:before="40" w:after="120"/>
              <w:rPr>
                <w:sz w:val="18"/>
                <w:szCs w:val="18"/>
              </w:rPr>
            </w:pPr>
          </w:p>
        </w:tc>
        <w:tc>
          <w:tcPr>
            <w:tcW w:w="502" w:type="dxa"/>
            <w:shd w:val="clear" w:color="auto" w:fill="auto"/>
          </w:tcPr>
          <w:p w14:paraId="477FB02D" w14:textId="77777777" w:rsidR="00196C06" w:rsidRPr="00CC6AA6" w:rsidRDefault="00196C06" w:rsidP="006201FD">
            <w:pPr>
              <w:keepNext/>
              <w:keepLines/>
              <w:spacing w:before="40" w:after="120"/>
              <w:rPr>
                <w:sz w:val="18"/>
                <w:szCs w:val="18"/>
              </w:rPr>
            </w:pPr>
          </w:p>
        </w:tc>
        <w:tc>
          <w:tcPr>
            <w:tcW w:w="502" w:type="dxa"/>
            <w:shd w:val="clear" w:color="auto" w:fill="auto"/>
          </w:tcPr>
          <w:p w14:paraId="08969142" w14:textId="77777777" w:rsidR="00196C06" w:rsidRPr="00CC6AA6" w:rsidRDefault="00196C06" w:rsidP="006201FD">
            <w:pPr>
              <w:keepNext/>
              <w:keepLines/>
              <w:spacing w:before="40" w:after="120"/>
              <w:rPr>
                <w:sz w:val="18"/>
                <w:szCs w:val="18"/>
              </w:rPr>
            </w:pPr>
          </w:p>
        </w:tc>
        <w:tc>
          <w:tcPr>
            <w:tcW w:w="502" w:type="dxa"/>
            <w:shd w:val="clear" w:color="auto" w:fill="auto"/>
          </w:tcPr>
          <w:p w14:paraId="134F3B77" w14:textId="77777777" w:rsidR="00196C06" w:rsidRPr="00CC6AA6" w:rsidRDefault="00196C06" w:rsidP="006201FD">
            <w:pPr>
              <w:keepNext/>
              <w:keepLines/>
              <w:spacing w:before="40" w:after="120"/>
              <w:rPr>
                <w:sz w:val="17"/>
              </w:rPr>
            </w:pPr>
            <w:r w:rsidRPr="00CC6AA6">
              <w:rPr>
                <w:sz w:val="18"/>
                <w:szCs w:val="18"/>
              </w:rPr>
              <w:t>OP8</w:t>
            </w:r>
          </w:p>
        </w:tc>
        <w:tc>
          <w:tcPr>
            <w:tcW w:w="502" w:type="dxa"/>
            <w:shd w:val="clear" w:color="auto" w:fill="auto"/>
          </w:tcPr>
          <w:p w14:paraId="61A8F754" w14:textId="77777777" w:rsidR="00196C06" w:rsidRPr="00CC6AA6" w:rsidRDefault="00196C06" w:rsidP="006201FD">
            <w:pPr>
              <w:keepNext/>
              <w:keepLines/>
              <w:spacing w:before="40" w:after="120"/>
              <w:rPr>
                <w:sz w:val="18"/>
                <w:szCs w:val="18"/>
              </w:rPr>
            </w:pPr>
            <w:r w:rsidRPr="00CC6AA6">
              <w:rPr>
                <w:sz w:val="18"/>
                <w:szCs w:val="18"/>
              </w:rPr>
              <w:t>-20</w:t>
            </w:r>
          </w:p>
        </w:tc>
        <w:tc>
          <w:tcPr>
            <w:tcW w:w="502" w:type="dxa"/>
            <w:shd w:val="clear" w:color="auto" w:fill="auto"/>
          </w:tcPr>
          <w:p w14:paraId="2A254D13" w14:textId="77777777" w:rsidR="00196C06" w:rsidRPr="00CC6AA6" w:rsidRDefault="00196C06" w:rsidP="006201FD">
            <w:pPr>
              <w:keepNext/>
              <w:keepLines/>
              <w:spacing w:before="40" w:after="120"/>
              <w:rPr>
                <w:sz w:val="18"/>
                <w:szCs w:val="18"/>
              </w:rPr>
            </w:pPr>
            <w:r w:rsidRPr="00CC6AA6">
              <w:rPr>
                <w:sz w:val="18"/>
                <w:szCs w:val="18"/>
              </w:rPr>
              <w:t>-10</w:t>
            </w:r>
          </w:p>
        </w:tc>
        <w:tc>
          <w:tcPr>
            <w:tcW w:w="502" w:type="dxa"/>
            <w:shd w:val="clear" w:color="auto" w:fill="auto"/>
          </w:tcPr>
          <w:p w14:paraId="740A9988" w14:textId="77777777" w:rsidR="00196C06" w:rsidRPr="00CC6AA6" w:rsidRDefault="00196C06" w:rsidP="006201FD">
            <w:pPr>
              <w:keepNext/>
              <w:keepLines/>
              <w:spacing w:before="40" w:after="120"/>
              <w:rPr>
                <w:sz w:val="18"/>
                <w:szCs w:val="18"/>
              </w:rPr>
            </w:pPr>
            <w:r w:rsidRPr="00CC6AA6">
              <w:rPr>
                <w:sz w:val="18"/>
                <w:szCs w:val="18"/>
              </w:rPr>
              <w:t>3119</w:t>
            </w:r>
          </w:p>
        </w:tc>
        <w:tc>
          <w:tcPr>
            <w:tcW w:w="503" w:type="dxa"/>
            <w:shd w:val="clear" w:color="auto" w:fill="auto"/>
          </w:tcPr>
          <w:p w14:paraId="55B0E91F" w14:textId="77777777" w:rsidR="00196C06" w:rsidRPr="00CC6AA6" w:rsidDel="00A9632D" w:rsidRDefault="00196C06" w:rsidP="006201FD">
            <w:pPr>
              <w:keepNext/>
              <w:keepLines/>
              <w:spacing w:before="40" w:after="120"/>
              <w:rPr>
                <w:sz w:val="18"/>
                <w:szCs w:val="18"/>
              </w:rPr>
            </w:pPr>
          </w:p>
        </w:tc>
      </w:tr>
      <w:tr w:rsidR="00196C06" w:rsidRPr="00CC6AA6" w14:paraId="66AC80C6" w14:textId="77777777" w:rsidTr="006201FD">
        <w:trPr>
          <w:cantSplit/>
        </w:trPr>
        <w:tc>
          <w:tcPr>
            <w:tcW w:w="3827" w:type="dxa"/>
            <w:shd w:val="clear" w:color="auto" w:fill="auto"/>
          </w:tcPr>
          <w:p w14:paraId="44BBC4E9" w14:textId="77777777" w:rsidR="00196C06" w:rsidRPr="00CC6AA6" w:rsidRDefault="00196C06" w:rsidP="006201FD">
            <w:pPr>
              <w:keepNext/>
              <w:keepLines/>
              <w:spacing w:before="40" w:after="120"/>
              <w:rPr>
                <w:sz w:val="18"/>
                <w:szCs w:val="18"/>
              </w:rPr>
            </w:pPr>
            <w:r w:rsidRPr="00CC6AA6">
              <w:rPr>
                <w:sz w:val="18"/>
                <w:szCs w:val="18"/>
              </w:rPr>
              <w:t>PEROXYDICARBONATE DE BIS (tert-BUTYL-4 CYCLOHEXYLE)</w:t>
            </w:r>
          </w:p>
        </w:tc>
        <w:tc>
          <w:tcPr>
            <w:tcW w:w="1009" w:type="dxa"/>
            <w:shd w:val="clear" w:color="auto" w:fill="auto"/>
          </w:tcPr>
          <w:p w14:paraId="727DF230" w14:textId="77777777" w:rsidR="00196C06" w:rsidRPr="00CC6AA6" w:rsidRDefault="00196C06" w:rsidP="006201FD">
            <w:pPr>
              <w:keepNext/>
              <w:keepLines/>
              <w:spacing w:before="40" w:after="120"/>
              <w:rPr>
                <w:sz w:val="18"/>
                <w:szCs w:val="18"/>
              </w:rPr>
            </w:pPr>
            <w:r w:rsidRPr="00CC6AA6">
              <w:rPr>
                <w:sz w:val="18"/>
                <w:szCs w:val="18"/>
              </w:rPr>
              <w:t>≤42 (pâte)</w:t>
            </w:r>
          </w:p>
        </w:tc>
        <w:tc>
          <w:tcPr>
            <w:tcW w:w="502" w:type="dxa"/>
            <w:shd w:val="clear" w:color="auto" w:fill="auto"/>
          </w:tcPr>
          <w:p w14:paraId="64C10995" w14:textId="77777777" w:rsidR="00196C06" w:rsidRPr="00CC6AA6" w:rsidRDefault="00196C06" w:rsidP="006201FD">
            <w:pPr>
              <w:keepNext/>
              <w:keepLines/>
              <w:spacing w:before="40" w:after="120"/>
              <w:rPr>
                <w:sz w:val="18"/>
                <w:szCs w:val="18"/>
              </w:rPr>
            </w:pPr>
          </w:p>
        </w:tc>
        <w:tc>
          <w:tcPr>
            <w:tcW w:w="502" w:type="dxa"/>
            <w:shd w:val="clear" w:color="auto" w:fill="auto"/>
          </w:tcPr>
          <w:p w14:paraId="5C997391" w14:textId="77777777" w:rsidR="00196C06" w:rsidRPr="00CC6AA6" w:rsidRDefault="00196C06" w:rsidP="006201FD">
            <w:pPr>
              <w:keepNext/>
              <w:keepLines/>
              <w:spacing w:before="40" w:after="120"/>
              <w:rPr>
                <w:sz w:val="18"/>
                <w:szCs w:val="18"/>
              </w:rPr>
            </w:pPr>
          </w:p>
        </w:tc>
        <w:tc>
          <w:tcPr>
            <w:tcW w:w="502" w:type="dxa"/>
            <w:shd w:val="clear" w:color="auto" w:fill="auto"/>
          </w:tcPr>
          <w:p w14:paraId="05F364BC" w14:textId="77777777" w:rsidR="00196C06" w:rsidRPr="00CC6AA6" w:rsidRDefault="00196C06" w:rsidP="006201FD">
            <w:pPr>
              <w:keepNext/>
              <w:keepLines/>
              <w:spacing w:before="40" w:after="120"/>
              <w:rPr>
                <w:sz w:val="18"/>
                <w:szCs w:val="18"/>
              </w:rPr>
            </w:pPr>
          </w:p>
        </w:tc>
        <w:tc>
          <w:tcPr>
            <w:tcW w:w="502" w:type="dxa"/>
            <w:shd w:val="clear" w:color="auto" w:fill="auto"/>
          </w:tcPr>
          <w:p w14:paraId="656C38B7" w14:textId="77777777" w:rsidR="00196C06" w:rsidRPr="00CC6AA6" w:rsidRDefault="00196C06" w:rsidP="006201FD">
            <w:pPr>
              <w:keepNext/>
              <w:keepLines/>
              <w:spacing w:before="40" w:after="120"/>
              <w:rPr>
                <w:sz w:val="18"/>
                <w:szCs w:val="18"/>
              </w:rPr>
            </w:pPr>
          </w:p>
        </w:tc>
        <w:tc>
          <w:tcPr>
            <w:tcW w:w="502" w:type="dxa"/>
            <w:shd w:val="clear" w:color="auto" w:fill="auto"/>
          </w:tcPr>
          <w:p w14:paraId="03C8BC12" w14:textId="77777777" w:rsidR="00196C06" w:rsidRPr="00CC6AA6" w:rsidRDefault="00196C06" w:rsidP="006201FD">
            <w:pPr>
              <w:keepNext/>
              <w:keepLines/>
              <w:spacing w:before="40" w:after="120"/>
              <w:rPr>
                <w:sz w:val="18"/>
                <w:szCs w:val="18"/>
              </w:rPr>
            </w:pPr>
            <w:r w:rsidRPr="00CC6AA6">
              <w:rPr>
                <w:sz w:val="18"/>
                <w:szCs w:val="18"/>
              </w:rPr>
              <w:t>OP7</w:t>
            </w:r>
          </w:p>
        </w:tc>
        <w:tc>
          <w:tcPr>
            <w:tcW w:w="502" w:type="dxa"/>
            <w:shd w:val="clear" w:color="auto" w:fill="auto"/>
          </w:tcPr>
          <w:p w14:paraId="46E3AE1E" w14:textId="77777777" w:rsidR="00196C06" w:rsidRPr="00CC6AA6" w:rsidRDefault="00196C06" w:rsidP="006201FD">
            <w:pPr>
              <w:keepNext/>
              <w:keepLines/>
              <w:spacing w:before="40" w:after="120"/>
              <w:rPr>
                <w:sz w:val="18"/>
                <w:szCs w:val="18"/>
              </w:rPr>
            </w:pPr>
            <w:r w:rsidRPr="00CC6AA6">
              <w:rPr>
                <w:sz w:val="18"/>
                <w:szCs w:val="18"/>
              </w:rPr>
              <w:t>35</w:t>
            </w:r>
          </w:p>
        </w:tc>
        <w:tc>
          <w:tcPr>
            <w:tcW w:w="502" w:type="dxa"/>
            <w:shd w:val="clear" w:color="auto" w:fill="auto"/>
          </w:tcPr>
          <w:p w14:paraId="279B9BDA" w14:textId="77777777" w:rsidR="00196C06" w:rsidRPr="00CC6AA6" w:rsidRDefault="00196C06" w:rsidP="006201FD">
            <w:pPr>
              <w:keepNext/>
              <w:keepLines/>
              <w:spacing w:before="40" w:after="120"/>
              <w:rPr>
                <w:sz w:val="18"/>
                <w:szCs w:val="18"/>
              </w:rPr>
            </w:pPr>
            <w:r w:rsidRPr="00CC6AA6">
              <w:rPr>
                <w:sz w:val="18"/>
                <w:szCs w:val="18"/>
              </w:rPr>
              <w:t>40</w:t>
            </w:r>
          </w:p>
        </w:tc>
        <w:tc>
          <w:tcPr>
            <w:tcW w:w="502" w:type="dxa"/>
            <w:shd w:val="clear" w:color="auto" w:fill="auto"/>
          </w:tcPr>
          <w:p w14:paraId="17B6C3B4" w14:textId="77777777" w:rsidR="00196C06" w:rsidRPr="00CC6AA6" w:rsidRDefault="00196C06" w:rsidP="006201FD">
            <w:pPr>
              <w:keepNext/>
              <w:keepLines/>
              <w:spacing w:before="40" w:after="120"/>
              <w:rPr>
                <w:sz w:val="18"/>
                <w:szCs w:val="18"/>
              </w:rPr>
            </w:pPr>
            <w:r w:rsidRPr="00CC6AA6">
              <w:rPr>
                <w:sz w:val="18"/>
                <w:szCs w:val="18"/>
              </w:rPr>
              <w:t>3116</w:t>
            </w:r>
          </w:p>
        </w:tc>
        <w:tc>
          <w:tcPr>
            <w:tcW w:w="503" w:type="dxa"/>
            <w:shd w:val="clear" w:color="auto" w:fill="auto"/>
          </w:tcPr>
          <w:p w14:paraId="597E8B22" w14:textId="77777777" w:rsidR="00196C06" w:rsidRPr="00CC6AA6" w:rsidDel="00A9632D" w:rsidRDefault="00196C06" w:rsidP="006201FD">
            <w:pPr>
              <w:keepNext/>
              <w:keepLines/>
              <w:spacing w:before="40" w:after="120"/>
              <w:rPr>
                <w:sz w:val="18"/>
                <w:szCs w:val="18"/>
              </w:rPr>
            </w:pPr>
          </w:p>
        </w:tc>
      </w:tr>
      <w:tr w:rsidR="00196C06" w:rsidRPr="00CC6AA6" w14:paraId="2F93BB15" w14:textId="77777777" w:rsidTr="006201FD">
        <w:trPr>
          <w:cantSplit/>
        </w:trPr>
        <w:tc>
          <w:tcPr>
            <w:tcW w:w="3827" w:type="dxa"/>
            <w:tcBorders>
              <w:bottom w:val="single" w:sz="4" w:space="0" w:color="auto"/>
            </w:tcBorders>
            <w:shd w:val="clear" w:color="auto" w:fill="auto"/>
          </w:tcPr>
          <w:p w14:paraId="02D51B94" w14:textId="77777777" w:rsidR="00196C06" w:rsidRPr="00CC6AA6" w:rsidRDefault="00196C06" w:rsidP="006201FD">
            <w:pPr>
              <w:keepNext/>
              <w:keepLines/>
              <w:spacing w:before="40" w:after="120"/>
              <w:rPr>
                <w:sz w:val="18"/>
                <w:szCs w:val="18"/>
              </w:rPr>
            </w:pPr>
            <w:r w:rsidRPr="00CC6AA6">
              <w:rPr>
                <w:sz w:val="18"/>
                <w:szCs w:val="18"/>
              </w:rPr>
              <w:t xml:space="preserve">HYDROPEROXYDE </w:t>
            </w:r>
            <w:r w:rsidRPr="00CC6AA6">
              <w:rPr>
                <w:sz w:val="18"/>
                <w:szCs w:val="18"/>
              </w:rPr>
              <w:br/>
              <w:t>DE 1-PHÉNYLÉTHYLE</w:t>
            </w:r>
          </w:p>
        </w:tc>
        <w:tc>
          <w:tcPr>
            <w:tcW w:w="1009" w:type="dxa"/>
            <w:tcBorders>
              <w:bottom w:val="single" w:sz="4" w:space="0" w:color="auto"/>
            </w:tcBorders>
            <w:shd w:val="clear" w:color="auto" w:fill="auto"/>
          </w:tcPr>
          <w:p w14:paraId="448FA29B" w14:textId="77777777" w:rsidR="00196C06" w:rsidRPr="00CC6AA6" w:rsidRDefault="00196C06" w:rsidP="006201FD">
            <w:pPr>
              <w:keepNext/>
              <w:keepLines/>
              <w:spacing w:before="40" w:after="120"/>
              <w:rPr>
                <w:sz w:val="18"/>
                <w:szCs w:val="18"/>
              </w:rPr>
            </w:pPr>
            <w:r w:rsidRPr="00CC6AA6">
              <w:rPr>
                <w:sz w:val="18"/>
                <w:szCs w:val="18"/>
              </w:rPr>
              <w:t>≤38</w:t>
            </w:r>
          </w:p>
        </w:tc>
        <w:tc>
          <w:tcPr>
            <w:tcW w:w="502" w:type="dxa"/>
            <w:tcBorders>
              <w:bottom w:val="single" w:sz="4" w:space="0" w:color="auto"/>
            </w:tcBorders>
            <w:shd w:val="clear" w:color="auto" w:fill="auto"/>
          </w:tcPr>
          <w:p w14:paraId="555DE3BC" w14:textId="77777777" w:rsidR="00196C06" w:rsidRPr="00CC6AA6" w:rsidRDefault="00196C06" w:rsidP="006201FD">
            <w:pPr>
              <w:keepNext/>
              <w:keepLines/>
              <w:spacing w:before="40" w:after="120"/>
              <w:rPr>
                <w:sz w:val="18"/>
                <w:szCs w:val="18"/>
              </w:rPr>
            </w:pPr>
          </w:p>
        </w:tc>
        <w:tc>
          <w:tcPr>
            <w:tcW w:w="502" w:type="dxa"/>
            <w:tcBorders>
              <w:bottom w:val="single" w:sz="4" w:space="0" w:color="auto"/>
            </w:tcBorders>
            <w:shd w:val="clear" w:color="auto" w:fill="auto"/>
          </w:tcPr>
          <w:p w14:paraId="0DF68276" w14:textId="77777777" w:rsidR="00196C06" w:rsidRPr="00CC6AA6" w:rsidRDefault="00196C06" w:rsidP="006201FD">
            <w:pPr>
              <w:keepNext/>
              <w:keepLines/>
              <w:spacing w:before="40" w:after="120"/>
              <w:rPr>
                <w:sz w:val="18"/>
                <w:szCs w:val="18"/>
              </w:rPr>
            </w:pPr>
            <w:r w:rsidRPr="00CC6AA6">
              <w:rPr>
                <w:sz w:val="18"/>
                <w:szCs w:val="18"/>
              </w:rPr>
              <w:t>≥62</w:t>
            </w:r>
          </w:p>
        </w:tc>
        <w:tc>
          <w:tcPr>
            <w:tcW w:w="502" w:type="dxa"/>
            <w:tcBorders>
              <w:bottom w:val="single" w:sz="4" w:space="0" w:color="auto"/>
            </w:tcBorders>
            <w:shd w:val="clear" w:color="auto" w:fill="auto"/>
          </w:tcPr>
          <w:p w14:paraId="44F79034" w14:textId="77777777" w:rsidR="00196C06" w:rsidRPr="00CC6AA6" w:rsidRDefault="00196C06" w:rsidP="006201FD">
            <w:pPr>
              <w:keepNext/>
              <w:keepLines/>
              <w:spacing w:before="40" w:after="120"/>
              <w:rPr>
                <w:sz w:val="18"/>
                <w:szCs w:val="18"/>
              </w:rPr>
            </w:pPr>
          </w:p>
        </w:tc>
        <w:tc>
          <w:tcPr>
            <w:tcW w:w="502" w:type="dxa"/>
            <w:tcBorders>
              <w:bottom w:val="single" w:sz="4" w:space="0" w:color="auto"/>
            </w:tcBorders>
            <w:shd w:val="clear" w:color="auto" w:fill="auto"/>
          </w:tcPr>
          <w:p w14:paraId="68640297" w14:textId="77777777" w:rsidR="00196C06" w:rsidRPr="00CC6AA6" w:rsidRDefault="00196C06" w:rsidP="006201FD">
            <w:pPr>
              <w:keepNext/>
              <w:keepLines/>
              <w:spacing w:before="40" w:after="120"/>
              <w:rPr>
                <w:sz w:val="18"/>
                <w:szCs w:val="18"/>
              </w:rPr>
            </w:pPr>
          </w:p>
        </w:tc>
        <w:tc>
          <w:tcPr>
            <w:tcW w:w="502" w:type="dxa"/>
            <w:tcBorders>
              <w:bottom w:val="single" w:sz="4" w:space="0" w:color="auto"/>
            </w:tcBorders>
            <w:shd w:val="clear" w:color="auto" w:fill="auto"/>
          </w:tcPr>
          <w:p w14:paraId="5FC443AE" w14:textId="77777777" w:rsidR="00196C06" w:rsidRPr="00CC6AA6" w:rsidRDefault="00196C06" w:rsidP="006201FD">
            <w:pPr>
              <w:keepNext/>
              <w:keepLines/>
              <w:spacing w:before="40" w:after="120"/>
              <w:rPr>
                <w:sz w:val="18"/>
                <w:szCs w:val="18"/>
              </w:rPr>
            </w:pPr>
            <w:r w:rsidRPr="00CC6AA6">
              <w:rPr>
                <w:sz w:val="18"/>
                <w:szCs w:val="18"/>
              </w:rPr>
              <w:t>OP8</w:t>
            </w:r>
          </w:p>
        </w:tc>
        <w:tc>
          <w:tcPr>
            <w:tcW w:w="502" w:type="dxa"/>
            <w:tcBorders>
              <w:bottom w:val="single" w:sz="4" w:space="0" w:color="auto"/>
            </w:tcBorders>
            <w:shd w:val="clear" w:color="auto" w:fill="auto"/>
          </w:tcPr>
          <w:p w14:paraId="07654879" w14:textId="77777777" w:rsidR="00196C06" w:rsidRPr="00CC6AA6" w:rsidRDefault="00196C06" w:rsidP="006201FD">
            <w:pPr>
              <w:keepNext/>
              <w:keepLines/>
              <w:spacing w:before="40" w:after="120"/>
              <w:rPr>
                <w:sz w:val="18"/>
                <w:szCs w:val="18"/>
              </w:rPr>
            </w:pPr>
          </w:p>
        </w:tc>
        <w:tc>
          <w:tcPr>
            <w:tcW w:w="502" w:type="dxa"/>
            <w:tcBorders>
              <w:bottom w:val="single" w:sz="4" w:space="0" w:color="auto"/>
            </w:tcBorders>
            <w:shd w:val="clear" w:color="auto" w:fill="auto"/>
          </w:tcPr>
          <w:p w14:paraId="539A10C3" w14:textId="77777777" w:rsidR="00196C06" w:rsidRPr="00CC6AA6" w:rsidRDefault="00196C06" w:rsidP="006201FD">
            <w:pPr>
              <w:keepNext/>
              <w:keepLines/>
              <w:spacing w:before="40" w:after="120"/>
              <w:rPr>
                <w:sz w:val="18"/>
                <w:szCs w:val="18"/>
              </w:rPr>
            </w:pPr>
          </w:p>
        </w:tc>
        <w:tc>
          <w:tcPr>
            <w:tcW w:w="502" w:type="dxa"/>
            <w:tcBorders>
              <w:bottom w:val="single" w:sz="4" w:space="0" w:color="auto"/>
            </w:tcBorders>
            <w:shd w:val="clear" w:color="auto" w:fill="auto"/>
          </w:tcPr>
          <w:p w14:paraId="5881FBA1" w14:textId="77777777" w:rsidR="00196C06" w:rsidRPr="00CC6AA6" w:rsidRDefault="00196C06" w:rsidP="006201FD">
            <w:pPr>
              <w:keepNext/>
              <w:keepLines/>
              <w:spacing w:before="40" w:after="120"/>
              <w:rPr>
                <w:sz w:val="18"/>
                <w:szCs w:val="18"/>
              </w:rPr>
            </w:pPr>
            <w:r w:rsidRPr="00CC6AA6">
              <w:rPr>
                <w:sz w:val="18"/>
                <w:szCs w:val="18"/>
              </w:rPr>
              <w:t>3109</w:t>
            </w:r>
          </w:p>
        </w:tc>
        <w:tc>
          <w:tcPr>
            <w:tcW w:w="503" w:type="dxa"/>
            <w:tcBorders>
              <w:bottom w:val="single" w:sz="4" w:space="0" w:color="auto"/>
            </w:tcBorders>
            <w:shd w:val="clear" w:color="auto" w:fill="auto"/>
          </w:tcPr>
          <w:p w14:paraId="0D9F33D2" w14:textId="77777777" w:rsidR="00196C06" w:rsidRPr="00CC6AA6" w:rsidDel="00A9632D" w:rsidRDefault="00196C06" w:rsidP="006201FD">
            <w:pPr>
              <w:keepNext/>
              <w:keepLines/>
              <w:spacing w:before="40" w:after="120"/>
              <w:rPr>
                <w:sz w:val="18"/>
                <w:szCs w:val="18"/>
              </w:rPr>
            </w:pPr>
          </w:p>
        </w:tc>
      </w:tr>
    </w:tbl>
    <w:p w14:paraId="408A86A1" w14:textId="77777777" w:rsidR="00196C06" w:rsidRPr="0059443A" w:rsidRDefault="00196C06" w:rsidP="00196C06">
      <w:pPr>
        <w:spacing w:before="120" w:after="120" w:line="240" w:lineRule="auto"/>
        <w:ind w:left="1134" w:right="1134"/>
        <w:jc w:val="both"/>
        <w:rPr>
          <w:lang w:eastAsia="en-GB"/>
        </w:rPr>
      </w:pPr>
      <w:r w:rsidRPr="0059443A">
        <w:rPr>
          <w:lang w:eastAsia="en-GB"/>
        </w:rPr>
        <w:t>2.5.3.3.2 b)</w:t>
      </w:r>
      <w:r w:rsidRPr="0059443A">
        <w:rPr>
          <w:lang w:eastAsia="en-GB"/>
        </w:rPr>
        <w:tab/>
        <w:t>R</w:t>
      </w:r>
      <w:r w:rsidRPr="0059443A">
        <w:t>emplacer «risque» par «danger».</w:t>
      </w:r>
    </w:p>
    <w:p w14:paraId="5F137EAC" w14:textId="77777777" w:rsidR="00196C06" w:rsidRPr="0059443A" w:rsidRDefault="00196C06" w:rsidP="00196C06">
      <w:pPr>
        <w:spacing w:before="120" w:after="120" w:line="240" w:lineRule="auto"/>
        <w:ind w:left="1134" w:right="1134"/>
        <w:jc w:val="both"/>
      </w:pPr>
      <w:r w:rsidRPr="0059443A">
        <w:rPr>
          <w:lang w:eastAsia="en-GB"/>
        </w:rPr>
        <w:t>2.5.3.3.2 c)</w:t>
      </w:r>
      <w:r w:rsidRPr="0059443A">
        <w:rPr>
          <w:lang w:eastAsia="en-GB"/>
        </w:rPr>
        <w:tab/>
        <w:t>R</w:t>
      </w:r>
      <w:r w:rsidRPr="0059443A">
        <w:t>emplacer «risque» par «danger».</w:t>
      </w:r>
    </w:p>
    <w:p w14:paraId="40520E88" w14:textId="77777777" w:rsidR="00196C06" w:rsidRPr="0059443A" w:rsidRDefault="00196C06" w:rsidP="00196C06">
      <w:pPr>
        <w:pStyle w:val="H1G"/>
      </w:pPr>
      <w:r w:rsidRPr="0059443A">
        <w:tab/>
      </w:r>
      <w:r w:rsidRPr="0059443A">
        <w:tab/>
        <w:t>Chapitre 2.6</w:t>
      </w:r>
    </w:p>
    <w:p w14:paraId="27044DF3" w14:textId="77777777" w:rsidR="00196C06" w:rsidRDefault="00196C06" w:rsidP="00196C06">
      <w:pPr>
        <w:spacing w:before="120" w:after="120" w:line="240" w:lineRule="auto"/>
        <w:ind w:left="1134" w:right="1134"/>
        <w:jc w:val="both"/>
        <w:rPr>
          <w:lang w:val="fr-FR"/>
        </w:rPr>
      </w:pPr>
      <w:r w:rsidRPr="00EF61FC">
        <w:rPr>
          <w:lang w:val="fr-FR"/>
        </w:rPr>
        <w:t xml:space="preserve">2.6.2.2.1 </w:t>
      </w:r>
      <w:r>
        <w:rPr>
          <w:lang w:val="fr-FR"/>
        </w:rPr>
        <w:tab/>
        <w:t>Dans la phrase d’introduction avant les alinéas, remplacer «risque toxique» par «danger de toxicité».</w:t>
      </w:r>
    </w:p>
    <w:p w14:paraId="0D1AA727" w14:textId="77777777" w:rsidR="00196C06" w:rsidRPr="0059443A" w:rsidRDefault="00196C06" w:rsidP="00196C06">
      <w:pPr>
        <w:spacing w:before="120" w:after="120" w:line="240" w:lineRule="auto"/>
        <w:ind w:left="1134" w:right="1134"/>
        <w:jc w:val="both"/>
      </w:pPr>
      <w:r w:rsidRPr="0059443A">
        <w:t>2.6.2.2.1 a), b) et c)</w:t>
      </w:r>
      <w:r w:rsidRPr="0059443A">
        <w:tab/>
      </w:r>
      <w:r w:rsidRPr="0059443A">
        <w:rPr>
          <w:lang w:eastAsia="en-GB"/>
        </w:rPr>
        <w:t>R</w:t>
      </w:r>
      <w:r w:rsidRPr="0059443A">
        <w:t>emplacer «risque» par «danger».</w:t>
      </w:r>
    </w:p>
    <w:p w14:paraId="4348D7C4" w14:textId="77777777" w:rsidR="00196C06" w:rsidRDefault="00196C06" w:rsidP="00196C06">
      <w:pPr>
        <w:spacing w:before="120" w:after="120" w:line="240" w:lineRule="auto"/>
        <w:ind w:left="1134" w:right="1134"/>
        <w:jc w:val="both"/>
      </w:pPr>
      <w:r w:rsidRPr="0059443A">
        <w:t>2.6.2.4.1</w:t>
      </w:r>
      <w:r w:rsidRPr="0059443A">
        <w:tab/>
      </w:r>
      <w:r w:rsidRPr="0059443A">
        <w:rPr>
          <w:lang w:eastAsia="en-GB"/>
        </w:rPr>
        <w:t>R</w:t>
      </w:r>
      <w:r w:rsidRPr="0059443A">
        <w:t>emplacer «risques» par «dangers».</w:t>
      </w:r>
    </w:p>
    <w:p w14:paraId="42B870CE" w14:textId="77777777" w:rsidR="00196C06" w:rsidRPr="0059443A" w:rsidRDefault="00196C06" w:rsidP="00196C06">
      <w:pPr>
        <w:spacing w:before="120" w:after="120" w:line="240" w:lineRule="auto"/>
        <w:ind w:left="1134" w:right="1134"/>
        <w:jc w:val="both"/>
      </w:pPr>
      <w:r w:rsidRPr="0059443A">
        <w:t>2.6.2.4.3</w:t>
      </w:r>
      <w:r w:rsidRPr="0059443A">
        <w:tab/>
      </w:r>
      <w:r w:rsidRPr="0059443A">
        <w:rPr>
          <w:lang w:eastAsia="en-GB"/>
        </w:rPr>
        <w:t>R</w:t>
      </w:r>
      <w:r w:rsidRPr="0059443A">
        <w:t>emplacer «risque» par «danger».</w:t>
      </w:r>
    </w:p>
    <w:p w14:paraId="14A4C8DA" w14:textId="77777777" w:rsidR="006646BC" w:rsidRDefault="006646BC" w:rsidP="006646BC">
      <w:pPr>
        <w:pStyle w:val="SingleTxtG"/>
      </w:pPr>
      <w:r>
        <w:t>2.6.3.1.4</w:t>
      </w:r>
      <w:r>
        <w:tab/>
        <w:t>Au début, remplacer «des matériaux humains ou animaux» par «ceux».</w:t>
      </w:r>
    </w:p>
    <w:p w14:paraId="4B2BCB54" w14:textId="77777777" w:rsidR="006646BC" w:rsidRDefault="006646BC" w:rsidP="006646BC">
      <w:pPr>
        <w:pStyle w:val="SingleTxtG"/>
      </w:pPr>
      <w:r w:rsidRPr="000913B3">
        <w:t>2.6.3.6.2</w:t>
      </w:r>
      <w:r w:rsidRPr="000913B3">
        <w:tab/>
        <w:t>Supprimer et ajouter «2.6.3.6.2</w:t>
      </w:r>
      <w:r w:rsidRPr="000913B3">
        <w:tab/>
      </w:r>
      <w:r w:rsidRPr="000913B3">
        <w:rPr>
          <w:i/>
          <w:iCs/>
          <w:szCs w:val="24"/>
        </w:rPr>
        <w:t>Supprimé</w:t>
      </w:r>
      <w:r w:rsidRPr="000913B3">
        <w:rPr>
          <w:szCs w:val="24"/>
        </w:rPr>
        <w:t>.</w:t>
      </w:r>
      <w:r w:rsidRPr="000913B3">
        <w:t>».</w:t>
      </w:r>
    </w:p>
    <w:p w14:paraId="0ADD34DA" w14:textId="77777777" w:rsidR="00196C06" w:rsidRPr="0059443A" w:rsidRDefault="00196C06" w:rsidP="00196C06">
      <w:pPr>
        <w:pStyle w:val="H1G"/>
      </w:pPr>
      <w:r w:rsidRPr="0059443A">
        <w:tab/>
      </w:r>
      <w:r w:rsidRPr="0059443A">
        <w:tab/>
        <w:t>Chapitre 2.8</w:t>
      </w:r>
    </w:p>
    <w:p w14:paraId="63414E5C" w14:textId="77777777" w:rsidR="00196C06" w:rsidRDefault="00196C06" w:rsidP="00196C06">
      <w:pPr>
        <w:spacing w:before="120" w:after="120" w:line="240" w:lineRule="auto"/>
        <w:ind w:left="1134" w:right="1134"/>
        <w:jc w:val="both"/>
      </w:pPr>
      <w:r w:rsidRPr="0059443A">
        <w:t>Modifier le chapitre 2.8 pour lire comme suit:</w:t>
      </w:r>
    </w:p>
    <w:p w14:paraId="5B67FDFB" w14:textId="77777777" w:rsidR="001A0EB0" w:rsidRPr="004D7A27" w:rsidRDefault="001A0EB0" w:rsidP="001A0EB0">
      <w:pPr>
        <w:spacing w:before="120" w:after="120" w:line="240" w:lineRule="auto"/>
        <w:ind w:left="1134" w:right="1134"/>
        <w:jc w:val="both"/>
        <w:rPr>
          <w:b/>
          <w:lang w:val="fr-FR"/>
        </w:rPr>
      </w:pPr>
      <w:r w:rsidRPr="00167E05">
        <w:rPr>
          <w:lang w:val="fr-FR"/>
        </w:rPr>
        <w:t>«</w:t>
      </w:r>
      <w:r w:rsidRPr="004D7A27">
        <w:rPr>
          <w:b/>
          <w:lang w:val="fr-FR"/>
        </w:rPr>
        <w:t>CHAPITRE 2.8</w:t>
      </w:r>
    </w:p>
    <w:p w14:paraId="3F8768DD" w14:textId="77777777" w:rsidR="001A0EB0" w:rsidRPr="004D7A27" w:rsidRDefault="001A0EB0" w:rsidP="001A0EB0">
      <w:pPr>
        <w:spacing w:before="120" w:after="120" w:line="240" w:lineRule="auto"/>
        <w:ind w:left="1134" w:right="1134"/>
        <w:jc w:val="both"/>
        <w:rPr>
          <w:b/>
          <w:lang w:val="fr-FR"/>
        </w:rPr>
      </w:pPr>
      <w:r w:rsidRPr="004D7A27">
        <w:rPr>
          <w:b/>
          <w:lang w:val="fr-FR"/>
        </w:rPr>
        <w:t xml:space="preserve">CLASSE 8 – </w:t>
      </w:r>
      <w:r w:rsidRPr="004D7A27">
        <w:rPr>
          <w:b/>
          <w:bCs/>
          <w:lang w:val="fr-FR"/>
        </w:rPr>
        <w:t>MATIÈRES CORROSIVES</w:t>
      </w:r>
    </w:p>
    <w:p w14:paraId="12BEBCDE" w14:textId="421C2B4F" w:rsidR="001058C2" w:rsidRPr="00E3149C" w:rsidRDefault="001058C2" w:rsidP="001A0EB0">
      <w:pPr>
        <w:spacing w:before="120" w:after="120" w:line="240" w:lineRule="auto"/>
        <w:ind w:left="1134" w:right="1134"/>
        <w:jc w:val="both"/>
        <w:rPr>
          <w:i/>
          <w:lang w:val="fr-FR"/>
        </w:rPr>
      </w:pPr>
      <w:r w:rsidRPr="00414B06">
        <w:rPr>
          <w:b/>
          <w:i/>
          <w:lang w:val="fr-FR"/>
        </w:rPr>
        <w:t xml:space="preserve">NOTA: </w:t>
      </w:r>
      <w:r w:rsidR="00DE1D7B">
        <w:rPr>
          <w:b/>
          <w:i/>
          <w:lang w:val="fr-FR"/>
        </w:rPr>
        <w:tab/>
      </w:r>
      <w:r w:rsidRPr="00414B06">
        <w:rPr>
          <w:i/>
          <w:lang w:val="fr-FR"/>
        </w:rPr>
        <w:t xml:space="preserve">Dans le présent chapitre, on entend par «matière», une substance, </w:t>
      </w:r>
      <w:r w:rsidR="00A815F3" w:rsidRPr="00414B06">
        <w:rPr>
          <w:i/>
          <w:lang w:val="fr-FR"/>
        </w:rPr>
        <w:t>un mélange ou un alliage (ce terme est utilisé dans la version française du présent Rè</w:t>
      </w:r>
      <w:r w:rsidR="00E3149C" w:rsidRPr="00414B06">
        <w:rPr>
          <w:i/>
          <w:lang w:val="fr-FR"/>
        </w:rPr>
        <w:t>glement</w:t>
      </w:r>
      <w:r w:rsidR="00A815F3" w:rsidRPr="00414B06">
        <w:rPr>
          <w:i/>
          <w:lang w:val="fr-FR"/>
        </w:rPr>
        <w:t>)</w:t>
      </w:r>
      <w:r w:rsidR="00E3149C" w:rsidRPr="00414B06">
        <w:rPr>
          <w:i/>
          <w:lang w:val="fr-FR"/>
        </w:rPr>
        <w:t>.</w:t>
      </w:r>
    </w:p>
    <w:p w14:paraId="48CEC897" w14:textId="6DEC0668" w:rsidR="001A0EB0" w:rsidRPr="00167E05" w:rsidRDefault="001A0EB0" w:rsidP="001A0EB0">
      <w:pPr>
        <w:spacing w:before="120" w:after="120" w:line="240" w:lineRule="auto"/>
        <w:ind w:left="1134" w:right="1134"/>
        <w:jc w:val="both"/>
        <w:rPr>
          <w:b/>
          <w:u w:val="single"/>
          <w:lang w:val="fr-FR"/>
        </w:rPr>
      </w:pPr>
      <w:r w:rsidRPr="00167E05">
        <w:rPr>
          <w:b/>
          <w:lang w:val="fr-FR"/>
        </w:rPr>
        <w:t>2.8.1</w:t>
      </w:r>
      <w:r w:rsidRPr="00167E05">
        <w:rPr>
          <w:b/>
          <w:lang w:val="fr-FR"/>
        </w:rPr>
        <w:tab/>
      </w:r>
      <w:r w:rsidRPr="00167E05">
        <w:rPr>
          <w:b/>
          <w:lang w:val="fr-FR"/>
        </w:rPr>
        <w:tab/>
        <w:t>Définition et dispositions générales</w:t>
      </w:r>
    </w:p>
    <w:p w14:paraId="3FF22EAF" w14:textId="77777777" w:rsidR="001A0EB0" w:rsidRPr="00167E05" w:rsidRDefault="001A0EB0" w:rsidP="001A0EB0">
      <w:pPr>
        <w:spacing w:before="120" w:after="120" w:line="240" w:lineRule="auto"/>
        <w:ind w:left="1134" w:right="1134"/>
        <w:jc w:val="both"/>
        <w:rPr>
          <w:lang w:val="fr-FR"/>
        </w:rPr>
      </w:pPr>
      <w:r w:rsidRPr="00167E05">
        <w:rPr>
          <w:lang w:val="fr-FR"/>
        </w:rPr>
        <w:t>2.8.1.1</w:t>
      </w:r>
      <w:r w:rsidRPr="00167E05">
        <w:rPr>
          <w:i/>
          <w:lang w:val="fr-FR"/>
        </w:rPr>
        <w:tab/>
      </w:r>
      <w:r w:rsidRPr="00167E05">
        <w:rPr>
          <w:i/>
          <w:lang w:val="fr-FR"/>
        </w:rPr>
        <w:tab/>
        <w:t>Les matières corrosives</w:t>
      </w:r>
      <w:r w:rsidRPr="00167E05">
        <w:rPr>
          <w:lang w:val="fr-FR"/>
        </w:rPr>
        <w:t xml:space="preserve"> sont des matières qui, par action chimique, causent des dommages irréversibles à la peau ou qui, en cas de fuite, peuvent endommager sérieusement ou même détruire d'autres marchandises ou les engins de transport.</w:t>
      </w:r>
    </w:p>
    <w:p w14:paraId="48F5C3A5" w14:textId="6DB84F4B" w:rsidR="001A0EB0" w:rsidRPr="00167E05" w:rsidRDefault="001A0EB0" w:rsidP="001A0EB0">
      <w:pPr>
        <w:spacing w:before="120" w:after="120" w:line="240" w:lineRule="auto"/>
        <w:ind w:left="1134" w:right="1134"/>
        <w:jc w:val="both"/>
        <w:rPr>
          <w:lang w:val="fr-FR"/>
        </w:rPr>
      </w:pPr>
      <w:r w:rsidRPr="00167E05">
        <w:rPr>
          <w:lang w:val="fr-FR"/>
        </w:rPr>
        <w:t>2.8.1.2</w:t>
      </w:r>
      <w:r w:rsidRPr="00167E05">
        <w:rPr>
          <w:lang w:val="fr-FR"/>
        </w:rPr>
        <w:tab/>
      </w:r>
      <w:r w:rsidRPr="00167E05">
        <w:rPr>
          <w:lang w:val="fr-FR"/>
        </w:rPr>
        <w:tab/>
        <w:t xml:space="preserve">Les dispositions concernant la classification des matières corrosives pour la peau sont données dans la section 2.8.2. La </w:t>
      </w:r>
      <w:r w:rsidRPr="00167E05">
        <w:rPr>
          <w:i/>
          <w:lang w:val="fr-FR"/>
        </w:rPr>
        <w:t>corrosion cutanée</w:t>
      </w:r>
      <w:r w:rsidRPr="00167E05">
        <w:rPr>
          <w:lang w:val="fr-FR"/>
        </w:rPr>
        <w:t xml:space="preserve"> désigne des lésions cutanées irréversibles, </w:t>
      </w:r>
      <w:r w:rsidR="003F59CB">
        <w:rPr>
          <w:lang w:val="fr-FR"/>
        </w:rPr>
        <w:t xml:space="preserve">à savoir </w:t>
      </w:r>
      <w:r w:rsidRPr="00167E05">
        <w:rPr>
          <w:lang w:val="fr-FR"/>
        </w:rPr>
        <w:t>une nécrose visible au travers de l’épiderme et dans le derme survenant après une exposition à la matière.</w:t>
      </w:r>
    </w:p>
    <w:p w14:paraId="175F6324" w14:textId="77777777" w:rsidR="001A0EB0" w:rsidRPr="00167E05" w:rsidRDefault="001A0EB0" w:rsidP="001A0EB0">
      <w:pPr>
        <w:spacing w:before="120" w:after="120" w:line="240" w:lineRule="auto"/>
        <w:ind w:left="1134" w:right="1134"/>
        <w:jc w:val="both"/>
        <w:rPr>
          <w:lang w:val="fr-FR"/>
        </w:rPr>
      </w:pPr>
      <w:r w:rsidRPr="00167E05">
        <w:rPr>
          <w:lang w:val="fr-FR"/>
        </w:rPr>
        <w:t xml:space="preserve">2.8.1.3 </w:t>
      </w:r>
      <w:r w:rsidRPr="00167E05">
        <w:rPr>
          <w:lang w:val="fr-FR"/>
        </w:rPr>
        <w:tab/>
        <w:t xml:space="preserve">Les matières liquides et solides susceptibles de fondre pendant le transport, qui ne sont pas considérées comme corrosives pour la peau, doivent quand même être considérées comme potentiellement corrosives pour certaines surfaces métalliques, conformément aux critères du </w:t>
      </w:r>
      <w:r w:rsidRPr="00167E05">
        <w:t>2.8.3.3 c) ii)</w:t>
      </w:r>
      <w:r w:rsidRPr="00167E05">
        <w:rPr>
          <w:lang w:val="fr-FR"/>
        </w:rPr>
        <w:t>.</w:t>
      </w:r>
    </w:p>
    <w:p w14:paraId="677240C3" w14:textId="77777777" w:rsidR="00EA151B" w:rsidRDefault="00EA151B">
      <w:pPr>
        <w:suppressAutoHyphens w:val="0"/>
        <w:spacing w:line="240" w:lineRule="auto"/>
        <w:rPr>
          <w:b/>
          <w:lang w:val="fr-FR"/>
        </w:rPr>
      </w:pPr>
      <w:r>
        <w:rPr>
          <w:b/>
          <w:lang w:val="fr-FR"/>
        </w:rPr>
        <w:br w:type="page"/>
      </w:r>
    </w:p>
    <w:p w14:paraId="416B1985" w14:textId="7FC5EF17" w:rsidR="001A0EB0" w:rsidRPr="00167E05" w:rsidRDefault="001A0EB0" w:rsidP="001A0EB0">
      <w:pPr>
        <w:spacing w:before="120" w:after="120" w:line="240" w:lineRule="auto"/>
        <w:ind w:left="1134" w:right="1134"/>
        <w:jc w:val="both"/>
        <w:rPr>
          <w:b/>
          <w:lang w:val="fr-FR"/>
        </w:rPr>
      </w:pPr>
      <w:r w:rsidRPr="00167E05">
        <w:rPr>
          <w:b/>
          <w:lang w:val="fr-FR"/>
        </w:rPr>
        <w:lastRenderedPageBreak/>
        <w:t>2.8.2</w:t>
      </w:r>
      <w:r w:rsidRPr="00167E05">
        <w:rPr>
          <w:b/>
          <w:lang w:val="fr-FR"/>
        </w:rPr>
        <w:tab/>
      </w:r>
      <w:r w:rsidRPr="00167E05">
        <w:rPr>
          <w:b/>
          <w:lang w:val="fr-FR"/>
        </w:rPr>
        <w:tab/>
        <w:t>Dispositions générales relatives à la classification</w:t>
      </w:r>
    </w:p>
    <w:p w14:paraId="44BEDB0F" w14:textId="77777777" w:rsidR="001A0EB0" w:rsidRPr="00167E05" w:rsidRDefault="001A0EB0" w:rsidP="001A0EB0">
      <w:pPr>
        <w:spacing w:before="120" w:after="120" w:line="240" w:lineRule="auto"/>
        <w:ind w:left="1134" w:right="1134"/>
        <w:jc w:val="both"/>
        <w:rPr>
          <w:lang w:val="fr-FR"/>
        </w:rPr>
      </w:pPr>
      <w:r w:rsidRPr="00167E05">
        <w:rPr>
          <w:lang w:val="fr-FR"/>
        </w:rPr>
        <w:t xml:space="preserve">2.8.2.1 </w:t>
      </w:r>
      <w:r w:rsidRPr="00167E05">
        <w:rPr>
          <w:lang w:val="fr-FR"/>
        </w:rPr>
        <w:tab/>
        <w:t>Les matières de la classe 8 doivent être classées dans trois groupes d'emballage, selon le degré de danger qu'elles présentent pour le transport, d’après les critères suivants:</w:t>
      </w:r>
    </w:p>
    <w:p w14:paraId="68E69CD2" w14:textId="29F4D824" w:rsidR="001A0EB0" w:rsidRPr="00167E05" w:rsidRDefault="001A0EB0" w:rsidP="001A0EB0">
      <w:pPr>
        <w:spacing w:before="120" w:after="120" w:line="240" w:lineRule="auto"/>
        <w:ind w:left="2268" w:right="1134"/>
        <w:jc w:val="both"/>
        <w:rPr>
          <w:lang w:val="fr-FR"/>
        </w:rPr>
      </w:pPr>
      <w:r w:rsidRPr="00167E05">
        <w:rPr>
          <w:lang w:val="fr-FR"/>
        </w:rPr>
        <w:t>a)</w:t>
      </w:r>
      <w:r w:rsidRPr="00167E05">
        <w:rPr>
          <w:lang w:val="fr-FR"/>
        </w:rPr>
        <w:tab/>
      </w:r>
      <w:r w:rsidR="00D6735F">
        <w:rPr>
          <w:i/>
          <w:lang w:val="fr-FR"/>
        </w:rPr>
        <w:t>G</w:t>
      </w:r>
      <w:r w:rsidRPr="00167E05">
        <w:rPr>
          <w:i/>
          <w:lang w:val="fr-FR"/>
        </w:rPr>
        <w:t>roupe d'emballage I</w:t>
      </w:r>
      <w:r w:rsidR="00D6735F">
        <w:rPr>
          <w:i/>
          <w:lang w:val="fr-FR"/>
        </w:rPr>
        <w:t>:</w:t>
      </w:r>
      <w:r w:rsidRPr="00167E05">
        <w:rPr>
          <w:lang w:val="fr-FR"/>
        </w:rPr>
        <w:t xml:space="preserve"> matières très dangereuses;</w:t>
      </w:r>
    </w:p>
    <w:p w14:paraId="721B2457" w14:textId="57BCABC4" w:rsidR="001A0EB0" w:rsidRPr="00167E05" w:rsidRDefault="001A0EB0" w:rsidP="001A0EB0">
      <w:pPr>
        <w:spacing w:before="120" w:after="120" w:line="240" w:lineRule="auto"/>
        <w:ind w:left="2268" w:right="1134"/>
        <w:jc w:val="both"/>
        <w:rPr>
          <w:lang w:val="fr-FR"/>
        </w:rPr>
      </w:pPr>
      <w:r w:rsidRPr="00167E05">
        <w:rPr>
          <w:lang w:val="fr-FR"/>
        </w:rPr>
        <w:t>b)</w:t>
      </w:r>
      <w:r w:rsidRPr="00167E05">
        <w:rPr>
          <w:lang w:val="fr-FR"/>
        </w:rPr>
        <w:tab/>
      </w:r>
      <w:r w:rsidR="00D6735F">
        <w:rPr>
          <w:i/>
          <w:lang w:val="fr-FR"/>
        </w:rPr>
        <w:t>G</w:t>
      </w:r>
      <w:r w:rsidRPr="00167E05">
        <w:rPr>
          <w:i/>
          <w:lang w:val="fr-FR"/>
        </w:rPr>
        <w:t>roupe d'emballage II</w:t>
      </w:r>
      <w:r w:rsidR="00D6735F">
        <w:rPr>
          <w:i/>
          <w:lang w:val="fr-FR"/>
        </w:rPr>
        <w:t>:</w:t>
      </w:r>
      <w:r w:rsidRPr="00167E05">
        <w:rPr>
          <w:lang w:val="fr-FR"/>
        </w:rPr>
        <w:t xml:space="preserve"> matières présentant un danger moyen;</w:t>
      </w:r>
    </w:p>
    <w:p w14:paraId="164E07B5" w14:textId="3C13EA88" w:rsidR="001A0EB0" w:rsidRPr="00167E05" w:rsidRDefault="001A0EB0" w:rsidP="001A0EB0">
      <w:pPr>
        <w:spacing w:before="120" w:after="120" w:line="240" w:lineRule="auto"/>
        <w:ind w:left="2268" w:right="1134"/>
        <w:jc w:val="both"/>
        <w:rPr>
          <w:lang w:val="fr-FR"/>
        </w:rPr>
      </w:pPr>
      <w:r w:rsidRPr="00167E05">
        <w:rPr>
          <w:lang w:val="fr-FR"/>
        </w:rPr>
        <w:t>c)</w:t>
      </w:r>
      <w:r w:rsidRPr="00167E05">
        <w:rPr>
          <w:lang w:val="fr-FR"/>
        </w:rPr>
        <w:tab/>
      </w:r>
      <w:r w:rsidR="00D6735F">
        <w:rPr>
          <w:i/>
          <w:lang w:val="fr-FR"/>
        </w:rPr>
        <w:t>G</w:t>
      </w:r>
      <w:r w:rsidRPr="00167E05">
        <w:rPr>
          <w:i/>
          <w:lang w:val="fr-FR"/>
        </w:rPr>
        <w:t>roupe d'emballage II</w:t>
      </w:r>
      <w:r w:rsidR="00D6735F">
        <w:rPr>
          <w:i/>
          <w:lang w:val="fr-FR"/>
        </w:rPr>
        <w:t>I:</w:t>
      </w:r>
      <w:r w:rsidRPr="00167E05">
        <w:rPr>
          <w:lang w:val="fr-FR"/>
        </w:rPr>
        <w:t xml:space="preserve"> matières présentant un danger faible;</w:t>
      </w:r>
    </w:p>
    <w:p w14:paraId="4A8A6606" w14:textId="77777777" w:rsidR="001A0EB0" w:rsidRPr="00167E05" w:rsidRDefault="001A0EB0" w:rsidP="001A0EB0">
      <w:pPr>
        <w:spacing w:before="120" w:after="120" w:line="240" w:lineRule="auto"/>
        <w:ind w:left="1134" w:right="1134"/>
        <w:jc w:val="both"/>
        <w:rPr>
          <w:lang w:val="fr-FR"/>
        </w:rPr>
      </w:pPr>
      <w:r w:rsidRPr="00167E05">
        <w:rPr>
          <w:lang w:val="fr-FR"/>
        </w:rPr>
        <w:t xml:space="preserve">2.8.2.2 </w:t>
      </w:r>
      <w:r w:rsidRPr="00167E05">
        <w:rPr>
          <w:lang w:val="fr-FR"/>
        </w:rPr>
        <w:tab/>
        <w:t>Le classement des matières de la Liste des marchandises dangereuses du chapitre 3.2 dans les groupes d'emballage de la classe 8 est fondé sur l'expérience acquise et tient compte de facteurs supplémentaires tels que le risque d'inhalation (voir 2.8.2.4) et l'</w:t>
      </w:r>
      <w:proofErr w:type="spellStart"/>
      <w:r w:rsidRPr="00167E05">
        <w:rPr>
          <w:lang w:val="fr-FR"/>
        </w:rPr>
        <w:t>hydroréactivité</w:t>
      </w:r>
      <w:proofErr w:type="spellEnd"/>
      <w:r w:rsidRPr="00167E05">
        <w:rPr>
          <w:lang w:val="fr-FR"/>
        </w:rPr>
        <w:t xml:space="preserve"> (y compris la formation de produits de décomposition présentant un danger).</w:t>
      </w:r>
    </w:p>
    <w:p w14:paraId="3A78C1A8" w14:textId="2574815B" w:rsidR="001A0EB0" w:rsidRPr="00167E05" w:rsidRDefault="001A0EB0" w:rsidP="001A0EB0">
      <w:pPr>
        <w:spacing w:before="120" w:after="120" w:line="240" w:lineRule="auto"/>
        <w:ind w:left="1134" w:right="1134"/>
        <w:jc w:val="both"/>
        <w:rPr>
          <w:lang w:val="fr-FR"/>
        </w:rPr>
      </w:pPr>
      <w:r w:rsidRPr="00167E05">
        <w:rPr>
          <w:lang w:val="fr-FR"/>
        </w:rPr>
        <w:t>2.8.2.3</w:t>
      </w:r>
      <w:r w:rsidRPr="00167E05">
        <w:rPr>
          <w:lang w:val="fr-FR"/>
        </w:rPr>
        <w:tab/>
      </w:r>
      <w:r w:rsidRPr="00167E05">
        <w:rPr>
          <w:lang w:val="fr-FR"/>
        </w:rPr>
        <w:tab/>
        <w:t>On peut</w:t>
      </w:r>
      <w:r w:rsidR="007D65C2">
        <w:rPr>
          <w:lang w:val="fr-FR"/>
        </w:rPr>
        <w:t xml:space="preserve"> classer les matières nouvelles</w:t>
      </w:r>
      <w:r w:rsidRPr="00167E05">
        <w:rPr>
          <w:lang w:val="fr-FR"/>
        </w:rPr>
        <w:t xml:space="preserve"> dans les groupes d'emballage, sur la base du temps de contact nécessaire pour provoquer </w:t>
      </w:r>
      <w:r>
        <w:rPr>
          <w:lang w:val="fr-FR"/>
        </w:rPr>
        <w:t xml:space="preserve">une lésion irréversible du tissu cutané intact </w:t>
      </w:r>
      <w:r w:rsidRPr="00167E05">
        <w:rPr>
          <w:lang w:val="fr-FR"/>
        </w:rPr>
        <w:t>selon les critères du 2.8.3. Alternativement, pour les mélanges, les critères du 2.8.4 peuvent être utilisés.</w:t>
      </w:r>
    </w:p>
    <w:p w14:paraId="45AA1CD4" w14:textId="2A78FD6D" w:rsidR="001A0EB0" w:rsidRPr="00167E05" w:rsidRDefault="001A0EB0" w:rsidP="001A0EB0">
      <w:pPr>
        <w:spacing w:before="120" w:after="120" w:line="240" w:lineRule="auto"/>
        <w:ind w:left="1134" w:right="1134"/>
        <w:jc w:val="both"/>
        <w:rPr>
          <w:lang w:val="fr-FR"/>
        </w:rPr>
      </w:pPr>
      <w:r w:rsidRPr="00167E05">
        <w:rPr>
          <w:lang w:val="fr-FR"/>
        </w:rPr>
        <w:t xml:space="preserve">2.8.2.4 </w:t>
      </w:r>
      <w:r w:rsidRPr="00167E05">
        <w:rPr>
          <w:lang w:val="fr-FR"/>
        </w:rPr>
        <w:tab/>
      </w:r>
      <w:r w:rsidRPr="00B7080F">
        <w:rPr>
          <w:lang w:val="fr-FR"/>
        </w:rPr>
        <w:t>Une matière</w:t>
      </w:r>
      <w:r w:rsidR="00B7080F" w:rsidRPr="00B7080F">
        <w:rPr>
          <w:lang w:val="fr-FR"/>
        </w:rPr>
        <w:t xml:space="preserve"> répondant aux critères de la classe 8</w:t>
      </w:r>
      <w:r w:rsidR="003F59CB">
        <w:rPr>
          <w:lang w:val="fr-FR"/>
        </w:rPr>
        <w:t>,</w:t>
      </w:r>
      <w:r w:rsidRPr="00B7080F">
        <w:rPr>
          <w:lang w:val="fr-FR"/>
        </w:rPr>
        <w:t xml:space="preserve"> dont la toxicité à l'inhalation de poussières</w:t>
      </w:r>
      <w:r w:rsidRPr="00167E05">
        <w:rPr>
          <w:lang w:val="fr-FR"/>
        </w:rPr>
        <w:t xml:space="preserve"> et brouillards (CL</w:t>
      </w:r>
      <w:r w:rsidRPr="00167E05">
        <w:rPr>
          <w:vertAlign w:val="subscript"/>
          <w:lang w:val="fr-FR"/>
        </w:rPr>
        <w:t>50</w:t>
      </w:r>
      <w:r w:rsidRPr="00167E05">
        <w:rPr>
          <w:lang w:val="fr-FR"/>
        </w:rPr>
        <w:t>) correspond au groupe d'emballage I, mais dont la toxicité à l'ingestion et à l'absorption cutanée ne correspond qu'au groupe d'emballage III ou qui présente un degré de toxicité moins élevé, doit être affectée à la classe 8 (voir Nota au 2.6.2.2.4.1).</w:t>
      </w:r>
    </w:p>
    <w:p w14:paraId="2A20BFD8" w14:textId="77777777" w:rsidR="001A0EB0" w:rsidRPr="00167E05" w:rsidRDefault="001A0EB0" w:rsidP="001A0EB0">
      <w:pPr>
        <w:spacing w:before="120" w:after="120" w:line="240" w:lineRule="auto"/>
        <w:ind w:left="1134" w:right="1134"/>
        <w:jc w:val="both"/>
        <w:rPr>
          <w:b/>
          <w:lang w:val="fr-FR"/>
        </w:rPr>
      </w:pPr>
      <w:r w:rsidRPr="00167E05">
        <w:rPr>
          <w:b/>
          <w:lang w:val="fr-FR"/>
        </w:rPr>
        <w:t>2.8.3</w:t>
      </w:r>
      <w:r w:rsidRPr="00167E05">
        <w:rPr>
          <w:b/>
          <w:lang w:val="fr-FR"/>
        </w:rPr>
        <w:tab/>
      </w:r>
      <w:r w:rsidRPr="00167E05">
        <w:rPr>
          <w:b/>
          <w:lang w:val="fr-FR"/>
        </w:rPr>
        <w:tab/>
        <w:t>Affectation aux groupes d'emballage</w:t>
      </w:r>
    </w:p>
    <w:p w14:paraId="456C783E" w14:textId="77777777" w:rsidR="001A0EB0" w:rsidRPr="00167E05" w:rsidRDefault="001A0EB0" w:rsidP="001A0EB0">
      <w:pPr>
        <w:spacing w:before="120" w:after="120" w:line="240" w:lineRule="auto"/>
        <w:ind w:left="1134" w:right="1134"/>
        <w:jc w:val="both"/>
        <w:rPr>
          <w:lang w:val="fr-FR"/>
        </w:rPr>
      </w:pPr>
      <w:r w:rsidRPr="00167E05">
        <w:rPr>
          <w:lang w:val="fr-FR"/>
        </w:rPr>
        <w:t>2.8.3.1</w:t>
      </w:r>
      <w:r w:rsidRPr="00167E05">
        <w:rPr>
          <w:lang w:val="fr-FR"/>
        </w:rPr>
        <w:tab/>
      </w:r>
      <w:r w:rsidRPr="00167E05">
        <w:rPr>
          <w:lang w:val="fr-FR"/>
        </w:rPr>
        <w:tab/>
        <w:t>Les données existantes sur l’homme et les animaux, y compris les données résultant d’expositions uniques ou répétées, devraient être évaluées en premier lieu car elles donnent des informations en relation directe avec les effets sur la peau.</w:t>
      </w:r>
    </w:p>
    <w:p w14:paraId="6D4DB3E5" w14:textId="4F0265E2" w:rsidR="001A0EB0" w:rsidRPr="00167E05" w:rsidRDefault="001A0EB0" w:rsidP="001A0EB0">
      <w:pPr>
        <w:spacing w:before="120" w:after="120" w:line="240" w:lineRule="auto"/>
        <w:ind w:left="1134" w:right="1134"/>
        <w:jc w:val="both"/>
        <w:rPr>
          <w:lang w:val="fr-FR"/>
        </w:rPr>
      </w:pPr>
      <w:r w:rsidRPr="00167E05">
        <w:t>2.8.3.2</w:t>
      </w:r>
      <w:r w:rsidRPr="00167E05">
        <w:rPr>
          <w:i/>
        </w:rPr>
        <w:tab/>
      </w:r>
      <w:r w:rsidRPr="00167E05">
        <w:rPr>
          <w:i/>
        </w:rPr>
        <w:tab/>
      </w:r>
      <w:r w:rsidRPr="00167E05">
        <w:rPr>
          <w:lang w:val="fr-FR"/>
        </w:rPr>
        <w:t xml:space="preserve">Pour classer une matière dans un groupe d'emballage conformément au 2.8.2.3, il y a lieu de tenir compte de l'expérience acquise </w:t>
      </w:r>
      <w:r w:rsidR="003F59CB">
        <w:rPr>
          <w:lang w:val="fr-FR"/>
        </w:rPr>
        <w:t xml:space="preserve">sur les êtres humains </w:t>
      </w:r>
      <w:r w:rsidRPr="00167E05">
        <w:rPr>
          <w:lang w:val="fr-FR"/>
        </w:rPr>
        <w:t xml:space="preserve">à l'occasion d'expositions accidentelles. En l'absence d'une telle expérience, le classement doit se faire sur la base des résultats de l'expérimentation conformément à la </w:t>
      </w:r>
      <w:r w:rsidRPr="00167E05">
        <w:rPr>
          <w:rFonts w:eastAsia="SimSun"/>
          <w:lang w:val="fr-FR" w:eastAsia="zh-CN"/>
        </w:rPr>
        <w:t>Ligne directrice 404</w:t>
      </w:r>
      <w:r w:rsidRPr="00167E05">
        <w:rPr>
          <w:rFonts w:eastAsia="SimSun"/>
          <w:sz w:val="18"/>
          <w:vertAlign w:val="superscript"/>
          <w:lang w:val="fr-FR" w:eastAsia="zh-CN"/>
        </w:rPr>
        <w:footnoteReference w:customMarkFollows="1" w:id="3"/>
        <w:t>1</w:t>
      </w:r>
      <w:r w:rsidRPr="00167E05">
        <w:rPr>
          <w:rFonts w:eastAsia="SimSun"/>
          <w:lang w:val="fr-FR" w:eastAsia="zh-CN"/>
        </w:rPr>
        <w:t xml:space="preserve"> </w:t>
      </w:r>
      <w:r w:rsidRPr="00167E05">
        <w:rPr>
          <w:rFonts w:eastAsia="Batang"/>
          <w:lang w:val="fr-FR"/>
        </w:rPr>
        <w:t>ou 435</w:t>
      </w:r>
      <w:r w:rsidRPr="00167E05">
        <w:rPr>
          <w:rFonts w:eastAsia="Batang"/>
          <w:sz w:val="18"/>
          <w:vertAlign w:val="superscript"/>
          <w:lang w:val="fr-FR"/>
        </w:rPr>
        <w:footnoteReference w:customMarkFollows="1" w:id="4"/>
        <w:t>2</w:t>
      </w:r>
      <w:r w:rsidRPr="00167E05">
        <w:rPr>
          <w:rFonts w:eastAsia="Batang"/>
          <w:b/>
          <w:lang w:val="fr-FR"/>
        </w:rPr>
        <w:t xml:space="preserve"> </w:t>
      </w:r>
      <w:r w:rsidRPr="00167E05">
        <w:rPr>
          <w:rFonts w:eastAsia="Batang"/>
          <w:lang w:val="fr-FR"/>
        </w:rPr>
        <w:t>de l’OCDE. Aux fins du présent Règlement, une matière définie comme n’étant pas corrosive conformément à la Ligne directrice 430</w:t>
      </w:r>
      <w:r w:rsidRPr="00167E05">
        <w:rPr>
          <w:rFonts w:eastAsia="Batang"/>
          <w:sz w:val="18"/>
          <w:vertAlign w:val="superscript"/>
          <w:lang w:val="fr-FR"/>
        </w:rPr>
        <w:footnoteReference w:customMarkFollows="1" w:id="5"/>
        <w:t>3</w:t>
      </w:r>
      <w:r w:rsidRPr="00167E05">
        <w:rPr>
          <w:rFonts w:eastAsia="Batang"/>
          <w:lang w:val="fr-FR"/>
        </w:rPr>
        <w:t xml:space="preserve"> ou 431</w:t>
      </w:r>
      <w:r w:rsidRPr="00167E05">
        <w:rPr>
          <w:rFonts w:eastAsia="Batang"/>
          <w:sz w:val="18"/>
          <w:vertAlign w:val="superscript"/>
          <w:lang w:val="fr-FR"/>
        </w:rPr>
        <w:footnoteReference w:customMarkFollows="1" w:id="6"/>
        <w:t>4</w:t>
      </w:r>
      <w:r w:rsidRPr="00167E05">
        <w:rPr>
          <w:rFonts w:eastAsia="Batang"/>
          <w:b/>
          <w:vertAlign w:val="superscript"/>
          <w:lang w:val="fr-FR"/>
        </w:rPr>
        <w:t xml:space="preserve"> </w:t>
      </w:r>
      <w:r w:rsidRPr="00167E05">
        <w:rPr>
          <w:rFonts w:eastAsia="Batang"/>
          <w:lang w:val="fr-FR"/>
        </w:rPr>
        <w:t>de l’OCDE</w:t>
      </w:r>
      <w:r w:rsidRPr="00167E05">
        <w:rPr>
          <w:rFonts w:eastAsia="Batang"/>
          <w:vertAlign w:val="superscript"/>
          <w:lang w:val="fr-FR"/>
        </w:rPr>
        <w:t xml:space="preserve"> </w:t>
      </w:r>
      <w:r w:rsidRPr="00167E05">
        <w:rPr>
          <w:lang w:val="fr-FR"/>
        </w:rPr>
        <w:t>est considérée comme n’étant pas corrosive pour la peau sans qu’il soit nécessaire de réaliser d’autres épreuves</w:t>
      </w:r>
      <w:r w:rsidRPr="00167E05">
        <w:rPr>
          <w:sz w:val="24"/>
          <w:szCs w:val="24"/>
          <w:lang w:val="fr-FR"/>
        </w:rPr>
        <w:t>.</w:t>
      </w:r>
    </w:p>
    <w:p w14:paraId="58FB3C12" w14:textId="2394619C" w:rsidR="001A0EB0" w:rsidRPr="00167E05" w:rsidRDefault="001A0EB0" w:rsidP="001A0EB0">
      <w:pPr>
        <w:spacing w:before="120" w:after="120" w:line="240" w:lineRule="auto"/>
        <w:ind w:left="1134" w:right="1134"/>
        <w:jc w:val="both"/>
      </w:pPr>
      <w:r w:rsidRPr="00167E05">
        <w:t>2.8.3.3</w:t>
      </w:r>
      <w:r w:rsidRPr="00167E05">
        <w:tab/>
      </w:r>
      <w:r w:rsidRPr="00167E05">
        <w:tab/>
        <w:t xml:space="preserve">Les matières </w:t>
      </w:r>
      <w:r w:rsidR="007D65C2">
        <w:t xml:space="preserve">corrosives </w:t>
      </w:r>
      <w:r w:rsidRPr="00167E05">
        <w:t>sont classées dans les groupes d'emballage d'après les critères suivants (voir tableau 2.8.3.4):</w:t>
      </w:r>
    </w:p>
    <w:p w14:paraId="393C5D53" w14:textId="0FE576BD" w:rsidR="001A0EB0" w:rsidRPr="00A43682" w:rsidRDefault="001A0EB0" w:rsidP="001A0EB0">
      <w:pPr>
        <w:spacing w:before="120" w:after="120" w:line="240" w:lineRule="auto"/>
        <w:ind w:left="2268" w:right="1134"/>
        <w:jc w:val="both"/>
      </w:pPr>
      <w:r w:rsidRPr="00A43682">
        <w:t>a)</w:t>
      </w:r>
      <w:r w:rsidRPr="00A43682">
        <w:tab/>
      </w:r>
      <w:r w:rsidR="002603FC" w:rsidRPr="00A43682">
        <w:t xml:space="preserve">Dans </w:t>
      </w:r>
      <w:r w:rsidRPr="00A43682">
        <w:t>le groupe d'emballage I sont classées les matières qui provoquent une lésion irréversible</w:t>
      </w:r>
      <w:r w:rsidR="008E517B" w:rsidRPr="00A43682">
        <w:t xml:space="preserve"> </w:t>
      </w:r>
      <w:r w:rsidR="008E517B" w:rsidRPr="00A43682">
        <w:rPr>
          <w:lang w:val="fr-FR"/>
        </w:rPr>
        <w:t>du tissu cutané intact</w:t>
      </w:r>
      <w:r w:rsidRPr="00A43682">
        <w:t xml:space="preserve">, sur une période d'observation </w:t>
      </w:r>
      <w:r w:rsidR="007D65C2">
        <w:t>allant jusqu’à</w:t>
      </w:r>
      <w:r w:rsidRPr="00A43682">
        <w:t xml:space="preserve"> 60 minutes commençant immédiatement après la durée d'application de 3 minutes ou moins;</w:t>
      </w:r>
    </w:p>
    <w:p w14:paraId="5BD50A60" w14:textId="1738E891" w:rsidR="001A0EB0" w:rsidRPr="00A43682" w:rsidRDefault="001A0EB0" w:rsidP="001A0EB0">
      <w:pPr>
        <w:spacing w:before="120" w:after="120" w:line="240" w:lineRule="auto"/>
        <w:ind w:left="2268" w:right="1134"/>
        <w:jc w:val="both"/>
      </w:pPr>
      <w:r w:rsidRPr="00A43682">
        <w:lastRenderedPageBreak/>
        <w:t>b)</w:t>
      </w:r>
      <w:r w:rsidRPr="00A43682">
        <w:tab/>
      </w:r>
      <w:r w:rsidR="002603FC" w:rsidRPr="00A43682">
        <w:t xml:space="preserve">Dans </w:t>
      </w:r>
      <w:r w:rsidRPr="00A43682">
        <w:t>le groupe d'emballage II sont classées les matières qui provoquent une lésion irréversible</w:t>
      </w:r>
      <w:r w:rsidR="008E517B" w:rsidRPr="00A43682">
        <w:t xml:space="preserve"> </w:t>
      </w:r>
      <w:r w:rsidR="008E517B" w:rsidRPr="00A43682">
        <w:rPr>
          <w:lang w:val="fr-FR"/>
        </w:rPr>
        <w:t>du tissu cutané intact</w:t>
      </w:r>
      <w:r w:rsidRPr="00A43682">
        <w:t xml:space="preserve">, sur une période d'observation </w:t>
      </w:r>
      <w:r w:rsidR="007D65C2">
        <w:t>allant jusqu’à</w:t>
      </w:r>
      <w:r w:rsidRPr="00A43682">
        <w:t xml:space="preserve"> 14 jours commençant immédiatement après la durée d'application de 3 minutes mais de moins de 60 minutes;</w:t>
      </w:r>
    </w:p>
    <w:p w14:paraId="16FBDAD2" w14:textId="6C3D8760" w:rsidR="001A0EB0" w:rsidRPr="00A43682" w:rsidRDefault="001A0EB0" w:rsidP="001A0EB0">
      <w:pPr>
        <w:spacing w:before="120" w:after="120" w:line="240" w:lineRule="auto"/>
        <w:ind w:left="2268" w:right="1134"/>
        <w:jc w:val="both"/>
      </w:pPr>
      <w:r w:rsidRPr="00A43682">
        <w:t>c)</w:t>
      </w:r>
      <w:r w:rsidRPr="00A43682">
        <w:tab/>
      </w:r>
      <w:r w:rsidR="002603FC" w:rsidRPr="00A43682">
        <w:t xml:space="preserve">Dans </w:t>
      </w:r>
      <w:r w:rsidRPr="00A43682">
        <w:t>le groupe d'emballage III sont classées:</w:t>
      </w:r>
    </w:p>
    <w:p w14:paraId="57066AE0" w14:textId="5942B023" w:rsidR="001A0EB0" w:rsidRPr="00167E05" w:rsidRDefault="001A0EB0" w:rsidP="001A0EB0">
      <w:pPr>
        <w:spacing w:before="120" w:after="120" w:line="240" w:lineRule="auto"/>
        <w:ind w:left="2835" w:right="1134"/>
        <w:jc w:val="both"/>
      </w:pPr>
      <w:r w:rsidRPr="00167E05">
        <w:t>i)</w:t>
      </w:r>
      <w:r w:rsidRPr="00167E05">
        <w:tab/>
        <w:t xml:space="preserve">les matières qui provoquent une </w:t>
      </w:r>
      <w:r>
        <w:t>lésion irréversible</w:t>
      </w:r>
      <w:r w:rsidR="008E517B">
        <w:t xml:space="preserve"> </w:t>
      </w:r>
      <w:r w:rsidR="008E517B">
        <w:rPr>
          <w:lang w:val="fr-FR"/>
        </w:rPr>
        <w:t>du tissu cutané intact</w:t>
      </w:r>
      <w:r w:rsidRPr="00167E05">
        <w:t xml:space="preserve">, sur une période d'observation </w:t>
      </w:r>
      <w:r w:rsidR="007D65C2">
        <w:t>allant jusqu’à</w:t>
      </w:r>
      <w:r w:rsidRPr="00167E05">
        <w:t xml:space="preserve"> 14 jours commençant immédiatement après une durée d'application de plus de 60 minutes mais de 4 heures</w:t>
      </w:r>
      <w:r w:rsidR="007D65C2">
        <w:t xml:space="preserve"> au maximum</w:t>
      </w:r>
      <w:r w:rsidRPr="00167E05">
        <w:t>; ou</w:t>
      </w:r>
    </w:p>
    <w:p w14:paraId="2C3F033F" w14:textId="71C684FC" w:rsidR="001A0EB0" w:rsidRPr="00167E05" w:rsidRDefault="001A0EB0" w:rsidP="001A0EB0">
      <w:pPr>
        <w:spacing w:before="120" w:after="120" w:line="240" w:lineRule="auto"/>
        <w:ind w:left="2835" w:right="1134"/>
        <w:jc w:val="both"/>
        <w:rPr>
          <w:noProof/>
        </w:rPr>
      </w:pPr>
      <w:r w:rsidRPr="00167E05">
        <w:t>ii)</w:t>
      </w:r>
      <w:r w:rsidRPr="00167E05">
        <w:tab/>
        <w:t xml:space="preserve">les matières dont on juge qu'elles ne provoquent pas une </w:t>
      </w:r>
      <w:r>
        <w:t>lésion irréversible</w:t>
      </w:r>
      <w:r w:rsidR="008E517B">
        <w:t xml:space="preserve"> </w:t>
      </w:r>
      <w:r w:rsidR="008E517B">
        <w:rPr>
          <w:lang w:val="fr-FR"/>
        </w:rPr>
        <w:t>du tissu cutané intact</w:t>
      </w:r>
      <w:r w:rsidRPr="00167E05">
        <w:t xml:space="preserve">, mais dont la vitesse de corrosion sur des surfaces soit en acier soit en aluminium dépasse 6,25 mm par an à la température d'épreuve de 55 °C, lorsque les épreuves sont réalisées sur ces deux matériaux. </w:t>
      </w:r>
      <w:r w:rsidRPr="00167E05">
        <w:rPr>
          <w:noProof/>
        </w:rPr>
        <w:t xml:space="preserve">Pour les épreuves sur l'acier, on doit utiliser les types S235JR+CR (1.0037, respectivement St 37-2), S275J2G3+CR (1.0144, respectivement St 44-3), ISO 3574, "Unified Numbering System" (UNS) G10200 ou SAE 1020, et pour les épreuves sur l'aluminium les types non revêtus 7075-T6 ou AZ5GU-T6. Une épreuve acceptable est décrite dans le </w:t>
      </w:r>
      <w:r w:rsidRPr="00167E05">
        <w:rPr>
          <w:i/>
          <w:iCs/>
          <w:noProof/>
        </w:rPr>
        <w:t>Manuel d'épreuves et de critères</w:t>
      </w:r>
      <w:r w:rsidRPr="00167E05">
        <w:rPr>
          <w:noProof/>
        </w:rPr>
        <w:t xml:space="preserve">, </w:t>
      </w:r>
      <w:r w:rsidR="008E517B">
        <w:rPr>
          <w:noProof/>
        </w:rPr>
        <w:t>troisième p</w:t>
      </w:r>
      <w:r w:rsidRPr="00167E05">
        <w:rPr>
          <w:noProof/>
        </w:rPr>
        <w:t>artie, section 37.</w:t>
      </w:r>
    </w:p>
    <w:p w14:paraId="086C42A2" w14:textId="77777777" w:rsidR="001A0EB0" w:rsidRPr="00167E05" w:rsidRDefault="001A0EB0" w:rsidP="001A0EB0">
      <w:pPr>
        <w:spacing w:before="120" w:after="120" w:line="240" w:lineRule="auto"/>
        <w:ind w:left="2835" w:right="1134"/>
        <w:jc w:val="both"/>
        <w:rPr>
          <w:i/>
          <w:iCs/>
        </w:rPr>
      </w:pPr>
      <w:r w:rsidRPr="00167E05">
        <w:rPr>
          <w:b/>
          <w:bCs/>
          <w:i/>
          <w:iCs/>
        </w:rPr>
        <w:t xml:space="preserve">NOTA: </w:t>
      </w:r>
      <w:r w:rsidRPr="00167E05">
        <w:rPr>
          <w:i/>
          <w:iCs/>
        </w:rPr>
        <w:t>Lorsqu’une première épreuve sur l’acier ou l’aluminium indique que la matière testée est corrosive, l’épreuve suivante sur l’autre métal n’est pas obligatoire.</w:t>
      </w:r>
    </w:p>
    <w:p w14:paraId="3C4503EA" w14:textId="77777777" w:rsidR="001A0EB0" w:rsidRPr="00167E05" w:rsidRDefault="001A0EB0" w:rsidP="001A0EB0">
      <w:pPr>
        <w:spacing w:before="120" w:after="120" w:line="240" w:lineRule="auto"/>
        <w:ind w:left="1134" w:right="1134"/>
        <w:jc w:val="center"/>
        <w:rPr>
          <w:b/>
          <w:bCs/>
          <w:noProof/>
        </w:rPr>
      </w:pPr>
      <w:r w:rsidRPr="00167E05">
        <w:rPr>
          <w:b/>
          <w:bCs/>
          <w:noProof/>
        </w:rPr>
        <w:t>Tableau 2.8.3.4: Tableau résumant les critères du 2.8.3.3</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71"/>
        <w:gridCol w:w="1276"/>
        <w:gridCol w:w="1417"/>
        <w:gridCol w:w="4721"/>
      </w:tblGrid>
      <w:tr w:rsidR="001A0EB0" w:rsidRPr="00167E05" w14:paraId="04CE3350" w14:textId="77777777" w:rsidTr="007B62F4">
        <w:trPr>
          <w:cantSplit/>
          <w:jc w:val="center"/>
        </w:trPr>
        <w:tc>
          <w:tcPr>
            <w:tcW w:w="1271" w:type="dxa"/>
            <w:shd w:val="clear" w:color="auto" w:fill="auto"/>
          </w:tcPr>
          <w:p w14:paraId="3EB3F14A" w14:textId="77777777" w:rsidR="001A0EB0" w:rsidRPr="00167E05" w:rsidRDefault="001A0EB0" w:rsidP="006201FD">
            <w:pPr>
              <w:keepNext/>
              <w:keepLines/>
              <w:jc w:val="center"/>
              <w:rPr>
                <w:b/>
                <w:bCs/>
                <w:noProof/>
              </w:rPr>
            </w:pPr>
            <w:r w:rsidRPr="00167E05">
              <w:rPr>
                <w:b/>
                <w:bCs/>
                <w:noProof/>
              </w:rPr>
              <w:t>Groupe d’emballage</w:t>
            </w:r>
          </w:p>
        </w:tc>
        <w:tc>
          <w:tcPr>
            <w:tcW w:w="1276" w:type="dxa"/>
            <w:shd w:val="clear" w:color="auto" w:fill="auto"/>
          </w:tcPr>
          <w:p w14:paraId="183C7016" w14:textId="77777777" w:rsidR="001A0EB0" w:rsidRPr="00167E05" w:rsidRDefault="001A0EB0" w:rsidP="006201FD">
            <w:pPr>
              <w:keepNext/>
              <w:keepLines/>
              <w:ind w:left="27"/>
              <w:jc w:val="center"/>
              <w:rPr>
                <w:b/>
                <w:bCs/>
                <w:noProof/>
              </w:rPr>
            </w:pPr>
            <w:r w:rsidRPr="00167E05">
              <w:rPr>
                <w:b/>
                <w:bCs/>
                <w:noProof/>
              </w:rPr>
              <w:t>Durée d’application</w:t>
            </w:r>
          </w:p>
        </w:tc>
        <w:tc>
          <w:tcPr>
            <w:tcW w:w="1417" w:type="dxa"/>
            <w:shd w:val="clear" w:color="auto" w:fill="auto"/>
          </w:tcPr>
          <w:p w14:paraId="61A4CB6A" w14:textId="77777777" w:rsidR="001A0EB0" w:rsidRPr="00167E05" w:rsidRDefault="001A0EB0" w:rsidP="006201FD">
            <w:pPr>
              <w:keepNext/>
              <w:keepLines/>
              <w:ind w:left="44"/>
              <w:jc w:val="center"/>
              <w:rPr>
                <w:b/>
                <w:bCs/>
                <w:noProof/>
              </w:rPr>
            </w:pPr>
            <w:r w:rsidRPr="00167E05">
              <w:rPr>
                <w:b/>
                <w:bCs/>
                <w:noProof/>
              </w:rPr>
              <w:t>Période d’observation</w:t>
            </w:r>
          </w:p>
        </w:tc>
        <w:tc>
          <w:tcPr>
            <w:tcW w:w="4721" w:type="dxa"/>
            <w:shd w:val="clear" w:color="auto" w:fill="auto"/>
          </w:tcPr>
          <w:p w14:paraId="0A1C9008" w14:textId="77777777" w:rsidR="001A0EB0" w:rsidRPr="00167E05" w:rsidRDefault="001A0EB0" w:rsidP="006201FD">
            <w:pPr>
              <w:keepNext/>
              <w:keepLines/>
              <w:jc w:val="center"/>
              <w:rPr>
                <w:b/>
                <w:bCs/>
                <w:noProof/>
              </w:rPr>
            </w:pPr>
            <w:r w:rsidRPr="00167E05">
              <w:rPr>
                <w:b/>
                <w:bCs/>
                <w:noProof/>
              </w:rPr>
              <w:t>Effet</w:t>
            </w:r>
          </w:p>
        </w:tc>
      </w:tr>
      <w:tr w:rsidR="001A0EB0" w:rsidRPr="00167E05" w14:paraId="006F8EB9" w14:textId="77777777" w:rsidTr="007B62F4">
        <w:trPr>
          <w:cantSplit/>
          <w:jc w:val="center"/>
        </w:trPr>
        <w:tc>
          <w:tcPr>
            <w:tcW w:w="1271" w:type="dxa"/>
            <w:shd w:val="clear" w:color="auto" w:fill="auto"/>
          </w:tcPr>
          <w:p w14:paraId="75934493" w14:textId="77777777" w:rsidR="001A0EB0" w:rsidRPr="00167E05" w:rsidRDefault="001A0EB0" w:rsidP="006201FD">
            <w:pPr>
              <w:keepNext/>
              <w:keepLines/>
              <w:jc w:val="center"/>
              <w:rPr>
                <w:noProof/>
              </w:rPr>
            </w:pPr>
            <w:r w:rsidRPr="00167E05">
              <w:rPr>
                <w:b/>
                <w:noProof/>
              </w:rPr>
              <w:t>I</w:t>
            </w:r>
          </w:p>
        </w:tc>
        <w:tc>
          <w:tcPr>
            <w:tcW w:w="1276" w:type="dxa"/>
            <w:shd w:val="clear" w:color="auto" w:fill="auto"/>
          </w:tcPr>
          <w:p w14:paraId="2DBAA44E" w14:textId="77777777" w:rsidR="001A0EB0" w:rsidRPr="00167E05" w:rsidRDefault="001A0EB0" w:rsidP="006201FD">
            <w:pPr>
              <w:keepNext/>
              <w:keepLines/>
              <w:ind w:left="27"/>
              <w:jc w:val="center"/>
              <w:rPr>
                <w:noProof/>
              </w:rPr>
            </w:pPr>
            <w:r w:rsidRPr="00167E05">
              <w:rPr>
                <w:noProof/>
              </w:rPr>
              <w:t>≤ 3 min</w:t>
            </w:r>
          </w:p>
        </w:tc>
        <w:tc>
          <w:tcPr>
            <w:tcW w:w="1417" w:type="dxa"/>
            <w:shd w:val="clear" w:color="auto" w:fill="auto"/>
          </w:tcPr>
          <w:p w14:paraId="6C3E0333" w14:textId="77777777" w:rsidR="001A0EB0" w:rsidRPr="00167E05" w:rsidRDefault="001A0EB0" w:rsidP="006201FD">
            <w:pPr>
              <w:keepNext/>
              <w:keepLines/>
              <w:ind w:left="44"/>
              <w:jc w:val="center"/>
              <w:rPr>
                <w:noProof/>
              </w:rPr>
            </w:pPr>
            <w:r w:rsidRPr="00167E05">
              <w:rPr>
                <w:noProof/>
              </w:rPr>
              <w:t>≤ 60 min</w:t>
            </w:r>
          </w:p>
        </w:tc>
        <w:tc>
          <w:tcPr>
            <w:tcW w:w="4721" w:type="dxa"/>
            <w:shd w:val="clear" w:color="auto" w:fill="auto"/>
          </w:tcPr>
          <w:p w14:paraId="220DA494" w14:textId="73F2B255" w:rsidR="001A0EB0" w:rsidRPr="008E517B" w:rsidRDefault="001A0EB0" w:rsidP="006201FD">
            <w:pPr>
              <w:keepNext/>
              <w:keepLines/>
              <w:rPr>
                <w:b/>
                <w:noProof/>
              </w:rPr>
            </w:pPr>
            <w:r>
              <w:t>Lésion irréversible</w:t>
            </w:r>
            <w:r w:rsidR="008E517B">
              <w:t xml:space="preserve"> </w:t>
            </w:r>
            <w:r w:rsidR="008E517B">
              <w:rPr>
                <w:lang w:val="fr-FR"/>
              </w:rPr>
              <w:t>du tissu cutané intact</w:t>
            </w:r>
          </w:p>
        </w:tc>
      </w:tr>
      <w:tr w:rsidR="001A0EB0" w:rsidRPr="00167E05" w14:paraId="1CAF2CDE" w14:textId="77777777" w:rsidTr="007B62F4">
        <w:trPr>
          <w:cantSplit/>
          <w:jc w:val="center"/>
        </w:trPr>
        <w:tc>
          <w:tcPr>
            <w:tcW w:w="1271" w:type="dxa"/>
            <w:shd w:val="clear" w:color="auto" w:fill="auto"/>
          </w:tcPr>
          <w:p w14:paraId="52C2F139" w14:textId="77777777" w:rsidR="001A0EB0" w:rsidRPr="00167E05" w:rsidRDefault="001A0EB0" w:rsidP="006201FD">
            <w:pPr>
              <w:keepNext/>
              <w:keepLines/>
              <w:jc w:val="center"/>
              <w:rPr>
                <w:noProof/>
              </w:rPr>
            </w:pPr>
            <w:r w:rsidRPr="00167E05">
              <w:rPr>
                <w:b/>
                <w:noProof/>
              </w:rPr>
              <w:t>II</w:t>
            </w:r>
          </w:p>
        </w:tc>
        <w:tc>
          <w:tcPr>
            <w:tcW w:w="1276" w:type="dxa"/>
            <w:shd w:val="clear" w:color="auto" w:fill="auto"/>
          </w:tcPr>
          <w:p w14:paraId="1BAD0362" w14:textId="77777777" w:rsidR="001A0EB0" w:rsidRPr="00167E05" w:rsidRDefault="001A0EB0" w:rsidP="006201FD">
            <w:pPr>
              <w:keepNext/>
              <w:keepLines/>
              <w:ind w:left="27"/>
              <w:jc w:val="center"/>
              <w:rPr>
                <w:noProof/>
              </w:rPr>
            </w:pPr>
            <w:r w:rsidRPr="00167E05">
              <w:rPr>
                <w:noProof/>
              </w:rPr>
              <w:t>&gt; 3 min ≤ 1 h</w:t>
            </w:r>
          </w:p>
        </w:tc>
        <w:tc>
          <w:tcPr>
            <w:tcW w:w="1417" w:type="dxa"/>
            <w:shd w:val="clear" w:color="auto" w:fill="auto"/>
          </w:tcPr>
          <w:p w14:paraId="57678637" w14:textId="77777777" w:rsidR="001A0EB0" w:rsidRPr="00167E05" w:rsidRDefault="001A0EB0" w:rsidP="006201FD">
            <w:pPr>
              <w:keepNext/>
              <w:keepLines/>
              <w:ind w:left="44"/>
              <w:jc w:val="center"/>
              <w:rPr>
                <w:noProof/>
              </w:rPr>
            </w:pPr>
            <w:r w:rsidRPr="00167E05">
              <w:rPr>
                <w:noProof/>
              </w:rPr>
              <w:t>≤ 14 d</w:t>
            </w:r>
          </w:p>
        </w:tc>
        <w:tc>
          <w:tcPr>
            <w:tcW w:w="4721" w:type="dxa"/>
            <w:shd w:val="clear" w:color="auto" w:fill="auto"/>
          </w:tcPr>
          <w:p w14:paraId="3994CDFD" w14:textId="29657498" w:rsidR="001A0EB0" w:rsidRPr="00167E05" w:rsidRDefault="001A0EB0" w:rsidP="006201FD">
            <w:pPr>
              <w:keepNext/>
              <w:keepLines/>
              <w:rPr>
                <w:noProof/>
              </w:rPr>
            </w:pPr>
            <w:r>
              <w:t>Lésion irréversible</w:t>
            </w:r>
            <w:r w:rsidR="008E517B">
              <w:t xml:space="preserve"> </w:t>
            </w:r>
            <w:r w:rsidR="008E517B">
              <w:rPr>
                <w:lang w:val="fr-FR"/>
              </w:rPr>
              <w:t>du tissu cutané intact</w:t>
            </w:r>
          </w:p>
        </w:tc>
      </w:tr>
      <w:tr w:rsidR="001A0EB0" w:rsidRPr="00167E05" w14:paraId="3204CA97" w14:textId="77777777" w:rsidTr="007B62F4">
        <w:trPr>
          <w:cantSplit/>
          <w:trHeight w:val="167"/>
          <w:jc w:val="center"/>
        </w:trPr>
        <w:tc>
          <w:tcPr>
            <w:tcW w:w="1271" w:type="dxa"/>
            <w:shd w:val="clear" w:color="auto" w:fill="auto"/>
          </w:tcPr>
          <w:p w14:paraId="0758FED8" w14:textId="77777777" w:rsidR="001A0EB0" w:rsidRPr="00167E05" w:rsidRDefault="001A0EB0" w:rsidP="006201FD">
            <w:pPr>
              <w:keepNext/>
              <w:keepLines/>
              <w:jc w:val="center"/>
              <w:rPr>
                <w:noProof/>
              </w:rPr>
            </w:pPr>
            <w:r w:rsidRPr="00167E05">
              <w:rPr>
                <w:b/>
                <w:noProof/>
              </w:rPr>
              <w:t>III</w:t>
            </w:r>
          </w:p>
        </w:tc>
        <w:tc>
          <w:tcPr>
            <w:tcW w:w="1276" w:type="dxa"/>
            <w:shd w:val="clear" w:color="auto" w:fill="auto"/>
          </w:tcPr>
          <w:p w14:paraId="7C354ECD" w14:textId="77777777" w:rsidR="001A0EB0" w:rsidRPr="00167E05" w:rsidRDefault="001A0EB0" w:rsidP="006201FD">
            <w:pPr>
              <w:keepNext/>
              <w:keepLines/>
              <w:ind w:left="27"/>
              <w:jc w:val="center"/>
              <w:rPr>
                <w:noProof/>
              </w:rPr>
            </w:pPr>
            <w:r w:rsidRPr="00167E05">
              <w:rPr>
                <w:noProof/>
              </w:rPr>
              <w:t>&gt; 1 h ≤ 4 h</w:t>
            </w:r>
          </w:p>
        </w:tc>
        <w:tc>
          <w:tcPr>
            <w:tcW w:w="1417" w:type="dxa"/>
            <w:shd w:val="clear" w:color="auto" w:fill="auto"/>
          </w:tcPr>
          <w:p w14:paraId="241D005E" w14:textId="77777777" w:rsidR="001A0EB0" w:rsidRPr="00167E05" w:rsidRDefault="001A0EB0" w:rsidP="006201FD">
            <w:pPr>
              <w:keepNext/>
              <w:keepLines/>
              <w:ind w:left="44"/>
              <w:jc w:val="center"/>
              <w:rPr>
                <w:noProof/>
              </w:rPr>
            </w:pPr>
            <w:r w:rsidRPr="00167E05">
              <w:rPr>
                <w:noProof/>
              </w:rPr>
              <w:t>≤ 14 d</w:t>
            </w:r>
          </w:p>
        </w:tc>
        <w:tc>
          <w:tcPr>
            <w:tcW w:w="4721" w:type="dxa"/>
            <w:shd w:val="clear" w:color="auto" w:fill="auto"/>
          </w:tcPr>
          <w:p w14:paraId="07A3CD39" w14:textId="711F76AA" w:rsidR="001A0EB0" w:rsidRPr="00167E05" w:rsidRDefault="001A0EB0" w:rsidP="006201FD">
            <w:pPr>
              <w:keepNext/>
              <w:keepLines/>
              <w:rPr>
                <w:noProof/>
              </w:rPr>
            </w:pPr>
            <w:r>
              <w:t>Lésion irréversible</w:t>
            </w:r>
            <w:r w:rsidR="008E517B">
              <w:t xml:space="preserve"> </w:t>
            </w:r>
            <w:r w:rsidR="008E517B">
              <w:rPr>
                <w:lang w:val="fr-FR"/>
              </w:rPr>
              <w:t>du tissu cutané intact</w:t>
            </w:r>
          </w:p>
        </w:tc>
      </w:tr>
      <w:tr w:rsidR="001A0EB0" w:rsidRPr="00BD6247" w14:paraId="52A7C049" w14:textId="77777777" w:rsidTr="007B62F4">
        <w:trPr>
          <w:cantSplit/>
          <w:jc w:val="center"/>
        </w:trPr>
        <w:tc>
          <w:tcPr>
            <w:tcW w:w="1271" w:type="dxa"/>
            <w:shd w:val="clear" w:color="auto" w:fill="auto"/>
          </w:tcPr>
          <w:p w14:paraId="7CDCD63F" w14:textId="77777777" w:rsidR="001A0EB0" w:rsidRPr="00167E05" w:rsidRDefault="001A0EB0" w:rsidP="006201FD">
            <w:pPr>
              <w:keepNext/>
              <w:keepLines/>
              <w:jc w:val="center"/>
              <w:rPr>
                <w:noProof/>
              </w:rPr>
            </w:pPr>
            <w:r w:rsidRPr="00167E05">
              <w:rPr>
                <w:b/>
                <w:noProof/>
              </w:rPr>
              <w:t>III</w:t>
            </w:r>
          </w:p>
        </w:tc>
        <w:tc>
          <w:tcPr>
            <w:tcW w:w="1276" w:type="dxa"/>
            <w:shd w:val="clear" w:color="auto" w:fill="auto"/>
          </w:tcPr>
          <w:p w14:paraId="3F143575" w14:textId="77777777" w:rsidR="001A0EB0" w:rsidRPr="00167E05" w:rsidRDefault="001A0EB0" w:rsidP="006201FD">
            <w:pPr>
              <w:keepNext/>
              <w:keepLines/>
              <w:ind w:left="27"/>
              <w:jc w:val="center"/>
              <w:rPr>
                <w:noProof/>
              </w:rPr>
            </w:pPr>
            <w:r w:rsidRPr="00167E05">
              <w:rPr>
                <w:noProof/>
              </w:rPr>
              <w:t>-</w:t>
            </w:r>
          </w:p>
        </w:tc>
        <w:tc>
          <w:tcPr>
            <w:tcW w:w="1417" w:type="dxa"/>
            <w:shd w:val="clear" w:color="auto" w:fill="auto"/>
          </w:tcPr>
          <w:p w14:paraId="0553AC0A" w14:textId="77777777" w:rsidR="001A0EB0" w:rsidRPr="00167E05" w:rsidRDefault="001A0EB0" w:rsidP="006201FD">
            <w:pPr>
              <w:keepNext/>
              <w:keepLines/>
              <w:ind w:left="44"/>
              <w:jc w:val="center"/>
              <w:rPr>
                <w:noProof/>
              </w:rPr>
            </w:pPr>
            <w:r w:rsidRPr="00167E05">
              <w:rPr>
                <w:noProof/>
              </w:rPr>
              <w:t>-</w:t>
            </w:r>
          </w:p>
        </w:tc>
        <w:tc>
          <w:tcPr>
            <w:tcW w:w="4721" w:type="dxa"/>
            <w:shd w:val="clear" w:color="auto" w:fill="auto"/>
          </w:tcPr>
          <w:p w14:paraId="75FBA9A3" w14:textId="77777777" w:rsidR="001A0EB0" w:rsidRPr="00167E05" w:rsidRDefault="001A0EB0" w:rsidP="006201FD">
            <w:pPr>
              <w:keepNext/>
              <w:keepLines/>
              <w:rPr>
                <w:noProof/>
              </w:rPr>
            </w:pPr>
            <w:r w:rsidRPr="00167E05">
              <w:rPr>
                <w:noProof/>
              </w:rPr>
              <w:t>Vitesse de corrosion sur des surfaces soit en acier soit en aluminium dépassant 6,25 mm par an à la température d’épreuve de 55 °C, lorsque les épreuves sont réalisées sur ces deux matériaux</w:t>
            </w:r>
          </w:p>
        </w:tc>
      </w:tr>
    </w:tbl>
    <w:p w14:paraId="088883EB" w14:textId="77777777" w:rsidR="001A0EB0" w:rsidRPr="00167E05" w:rsidRDefault="001A0EB0" w:rsidP="001A0EB0">
      <w:pPr>
        <w:spacing w:before="120" w:after="120" w:line="240" w:lineRule="auto"/>
        <w:ind w:left="1134" w:right="1134"/>
        <w:jc w:val="both"/>
        <w:rPr>
          <w:b/>
          <w:lang w:val="fr-FR"/>
        </w:rPr>
      </w:pPr>
      <w:r w:rsidRPr="00167E05">
        <w:rPr>
          <w:b/>
          <w:lang w:val="fr-FR"/>
        </w:rPr>
        <w:t xml:space="preserve">2.8.4 </w:t>
      </w:r>
      <w:r w:rsidRPr="00167E05">
        <w:rPr>
          <w:b/>
          <w:lang w:val="fr-FR"/>
        </w:rPr>
        <w:tab/>
      </w:r>
      <w:r w:rsidRPr="00167E05">
        <w:rPr>
          <w:b/>
          <w:lang w:val="fr-FR"/>
        </w:rPr>
        <w:tab/>
        <w:t>Méthodes alternatives pour l’affectation des groupes d’emballage aux mélanges - Approche par étapes</w:t>
      </w:r>
    </w:p>
    <w:p w14:paraId="78398836" w14:textId="77777777" w:rsidR="001A0EB0" w:rsidRPr="00167E05" w:rsidRDefault="001A0EB0" w:rsidP="001A0EB0">
      <w:pPr>
        <w:spacing w:before="120" w:after="120" w:line="240" w:lineRule="auto"/>
        <w:ind w:left="1134" w:right="1134"/>
        <w:jc w:val="both"/>
      </w:pPr>
      <w:r w:rsidRPr="00167E05">
        <w:rPr>
          <w:bCs/>
        </w:rPr>
        <w:t xml:space="preserve">2.8.4.1 </w:t>
      </w:r>
      <w:r w:rsidRPr="00167E05">
        <w:rPr>
          <w:bCs/>
        </w:rPr>
        <w:tab/>
      </w:r>
      <w:r w:rsidRPr="00167E05">
        <w:rPr>
          <w:i/>
        </w:rPr>
        <w:t>Dispositions générales</w:t>
      </w:r>
    </w:p>
    <w:p w14:paraId="522B8883" w14:textId="3FA0DA38" w:rsidR="001A0EB0" w:rsidRDefault="001A0EB0" w:rsidP="001A0EB0">
      <w:pPr>
        <w:spacing w:before="120" w:after="120" w:line="240" w:lineRule="auto"/>
        <w:ind w:left="1134" w:right="1134"/>
        <w:jc w:val="both"/>
        <w:rPr>
          <w:lang w:val="fr-FR"/>
        </w:rPr>
      </w:pPr>
      <w:r w:rsidRPr="00167E05">
        <w:t xml:space="preserve">2.8.4.1.1 </w:t>
      </w:r>
      <w:r w:rsidRPr="00167E05">
        <w:tab/>
      </w:r>
      <w:r w:rsidRPr="00167E05">
        <w:rPr>
          <w:lang w:val="fr-FR"/>
        </w:rPr>
        <w:t xml:space="preserve">Pour la classification des mélanges et pour leur affectation à un groupe d’emballage, il faut obtenir ou interpréter des informations qui permettent d’appliquer les critères. Dans la classification et l’affectation des groupes d’emballage on procède par étapes en fonction des informations disponibles pour le mélange comme tel, pour des mélanges </w:t>
      </w:r>
      <w:r w:rsidRPr="008E3896">
        <w:rPr>
          <w:lang w:val="fr-FR"/>
        </w:rPr>
        <w:t xml:space="preserve">similaires </w:t>
      </w:r>
      <w:r w:rsidR="008E517B" w:rsidRPr="008E3896">
        <w:rPr>
          <w:lang w:val="fr-FR"/>
        </w:rPr>
        <w:t xml:space="preserve">ou </w:t>
      </w:r>
      <w:r w:rsidRPr="008E3896">
        <w:rPr>
          <w:lang w:val="fr-FR"/>
        </w:rPr>
        <w:t>pour ses composants. Le processus est représenté de façon schématique</w:t>
      </w:r>
      <w:r w:rsidRPr="00167E05">
        <w:rPr>
          <w:lang w:val="fr-FR"/>
        </w:rPr>
        <w:t xml:space="preserve"> dans la figure 2.8.4.1.</w:t>
      </w:r>
    </w:p>
    <w:p w14:paraId="76CF8CD1" w14:textId="77777777" w:rsidR="00DE1D7B" w:rsidRDefault="00DE1D7B">
      <w:pPr>
        <w:suppressAutoHyphens w:val="0"/>
        <w:spacing w:line="240" w:lineRule="auto"/>
        <w:rPr>
          <w:b/>
        </w:rPr>
      </w:pPr>
      <w:r>
        <w:rPr>
          <w:b/>
        </w:rPr>
        <w:br w:type="page"/>
      </w:r>
    </w:p>
    <w:p w14:paraId="6B20DE08" w14:textId="4C691821" w:rsidR="001A0EB0" w:rsidRDefault="001A0EB0" w:rsidP="001A0EB0">
      <w:pPr>
        <w:spacing w:before="120" w:after="120" w:line="240" w:lineRule="auto"/>
        <w:ind w:left="1134" w:right="1134"/>
        <w:jc w:val="center"/>
        <w:rPr>
          <w:b/>
        </w:rPr>
      </w:pPr>
      <w:r w:rsidRPr="00167E05">
        <w:rPr>
          <w:b/>
        </w:rPr>
        <w:lastRenderedPageBreak/>
        <w:t>Figure 2.8.4.1: Approche par étapes pour la classification et l’affectation de mélanges corrosifs aux groupes d’emballage</w:t>
      </w:r>
    </w:p>
    <w:p w14:paraId="66F2CDF1" w14:textId="77777777" w:rsidR="001A0EB0" w:rsidRDefault="001A0EB0" w:rsidP="001A0EB0">
      <w:pPr>
        <w:spacing w:before="120" w:after="120" w:line="240" w:lineRule="auto"/>
        <w:ind w:left="1134" w:right="1134"/>
        <w:jc w:val="center"/>
        <w:rPr>
          <w:b/>
        </w:rPr>
      </w:pPr>
      <w:r w:rsidRPr="00EF2646">
        <w:rPr>
          <w:b/>
          <w:noProof/>
          <w:lang w:val="en-GB" w:eastAsia="en-GB"/>
        </w:rPr>
        <mc:AlternateContent>
          <mc:Choice Requires="wpg">
            <w:drawing>
              <wp:inline distT="0" distB="0" distL="0" distR="0" wp14:anchorId="4369EC6F" wp14:editId="3AD8DC84">
                <wp:extent cx="5342965" cy="2184400"/>
                <wp:effectExtent l="0" t="0" r="10160" b="25400"/>
                <wp:docPr id="25" name="Groep 2"/>
                <wp:cNvGraphicFramePr/>
                <a:graphic xmlns:a="http://schemas.openxmlformats.org/drawingml/2006/main">
                  <a:graphicData uri="http://schemas.microsoft.com/office/word/2010/wordprocessingGroup">
                    <wpg:wgp>
                      <wpg:cNvGrpSpPr/>
                      <wpg:grpSpPr>
                        <a:xfrm>
                          <a:off x="0" y="0"/>
                          <a:ext cx="5342965" cy="2184400"/>
                          <a:chOff x="0" y="1"/>
                          <a:chExt cx="5342965" cy="2184400"/>
                        </a:xfrm>
                      </wpg:grpSpPr>
                      <wpg:grpSp>
                        <wpg:cNvPr id="26" name="Groep 4"/>
                        <wpg:cNvGrpSpPr/>
                        <wpg:grpSpPr>
                          <a:xfrm>
                            <a:off x="0" y="1"/>
                            <a:ext cx="5342965" cy="2184400"/>
                            <a:chOff x="0" y="1"/>
                            <a:chExt cx="5343273" cy="2184471"/>
                          </a:xfrm>
                        </wpg:grpSpPr>
                        <wps:wsp>
                          <wps:cNvPr id="27" name="Rechthoek 60"/>
                          <wps:cNvSpPr/>
                          <wps:spPr>
                            <a:xfrm>
                              <a:off x="0" y="1"/>
                              <a:ext cx="5328592" cy="2184471"/>
                            </a:xfrm>
                            <a:prstGeom prst="rect">
                              <a:avLst/>
                            </a:prstGeom>
                            <a:noFill/>
                            <a:ln w="9525" cap="flat" cmpd="sng" algn="ctr">
                              <a:solidFill>
                                <a:sysClr val="windowText" lastClr="000000"/>
                              </a:solidFill>
                              <a:prstDash val="solid"/>
                            </a:ln>
                            <a:effectLst/>
                          </wps:spPr>
                          <wps:bodyPr rtlCol="0" anchor="ctr"/>
                        </wps:wsp>
                        <wps:wsp>
                          <wps:cNvPr id="28" name="Tekstvak 9"/>
                          <wps:cNvSpPr txBox="1"/>
                          <wps:spPr>
                            <a:xfrm>
                              <a:off x="937260" y="525710"/>
                              <a:ext cx="431825" cy="243848"/>
                            </a:xfrm>
                            <a:prstGeom prst="rect">
                              <a:avLst/>
                            </a:prstGeom>
                            <a:noFill/>
                          </wps:spPr>
                          <wps:txbx>
                            <w:txbxContent>
                              <w:p w14:paraId="2F514AF0" w14:textId="77777777" w:rsidR="001218B6" w:rsidRPr="00BD6247" w:rsidRDefault="001218B6" w:rsidP="001A0EB0">
                                <w:pPr>
                                  <w:pStyle w:val="NormalWeb"/>
                                  <w:rPr>
                                    <w:lang w:val="fr-CH"/>
                                  </w:rPr>
                                </w:pPr>
                                <w:r>
                                  <w:rPr>
                                    <w:rFonts w:eastAsia="+mn-ea"/>
                                    <w:color w:val="000000"/>
                                    <w:kern w:val="24"/>
                                    <w:sz w:val="20"/>
                                    <w:szCs w:val="20"/>
                                    <w:lang w:val="fr-CH"/>
                                  </w:rPr>
                                  <w:t>Non</w:t>
                                </w:r>
                              </w:p>
                            </w:txbxContent>
                          </wps:txbx>
                          <wps:bodyPr wrap="square" rtlCol="0">
                            <a:spAutoFit/>
                          </wps:bodyPr>
                        </wps:wsp>
                        <wps:wsp>
                          <wps:cNvPr id="29" name="Tekstvak 16"/>
                          <wps:cNvSpPr txBox="1"/>
                          <wps:spPr>
                            <a:xfrm>
                              <a:off x="38095" y="769558"/>
                              <a:ext cx="1799694" cy="652889"/>
                            </a:xfrm>
                            <a:prstGeom prst="rect">
                              <a:avLst/>
                            </a:prstGeom>
                            <a:noFill/>
                          </wps:spPr>
                          <wps:txbx>
                            <w:txbxContent>
                              <w:p w14:paraId="17DB0C88" w14:textId="389C7D3C" w:rsidR="001218B6" w:rsidRPr="00DD2442" w:rsidRDefault="001218B6" w:rsidP="00DD2442">
                                <w:pPr>
                                  <w:pStyle w:val="NormalWeb"/>
                                  <w:spacing w:line="240" w:lineRule="auto"/>
                                  <w:jc w:val="center"/>
                                  <w:rPr>
                                    <w:sz w:val="18"/>
                                    <w:szCs w:val="18"/>
                                    <w:lang w:val="fr-CH"/>
                                  </w:rPr>
                                </w:pPr>
                                <w:r w:rsidRPr="00DD2442">
                                  <w:rPr>
                                    <w:rFonts w:eastAsia="+mn-ea"/>
                                    <w:color w:val="000000"/>
                                    <w:kern w:val="24"/>
                                    <w:sz w:val="18"/>
                                    <w:szCs w:val="18"/>
                                    <w:lang w:val="fr-CH"/>
                                  </w:rPr>
                                  <w:t>Suffisamment de données disponibles pour des mélanges simil</w:t>
                                </w:r>
                                <w:r>
                                  <w:rPr>
                                    <w:rFonts w:eastAsia="+mn-ea"/>
                                    <w:color w:val="000000"/>
                                    <w:kern w:val="24"/>
                                    <w:sz w:val="18"/>
                                    <w:szCs w:val="18"/>
                                    <w:lang w:val="fr-CH"/>
                                  </w:rPr>
                                  <w:t>aires pour évaluer la corrosion</w:t>
                                </w:r>
                                <w:r w:rsidRPr="00DD2442">
                                  <w:rPr>
                                    <w:rFonts w:eastAsia="+mn-ea"/>
                                    <w:color w:val="000000"/>
                                    <w:kern w:val="24"/>
                                    <w:sz w:val="18"/>
                                    <w:szCs w:val="18"/>
                                    <w:lang w:val="fr-CH"/>
                                  </w:rPr>
                                  <w:t xml:space="preserve"> cutanée</w:t>
                                </w:r>
                              </w:p>
                            </w:txbxContent>
                          </wps:txbx>
                          <wps:bodyPr wrap="square" rtlCol="0">
                            <a:noAutofit/>
                          </wps:bodyPr>
                        </wps:wsp>
                        <wps:wsp>
                          <wps:cNvPr id="30" name="Tekstvak 17"/>
                          <wps:cNvSpPr txBox="1"/>
                          <wps:spPr>
                            <a:xfrm>
                              <a:off x="38092" y="1652960"/>
                              <a:ext cx="1799694" cy="485791"/>
                            </a:xfrm>
                            <a:prstGeom prst="rect">
                              <a:avLst/>
                            </a:prstGeom>
                            <a:noFill/>
                          </wps:spPr>
                          <wps:txbx>
                            <w:txbxContent>
                              <w:p w14:paraId="49B7F518" w14:textId="64F1E485" w:rsidR="001218B6" w:rsidRPr="00DD2442" w:rsidRDefault="001218B6" w:rsidP="00DD2442">
                                <w:pPr>
                                  <w:pStyle w:val="NormalWeb"/>
                                  <w:spacing w:line="240" w:lineRule="auto"/>
                                  <w:jc w:val="center"/>
                                  <w:rPr>
                                    <w:sz w:val="18"/>
                                    <w:szCs w:val="18"/>
                                    <w:lang w:val="fr-FR"/>
                                  </w:rPr>
                                </w:pPr>
                                <w:r w:rsidRPr="00DD2442">
                                  <w:rPr>
                                    <w:rFonts w:eastAsia="+mn-ea"/>
                                    <w:color w:val="000000"/>
                                    <w:kern w:val="24"/>
                                    <w:sz w:val="18"/>
                                    <w:szCs w:val="18"/>
                                    <w:lang w:val="fr-FR"/>
                                  </w:rPr>
                                  <w:t xml:space="preserve">Données sur la </w:t>
                                </w:r>
                                <w:r>
                                  <w:rPr>
                                    <w:rFonts w:eastAsia="+mn-ea"/>
                                    <w:color w:val="000000"/>
                                    <w:kern w:val="24"/>
                                    <w:sz w:val="18"/>
                                    <w:szCs w:val="18"/>
                                    <w:lang w:val="fr-FR"/>
                                  </w:rPr>
                                  <w:t>corrosion</w:t>
                                </w:r>
                                <w:r w:rsidRPr="00DD2442">
                                  <w:rPr>
                                    <w:rFonts w:eastAsia="+mn-ea"/>
                                    <w:color w:val="000000"/>
                                    <w:kern w:val="24"/>
                                    <w:sz w:val="18"/>
                                    <w:szCs w:val="18"/>
                                    <w:lang w:val="fr-FR"/>
                                  </w:rPr>
                                  <w:t xml:space="preserve"> cutanée disponibles pour tous les composants</w:t>
                                </w:r>
                              </w:p>
                            </w:txbxContent>
                          </wps:txbx>
                          <wps:bodyPr wrap="square" rtlCol="0">
                            <a:spAutoFit/>
                          </wps:bodyPr>
                        </wps:wsp>
                        <wpg:grpSp>
                          <wpg:cNvPr id="34" name="Groep 20"/>
                          <wpg:cNvGrpSpPr/>
                          <wpg:grpSpPr>
                            <a:xfrm>
                              <a:off x="952474" y="1363268"/>
                              <a:ext cx="431825" cy="353777"/>
                              <a:chOff x="936078" y="1364244"/>
                              <a:chExt cx="431825" cy="353811"/>
                            </a:xfrm>
                          </wpg:grpSpPr>
                          <wps:wsp>
                            <wps:cNvPr id="36" name="Tekstvak 18"/>
                            <wps:cNvSpPr txBox="1"/>
                            <wps:spPr>
                              <a:xfrm>
                                <a:off x="936078" y="1364244"/>
                                <a:ext cx="431825" cy="243871"/>
                              </a:xfrm>
                              <a:prstGeom prst="rect">
                                <a:avLst/>
                              </a:prstGeom>
                              <a:noFill/>
                            </wps:spPr>
                            <wps:txbx>
                              <w:txbxContent>
                                <w:p w14:paraId="607162ED" w14:textId="7AB86B1F" w:rsidR="001218B6" w:rsidRDefault="001218B6" w:rsidP="001A0EB0">
                                  <w:pPr>
                                    <w:pStyle w:val="NormalWeb"/>
                                  </w:pPr>
                                  <w:r>
                                    <w:rPr>
                                      <w:color w:val="000000" w:themeColor="text1"/>
                                      <w:kern w:val="24"/>
                                      <w:sz w:val="20"/>
                                      <w:szCs w:val="20"/>
                                    </w:rPr>
                                    <w:t>Non</w:t>
                                  </w:r>
                                </w:p>
                              </w:txbxContent>
                            </wps:txbx>
                            <wps:bodyPr wrap="square" rtlCol="0">
                              <a:spAutoFit/>
                            </wps:bodyPr>
                          </wps:wsp>
                          <wps:wsp>
                            <wps:cNvPr id="38" name="Rechte verbindingslijn met pijl 15"/>
                            <wps:cNvCnPr/>
                            <wps:spPr>
                              <a:xfrm>
                                <a:off x="936104" y="1460220"/>
                                <a:ext cx="0" cy="257835"/>
                              </a:xfrm>
                              <a:prstGeom prst="straightConnector1">
                                <a:avLst/>
                              </a:prstGeom>
                              <a:noFill/>
                              <a:ln w="12700" cap="flat" cmpd="sng" algn="ctr">
                                <a:solidFill>
                                  <a:sysClr val="windowText" lastClr="000000"/>
                                </a:solidFill>
                                <a:prstDash val="solid"/>
                                <a:tailEnd type="arrow"/>
                              </a:ln>
                              <a:effectLst/>
                            </wps:spPr>
                            <wps:bodyPr/>
                          </wps:wsp>
                        </wpg:grpSp>
                        <wps:wsp>
                          <wps:cNvPr id="42" name="Tekstvak 23"/>
                          <wps:cNvSpPr txBox="1"/>
                          <wps:spPr>
                            <a:xfrm>
                              <a:off x="1729692" y="830146"/>
                              <a:ext cx="431825" cy="243848"/>
                            </a:xfrm>
                            <a:prstGeom prst="rect">
                              <a:avLst/>
                            </a:prstGeom>
                            <a:noFill/>
                          </wps:spPr>
                          <wps:txbx>
                            <w:txbxContent>
                              <w:p w14:paraId="37E4AD5C" w14:textId="3A965DDA" w:rsidR="001218B6" w:rsidRDefault="001218B6" w:rsidP="001A0EB0">
                                <w:pPr>
                                  <w:pStyle w:val="NormalWeb"/>
                                  <w:jc w:val="center"/>
                                </w:pPr>
                                <w:proofErr w:type="spellStart"/>
                                <w:r>
                                  <w:rPr>
                                    <w:rFonts w:eastAsia="+mn-ea"/>
                                    <w:color w:val="000000"/>
                                    <w:kern w:val="24"/>
                                    <w:sz w:val="20"/>
                                    <w:szCs w:val="20"/>
                                  </w:rPr>
                                  <w:t>Oui</w:t>
                                </w:r>
                                <w:proofErr w:type="spellEnd"/>
                              </w:p>
                            </w:txbxContent>
                          </wps:txbx>
                          <wps:bodyPr wrap="square" rtlCol="0">
                            <a:spAutoFit/>
                          </wps:bodyPr>
                        </wps:wsp>
                        <wps:wsp>
                          <wps:cNvPr id="43" name="Tekstvak 31"/>
                          <wps:cNvSpPr txBox="1"/>
                          <wps:spPr>
                            <a:xfrm>
                              <a:off x="1729692" y="1645057"/>
                              <a:ext cx="431825" cy="243848"/>
                            </a:xfrm>
                            <a:prstGeom prst="rect">
                              <a:avLst/>
                            </a:prstGeom>
                            <a:noFill/>
                          </wps:spPr>
                          <wps:txbx>
                            <w:txbxContent>
                              <w:p w14:paraId="2D301692" w14:textId="6226328F" w:rsidR="001218B6" w:rsidRDefault="001218B6" w:rsidP="001A0EB0">
                                <w:pPr>
                                  <w:pStyle w:val="NormalWeb"/>
                                  <w:jc w:val="center"/>
                                </w:pPr>
                                <w:proofErr w:type="spellStart"/>
                                <w:r>
                                  <w:rPr>
                                    <w:rFonts w:eastAsia="+mn-ea"/>
                                    <w:color w:val="000000"/>
                                    <w:kern w:val="24"/>
                                    <w:sz w:val="20"/>
                                    <w:szCs w:val="20"/>
                                  </w:rPr>
                                  <w:t>Oui</w:t>
                                </w:r>
                                <w:proofErr w:type="spellEnd"/>
                              </w:p>
                            </w:txbxContent>
                          </wps:txbx>
                          <wps:bodyPr wrap="square" rtlCol="0">
                            <a:spAutoFit/>
                          </wps:bodyPr>
                        </wps:wsp>
                        <wps:wsp>
                          <wps:cNvPr id="44" name="Tekstvak 32"/>
                          <wps:cNvSpPr txBox="1"/>
                          <wps:spPr>
                            <a:xfrm>
                              <a:off x="2164020" y="860610"/>
                              <a:ext cx="1583781" cy="396253"/>
                            </a:xfrm>
                            <a:prstGeom prst="rect">
                              <a:avLst/>
                            </a:prstGeom>
                            <a:noFill/>
                          </wps:spPr>
                          <wps:txbx>
                            <w:txbxContent>
                              <w:p w14:paraId="017337EB" w14:textId="354F4750" w:rsidR="001218B6" w:rsidRPr="00DD2442" w:rsidRDefault="001218B6" w:rsidP="001A0EB0">
                                <w:pPr>
                                  <w:pStyle w:val="NormalWeb"/>
                                  <w:jc w:val="center"/>
                                  <w:rPr>
                                    <w:sz w:val="18"/>
                                    <w:szCs w:val="18"/>
                                    <w:lang w:val="fr-FR"/>
                                  </w:rPr>
                                </w:pPr>
                                <w:r w:rsidRPr="00DD2442">
                                  <w:rPr>
                                    <w:rFonts w:eastAsia="+mn-ea"/>
                                    <w:color w:val="000000"/>
                                    <w:kern w:val="24"/>
                                    <w:sz w:val="18"/>
                                    <w:szCs w:val="18"/>
                                    <w:lang w:val="fr-FR"/>
                                  </w:rPr>
                                  <w:t>Appliquer le principe d’extrapolation du 2.8.4.2</w:t>
                                </w:r>
                              </w:p>
                            </w:txbxContent>
                          </wps:txbx>
                          <wps:bodyPr wrap="square" rtlCol="0">
                            <a:spAutoFit/>
                          </wps:bodyPr>
                        </wps:wsp>
                        <wps:wsp>
                          <wps:cNvPr id="45" name="Tekstvak 36"/>
                          <wps:cNvSpPr txBox="1"/>
                          <wps:spPr>
                            <a:xfrm>
                              <a:off x="4320540" y="860553"/>
                              <a:ext cx="1007803" cy="266709"/>
                            </a:xfrm>
                            <a:prstGeom prst="rect">
                              <a:avLst/>
                            </a:prstGeom>
                            <a:noFill/>
                          </wps:spPr>
                          <wps:txbx>
                            <w:txbxContent>
                              <w:p w14:paraId="528B1CB7" w14:textId="77777777" w:rsidR="001218B6" w:rsidRDefault="001218B6" w:rsidP="001A0EB0">
                                <w:pPr>
                                  <w:pStyle w:val="NormalWeb"/>
                                  <w:jc w:val="center"/>
                                </w:pPr>
                              </w:p>
                            </w:txbxContent>
                          </wps:txbx>
                          <wps:bodyPr wrap="square" rtlCol="0">
                            <a:spAutoFit/>
                          </wps:bodyPr>
                        </wps:wsp>
                        <wps:wsp>
                          <wps:cNvPr id="46" name="Tekstvak 38"/>
                          <wps:cNvSpPr txBox="1"/>
                          <wps:spPr>
                            <a:xfrm>
                              <a:off x="2164020" y="1683476"/>
                              <a:ext cx="1583781" cy="396253"/>
                            </a:xfrm>
                            <a:prstGeom prst="rect">
                              <a:avLst/>
                            </a:prstGeom>
                            <a:noFill/>
                          </wps:spPr>
                          <wps:txbx>
                            <w:txbxContent>
                              <w:p w14:paraId="5976ABCC" w14:textId="293C3DC1" w:rsidR="001218B6" w:rsidRPr="00DD2442" w:rsidRDefault="001218B6" w:rsidP="001A0EB0">
                                <w:pPr>
                                  <w:pStyle w:val="NormalWeb"/>
                                  <w:jc w:val="center"/>
                                  <w:rPr>
                                    <w:sz w:val="18"/>
                                    <w:szCs w:val="18"/>
                                    <w:lang w:val="fr-FR"/>
                                  </w:rPr>
                                </w:pPr>
                                <w:r w:rsidRPr="00DD2442">
                                  <w:rPr>
                                    <w:rFonts w:eastAsia="+mn-ea"/>
                                    <w:color w:val="000000"/>
                                    <w:kern w:val="24"/>
                                    <w:sz w:val="18"/>
                                    <w:szCs w:val="18"/>
                                    <w:lang w:val="fr-FR"/>
                                  </w:rPr>
                                  <w:t>Appliquer la méthode de calcul du 2.8.4.3</w:t>
                                </w:r>
                              </w:p>
                            </w:txbxContent>
                          </wps:txbx>
                          <wps:bodyPr wrap="square" rtlCol="0">
                            <a:spAutoFit/>
                          </wps:bodyPr>
                        </wps:wsp>
                        <wps:wsp>
                          <wps:cNvPr id="47" name="Tekstvak 53"/>
                          <wps:cNvSpPr txBox="1"/>
                          <wps:spPr>
                            <a:xfrm>
                              <a:off x="38100" y="76143"/>
                              <a:ext cx="1799694" cy="396253"/>
                            </a:xfrm>
                            <a:prstGeom prst="rect">
                              <a:avLst/>
                            </a:prstGeom>
                            <a:noFill/>
                          </wps:spPr>
                          <wps:txbx>
                            <w:txbxContent>
                              <w:p w14:paraId="5CB72D44" w14:textId="77777777" w:rsidR="001218B6" w:rsidRPr="00BD6247" w:rsidRDefault="001218B6" w:rsidP="001A0EB0">
                                <w:pPr>
                                  <w:pStyle w:val="NormalWeb"/>
                                  <w:jc w:val="center"/>
                                  <w:rPr>
                                    <w:sz w:val="18"/>
                                    <w:szCs w:val="18"/>
                                    <w:lang w:val="fr-CH"/>
                                  </w:rPr>
                                </w:pPr>
                                <w:r w:rsidRPr="00BD6247">
                                  <w:rPr>
                                    <w:rFonts w:eastAsia="+mn-ea"/>
                                    <w:color w:val="000000"/>
                                    <w:kern w:val="24"/>
                                    <w:sz w:val="18"/>
                                    <w:szCs w:val="18"/>
                                    <w:lang w:val="fr-CH"/>
                                  </w:rPr>
                                  <w:t>Données d’épreuves disponibles pour l’ensemble du mélange</w:t>
                                </w:r>
                              </w:p>
                            </w:txbxContent>
                          </wps:txbx>
                          <wps:bodyPr wrap="square" rtlCol="0">
                            <a:spAutoFit/>
                          </wps:bodyPr>
                        </wps:wsp>
                        <wps:wsp>
                          <wps:cNvPr id="48" name="Tekstvak 55"/>
                          <wps:cNvSpPr txBox="1"/>
                          <wps:spPr>
                            <a:xfrm>
                              <a:off x="1729740" y="68540"/>
                              <a:ext cx="431825" cy="243848"/>
                            </a:xfrm>
                            <a:prstGeom prst="rect">
                              <a:avLst/>
                            </a:prstGeom>
                            <a:noFill/>
                          </wps:spPr>
                          <wps:txbx>
                            <w:txbxContent>
                              <w:p w14:paraId="79C83480" w14:textId="77777777" w:rsidR="001218B6" w:rsidRPr="00BD6247" w:rsidRDefault="001218B6" w:rsidP="001A0EB0">
                                <w:pPr>
                                  <w:pStyle w:val="NormalWeb"/>
                                  <w:jc w:val="center"/>
                                  <w:rPr>
                                    <w:lang w:val="fr-CH"/>
                                  </w:rPr>
                                </w:pPr>
                                <w:r>
                                  <w:rPr>
                                    <w:rFonts w:eastAsia="+mn-ea"/>
                                    <w:color w:val="000000"/>
                                    <w:kern w:val="24"/>
                                    <w:sz w:val="20"/>
                                    <w:szCs w:val="20"/>
                                    <w:lang w:val="fr-CH"/>
                                  </w:rPr>
                                  <w:t>Oui</w:t>
                                </w:r>
                              </w:p>
                            </w:txbxContent>
                          </wps:txbx>
                          <wps:bodyPr wrap="square" rtlCol="0">
                            <a:spAutoFit/>
                          </wps:bodyPr>
                        </wps:wsp>
                        <wps:wsp>
                          <wps:cNvPr id="52" name="Tekstvak 56"/>
                          <wps:cNvSpPr txBox="1"/>
                          <wps:spPr>
                            <a:xfrm>
                              <a:off x="2164080" y="182778"/>
                              <a:ext cx="1583781" cy="396253"/>
                            </a:xfrm>
                            <a:prstGeom prst="rect">
                              <a:avLst/>
                            </a:prstGeom>
                            <a:noFill/>
                          </wps:spPr>
                          <wps:txbx>
                            <w:txbxContent>
                              <w:p w14:paraId="7410A2D8" w14:textId="77777777" w:rsidR="001218B6" w:rsidRPr="00BD6247" w:rsidRDefault="001218B6" w:rsidP="001A0EB0">
                                <w:pPr>
                                  <w:pStyle w:val="NormalWeb"/>
                                  <w:jc w:val="center"/>
                                  <w:rPr>
                                    <w:color w:val="FF0000"/>
                                    <w:sz w:val="18"/>
                                    <w:szCs w:val="18"/>
                                    <w:u w:val="single"/>
                                    <w:lang w:val="fr-CH"/>
                                  </w:rPr>
                                </w:pPr>
                                <w:r w:rsidRPr="00BD6247">
                                  <w:rPr>
                                    <w:rFonts w:eastAsia="+mn-ea"/>
                                    <w:color w:val="000000"/>
                                    <w:kern w:val="24"/>
                                    <w:sz w:val="18"/>
                                    <w:szCs w:val="18"/>
                                    <w:lang w:val="fr-CH"/>
                                  </w:rPr>
                                  <w:t xml:space="preserve">Appliquer les critères de la section </w:t>
                                </w:r>
                                <w:r w:rsidRPr="00CE0721">
                                  <w:rPr>
                                    <w:rFonts w:eastAsia="+mn-ea"/>
                                    <w:kern w:val="24"/>
                                    <w:sz w:val="18"/>
                                    <w:szCs w:val="18"/>
                                    <w:lang w:val="fr-CH"/>
                                  </w:rPr>
                                  <w:t>2.8.3</w:t>
                                </w:r>
                              </w:p>
                            </w:txbxContent>
                          </wps:txbx>
                          <wps:bodyPr wrap="square" rtlCol="0">
                            <a:spAutoFit/>
                          </wps:bodyPr>
                        </wps:wsp>
                        <wps:wsp>
                          <wps:cNvPr id="53" name="Rechte verbindingslijn met pijl 57"/>
                          <wps:cNvCnPr/>
                          <wps:spPr>
                            <a:xfrm flipV="1">
                              <a:off x="3749040" y="381000"/>
                              <a:ext cx="575945" cy="1270"/>
                            </a:xfrm>
                            <a:prstGeom prst="straightConnector1">
                              <a:avLst/>
                            </a:prstGeom>
                            <a:noFill/>
                            <a:ln w="12700" cap="flat" cmpd="sng" algn="ctr">
                              <a:solidFill>
                                <a:sysClr val="windowText" lastClr="000000"/>
                              </a:solidFill>
                              <a:prstDash val="solid"/>
                              <a:tailEnd type="arrow"/>
                            </a:ln>
                            <a:effectLst/>
                          </wps:spPr>
                          <wps:bodyPr/>
                        </wps:wsp>
                        <wps:wsp>
                          <wps:cNvPr id="54" name="Tekstvak 58"/>
                          <wps:cNvSpPr txBox="1"/>
                          <wps:spPr>
                            <a:xfrm>
                              <a:off x="4320540" y="106592"/>
                              <a:ext cx="1007803" cy="617240"/>
                            </a:xfrm>
                            <a:prstGeom prst="rect">
                              <a:avLst/>
                            </a:prstGeom>
                            <a:noFill/>
                          </wps:spPr>
                          <wps:txbx>
                            <w:txbxContent>
                              <w:p w14:paraId="7AB26D83" w14:textId="77777777" w:rsidR="001218B6" w:rsidRPr="00BD6247" w:rsidRDefault="001218B6" w:rsidP="001A0EB0">
                                <w:pPr>
                                  <w:pStyle w:val="NormalWeb"/>
                                  <w:spacing w:line="240" w:lineRule="auto"/>
                                  <w:jc w:val="center"/>
                                  <w:rPr>
                                    <w:sz w:val="18"/>
                                    <w:szCs w:val="18"/>
                                    <w:lang w:val="fr-CH"/>
                                  </w:rPr>
                                </w:pPr>
                                <w:r w:rsidRPr="00BD6247">
                                  <w:rPr>
                                    <w:rFonts w:eastAsia="+mn-ea"/>
                                    <w:b/>
                                    <w:bCs/>
                                    <w:color w:val="000000"/>
                                    <w:kern w:val="24"/>
                                    <w:sz w:val="18"/>
                                    <w:szCs w:val="18"/>
                                    <w:lang w:val="fr-CH"/>
                                  </w:rPr>
                                  <w:t>Classer et affecter à un groupe d’emballage</w:t>
                                </w:r>
                              </w:p>
                            </w:txbxContent>
                          </wps:txbx>
                          <wps:bodyPr wrap="square" rtlCol="0">
                            <a:spAutoFit/>
                          </wps:bodyPr>
                        </wps:wsp>
                        <wps:wsp>
                          <wps:cNvPr id="55" name="Tekstvak 58"/>
                          <wps:cNvSpPr txBox="1"/>
                          <wps:spPr>
                            <a:xfrm>
                              <a:off x="4335470" y="872068"/>
                              <a:ext cx="1007803" cy="617240"/>
                            </a:xfrm>
                            <a:prstGeom prst="rect">
                              <a:avLst/>
                            </a:prstGeom>
                            <a:noFill/>
                          </wps:spPr>
                          <wps:txbx>
                            <w:txbxContent>
                              <w:p w14:paraId="2DE19915" w14:textId="77777777" w:rsidR="001218B6" w:rsidRPr="00BD6247" w:rsidRDefault="001218B6" w:rsidP="001A0EB0">
                                <w:pPr>
                                  <w:pStyle w:val="NormalWeb"/>
                                  <w:spacing w:line="240" w:lineRule="auto"/>
                                  <w:jc w:val="center"/>
                                  <w:rPr>
                                    <w:sz w:val="18"/>
                                    <w:szCs w:val="18"/>
                                    <w:lang w:val="fr-CH"/>
                                  </w:rPr>
                                </w:pPr>
                                <w:r w:rsidRPr="00BD6247">
                                  <w:rPr>
                                    <w:rFonts w:eastAsia="+mn-ea"/>
                                    <w:b/>
                                    <w:bCs/>
                                    <w:color w:val="000000"/>
                                    <w:kern w:val="24"/>
                                    <w:sz w:val="18"/>
                                    <w:szCs w:val="18"/>
                                    <w:lang w:val="fr-CH"/>
                                  </w:rPr>
                                  <w:t>Classer et affecter à un groupe d’emballage</w:t>
                                </w:r>
                              </w:p>
                            </w:txbxContent>
                          </wps:txbx>
                          <wps:bodyPr wrap="square" rtlCol="0">
                            <a:spAutoFit/>
                          </wps:bodyPr>
                        </wps:wsp>
                        <wps:wsp>
                          <wps:cNvPr id="56" name="Tekstvak 58"/>
                          <wps:cNvSpPr txBox="1"/>
                          <wps:spPr>
                            <a:xfrm>
                              <a:off x="4313075" y="1540161"/>
                              <a:ext cx="1007803" cy="617240"/>
                            </a:xfrm>
                            <a:prstGeom prst="rect">
                              <a:avLst/>
                            </a:prstGeom>
                            <a:noFill/>
                          </wps:spPr>
                          <wps:txbx>
                            <w:txbxContent>
                              <w:p w14:paraId="09EA3C43" w14:textId="77777777" w:rsidR="001218B6" w:rsidRPr="00BD6247" w:rsidRDefault="001218B6" w:rsidP="001A0EB0">
                                <w:pPr>
                                  <w:pStyle w:val="NormalWeb"/>
                                  <w:spacing w:line="240" w:lineRule="auto"/>
                                  <w:jc w:val="center"/>
                                  <w:rPr>
                                    <w:sz w:val="18"/>
                                    <w:szCs w:val="18"/>
                                    <w:lang w:val="fr-CH"/>
                                  </w:rPr>
                                </w:pPr>
                                <w:r w:rsidRPr="00BD6247">
                                  <w:rPr>
                                    <w:rFonts w:eastAsia="+mn-ea"/>
                                    <w:b/>
                                    <w:bCs/>
                                    <w:color w:val="000000"/>
                                    <w:kern w:val="24"/>
                                    <w:sz w:val="18"/>
                                    <w:szCs w:val="18"/>
                                    <w:lang w:val="fr-CH"/>
                                  </w:rPr>
                                  <w:t>Classer et affecter à un groupe d’emballage</w:t>
                                </w:r>
                              </w:p>
                            </w:txbxContent>
                          </wps:txbx>
                          <wps:bodyPr wrap="square" rtlCol="0">
                            <a:spAutoFit/>
                          </wps:bodyPr>
                        </wps:wsp>
                      </wpg:grpSp>
                      <wps:wsp>
                        <wps:cNvPr id="57" name="Rechte verbindingslijn met pijl 7"/>
                        <wps:cNvCnPr/>
                        <wps:spPr>
                          <a:xfrm>
                            <a:off x="952500" y="525780"/>
                            <a:ext cx="0" cy="257810"/>
                          </a:xfrm>
                          <a:prstGeom prst="straightConnector1">
                            <a:avLst/>
                          </a:prstGeom>
                          <a:noFill/>
                          <a:ln w="12700" cap="flat" cmpd="sng" algn="ctr">
                            <a:solidFill>
                              <a:sysClr val="windowText" lastClr="000000"/>
                            </a:solidFill>
                            <a:prstDash val="solid"/>
                            <a:tailEnd type="arrow"/>
                          </a:ln>
                          <a:effectLst/>
                        </wps:spPr>
                        <wps:bodyPr/>
                      </wps:wsp>
                      <wps:wsp>
                        <wps:cNvPr id="58" name="Rechte verbindingslijn met pijl 22"/>
                        <wps:cNvCnPr/>
                        <wps:spPr>
                          <a:xfrm>
                            <a:off x="1836420" y="1143000"/>
                            <a:ext cx="323850" cy="0"/>
                          </a:xfrm>
                          <a:prstGeom prst="straightConnector1">
                            <a:avLst/>
                          </a:prstGeom>
                          <a:noFill/>
                          <a:ln w="12700" cap="flat" cmpd="sng" algn="ctr">
                            <a:solidFill>
                              <a:sysClr val="windowText" lastClr="000000"/>
                            </a:solidFill>
                            <a:prstDash val="solid"/>
                            <a:tailEnd type="arrow"/>
                          </a:ln>
                          <a:effectLst/>
                        </wps:spPr>
                        <wps:bodyPr/>
                      </wps:wsp>
                      <wps:wsp>
                        <wps:cNvPr id="59" name="Rechte verbindingslijn met pijl 30"/>
                        <wps:cNvCnPr/>
                        <wps:spPr>
                          <a:xfrm>
                            <a:off x="1836420" y="1958340"/>
                            <a:ext cx="323850" cy="0"/>
                          </a:xfrm>
                          <a:prstGeom prst="straightConnector1">
                            <a:avLst/>
                          </a:prstGeom>
                          <a:noFill/>
                          <a:ln w="12700" cap="flat" cmpd="sng" algn="ctr">
                            <a:solidFill>
                              <a:sysClr val="windowText" lastClr="000000"/>
                            </a:solidFill>
                            <a:prstDash val="solid"/>
                            <a:tailEnd type="arrow"/>
                          </a:ln>
                          <a:effectLst/>
                        </wps:spPr>
                        <wps:bodyPr/>
                      </wps:wsp>
                      <wps:wsp>
                        <wps:cNvPr id="60" name="Rechte verbindingslijn met pijl 54"/>
                        <wps:cNvCnPr/>
                        <wps:spPr>
                          <a:xfrm>
                            <a:off x="1836420" y="381000"/>
                            <a:ext cx="323850" cy="0"/>
                          </a:xfrm>
                          <a:prstGeom prst="straightConnector1">
                            <a:avLst/>
                          </a:prstGeom>
                          <a:noFill/>
                          <a:ln w="12700" cap="flat" cmpd="sng" algn="ctr">
                            <a:solidFill>
                              <a:sysClr val="windowText" lastClr="000000"/>
                            </a:solidFill>
                            <a:prstDash val="solid"/>
                            <a:tailEnd type="arrow"/>
                          </a:ln>
                          <a:effectLst/>
                        </wps:spPr>
                        <wps:bodyPr/>
                      </wps:wsp>
                      <wps:wsp>
                        <wps:cNvPr id="61" name="Rechte verbindingslijn met pijl 34"/>
                        <wps:cNvCnPr/>
                        <wps:spPr>
                          <a:xfrm>
                            <a:off x="3749040" y="1143000"/>
                            <a:ext cx="575945" cy="0"/>
                          </a:xfrm>
                          <a:prstGeom prst="straightConnector1">
                            <a:avLst/>
                          </a:prstGeom>
                          <a:noFill/>
                          <a:ln w="12700" cap="flat" cmpd="sng" algn="ctr">
                            <a:solidFill>
                              <a:sysClr val="windowText" lastClr="000000"/>
                            </a:solidFill>
                            <a:prstDash val="solid"/>
                            <a:tailEnd type="arrow"/>
                          </a:ln>
                          <a:effectLst/>
                        </wps:spPr>
                        <wps:bodyPr/>
                      </wps:wsp>
                      <wps:wsp>
                        <wps:cNvPr id="62" name="Rechte verbindingslijn met pijl 39"/>
                        <wps:cNvCnPr/>
                        <wps:spPr>
                          <a:xfrm>
                            <a:off x="3749040" y="1958340"/>
                            <a:ext cx="575945" cy="0"/>
                          </a:xfrm>
                          <a:prstGeom prst="straightConnector1">
                            <a:avLst/>
                          </a:prstGeom>
                          <a:noFill/>
                          <a:ln w="12700" cap="flat" cmpd="sng" algn="ctr">
                            <a:solidFill>
                              <a:sysClr val="windowText" lastClr="000000"/>
                            </a:solidFill>
                            <a:prstDash val="solid"/>
                            <a:tailEnd type="arrow"/>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group w14:anchorId="4369EC6F" id="Groep 2" o:spid="_x0000_s1026" style="width:420.7pt;height:172pt;mso-position-horizontal-relative:char;mso-position-vertical-relative:line" coordorigin="" coordsize="53429,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">
                <v:group id="Groep 4" o:spid="_x0000_s1027" style="position:absolute;width:53429;height:21844" coordorigin="" coordsize="53432,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hthoek 60" o:spid="_x0000_s1028" style="position:absolute;width:53285;height:21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" filled="f" strokecolor="windowText"/>
                  <v:shapetype id="_x0000_t202" coordsize="21600,21600" o:spt="202" path="m,l,21600r21600,l21600,xe">
                    <v:stroke joinstyle="miter"/>
                    <v:path gradientshapeok="t" o:connecttype="rect"/>
                  </v:shapetype>
                  <v:shape id="Tekstvak 9" o:spid="_x0000_s1029" type="#_x0000_t202" style="position:absolute;left:9372;top:5257;width:431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2F514AF0" w14:textId="77777777" w:rsidR="001218B6" w:rsidRPr="00BD6247" w:rsidRDefault="001218B6" w:rsidP="001A0EB0">
                          <w:pPr>
                            <w:pStyle w:val="NormalWeb"/>
                            <w:rPr>
                              <w:lang w:val="fr-CH"/>
                            </w:rPr>
                          </w:pPr>
                          <w:r>
                            <w:rPr>
                              <w:rFonts w:eastAsia="+mn-ea"/>
                              <w:color w:val="000000"/>
                              <w:kern w:val="24"/>
                              <w:sz w:val="20"/>
                              <w:szCs w:val="20"/>
                              <w:lang w:val="fr-CH"/>
                            </w:rPr>
                            <w:t>Non</w:t>
                          </w:r>
                        </w:p>
                      </w:txbxContent>
                    </v:textbox>
                  </v:shape>
                  <v:shape id="Tekstvak 16" o:spid="_x0000_s1030" type="#_x0000_t202" style="position:absolute;left:380;top:7695;width:17997;height:6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7DB0C88" w14:textId="389C7D3C" w:rsidR="001218B6" w:rsidRPr="00DD2442" w:rsidRDefault="001218B6" w:rsidP="00DD2442">
                          <w:pPr>
                            <w:pStyle w:val="NormalWeb"/>
                            <w:spacing w:line="240" w:lineRule="auto"/>
                            <w:jc w:val="center"/>
                            <w:rPr>
                              <w:sz w:val="18"/>
                              <w:szCs w:val="18"/>
                              <w:lang w:val="fr-CH"/>
                            </w:rPr>
                          </w:pPr>
                          <w:r w:rsidRPr="00DD2442">
                            <w:rPr>
                              <w:rFonts w:eastAsia="+mn-ea"/>
                              <w:color w:val="000000"/>
                              <w:kern w:val="24"/>
                              <w:sz w:val="18"/>
                              <w:szCs w:val="18"/>
                              <w:lang w:val="fr-CH"/>
                            </w:rPr>
                            <w:t>Suffisamment de données disponibles pour des mélanges simil</w:t>
                          </w:r>
                          <w:r>
                            <w:rPr>
                              <w:rFonts w:eastAsia="+mn-ea"/>
                              <w:color w:val="000000"/>
                              <w:kern w:val="24"/>
                              <w:sz w:val="18"/>
                              <w:szCs w:val="18"/>
                              <w:lang w:val="fr-CH"/>
                            </w:rPr>
                            <w:t>aires pour évaluer la corrosion</w:t>
                          </w:r>
                          <w:r w:rsidRPr="00DD2442">
                            <w:rPr>
                              <w:rFonts w:eastAsia="+mn-ea"/>
                              <w:color w:val="000000"/>
                              <w:kern w:val="24"/>
                              <w:sz w:val="18"/>
                              <w:szCs w:val="18"/>
                              <w:lang w:val="fr-CH"/>
                            </w:rPr>
                            <w:t xml:space="preserve"> cutanée</w:t>
                          </w:r>
                        </w:p>
                      </w:txbxContent>
                    </v:textbox>
                  </v:shape>
                  <v:shape id="Tekstvak 17" o:spid="_x0000_s1031" type="#_x0000_t202" style="position:absolute;left:380;top:16529;width:1799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49B7F518" w14:textId="64F1E485" w:rsidR="001218B6" w:rsidRPr="00DD2442" w:rsidRDefault="001218B6" w:rsidP="00DD2442">
                          <w:pPr>
                            <w:pStyle w:val="NormalWeb"/>
                            <w:spacing w:line="240" w:lineRule="auto"/>
                            <w:jc w:val="center"/>
                            <w:rPr>
                              <w:sz w:val="18"/>
                              <w:szCs w:val="18"/>
                              <w:lang w:val="fr-FR"/>
                            </w:rPr>
                          </w:pPr>
                          <w:r w:rsidRPr="00DD2442">
                            <w:rPr>
                              <w:rFonts w:eastAsia="+mn-ea"/>
                              <w:color w:val="000000"/>
                              <w:kern w:val="24"/>
                              <w:sz w:val="18"/>
                              <w:szCs w:val="18"/>
                              <w:lang w:val="fr-FR"/>
                            </w:rPr>
                            <w:t xml:space="preserve">Données sur la </w:t>
                          </w:r>
                          <w:r>
                            <w:rPr>
                              <w:rFonts w:eastAsia="+mn-ea"/>
                              <w:color w:val="000000"/>
                              <w:kern w:val="24"/>
                              <w:sz w:val="18"/>
                              <w:szCs w:val="18"/>
                              <w:lang w:val="fr-FR"/>
                            </w:rPr>
                            <w:t>corrosion</w:t>
                          </w:r>
                          <w:r w:rsidRPr="00DD2442">
                            <w:rPr>
                              <w:rFonts w:eastAsia="+mn-ea"/>
                              <w:color w:val="000000"/>
                              <w:kern w:val="24"/>
                              <w:sz w:val="18"/>
                              <w:szCs w:val="18"/>
                              <w:lang w:val="fr-FR"/>
                            </w:rPr>
                            <w:t xml:space="preserve"> cutanée disponibles pour tous les composants</w:t>
                          </w:r>
                        </w:p>
                      </w:txbxContent>
                    </v:textbox>
                  </v:shape>
                  <v:group id="Groep 20" o:spid="_x0000_s1032" style="position:absolute;left:9524;top:13632;width:4318;height:3538" coordorigin="9360,13642" coordsize="4318,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kstvak 18" o:spid="_x0000_s1033" type="#_x0000_t202" style="position:absolute;left:9360;top:13642;width:431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607162ED" w14:textId="7AB86B1F" w:rsidR="001218B6" w:rsidRDefault="001218B6" w:rsidP="001A0EB0">
                            <w:pPr>
                              <w:pStyle w:val="NormalWeb"/>
                            </w:pPr>
                            <w:r>
                              <w:rPr>
                                <w:color w:val="000000" w:themeColor="text1"/>
                                <w:kern w:val="24"/>
                                <w:sz w:val="20"/>
                                <w:szCs w:val="20"/>
                              </w:rPr>
                              <w:t>Non</w:t>
                            </w:r>
                          </w:p>
                        </w:txbxContent>
                      </v:textbox>
                    </v:shape>
                    <v:shapetype id="_x0000_t32" coordsize="21600,21600" o:spt="32" o:oned="t" path="m,l21600,21600e" filled="f">
                      <v:path arrowok="t" fillok="f" o:connecttype="none"/>
                      <o:lock v:ext="edit" shapetype="t"/>
                    </v:shapetype>
                    <v:shape id="Rechte verbindingslijn met pijl 15" o:spid="_x0000_s1034" type="#_x0000_t32" style="position:absolute;left:9361;top:14602;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" strokecolor="windowText" strokeweight="1pt">
                      <v:stroke endarrow="open"/>
                    </v:shape>
                  </v:group>
                  <v:shape id="Tekstvak 23" o:spid="_x0000_s1035" type="#_x0000_t202" style="position:absolute;left:17296;top:8301;width:431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37E4AD5C" w14:textId="3A965DDA" w:rsidR="001218B6" w:rsidRDefault="001218B6" w:rsidP="001A0EB0">
                          <w:pPr>
                            <w:pStyle w:val="NormalWeb"/>
                            <w:jc w:val="center"/>
                          </w:pPr>
                          <w:r>
                            <w:rPr>
                              <w:rFonts w:eastAsia="+mn-ea"/>
                              <w:color w:val="000000"/>
                              <w:kern w:val="24"/>
                              <w:sz w:val="20"/>
                              <w:szCs w:val="20"/>
                            </w:rPr>
                            <w:t>Oui</w:t>
                          </w:r>
                        </w:p>
                      </w:txbxContent>
                    </v:textbox>
                  </v:shape>
                  <v:shape id="Tekstvak 31" o:spid="_x0000_s1036" type="#_x0000_t202" style="position:absolute;left:17296;top:16450;width:431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2D301692" w14:textId="6226328F" w:rsidR="001218B6" w:rsidRDefault="001218B6" w:rsidP="001A0EB0">
                          <w:pPr>
                            <w:pStyle w:val="NormalWeb"/>
                            <w:jc w:val="center"/>
                          </w:pPr>
                          <w:r>
                            <w:rPr>
                              <w:rFonts w:eastAsia="+mn-ea"/>
                              <w:color w:val="000000"/>
                              <w:kern w:val="24"/>
                              <w:sz w:val="20"/>
                              <w:szCs w:val="20"/>
                            </w:rPr>
                            <w:t>Oui</w:t>
                          </w:r>
                        </w:p>
                      </w:txbxContent>
                    </v:textbox>
                  </v:shape>
                  <v:shape id="Tekstvak 32" o:spid="_x0000_s1037" type="#_x0000_t202" style="position:absolute;left:21640;top:8606;width:1583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017337EB" w14:textId="354F4750" w:rsidR="001218B6" w:rsidRPr="00DD2442" w:rsidRDefault="001218B6" w:rsidP="001A0EB0">
                          <w:pPr>
                            <w:pStyle w:val="NormalWeb"/>
                            <w:jc w:val="center"/>
                            <w:rPr>
                              <w:sz w:val="18"/>
                              <w:szCs w:val="18"/>
                              <w:lang w:val="fr-FR"/>
                            </w:rPr>
                          </w:pPr>
                          <w:r w:rsidRPr="00DD2442">
                            <w:rPr>
                              <w:rFonts w:eastAsia="+mn-ea"/>
                              <w:color w:val="000000"/>
                              <w:kern w:val="24"/>
                              <w:sz w:val="18"/>
                              <w:szCs w:val="18"/>
                              <w:lang w:val="fr-FR"/>
                            </w:rPr>
                            <w:t>Appliquer le principe d’extrapolation du 2.8.4.2</w:t>
                          </w:r>
                        </w:p>
                      </w:txbxContent>
                    </v:textbox>
                  </v:shape>
                  <v:shape id="Tekstvak 36" o:spid="_x0000_s1038" type="#_x0000_t202" style="position:absolute;left:43205;top:8605;width:100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528B1CB7" w14:textId="77777777" w:rsidR="001218B6" w:rsidRDefault="001218B6" w:rsidP="001A0EB0">
                          <w:pPr>
                            <w:pStyle w:val="NormalWeb"/>
                            <w:jc w:val="center"/>
                          </w:pPr>
                        </w:p>
                      </w:txbxContent>
                    </v:textbox>
                  </v:shape>
                  <v:shape id="Tekstvak 38" o:spid="_x0000_s1039" type="#_x0000_t202" style="position:absolute;left:21640;top:16834;width:1583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5976ABCC" w14:textId="293C3DC1" w:rsidR="001218B6" w:rsidRPr="00DD2442" w:rsidRDefault="001218B6" w:rsidP="001A0EB0">
                          <w:pPr>
                            <w:pStyle w:val="NormalWeb"/>
                            <w:jc w:val="center"/>
                            <w:rPr>
                              <w:sz w:val="18"/>
                              <w:szCs w:val="18"/>
                              <w:lang w:val="fr-FR"/>
                            </w:rPr>
                          </w:pPr>
                          <w:r w:rsidRPr="00DD2442">
                            <w:rPr>
                              <w:rFonts w:eastAsia="+mn-ea"/>
                              <w:color w:val="000000"/>
                              <w:kern w:val="24"/>
                              <w:sz w:val="18"/>
                              <w:szCs w:val="18"/>
                              <w:lang w:val="fr-FR"/>
                            </w:rPr>
                            <w:t>Appliquer la méthode de calcul du 2.8.4.3</w:t>
                          </w:r>
                        </w:p>
                      </w:txbxContent>
                    </v:textbox>
                  </v:shape>
                  <v:shape id="Tekstvak 53" o:spid="_x0000_s1040" type="#_x0000_t202" style="position:absolute;left:381;top:761;width:1799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5CB72D44" w14:textId="77777777" w:rsidR="001218B6" w:rsidRPr="00BD6247" w:rsidRDefault="001218B6" w:rsidP="001A0EB0">
                          <w:pPr>
                            <w:pStyle w:val="NormalWeb"/>
                            <w:jc w:val="center"/>
                            <w:rPr>
                              <w:sz w:val="18"/>
                              <w:szCs w:val="18"/>
                              <w:lang w:val="fr-CH"/>
                            </w:rPr>
                          </w:pPr>
                          <w:r w:rsidRPr="00BD6247">
                            <w:rPr>
                              <w:rFonts w:eastAsia="+mn-ea"/>
                              <w:color w:val="000000"/>
                              <w:kern w:val="24"/>
                              <w:sz w:val="18"/>
                              <w:szCs w:val="18"/>
                              <w:lang w:val="fr-CH"/>
                            </w:rPr>
                            <w:t>Données d’épreuves disponibles pour l’ensemble du mélange</w:t>
                          </w:r>
                        </w:p>
                      </w:txbxContent>
                    </v:textbox>
                  </v:shape>
                  <v:shape id="Tekstvak 55" o:spid="_x0000_s1041" type="#_x0000_t202" style="position:absolute;left:17297;top:685;width:431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79C83480" w14:textId="77777777" w:rsidR="001218B6" w:rsidRPr="00BD6247" w:rsidRDefault="001218B6" w:rsidP="001A0EB0">
                          <w:pPr>
                            <w:pStyle w:val="NormalWeb"/>
                            <w:jc w:val="center"/>
                            <w:rPr>
                              <w:lang w:val="fr-CH"/>
                            </w:rPr>
                          </w:pPr>
                          <w:r>
                            <w:rPr>
                              <w:rFonts w:eastAsia="+mn-ea"/>
                              <w:color w:val="000000"/>
                              <w:kern w:val="24"/>
                              <w:sz w:val="20"/>
                              <w:szCs w:val="20"/>
                              <w:lang w:val="fr-CH"/>
                            </w:rPr>
                            <w:t>Oui</w:t>
                          </w:r>
                        </w:p>
                      </w:txbxContent>
                    </v:textbox>
                  </v:shape>
                  <v:shape id="Tekstvak 56" o:spid="_x0000_s1042" type="#_x0000_t202" style="position:absolute;left:21640;top:1827;width:1583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7410A2D8" w14:textId="77777777" w:rsidR="001218B6" w:rsidRPr="00BD6247" w:rsidRDefault="001218B6" w:rsidP="001A0EB0">
                          <w:pPr>
                            <w:pStyle w:val="NormalWeb"/>
                            <w:jc w:val="center"/>
                            <w:rPr>
                              <w:color w:val="FF0000"/>
                              <w:sz w:val="18"/>
                              <w:szCs w:val="18"/>
                              <w:u w:val="single"/>
                              <w:lang w:val="fr-CH"/>
                            </w:rPr>
                          </w:pPr>
                          <w:r w:rsidRPr="00BD6247">
                            <w:rPr>
                              <w:rFonts w:eastAsia="+mn-ea"/>
                              <w:color w:val="000000"/>
                              <w:kern w:val="24"/>
                              <w:sz w:val="18"/>
                              <w:szCs w:val="18"/>
                              <w:lang w:val="fr-CH"/>
                            </w:rPr>
                            <w:t xml:space="preserve">Appliquer les critères de la section </w:t>
                          </w:r>
                          <w:r w:rsidRPr="00CE0721">
                            <w:rPr>
                              <w:rFonts w:eastAsia="+mn-ea"/>
                              <w:kern w:val="24"/>
                              <w:sz w:val="18"/>
                              <w:szCs w:val="18"/>
                              <w:lang w:val="fr-CH"/>
                            </w:rPr>
                            <w:t>2.8.3</w:t>
                          </w:r>
                        </w:p>
                      </w:txbxContent>
                    </v:textbox>
                  </v:shape>
                  <v:shape id="Rechte verbindingslijn met pijl 57" o:spid="_x0000_s1043" type="#_x0000_t32" style="position:absolute;left:37490;top:3810;width:5759;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" strokecolor="windowText" strokeweight="1pt">
                    <v:stroke endarrow="open"/>
                  </v:shape>
                  <v:shape id="Tekstvak 58" o:spid="_x0000_s1044" type="#_x0000_t202" style="position:absolute;left:43205;top:1065;width:10078;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7AB26D83" w14:textId="77777777" w:rsidR="001218B6" w:rsidRPr="00BD6247" w:rsidRDefault="001218B6" w:rsidP="001A0EB0">
                          <w:pPr>
                            <w:pStyle w:val="NormalWeb"/>
                            <w:spacing w:line="240" w:lineRule="auto"/>
                            <w:jc w:val="center"/>
                            <w:rPr>
                              <w:sz w:val="18"/>
                              <w:szCs w:val="18"/>
                              <w:lang w:val="fr-CH"/>
                            </w:rPr>
                          </w:pPr>
                          <w:r w:rsidRPr="00BD6247">
                            <w:rPr>
                              <w:rFonts w:eastAsia="+mn-ea"/>
                              <w:b/>
                              <w:bCs/>
                              <w:color w:val="000000"/>
                              <w:kern w:val="24"/>
                              <w:sz w:val="18"/>
                              <w:szCs w:val="18"/>
                              <w:lang w:val="fr-CH"/>
                            </w:rPr>
                            <w:t>Classer et affecter à un groupe d’emballage</w:t>
                          </w:r>
                        </w:p>
                      </w:txbxContent>
                    </v:textbox>
                  </v:shape>
                  <v:shape id="Tekstvak 58" o:spid="_x0000_s1045" type="#_x0000_t202" style="position:absolute;left:43354;top:8720;width:10078;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2DE19915" w14:textId="77777777" w:rsidR="001218B6" w:rsidRPr="00BD6247" w:rsidRDefault="001218B6" w:rsidP="001A0EB0">
                          <w:pPr>
                            <w:pStyle w:val="NormalWeb"/>
                            <w:spacing w:line="240" w:lineRule="auto"/>
                            <w:jc w:val="center"/>
                            <w:rPr>
                              <w:sz w:val="18"/>
                              <w:szCs w:val="18"/>
                              <w:lang w:val="fr-CH"/>
                            </w:rPr>
                          </w:pPr>
                          <w:r w:rsidRPr="00BD6247">
                            <w:rPr>
                              <w:rFonts w:eastAsia="+mn-ea"/>
                              <w:b/>
                              <w:bCs/>
                              <w:color w:val="000000"/>
                              <w:kern w:val="24"/>
                              <w:sz w:val="18"/>
                              <w:szCs w:val="18"/>
                              <w:lang w:val="fr-CH"/>
                            </w:rPr>
                            <w:t>Classer et affecter à un groupe d’emballage</w:t>
                          </w:r>
                        </w:p>
                      </w:txbxContent>
                    </v:textbox>
                  </v:shape>
                  <v:shape id="Tekstvak 58" o:spid="_x0000_s1046" type="#_x0000_t202" style="position:absolute;left:43130;top:15401;width:10078;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09EA3C43" w14:textId="77777777" w:rsidR="001218B6" w:rsidRPr="00BD6247" w:rsidRDefault="001218B6" w:rsidP="001A0EB0">
                          <w:pPr>
                            <w:pStyle w:val="NormalWeb"/>
                            <w:spacing w:line="240" w:lineRule="auto"/>
                            <w:jc w:val="center"/>
                            <w:rPr>
                              <w:sz w:val="18"/>
                              <w:szCs w:val="18"/>
                              <w:lang w:val="fr-CH"/>
                            </w:rPr>
                          </w:pPr>
                          <w:r w:rsidRPr="00BD6247">
                            <w:rPr>
                              <w:rFonts w:eastAsia="+mn-ea"/>
                              <w:b/>
                              <w:bCs/>
                              <w:color w:val="000000"/>
                              <w:kern w:val="24"/>
                              <w:sz w:val="18"/>
                              <w:szCs w:val="18"/>
                              <w:lang w:val="fr-CH"/>
                            </w:rPr>
                            <w:t>Classer et affecter à un groupe d’emballage</w:t>
                          </w:r>
                        </w:p>
                      </w:txbxContent>
                    </v:textbox>
                  </v:shape>
                </v:group>
                <v:shape id="Rechte verbindingslijn met pijl 7" o:spid="_x0000_s1047" type="#_x0000_t32" style="position:absolute;left:9525;top:5257;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" strokecolor="windowText" strokeweight="1pt">
                  <v:stroke endarrow="open"/>
                </v:shape>
                <v:shape id="Rechte verbindingslijn met pijl 22" o:spid="_x0000_s1048" type="#_x0000_t32" style="position:absolute;left:18364;top:11430;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" strokecolor="windowText" strokeweight="1pt">
                  <v:stroke endarrow="open"/>
                </v:shape>
                <v:shape id="Rechte verbindingslijn met pijl 30" o:spid="_x0000_s1049" type="#_x0000_t32" style="position:absolute;left:18364;top:19583;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" strokecolor="windowText" strokeweight="1pt">
                  <v:stroke endarrow="open"/>
                </v:shape>
                <v:shape id="Rechte verbindingslijn met pijl 54" o:spid="_x0000_s1050" type="#_x0000_t32" style="position:absolute;left:18364;top:3810;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" strokecolor="windowText" strokeweight="1pt">
                  <v:stroke endarrow="open"/>
                </v:shape>
                <v:shape id="Rechte verbindingslijn met pijl 34" o:spid="_x0000_s1051" type="#_x0000_t32" style="position:absolute;left:37490;top:11430;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" strokecolor="windowText" strokeweight="1pt">
                  <v:stroke endarrow="open"/>
                </v:shape>
                <v:shape id="Rechte verbindingslijn met pijl 39" o:spid="_x0000_s1052" type="#_x0000_t32" style="position:absolute;left:37490;top:19583;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" strokecolor="windowText" strokeweight="1pt">
                  <v:stroke endarrow="open"/>
                </v:shape>
                <w10:anchorlock/>
              </v:group>
            </w:pict>
          </mc:Fallback>
        </mc:AlternateContent>
      </w:r>
    </w:p>
    <w:p w14:paraId="5E6D18FB" w14:textId="77777777" w:rsidR="001A0EB0" w:rsidRPr="00167E05" w:rsidRDefault="001A0EB0" w:rsidP="001A0EB0">
      <w:pPr>
        <w:spacing w:before="120" w:after="120" w:line="240" w:lineRule="auto"/>
        <w:ind w:left="1134" w:right="1134"/>
        <w:jc w:val="both"/>
        <w:rPr>
          <w:lang w:val="fr-FR"/>
        </w:rPr>
      </w:pPr>
      <w:r w:rsidRPr="00167E05">
        <w:rPr>
          <w:lang w:val="fr-FR"/>
        </w:rPr>
        <w:t>2.8.4.2</w:t>
      </w:r>
      <w:r w:rsidRPr="00167E05">
        <w:rPr>
          <w:lang w:val="fr-FR"/>
        </w:rPr>
        <w:tab/>
      </w:r>
      <w:r w:rsidRPr="00167E05">
        <w:rPr>
          <w:lang w:val="fr-FR"/>
        </w:rPr>
        <w:tab/>
      </w:r>
      <w:r w:rsidRPr="00167E05">
        <w:rPr>
          <w:i/>
          <w:lang w:val="fr-FR"/>
        </w:rPr>
        <w:t>Principe d’extrapolation</w:t>
      </w:r>
    </w:p>
    <w:p w14:paraId="1A64419C" w14:textId="049AF0B7" w:rsidR="001A0EB0" w:rsidRPr="00167E05" w:rsidRDefault="001A0EB0" w:rsidP="001A0EB0">
      <w:pPr>
        <w:spacing w:before="120" w:after="120" w:line="240" w:lineRule="auto"/>
        <w:ind w:left="1134" w:right="1134"/>
        <w:jc w:val="both"/>
        <w:rPr>
          <w:lang w:val="fr-FR"/>
        </w:rPr>
      </w:pPr>
      <w:r w:rsidRPr="00167E05">
        <w:rPr>
          <w:lang w:val="fr-FR"/>
        </w:rPr>
        <w:t>2.8.4.2.1</w:t>
      </w:r>
      <w:r w:rsidRPr="00167E05">
        <w:rPr>
          <w:lang w:val="fr-FR"/>
        </w:rPr>
        <w:tab/>
        <w:t xml:space="preserve">Lorsque le mélange lui-même n’a pas été testé pour son pouvoir corrosif pour la peau, mais que des données suffisantes autant sur les composants individuels que sur des mélanges similaires testés, permettant de classer le mélange et de lui affecter un groupe d’emballage sont disponibles, on </w:t>
      </w:r>
      <w:r w:rsidR="007D65C2">
        <w:rPr>
          <w:lang w:val="fr-FR"/>
        </w:rPr>
        <w:t>utilise</w:t>
      </w:r>
      <w:r w:rsidRPr="00167E05">
        <w:rPr>
          <w:lang w:val="fr-FR"/>
        </w:rPr>
        <w:t xml:space="preserve"> ces données à l’aide de principes d’extrapolation agréés. De cette façon, le processus de classification utilise au maximum les données disponibles afin de caractériser les dangers du mélange.</w:t>
      </w:r>
    </w:p>
    <w:p w14:paraId="1335AAC8" w14:textId="77777777" w:rsidR="001A0EB0" w:rsidRPr="001A3B50" w:rsidRDefault="001A0EB0" w:rsidP="001A0EB0">
      <w:pPr>
        <w:spacing w:before="120" w:after="120" w:line="240" w:lineRule="auto"/>
        <w:ind w:left="2268" w:right="1134"/>
        <w:jc w:val="both"/>
        <w:rPr>
          <w:lang w:val="fr-FR"/>
        </w:rPr>
      </w:pPr>
      <w:r w:rsidRPr="001A3B50">
        <w:rPr>
          <w:lang w:val="fr-FR"/>
        </w:rPr>
        <w:t>a)</w:t>
      </w:r>
      <w:r w:rsidRPr="001A3B50">
        <w:rPr>
          <w:lang w:val="fr-FR"/>
        </w:rPr>
        <w:tab/>
        <w:t>Dilution: Si un mélange testé est dilué avec un diluant qui ne répond pas aux critères de la classe 8 et qui ne modifie pas le groupe d’emballage des autres composants, le nouveau mélange dilué peut être affecté au même groupe d’emballage que le mélange initial testé;</w:t>
      </w:r>
    </w:p>
    <w:p w14:paraId="0CE57B79" w14:textId="4069C14F" w:rsidR="001A0EB0" w:rsidRPr="00806818" w:rsidRDefault="001A0EB0" w:rsidP="001A0EB0">
      <w:pPr>
        <w:spacing w:before="120" w:after="120" w:line="240" w:lineRule="auto"/>
        <w:ind w:left="2268" w:right="1134"/>
        <w:jc w:val="both"/>
        <w:rPr>
          <w:i/>
          <w:lang w:val="fr-FR"/>
        </w:rPr>
      </w:pPr>
      <w:r w:rsidRPr="00806818">
        <w:rPr>
          <w:b/>
          <w:i/>
          <w:lang w:val="fr-FR"/>
        </w:rPr>
        <w:t>NOTA:</w:t>
      </w:r>
      <w:r w:rsidRPr="00806818">
        <w:rPr>
          <w:i/>
          <w:lang w:val="fr-FR"/>
        </w:rPr>
        <w:t xml:space="preserve"> </w:t>
      </w:r>
      <w:r w:rsidRPr="00806818">
        <w:rPr>
          <w:i/>
          <w:lang w:val="fr-FR"/>
        </w:rPr>
        <w:tab/>
        <w:t xml:space="preserve">Dans certains cas, le fait de diluer un mélange ou une matière peut entrainer une augmentation des propriétés de corrosivité. Dans ce cas, </w:t>
      </w:r>
      <w:r w:rsidR="003F59CB">
        <w:rPr>
          <w:i/>
          <w:lang w:val="fr-FR"/>
        </w:rPr>
        <w:t>ce</w:t>
      </w:r>
      <w:r w:rsidRPr="00806818">
        <w:rPr>
          <w:i/>
          <w:lang w:val="fr-FR"/>
        </w:rPr>
        <w:t xml:space="preserve"> principe d’extrapolation ne peut être utilisé.</w:t>
      </w:r>
    </w:p>
    <w:p w14:paraId="5ABE8901" w14:textId="5DABAEE5" w:rsidR="001A0EB0" w:rsidRPr="001A3B50" w:rsidRDefault="001A0EB0" w:rsidP="001A0EB0">
      <w:pPr>
        <w:spacing w:before="120" w:after="120" w:line="240" w:lineRule="auto"/>
        <w:ind w:left="2268" w:right="1134"/>
        <w:jc w:val="both"/>
        <w:rPr>
          <w:lang w:val="fr-FR"/>
        </w:rPr>
      </w:pPr>
      <w:r w:rsidRPr="001A3B50">
        <w:rPr>
          <w:lang w:val="fr-FR"/>
        </w:rPr>
        <w:t>b)</w:t>
      </w:r>
      <w:r w:rsidRPr="001A3B50">
        <w:rPr>
          <w:lang w:val="fr-FR"/>
        </w:rPr>
        <w:tab/>
        <w:t>Caractéristiques du lot de fabrication: Le pouvoir corrosif pour la peau d’un lot testé de production d’un mélange peut être con</w:t>
      </w:r>
      <w:r w:rsidR="00806818" w:rsidRPr="001A3B50">
        <w:rPr>
          <w:lang w:val="fr-FR"/>
        </w:rPr>
        <w:t xml:space="preserve">sidéré comme substantiellement </w:t>
      </w:r>
      <w:r w:rsidRPr="001A3B50">
        <w:rPr>
          <w:lang w:val="fr-FR"/>
        </w:rPr>
        <w:t>équivalent à celui d’un lot non testé du même produit commercial, lorsqu’il est produit par ou sous le contrôle du même fabricant, sauf s’il y a une raison de croire qu’il existe une variation importante ayant pu modifier le pouvoir corrosif pour la peau du lot non testé. Si tel est le cas, une nouvelle classification s’impose.</w:t>
      </w:r>
    </w:p>
    <w:p w14:paraId="5A9AC01B" w14:textId="4C5EE701" w:rsidR="001A0EB0" w:rsidRPr="001A3B50" w:rsidRDefault="001A0EB0" w:rsidP="001A0EB0">
      <w:pPr>
        <w:spacing w:before="120" w:after="120" w:line="240" w:lineRule="auto"/>
        <w:ind w:left="2268" w:right="1134"/>
        <w:jc w:val="both"/>
        <w:rPr>
          <w:lang w:val="fr-FR"/>
        </w:rPr>
      </w:pPr>
      <w:r w:rsidRPr="001A3B50">
        <w:rPr>
          <w:lang w:val="fr-FR"/>
        </w:rPr>
        <w:t>c)</w:t>
      </w:r>
      <w:r w:rsidRPr="001A3B50">
        <w:rPr>
          <w:lang w:val="fr-FR"/>
        </w:rPr>
        <w:tab/>
        <w:t>Concentration des mélanges du groupe d’emballage I:</w:t>
      </w:r>
      <w:r w:rsidR="001A3B50" w:rsidRPr="001A3B50">
        <w:rPr>
          <w:lang w:val="fr-FR"/>
        </w:rPr>
        <w:t xml:space="preserve"> Si </w:t>
      </w:r>
      <w:r w:rsidRPr="001A3B50">
        <w:rPr>
          <w:lang w:val="fr-FR"/>
        </w:rPr>
        <w:t xml:space="preserve">un mélange </w:t>
      </w:r>
      <w:r w:rsidR="001A3B50" w:rsidRPr="001A3B50">
        <w:rPr>
          <w:lang w:val="fr-FR"/>
        </w:rPr>
        <w:t xml:space="preserve">éprouvé </w:t>
      </w:r>
      <w:r w:rsidRPr="001A3B50">
        <w:rPr>
          <w:lang w:val="fr-FR"/>
        </w:rPr>
        <w:t>remplit les critères du groupe d’emballage I et que l’on accroît la concentration, le nouveau mélange concentré non éprouvé doit être affecté au groupe d’emballage I sans essais supplémentaires</w:t>
      </w:r>
    </w:p>
    <w:p w14:paraId="7DC8B65A" w14:textId="77777777" w:rsidR="001A0EB0" w:rsidRPr="001A3B50" w:rsidRDefault="001A0EB0" w:rsidP="001A0EB0">
      <w:pPr>
        <w:spacing w:before="120" w:after="120" w:line="240" w:lineRule="auto"/>
        <w:ind w:left="2268" w:right="1134"/>
        <w:jc w:val="both"/>
        <w:rPr>
          <w:lang w:val="fr-FR"/>
        </w:rPr>
      </w:pPr>
      <w:r w:rsidRPr="001A3B50">
        <w:rPr>
          <w:lang w:val="fr-FR"/>
        </w:rPr>
        <w:t>d)</w:t>
      </w:r>
      <w:r w:rsidRPr="001A3B50">
        <w:rPr>
          <w:lang w:val="fr-FR"/>
        </w:rPr>
        <w:tab/>
      </w:r>
      <w:r w:rsidRPr="001A3B50">
        <w:rPr>
          <w:bCs/>
          <w:iCs/>
          <w:lang w:val="fr-FR"/>
        </w:rPr>
        <w:t xml:space="preserve">Interpolation au sein d’un même groupe d’emballage: </w:t>
      </w:r>
      <w:r w:rsidRPr="001A3B50">
        <w:rPr>
          <w:lang w:val="fr-FR"/>
        </w:rPr>
        <w:t>Dans le cas de trois mélanges (A, B et C) de composants identiques, où les mélanges A et B ont été testés et sont dans le même groupe d’emballage par rapport à la corrosion cutanée, et où le mélange C non testé contient les mêmes composants de la classe 8 que les mélanges A et B mais à des concentrations comprises entre celles de ces composants dans les mélanges A et B, on considère que le mélange C appartient au même groupe d’emballage par rapport à la corrosion cutanée que A et B.</w:t>
      </w:r>
    </w:p>
    <w:p w14:paraId="0B012406" w14:textId="77777777" w:rsidR="00EA151B" w:rsidRDefault="00EA151B">
      <w:pPr>
        <w:suppressAutoHyphens w:val="0"/>
        <w:spacing w:line="240" w:lineRule="auto"/>
        <w:rPr>
          <w:lang w:val="fr-FR"/>
        </w:rPr>
      </w:pPr>
      <w:r>
        <w:rPr>
          <w:lang w:val="fr-FR"/>
        </w:rPr>
        <w:br w:type="page"/>
      </w:r>
    </w:p>
    <w:p w14:paraId="1808A624" w14:textId="252B58FA" w:rsidR="001A0EB0" w:rsidRPr="001A3B50" w:rsidRDefault="001A0EB0" w:rsidP="001A0EB0">
      <w:pPr>
        <w:spacing w:before="120" w:after="120" w:line="240" w:lineRule="auto"/>
        <w:ind w:left="2268" w:right="1134"/>
        <w:jc w:val="both"/>
        <w:rPr>
          <w:bCs/>
          <w:iCs/>
          <w:lang w:val="fr-FR"/>
        </w:rPr>
      </w:pPr>
      <w:bookmarkStart w:id="0" w:name="_GoBack"/>
      <w:bookmarkEnd w:id="0"/>
      <w:r w:rsidRPr="001A3B50">
        <w:rPr>
          <w:lang w:val="fr-FR"/>
        </w:rPr>
        <w:lastRenderedPageBreak/>
        <w:t>e)</w:t>
      </w:r>
      <w:r w:rsidRPr="001A3B50">
        <w:rPr>
          <w:lang w:val="fr-FR"/>
        </w:rPr>
        <w:tab/>
      </w:r>
      <w:r w:rsidRPr="001A3B50">
        <w:rPr>
          <w:bCs/>
          <w:iCs/>
          <w:lang w:val="fr-FR"/>
        </w:rPr>
        <w:t>Mélanges globalement similaires:</w:t>
      </w:r>
      <w:r w:rsidRPr="001A3B50">
        <w:rPr>
          <w:bCs/>
          <w:i/>
          <w:iCs/>
          <w:lang w:val="fr-FR"/>
        </w:rPr>
        <w:t xml:space="preserve"> </w:t>
      </w:r>
      <w:r w:rsidRPr="001A3B50">
        <w:rPr>
          <w:bCs/>
          <w:iCs/>
          <w:lang w:val="fr-FR"/>
        </w:rPr>
        <w:t>Dans le cas suivant:</w:t>
      </w:r>
    </w:p>
    <w:p w14:paraId="1EDA67E8" w14:textId="77777777" w:rsidR="001A0EB0" w:rsidRPr="00167E05" w:rsidRDefault="001A0EB0" w:rsidP="001A0EB0">
      <w:pPr>
        <w:spacing w:before="120" w:after="120" w:line="240" w:lineRule="auto"/>
        <w:ind w:left="2835" w:right="1134"/>
        <w:jc w:val="both"/>
        <w:rPr>
          <w:bCs/>
          <w:iCs/>
          <w:lang w:val="fr-FR"/>
        </w:rPr>
      </w:pPr>
      <w:r w:rsidRPr="00167E05">
        <w:rPr>
          <w:bCs/>
          <w:iCs/>
          <w:lang w:val="fr-FR"/>
        </w:rPr>
        <w:tab/>
        <w:t>i)</w:t>
      </w:r>
      <w:r w:rsidRPr="00167E05">
        <w:rPr>
          <w:bCs/>
          <w:iCs/>
          <w:lang w:val="fr-FR"/>
        </w:rPr>
        <w:tab/>
        <w:t>Deux mélanges</w:t>
      </w:r>
      <w:r w:rsidRPr="00167E05">
        <w:rPr>
          <w:bCs/>
          <w:iCs/>
          <w:lang w:val="fr-FR"/>
        </w:rPr>
        <w:tab/>
        <w:t>(A + B) et (C + B);</w:t>
      </w:r>
    </w:p>
    <w:p w14:paraId="3BD0E4EE" w14:textId="557FD6AB" w:rsidR="001A0EB0" w:rsidRPr="00167E05" w:rsidRDefault="001A0EB0" w:rsidP="001A0EB0">
      <w:pPr>
        <w:spacing w:before="120" w:after="120" w:line="240" w:lineRule="auto"/>
        <w:ind w:left="2835" w:right="1134"/>
        <w:jc w:val="both"/>
        <w:rPr>
          <w:bCs/>
          <w:iCs/>
          <w:lang w:val="fr-FR"/>
        </w:rPr>
      </w:pPr>
      <w:r w:rsidRPr="00167E05">
        <w:rPr>
          <w:bCs/>
          <w:iCs/>
          <w:lang w:val="fr-FR"/>
        </w:rPr>
        <w:tab/>
        <w:t>ii)</w:t>
      </w:r>
      <w:r w:rsidRPr="00167E05">
        <w:rPr>
          <w:bCs/>
          <w:iCs/>
          <w:lang w:val="fr-FR"/>
        </w:rPr>
        <w:tab/>
        <w:t>La concentration du composant B est la même dans les deux mélanges;</w:t>
      </w:r>
    </w:p>
    <w:p w14:paraId="57EB5A66" w14:textId="3BC272B8" w:rsidR="001A0EB0" w:rsidRPr="00167E05" w:rsidRDefault="001A0EB0" w:rsidP="001A0EB0">
      <w:pPr>
        <w:spacing w:before="120" w:after="120" w:line="240" w:lineRule="auto"/>
        <w:ind w:left="2835" w:right="1134"/>
        <w:jc w:val="both"/>
        <w:rPr>
          <w:bCs/>
          <w:iCs/>
          <w:lang w:val="fr-FR"/>
        </w:rPr>
      </w:pPr>
      <w:r w:rsidRPr="00167E05">
        <w:rPr>
          <w:bCs/>
          <w:iCs/>
          <w:lang w:val="fr-FR"/>
        </w:rPr>
        <w:tab/>
        <w:t>iii)</w:t>
      </w:r>
      <w:r w:rsidRPr="00167E05">
        <w:rPr>
          <w:bCs/>
          <w:iCs/>
          <w:lang w:val="fr-FR"/>
        </w:rPr>
        <w:tab/>
        <w:t xml:space="preserve">La concentration </w:t>
      </w:r>
      <w:r w:rsidR="00FA4265">
        <w:rPr>
          <w:bCs/>
          <w:iCs/>
          <w:lang w:val="fr-FR"/>
        </w:rPr>
        <w:t>du composant</w:t>
      </w:r>
      <w:r w:rsidRPr="00167E05">
        <w:rPr>
          <w:bCs/>
          <w:iCs/>
          <w:lang w:val="fr-FR"/>
        </w:rPr>
        <w:t xml:space="preserve"> A dans le mélange </w:t>
      </w:r>
      <w:r w:rsidR="007E0744" w:rsidRPr="00167E05">
        <w:rPr>
          <w:bCs/>
          <w:iCs/>
          <w:lang w:val="fr-FR"/>
        </w:rPr>
        <w:t>(A + B)</w:t>
      </w:r>
      <w:r w:rsidRPr="00167E05">
        <w:rPr>
          <w:bCs/>
          <w:iCs/>
          <w:lang w:val="fr-FR"/>
        </w:rPr>
        <w:t xml:space="preserve"> est égale à celle de C dans </w:t>
      </w:r>
      <w:r w:rsidR="00FA4265">
        <w:rPr>
          <w:bCs/>
          <w:iCs/>
          <w:lang w:val="fr-FR"/>
        </w:rPr>
        <w:t xml:space="preserve">le mélange </w:t>
      </w:r>
      <w:r w:rsidR="007E0744" w:rsidRPr="00167E05">
        <w:rPr>
          <w:bCs/>
          <w:iCs/>
          <w:lang w:val="fr-FR"/>
        </w:rPr>
        <w:t>(C + B)</w:t>
      </w:r>
      <w:r w:rsidRPr="00167E05">
        <w:rPr>
          <w:bCs/>
          <w:iCs/>
          <w:lang w:val="fr-FR"/>
        </w:rPr>
        <w:t>;</w:t>
      </w:r>
    </w:p>
    <w:p w14:paraId="7AF7D005" w14:textId="1E73C5BB" w:rsidR="001A0EB0" w:rsidRPr="00167E05" w:rsidRDefault="001A0EB0" w:rsidP="001A0EB0">
      <w:pPr>
        <w:spacing w:before="120" w:after="120" w:line="240" w:lineRule="auto"/>
        <w:ind w:left="2835" w:right="1134"/>
        <w:jc w:val="both"/>
        <w:rPr>
          <w:bCs/>
          <w:iCs/>
          <w:lang w:val="fr-FR"/>
        </w:rPr>
      </w:pPr>
      <w:r w:rsidRPr="00167E05">
        <w:rPr>
          <w:bCs/>
          <w:iCs/>
          <w:lang w:val="fr-FR"/>
        </w:rPr>
        <w:tab/>
        <w:t>iv)</w:t>
      </w:r>
      <w:r w:rsidRPr="00167E05">
        <w:rPr>
          <w:bCs/>
          <w:iCs/>
          <w:lang w:val="fr-FR"/>
        </w:rPr>
        <w:tab/>
        <w:t xml:space="preserve">Les données de corrosion cutanée </w:t>
      </w:r>
      <w:r w:rsidR="00FA4265">
        <w:rPr>
          <w:bCs/>
          <w:iCs/>
          <w:lang w:val="fr-FR"/>
        </w:rPr>
        <w:t>des composants</w:t>
      </w:r>
      <w:r w:rsidRPr="00167E05">
        <w:rPr>
          <w:bCs/>
          <w:iCs/>
          <w:lang w:val="fr-FR"/>
        </w:rPr>
        <w:t xml:space="preserve"> A et C sont </w:t>
      </w:r>
      <w:r w:rsidR="00FA4265">
        <w:rPr>
          <w:bCs/>
          <w:iCs/>
          <w:lang w:val="fr-FR"/>
        </w:rPr>
        <w:t xml:space="preserve">disponibles et </w:t>
      </w:r>
      <w:r w:rsidRPr="00167E05">
        <w:rPr>
          <w:bCs/>
          <w:iCs/>
          <w:lang w:val="fr-FR"/>
        </w:rPr>
        <w:t>essentiellement équivalentes (donc A et C sont dans le m</w:t>
      </w:r>
      <w:r w:rsidRPr="00167E05">
        <w:rPr>
          <w:lang w:val="fr-FR"/>
        </w:rPr>
        <w:t>ême groupe d’emballage par rapport à la corrosion cutanée</w:t>
      </w:r>
      <w:r w:rsidRPr="00167E05">
        <w:rPr>
          <w:bCs/>
          <w:iCs/>
          <w:lang w:val="fr-FR"/>
        </w:rPr>
        <w:t xml:space="preserve"> et ils n’affectent pas le pouvoir de corrosion cutanée de B).</w:t>
      </w:r>
    </w:p>
    <w:p w14:paraId="0FF44F46" w14:textId="691B825A" w:rsidR="001A0EB0" w:rsidRPr="00167E05" w:rsidRDefault="001A0EB0" w:rsidP="001A0EB0">
      <w:pPr>
        <w:spacing w:before="120" w:after="120" w:line="240" w:lineRule="auto"/>
        <w:ind w:left="2268" w:right="1134"/>
        <w:jc w:val="both"/>
        <w:rPr>
          <w:bCs/>
          <w:iCs/>
          <w:lang w:val="fr-FR"/>
        </w:rPr>
      </w:pPr>
      <w:r w:rsidRPr="00167E05">
        <w:rPr>
          <w:bCs/>
          <w:iCs/>
          <w:lang w:val="fr-FR"/>
        </w:rPr>
        <w:tab/>
      </w:r>
      <w:r w:rsidRPr="00167E05">
        <w:rPr>
          <w:bCs/>
          <w:iCs/>
          <w:lang w:val="fr-FR"/>
        </w:rPr>
        <w:tab/>
        <w:t xml:space="preserve">Si le mélange </w:t>
      </w:r>
      <w:r w:rsidR="007E0744" w:rsidRPr="00167E05">
        <w:rPr>
          <w:bCs/>
          <w:iCs/>
          <w:lang w:val="fr-FR"/>
        </w:rPr>
        <w:t>(A + B)</w:t>
      </w:r>
      <w:r w:rsidR="007E0744">
        <w:rPr>
          <w:bCs/>
          <w:iCs/>
          <w:lang w:val="fr-FR"/>
        </w:rPr>
        <w:t xml:space="preserve"> </w:t>
      </w:r>
      <w:r w:rsidRPr="00167E05">
        <w:rPr>
          <w:bCs/>
          <w:iCs/>
          <w:lang w:val="fr-FR"/>
        </w:rPr>
        <w:t xml:space="preserve">ou </w:t>
      </w:r>
      <w:r w:rsidR="007E0744" w:rsidRPr="00167E05">
        <w:rPr>
          <w:bCs/>
          <w:iCs/>
          <w:lang w:val="fr-FR"/>
        </w:rPr>
        <w:t>(C + B)</w:t>
      </w:r>
      <w:r w:rsidRPr="00167E05">
        <w:rPr>
          <w:bCs/>
          <w:iCs/>
          <w:lang w:val="fr-FR"/>
        </w:rPr>
        <w:t xml:space="preserve"> est déjà classé d’après des données expérimentales, l’autre mélange peut être classé dans le même groupe d’emballage.</w:t>
      </w:r>
    </w:p>
    <w:p w14:paraId="2A91E2DC" w14:textId="77777777" w:rsidR="001A0EB0" w:rsidRPr="00167E05" w:rsidRDefault="001A0EB0" w:rsidP="001A0EB0">
      <w:pPr>
        <w:spacing w:before="120" w:after="120" w:line="240" w:lineRule="auto"/>
        <w:ind w:left="1134" w:right="1134"/>
        <w:jc w:val="both"/>
        <w:rPr>
          <w:bCs/>
          <w:i/>
          <w:lang w:val="fr-FR"/>
        </w:rPr>
      </w:pPr>
      <w:r w:rsidRPr="00167E05">
        <w:rPr>
          <w:lang w:val="fr-FR"/>
        </w:rPr>
        <w:t>2.8.4.3</w:t>
      </w:r>
      <w:r w:rsidRPr="00167E05">
        <w:rPr>
          <w:lang w:val="fr-FR"/>
        </w:rPr>
        <w:tab/>
      </w:r>
      <w:r w:rsidRPr="00167E05">
        <w:rPr>
          <w:lang w:val="fr-FR"/>
        </w:rPr>
        <w:tab/>
      </w:r>
      <w:r w:rsidRPr="00167E05">
        <w:rPr>
          <w:i/>
          <w:lang w:val="fr-FR"/>
        </w:rPr>
        <w:t>Méthode de calcul fondée sur la classification des matières</w:t>
      </w:r>
    </w:p>
    <w:p w14:paraId="39B8CEC4" w14:textId="2F7EFD53" w:rsidR="001A0EB0" w:rsidRPr="00167E05" w:rsidRDefault="001A0EB0" w:rsidP="001A0EB0">
      <w:pPr>
        <w:spacing w:before="120" w:after="120" w:line="240" w:lineRule="auto"/>
        <w:ind w:left="1134" w:right="1134"/>
        <w:jc w:val="both"/>
        <w:rPr>
          <w:lang w:val="fr-FR"/>
        </w:rPr>
      </w:pPr>
      <w:r w:rsidRPr="00167E05">
        <w:rPr>
          <w:lang w:val="fr-FR"/>
        </w:rPr>
        <w:t xml:space="preserve">2.8.4.3.1 </w:t>
      </w:r>
      <w:r w:rsidRPr="00167E05">
        <w:rPr>
          <w:lang w:val="fr-FR"/>
        </w:rPr>
        <w:tab/>
        <w:t xml:space="preserve">Lorsqu’un mélange n’a pas été testé pour ce qui est de </w:t>
      </w:r>
      <w:r w:rsidR="00FA4265">
        <w:rPr>
          <w:lang w:val="fr-FR"/>
        </w:rPr>
        <w:t>son potentiel de</w:t>
      </w:r>
      <w:r w:rsidRPr="00167E05">
        <w:rPr>
          <w:lang w:val="fr-FR"/>
        </w:rPr>
        <w:t xml:space="preserve"> corrosion cutanée </w:t>
      </w:r>
      <w:r w:rsidR="00FA4265">
        <w:rPr>
          <w:lang w:val="fr-FR"/>
        </w:rPr>
        <w:t>ou</w:t>
      </w:r>
      <w:r w:rsidRPr="00167E05">
        <w:rPr>
          <w:lang w:val="fr-FR"/>
        </w:rPr>
        <w:t xml:space="preserve"> que les données sur les mélanges similaires sont insuffisantes, les propriétés corrosives des matières du mélange doivent être prises en considération aux fins de classification et d’affectation aux groupes d’emballage. </w:t>
      </w:r>
    </w:p>
    <w:p w14:paraId="01E0FB91" w14:textId="6B89FB72" w:rsidR="001A0EB0" w:rsidRPr="00167E05" w:rsidRDefault="001A0EB0" w:rsidP="001A0EB0">
      <w:pPr>
        <w:spacing w:before="120" w:after="120" w:line="240" w:lineRule="auto"/>
        <w:ind w:left="1134" w:right="1134"/>
        <w:jc w:val="both"/>
        <w:rPr>
          <w:lang w:val="fr-FR"/>
        </w:rPr>
      </w:pPr>
      <w:r w:rsidRPr="00167E05">
        <w:rPr>
          <w:lang w:val="fr-FR"/>
        </w:rPr>
        <w:t xml:space="preserve">L’utilisation de la méthode de calcul n’est autorisée que </w:t>
      </w:r>
      <w:r w:rsidR="003F59CB">
        <w:rPr>
          <w:lang w:val="fr-FR"/>
        </w:rPr>
        <w:t>lorsqu’il n’y a pas d’</w:t>
      </w:r>
      <w:r w:rsidRPr="00167E05">
        <w:rPr>
          <w:lang w:val="fr-FR"/>
        </w:rPr>
        <w:t xml:space="preserve">effets synergiques </w:t>
      </w:r>
      <w:r w:rsidR="003F59CB">
        <w:rPr>
          <w:lang w:val="fr-FR"/>
        </w:rPr>
        <w:t xml:space="preserve">qui </w:t>
      </w:r>
      <w:r w:rsidRPr="00167E05">
        <w:rPr>
          <w:lang w:val="fr-FR"/>
        </w:rPr>
        <w:t>rendent le mélange plus corrosif que la somme de ses matières. Cette restriction s’applique uniquement si le mélange est affecté au groupe d’emballage II ou III.</w:t>
      </w:r>
    </w:p>
    <w:p w14:paraId="2F1F8C4B" w14:textId="70A88F01" w:rsidR="001A0EB0" w:rsidRPr="00167E05" w:rsidRDefault="001A0EB0" w:rsidP="001A0EB0">
      <w:pPr>
        <w:spacing w:before="120" w:after="120" w:line="240" w:lineRule="auto"/>
        <w:ind w:left="1134" w:right="1134"/>
        <w:jc w:val="both"/>
        <w:rPr>
          <w:lang w:val="fr-FR"/>
        </w:rPr>
      </w:pPr>
      <w:r w:rsidRPr="00167E05">
        <w:rPr>
          <w:lang w:val="fr-FR"/>
        </w:rPr>
        <w:t>2.8.4.3.2</w:t>
      </w:r>
      <w:r w:rsidRPr="00167E05">
        <w:rPr>
          <w:lang w:val="fr-FR"/>
        </w:rPr>
        <w:tab/>
      </w:r>
      <w:r w:rsidR="00FA4265">
        <w:rPr>
          <w:lang w:val="fr-FR"/>
        </w:rPr>
        <w:t>Pour l'application de la méthode de calcul, l</w:t>
      </w:r>
      <w:r w:rsidRPr="00167E05">
        <w:rPr>
          <w:lang w:val="fr-FR"/>
        </w:rPr>
        <w:t xml:space="preserve">a valeur seuil générique </w:t>
      </w:r>
      <w:r w:rsidR="00FA4265">
        <w:rPr>
          <w:lang w:val="fr-FR"/>
        </w:rPr>
        <w:t>de toutes les matières de la classe 8</w:t>
      </w:r>
      <w:r w:rsidRPr="00167E05">
        <w:rPr>
          <w:lang w:val="fr-FR"/>
        </w:rPr>
        <w:t xml:space="preserve"> qui doit être prise en considération correspond à </w:t>
      </w:r>
      <w:r w:rsidR="00FA4265" w:rsidRPr="00FE1778">
        <w:t>≥</w:t>
      </w:r>
      <w:r w:rsidR="00FA4265">
        <w:t xml:space="preserve"> </w:t>
      </w:r>
      <w:r w:rsidRPr="00167E05">
        <w:rPr>
          <w:lang w:val="fr-FR"/>
        </w:rPr>
        <w:t>1 % ou à &lt; 1 % s’il est présumé que les ingrédients dont la concentration est de &lt; 1 % sont toujours pertinents aux fins de classification du mélange potentiellement corrosif pour la peau.</w:t>
      </w:r>
    </w:p>
    <w:p w14:paraId="6855EFF0" w14:textId="77777777" w:rsidR="001A0EB0" w:rsidRPr="00167E05" w:rsidRDefault="001A0EB0" w:rsidP="001A0EB0">
      <w:pPr>
        <w:spacing w:before="120" w:after="120" w:line="240" w:lineRule="auto"/>
        <w:ind w:left="1134" w:right="1134"/>
        <w:jc w:val="both"/>
      </w:pPr>
      <w:r w:rsidRPr="00167E05">
        <w:rPr>
          <w:lang w:val="fr-FR"/>
        </w:rPr>
        <w:t>2.8.4.3.3</w:t>
      </w:r>
      <w:r w:rsidRPr="00167E05">
        <w:rPr>
          <w:lang w:val="fr-FR"/>
        </w:rPr>
        <w:tab/>
        <w:t xml:space="preserve">Pour déterminer si un mélange contenant des substances corrosives doit être considéré comme un mélange corrosif et être affecté à un groupe d’emballage, la méthode de calcul de l’organigramme de la figure 2.8.4.3 doit être utilisée. </w:t>
      </w:r>
    </w:p>
    <w:p w14:paraId="43E2C119" w14:textId="13986404" w:rsidR="001A0EB0" w:rsidRPr="00DB7783" w:rsidRDefault="001A0EB0" w:rsidP="001A0EB0">
      <w:pPr>
        <w:spacing w:before="120" w:after="120" w:line="240" w:lineRule="auto"/>
        <w:ind w:left="1134" w:right="1134"/>
        <w:jc w:val="both"/>
      </w:pPr>
      <w:r w:rsidRPr="00DB7783">
        <w:t>2.8.4.3.4</w:t>
      </w:r>
      <w:r w:rsidRPr="00DB7783">
        <w:tab/>
        <w:t xml:space="preserve">Lorsqu’une limite de concentration spécifique est attribuée à une matière à la suite de son intégration à la Liste des marchandises dangereuses ou à une disposition spéciale, cette limite doit être utilisée en remplacement des limites génériques. </w:t>
      </w:r>
      <w:r w:rsidR="00FA4265">
        <w:t>Cela apparaît lorsque</w:t>
      </w:r>
      <w:r w:rsidRPr="00DB7783">
        <w:t xml:space="preserve"> la valeur 1 % </w:t>
      </w:r>
      <w:r w:rsidR="00FA4265">
        <w:t xml:space="preserve">est utilisée </w:t>
      </w:r>
      <w:r w:rsidRPr="00DB7783">
        <w:t>à la première étape de l’évaluation des matières du groupe d’emballage I, puis 5 % pour les étapes suivantes, dans la figure 2.8.4.3.</w:t>
      </w:r>
    </w:p>
    <w:p w14:paraId="6D16C009" w14:textId="1C1506D6" w:rsidR="001A0EB0" w:rsidRDefault="001A0EB0" w:rsidP="001A0EB0">
      <w:pPr>
        <w:spacing w:before="120" w:after="120" w:line="240" w:lineRule="auto"/>
        <w:ind w:left="1134" w:right="1134"/>
        <w:jc w:val="both"/>
      </w:pPr>
      <w:r w:rsidRPr="00DB7783">
        <w:t>2.8.4.3.5</w:t>
      </w:r>
      <w:r w:rsidRPr="00DB7783">
        <w:tab/>
        <w:t>À cette fin, la formule cumulative utilisée à chaque étape du calcul doit être adaptée. Cela signifie que, le cas échéant, la limite de concentration générique doit être remplacée par la limite spécifique attribuée à la matière ou aux matières concernées, et que la formule adaptée correspond à une moyenne pondérée des différentes limites de concentration attribuées aux différentes mat</w:t>
      </w:r>
      <w:r w:rsidR="00771312">
        <w:t>ières présentes dans le mélange</w:t>
      </w:r>
      <w:r w:rsidRPr="00DB7783">
        <w:t>:</w:t>
      </w:r>
    </w:p>
    <w:p w14:paraId="1CD1FEF3" w14:textId="77777777" w:rsidR="001A0EB0" w:rsidRPr="00DB7783" w:rsidRDefault="00EA151B" w:rsidP="001A0EB0">
      <w:pPr>
        <w:kinsoku w:val="0"/>
        <w:overflowPunct w:val="0"/>
        <w:autoSpaceDE w:val="0"/>
        <w:autoSpaceDN w:val="0"/>
        <w:adjustRightInd w:val="0"/>
        <w:snapToGrid w:val="0"/>
        <w:spacing w:after="120"/>
        <w:ind w:left="1134" w:right="1134"/>
        <w:jc w:val="both"/>
      </w:pPr>
      <m:oMathPara>
        <m:oMath>
          <m:f>
            <m:fPr>
              <m:ctrlPr>
                <w:rPr>
                  <w:rFonts w:ascii="Cambria Math" w:hAnsi="Cambria Math"/>
                  <w:i/>
                </w:rPr>
              </m:ctrlPr>
            </m:fPr>
            <m:num>
              <m:r>
                <w:rPr>
                  <w:rFonts w:ascii="Cambria Math" w:hAnsi="Cambria Math"/>
                </w:rPr>
                <m:t>PGx1</m:t>
              </m:r>
            </m:num>
            <m:den>
              <m:r>
                <w:rPr>
                  <w:rFonts w:ascii="Cambria Math" w:hAnsi="Cambria Math"/>
                </w:rPr>
                <m:t>GCL</m:t>
              </m:r>
            </m:den>
          </m:f>
          <m:r>
            <w:rPr>
              <w:rFonts w:ascii="Cambria Math" w:hAnsi="Cambria Math"/>
            </w:rPr>
            <m:t>+</m:t>
          </m:r>
          <m:f>
            <m:fPr>
              <m:ctrlPr>
                <w:rPr>
                  <w:rFonts w:ascii="Cambria Math" w:hAnsi="Cambria Math"/>
                  <w:i/>
                </w:rPr>
              </m:ctrlPr>
            </m:fPr>
            <m:num>
              <m:r>
                <w:rPr>
                  <w:rFonts w:ascii="Cambria Math" w:hAnsi="Cambria Math"/>
                </w:rPr>
                <m:t>PGx</m:t>
              </m:r>
              <m:r>
                <w:rPr>
                  <w:rFonts w:ascii="Cambria Math" w:hAnsi="Cambria Math"/>
                  <w:vertAlign w:val="subscript"/>
                </w:rPr>
                <m:t>2</m:t>
              </m:r>
            </m:num>
            <m:den>
              <m:r>
                <w:rPr>
                  <w:rFonts w:ascii="Cambria Math" w:hAnsi="Cambria Math"/>
                </w:rPr>
                <m:t>SCL</m:t>
              </m:r>
              <m:r>
                <w:rPr>
                  <w:rFonts w:ascii="Cambria Math" w:hAnsi="Cambria Math"/>
                  <w:vertAlign w:val="subscript"/>
                </w:rPr>
                <m:t>2</m:t>
              </m:r>
            </m:den>
          </m:f>
          <m:r>
            <w:rPr>
              <w:rFonts w:ascii="Cambria Math" w:hAnsi="Cambria Math"/>
            </w:rPr>
            <m:t xml:space="preserve">+…+ </m:t>
          </m:r>
          <m:f>
            <m:fPr>
              <m:ctrlPr>
                <w:rPr>
                  <w:rFonts w:ascii="Cambria Math" w:hAnsi="Cambria Math"/>
                  <w:i/>
                </w:rPr>
              </m:ctrlPr>
            </m:fPr>
            <m:num>
              <m:r>
                <w:rPr>
                  <w:rFonts w:ascii="Cambria Math" w:hAnsi="Cambria Math"/>
                </w:rPr>
                <m:t>PGxi</m:t>
              </m:r>
            </m:num>
            <m:den>
              <m:r>
                <w:rPr>
                  <w:rFonts w:ascii="Cambria Math" w:hAnsi="Cambria Math"/>
                </w:rPr>
                <m:t>SCLi</m:t>
              </m:r>
            </m:den>
          </m:f>
          <m:r>
            <w:rPr>
              <w:rFonts w:ascii="Cambria Math" w:hAnsi="Cambria Math"/>
            </w:rPr>
            <m:t xml:space="preserve"> ≥1</m:t>
          </m:r>
        </m:oMath>
      </m:oMathPara>
    </w:p>
    <w:p w14:paraId="3F2E767C" w14:textId="0A2E256B" w:rsidR="001A0EB0" w:rsidRPr="00DB7783" w:rsidRDefault="001A0EB0" w:rsidP="001A0EB0">
      <w:pPr>
        <w:spacing w:before="120" w:after="120" w:line="240" w:lineRule="auto"/>
        <w:ind w:left="1134" w:right="1134"/>
        <w:jc w:val="both"/>
      </w:pPr>
      <w:proofErr w:type="gramStart"/>
      <w:r w:rsidRPr="00DB7783">
        <w:t>où</w:t>
      </w:r>
      <w:proofErr w:type="gramEnd"/>
      <w:r w:rsidRPr="00DB7783">
        <w:t>:</w:t>
      </w:r>
    </w:p>
    <w:p w14:paraId="74845473" w14:textId="77777777" w:rsidR="001A0EB0" w:rsidRPr="00DB7783" w:rsidRDefault="001A0EB0" w:rsidP="001A0EB0">
      <w:pPr>
        <w:spacing w:before="120" w:after="120" w:line="240" w:lineRule="auto"/>
        <w:ind w:left="1134" w:right="1134"/>
        <w:jc w:val="both"/>
      </w:pPr>
      <w:r w:rsidRPr="00DB7783">
        <w:t>PG xi = concentration de la matière 1, 2 …i dans le mélange, affectée au groupe d’emballage x (I, II ou III)</w:t>
      </w:r>
    </w:p>
    <w:p w14:paraId="13A8C514" w14:textId="77777777" w:rsidR="001A0EB0" w:rsidRPr="00DB7783" w:rsidRDefault="001A0EB0" w:rsidP="001A0EB0">
      <w:pPr>
        <w:spacing w:before="120" w:after="120" w:line="240" w:lineRule="auto"/>
        <w:ind w:left="1134" w:right="1134"/>
        <w:jc w:val="both"/>
      </w:pPr>
      <w:r w:rsidRPr="00DB7783">
        <w:t>GCL = limite de concentration générique</w:t>
      </w:r>
    </w:p>
    <w:p w14:paraId="4C9D4923" w14:textId="77777777" w:rsidR="001A0EB0" w:rsidRPr="00DB7783" w:rsidRDefault="001A0EB0" w:rsidP="001A0EB0">
      <w:pPr>
        <w:spacing w:before="120" w:after="120" w:line="240" w:lineRule="auto"/>
        <w:ind w:left="1134" w:right="1134"/>
        <w:jc w:val="both"/>
      </w:pPr>
      <w:proofErr w:type="spellStart"/>
      <w:r w:rsidRPr="00DB7783">
        <w:t>SCLi</w:t>
      </w:r>
      <w:proofErr w:type="spellEnd"/>
      <w:r w:rsidRPr="00DB7783">
        <w:t xml:space="preserve"> = limite de concentration spécifique attribuée à la matière i </w:t>
      </w:r>
    </w:p>
    <w:p w14:paraId="5CE1CB2E" w14:textId="68A90080" w:rsidR="001A0EB0" w:rsidRPr="00DB7783" w:rsidRDefault="001A0EB0" w:rsidP="001A0EB0">
      <w:pPr>
        <w:spacing w:before="120" w:after="120" w:line="240" w:lineRule="auto"/>
        <w:ind w:left="1134" w:right="1134"/>
        <w:jc w:val="both"/>
      </w:pPr>
      <w:r w:rsidRPr="00DB7783">
        <w:lastRenderedPageBreak/>
        <w:t>Le critère pour un groupe d’emballage est respecté si le résultat du calcul est ≥ 1.</w:t>
      </w:r>
      <w:r w:rsidR="007E0744">
        <w:t xml:space="preserve"> </w:t>
      </w:r>
      <w:r>
        <w:t>Les limites de concentration génériques à utiliser pour l’évaluation à chaque étape de la méthode de calcul sont celles figurant dans la figure 2.8.4.3.</w:t>
      </w:r>
    </w:p>
    <w:p w14:paraId="5D3C8CE9" w14:textId="77777777" w:rsidR="001A0EB0" w:rsidRPr="00DB7783" w:rsidRDefault="001A0EB0" w:rsidP="001A0EB0">
      <w:pPr>
        <w:spacing w:before="120" w:after="120" w:line="240" w:lineRule="auto"/>
        <w:ind w:left="1134" w:right="1134"/>
        <w:jc w:val="both"/>
        <w:rPr>
          <w:spacing w:val="4"/>
        </w:rPr>
      </w:pPr>
      <w:r w:rsidRPr="00DB7783">
        <w:rPr>
          <w:spacing w:val="4"/>
        </w:rPr>
        <w:t>On trouvera des exemples d’application de la formule ci-dessus dans le NOTA ci-dessous.</w:t>
      </w:r>
    </w:p>
    <w:p w14:paraId="76F6A161" w14:textId="08CC0482" w:rsidR="001A0EB0" w:rsidRPr="00DB7783" w:rsidRDefault="001A0EB0" w:rsidP="001A0EB0">
      <w:pPr>
        <w:spacing w:before="120" w:after="120" w:line="240" w:lineRule="auto"/>
        <w:ind w:left="1134" w:right="1134"/>
        <w:jc w:val="both"/>
        <w:rPr>
          <w:i/>
        </w:rPr>
      </w:pPr>
      <w:r w:rsidRPr="00DB7783">
        <w:rPr>
          <w:b/>
          <w:i/>
        </w:rPr>
        <w:t>NOTA</w:t>
      </w:r>
      <w:r w:rsidRPr="00DB7783">
        <w:rPr>
          <w:i/>
        </w:rPr>
        <w:t>:</w:t>
      </w:r>
      <w:r w:rsidRPr="00DB7783">
        <w:rPr>
          <w:i/>
        </w:rPr>
        <w:tab/>
        <w:t>Exemples d’application de la formule ci-dessus</w:t>
      </w:r>
    </w:p>
    <w:p w14:paraId="6E9A052A" w14:textId="1152DF26" w:rsidR="001A0EB0" w:rsidRPr="00DB7783" w:rsidRDefault="001A0EB0" w:rsidP="001A0EB0">
      <w:pPr>
        <w:spacing w:before="120" w:after="120" w:line="240" w:lineRule="auto"/>
        <w:ind w:left="1134" w:right="1134"/>
        <w:jc w:val="both"/>
        <w:rPr>
          <w:i/>
        </w:rPr>
      </w:pPr>
      <w:r w:rsidRPr="00DB7783">
        <w:rPr>
          <w:i/>
        </w:rPr>
        <w:t>Exemp</w:t>
      </w:r>
      <w:r w:rsidR="00771312">
        <w:rPr>
          <w:i/>
        </w:rPr>
        <w:t>le 1</w:t>
      </w:r>
      <w:r w:rsidRPr="00DB7783">
        <w:rPr>
          <w:i/>
        </w:rPr>
        <w:t>: Un mélange contient une matière corrosive, à une concentration de 5 %, affectée au groupe d’emballage I sans lim</w:t>
      </w:r>
      <w:r w:rsidR="00771312">
        <w:rPr>
          <w:i/>
        </w:rPr>
        <w:t>ite de concentration spécifique</w:t>
      </w:r>
      <w:r w:rsidRPr="00DB7783">
        <w:rPr>
          <w:i/>
        </w:rPr>
        <w:t>:</w:t>
      </w:r>
    </w:p>
    <w:p w14:paraId="25C51113" w14:textId="25A7685F" w:rsidR="001A0EB0" w:rsidRPr="00DB7783" w:rsidRDefault="001A0EB0" w:rsidP="001A0EB0">
      <w:pPr>
        <w:spacing w:before="120" w:after="120" w:line="240" w:lineRule="auto"/>
        <w:ind w:left="1134" w:right="1134"/>
        <w:jc w:val="both"/>
      </w:pPr>
      <w:r w:rsidRPr="00DB7783">
        <w:rPr>
          <w:i/>
          <w:noProof/>
          <w:lang w:val="en-GB" w:eastAsia="en-GB"/>
        </w:rPr>
        <mc:AlternateContent>
          <mc:Choice Requires="wps">
            <w:drawing>
              <wp:anchor distT="0" distB="0" distL="114300" distR="114300" simplePos="0" relativeHeight="251659264" behindDoc="0" locked="0" layoutInCell="1" allowOverlap="1" wp14:anchorId="0CE79A4B" wp14:editId="0FF0C80F">
                <wp:simplePos x="0" y="0"/>
                <wp:positionH relativeFrom="column">
                  <wp:posOffset>3348264</wp:posOffset>
                </wp:positionH>
                <wp:positionV relativeFrom="paragraph">
                  <wp:posOffset>94797</wp:posOffset>
                </wp:positionV>
                <wp:extent cx="170822" cy="80386"/>
                <wp:effectExtent l="0" t="19050" r="38735" b="34290"/>
                <wp:wrapNone/>
                <wp:docPr id="63" name="Flèche droite 28"/>
                <wp:cNvGraphicFramePr/>
                <a:graphic xmlns:a="http://schemas.openxmlformats.org/drawingml/2006/main">
                  <a:graphicData uri="http://schemas.microsoft.com/office/word/2010/wordprocessingShape">
                    <wps:wsp>
                      <wps:cNvSpPr/>
                      <wps:spPr>
                        <a:xfrm>
                          <a:off x="0" y="0"/>
                          <a:ext cx="170822" cy="80386"/>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shapetype w14:anchorId="67FB78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263.65pt;margin-top:7.45pt;width:13.45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" adj="16518" fillcolor="windowText" strokecolor="windowText" strokeweight="2pt"/>
            </w:pict>
          </mc:Fallback>
        </mc:AlternateContent>
      </w:r>
      <w:r w:rsidRPr="00DB7783">
        <w:rPr>
          <w:i/>
        </w:rPr>
        <w:t>Calc</w:t>
      </w:r>
      <w:r w:rsidR="00771312">
        <w:rPr>
          <w:i/>
        </w:rPr>
        <w:t>ul pour le groupe d’emballage I</w:t>
      </w:r>
      <w:r w:rsidRPr="00DB7783">
        <w:rPr>
          <w:i/>
        </w:rPr>
        <w:t xml:space="preserve">:  </w:t>
      </w:r>
      <m:oMath>
        <m:f>
          <m:fPr>
            <m:ctrlPr>
              <w:rPr>
                <w:rFonts w:ascii="Cambria Math" w:hAnsi="Cambria Math"/>
                <w:i/>
              </w:rPr>
            </m:ctrlPr>
          </m:fPr>
          <m:num>
            <m:r>
              <w:rPr>
                <w:rFonts w:ascii="Cambria Math" w:hAnsi="Cambria Math"/>
              </w:rPr>
              <m:t>5</m:t>
            </m:r>
          </m:num>
          <m:den>
            <m:r>
              <w:rPr>
                <w:rFonts w:ascii="Cambria Math" w:hAnsi="Cambria Math"/>
              </w:rPr>
              <m:t>5 (GCL)</m:t>
            </m:r>
          </m:den>
        </m:f>
        <m:r>
          <w:rPr>
            <w:rFonts w:ascii="Cambria Math" w:hAnsi="Cambria Math"/>
          </w:rPr>
          <m:t>=1</m:t>
        </m:r>
      </m:oMath>
      <w:r w:rsidRPr="00DB7783">
        <w:rPr>
          <w:i/>
          <w:spacing w:val="-1"/>
        </w:rPr>
        <w:tab/>
      </w:r>
      <w:r w:rsidRPr="00DB7783">
        <w:rPr>
          <w:i/>
          <w:spacing w:val="-1"/>
        </w:rPr>
        <w:tab/>
        <w:t>affecter à la classe 8,</w:t>
      </w:r>
      <w:r w:rsidRPr="00DB7783">
        <w:rPr>
          <w:i/>
        </w:rPr>
        <w:t xml:space="preserve"> </w:t>
      </w:r>
      <w:r w:rsidRPr="00DB7783">
        <w:rPr>
          <w:i/>
        </w:rPr>
        <w:br/>
        <w:t>groupe d’emballage I</w:t>
      </w:r>
    </w:p>
    <w:p w14:paraId="142CC046" w14:textId="1F81C59D" w:rsidR="001A0EB0" w:rsidRPr="00DB7783" w:rsidRDefault="00771312" w:rsidP="001A0EB0">
      <w:pPr>
        <w:spacing w:before="120" w:after="120" w:line="240" w:lineRule="auto"/>
        <w:ind w:left="1134" w:right="1134"/>
        <w:jc w:val="both"/>
        <w:rPr>
          <w:i/>
        </w:rPr>
      </w:pPr>
      <w:r>
        <w:rPr>
          <w:i/>
        </w:rPr>
        <w:t>Exemple 2</w:t>
      </w:r>
      <w:r w:rsidR="001A0EB0" w:rsidRPr="00DB7783">
        <w:rPr>
          <w:i/>
        </w:rPr>
        <w:t>: Un mélange contient trois matières corrosives pour la peau, dont deux (A et B) ont des limit</w:t>
      </w:r>
      <w:r>
        <w:rPr>
          <w:i/>
        </w:rPr>
        <w:t>es de concentration spécifiques</w:t>
      </w:r>
      <w:r w:rsidR="001A0EB0" w:rsidRPr="00DB7783">
        <w:rPr>
          <w:i/>
        </w:rPr>
        <w:t>; pour la troisième (C) la limite de concentration générique s’applique. Il n’est pas nécessaire de prendre le re</w:t>
      </w:r>
      <w:r>
        <w:rPr>
          <w:i/>
        </w:rPr>
        <w:t>ste du mélange en considération</w:t>
      </w:r>
      <w:r w:rsidR="001A0EB0" w:rsidRPr="00DB7783">
        <w:rPr>
          <w:i/>
        </w:rPr>
        <w:t>:</w:t>
      </w:r>
    </w:p>
    <w:tbl>
      <w:tblPr>
        <w:tblStyle w:val="TableGrid"/>
        <w:tblW w:w="7371" w:type="dxa"/>
        <w:tblInd w:w="1129" w:type="dxa"/>
        <w:tblLayout w:type="fixed"/>
        <w:tblLook w:val="04A0" w:firstRow="1" w:lastRow="0" w:firstColumn="1" w:lastColumn="0" w:noHBand="0" w:noVBand="1"/>
      </w:tblPr>
      <w:tblGrid>
        <w:gridCol w:w="2027"/>
        <w:gridCol w:w="1290"/>
        <w:gridCol w:w="1350"/>
        <w:gridCol w:w="1351"/>
        <w:gridCol w:w="1353"/>
      </w:tblGrid>
      <w:tr w:rsidR="001A0EB0" w:rsidRPr="008E3896" w14:paraId="51AA0114" w14:textId="77777777" w:rsidTr="008E3896">
        <w:trPr>
          <w:cantSplit/>
          <w:tblHeader/>
        </w:trPr>
        <w:tc>
          <w:tcPr>
            <w:tcW w:w="1869" w:type="dxa"/>
            <w:shd w:val="clear" w:color="auto" w:fill="auto"/>
            <w:vAlign w:val="center"/>
          </w:tcPr>
          <w:p w14:paraId="13D90404" w14:textId="77777777" w:rsidR="001A0EB0" w:rsidRPr="008E3896" w:rsidRDefault="001A0EB0" w:rsidP="008E3896">
            <w:pPr>
              <w:kinsoku w:val="0"/>
              <w:overflowPunct w:val="0"/>
              <w:autoSpaceDE w:val="0"/>
              <w:autoSpaceDN w:val="0"/>
              <w:adjustRightInd w:val="0"/>
              <w:snapToGrid w:val="0"/>
              <w:spacing w:before="80" w:after="80" w:line="200" w:lineRule="exact"/>
              <w:ind w:left="57" w:right="28"/>
              <w:jc w:val="center"/>
              <w:rPr>
                <w:sz w:val="18"/>
                <w:szCs w:val="18"/>
              </w:rPr>
            </w:pPr>
            <w:r w:rsidRPr="008E3896">
              <w:rPr>
                <w:sz w:val="18"/>
                <w:szCs w:val="18"/>
              </w:rPr>
              <w:t>Affectation de la matière  X du mélange à un groupe d’emballage au sein de la classe 8</w:t>
            </w:r>
          </w:p>
        </w:tc>
        <w:tc>
          <w:tcPr>
            <w:tcW w:w="1190" w:type="dxa"/>
            <w:shd w:val="clear" w:color="auto" w:fill="auto"/>
            <w:vAlign w:val="center"/>
          </w:tcPr>
          <w:p w14:paraId="077BC4FB" w14:textId="77777777" w:rsidR="001A0EB0" w:rsidRPr="008E3896" w:rsidRDefault="001A0EB0" w:rsidP="008E3896">
            <w:pPr>
              <w:kinsoku w:val="0"/>
              <w:overflowPunct w:val="0"/>
              <w:autoSpaceDE w:val="0"/>
              <w:autoSpaceDN w:val="0"/>
              <w:adjustRightInd w:val="0"/>
              <w:snapToGrid w:val="0"/>
              <w:spacing w:before="80" w:after="80" w:line="200" w:lineRule="exact"/>
              <w:ind w:left="57" w:right="28"/>
              <w:jc w:val="center"/>
              <w:rPr>
                <w:sz w:val="18"/>
                <w:szCs w:val="18"/>
              </w:rPr>
            </w:pPr>
            <w:r w:rsidRPr="008E3896">
              <w:rPr>
                <w:sz w:val="18"/>
                <w:szCs w:val="18"/>
              </w:rPr>
              <w:t>Concentration (</w:t>
            </w:r>
            <w:proofErr w:type="spellStart"/>
            <w:r w:rsidRPr="008E3896">
              <w:rPr>
                <w:sz w:val="18"/>
                <w:szCs w:val="18"/>
              </w:rPr>
              <w:t>conc</w:t>
            </w:r>
            <w:proofErr w:type="spellEnd"/>
            <w:r w:rsidRPr="008E3896">
              <w:rPr>
                <w:sz w:val="18"/>
                <w:szCs w:val="18"/>
              </w:rPr>
              <w:t>) dans le mélange en %</w:t>
            </w:r>
          </w:p>
        </w:tc>
        <w:tc>
          <w:tcPr>
            <w:tcW w:w="1245" w:type="dxa"/>
            <w:shd w:val="clear" w:color="auto" w:fill="auto"/>
            <w:vAlign w:val="center"/>
          </w:tcPr>
          <w:p w14:paraId="32407526" w14:textId="77777777" w:rsidR="001A0EB0" w:rsidRPr="008E3896" w:rsidRDefault="001A0EB0" w:rsidP="008E3896">
            <w:pPr>
              <w:kinsoku w:val="0"/>
              <w:overflowPunct w:val="0"/>
              <w:autoSpaceDE w:val="0"/>
              <w:autoSpaceDN w:val="0"/>
              <w:adjustRightInd w:val="0"/>
              <w:snapToGrid w:val="0"/>
              <w:spacing w:before="80" w:after="80" w:line="200" w:lineRule="exact"/>
              <w:ind w:left="57" w:right="28"/>
              <w:jc w:val="center"/>
              <w:rPr>
                <w:sz w:val="18"/>
                <w:szCs w:val="18"/>
              </w:rPr>
            </w:pPr>
            <w:r w:rsidRPr="008E3896">
              <w:rPr>
                <w:sz w:val="18"/>
                <w:szCs w:val="18"/>
              </w:rPr>
              <w:t xml:space="preserve">Limite de concentration spécifique </w:t>
            </w:r>
            <w:r w:rsidRPr="008E3896">
              <w:rPr>
                <w:sz w:val="18"/>
                <w:szCs w:val="18"/>
              </w:rPr>
              <w:br/>
              <w:t>pour le groupe d’emballage I</w:t>
            </w:r>
          </w:p>
        </w:tc>
        <w:tc>
          <w:tcPr>
            <w:tcW w:w="1246" w:type="dxa"/>
            <w:shd w:val="clear" w:color="auto" w:fill="auto"/>
            <w:vAlign w:val="center"/>
          </w:tcPr>
          <w:p w14:paraId="6DDB13D6" w14:textId="77777777" w:rsidR="001A0EB0" w:rsidRPr="008E3896" w:rsidRDefault="001A0EB0" w:rsidP="008E3896">
            <w:pPr>
              <w:kinsoku w:val="0"/>
              <w:overflowPunct w:val="0"/>
              <w:autoSpaceDE w:val="0"/>
              <w:autoSpaceDN w:val="0"/>
              <w:adjustRightInd w:val="0"/>
              <w:snapToGrid w:val="0"/>
              <w:spacing w:before="80" w:after="80" w:line="200" w:lineRule="exact"/>
              <w:ind w:left="57" w:right="28"/>
              <w:jc w:val="center"/>
              <w:rPr>
                <w:sz w:val="18"/>
                <w:szCs w:val="18"/>
              </w:rPr>
            </w:pPr>
            <w:r w:rsidRPr="008E3896">
              <w:rPr>
                <w:sz w:val="18"/>
                <w:szCs w:val="18"/>
              </w:rPr>
              <w:t xml:space="preserve">Limite de concentration spécifique </w:t>
            </w:r>
            <w:r w:rsidRPr="008E3896">
              <w:rPr>
                <w:sz w:val="18"/>
                <w:szCs w:val="18"/>
              </w:rPr>
              <w:br/>
              <w:t>pour le groupe d’emballage II</w:t>
            </w:r>
          </w:p>
        </w:tc>
        <w:tc>
          <w:tcPr>
            <w:tcW w:w="1248" w:type="dxa"/>
            <w:shd w:val="clear" w:color="auto" w:fill="auto"/>
            <w:vAlign w:val="center"/>
          </w:tcPr>
          <w:p w14:paraId="0894DB34" w14:textId="77777777" w:rsidR="001A0EB0" w:rsidRPr="008E3896" w:rsidRDefault="001A0EB0" w:rsidP="008E3896">
            <w:pPr>
              <w:kinsoku w:val="0"/>
              <w:overflowPunct w:val="0"/>
              <w:autoSpaceDE w:val="0"/>
              <w:autoSpaceDN w:val="0"/>
              <w:adjustRightInd w:val="0"/>
              <w:snapToGrid w:val="0"/>
              <w:spacing w:before="80" w:after="80" w:line="200" w:lineRule="exact"/>
              <w:ind w:left="57" w:right="28"/>
              <w:jc w:val="center"/>
              <w:rPr>
                <w:sz w:val="18"/>
                <w:szCs w:val="18"/>
              </w:rPr>
            </w:pPr>
            <w:r w:rsidRPr="008E3896">
              <w:rPr>
                <w:sz w:val="18"/>
                <w:szCs w:val="18"/>
              </w:rPr>
              <w:t xml:space="preserve">Limite de concentration spécifique </w:t>
            </w:r>
            <w:r w:rsidRPr="008E3896">
              <w:rPr>
                <w:sz w:val="18"/>
                <w:szCs w:val="18"/>
              </w:rPr>
              <w:br/>
              <w:t>pour le groupe d’emballage III</w:t>
            </w:r>
          </w:p>
        </w:tc>
      </w:tr>
      <w:tr w:rsidR="001A0EB0" w:rsidRPr="008E3896" w14:paraId="0F469988" w14:textId="77777777" w:rsidTr="008E3896">
        <w:trPr>
          <w:cantSplit/>
        </w:trPr>
        <w:tc>
          <w:tcPr>
            <w:tcW w:w="1869" w:type="dxa"/>
            <w:shd w:val="clear" w:color="auto" w:fill="auto"/>
            <w:vAlign w:val="center"/>
          </w:tcPr>
          <w:p w14:paraId="01F83609"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A, affectée au groupe d’emballage I</w:t>
            </w:r>
          </w:p>
        </w:tc>
        <w:tc>
          <w:tcPr>
            <w:tcW w:w="1190" w:type="dxa"/>
            <w:shd w:val="clear" w:color="auto" w:fill="auto"/>
            <w:vAlign w:val="center"/>
          </w:tcPr>
          <w:p w14:paraId="2A3D9B9D"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3</w:t>
            </w:r>
          </w:p>
        </w:tc>
        <w:tc>
          <w:tcPr>
            <w:tcW w:w="1245" w:type="dxa"/>
            <w:shd w:val="clear" w:color="auto" w:fill="auto"/>
            <w:vAlign w:val="center"/>
          </w:tcPr>
          <w:p w14:paraId="18878D30"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30 %</w:t>
            </w:r>
          </w:p>
        </w:tc>
        <w:tc>
          <w:tcPr>
            <w:tcW w:w="1246" w:type="dxa"/>
            <w:shd w:val="clear" w:color="auto" w:fill="auto"/>
            <w:vAlign w:val="center"/>
          </w:tcPr>
          <w:p w14:paraId="234028EE"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aucune</w:t>
            </w:r>
          </w:p>
        </w:tc>
        <w:tc>
          <w:tcPr>
            <w:tcW w:w="1248" w:type="dxa"/>
            <w:shd w:val="clear" w:color="auto" w:fill="auto"/>
            <w:vAlign w:val="center"/>
          </w:tcPr>
          <w:p w14:paraId="6F6EF8AB"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aucune</w:t>
            </w:r>
          </w:p>
        </w:tc>
      </w:tr>
      <w:tr w:rsidR="001A0EB0" w:rsidRPr="008E3896" w14:paraId="6C4CF8DE" w14:textId="77777777" w:rsidTr="008E3896">
        <w:trPr>
          <w:cantSplit/>
        </w:trPr>
        <w:tc>
          <w:tcPr>
            <w:tcW w:w="1869" w:type="dxa"/>
            <w:shd w:val="clear" w:color="auto" w:fill="auto"/>
            <w:vAlign w:val="center"/>
          </w:tcPr>
          <w:p w14:paraId="227CAEFB"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B, affectée au groupe d’emballage I</w:t>
            </w:r>
          </w:p>
        </w:tc>
        <w:tc>
          <w:tcPr>
            <w:tcW w:w="1190" w:type="dxa"/>
            <w:shd w:val="clear" w:color="auto" w:fill="auto"/>
            <w:vAlign w:val="center"/>
          </w:tcPr>
          <w:p w14:paraId="24518BFB"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2</w:t>
            </w:r>
          </w:p>
        </w:tc>
        <w:tc>
          <w:tcPr>
            <w:tcW w:w="1245" w:type="dxa"/>
            <w:shd w:val="clear" w:color="auto" w:fill="auto"/>
            <w:vAlign w:val="center"/>
          </w:tcPr>
          <w:p w14:paraId="6773E9E2"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20 %</w:t>
            </w:r>
          </w:p>
        </w:tc>
        <w:tc>
          <w:tcPr>
            <w:tcW w:w="1246" w:type="dxa"/>
            <w:shd w:val="clear" w:color="auto" w:fill="auto"/>
            <w:vAlign w:val="center"/>
          </w:tcPr>
          <w:p w14:paraId="64E06ACD"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10%</w:t>
            </w:r>
          </w:p>
        </w:tc>
        <w:tc>
          <w:tcPr>
            <w:tcW w:w="1248" w:type="dxa"/>
            <w:shd w:val="clear" w:color="auto" w:fill="auto"/>
            <w:vAlign w:val="center"/>
          </w:tcPr>
          <w:p w14:paraId="106E234D"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aucune</w:t>
            </w:r>
          </w:p>
        </w:tc>
      </w:tr>
      <w:tr w:rsidR="001A0EB0" w:rsidRPr="008E3896" w14:paraId="4E1C77F5" w14:textId="77777777" w:rsidTr="008E3896">
        <w:trPr>
          <w:cantSplit/>
        </w:trPr>
        <w:tc>
          <w:tcPr>
            <w:tcW w:w="1869" w:type="dxa"/>
            <w:shd w:val="clear" w:color="auto" w:fill="auto"/>
            <w:vAlign w:val="center"/>
          </w:tcPr>
          <w:p w14:paraId="5FF449D1"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C, affectée au groupe d’emballage III</w:t>
            </w:r>
          </w:p>
        </w:tc>
        <w:tc>
          <w:tcPr>
            <w:tcW w:w="1190" w:type="dxa"/>
            <w:shd w:val="clear" w:color="auto" w:fill="auto"/>
            <w:vAlign w:val="center"/>
          </w:tcPr>
          <w:p w14:paraId="39C0C9CB"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10</w:t>
            </w:r>
          </w:p>
        </w:tc>
        <w:tc>
          <w:tcPr>
            <w:tcW w:w="1245" w:type="dxa"/>
            <w:shd w:val="clear" w:color="auto" w:fill="auto"/>
            <w:vAlign w:val="center"/>
          </w:tcPr>
          <w:p w14:paraId="340A35AE"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aucune</w:t>
            </w:r>
          </w:p>
        </w:tc>
        <w:tc>
          <w:tcPr>
            <w:tcW w:w="1246" w:type="dxa"/>
            <w:shd w:val="clear" w:color="auto" w:fill="auto"/>
            <w:vAlign w:val="center"/>
          </w:tcPr>
          <w:p w14:paraId="06BA3240"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aucune</w:t>
            </w:r>
          </w:p>
        </w:tc>
        <w:tc>
          <w:tcPr>
            <w:tcW w:w="1248" w:type="dxa"/>
            <w:shd w:val="clear" w:color="auto" w:fill="auto"/>
            <w:vAlign w:val="center"/>
          </w:tcPr>
          <w:p w14:paraId="30267327" w14:textId="77777777" w:rsidR="001A0EB0" w:rsidRPr="008E3896" w:rsidRDefault="001A0EB0" w:rsidP="008E3896">
            <w:pPr>
              <w:kinsoku w:val="0"/>
              <w:overflowPunct w:val="0"/>
              <w:autoSpaceDE w:val="0"/>
              <w:autoSpaceDN w:val="0"/>
              <w:adjustRightInd w:val="0"/>
              <w:snapToGrid w:val="0"/>
              <w:spacing w:before="40" w:after="40" w:line="220" w:lineRule="exact"/>
              <w:ind w:left="57" w:right="28"/>
              <w:jc w:val="center"/>
              <w:rPr>
                <w:sz w:val="18"/>
                <w:szCs w:val="18"/>
              </w:rPr>
            </w:pPr>
            <w:r w:rsidRPr="008E3896">
              <w:rPr>
                <w:sz w:val="18"/>
                <w:szCs w:val="18"/>
              </w:rPr>
              <w:t>aucune</w:t>
            </w:r>
          </w:p>
        </w:tc>
      </w:tr>
    </w:tbl>
    <w:p w14:paraId="3532D536" w14:textId="3C7424D1" w:rsidR="001A0EB0" w:rsidRPr="00DB7783" w:rsidRDefault="001A0EB0" w:rsidP="001A0EB0">
      <w:pPr>
        <w:spacing w:before="120" w:after="120" w:line="240" w:lineRule="auto"/>
        <w:ind w:left="1134" w:right="1134"/>
        <w:jc w:val="both"/>
        <w:rPr>
          <w:i/>
        </w:rPr>
      </w:pPr>
      <w:r w:rsidRPr="00DB7783">
        <w:rPr>
          <w:i/>
        </w:rPr>
        <w:t>Calc</w:t>
      </w:r>
      <w:r w:rsidR="00771312">
        <w:rPr>
          <w:i/>
        </w:rPr>
        <w:t>ul pour le groupe d’emballage I</w:t>
      </w:r>
      <w:r w:rsidRPr="00DB7783">
        <w:rPr>
          <w:i/>
        </w:rPr>
        <w:t>:</w:t>
      </w:r>
      <w:r w:rsidRPr="00DB7783">
        <w:rPr>
          <w:i/>
        </w:rPr>
        <w:tab/>
      </w:r>
      <m:oMath>
        <m:f>
          <m:fPr>
            <m:ctrlPr>
              <w:rPr>
                <w:rFonts w:ascii="Cambria Math" w:hAnsi="Cambria Math"/>
                <w:i/>
                <w:vertAlign w:val="subscript"/>
              </w:rPr>
            </m:ctrlPr>
          </m:fPr>
          <m:num>
            <m:r>
              <w:rPr>
                <w:rFonts w:ascii="Cambria Math" w:hAnsi="Cambria Math"/>
              </w:rPr>
              <m:t>3 (conc A)</m:t>
            </m:r>
          </m:num>
          <m:den>
            <m:r>
              <w:rPr>
                <w:rFonts w:ascii="Cambria Math" w:hAnsi="Cambria Math"/>
                <w:vertAlign w:val="subscript"/>
              </w:rPr>
              <m:t>30 (SCL PGI)</m:t>
            </m:r>
          </m:den>
        </m:f>
        <m:r>
          <w:rPr>
            <w:rFonts w:ascii="Cambria Math" w:hAnsi="Cambria Math"/>
            <w:vertAlign w:val="subscript"/>
          </w:rPr>
          <m:t xml:space="preserve">  + </m:t>
        </m:r>
        <m:f>
          <m:fPr>
            <m:ctrlPr>
              <w:rPr>
                <w:rFonts w:ascii="Cambria Math" w:hAnsi="Cambria Math"/>
                <w:i/>
                <w:vertAlign w:val="subscript"/>
              </w:rPr>
            </m:ctrlPr>
          </m:fPr>
          <m:num>
            <m:r>
              <w:rPr>
                <w:rFonts w:ascii="Cambria Math" w:hAnsi="Cambria Math"/>
                <w:vertAlign w:val="subscript"/>
              </w:rPr>
              <m:t xml:space="preserve">2 (conc B)  </m:t>
            </m:r>
          </m:num>
          <m:den>
            <m:r>
              <w:rPr>
                <w:rFonts w:ascii="Cambria Math" w:hAnsi="Cambria Math"/>
                <w:vertAlign w:val="subscript"/>
              </w:rPr>
              <m:t>20 (SCL PGI)</m:t>
            </m:r>
          </m:den>
        </m:f>
        <m:r>
          <w:rPr>
            <w:rFonts w:ascii="Cambria Math" w:hAnsi="Cambria Math"/>
            <w:vertAlign w:val="subscript"/>
          </w:rPr>
          <m:t>=0,2&lt;1</m:t>
        </m:r>
      </m:oMath>
    </w:p>
    <w:p w14:paraId="7A2A3EF9" w14:textId="77777777" w:rsidR="001A0EB0" w:rsidRPr="00DB7783" w:rsidRDefault="001A0EB0" w:rsidP="001A0EB0">
      <w:pPr>
        <w:spacing w:before="120" w:after="120" w:line="240" w:lineRule="auto"/>
        <w:ind w:left="1134" w:right="1134"/>
        <w:jc w:val="both"/>
        <w:rPr>
          <w:i/>
        </w:rPr>
      </w:pPr>
      <w:r w:rsidRPr="00DB7783">
        <w:rPr>
          <w:i/>
        </w:rPr>
        <w:t>Le critère pour le groupe d’emballage I n’est pas respecté.</w:t>
      </w:r>
    </w:p>
    <w:p w14:paraId="41BEC5CD" w14:textId="293B541F" w:rsidR="001A0EB0" w:rsidRPr="00DB7783" w:rsidRDefault="001A0EB0" w:rsidP="001A0EB0">
      <w:pPr>
        <w:spacing w:before="120" w:after="120" w:line="240" w:lineRule="auto"/>
        <w:ind w:left="1134" w:right="1134"/>
        <w:jc w:val="both"/>
        <w:rPr>
          <w:i/>
          <w:vertAlign w:val="subscript"/>
        </w:rPr>
      </w:pPr>
      <w:r w:rsidRPr="00DB7783">
        <w:rPr>
          <w:i/>
        </w:rPr>
        <w:t>Calcu</w:t>
      </w:r>
      <w:r w:rsidR="00771312">
        <w:rPr>
          <w:i/>
        </w:rPr>
        <w:t>l pour le groupe d’emballage II</w:t>
      </w:r>
      <w:r w:rsidRPr="00DB7783">
        <w:rPr>
          <w:i/>
        </w:rPr>
        <w:t>:</w:t>
      </w:r>
      <w:r w:rsidRPr="00DB7783">
        <w:rPr>
          <w:i/>
        </w:rPr>
        <w:tab/>
      </w:r>
      <m:oMath>
        <m:f>
          <m:fPr>
            <m:ctrlPr>
              <w:rPr>
                <w:rFonts w:ascii="Cambria Math" w:hAnsi="Cambria Math"/>
                <w:i/>
                <w:vertAlign w:val="subscript"/>
              </w:rPr>
            </m:ctrlPr>
          </m:fPr>
          <m:num>
            <m:r>
              <w:rPr>
                <w:rFonts w:ascii="Cambria Math" w:hAnsi="Cambria Math"/>
              </w:rPr>
              <m:t>3 (conc A)</m:t>
            </m:r>
          </m:num>
          <m:den>
            <m:r>
              <w:rPr>
                <w:rFonts w:ascii="Cambria Math" w:hAnsi="Cambria Math"/>
                <w:vertAlign w:val="subscript"/>
              </w:rPr>
              <m:t>5 (GCL PG II)</m:t>
            </m:r>
          </m:den>
        </m:f>
        <m:r>
          <w:rPr>
            <w:rFonts w:ascii="Cambria Math" w:hAnsi="Cambria Math"/>
            <w:vertAlign w:val="subscript"/>
          </w:rPr>
          <m:t xml:space="preserve">  + </m:t>
        </m:r>
        <m:f>
          <m:fPr>
            <m:ctrlPr>
              <w:rPr>
                <w:rFonts w:ascii="Cambria Math" w:hAnsi="Cambria Math"/>
                <w:i/>
                <w:vertAlign w:val="subscript"/>
              </w:rPr>
            </m:ctrlPr>
          </m:fPr>
          <m:num>
            <m:r>
              <w:rPr>
                <w:rFonts w:ascii="Cambria Math" w:hAnsi="Cambria Math"/>
                <w:vertAlign w:val="subscript"/>
              </w:rPr>
              <m:t xml:space="preserve">2 (conc B)  </m:t>
            </m:r>
          </m:num>
          <m:den>
            <m:r>
              <w:rPr>
                <w:rFonts w:ascii="Cambria Math" w:hAnsi="Cambria Math"/>
                <w:vertAlign w:val="subscript"/>
              </w:rPr>
              <m:t>10 (SCL PG II)</m:t>
            </m:r>
          </m:den>
        </m:f>
        <m:r>
          <w:rPr>
            <w:rFonts w:ascii="Cambria Math" w:hAnsi="Cambria Math"/>
            <w:vertAlign w:val="subscript"/>
          </w:rPr>
          <m:t>=0,8&lt;1</m:t>
        </m:r>
      </m:oMath>
    </w:p>
    <w:p w14:paraId="4EB72050" w14:textId="77777777" w:rsidR="001A0EB0" w:rsidRPr="00DB7783" w:rsidRDefault="001A0EB0" w:rsidP="001A0EB0">
      <w:pPr>
        <w:spacing w:before="120" w:after="120" w:line="240" w:lineRule="auto"/>
        <w:ind w:left="1134" w:right="1134"/>
        <w:jc w:val="both"/>
        <w:rPr>
          <w:i/>
        </w:rPr>
      </w:pPr>
      <w:r w:rsidRPr="00DB7783">
        <w:rPr>
          <w:i/>
        </w:rPr>
        <w:t>Le critère pour le groupe d’emballage II n’est pas respecté.</w:t>
      </w:r>
    </w:p>
    <w:p w14:paraId="625F8AE8" w14:textId="6799DD6F" w:rsidR="001A0EB0" w:rsidRPr="00DB7783" w:rsidRDefault="001A0EB0" w:rsidP="001A0EB0">
      <w:pPr>
        <w:spacing w:before="120" w:after="120" w:line="240" w:lineRule="auto"/>
        <w:ind w:left="1134" w:right="1134"/>
        <w:jc w:val="both"/>
        <w:rPr>
          <w:i/>
        </w:rPr>
      </w:pPr>
      <w:r w:rsidRPr="00DB7783">
        <w:rPr>
          <w:i/>
        </w:rPr>
        <w:t>Calcul</w:t>
      </w:r>
      <w:r w:rsidR="00771312">
        <w:rPr>
          <w:i/>
        </w:rPr>
        <w:t xml:space="preserve"> pour le groupe d’emballage III</w:t>
      </w:r>
      <w:r w:rsidRPr="00DB7783">
        <w:rPr>
          <w:i/>
        </w:rPr>
        <w:t>:</w:t>
      </w:r>
    </w:p>
    <w:p w14:paraId="0660CB10" w14:textId="77777777" w:rsidR="001A0EB0" w:rsidRPr="00DB7783" w:rsidRDefault="001A0EB0" w:rsidP="001A0EB0">
      <w:pPr>
        <w:spacing w:before="120" w:after="120" w:line="240" w:lineRule="auto"/>
        <w:ind w:left="1134" w:right="1134"/>
        <w:jc w:val="both"/>
        <w:rPr>
          <w:i/>
          <w:vertAlign w:val="subscript"/>
        </w:rPr>
      </w:pPr>
      <w:r w:rsidRPr="00DB7783">
        <w:rPr>
          <w:i/>
        </w:rPr>
        <w:tab/>
      </w:r>
      <m:oMath>
        <m:f>
          <m:fPr>
            <m:ctrlPr>
              <w:rPr>
                <w:rFonts w:ascii="Cambria Math" w:hAnsi="Cambria Math"/>
                <w:i/>
                <w:vertAlign w:val="subscript"/>
              </w:rPr>
            </m:ctrlPr>
          </m:fPr>
          <m:num>
            <m:r>
              <w:rPr>
                <w:rFonts w:ascii="Cambria Math" w:hAnsi="Cambria Math"/>
              </w:rPr>
              <m:t>3 (conc A)</m:t>
            </m:r>
          </m:num>
          <m:den>
            <m:r>
              <w:rPr>
                <w:rFonts w:ascii="Cambria Math" w:hAnsi="Cambria Math"/>
                <w:vertAlign w:val="subscript"/>
              </w:rPr>
              <m:t>5 (GCL PGIII)</m:t>
            </m:r>
          </m:den>
        </m:f>
        <m:r>
          <w:rPr>
            <w:rFonts w:ascii="Cambria Math" w:hAnsi="Cambria Math"/>
            <w:vertAlign w:val="subscript"/>
          </w:rPr>
          <m:t xml:space="preserve">  + </m:t>
        </m:r>
        <m:f>
          <m:fPr>
            <m:ctrlPr>
              <w:rPr>
                <w:rFonts w:ascii="Cambria Math" w:hAnsi="Cambria Math"/>
                <w:i/>
                <w:vertAlign w:val="subscript"/>
              </w:rPr>
            </m:ctrlPr>
          </m:fPr>
          <m:num>
            <m:r>
              <w:rPr>
                <w:rFonts w:ascii="Cambria Math" w:hAnsi="Cambria Math"/>
                <w:vertAlign w:val="subscript"/>
              </w:rPr>
              <m:t xml:space="preserve">2 (conc B)  </m:t>
            </m:r>
          </m:num>
          <m:den>
            <m:r>
              <w:rPr>
                <w:rFonts w:ascii="Cambria Math" w:hAnsi="Cambria Math"/>
                <w:vertAlign w:val="subscript"/>
              </w:rPr>
              <m:t>5 (GCL PG III)</m:t>
            </m:r>
          </m:den>
        </m:f>
        <m:r>
          <w:rPr>
            <w:rFonts w:ascii="Cambria Math" w:hAnsi="Cambria Math"/>
            <w:vertAlign w:val="subscript"/>
          </w:rPr>
          <m:t xml:space="preserve"> + </m:t>
        </m:r>
        <m:f>
          <m:fPr>
            <m:ctrlPr>
              <w:rPr>
                <w:rFonts w:ascii="Cambria Math" w:hAnsi="Cambria Math"/>
                <w:i/>
                <w:vertAlign w:val="subscript"/>
              </w:rPr>
            </m:ctrlPr>
          </m:fPr>
          <m:num>
            <m:r>
              <w:rPr>
                <w:rFonts w:ascii="Cambria Math" w:hAnsi="Cambria Math"/>
                <w:vertAlign w:val="subscript"/>
              </w:rPr>
              <m:t xml:space="preserve">10 (conc C)  </m:t>
            </m:r>
          </m:num>
          <m:den>
            <m:r>
              <w:rPr>
                <w:rFonts w:ascii="Cambria Math" w:hAnsi="Cambria Math"/>
                <w:vertAlign w:val="subscript"/>
              </w:rPr>
              <m:t>5 GCL PG III)</m:t>
            </m:r>
          </m:den>
        </m:f>
        <m:r>
          <w:rPr>
            <w:rFonts w:ascii="Cambria Math" w:hAnsi="Cambria Math"/>
            <w:vertAlign w:val="subscript"/>
          </w:rPr>
          <m:t>=3 ≥ 1</m:t>
        </m:r>
      </m:oMath>
    </w:p>
    <w:p w14:paraId="4A5AE40D" w14:textId="4482D108" w:rsidR="008C5E17" w:rsidRDefault="001A0EB0" w:rsidP="001A0EB0">
      <w:pPr>
        <w:spacing w:before="120" w:after="120" w:line="240" w:lineRule="auto"/>
        <w:ind w:left="1134" w:right="1134"/>
        <w:jc w:val="both"/>
      </w:pPr>
      <w:r w:rsidRPr="00DB7783">
        <w:rPr>
          <w:i/>
        </w:rPr>
        <w:t>Le critère pour le grou</w:t>
      </w:r>
      <w:r w:rsidR="00771312">
        <w:rPr>
          <w:i/>
        </w:rPr>
        <w:t>pe d’emballage III est respecté</w:t>
      </w:r>
      <w:r w:rsidRPr="00DB7783">
        <w:rPr>
          <w:i/>
        </w:rPr>
        <w:t>; le mélange est affecté à la classe 8, groupe d’emballage III.</w:t>
      </w:r>
      <w:r w:rsidRPr="00DB7783">
        <w:t> </w:t>
      </w:r>
    </w:p>
    <w:p w14:paraId="1BEBAC41" w14:textId="77777777" w:rsidR="001A0EB0" w:rsidRPr="00167E05" w:rsidRDefault="001A0EB0" w:rsidP="001A0EB0">
      <w:pPr>
        <w:spacing w:before="120" w:after="120" w:line="240" w:lineRule="auto"/>
        <w:ind w:left="1134" w:right="1134"/>
        <w:jc w:val="both"/>
        <w:rPr>
          <w:b/>
        </w:rPr>
      </w:pPr>
    </w:p>
    <w:p w14:paraId="0DE2DF35" w14:textId="77777777" w:rsidR="00F27C60" w:rsidRDefault="00F27C60">
      <w:pPr>
        <w:suppressAutoHyphens w:val="0"/>
        <w:spacing w:line="240" w:lineRule="auto"/>
        <w:rPr>
          <w:b/>
        </w:rPr>
      </w:pPr>
      <w:r>
        <w:rPr>
          <w:b/>
        </w:rPr>
        <w:br w:type="page"/>
      </w:r>
    </w:p>
    <w:p w14:paraId="3B3BF1CF" w14:textId="1EDFE1B7" w:rsidR="001A0EB0" w:rsidRDefault="001A0EB0" w:rsidP="001A0EB0">
      <w:pPr>
        <w:spacing w:before="120" w:after="120" w:line="240" w:lineRule="auto"/>
        <w:ind w:left="1134" w:right="1134"/>
        <w:jc w:val="center"/>
        <w:rPr>
          <w:b/>
        </w:rPr>
      </w:pPr>
      <w:r w:rsidRPr="00167E05">
        <w:rPr>
          <w:b/>
        </w:rPr>
        <w:lastRenderedPageBreak/>
        <w:t>Figure 2.8.4.3: Méthode de calcul</w:t>
      </w:r>
    </w:p>
    <w:p w14:paraId="4F7D63B4" w14:textId="21059235" w:rsidR="004337F4" w:rsidRPr="00167E05" w:rsidRDefault="004337F4" w:rsidP="001A0EB0">
      <w:pPr>
        <w:spacing w:before="120" w:after="120" w:line="240" w:lineRule="auto"/>
        <w:ind w:left="1134" w:right="1134"/>
        <w:jc w:val="center"/>
        <w:rPr>
          <w:noProof/>
        </w:rPr>
      </w:pPr>
      <w:r>
        <w:rPr>
          <w:noProof/>
        </w:rPr>
        <w:object w:dxaOrig="9891" w:dyaOrig="7551" w14:anchorId="5542D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294pt" o:ole="">
            <v:imagedata r:id="rId10" o:title=""/>
          </v:shape>
          <o:OLEObject Type="Embed" ProgID="Visio.Drawing.15" ShapeID="_x0000_i1025" DrawAspect="Content" ObjectID="_1548743391" r:id="rId11"/>
        </w:object>
      </w:r>
    </w:p>
    <w:p w14:paraId="1068BE0C" w14:textId="77777777" w:rsidR="001A0EB0" w:rsidRPr="00167E05" w:rsidRDefault="001A0EB0" w:rsidP="001A0EB0">
      <w:pPr>
        <w:spacing w:before="120" w:after="120" w:line="240" w:lineRule="auto"/>
        <w:ind w:left="1134" w:right="1134"/>
        <w:jc w:val="both"/>
        <w:rPr>
          <w:b/>
          <w:lang w:val="fr-FR"/>
        </w:rPr>
      </w:pPr>
      <w:r w:rsidRPr="00167E05">
        <w:rPr>
          <w:b/>
          <w:lang w:val="fr-FR"/>
        </w:rPr>
        <w:t xml:space="preserve">2.8.5 </w:t>
      </w:r>
      <w:r w:rsidRPr="00167E05">
        <w:rPr>
          <w:b/>
          <w:lang w:val="fr-FR"/>
        </w:rPr>
        <w:tab/>
      </w:r>
      <w:r w:rsidRPr="00167E05">
        <w:rPr>
          <w:b/>
          <w:lang w:val="fr-FR"/>
        </w:rPr>
        <w:tab/>
        <w:t>Matières non acceptées au transport</w:t>
      </w:r>
    </w:p>
    <w:p w14:paraId="1D4F91D3" w14:textId="77777777" w:rsidR="001A0EB0" w:rsidRPr="00167E05" w:rsidRDefault="001A0EB0" w:rsidP="001A0EB0">
      <w:pPr>
        <w:spacing w:before="120" w:after="120" w:line="240" w:lineRule="auto"/>
        <w:ind w:left="1134" w:right="1134"/>
        <w:jc w:val="both"/>
      </w:pPr>
      <w:r w:rsidRPr="00167E05">
        <w:rPr>
          <w:iCs/>
          <w:lang w:val="fr-FR"/>
        </w:rPr>
        <w:t>Les matières chimiquement instables de la classe 8 ne sont pas acceptées au transport à moins que les précautions nécessaires aient été prises pour en prévenir une éventuelle décomposition dangereuse ou polymérisation dangereuse dans des conditions de transport normales. Pour les précautions à suivre afin d’éviter une polymérisation, voir la disposition spéciale </w:t>
      </w:r>
      <w:r w:rsidRPr="00167E05">
        <w:rPr>
          <w:lang w:val="fr-FR"/>
        </w:rPr>
        <w:t>386 du chapitre 3.3</w:t>
      </w:r>
      <w:r w:rsidRPr="00167E05">
        <w:rPr>
          <w:iCs/>
          <w:lang w:val="fr-FR"/>
        </w:rPr>
        <w:t>. À cette fin, on doit en particulier veiller à ce que les récipients et citernes ne contiennent aucune matière susceptible de favoriser ces réactions.</w:t>
      </w:r>
      <w:r w:rsidRPr="00167E05">
        <w:t>»</w:t>
      </w:r>
      <w:r>
        <w:t>.</w:t>
      </w:r>
    </w:p>
    <w:p w14:paraId="705E2938" w14:textId="77777777" w:rsidR="00196C06" w:rsidRPr="0059443A" w:rsidRDefault="001A0EB0" w:rsidP="00196C06">
      <w:pPr>
        <w:pStyle w:val="H1G"/>
      </w:pPr>
      <w:r>
        <w:tab/>
      </w:r>
      <w:r w:rsidR="00196C06" w:rsidRPr="0059443A">
        <w:tab/>
        <w:t>Chapitre 2.9</w:t>
      </w:r>
    </w:p>
    <w:p w14:paraId="59A29E1F" w14:textId="77777777" w:rsidR="00EE09DD" w:rsidRDefault="00EE09DD" w:rsidP="00EE09DD">
      <w:pPr>
        <w:pStyle w:val="SingleTxtG"/>
        <w:rPr>
          <w:lang w:val="fr-FR"/>
        </w:rPr>
      </w:pPr>
      <w:r w:rsidRPr="00455FD1">
        <w:rPr>
          <w:lang w:val="fr-FR"/>
        </w:rPr>
        <w:t>2.9.2</w:t>
      </w:r>
      <w:r w:rsidRPr="00455FD1">
        <w:rPr>
          <w:lang w:val="fr-FR"/>
        </w:rPr>
        <w:tab/>
        <w:t xml:space="preserve">Sous le titre </w:t>
      </w:r>
      <w:r>
        <w:rPr>
          <w:lang w:val="fr-FR"/>
        </w:rPr>
        <w:t>«</w:t>
      </w:r>
      <w:r w:rsidRPr="00455FD1">
        <w:rPr>
          <w:b/>
          <w:i/>
          <w:lang w:val="fr-FR"/>
        </w:rPr>
        <w:t>Piles au lithium</w:t>
      </w:r>
      <w:r w:rsidRPr="00455FD1">
        <w:rPr>
          <w:lang w:val="fr-FR"/>
        </w:rPr>
        <w:t>»</w:t>
      </w:r>
      <w:r>
        <w:rPr>
          <w:lang w:val="fr-FR"/>
        </w:rPr>
        <w:t>, ajouter la nouvelle rubrique suivante:</w:t>
      </w:r>
    </w:p>
    <w:p w14:paraId="4E98F7FB" w14:textId="77777777" w:rsidR="00EE09DD" w:rsidRPr="00455FD1" w:rsidRDefault="00EE09DD" w:rsidP="00EE09DD">
      <w:pPr>
        <w:pStyle w:val="SingleTxtG"/>
      </w:pPr>
      <w:r w:rsidRPr="00455FD1">
        <w:t>«3536</w:t>
      </w:r>
      <w:r w:rsidRPr="00455FD1">
        <w:tab/>
      </w:r>
      <w:r w:rsidRPr="0059443A">
        <w:rPr>
          <w:sz w:val="18"/>
          <w:szCs w:val="18"/>
        </w:rPr>
        <w:t>BATTERIES AU LITHIUM INSTALLÉES DANS DES ENGINS DE TRANSPORT</w:t>
      </w:r>
      <w:r w:rsidRPr="00455FD1">
        <w:t>».</w:t>
      </w:r>
    </w:p>
    <w:p w14:paraId="7EC06AE1" w14:textId="30651EA2" w:rsidR="00BD056C" w:rsidRDefault="00BD056C" w:rsidP="00BD056C">
      <w:pPr>
        <w:pStyle w:val="SingleTxtG"/>
      </w:pPr>
      <w:r>
        <w:t>2.9.2</w:t>
      </w:r>
      <w:r>
        <w:tab/>
        <w:t>Avant la dernière subdivision, ajouter la nouvelle subdivision suivante:</w:t>
      </w:r>
    </w:p>
    <w:p w14:paraId="1607EC23" w14:textId="72028AA1" w:rsidR="00BD056C" w:rsidRPr="00BD056C" w:rsidRDefault="00BD056C" w:rsidP="00BD056C">
      <w:pPr>
        <w:pStyle w:val="SingleTxtG"/>
      </w:pPr>
      <w:r>
        <w:t>«</w:t>
      </w:r>
      <w:r w:rsidRPr="00BD056C">
        <w:rPr>
          <w:b/>
          <w:i/>
        </w:rPr>
        <w:t>Engrais au nitrate d’ammonium</w:t>
      </w:r>
      <w:r w:rsidRPr="00BD056C">
        <w:t xml:space="preserve"> </w:t>
      </w:r>
    </w:p>
    <w:p w14:paraId="48FAB2FC" w14:textId="77777777" w:rsidR="00BD056C" w:rsidRPr="00BD056C" w:rsidRDefault="00BD056C" w:rsidP="00BD056C">
      <w:pPr>
        <w:pStyle w:val="SingleTxtG"/>
      </w:pPr>
      <w:r w:rsidRPr="00BD056C">
        <w:t xml:space="preserve">2071 ENGRAIS AU NITRATE D’AMMONIUM </w:t>
      </w:r>
    </w:p>
    <w:p w14:paraId="3255050B" w14:textId="0D54D23F" w:rsidR="00BD056C" w:rsidRDefault="00BD056C" w:rsidP="00BD056C">
      <w:pPr>
        <w:pStyle w:val="SingleTxtG"/>
      </w:pPr>
      <w:r w:rsidRPr="00BD056C">
        <w:t>Les engrais au nitrate d’ammonium sont classés conformément à la procédure définie dans le Manuel d’épreuves et de critère</w:t>
      </w:r>
      <w:r>
        <w:t>s, troisième partie, section 39.</w:t>
      </w:r>
      <w:r w:rsidRPr="00BD056C">
        <w:t>».</w:t>
      </w:r>
    </w:p>
    <w:p w14:paraId="24848ED6" w14:textId="003B7778" w:rsidR="00EE09DD" w:rsidRDefault="00196C06" w:rsidP="00C64110">
      <w:pPr>
        <w:pStyle w:val="SingleTxtG"/>
      </w:pPr>
      <w:r w:rsidRPr="008E4C82">
        <w:t>2.9.2</w:t>
      </w:r>
      <w:r w:rsidRPr="008E4C82">
        <w:tab/>
        <w:t>Dans le titre de la dernière subdivision, remplacer «risque» par «danger» (pour lire «Autres matières et objets présentant un danger au cours du transport, mais ne relevant pas de la définition d’une autre classe»)</w:t>
      </w:r>
      <w:r w:rsidR="00EE09DD">
        <w:t xml:space="preserve">. </w:t>
      </w:r>
      <w:r w:rsidR="00AD051F">
        <w:t>Sous ce titre, supprimer la rubrique «</w:t>
      </w:r>
      <w:r w:rsidR="00AD051F" w:rsidRPr="00AA10BE">
        <w:t xml:space="preserve">2071 </w:t>
      </w:r>
      <w:r w:rsidR="00AD051F">
        <w:t xml:space="preserve">ENGRAIS AU NITRATE D’AMMONIUM» et ajouter </w:t>
      </w:r>
      <w:r w:rsidR="00EE09DD">
        <w:t xml:space="preserve">la nouvelle rubrique suivante </w:t>
      </w:r>
      <w:r w:rsidR="00EE09DD" w:rsidRPr="00240009">
        <w:t>à la fin:</w:t>
      </w:r>
    </w:p>
    <w:p w14:paraId="572F74A5" w14:textId="28D00264" w:rsidR="00AD051F" w:rsidRPr="003E6028" w:rsidRDefault="00EE09DD" w:rsidP="003D6AA4">
      <w:pPr>
        <w:pStyle w:val="SingleTxtG"/>
      </w:pPr>
      <w:r w:rsidRPr="003D6AA4">
        <w:lastRenderedPageBreak/>
        <w:t>«3548</w:t>
      </w:r>
      <w:r w:rsidRPr="003D6AA4">
        <w:tab/>
      </w:r>
      <w:r w:rsidRPr="003E6028">
        <w:t>OBJETS CONTENANT DES MARCHANDISES DANGEREUSES DIVERSES, N.S.A.».</w:t>
      </w:r>
    </w:p>
    <w:p w14:paraId="670635DE" w14:textId="4A3CDC14" w:rsidR="005F7655" w:rsidRPr="008A61AB" w:rsidRDefault="005F7655" w:rsidP="005F7655">
      <w:pPr>
        <w:pStyle w:val="SingleTxtG"/>
      </w:pPr>
      <w:r>
        <w:t>2.9.3.4.6.5.1</w:t>
      </w:r>
      <w:r>
        <w:tab/>
        <w:t>À la fin, supprimer «</w:t>
      </w:r>
      <w:r w:rsidRPr="008A61AB">
        <w:rPr>
          <w:lang w:val="fr-FR"/>
        </w:rPr>
        <w:t xml:space="preserve">et porter la mention suivante: "mélange composé à </w:t>
      </w:r>
      <w:r w:rsidRPr="008A61AB">
        <w:rPr>
          <w:lang w:val="fr-FR"/>
        </w:rPr>
        <w:sym w:font="Symbol" w:char="F0B4"/>
      </w:r>
      <w:r w:rsidRPr="008A61AB">
        <w:rPr>
          <w:lang w:val="fr-FR"/>
        </w:rPr>
        <w:t xml:space="preserve"> % de composants dont les dangers à l'égard de l'environnement aquatique sont inconnus"</w:t>
      </w:r>
      <w:r>
        <w:t>».</w:t>
      </w:r>
    </w:p>
    <w:p w14:paraId="586EC368" w14:textId="77EE71B1" w:rsidR="00196C06" w:rsidRPr="0059443A" w:rsidRDefault="00196C06" w:rsidP="00196C06">
      <w:pPr>
        <w:pStyle w:val="SingleTxtG"/>
        <w:rPr>
          <w:iCs/>
          <w:lang w:val="fr-FR"/>
        </w:rPr>
      </w:pPr>
      <w:r w:rsidRPr="0003613B">
        <w:rPr>
          <w:iCs/>
          <w:lang w:val="fr-FR"/>
        </w:rPr>
        <w:t>2.9.4</w:t>
      </w:r>
      <w:r w:rsidRPr="0003613B">
        <w:rPr>
          <w:iCs/>
          <w:lang w:val="fr-FR"/>
        </w:rPr>
        <w:tab/>
        <w:t xml:space="preserve">Ajouter </w:t>
      </w:r>
      <w:r w:rsidR="008B7736">
        <w:rPr>
          <w:iCs/>
          <w:lang w:val="fr-FR"/>
        </w:rPr>
        <w:t>les nouveaux alinéas</w:t>
      </w:r>
      <w:r w:rsidRPr="0003613B">
        <w:rPr>
          <w:iCs/>
          <w:lang w:val="fr-FR"/>
        </w:rPr>
        <w:t xml:space="preserve"> f) </w:t>
      </w:r>
      <w:r w:rsidR="008B7736">
        <w:rPr>
          <w:iCs/>
          <w:lang w:val="fr-FR"/>
        </w:rPr>
        <w:t xml:space="preserve">et g) </w:t>
      </w:r>
      <w:r w:rsidRPr="0003613B">
        <w:rPr>
          <w:iCs/>
          <w:lang w:val="fr-FR"/>
        </w:rPr>
        <w:t>suivant</w:t>
      </w:r>
      <w:r w:rsidR="008B7736">
        <w:rPr>
          <w:iCs/>
          <w:lang w:val="fr-FR"/>
        </w:rPr>
        <w:t>s</w:t>
      </w:r>
      <w:r w:rsidRPr="0003613B">
        <w:rPr>
          <w:iCs/>
          <w:lang w:val="fr-FR"/>
        </w:rPr>
        <w:t>:</w:t>
      </w:r>
    </w:p>
    <w:p w14:paraId="2C4B584E" w14:textId="77777777" w:rsidR="00196C06" w:rsidRPr="0059443A" w:rsidRDefault="00196C06" w:rsidP="00196C06">
      <w:pPr>
        <w:pStyle w:val="SingleTxtG"/>
        <w:rPr>
          <w:iCs/>
          <w:lang w:val="fr-FR"/>
        </w:rPr>
      </w:pPr>
      <w:r w:rsidRPr="0059443A">
        <w:rPr>
          <w:iCs/>
          <w:lang w:val="fr-FR"/>
        </w:rPr>
        <w:t>«</w:t>
      </w:r>
      <w:proofErr w:type="gramStart"/>
      <w:r w:rsidRPr="0059443A">
        <w:rPr>
          <w:iCs/>
          <w:lang w:val="fr-FR"/>
        </w:rPr>
        <w:t>f</w:t>
      </w:r>
      <w:proofErr w:type="gramEnd"/>
      <w:r w:rsidRPr="0059443A">
        <w:rPr>
          <w:iCs/>
          <w:lang w:val="fr-FR"/>
        </w:rPr>
        <w:t>)</w:t>
      </w:r>
      <w:r w:rsidRPr="0059443A">
        <w:rPr>
          <w:iCs/>
          <w:lang w:val="fr-FR"/>
        </w:rPr>
        <w:tab/>
        <w:t>Les batteries au lithium, contenant à la fois des piles primaires au lithium métal et des piles au lithium ionique rechargeables, qui ne sont pas conçues pour être chargées de l'extérieur (voir disposition spéciale 387 du chapitre 3.3), doivent satisfaire aux conditions suivantes:</w:t>
      </w:r>
    </w:p>
    <w:p w14:paraId="618774E9" w14:textId="77777777" w:rsidR="00196C06" w:rsidRPr="0059443A" w:rsidRDefault="00196C06" w:rsidP="00C64110">
      <w:pPr>
        <w:pStyle w:val="SingleTxtG"/>
        <w:ind w:left="1701"/>
        <w:rPr>
          <w:iCs/>
          <w:lang w:val="fr-FR"/>
        </w:rPr>
      </w:pPr>
      <w:r w:rsidRPr="0059443A">
        <w:rPr>
          <w:iCs/>
          <w:lang w:val="fr-FR"/>
        </w:rPr>
        <w:t>i)</w:t>
      </w:r>
      <w:r w:rsidRPr="0059443A">
        <w:rPr>
          <w:iCs/>
          <w:lang w:val="fr-FR"/>
        </w:rPr>
        <w:tab/>
        <w:t>Les piles rechargeables au lithium ionique ne peuvent être chargées qu’à partir des piles primaires au lithium métal;</w:t>
      </w:r>
    </w:p>
    <w:p w14:paraId="249D00EA" w14:textId="77777777" w:rsidR="00196C06" w:rsidRPr="0059443A" w:rsidRDefault="00196C06" w:rsidP="00C64110">
      <w:pPr>
        <w:pStyle w:val="SingleTxtG"/>
        <w:ind w:left="1701"/>
        <w:rPr>
          <w:iCs/>
          <w:lang w:val="fr-FR"/>
        </w:rPr>
      </w:pPr>
      <w:r w:rsidRPr="0059443A">
        <w:rPr>
          <w:iCs/>
          <w:lang w:val="fr-FR"/>
        </w:rPr>
        <w:t xml:space="preserve">ii) </w:t>
      </w:r>
      <w:r w:rsidRPr="0059443A">
        <w:rPr>
          <w:iCs/>
          <w:lang w:val="fr-FR"/>
        </w:rPr>
        <w:tab/>
        <w:t>La surcharge des piles rechargeables au lithium ionique est exclue par conception;</w:t>
      </w:r>
    </w:p>
    <w:p w14:paraId="3638C48F" w14:textId="77777777" w:rsidR="00196C06" w:rsidRPr="0059443A" w:rsidRDefault="00196C06" w:rsidP="00C64110">
      <w:pPr>
        <w:pStyle w:val="SingleTxtG"/>
        <w:ind w:left="1701"/>
        <w:rPr>
          <w:iCs/>
          <w:lang w:val="fr-FR"/>
        </w:rPr>
      </w:pPr>
      <w:r w:rsidRPr="0059443A">
        <w:rPr>
          <w:iCs/>
          <w:lang w:val="fr-FR"/>
        </w:rPr>
        <w:t>iii)</w:t>
      </w:r>
      <w:r w:rsidRPr="0059443A">
        <w:rPr>
          <w:iCs/>
          <w:lang w:val="fr-FR"/>
        </w:rPr>
        <w:tab/>
        <w:t>La batterie a été éprouvée comme une batterie primaire au lithium;</w:t>
      </w:r>
    </w:p>
    <w:p w14:paraId="558E68B3" w14:textId="77777777" w:rsidR="008B7736" w:rsidRDefault="00196C06" w:rsidP="00C64110">
      <w:pPr>
        <w:pStyle w:val="SingleTxtG"/>
        <w:ind w:left="1701"/>
        <w:rPr>
          <w:iCs/>
          <w:lang w:val="fr-FR"/>
        </w:rPr>
      </w:pPr>
      <w:r w:rsidRPr="0059443A">
        <w:rPr>
          <w:iCs/>
          <w:lang w:val="fr-FR"/>
        </w:rPr>
        <w:t>iv)</w:t>
      </w:r>
      <w:r w:rsidRPr="0059443A">
        <w:rPr>
          <w:iCs/>
          <w:lang w:val="fr-FR"/>
        </w:rPr>
        <w:tab/>
        <w:t>Les piles composant la batterie doivent être conformes à un type ayant satisfait aux prescriptions des épreuves de la sous-section 38.3 de la troisième partie du Manuel d'épreuves et de critères.</w:t>
      </w:r>
    </w:p>
    <w:p w14:paraId="3AD97A97" w14:textId="0E3E221A" w:rsidR="00196C06" w:rsidRPr="008E517B" w:rsidRDefault="008B7736" w:rsidP="008E517B">
      <w:pPr>
        <w:pStyle w:val="SingleTxtG"/>
      </w:pPr>
      <w:proofErr w:type="gramStart"/>
      <w:r w:rsidRPr="00C64110">
        <w:rPr>
          <w:iCs/>
        </w:rPr>
        <w:t>g</w:t>
      </w:r>
      <w:proofErr w:type="gramEnd"/>
      <w:r w:rsidRPr="00C64110">
        <w:rPr>
          <w:iCs/>
        </w:rPr>
        <w:t>)</w:t>
      </w:r>
      <w:r w:rsidRPr="00C64110">
        <w:rPr>
          <w:iCs/>
        </w:rPr>
        <w:tab/>
        <w:t xml:space="preserve">Les fabricants et distributeurs de piles ou batteries doivent mettre à disposition </w:t>
      </w:r>
      <w:r w:rsidR="00116C5D" w:rsidRPr="00C64110">
        <w:rPr>
          <w:iCs/>
        </w:rPr>
        <w:t xml:space="preserve">le </w:t>
      </w:r>
      <w:r w:rsidR="00240009" w:rsidRPr="00C64110">
        <w:rPr>
          <w:iCs/>
        </w:rPr>
        <w:t>résumé du procès-verbal</w:t>
      </w:r>
      <w:r w:rsidR="00116C5D" w:rsidRPr="00C64110">
        <w:rPr>
          <w:iCs/>
        </w:rPr>
        <w:t xml:space="preserve"> d’épreuve tel que spécifié dans le </w:t>
      </w:r>
      <w:r w:rsidR="00116C5D" w:rsidRPr="00C64110">
        <w:t xml:space="preserve">Manuel d’épreuves et de critères, </w:t>
      </w:r>
      <w:r w:rsidR="008E517B" w:rsidRPr="00C64110">
        <w:t xml:space="preserve">troisième </w:t>
      </w:r>
      <w:r w:rsidR="00116C5D" w:rsidRPr="00C64110">
        <w:t>part</w:t>
      </w:r>
      <w:r w:rsidR="008E517B" w:rsidRPr="00C64110">
        <w:t>ie</w:t>
      </w:r>
      <w:r w:rsidR="00116C5D" w:rsidRPr="00C64110">
        <w:t>, sous-section 38.3, paragraphe 38.3.5.</w:t>
      </w:r>
      <w:r w:rsidR="00196C06" w:rsidRPr="00C64110">
        <w:rPr>
          <w:iCs/>
        </w:rPr>
        <w:t>».</w:t>
      </w:r>
    </w:p>
    <w:p w14:paraId="7683B882" w14:textId="77777777" w:rsidR="00196C06" w:rsidRPr="0059443A" w:rsidRDefault="00196C06" w:rsidP="00196C06">
      <w:pPr>
        <w:pStyle w:val="H1G"/>
      </w:pPr>
      <w:r w:rsidRPr="0059443A">
        <w:tab/>
      </w:r>
      <w:r w:rsidRPr="0059443A">
        <w:tab/>
        <w:t>Chapitre 3.1</w:t>
      </w:r>
    </w:p>
    <w:p w14:paraId="364A3C80" w14:textId="77777777" w:rsidR="00196C06" w:rsidRPr="0059443A" w:rsidRDefault="00196C06" w:rsidP="00196C06">
      <w:pPr>
        <w:pStyle w:val="SingleTxtG"/>
      </w:pPr>
      <w:r w:rsidRPr="0059443A">
        <w:rPr>
          <w:lang w:eastAsia="en-GB"/>
        </w:rPr>
        <w:t>3.1.1.2</w:t>
      </w:r>
      <w:r w:rsidRPr="0059443A">
        <w:rPr>
          <w:lang w:eastAsia="en-GB"/>
        </w:rPr>
        <w:tab/>
      </w:r>
      <w:r w:rsidRPr="0059443A">
        <w:rPr>
          <w:lang w:eastAsia="en-GB"/>
        </w:rPr>
        <w:tab/>
        <w:t>À la fin, r</w:t>
      </w:r>
      <w:r w:rsidRPr="0059443A">
        <w:t>emplacer «risques» par «dangers».</w:t>
      </w:r>
    </w:p>
    <w:p w14:paraId="25B9F131" w14:textId="77777777" w:rsidR="00583629" w:rsidRPr="0059443A" w:rsidRDefault="00583629" w:rsidP="00583629">
      <w:pPr>
        <w:pStyle w:val="SingleTxtG"/>
      </w:pPr>
      <w:r w:rsidRPr="00C64110">
        <w:t>3.1.2.2</w:t>
      </w:r>
      <w:r w:rsidRPr="00C64110">
        <w:tab/>
      </w:r>
      <w:r w:rsidRPr="00C64110">
        <w:tab/>
        <w:t>Modifier la première phrase pour lire comme suit: «Si une combinaison de plusieurs désignations officielles de transport figure sous un même numéro ONU, et que celles-ci sont séparées par les conjonctions "et" ou "ou" en minuscules ou sont séparées par des virgules, seule la plus appropriée doit figurer dans le document de transport et dans les marques du colis.».</w:t>
      </w:r>
      <w:r>
        <w:t xml:space="preserve"> </w:t>
      </w:r>
      <w:r w:rsidRPr="0059443A">
        <w:t>Supprimer la deuxième phrase.</w:t>
      </w:r>
    </w:p>
    <w:p w14:paraId="38452E83" w14:textId="5CA4BAC4" w:rsidR="00327F6F" w:rsidRDefault="00327F6F" w:rsidP="004215B9">
      <w:pPr>
        <w:pStyle w:val="SingleTxtG"/>
        <w:rPr>
          <w:lang w:val="fr-FR"/>
        </w:rPr>
      </w:pPr>
      <w:r>
        <w:rPr>
          <w:lang w:val="fr-FR"/>
        </w:rPr>
        <w:t>3.1.2.6 a)</w:t>
      </w:r>
      <w:r>
        <w:rPr>
          <w:lang w:val="fr-FR"/>
        </w:rPr>
        <w:tab/>
        <w:t xml:space="preserve">Remplacer «7.1.6» par «7.1.5». </w:t>
      </w:r>
    </w:p>
    <w:p w14:paraId="6AB29191" w14:textId="288784CA" w:rsidR="004215B9" w:rsidRDefault="004215B9" w:rsidP="004215B9">
      <w:pPr>
        <w:pStyle w:val="SingleTxtG"/>
        <w:rPr>
          <w:lang w:val="fr-FR"/>
        </w:rPr>
      </w:pPr>
      <w:r>
        <w:rPr>
          <w:lang w:val="fr-FR"/>
        </w:rPr>
        <w:t xml:space="preserve">3.1.2.6 </w:t>
      </w:r>
      <w:r>
        <w:rPr>
          <w:lang w:val="fr-FR"/>
        </w:rPr>
        <w:tab/>
        <w:t xml:space="preserve">L’alinéa b) devient l’alinéa c). </w:t>
      </w:r>
      <w:r w:rsidR="00CE1820">
        <w:rPr>
          <w:lang w:val="fr-FR"/>
        </w:rPr>
        <w:t xml:space="preserve">Insérer </w:t>
      </w:r>
      <w:r>
        <w:rPr>
          <w:lang w:val="fr-FR"/>
        </w:rPr>
        <w:t>un nouvel alinéa b) pour lire comme suit:</w:t>
      </w:r>
    </w:p>
    <w:p w14:paraId="5F875897" w14:textId="044556C5" w:rsidR="004215B9" w:rsidRDefault="004215B9" w:rsidP="004215B9">
      <w:pPr>
        <w:pStyle w:val="SingleTxtG"/>
        <w:rPr>
          <w:lang w:val="fr-FR"/>
        </w:rPr>
      </w:pPr>
      <w:r>
        <w:rPr>
          <w:lang w:val="fr-FR"/>
        </w:rPr>
        <w:t>«</w:t>
      </w:r>
      <w:proofErr w:type="gramStart"/>
      <w:r w:rsidRPr="00762E72">
        <w:rPr>
          <w:lang w:val="fr-FR"/>
        </w:rPr>
        <w:t>b</w:t>
      </w:r>
      <w:proofErr w:type="gramEnd"/>
      <w:r w:rsidRPr="00762E72">
        <w:rPr>
          <w:lang w:val="fr-FR"/>
        </w:rPr>
        <w:t>)</w:t>
      </w:r>
      <w:r w:rsidRPr="00762E72">
        <w:rPr>
          <w:lang w:val="fr-FR"/>
        </w:rPr>
        <w:tab/>
        <w:t>À moins qu’ils ne figurent déjà, en lettres majuscules, dans le nom indiqué dans la Liste des march</w:t>
      </w:r>
      <w:r>
        <w:rPr>
          <w:lang w:val="fr-FR"/>
        </w:rPr>
        <w:t>andises dangereuses, les mots «AVEC RÉGULATION DE TEMPÉRATURE</w:t>
      </w:r>
      <w:r w:rsidRPr="00762E72">
        <w:rPr>
          <w:lang w:val="fr-FR"/>
        </w:rPr>
        <w:t>» doivent être ajoutés dans la dési</w:t>
      </w:r>
      <w:r>
        <w:rPr>
          <w:lang w:val="fr-FR"/>
        </w:rPr>
        <w:t>gnation officielle de transport</w:t>
      </w:r>
      <w:r w:rsidRPr="00762E72">
        <w:rPr>
          <w:lang w:val="fr-FR"/>
        </w:rPr>
        <w:t>;</w:t>
      </w:r>
      <w:r>
        <w:rPr>
          <w:lang w:val="fr-FR"/>
        </w:rPr>
        <w:t>».</w:t>
      </w:r>
    </w:p>
    <w:p w14:paraId="5498D7D6" w14:textId="77777777" w:rsidR="00196C06" w:rsidRDefault="00196C06" w:rsidP="00196C06">
      <w:pPr>
        <w:pStyle w:val="SingleTxtG"/>
        <w:rPr>
          <w:lang w:eastAsia="en-GB"/>
        </w:rPr>
      </w:pPr>
      <w:r w:rsidRPr="005A2927">
        <w:rPr>
          <w:lang w:val="fr-FR"/>
        </w:rPr>
        <w:t xml:space="preserve">3.1.2.8.1.1 </w:t>
      </w:r>
      <w:r>
        <w:rPr>
          <w:lang w:val="fr-FR"/>
        </w:rPr>
        <w:tab/>
      </w:r>
      <w:r w:rsidRPr="005A2927">
        <w:rPr>
          <w:lang w:val="fr-FR"/>
        </w:rPr>
        <w:t xml:space="preserve">Dans la dernière phrase, remplacer «risque» par «danger» et après «(OMS)» ajouter </w:t>
      </w:r>
      <w:proofErr w:type="gramStart"/>
      <w:r w:rsidRPr="005A2927">
        <w:rPr>
          <w:lang w:val="fr-FR"/>
        </w:rPr>
        <w:t>«(</w:t>
      </w:r>
      <w:proofErr w:type="gramEnd"/>
      <w:r w:rsidRPr="005A2927">
        <w:rPr>
          <w:lang w:val="fr-FR"/>
        </w:rPr>
        <w:t xml:space="preserve">The WHO </w:t>
      </w:r>
      <w:proofErr w:type="spellStart"/>
      <w:r w:rsidRPr="005A2927">
        <w:rPr>
          <w:lang w:val="fr-FR"/>
        </w:rPr>
        <w:t>recommended</w:t>
      </w:r>
      <w:proofErr w:type="spellEnd"/>
      <w:r w:rsidRPr="005A2927">
        <w:rPr>
          <w:lang w:val="fr-FR"/>
        </w:rPr>
        <w:t xml:space="preserve"> classification of pesticides by </w:t>
      </w:r>
      <w:proofErr w:type="spellStart"/>
      <w:r w:rsidRPr="005A2927">
        <w:rPr>
          <w:lang w:val="fr-FR"/>
        </w:rPr>
        <w:t>hazard</w:t>
      </w:r>
      <w:proofErr w:type="spellEnd"/>
      <w:r w:rsidRPr="005A2927">
        <w:rPr>
          <w:lang w:val="fr-FR"/>
        </w:rPr>
        <w:t xml:space="preserve"> and guidelines to classification)».</w:t>
      </w:r>
    </w:p>
    <w:p w14:paraId="5520051D" w14:textId="6005A0CF" w:rsidR="00196C06" w:rsidRPr="0059443A" w:rsidRDefault="00196C06" w:rsidP="00196C06">
      <w:pPr>
        <w:pStyle w:val="SingleTxtG"/>
      </w:pPr>
      <w:r w:rsidRPr="0059443A">
        <w:rPr>
          <w:lang w:eastAsia="en-GB"/>
        </w:rPr>
        <w:t>3.1.2.8.1.2</w:t>
      </w:r>
      <w:r w:rsidRPr="0059443A">
        <w:rPr>
          <w:lang w:eastAsia="en-GB"/>
        </w:rPr>
        <w:tab/>
      </w:r>
      <w:r w:rsidR="00BF6723">
        <w:t xml:space="preserve">Modifier la première phrase pour lire comme suit: «Lorsqu'un mélange de marchandises dangereuses ou des objets contenant des marchandises dangereuses sont décrits par l'une des rubriques "N.S.A." ou "générique" assortie de la disposition spéciale 274 dans la Liste des marchandises dangereuses, il suffit d'indiquer les deux constituants </w:t>
      </w:r>
      <w:r w:rsidR="00BF6723" w:rsidRPr="00417D49">
        <w:t>qui concourent le plus au danger ou aux dangers du mélange ou des objets, exception faite</w:t>
      </w:r>
      <w:r w:rsidR="00BF6723">
        <w:t xml:space="preserve"> des matières soumises à un contrôle lorsque leur divulgation est interdite par une loi </w:t>
      </w:r>
      <w:r w:rsidR="00BF6723">
        <w:lastRenderedPageBreak/>
        <w:t xml:space="preserve">nationale ou une convention internationale.». </w:t>
      </w:r>
      <w:r w:rsidR="00BF6723">
        <w:rPr>
          <w:lang w:eastAsia="en-GB"/>
        </w:rPr>
        <w:t>Dans la deuxième phrase, r</w:t>
      </w:r>
      <w:r w:rsidRPr="0059443A">
        <w:t>emplacer «risque» par «danger» (deux fois).</w:t>
      </w:r>
    </w:p>
    <w:p w14:paraId="340AD22C" w14:textId="77777777" w:rsidR="002D5CD0" w:rsidRDefault="002D5CD0" w:rsidP="002D5CD0">
      <w:pPr>
        <w:pStyle w:val="SingleTxtG"/>
      </w:pPr>
      <w:r>
        <w:t>3.1.2.8.1.3</w:t>
      </w:r>
      <w:r>
        <w:tab/>
        <w:t>Ajouter le nouvel exemple suivant à la fin:</w:t>
      </w:r>
    </w:p>
    <w:p w14:paraId="1E2DB48F" w14:textId="77777777" w:rsidR="002D5CD0" w:rsidRDefault="002D5CD0" w:rsidP="002D5CD0">
      <w:pPr>
        <w:pStyle w:val="SingleTxtG"/>
      </w:pPr>
      <w:r>
        <w:t xml:space="preserve">«UN 3540 </w:t>
      </w:r>
      <w:r>
        <w:tab/>
      </w:r>
      <w:r w:rsidRPr="00E57329">
        <w:t>OBJETS</w:t>
      </w:r>
      <w:r>
        <w:t xml:space="preserve"> CONTENANT DES LIQUIDES INFLAMMABLES</w:t>
      </w:r>
      <w:r w:rsidRPr="00E57329">
        <w:t>, N.S.A. (</w:t>
      </w:r>
      <w:proofErr w:type="spellStart"/>
      <w:r w:rsidRPr="00E57329">
        <w:t>pyrrolidine</w:t>
      </w:r>
      <w:proofErr w:type="spellEnd"/>
      <w:r w:rsidRPr="00E57329">
        <w:t>)»</w:t>
      </w:r>
      <w:r>
        <w:t>.</w:t>
      </w:r>
    </w:p>
    <w:p w14:paraId="314C716C" w14:textId="77777777" w:rsidR="00196C06" w:rsidRPr="0059443A" w:rsidRDefault="00196C06" w:rsidP="00196C06">
      <w:pPr>
        <w:pStyle w:val="SingleTxtG"/>
      </w:pPr>
      <w:r w:rsidRPr="0059443A">
        <w:t>3.1.3.2 c)</w:t>
      </w:r>
      <w:r w:rsidRPr="0059443A">
        <w:tab/>
        <w:t>Remplacer «division de risque, le ou les risques» par «division de danger, le ou les dangers».</w:t>
      </w:r>
    </w:p>
    <w:p w14:paraId="34362D2D" w14:textId="77777777" w:rsidR="00196C06" w:rsidRPr="0059443A" w:rsidRDefault="00196C06" w:rsidP="00196C06">
      <w:pPr>
        <w:pStyle w:val="SingleTxtG"/>
      </w:pPr>
      <w:r w:rsidRPr="0059443A">
        <w:t>3.1.3.3</w:t>
      </w:r>
      <w:r w:rsidRPr="0059443A">
        <w:tab/>
      </w:r>
      <w:r w:rsidRPr="0059443A">
        <w:tab/>
        <w:t>Remplacer «division de risque, le ou les risques» par «division de danger, le ou les dangers».</w:t>
      </w:r>
    </w:p>
    <w:p w14:paraId="6700D896" w14:textId="77777777" w:rsidR="00196C06" w:rsidRPr="0059443A" w:rsidRDefault="00196C06" w:rsidP="00196C06">
      <w:pPr>
        <w:pStyle w:val="H1G"/>
      </w:pPr>
      <w:r w:rsidRPr="0059443A">
        <w:tab/>
      </w:r>
      <w:r w:rsidRPr="0059443A">
        <w:tab/>
        <w:t>Chapitre 3.2</w:t>
      </w:r>
    </w:p>
    <w:p w14:paraId="450CFCE4" w14:textId="77777777" w:rsidR="00196C06" w:rsidRPr="0059443A" w:rsidRDefault="00196C06" w:rsidP="00196C06">
      <w:pPr>
        <w:pStyle w:val="SingleTxtG"/>
        <w:tabs>
          <w:tab w:val="left" w:pos="2327"/>
        </w:tabs>
      </w:pPr>
      <w:r w:rsidRPr="0059443A">
        <w:t>3.2.1</w:t>
      </w:r>
      <w:r w:rsidRPr="0059443A">
        <w:tab/>
        <w:t>Dans l’explication de la colonne 4, remplacer «Risque» par «Danger» et «risques» par «dangers».</w:t>
      </w:r>
    </w:p>
    <w:p w14:paraId="4835F49A" w14:textId="77777777" w:rsidR="00196C06" w:rsidRPr="0059443A" w:rsidRDefault="00196C06" w:rsidP="00196C06">
      <w:pPr>
        <w:pStyle w:val="H23G"/>
      </w:pPr>
      <w:r w:rsidRPr="0059443A">
        <w:tab/>
      </w:r>
      <w:r w:rsidRPr="0059443A">
        <w:tab/>
      </w:r>
      <w:r>
        <w:t>L</w:t>
      </w:r>
      <w:r w:rsidRPr="0059443A">
        <w:t>iste des marchandises dangereuses</w:t>
      </w:r>
    </w:p>
    <w:p w14:paraId="58F592FB" w14:textId="77777777" w:rsidR="00196C06" w:rsidRPr="0059443A" w:rsidRDefault="00196C06" w:rsidP="00196C06">
      <w:pPr>
        <w:pStyle w:val="SingleTxtG"/>
      </w:pPr>
      <w:r w:rsidRPr="0059443A">
        <w:t>Dans l’en-tête de la colonne 4, remplacer «Risque» par «Danger».</w:t>
      </w:r>
    </w:p>
    <w:p w14:paraId="11A306F2" w14:textId="77777777" w:rsidR="00196C06" w:rsidRPr="0059443A" w:rsidRDefault="00196C06" w:rsidP="00196C06">
      <w:pPr>
        <w:pStyle w:val="SingleTxtG"/>
        <w:rPr>
          <w:lang w:val="fr-FR"/>
        </w:rPr>
      </w:pPr>
      <w:r w:rsidRPr="0059443A">
        <w:rPr>
          <w:lang w:val="fr-FR"/>
        </w:rPr>
        <w:t>Pour les Nos ONU 0349, 0367, 0384 et 0481, ajouter «347» en colonne (6).</w:t>
      </w:r>
    </w:p>
    <w:p w14:paraId="3CC429F0" w14:textId="34E470E1" w:rsidR="00F12C72" w:rsidRDefault="00F12C72" w:rsidP="00F12C72">
      <w:pPr>
        <w:pStyle w:val="SingleTxtG"/>
      </w:pPr>
      <w:r w:rsidRPr="00CC6AA6">
        <w:rPr>
          <w:iCs/>
          <w:lang w:val="fr-FR"/>
        </w:rPr>
        <w:t xml:space="preserve">Pour les Nos ONU </w:t>
      </w:r>
      <w:r w:rsidRPr="00BB2688">
        <w:t>1011, 1049, 1075, 1954, 1965, 1969, 1971 et 1978</w:t>
      </w:r>
      <w:r w:rsidRPr="00CC6AA6">
        <w:rPr>
          <w:iCs/>
          <w:lang w:val="fr-FR"/>
        </w:rPr>
        <w:t>, en colonne (</w:t>
      </w:r>
      <w:r>
        <w:rPr>
          <w:iCs/>
          <w:lang w:val="fr-FR"/>
        </w:rPr>
        <w:t>6</w:t>
      </w:r>
      <w:r w:rsidRPr="00CC6AA6">
        <w:rPr>
          <w:iCs/>
          <w:lang w:val="fr-FR"/>
        </w:rPr>
        <w:t>), ajouter «</w:t>
      </w:r>
      <w:r>
        <w:rPr>
          <w:iCs/>
          <w:lang w:val="fr-FR"/>
        </w:rPr>
        <w:t>392</w:t>
      </w:r>
      <w:r w:rsidRPr="00CC6AA6">
        <w:rPr>
          <w:iCs/>
          <w:lang w:val="fr-FR"/>
        </w:rPr>
        <w:t>».</w:t>
      </w:r>
    </w:p>
    <w:p w14:paraId="6E25A8B2" w14:textId="77777777" w:rsidR="00196C06" w:rsidRDefault="00196C06" w:rsidP="00196C06">
      <w:pPr>
        <w:pStyle w:val="SingleTxtG"/>
      </w:pPr>
      <w:r w:rsidRPr="00CC6AA6">
        <w:rPr>
          <w:iCs/>
          <w:lang w:val="fr-FR"/>
        </w:rPr>
        <w:t>Pour les Nos ONU 1363, 1386, 1398, 1435, 2071, 2216, 2217 et 2793, en colonne (10), ajouter «BK2».</w:t>
      </w:r>
    </w:p>
    <w:p w14:paraId="7CFA977E" w14:textId="77777777" w:rsidR="00196C06" w:rsidRPr="0059443A" w:rsidRDefault="00196C06" w:rsidP="00196C06">
      <w:pPr>
        <w:pStyle w:val="SingleTxtG"/>
      </w:pPr>
      <w:r w:rsidRPr="0059443A">
        <w:t>Pour le No ONU 1945, dans la colonne (6), ajouter «293».</w:t>
      </w:r>
    </w:p>
    <w:p w14:paraId="58822987" w14:textId="494270B5" w:rsidR="008E1085" w:rsidRDefault="008E1085" w:rsidP="008E1085">
      <w:pPr>
        <w:spacing w:before="120" w:after="120" w:line="240" w:lineRule="auto"/>
        <w:ind w:left="1134" w:right="1134"/>
        <w:jc w:val="both"/>
        <w:rPr>
          <w:iCs/>
        </w:rPr>
      </w:pPr>
      <w:r w:rsidRPr="0059443A">
        <w:rPr>
          <w:iCs/>
        </w:rPr>
        <w:t xml:space="preserve">Pour les Nos ONU </w:t>
      </w:r>
      <w:r>
        <w:rPr>
          <w:iCs/>
        </w:rPr>
        <w:t>2067</w:t>
      </w:r>
      <w:r w:rsidRPr="0059443A">
        <w:rPr>
          <w:iCs/>
        </w:rPr>
        <w:t xml:space="preserve"> et </w:t>
      </w:r>
      <w:r>
        <w:rPr>
          <w:iCs/>
        </w:rPr>
        <w:t>2071</w:t>
      </w:r>
      <w:r w:rsidRPr="0059443A">
        <w:rPr>
          <w:iCs/>
        </w:rPr>
        <w:t xml:space="preserve">, </w:t>
      </w:r>
      <w:r>
        <w:rPr>
          <w:iCs/>
        </w:rPr>
        <w:t>supprimer</w:t>
      </w:r>
      <w:r w:rsidRPr="0059443A">
        <w:rPr>
          <w:iCs/>
        </w:rPr>
        <w:t xml:space="preserve"> «</w:t>
      </w:r>
      <w:r>
        <w:rPr>
          <w:iCs/>
        </w:rPr>
        <w:t>186</w:t>
      </w:r>
      <w:r w:rsidRPr="0059443A">
        <w:rPr>
          <w:iCs/>
        </w:rPr>
        <w:t>» en colonne (6).</w:t>
      </w:r>
    </w:p>
    <w:p w14:paraId="7BB93C87" w14:textId="1D000D38" w:rsidR="00196C06" w:rsidRPr="00FD7530" w:rsidRDefault="00196C06" w:rsidP="00196C06">
      <w:pPr>
        <w:pStyle w:val="SingleTxtG"/>
        <w:rPr>
          <w:iCs/>
          <w:lang w:val="fr-FR"/>
        </w:rPr>
      </w:pPr>
      <w:r>
        <w:rPr>
          <w:iCs/>
          <w:lang w:val="fr-FR"/>
        </w:rPr>
        <w:t>Pour les Nos ONU 3090, 3091, 3480 et 3481, ajouter «387» en colonne (6).</w:t>
      </w:r>
    </w:p>
    <w:p w14:paraId="0E19F40C" w14:textId="77777777" w:rsidR="00196C06" w:rsidRPr="0059443A" w:rsidRDefault="00196C06" w:rsidP="00196C06">
      <w:pPr>
        <w:spacing w:before="120" w:after="120" w:line="240" w:lineRule="auto"/>
        <w:ind w:left="1134" w:right="1134"/>
        <w:jc w:val="both"/>
        <w:rPr>
          <w:iCs/>
        </w:rPr>
      </w:pPr>
      <w:r w:rsidRPr="0059443A">
        <w:rPr>
          <w:iCs/>
        </w:rPr>
        <w:t>Pour le No ONU 3166, supprimer «312», «380» et «385» en colonne (6).</w:t>
      </w:r>
    </w:p>
    <w:p w14:paraId="615911AD" w14:textId="77777777" w:rsidR="00196C06" w:rsidRPr="0059443A" w:rsidRDefault="00196C06" w:rsidP="00196C06">
      <w:pPr>
        <w:spacing w:before="120" w:after="120" w:line="240" w:lineRule="auto"/>
        <w:ind w:left="1134" w:right="1134"/>
        <w:jc w:val="both"/>
        <w:rPr>
          <w:iCs/>
        </w:rPr>
      </w:pPr>
      <w:r w:rsidRPr="0059443A">
        <w:rPr>
          <w:iCs/>
        </w:rPr>
        <w:t>Pour les Nos ONU 3166 et 3171, ajouter «388» en colonne (6).</w:t>
      </w:r>
    </w:p>
    <w:p w14:paraId="19F9CEA7" w14:textId="77777777" w:rsidR="00196C06" w:rsidRPr="0059443A" w:rsidRDefault="00196C06" w:rsidP="00196C06">
      <w:pPr>
        <w:spacing w:before="120" w:after="120" w:line="240" w:lineRule="auto"/>
        <w:ind w:left="1134" w:right="1134"/>
        <w:jc w:val="both"/>
        <w:rPr>
          <w:iCs/>
        </w:rPr>
      </w:pPr>
      <w:r w:rsidRPr="0059443A">
        <w:rPr>
          <w:iCs/>
        </w:rPr>
        <w:t>Pour le No ONU 3171, supprimer «240» en colonne (6).</w:t>
      </w:r>
    </w:p>
    <w:p w14:paraId="3E803E0E" w14:textId="77D9F9CA" w:rsidR="00470FED" w:rsidRDefault="00470FED" w:rsidP="00470FED">
      <w:pPr>
        <w:pStyle w:val="SingleTxtG"/>
      </w:pPr>
      <w:r w:rsidRPr="00CC6AA6">
        <w:rPr>
          <w:iCs/>
          <w:lang w:val="fr-FR"/>
        </w:rPr>
        <w:t xml:space="preserve">Pour les Nos ONU </w:t>
      </w:r>
      <w:r>
        <w:rPr>
          <w:iCs/>
          <w:lang w:val="fr-FR"/>
        </w:rPr>
        <w:t>3223</w:t>
      </w:r>
      <w:r w:rsidRPr="00CC6AA6">
        <w:rPr>
          <w:iCs/>
          <w:lang w:val="fr-FR"/>
        </w:rPr>
        <w:t xml:space="preserve"> et </w:t>
      </w:r>
      <w:r>
        <w:rPr>
          <w:iCs/>
          <w:lang w:val="fr-FR"/>
        </w:rPr>
        <w:t>3224</w:t>
      </w:r>
      <w:r w:rsidRPr="00CC6AA6">
        <w:rPr>
          <w:iCs/>
          <w:lang w:val="fr-FR"/>
        </w:rPr>
        <w:t>, en colonne (</w:t>
      </w:r>
      <w:r>
        <w:rPr>
          <w:iCs/>
          <w:lang w:val="fr-FR"/>
        </w:rPr>
        <w:t>9</w:t>
      </w:r>
      <w:r w:rsidRPr="00CC6AA6">
        <w:rPr>
          <w:iCs/>
          <w:lang w:val="fr-FR"/>
        </w:rPr>
        <w:t>), ajouter «</w:t>
      </w:r>
      <w:r>
        <w:rPr>
          <w:iCs/>
          <w:lang w:val="fr-FR"/>
        </w:rPr>
        <w:t>PP94 PP95</w:t>
      </w:r>
      <w:r w:rsidRPr="00CC6AA6">
        <w:rPr>
          <w:iCs/>
          <w:lang w:val="fr-FR"/>
        </w:rPr>
        <w:t>».</w:t>
      </w:r>
    </w:p>
    <w:p w14:paraId="19BA9DA7" w14:textId="5DDD1B65" w:rsidR="00196C06" w:rsidRPr="0059443A" w:rsidRDefault="00196C06" w:rsidP="00196C06">
      <w:pPr>
        <w:pStyle w:val="SingleTxtG"/>
      </w:pPr>
      <w:r w:rsidRPr="0059443A">
        <w:t>Pour le No ONU 3302, dans la colonne (2), à la fin de la dés</w:t>
      </w:r>
      <w:r>
        <w:t xml:space="preserve">ignation, ajouter «STABILISÉ». </w:t>
      </w:r>
      <w:r w:rsidRPr="0059443A">
        <w:t>Ajouter «386» en colonne (6).</w:t>
      </w:r>
    </w:p>
    <w:p w14:paraId="310FEEBD" w14:textId="126CB73F" w:rsidR="00196C06" w:rsidRPr="00193B8A" w:rsidRDefault="00196C06" w:rsidP="00196C06">
      <w:pPr>
        <w:pStyle w:val="SingleTxtG"/>
        <w:rPr>
          <w:iCs/>
          <w:lang w:val="fr-FR"/>
        </w:rPr>
      </w:pPr>
      <w:r w:rsidRPr="00193B8A">
        <w:rPr>
          <w:iCs/>
          <w:lang w:val="fr-FR"/>
        </w:rPr>
        <w:t>Pour le No ONU 3316, première rubrique, supprimer le groupe d’emballage en colonne (5).</w:t>
      </w:r>
      <w:r>
        <w:rPr>
          <w:iCs/>
          <w:lang w:val="fr-FR"/>
        </w:rPr>
        <w:t xml:space="preserve"> S</w:t>
      </w:r>
      <w:r w:rsidRPr="00193B8A">
        <w:rPr>
          <w:iCs/>
          <w:lang w:val="fr-FR"/>
        </w:rPr>
        <w:t>upprimer la deuxième rubrique</w:t>
      </w:r>
      <w:r w:rsidR="003D6AA4">
        <w:rPr>
          <w:iCs/>
          <w:lang w:val="fr-FR"/>
        </w:rPr>
        <w:t xml:space="preserve"> correspondant au groupe d’emballage III</w:t>
      </w:r>
      <w:r w:rsidRPr="00193B8A">
        <w:rPr>
          <w:iCs/>
          <w:lang w:val="fr-FR"/>
        </w:rPr>
        <w:t xml:space="preserve">. </w:t>
      </w:r>
    </w:p>
    <w:p w14:paraId="6F817DEB" w14:textId="77777777" w:rsidR="00196C06" w:rsidRPr="00CC6AA6" w:rsidRDefault="00196C06" w:rsidP="00196C06">
      <w:pPr>
        <w:pStyle w:val="SingleTxtG"/>
        <w:rPr>
          <w:lang w:val="fr-FR"/>
        </w:rPr>
      </w:pPr>
      <w:r w:rsidRPr="00CC6AA6">
        <w:rPr>
          <w:lang w:val="fr-FR"/>
        </w:rPr>
        <w:t>Ajouter les nouvelles rubriques suivantes: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19"/>
        <w:gridCol w:w="2400"/>
        <w:gridCol w:w="500"/>
        <w:gridCol w:w="400"/>
        <w:gridCol w:w="600"/>
        <w:gridCol w:w="600"/>
        <w:gridCol w:w="702"/>
        <w:gridCol w:w="425"/>
        <w:gridCol w:w="709"/>
        <w:gridCol w:w="709"/>
        <w:gridCol w:w="425"/>
        <w:gridCol w:w="470"/>
      </w:tblGrid>
      <w:tr w:rsidR="00196C06" w:rsidRPr="00890443" w14:paraId="5104C30A" w14:textId="77777777" w:rsidTr="006201FD">
        <w:trPr>
          <w:cantSplit/>
          <w:tblHeader/>
        </w:trPr>
        <w:tc>
          <w:tcPr>
            <w:tcW w:w="519" w:type="dxa"/>
            <w:tcBorders>
              <w:top w:val="single" w:sz="4" w:space="0" w:color="auto"/>
              <w:left w:val="single" w:sz="4" w:space="0" w:color="auto"/>
              <w:bottom w:val="single" w:sz="4" w:space="0" w:color="auto"/>
              <w:right w:val="single" w:sz="4" w:space="0" w:color="auto"/>
            </w:tcBorders>
            <w:shd w:val="clear" w:color="auto" w:fill="auto"/>
          </w:tcPr>
          <w:p w14:paraId="55C8A48B" w14:textId="77777777" w:rsidR="00196C06" w:rsidRPr="00890443" w:rsidRDefault="00196C06" w:rsidP="006201FD">
            <w:pPr>
              <w:suppressAutoHyphens w:val="0"/>
              <w:spacing w:before="40" w:after="120" w:line="276" w:lineRule="auto"/>
              <w:jc w:val="center"/>
              <w:rPr>
                <w:bCs/>
                <w:sz w:val="18"/>
                <w:szCs w:val="18"/>
                <w:lang w:val="fr-FR"/>
              </w:rPr>
            </w:pPr>
            <w:r w:rsidRPr="00890443">
              <w:rPr>
                <w:bCs/>
                <w:sz w:val="18"/>
                <w:szCs w:val="18"/>
                <w:lang w:val="fr-FR"/>
              </w:rPr>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D5D5239" w14:textId="77777777" w:rsidR="00196C06" w:rsidRPr="00890443" w:rsidRDefault="00196C06" w:rsidP="006201FD">
            <w:pPr>
              <w:suppressAutoHyphens w:val="0"/>
              <w:spacing w:before="40" w:after="120" w:line="276" w:lineRule="auto"/>
              <w:jc w:val="center"/>
              <w:rPr>
                <w:bCs/>
                <w:sz w:val="18"/>
                <w:szCs w:val="18"/>
                <w:lang w:val="fr-FR"/>
              </w:rPr>
            </w:pPr>
            <w:r w:rsidRPr="00890443">
              <w:rPr>
                <w:bCs/>
                <w:sz w:val="18"/>
                <w:szCs w:val="18"/>
                <w:lang w:val="fr-FR"/>
              </w:rPr>
              <w:t>(2)</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5028137F" w14:textId="77777777" w:rsidR="00196C06" w:rsidRPr="00890443" w:rsidRDefault="00196C06" w:rsidP="006201FD">
            <w:pPr>
              <w:suppressAutoHyphens w:val="0"/>
              <w:spacing w:before="40" w:after="120" w:line="276" w:lineRule="auto"/>
              <w:jc w:val="center"/>
              <w:rPr>
                <w:bCs/>
                <w:sz w:val="18"/>
                <w:szCs w:val="18"/>
                <w:lang w:val="fr-FR"/>
              </w:rPr>
            </w:pPr>
            <w:r w:rsidRPr="00890443">
              <w:rPr>
                <w:bCs/>
                <w:sz w:val="18"/>
                <w:szCs w:val="18"/>
                <w:lang w:val="fr-FR"/>
              </w:rPr>
              <w:t>(3)</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2C80D138" w14:textId="77777777" w:rsidR="00196C06" w:rsidRPr="00890443" w:rsidRDefault="00196C06" w:rsidP="006201FD">
            <w:pPr>
              <w:suppressAutoHyphens w:val="0"/>
              <w:spacing w:before="40" w:after="120" w:line="276" w:lineRule="auto"/>
              <w:jc w:val="center"/>
              <w:rPr>
                <w:bCs/>
                <w:sz w:val="18"/>
                <w:szCs w:val="18"/>
                <w:lang w:val="fr-FR"/>
              </w:rPr>
            </w:pPr>
            <w:r w:rsidRPr="00890443">
              <w:rPr>
                <w:bCs/>
                <w:sz w:val="18"/>
                <w:szCs w:val="18"/>
                <w:lang w:val="fr-FR"/>
              </w:rPr>
              <w:t>(4)</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4E72244" w14:textId="77777777" w:rsidR="00196C06" w:rsidRPr="00890443" w:rsidRDefault="00196C06" w:rsidP="006201FD">
            <w:pPr>
              <w:suppressAutoHyphens w:val="0"/>
              <w:spacing w:before="40" w:after="120" w:line="276" w:lineRule="auto"/>
              <w:jc w:val="center"/>
              <w:rPr>
                <w:bCs/>
                <w:sz w:val="18"/>
                <w:szCs w:val="18"/>
                <w:lang w:val="fr-FR"/>
              </w:rPr>
            </w:pPr>
            <w:r w:rsidRPr="00890443">
              <w:rPr>
                <w:bCs/>
                <w:sz w:val="18"/>
                <w:szCs w:val="18"/>
                <w:lang w:val="fr-FR"/>
              </w:rPr>
              <w:t>(5)</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21A6B24" w14:textId="77777777" w:rsidR="00196C06" w:rsidRPr="00890443" w:rsidRDefault="00196C06" w:rsidP="006201FD">
            <w:pPr>
              <w:suppressAutoHyphens w:val="0"/>
              <w:spacing w:before="40" w:after="120" w:line="276" w:lineRule="auto"/>
              <w:jc w:val="center"/>
              <w:rPr>
                <w:bCs/>
                <w:sz w:val="18"/>
                <w:szCs w:val="18"/>
                <w:lang w:val="fr-FR"/>
              </w:rPr>
            </w:pPr>
            <w:r w:rsidRPr="00890443">
              <w:rPr>
                <w:bCs/>
                <w:sz w:val="18"/>
                <w:szCs w:val="18"/>
                <w:lang w:val="fr-FR"/>
              </w:rPr>
              <w:t>(6)</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1A8CEECA" w14:textId="77777777" w:rsidR="00196C06" w:rsidRPr="00890443" w:rsidRDefault="00196C06" w:rsidP="006201FD">
            <w:pPr>
              <w:suppressAutoHyphens w:val="0"/>
              <w:spacing w:before="40" w:after="120" w:line="276" w:lineRule="auto"/>
              <w:jc w:val="center"/>
              <w:rPr>
                <w:bCs/>
                <w:sz w:val="18"/>
                <w:szCs w:val="18"/>
                <w:lang w:val="fr-FR"/>
              </w:rPr>
            </w:pPr>
            <w:r w:rsidRPr="00890443">
              <w:rPr>
                <w:bCs/>
                <w:sz w:val="18"/>
                <w:szCs w:val="18"/>
                <w:lang w:val="fr-FR"/>
              </w:rPr>
              <w:t>(7a)</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B18364" w14:textId="77777777" w:rsidR="00196C06" w:rsidRPr="00890443" w:rsidRDefault="00196C06" w:rsidP="006201FD">
            <w:pPr>
              <w:suppressAutoHyphens w:val="0"/>
              <w:spacing w:before="40" w:after="120" w:line="276" w:lineRule="auto"/>
              <w:jc w:val="center"/>
              <w:rPr>
                <w:bCs/>
                <w:sz w:val="18"/>
                <w:szCs w:val="18"/>
                <w:lang w:val="fr-FR"/>
              </w:rPr>
            </w:pPr>
            <w:r w:rsidRPr="00890443">
              <w:rPr>
                <w:bCs/>
                <w:sz w:val="18"/>
                <w:szCs w:val="18"/>
                <w:lang w:val="fr-FR"/>
              </w:rPr>
              <w:t>(7b)</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0A5C28" w14:textId="77777777" w:rsidR="00196C06" w:rsidRPr="00890443" w:rsidRDefault="00196C06" w:rsidP="006201FD">
            <w:pPr>
              <w:suppressAutoHyphens w:val="0"/>
              <w:spacing w:before="40" w:after="120" w:line="276" w:lineRule="auto"/>
              <w:jc w:val="center"/>
              <w:rPr>
                <w:bCs/>
                <w:sz w:val="18"/>
                <w:szCs w:val="18"/>
                <w:lang w:val="fr-FR"/>
              </w:rPr>
            </w:pPr>
            <w:r w:rsidRPr="00890443">
              <w:rPr>
                <w:bCs/>
                <w:sz w:val="18"/>
                <w:szCs w:val="18"/>
                <w:lang w:val="fr-FR"/>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7E59A7" w14:textId="77777777" w:rsidR="00196C06" w:rsidRPr="00890443" w:rsidRDefault="00196C06" w:rsidP="006201FD">
            <w:pPr>
              <w:suppressAutoHyphens w:val="0"/>
              <w:spacing w:before="40" w:after="120" w:line="276" w:lineRule="auto"/>
              <w:jc w:val="center"/>
              <w:rPr>
                <w:bCs/>
                <w:sz w:val="18"/>
                <w:szCs w:val="18"/>
                <w:lang w:val="fr-FR"/>
              </w:rPr>
            </w:pPr>
            <w:r w:rsidRPr="00890443">
              <w:rPr>
                <w:bCs/>
                <w:sz w:val="18"/>
                <w:szCs w:val="18"/>
                <w:lang w:val="fr-FR"/>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6421D75" w14:textId="77777777" w:rsidR="00196C06" w:rsidRPr="00890443" w:rsidRDefault="00196C06" w:rsidP="006201FD">
            <w:pPr>
              <w:suppressAutoHyphens w:val="0"/>
              <w:spacing w:before="40" w:after="120" w:line="276" w:lineRule="auto"/>
              <w:jc w:val="center"/>
              <w:rPr>
                <w:bCs/>
                <w:sz w:val="18"/>
                <w:szCs w:val="18"/>
                <w:lang w:val="fr-FR"/>
              </w:rPr>
            </w:pPr>
            <w:r w:rsidRPr="00890443">
              <w:rPr>
                <w:bCs/>
                <w:sz w:val="18"/>
                <w:szCs w:val="18"/>
                <w:lang w:val="fr-FR"/>
              </w:rPr>
              <w:t>(10)</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3170D76A" w14:textId="77777777" w:rsidR="00196C06" w:rsidRPr="00890443" w:rsidRDefault="00196C06" w:rsidP="006201FD">
            <w:pPr>
              <w:suppressAutoHyphens w:val="0"/>
              <w:spacing w:before="40" w:after="120" w:line="276" w:lineRule="auto"/>
              <w:jc w:val="center"/>
              <w:rPr>
                <w:bCs/>
                <w:iCs/>
                <w:sz w:val="18"/>
                <w:szCs w:val="18"/>
                <w:lang w:val="fr-FR"/>
              </w:rPr>
            </w:pPr>
            <w:r w:rsidRPr="00890443">
              <w:rPr>
                <w:bCs/>
                <w:iCs/>
                <w:sz w:val="18"/>
                <w:szCs w:val="18"/>
                <w:lang w:val="fr-FR"/>
              </w:rPr>
              <w:t>(11)</w:t>
            </w:r>
          </w:p>
        </w:tc>
      </w:tr>
      <w:tr w:rsidR="00196C06" w:rsidRPr="00890443" w14:paraId="303DED58"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3EBB460D" w14:textId="77777777" w:rsidR="00196C06" w:rsidRPr="00890443" w:rsidRDefault="00196C06" w:rsidP="006201FD">
            <w:pPr>
              <w:suppressAutoHyphens w:val="0"/>
              <w:spacing w:line="200" w:lineRule="exact"/>
              <w:rPr>
                <w:sz w:val="18"/>
                <w:szCs w:val="18"/>
                <w:lang w:val="fr-FR"/>
              </w:rPr>
            </w:pPr>
            <w:r w:rsidRPr="00890443">
              <w:rPr>
                <w:sz w:val="18"/>
                <w:szCs w:val="18"/>
                <w:lang w:val="fr-FR"/>
              </w:rPr>
              <w:t>3535</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317B3E62" w14:textId="77777777" w:rsidR="00196C06" w:rsidRPr="00890443" w:rsidRDefault="00196C06" w:rsidP="006201FD">
            <w:pPr>
              <w:spacing w:before="40" w:after="40" w:line="240" w:lineRule="auto"/>
              <w:rPr>
                <w:sz w:val="18"/>
                <w:szCs w:val="18"/>
                <w:lang w:val="fr-FR" w:eastAsia="zh-CN"/>
              </w:rPr>
            </w:pPr>
            <w:r w:rsidRPr="00890443">
              <w:rPr>
                <w:sz w:val="18"/>
                <w:szCs w:val="18"/>
                <w:lang w:val="fr-FR" w:eastAsia="zh-CN"/>
              </w:rPr>
              <w:t>SOLIDE INORGANIQUE TOXIQUE, INFLAMMABLE,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60151163"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6.1</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2348F05D"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4.1</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039DAC1"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I</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689F615"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274</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75B2408B"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63082F"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E5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3DDE4C"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P002</w:t>
            </w:r>
            <w:r w:rsidRPr="00890443">
              <w:rPr>
                <w:sz w:val="18"/>
                <w:szCs w:val="18"/>
                <w:lang w:val="fr-FR"/>
              </w:rPr>
              <w:br/>
              <w:t>IBC99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85E0AD" w14:textId="77777777" w:rsidR="00196C06" w:rsidRPr="00890443" w:rsidRDefault="00196C06" w:rsidP="006201FD">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09293C" w14:textId="77777777" w:rsidR="00196C06" w:rsidRPr="00890443" w:rsidRDefault="00196C06" w:rsidP="006201FD">
            <w:pPr>
              <w:suppressAutoHyphens w:val="0"/>
              <w:spacing w:line="200" w:lineRule="exact"/>
              <w:jc w:val="center"/>
              <w:rPr>
                <w:sz w:val="18"/>
                <w:szCs w:val="18"/>
                <w:lang w:val="fr-FR" w:eastAsia="nb-NO"/>
              </w:rPr>
            </w:pPr>
            <w:r w:rsidRPr="00890443">
              <w:rPr>
                <w:sz w:val="18"/>
                <w:szCs w:val="18"/>
                <w:lang w:val="fr-FR" w:eastAsia="nb-NO"/>
              </w:rPr>
              <w:t>T6</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257FBB37" w14:textId="77777777" w:rsidR="00196C06" w:rsidRPr="00890443" w:rsidRDefault="00196C06" w:rsidP="006201FD">
            <w:pPr>
              <w:suppressAutoHyphens w:val="0"/>
              <w:spacing w:line="200" w:lineRule="exact"/>
              <w:jc w:val="center"/>
              <w:rPr>
                <w:sz w:val="18"/>
                <w:szCs w:val="18"/>
                <w:lang w:val="fr-FR" w:eastAsia="nb-NO"/>
              </w:rPr>
            </w:pPr>
            <w:r w:rsidRPr="00890443">
              <w:rPr>
                <w:sz w:val="18"/>
                <w:szCs w:val="18"/>
                <w:lang w:val="fr-FR" w:eastAsia="nb-NO"/>
              </w:rPr>
              <w:t>TP33</w:t>
            </w:r>
          </w:p>
        </w:tc>
      </w:tr>
      <w:tr w:rsidR="00196C06" w:rsidRPr="00890443" w14:paraId="6964059A"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52C723EE" w14:textId="77777777" w:rsidR="00196C06" w:rsidRPr="00890443" w:rsidRDefault="00196C06" w:rsidP="006201FD">
            <w:pPr>
              <w:suppressAutoHyphens w:val="0"/>
              <w:spacing w:line="200" w:lineRule="exact"/>
              <w:rPr>
                <w:sz w:val="18"/>
                <w:szCs w:val="18"/>
                <w:lang w:val="fr-FR"/>
              </w:rPr>
            </w:pPr>
            <w:r w:rsidRPr="00890443">
              <w:rPr>
                <w:sz w:val="18"/>
                <w:szCs w:val="18"/>
                <w:lang w:val="fr-FR"/>
              </w:rPr>
              <w:t>3535</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3CBA4EEF" w14:textId="77777777" w:rsidR="00196C06" w:rsidRPr="00890443" w:rsidRDefault="00196C06" w:rsidP="006201FD">
            <w:pPr>
              <w:spacing w:before="40" w:after="40" w:line="240" w:lineRule="auto"/>
              <w:rPr>
                <w:sz w:val="18"/>
                <w:szCs w:val="18"/>
                <w:lang w:val="fr-FR" w:eastAsia="zh-CN"/>
              </w:rPr>
            </w:pPr>
            <w:r w:rsidRPr="00890443">
              <w:rPr>
                <w:sz w:val="18"/>
                <w:szCs w:val="18"/>
                <w:lang w:val="fr-FR" w:eastAsia="zh-CN"/>
              </w:rPr>
              <w:t>SOLIDE INORGANIQUE TOXIQUE, INFLAMMABLE,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5272E8C3"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6.1</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D5854B0"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4.1</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0B5A13A"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II</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2F71E3D"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274</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4D4FE0C7"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500 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6F0B3C"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E4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0EC794" w14:textId="77777777" w:rsidR="00196C06" w:rsidRPr="00890443" w:rsidRDefault="00196C06" w:rsidP="006201FD">
            <w:pPr>
              <w:suppressAutoHyphens w:val="0"/>
              <w:spacing w:before="40" w:after="120" w:line="220" w:lineRule="exact"/>
              <w:jc w:val="center"/>
              <w:rPr>
                <w:sz w:val="18"/>
                <w:szCs w:val="18"/>
                <w:lang w:val="fr-FR"/>
              </w:rPr>
            </w:pPr>
            <w:r w:rsidRPr="00890443">
              <w:rPr>
                <w:sz w:val="18"/>
                <w:szCs w:val="18"/>
                <w:lang w:val="fr-FR"/>
              </w:rPr>
              <w:t>P002</w:t>
            </w:r>
            <w:r w:rsidRPr="00890443">
              <w:rPr>
                <w:sz w:val="18"/>
                <w:szCs w:val="18"/>
                <w:lang w:val="fr-FR"/>
              </w:rPr>
              <w:br/>
              <w:t>IBC08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0B36E2" w14:textId="77777777" w:rsidR="00196C06" w:rsidRPr="00890443" w:rsidRDefault="00196C06" w:rsidP="006201FD">
            <w:pPr>
              <w:suppressAutoHyphens w:val="0"/>
              <w:spacing w:before="40" w:after="120" w:line="220" w:lineRule="exact"/>
              <w:ind w:right="113"/>
              <w:jc w:val="center"/>
              <w:rPr>
                <w:sz w:val="18"/>
                <w:szCs w:val="18"/>
                <w:lang w:val="fr-FR" w:eastAsia="nb-NO"/>
              </w:rPr>
            </w:pPr>
            <w:r w:rsidRPr="00890443">
              <w:rPr>
                <w:sz w:val="18"/>
                <w:szCs w:val="18"/>
                <w:lang w:val="fr-FR"/>
              </w:rPr>
              <w:br/>
              <w:t>B2, B4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64545D5" w14:textId="77777777" w:rsidR="00196C06" w:rsidRPr="00890443" w:rsidRDefault="00196C06" w:rsidP="006201FD">
            <w:pPr>
              <w:suppressAutoHyphens w:val="0"/>
              <w:spacing w:line="200" w:lineRule="exact"/>
              <w:jc w:val="center"/>
              <w:rPr>
                <w:sz w:val="18"/>
                <w:szCs w:val="18"/>
                <w:lang w:val="fr-FR" w:eastAsia="nb-NO"/>
              </w:rPr>
            </w:pPr>
            <w:r w:rsidRPr="00890443">
              <w:rPr>
                <w:sz w:val="18"/>
                <w:szCs w:val="18"/>
                <w:lang w:val="fr-FR" w:eastAsia="nb-NO"/>
              </w:rPr>
              <w:t>T3</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6A94CC07" w14:textId="77777777" w:rsidR="00196C06" w:rsidRPr="00890443" w:rsidRDefault="00196C06" w:rsidP="006201FD">
            <w:pPr>
              <w:suppressAutoHyphens w:val="0"/>
              <w:spacing w:line="200" w:lineRule="exact"/>
              <w:jc w:val="center"/>
              <w:rPr>
                <w:sz w:val="18"/>
                <w:szCs w:val="18"/>
                <w:lang w:val="fr-FR" w:eastAsia="nb-NO"/>
              </w:rPr>
            </w:pPr>
            <w:r w:rsidRPr="00890443">
              <w:rPr>
                <w:sz w:val="18"/>
                <w:szCs w:val="18"/>
                <w:lang w:val="fr-FR" w:eastAsia="nb-NO"/>
              </w:rPr>
              <w:t>TP33</w:t>
            </w:r>
          </w:p>
        </w:tc>
      </w:tr>
      <w:tr w:rsidR="00196C06" w:rsidRPr="00890443" w14:paraId="6F049EB9"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3D37D5B6" w14:textId="77777777" w:rsidR="00196C06" w:rsidRPr="00890443" w:rsidRDefault="00196C06" w:rsidP="006201FD">
            <w:pPr>
              <w:suppressAutoHyphens w:val="0"/>
              <w:spacing w:line="200" w:lineRule="exact"/>
              <w:rPr>
                <w:sz w:val="18"/>
                <w:szCs w:val="18"/>
                <w:lang w:val="fr-FR"/>
              </w:rPr>
            </w:pPr>
            <w:r w:rsidRPr="0059443A">
              <w:rPr>
                <w:sz w:val="18"/>
                <w:szCs w:val="18"/>
              </w:rPr>
              <w:lastRenderedPageBreak/>
              <w:t>3536</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220E8F1F" w14:textId="77777777" w:rsidR="00196C06" w:rsidRPr="00890443" w:rsidRDefault="00196C06" w:rsidP="006201FD">
            <w:pPr>
              <w:spacing w:before="40" w:after="40" w:line="240" w:lineRule="auto"/>
              <w:rPr>
                <w:sz w:val="18"/>
                <w:szCs w:val="18"/>
                <w:lang w:val="fr-FR" w:eastAsia="zh-CN"/>
              </w:rPr>
            </w:pPr>
            <w:r w:rsidRPr="0059443A">
              <w:rPr>
                <w:sz w:val="18"/>
                <w:szCs w:val="18"/>
              </w:rPr>
              <w:t>BATTERIES AU LITHIUM INSTALLÉES DANS DES ENGINS DE TRANSPORT batteries au lithium ionique ou batteries au lithium métal</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2395503C" w14:textId="77777777" w:rsidR="00196C06" w:rsidRPr="00890443" w:rsidRDefault="00196C06" w:rsidP="006201FD">
            <w:pPr>
              <w:suppressAutoHyphens w:val="0"/>
              <w:spacing w:before="40" w:after="120" w:line="220" w:lineRule="exact"/>
              <w:jc w:val="center"/>
              <w:rPr>
                <w:sz w:val="18"/>
                <w:szCs w:val="18"/>
                <w:lang w:val="fr-FR"/>
              </w:rPr>
            </w:pPr>
            <w:r w:rsidRPr="0059443A">
              <w:rPr>
                <w:sz w:val="18"/>
                <w:szCs w:val="18"/>
              </w:rPr>
              <w:t>9</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3233DB93" w14:textId="77777777" w:rsidR="00196C06" w:rsidRPr="00890443" w:rsidRDefault="00196C06"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A7B5EB6" w14:textId="77777777" w:rsidR="00196C06" w:rsidRPr="00890443" w:rsidRDefault="00196C06"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9ED2A75" w14:textId="77777777" w:rsidR="00196C06" w:rsidRPr="00890443" w:rsidRDefault="00196C06" w:rsidP="006201FD">
            <w:pPr>
              <w:suppressAutoHyphens w:val="0"/>
              <w:spacing w:before="40" w:after="120" w:line="220" w:lineRule="exact"/>
              <w:jc w:val="center"/>
              <w:rPr>
                <w:sz w:val="18"/>
                <w:szCs w:val="18"/>
                <w:lang w:val="fr-FR"/>
              </w:rPr>
            </w:pPr>
            <w:r w:rsidRPr="0059443A">
              <w:rPr>
                <w:sz w:val="18"/>
                <w:szCs w:val="18"/>
                <w:lang w:eastAsia="nb-NO"/>
              </w:rPr>
              <w:t>389</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5A82A923" w14:textId="0EF7810B" w:rsidR="00196C06" w:rsidRPr="00890443" w:rsidRDefault="00196C06" w:rsidP="006201FD">
            <w:pPr>
              <w:suppressAutoHyphens w:val="0"/>
              <w:spacing w:before="40" w:after="120" w:line="220" w:lineRule="exact"/>
              <w:jc w:val="center"/>
              <w:rPr>
                <w:sz w:val="18"/>
                <w:szCs w:val="18"/>
                <w:lang w:val="fr-FR"/>
              </w:rPr>
            </w:pPr>
            <w:r w:rsidRPr="0059443A">
              <w:rPr>
                <w:sz w:val="18"/>
                <w:szCs w:val="18"/>
                <w:lang w:eastAsia="nb-NO"/>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9F8D5D" w14:textId="513C07CD" w:rsidR="00196C06" w:rsidRPr="00890443" w:rsidRDefault="009367B7" w:rsidP="006201FD">
            <w:pPr>
              <w:suppressAutoHyphens w:val="0"/>
              <w:spacing w:before="40" w:after="120" w:line="220" w:lineRule="exact"/>
              <w:jc w:val="center"/>
              <w:rPr>
                <w:sz w:val="18"/>
                <w:szCs w:val="18"/>
                <w:lang w:val="fr-FR"/>
              </w:rPr>
            </w:pPr>
            <w:r>
              <w:rPr>
                <w:sz w:val="18"/>
                <w:szCs w:val="18"/>
                <w:lang w:eastAsia="nb-NO"/>
              </w:rPr>
              <w:t>E</w:t>
            </w:r>
            <w:r w:rsidR="00196C06" w:rsidRPr="0059443A">
              <w:rPr>
                <w:sz w:val="18"/>
                <w:szCs w:val="18"/>
                <w:lang w:eastAsia="nb-NO"/>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FF06F8" w14:textId="77777777" w:rsidR="00196C06" w:rsidRPr="00890443" w:rsidRDefault="00196C06" w:rsidP="006201FD">
            <w:pPr>
              <w:suppressAutoHyphens w:val="0"/>
              <w:spacing w:before="40" w:after="120" w:line="220" w:lineRule="exact"/>
              <w:jc w:val="center"/>
              <w:rPr>
                <w:sz w:val="18"/>
                <w:szCs w:val="18"/>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BB3E4D" w14:textId="77777777" w:rsidR="00196C06" w:rsidRPr="00890443" w:rsidRDefault="00196C06" w:rsidP="006201FD">
            <w:pPr>
              <w:suppressAutoHyphens w:val="0"/>
              <w:spacing w:before="40" w:after="120" w:line="220" w:lineRule="exact"/>
              <w:ind w:right="113"/>
              <w:jc w:val="center"/>
              <w:rPr>
                <w:sz w:val="18"/>
                <w:szCs w:val="18"/>
                <w:lang w:val="fr-FR"/>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51BA29" w14:textId="77777777" w:rsidR="00196C06" w:rsidRPr="00890443" w:rsidRDefault="00196C06" w:rsidP="006201FD">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3E5F747C" w14:textId="77777777" w:rsidR="00196C06" w:rsidRPr="00890443" w:rsidRDefault="00196C06" w:rsidP="006201FD">
            <w:pPr>
              <w:suppressAutoHyphens w:val="0"/>
              <w:spacing w:line="200" w:lineRule="exact"/>
              <w:jc w:val="center"/>
              <w:rPr>
                <w:sz w:val="18"/>
                <w:szCs w:val="18"/>
                <w:lang w:val="fr-FR" w:eastAsia="nb-NO"/>
              </w:rPr>
            </w:pPr>
          </w:p>
        </w:tc>
      </w:tr>
      <w:tr w:rsidR="00DB7B5E" w:rsidRPr="00890443" w14:paraId="14050A5F"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1F4A0BB5" w14:textId="77777777" w:rsidR="00DB7B5E" w:rsidRPr="00890443" w:rsidRDefault="00DB7B5E" w:rsidP="006201FD">
            <w:pPr>
              <w:suppressAutoHyphens w:val="0"/>
              <w:spacing w:line="200" w:lineRule="exact"/>
              <w:rPr>
                <w:sz w:val="18"/>
                <w:szCs w:val="18"/>
                <w:lang w:val="fr-FR"/>
              </w:rPr>
            </w:pPr>
            <w:r>
              <w:rPr>
                <w:sz w:val="18"/>
                <w:szCs w:val="18"/>
                <w:lang w:val="fr-FR"/>
              </w:rPr>
              <w:t>3537</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76AFD2D3" w14:textId="2C23ED9F" w:rsidR="00DB7B5E" w:rsidRPr="00890443" w:rsidRDefault="00DB7B5E" w:rsidP="00CE423F">
            <w:pPr>
              <w:spacing w:before="40" w:after="40" w:line="240" w:lineRule="auto"/>
              <w:rPr>
                <w:sz w:val="18"/>
                <w:szCs w:val="18"/>
                <w:lang w:val="fr-FR" w:eastAsia="zh-CN"/>
              </w:rPr>
            </w:pPr>
            <w:r>
              <w:rPr>
                <w:sz w:val="18"/>
                <w:szCs w:val="18"/>
                <w:lang w:val="fr-FR" w:eastAsia="zh-CN"/>
              </w:rPr>
              <w:t xml:space="preserve">OBJETS CONTENANT </w:t>
            </w:r>
            <w:r w:rsidR="00CE423F">
              <w:rPr>
                <w:sz w:val="18"/>
                <w:szCs w:val="18"/>
                <w:lang w:val="fr-FR" w:eastAsia="zh-CN"/>
              </w:rPr>
              <w:t>DU GAZ INFLAMMABLE</w:t>
            </w:r>
            <w:r>
              <w:rPr>
                <w:sz w:val="18"/>
                <w:szCs w:val="18"/>
                <w:lang w:val="fr-FR" w:eastAsia="zh-CN"/>
              </w:rPr>
              <w:t>,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5237F212" w14:textId="77777777" w:rsidR="00DB7B5E" w:rsidRPr="00890443" w:rsidRDefault="00DB7B5E" w:rsidP="006201FD">
            <w:pPr>
              <w:suppressAutoHyphens w:val="0"/>
              <w:spacing w:before="40" w:after="120" w:line="220" w:lineRule="exact"/>
              <w:jc w:val="center"/>
              <w:rPr>
                <w:sz w:val="18"/>
                <w:szCs w:val="18"/>
                <w:lang w:val="fr-FR"/>
              </w:rPr>
            </w:pPr>
            <w:r>
              <w:rPr>
                <w:sz w:val="18"/>
                <w:szCs w:val="18"/>
                <w:lang w:val="fr-FR"/>
              </w:rPr>
              <w:t>2.1</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474E7B79" w14:textId="77777777" w:rsidR="00DB7B5E" w:rsidRPr="00890443" w:rsidRDefault="00DB7B5E" w:rsidP="006201FD">
            <w:pPr>
              <w:suppressAutoHyphens w:val="0"/>
              <w:spacing w:before="40" w:after="120" w:line="220" w:lineRule="exact"/>
              <w:jc w:val="center"/>
              <w:rPr>
                <w:sz w:val="18"/>
                <w:szCs w:val="18"/>
                <w:lang w:val="fr-FR"/>
              </w:rPr>
            </w:pPr>
            <w:r>
              <w:rPr>
                <w:sz w:val="18"/>
                <w:szCs w:val="18"/>
                <w:lang w:val="fr-FR"/>
              </w:rPr>
              <w:t>Voir 2.0.5.6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8E3B01E" w14:textId="77777777" w:rsidR="00DB7B5E" w:rsidRPr="00890443" w:rsidRDefault="00DB7B5E"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1E83C99" w14:textId="77777777" w:rsidR="00DB7B5E" w:rsidRPr="00890443" w:rsidRDefault="00DB7B5E" w:rsidP="006201FD">
            <w:pPr>
              <w:suppressAutoHyphens w:val="0"/>
              <w:spacing w:before="40" w:after="120" w:line="220" w:lineRule="exact"/>
              <w:jc w:val="center"/>
              <w:rPr>
                <w:sz w:val="18"/>
                <w:szCs w:val="18"/>
                <w:lang w:val="fr-FR"/>
              </w:rPr>
            </w:pPr>
            <w:r>
              <w:rPr>
                <w:sz w:val="18"/>
                <w:szCs w:val="18"/>
                <w:lang w:val="fr-FR"/>
              </w:rPr>
              <w:t>274</w:t>
            </w:r>
            <w:r>
              <w:rPr>
                <w:sz w:val="18"/>
                <w:szCs w:val="18"/>
                <w:lang w:val="fr-FR"/>
              </w:rPr>
              <w:br/>
              <w:t>391</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569A149" w14:textId="77777777" w:rsidR="00DB7B5E" w:rsidRPr="00890443" w:rsidRDefault="00DB7B5E" w:rsidP="006201FD">
            <w:pPr>
              <w:suppressAutoHyphens w:val="0"/>
              <w:spacing w:before="40" w:after="120" w:line="220" w:lineRule="exact"/>
              <w:jc w:val="center"/>
              <w:rPr>
                <w:sz w:val="18"/>
                <w:szCs w:val="18"/>
                <w:lang w:val="fr-FR"/>
              </w:rPr>
            </w:pPr>
            <w:r>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5D2FFB" w14:textId="77777777" w:rsidR="00DB7B5E" w:rsidRPr="00890443" w:rsidRDefault="00DB7B5E" w:rsidP="006201FD">
            <w:pPr>
              <w:suppressAutoHyphens w:val="0"/>
              <w:spacing w:before="40" w:after="120" w:line="220" w:lineRule="exact"/>
              <w:jc w:val="center"/>
              <w:rPr>
                <w:sz w:val="18"/>
                <w:szCs w:val="18"/>
                <w:lang w:val="fr-FR"/>
              </w:rPr>
            </w:pPr>
            <w:r>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068E71" w14:textId="77777777" w:rsidR="00DB7B5E" w:rsidRPr="00890443" w:rsidRDefault="00DB7B5E" w:rsidP="006201FD">
            <w:pPr>
              <w:suppressAutoHyphens w:val="0"/>
              <w:spacing w:before="40" w:after="120" w:line="220" w:lineRule="exact"/>
              <w:jc w:val="center"/>
              <w:rPr>
                <w:sz w:val="18"/>
                <w:szCs w:val="18"/>
                <w:lang w:val="fr-FR"/>
              </w:rPr>
            </w:pPr>
            <w:r>
              <w:rPr>
                <w:sz w:val="18"/>
                <w:szCs w:val="18"/>
                <w:lang w:val="fr-FR"/>
              </w:rPr>
              <w:t>P006</w:t>
            </w:r>
            <w:r>
              <w:rPr>
                <w:sz w:val="18"/>
                <w:szCs w:val="18"/>
                <w:lang w:val="fr-FR"/>
              </w:rPr>
              <w:br/>
              <w:t>LP03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937238" w14:textId="77777777" w:rsidR="00DB7B5E" w:rsidRPr="00890443" w:rsidRDefault="00DB7B5E" w:rsidP="006201FD">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391C123" w14:textId="77777777" w:rsidR="00DB7B5E" w:rsidRPr="00890443" w:rsidRDefault="00DB7B5E" w:rsidP="006201FD">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59AB19AE" w14:textId="77777777" w:rsidR="00DB7B5E" w:rsidRPr="00890443" w:rsidRDefault="00DB7B5E" w:rsidP="006201FD">
            <w:pPr>
              <w:suppressAutoHyphens w:val="0"/>
              <w:spacing w:line="200" w:lineRule="exact"/>
              <w:jc w:val="center"/>
              <w:rPr>
                <w:sz w:val="18"/>
                <w:szCs w:val="18"/>
                <w:lang w:val="fr-FR" w:eastAsia="nb-NO"/>
              </w:rPr>
            </w:pPr>
          </w:p>
        </w:tc>
      </w:tr>
      <w:tr w:rsidR="00DB7B5E" w:rsidRPr="00890443" w14:paraId="2F93251B"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206B900B" w14:textId="77777777" w:rsidR="00DB7B5E" w:rsidRPr="00C64110" w:rsidRDefault="00DB7B5E" w:rsidP="006201FD">
            <w:pPr>
              <w:suppressAutoHyphens w:val="0"/>
              <w:spacing w:line="200" w:lineRule="exact"/>
              <w:rPr>
                <w:sz w:val="18"/>
                <w:szCs w:val="18"/>
                <w:lang w:val="fr-FR"/>
              </w:rPr>
            </w:pPr>
            <w:r w:rsidRPr="00C64110">
              <w:rPr>
                <w:sz w:val="18"/>
                <w:szCs w:val="18"/>
                <w:lang w:val="fr-FR"/>
              </w:rPr>
              <w:t>3538</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5981ABF1" w14:textId="2119B126" w:rsidR="00DB7B5E" w:rsidRPr="00C64110" w:rsidRDefault="00DB7B5E" w:rsidP="00CE423F">
            <w:pPr>
              <w:spacing w:before="40" w:after="40" w:line="240" w:lineRule="auto"/>
              <w:rPr>
                <w:sz w:val="18"/>
                <w:szCs w:val="18"/>
                <w:lang w:val="fr-FR" w:eastAsia="zh-CN"/>
              </w:rPr>
            </w:pPr>
            <w:r w:rsidRPr="00C64110">
              <w:rPr>
                <w:sz w:val="18"/>
                <w:szCs w:val="18"/>
                <w:lang w:val="fr-FR" w:eastAsia="zh-CN"/>
              </w:rPr>
              <w:t xml:space="preserve">OBJETS CONTENANT </w:t>
            </w:r>
            <w:r w:rsidR="00CE423F">
              <w:rPr>
                <w:sz w:val="18"/>
                <w:szCs w:val="18"/>
                <w:lang w:val="fr-FR" w:eastAsia="zh-CN"/>
              </w:rPr>
              <w:t>DU GAZ ININFLAMMABLE</w:t>
            </w:r>
            <w:r w:rsidR="00C333AE" w:rsidRPr="00C64110">
              <w:rPr>
                <w:sz w:val="18"/>
                <w:szCs w:val="18"/>
                <w:lang w:val="fr-FR" w:eastAsia="zh-CN"/>
              </w:rPr>
              <w:t>,</w:t>
            </w:r>
            <w:r w:rsidR="00CE423F">
              <w:rPr>
                <w:sz w:val="18"/>
                <w:szCs w:val="18"/>
                <w:lang w:val="fr-FR" w:eastAsia="zh-CN"/>
              </w:rPr>
              <w:t xml:space="preserve"> NON TOXIQUE</w:t>
            </w:r>
            <w:r w:rsidRPr="00C64110">
              <w:rPr>
                <w:sz w:val="18"/>
                <w:szCs w:val="18"/>
                <w:lang w:val="fr-FR" w:eastAsia="zh-CN"/>
              </w:rPr>
              <w:t>,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5EAE345C"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2.2</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5C1B9845"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Voir 2.0.5.6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9AD69A8" w14:textId="77777777" w:rsidR="00DB7B5E" w:rsidRPr="00C64110" w:rsidRDefault="00DB7B5E"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CBB1CA8"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274</w:t>
            </w:r>
            <w:r w:rsidRPr="00C64110">
              <w:rPr>
                <w:sz w:val="18"/>
                <w:szCs w:val="18"/>
                <w:lang w:val="fr-FR"/>
              </w:rPr>
              <w:br/>
              <w:t>391</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14755F0"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B8AA3D"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6795A9" w14:textId="77777777" w:rsidR="00DB7B5E" w:rsidRPr="00890443" w:rsidRDefault="00DB7B5E" w:rsidP="006201FD">
            <w:pPr>
              <w:suppressAutoHyphens w:val="0"/>
              <w:spacing w:before="40" w:after="120" w:line="220" w:lineRule="exact"/>
              <w:jc w:val="center"/>
              <w:rPr>
                <w:sz w:val="18"/>
                <w:szCs w:val="18"/>
                <w:lang w:val="fr-FR"/>
              </w:rPr>
            </w:pPr>
            <w:r w:rsidRPr="00C64110">
              <w:rPr>
                <w:sz w:val="18"/>
                <w:szCs w:val="18"/>
                <w:lang w:val="fr-FR"/>
              </w:rPr>
              <w:t>P006</w:t>
            </w:r>
            <w:r w:rsidRPr="00C64110">
              <w:rPr>
                <w:sz w:val="18"/>
                <w:szCs w:val="18"/>
                <w:lang w:val="fr-FR"/>
              </w:rPr>
              <w:br/>
              <w:t>LP03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E57ABE" w14:textId="77777777" w:rsidR="00DB7B5E" w:rsidRPr="00890443" w:rsidRDefault="00DB7B5E" w:rsidP="006201FD">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A298B9" w14:textId="77777777" w:rsidR="00DB7B5E" w:rsidRPr="00890443" w:rsidRDefault="00DB7B5E" w:rsidP="006201FD">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59C9D8E8" w14:textId="77777777" w:rsidR="00DB7B5E" w:rsidRPr="00890443" w:rsidRDefault="00DB7B5E" w:rsidP="006201FD">
            <w:pPr>
              <w:suppressAutoHyphens w:val="0"/>
              <w:spacing w:line="200" w:lineRule="exact"/>
              <w:jc w:val="center"/>
              <w:rPr>
                <w:sz w:val="18"/>
                <w:szCs w:val="18"/>
                <w:lang w:val="fr-FR" w:eastAsia="nb-NO"/>
              </w:rPr>
            </w:pPr>
          </w:p>
        </w:tc>
      </w:tr>
      <w:tr w:rsidR="00DB7B5E" w:rsidRPr="00C64110" w14:paraId="12B572CA"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3B035B12" w14:textId="77777777" w:rsidR="00DB7B5E" w:rsidRPr="00C64110" w:rsidRDefault="00DB7B5E" w:rsidP="006201FD">
            <w:pPr>
              <w:suppressAutoHyphens w:val="0"/>
              <w:spacing w:line="200" w:lineRule="exact"/>
              <w:rPr>
                <w:sz w:val="18"/>
                <w:szCs w:val="18"/>
                <w:lang w:val="fr-FR"/>
              </w:rPr>
            </w:pPr>
            <w:r w:rsidRPr="00C64110">
              <w:rPr>
                <w:sz w:val="18"/>
                <w:szCs w:val="18"/>
                <w:lang w:val="fr-FR"/>
              </w:rPr>
              <w:t>3539</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AC9885A" w14:textId="3C9AC794" w:rsidR="00DB7B5E" w:rsidRPr="00C64110" w:rsidRDefault="00DB7B5E" w:rsidP="00CE423F">
            <w:pPr>
              <w:spacing w:before="40" w:after="40" w:line="240" w:lineRule="auto"/>
              <w:rPr>
                <w:sz w:val="18"/>
                <w:szCs w:val="18"/>
                <w:lang w:val="fr-FR" w:eastAsia="zh-CN"/>
              </w:rPr>
            </w:pPr>
            <w:r w:rsidRPr="00C64110">
              <w:rPr>
                <w:sz w:val="18"/>
                <w:szCs w:val="18"/>
                <w:lang w:val="fr-FR" w:eastAsia="zh-CN"/>
              </w:rPr>
              <w:t xml:space="preserve">OBJETS CONTENANT </w:t>
            </w:r>
            <w:r w:rsidR="00CE423F">
              <w:rPr>
                <w:sz w:val="18"/>
                <w:szCs w:val="18"/>
                <w:lang w:val="fr-FR" w:eastAsia="zh-CN"/>
              </w:rPr>
              <w:t>DU GAZ TOXIQUE</w:t>
            </w:r>
            <w:r w:rsidRPr="00C64110">
              <w:rPr>
                <w:sz w:val="18"/>
                <w:szCs w:val="18"/>
                <w:lang w:val="fr-FR" w:eastAsia="zh-CN"/>
              </w:rPr>
              <w:t>,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70808AC2"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2.3</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E5818CF"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Voir 2.0.5.6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4BC7911" w14:textId="77777777" w:rsidR="00DB7B5E" w:rsidRPr="00C64110" w:rsidRDefault="00DB7B5E"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D7D6009"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274</w:t>
            </w:r>
            <w:r w:rsidRPr="00C64110">
              <w:rPr>
                <w:sz w:val="18"/>
                <w:szCs w:val="18"/>
                <w:lang w:val="fr-FR"/>
              </w:rPr>
              <w:br/>
              <w:t>391</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DDA1176"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DCADB0"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002044" w14:textId="77777777" w:rsidR="00DB7B5E" w:rsidRPr="00C64110" w:rsidRDefault="00DB7B5E" w:rsidP="006201FD">
            <w:pPr>
              <w:suppressAutoHyphens w:val="0"/>
              <w:spacing w:before="40" w:after="120" w:line="220" w:lineRule="exact"/>
              <w:jc w:val="center"/>
              <w:rPr>
                <w:sz w:val="18"/>
                <w:szCs w:val="18"/>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E296C3" w14:textId="77777777" w:rsidR="00DB7B5E" w:rsidRPr="00C64110" w:rsidRDefault="00DB7B5E" w:rsidP="006201FD">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BE8A4F" w14:textId="77777777" w:rsidR="00DB7B5E" w:rsidRPr="00C64110" w:rsidRDefault="00DB7B5E" w:rsidP="006201FD">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14CCDFE1" w14:textId="77777777" w:rsidR="00DB7B5E" w:rsidRPr="00C64110" w:rsidRDefault="00DB7B5E" w:rsidP="006201FD">
            <w:pPr>
              <w:suppressAutoHyphens w:val="0"/>
              <w:spacing w:line="200" w:lineRule="exact"/>
              <w:jc w:val="center"/>
              <w:rPr>
                <w:sz w:val="18"/>
                <w:szCs w:val="18"/>
                <w:lang w:val="fr-FR" w:eastAsia="nb-NO"/>
              </w:rPr>
            </w:pPr>
          </w:p>
        </w:tc>
      </w:tr>
      <w:tr w:rsidR="00DB7B5E" w:rsidRPr="00C64110" w14:paraId="4E393340"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56015DC3" w14:textId="77777777" w:rsidR="00DB7B5E" w:rsidRPr="00C64110" w:rsidRDefault="00DB7B5E" w:rsidP="006201FD">
            <w:pPr>
              <w:suppressAutoHyphens w:val="0"/>
              <w:spacing w:line="200" w:lineRule="exact"/>
              <w:rPr>
                <w:sz w:val="18"/>
                <w:szCs w:val="18"/>
                <w:lang w:val="fr-FR"/>
              </w:rPr>
            </w:pPr>
            <w:r w:rsidRPr="00C64110">
              <w:rPr>
                <w:sz w:val="18"/>
                <w:szCs w:val="18"/>
                <w:lang w:val="fr-FR"/>
              </w:rPr>
              <w:t>3540</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D76EC64" w14:textId="046248C4" w:rsidR="00DB7B5E" w:rsidRPr="00C64110" w:rsidRDefault="00DB7B5E" w:rsidP="00CE423F">
            <w:pPr>
              <w:spacing w:before="40" w:after="40" w:line="240" w:lineRule="auto"/>
              <w:rPr>
                <w:sz w:val="18"/>
                <w:szCs w:val="18"/>
                <w:lang w:val="fr-FR" w:eastAsia="zh-CN"/>
              </w:rPr>
            </w:pPr>
            <w:r w:rsidRPr="00C64110">
              <w:rPr>
                <w:sz w:val="18"/>
                <w:szCs w:val="18"/>
                <w:lang w:val="fr-FR" w:eastAsia="zh-CN"/>
              </w:rPr>
              <w:t xml:space="preserve">OBJETS CONTENANT </w:t>
            </w:r>
            <w:r w:rsidR="00CE423F">
              <w:rPr>
                <w:sz w:val="18"/>
                <w:szCs w:val="18"/>
                <w:lang w:val="fr-FR" w:eastAsia="zh-CN"/>
              </w:rPr>
              <w:t>DU LIQUIDE INFLAMMABLE</w:t>
            </w:r>
            <w:r w:rsidRPr="00C64110">
              <w:rPr>
                <w:sz w:val="18"/>
                <w:szCs w:val="18"/>
                <w:lang w:val="fr-FR" w:eastAsia="zh-CN"/>
              </w:rPr>
              <w:t>,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2657770C"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3</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47EBC1D"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Voir 2.0.5.6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D035338" w14:textId="77777777" w:rsidR="00DB7B5E" w:rsidRPr="00C64110" w:rsidRDefault="00DB7B5E"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39C450A"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274</w:t>
            </w:r>
            <w:r w:rsidRPr="00C64110">
              <w:rPr>
                <w:sz w:val="18"/>
                <w:szCs w:val="18"/>
                <w:lang w:val="fr-FR"/>
              </w:rPr>
              <w:br/>
              <w:t>391</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2D11653A"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653EAF"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228688"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P006</w:t>
            </w:r>
            <w:r w:rsidRPr="00C64110">
              <w:rPr>
                <w:sz w:val="18"/>
                <w:szCs w:val="18"/>
                <w:lang w:val="fr-FR"/>
              </w:rPr>
              <w:br/>
              <w:t>LP03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8FE9C5" w14:textId="77777777" w:rsidR="00DB7B5E" w:rsidRPr="00C64110" w:rsidRDefault="00DB7B5E" w:rsidP="006201FD">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0806A8" w14:textId="77777777" w:rsidR="00DB7B5E" w:rsidRPr="00C64110" w:rsidRDefault="00DB7B5E" w:rsidP="006201FD">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2BF41793" w14:textId="77777777" w:rsidR="00DB7B5E" w:rsidRPr="00C64110" w:rsidRDefault="00DB7B5E" w:rsidP="006201FD">
            <w:pPr>
              <w:suppressAutoHyphens w:val="0"/>
              <w:spacing w:line="200" w:lineRule="exact"/>
              <w:jc w:val="center"/>
              <w:rPr>
                <w:sz w:val="18"/>
                <w:szCs w:val="18"/>
                <w:lang w:val="fr-FR" w:eastAsia="nb-NO"/>
              </w:rPr>
            </w:pPr>
          </w:p>
        </w:tc>
      </w:tr>
      <w:tr w:rsidR="00DB7B5E" w:rsidRPr="00C64110" w14:paraId="1E0F8106"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03700338" w14:textId="77777777" w:rsidR="00DB7B5E" w:rsidRPr="00C64110" w:rsidRDefault="00DB7B5E" w:rsidP="006201FD">
            <w:pPr>
              <w:suppressAutoHyphens w:val="0"/>
              <w:spacing w:line="200" w:lineRule="exact"/>
              <w:rPr>
                <w:sz w:val="18"/>
                <w:szCs w:val="18"/>
                <w:lang w:val="fr-FR"/>
              </w:rPr>
            </w:pPr>
            <w:r w:rsidRPr="00C64110">
              <w:rPr>
                <w:sz w:val="18"/>
                <w:szCs w:val="18"/>
                <w:lang w:val="fr-FR"/>
              </w:rPr>
              <w:t>3541</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7B3838C8" w14:textId="5F6B94D3" w:rsidR="00DB7B5E" w:rsidRPr="00C64110" w:rsidRDefault="00DB7B5E" w:rsidP="00CE423F">
            <w:pPr>
              <w:spacing w:before="40" w:after="40" w:line="240" w:lineRule="auto"/>
              <w:rPr>
                <w:sz w:val="18"/>
                <w:szCs w:val="18"/>
                <w:lang w:val="fr-FR" w:eastAsia="zh-CN"/>
              </w:rPr>
            </w:pPr>
            <w:r w:rsidRPr="00C64110">
              <w:rPr>
                <w:sz w:val="18"/>
                <w:szCs w:val="18"/>
                <w:lang w:val="fr-FR" w:eastAsia="zh-CN"/>
              </w:rPr>
              <w:t xml:space="preserve">OBJETS CONTENANT </w:t>
            </w:r>
            <w:r w:rsidR="00CE423F">
              <w:rPr>
                <w:sz w:val="18"/>
                <w:szCs w:val="18"/>
                <w:lang w:val="fr-FR" w:eastAsia="zh-CN"/>
              </w:rPr>
              <w:t>DU SOLIDE</w:t>
            </w:r>
            <w:r w:rsidRPr="00C64110">
              <w:rPr>
                <w:sz w:val="18"/>
                <w:szCs w:val="18"/>
                <w:lang w:val="fr-FR" w:eastAsia="zh-CN"/>
              </w:rPr>
              <w:t xml:space="preserve"> </w:t>
            </w:r>
            <w:r w:rsidR="00CE423F">
              <w:rPr>
                <w:sz w:val="18"/>
                <w:szCs w:val="18"/>
                <w:lang w:val="fr-FR" w:eastAsia="zh-CN"/>
              </w:rPr>
              <w:t>INFLAMMABLE</w:t>
            </w:r>
            <w:r w:rsidRPr="00C64110">
              <w:rPr>
                <w:sz w:val="18"/>
                <w:szCs w:val="18"/>
                <w:lang w:val="fr-FR" w:eastAsia="zh-CN"/>
              </w:rPr>
              <w:t>,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36E74EC3"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4.1</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2C55D4A"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Voir 2.0.5.6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898C08A" w14:textId="77777777" w:rsidR="00DB7B5E" w:rsidRPr="00C64110" w:rsidRDefault="00DB7B5E"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71F541D"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274</w:t>
            </w:r>
            <w:r w:rsidRPr="00C64110">
              <w:rPr>
                <w:sz w:val="18"/>
                <w:szCs w:val="18"/>
                <w:lang w:val="fr-FR"/>
              </w:rPr>
              <w:br/>
              <w:t>391</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77EA982D"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DDCE6A9"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89EC64"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P006</w:t>
            </w:r>
            <w:r w:rsidRPr="00C64110">
              <w:rPr>
                <w:sz w:val="18"/>
                <w:szCs w:val="18"/>
                <w:lang w:val="fr-FR"/>
              </w:rPr>
              <w:br/>
              <w:t>LP03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3E69B5" w14:textId="77777777" w:rsidR="00DB7B5E" w:rsidRPr="00C64110" w:rsidRDefault="00DB7B5E" w:rsidP="006201FD">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6A1320" w14:textId="77777777" w:rsidR="00DB7B5E" w:rsidRPr="00C64110" w:rsidRDefault="00DB7B5E" w:rsidP="006201FD">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0D6CB2AE" w14:textId="77777777" w:rsidR="00DB7B5E" w:rsidRPr="00C64110" w:rsidRDefault="00DB7B5E" w:rsidP="006201FD">
            <w:pPr>
              <w:suppressAutoHyphens w:val="0"/>
              <w:spacing w:line="200" w:lineRule="exact"/>
              <w:jc w:val="center"/>
              <w:rPr>
                <w:sz w:val="18"/>
                <w:szCs w:val="18"/>
                <w:lang w:val="fr-FR" w:eastAsia="nb-NO"/>
              </w:rPr>
            </w:pPr>
          </w:p>
        </w:tc>
      </w:tr>
      <w:tr w:rsidR="00DB7B5E" w:rsidRPr="00C64110" w14:paraId="415DDFBB"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53D5856A" w14:textId="77777777" w:rsidR="00DB7B5E" w:rsidRPr="00C64110" w:rsidRDefault="00DB7B5E" w:rsidP="006201FD">
            <w:pPr>
              <w:suppressAutoHyphens w:val="0"/>
              <w:spacing w:line="200" w:lineRule="exact"/>
              <w:rPr>
                <w:sz w:val="18"/>
                <w:szCs w:val="18"/>
                <w:lang w:val="fr-FR"/>
              </w:rPr>
            </w:pPr>
            <w:r w:rsidRPr="00C64110">
              <w:rPr>
                <w:sz w:val="18"/>
                <w:szCs w:val="18"/>
                <w:lang w:val="fr-FR"/>
              </w:rPr>
              <w:t>3542</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416C233A" w14:textId="30A029D4" w:rsidR="00DB7B5E" w:rsidRPr="00C64110" w:rsidRDefault="00DB7B5E" w:rsidP="00CE423F">
            <w:pPr>
              <w:spacing w:before="40" w:after="40" w:line="240" w:lineRule="auto"/>
              <w:rPr>
                <w:sz w:val="18"/>
                <w:szCs w:val="18"/>
                <w:lang w:val="fr-FR" w:eastAsia="zh-CN"/>
              </w:rPr>
            </w:pPr>
            <w:r w:rsidRPr="00C64110">
              <w:rPr>
                <w:sz w:val="18"/>
                <w:szCs w:val="18"/>
                <w:lang w:val="fr-FR" w:eastAsia="zh-CN"/>
              </w:rPr>
              <w:t xml:space="preserve">OBJETS CONTENANT </w:t>
            </w:r>
            <w:r w:rsidR="00CE423F">
              <w:rPr>
                <w:sz w:val="18"/>
                <w:szCs w:val="18"/>
                <w:lang w:val="fr-FR" w:eastAsia="zh-CN"/>
              </w:rPr>
              <w:t>DE LA</w:t>
            </w:r>
            <w:r w:rsidRPr="00C64110">
              <w:rPr>
                <w:sz w:val="18"/>
                <w:szCs w:val="18"/>
                <w:lang w:val="fr-FR" w:eastAsia="zh-CN"/>
              </w:rPr>
              <w:t xml:space="preserve"> </w:t>
            </w:r>
            <w:r w:rsidR="00CE423F">
              <w:rPr>
                <w:sz w:val="18"/>
                <w:szCs w:val="18"/>
                <w:lang w:val="fr-FR" w:eastAsia="zh-CN"/>
              </w:rPr>
              <w:t>MATIÈRE</w:t>
            </w:r>
            <w:r w:rsidR="00C447E6" w:rsidRPr="00C64110">
              <w:rPr>
                <w:sz w:val="18"/>
                <w:szCs w:val="18"/>
                <w:lang w:val="fr-FR" w:eastAsia="zh-CN"/>
              </w:rPr>
              <w:t xml:space="preserve"> </w:t>
            </w:r>
            <w:r w:rsidR="00CE423F">
              <w:rPr>
                <w:sz w:val="18"/>
                <w:szCs w:val="18"/>
                <w:lang w:val="fr-FR" w:eastAsia="zh-CN"/>
              </w:rPr>
              <w:t>SUJETTE</w:t>
            </w:r>
            <w:r w:rsidRPr="00C64110">
              <w:rPr>
                <w:sz w:val="18"/>
                <w:szCs w:val="18"/>
                <w:lang w:val="fr-FR" w:eastAsia="zh-CN"/>
              </w:rPr>
              <w:t xml:space="preserve"> </w:t>
            </w:r>
            <w:r w:rsidR="0077663B">
              <w:rPr>
                <w:sz w:val="18"/>
                <w:szCs w:val="18"/>
                <w:lang w:val="fr-FR" w:eastAsia="zh-CN"/>
              </w:rPr>
              <w:t>À</w:t>
            </w:r>
            <w:r w:rsidRPr="00C64110">
              <w:rPr>
                <w:sz w:val="18"/>
                <w:szCs w:val="18"/>
                <w:lang w:val="fr-FR" w:eastAsia="zh-CN"/>
              </w:rPr>
              <w:t xml:space="preserve"> L'INFLAMMATION SPONTANEE,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6C903B3D"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4.2</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743D84D3"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Voir 2.0.5.6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71D819E" w14:textId="77777777" w:rsidR="00DB7B5E" w:rsidRPr="00C64110" w:rsidRDefault="00DB7B5E"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2028B0D"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274</w:t>
            </w:r>
            <w:r w:rsidRPr="00C64110">
              <w:rPr>
                <w:sz w:val="18"/>
                <w:szCs w:val="18"/>
                <w:lang w:val="fr-FR"/>
              </w:rPr>
              <w:br/>
              <w:t>391</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769D46EA"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B66D02"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808BB8" w14:textId="77777777" w:rsidR="00DB7B5E" w:rsidRPr="00C64110" w:rsidRDefault="00DB7B5E" w:rsidP="006201FD">
            <w:pPr>
              <w:suppressAutoHyphens w:val="0"/>
              <w:spacing w:before="40" w:after="120" w:line="220" w:lineRule="exact"/>
              <w:jc w:val="center"/>
              <w:rPr>
                <w:sz w:val="18"/>
                <w:szCs w:val="18"/>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7CC8D7" w14:textId="77777777" w:rsidR="00DB7B5E" w:rsidRPr="00C64110" w:rsidRDefault="00DB7B5E" w:rsidP="006201FD">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31C662" w14:textId="77777777" w:rsidR="00DB7B5E" w:rsidRPr="00C64110" w:rsidRDefault="00DB7B5E" w:rsidP="006201FD">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1394751F" w14:textId="77777777" w:rsidR="00DB7B5E" w:rsidRPr="00C64110" w:rsidRDefault="00DB7B5E" w:rsidP="006201FD">
            <w:pPr>
              <w:suppressAutoHyphens w:val="0"/>
              <w:spacing w:line="200" w:lineRule="exact"/>
              <w:jc w:val="center"/>
              <w:rPr>
                <w:sz w:val="18"/>
                <w:szCs w:val="18"/>
                <w:lang w:val="fr-FR" w:eastAsia="nb-NO"/>
              </w:rPr>
            </w:pPr>
          </w:p>
        </w:tc>
      </w:tr>
      <w:tr w:rsidR="00DB7B5E" w:rsidRPr="00C64110" w14:paraId="735C7B67"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495CEEFC" w14:textId="77777777" w:rsidR="00DB7B5E" w:rsidRPr="00C64110" w:rsidRDefault="00DB7B5E" w:rsidP="006201FD">
            <w:pPr>
              <w:suppressAutoHyphens w:val="0"/>
              <w:spacing w:line="200" w:lineRule="exact"/>
              <w:rPr>
                <w:sz w:val="18"/>
                <w:szCs w:val="18"/>
                <w:lang w:val="fr-FR"/>
              </w:rPr>
            </w:pPr>
            <w:r w:rsidRPr="00C64110">
              <w:rPr>
                <w:sz w:val="18"/>
                <w:szCs w:val="18"/>
                <w:lang w:val="fr-FR"/>
              </w:rPr>
              <w:t>3543</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D492286" w14:textId="22BD8EF4" w:rsidR="00DB7B5E" w:rsidRPr="00C64110" w:rsidRDefault="00DB7B5E" w:rsidP="00EC3C7A">
            <w:pPr>
              <w:spacing w:before="40" w:after="40" w:line="240" w:lineRule="auto"/>
              <w:rPr>
                <w:sz w:val="18"/>
                <w:szCs w:val="18"/>
                <w:lang w:val="fr-FR" w:eastAsia="zh-CN"/>
              </w:rPr>
            </w:pPr>
            <w:r w:rsidRPr="00C64110">
              <w:rPr>
                <w:sz w:val="18"/>
                <w:szCs w:val="18"/>
                <w:lang w:val="fr-FR" w:eastAsia="zh-CN"/>
              </w:rPr>
              <w:t xml:space="preserve">OBJETS CONTENANT </w:t>
            </w:r>
            <w:r w:rsidR="00CE423F">
              <w:rPr>
                <w:sz w:val="18"/>
                <w:szCs w:val="18"/>
                <w:lang w:val="fr-FR" w:eastAsia="zh-CN"/>
              </w:rPr>
              <w:t>DE LA</w:t>
            </w:r>
            <w:r w:rsidRPr="00C64110">
              <w:rPr>
                <w:sz w:val="18"/>
                <w:szCs w:val="18"/>
                <w:lang w:val="fr-FR" w:eastAsia="zh-CN"/>
              </w:rPr>
              <w:t xml:space="preserve"> </w:t>
            </w:r>
            <w:r w:rsidR="00CE423F">
              <w:rPr>
                <w:sz w:val="18"/>
                <w:szCs w:val="18"/>
                <w:lang w:val="fr-FR" w:eastAsia="zh-CN"/>
              </w:rPr>
              <w:t>MATIÈRE</w:t>
            </w:r>
            <w:r w:rsidRPr="00C64110">
              <w:rPr>
                <w:sz w:val="18"/>
                <w:szCs w:val="18"/>
                <w:lang w:val="fr-FR" w:eastAsia="zh-CN"/>
              </w:rPr>
              <w:t xml:space="preserve"> QU</w:t>
            </w:r>
            <w:r w:rsidR="00CE423F">
              <w:rPr>
                <w:sz w:val="18"/>
                <w:szCs w:val="18"/>
                <w:lang w:val="fr-FR" w:eastAsia="zh-CN"/>
              </w:rPr>
              <w:t>I, AU CONTACT DE L'EAU, D</w:t>
            </w:r>
            <w:r w:rsidR="00EC3C7A">
              <w:rPr>
                <w:sz w:val="18"/>
                <w:szCs w:val="18"/>
                <w:lang w:val="fr-FR" w:eastAsia="zh-CN"/>
              </w:rPr>
              <w:t>É</w:t>
            </w:r>
            <w:r w:rsidR="00CE423F">
              <w:rPr>
                <w:sz w:val="18"/>
                <w:szCs w:val="18"/>
                <w:lang w:val="fr-FR" w:eastAsia="zh-CN"/>
              </w:rPr>
              <w:t>GAGE</w:t>
            </w:r>
            <w:r w:rsidRPr="00C64110">
              <w:rPr>
                <w:sz w:val="18"/>
                <w:szCs w:val="18"/>
                <w:lang w:val="fr-FR" w:eastAsia="zh-CN"/>
              </w:rPr>
              <w:t xml:space="preserve"> DES GAZ INFLAMMABLES,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49BE3483"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4.3</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20F16A85"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Voir 2.0.5.6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8903D7E" w14:textId="77777777" w:rsidR="00DB7B5E" w:rsidRPr="00C64110" w:rsidRDefault="00DB7B5E"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093E810"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274</w:t>
            </w:r>
            <w:r w:rsidRPr="00C64110">
              <w:rPr>
                <w:sz w:val="18"/>
                <w:szCs w:val="18"/>
                <w:lang w:val="fr-FR"/>
              </w:rPr>
              <w:br/>
              <w:t>391</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453A66C2"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84FC1D"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C8CF75" w14:textId="77777777" w:rsidR="00DB7B5E" w:rsidRPr="00C64110" w:rsidRDefault="00DB7B5E" w:rsidP="006201FD">
            <w:pPr>
              <w:suppressAutoHyphens w:val="0"/>
              <w:spacing w:before="40" w:after="120" w:line="220" w:lineRule="exact"/>
              <w:jc w:val="center"/>
              <w:rPr>
                <w:sz w:val="18"/>
                <w:szCs w:val="18"/>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CB9D22" w14:textId="77777777" w:rsidR="00DB7B5E" w:rsidRPr="00C64110" w:rsidRDefault="00DB7B5E" w:rsidP="006201FD">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581531" w14:textId="77777777" w:rsidR="00DB7B5E" w:rsidRPr="00C64110" w:rsidRDefault="00DB7B5E" w:rsidP="006201FD">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4A31CB99" w14:textId="77777777" w:rsidR="00DB7B5E" w:rsidRPr="00C64110" w:rsidRDefault="00DB7B5E" w:rsidP="006201FD">
            <w:pPr>
              <w:suppressAutoHyphens w:val="0"/>
              <w:spacing w:line="200" w:lineRule="exact"/>
              <w:jc w:val="center"/>
              <w:rPr>
                <w:sz w:val="18"/>
                <w:szCs w:val="18"/>
                <w:lang w:val="fr-FR" w:eastAsia="nb-NO"/>
              </w:rPr>
            </w:pPr>
          </w:p>
        </w:tc>
      </w:tr>
      <w:tr w:rsidR="00DB7B5E" w:rsidRPr="00C64110" w14:paraId="7734EF9E"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3DF721EB" w14:textId="77777777" w:rsidR="00DB7B5E" w:rsidRPr="00C64110" w:rsidRDefault="00DB7B5E" w:rsidP="006201FD">
            <w:pPr>
              <w:suppressAutoHyphens w:val="0"/>
              <w:spacing w:line="200" w:lineRule="exact"/>
              <w:rPr>
                <w:sz w:val="18"/>
                <w:szCs w:val="18"/>
                <w:lang w:val="fr-FR"/>
              </w:rPr>
            </w:pPr>
            <w:r w:rsidRPr="00C64110">
              <w:rPr>
                <w:sz w:val="18"/>
                <w:szCs w:val="18"/>
                <w:lang w:val="fr-FR"/>
              </w:rPr>
              <w:t>3544</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4CDD05D1" w14:textId="0BE90706" w:rsidR="00DB7B5E" w:rsidRPr="00C64110" w:rsidRDefault="00DB7B5E" w:rsidP="003C542F">
            <w:pPr>
              <w:spacing w:before="40" w:after="40" w:line="240" w:lineRule="auto"/>
              <w:rPr>
                <w:sz w:val="18"/>
                <w:szCs w:val="18"/>
                <w:lang w:val="fr-FR" w:eastAsia="zh-CN"/>
              </w:rPr>
            </w:pPr>
            <w:r w:rsidRPr="00C64110">
              <w:rPr>
                <w:sz w:val="18"/>
                <w:szCs w:val="18"/>
                <w:lang w:val="fr-FR" w:eastAsia="zh-CN"/>
              </w:rPr>
              <w:t xml:space="preserve">OBJETS CONTENANT </w:t>
            </w:r>
            <w:r w:rsidR="003C542F">
              <w:rPr>
                <w:sz w:val="18"/>
                <w:szCs w:val="18"/>
                <w:lang w:val="fr-FR" w:eastAsia="zh-CN"/>
              </w:rPr>
              <w:t>DE LA</w:t>
            </w:r>
            <w:r w:rsidRPr="00C64110">
              <w:rPr>
                <w:sz w:val="18"/>
                <w:szCs w:val="18"/>
                <w:lang w:val="fr-FR" w:eastAsia="zh-CN"/>
              </w:rPr>
              <w:t xml:space="preserve"> </w:t>
            </w:r>
            <w:r w:rsidR="003C542F">
              <w:rPr>
                <w:sz w:val="18"/>
                <w:szCs w:val="18"/>
                <w:lang w:val="fr-FR" w:eastAsia="zh-CN"/>
              </w:rPr>
              <w:t>MATIÈRE</w:t>
            </w:r>
            <w:r w:rsidRPr="00C64110">
              <w:rPr>
                <w:sz w:val="18"/>
                <w:szCs w:val="18"/>
                <w:lang w:val="fr-FR" w:eastAsia="zh-CN"/>
              </w:rPr>
              <w:t xml:space="preserve"> </w:t>
            </w:r>
            <w:r w:rsidR="003C542F">
              <w:rPr>
                <w:sz w:val="18"/>
                <w:szCs w:val="18"/>
                <w:lang w:val="fr-FR" w:eastAsia="zh-CN"/>
              </w:rPr>
              <w:t>COMBURANTE</w:t>
            </w:r>
            <w:r w:rsidRPr="00C64110">
              <w:rPr>
                <w:sz w:val="18"/>
                <w:szCs w:val="18"/>
                <w:lang w:val="fr-FR" w:eastAsia="zh-CN"/>
              </w:rPr>
              <w:t>,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56350DC6"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5.1</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4C5E3F84"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Voir 2.0.5.6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6B79BF2" w14:textId="77777777" w:rsidR="00DB7B5E" w:rsidRPr="00C64110" w:rsidRDefault="00DB7B5E"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CE66974"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274</w:t>
            </w:r>
            <w:r w:rsidRPr="00C64110">
              <w:rPr>
                <w:sz w:val="18"/>
                <w:szCs w:val="18"/>
                <w:lang w:val="fr-FR"/>
              </w:rPr>
              <w:br/>
              <w:t>391</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E687F7B"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9EF3A38"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995A73" w14:textId="77777777" w:rsidR="00DB7B5E" w:rsidRPr="00C64110" w:rsidRDefault="00DB7B5E" w:rsidP="006201FD">
            <w:pPr>
              <w:suppressAutoHyphens w:val="0"/>
              <w:spacing w:before="40" w:after="120" w:line="220" w:lineRule="exact"/>
              <w:jc w:val="center"/>
              <w:rPr>
                <w:sz w:val="18"/>
                <w:szCs w:val="18"/>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2FBB08" w14:textId="77777777" w:rsidR="00DB7B5E" w:rsidRPr="00C64110" w:rsidRDefault="00DB7B5E" w:rsidP="006201FD">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26DFCD" w14:textId="77777777" w:rsidR="00DB7B5E" w:rsidRPr="00C64110" w:rsidRDefault="00DB7B5E" w:rsidP="006201FD">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1B64704D" w14:textId="77777777" w:rsidR="00DB7B5E" w:rsidRPr="00C64110" w:rsidRDefault="00DB7B5E" w:rsidP="006201FD">
            <w:pPr>
              <w:suppressAutoHyphens w:val="0"/>
              <w:spacing w:line="200" w:lineRule="exact"/>
              <w:jc w:val="center"/>
              <w:rPr>
                <w:sz w:val="18"/>
                <w:szCs w:val="18"/>
                <w:lang w:val="fr-FR" w:eastAsia="nb-NO"/>
              </w:rPr>
            </w:pPr>
          </w:p>
        </w:tc>
      </w:tr>
      <w:tr w:rsidR="00DB7B5E" w:rsidRPr="00C64110" w14:paraId="36D86865"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44D982B3" w14:textId="77777777" w:rsidR="00DB7B5E" w:rsidRPr="00C64110" w:rsidRDefault="00DB7B5E" w:rsidP="006201FD">
            <w:pPr>
              <w:suppressAutoHyphens w:val="0"/>
              <w:spacing w:line="200" w:lineRule="exact"/>
              <w:rPr>
                <w:sz w:val="18"/>
                <w:szCs w:val="18"/>
                <w:lang w:val="fr-FR"/>
              </w:rPr>
            </w:pPr>
            <w:r w:rsidRPr="00C64110">
              <w:rPr>
                <w:sz w:val="18"/>
                <w:szCs w:val="18"/>
                <w:lang w:val="fr-FR"/>
              </w:rPr>
              <w:t>3545</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6777E212" w14:textId="0E3AED31" w:rsidR="00DB7B5E" w:rsidRPr="00C64110" w:rsidRDefault="00DB7B5E" w:rsidP="00EC3C7A">
            <w:pPr>
              <w:spacing w:before="40" w:after="40" w:line="240" w:lineRule="auto"/>
              <w:rPr>
                <w:sz w:val="18"/>
                <w:szCs w:val="18"/>
                <w:lang w:val="fr-FR" w:eastAsia="zh-CN"/>
              </w:rPr>
            </w:pPr>
            <w:r w:rsidRPr="00C64110">
              <w:rPr>
                <w:sz w:val="18"/>
                <w:szCs w:val="18"/>
                <w:lang w:val="fr-FR" w:eastAsia="zh-CN"/>
              </w:rPr>
              <w:t xml:space="preserve">OBJETS CONTENANT </w:t>
            </w:r>
            <w:r w:rsidR="00EC3C7A">
              <w:rPr>
                <w:sz w:val="18"/>
                <w:szCs w:val="18"/>
                <w:lang w:val="fr-FR" w:eastAsia="zh-CN"/>
              </w:rPr>
              <w:t>DU PEROXYDE ORGANIQUE</w:t>
            </w:r>
            <w:r w:rsidRPr="00C64110">
              <w:rPr>
                <w:sz w:val="18"/>
                <w:szCs w:val="18"/>
                <w:lang w:val="fr-FR" w:eastAsia="zh-CN"/>
              </w:rPr>
              <w:t>,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7D28AC98"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5.2</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C723E2E"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Voir 2.0.5.6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5C82108" w14:textId="77777777" w:rsidR="00DB7B5E" w:rsidRPr="00C64110" w:rsidRDefault="00DB7B5E"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9A82432"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274</w:t>
            </w:r>
            <w:r w:rsidRPr="00C64110">
              <w:rPr>
                <w:sz w:val="18"/>
                <w:szCs w:val="18"/>
                <w:lang w:val="fr-FR"/>
              </w:rPr>
              <w:br/>
              <w:t>391</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52816868"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8F3A3E"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BA3BE9" w14:textId="77777777" w:rsidR="00DB7B5E" w:rsidRPr="00C64110" w:rsidRDefault="00DB7B5E" w:rsidP="006201FD">
            <w:pPr>
              <w:suppressAutoHyphens w:val="0"/>
              <w:spacing w:before="40" w:after="120" w:line="220" w:lineRule="exact"/>
              <w:jc w:val="center"/>
              <w:rPr>
                <w:sz w:val="18"/>
                <w:szCs w:val="18"/>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9915E4" w14:textId="77777777" w:rsidR="00DB7B5E" w:rsidRPr="00C64110" w:rsidRDefault="00DB7B5E" w:rsidP="006201FD">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E980CD" w14:textId="77777777" w:rsidR="00DB7B5E" w:rsidRPr="00C64110" w:rsidRDefault="00DB7B5E" w:rsidP="006201FD">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60FF226C" w14:textId="77777777" w:rsidR="00DB7B5E" w:rsidRPr="00C64110" w:rsidRDefault="00DB7B5E" w:rsidP="006201FD">
            <w:pPr>
              <w:suppressAutoHyphens w:val="0"/>
              <w:spacing w:line="200" w:lineRule="exact"/>
              <w:jc w:val="center"/>
              <w:rPr>
                <w:sz w:val="18"/>
                <w:szCs w:val="18"/>
                <w:lang w:val="fr-FR" w:eastAsia="nb-NO"/>
              </w:rPr>
            </w:pPr>
          </w:p>
        </w:tc>
      </w:tr>
      <w:tr w:rsidR="00DB7B5E" w:rsidRPr="00C64110" w14:paraId="4602277D"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2729B865" w14:textId="77777777" w:rsidR="00DB7B5E" w:rsidRPr="00C64110" w:rsidRDefault="00DB7B5E" w:rsidP="006201FD">
            <w:pPr>
              <w:suppressAutoHyphens w:val="0"/>
              <w:spacing w:line="200" w:lineRule="exact"/>
              <w:rPr>
                <w:sz w:val="18"/>
                <w:szCs w:val="18"/>
                <w:lang w:val="fr-FR"/>
              </w:rPr>
            </w:pPr>
            <w:r w:rsidRPr="00C64110">
              <w:rPr>
                <w:sz w:val="18"/>
                <w:szCs w:val="18"/>
                <w:lang w:val="fr-FR"/>
              </w:rPr>
              <w:t>3546</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693BC08" w14:textId="204CBBA4" w:rsidR="00DB7B5E" w:rsidRPr="00C64110" w:rsidRDefault="00DB7B5E" w:rsidP="00EC3C7A">
            <w:pPr>
              <w:spacing w:before="40" w:after="40" w:line="240" w:lineRule="auto"/>
              <w:rPr>
                <w:sz w:val="18"/>
                <w:szCs w:val="18"/>
                <w:lang w:val="fr-FR" w:eastAsia="zh-CN"/>
              </w:rPr>
            </w:pPr>
            <w:r w:rsidRPr="00C64110">
              <w:rPr>
                <w:sz w:val="18"/>
                <w:szCs w:val="18"/>
                <w:lang w:val="fr-FR" w:eastAsia="zh-CN"/>
              </w:rPr>
              <w:t xml:space="preserve">OBJETS CONTENANT </w:t>
            </w:r>
            <w:r w:rsidR="00EC3C7A">
              <w:rPr>
                <w:sz w:val="18"/>
                <w:szCs w:val="18"/>
                <w:lang w:val="fr-FR" w:eastAsia="zh-CN"/>
              </w:rPr>
              <w:t>DE LA</w:t>
            </w:r>
            <w:r w:rsidRPr="00C64110">
              <w:rPr>
                <w:sz w:val="18"/>
                <w:szCs w:val="18"/>
                <w:lang w:val="fr-FR" w:eastAsia="zh-CN"/>
              </w:rPr>
              <w:t xml:space="preserve"> </w:t>
            </w:r>
            <w:r w:rsidR="00EC3C7A">
              <w:rPr>
                <w:sz w:val="18"/>
                <w:szCs w:val="18"/>
                <w:lang w:val="fr-FR" w:eastAsia="zh-CN"/>
              </w:rPr>
              <w:t>MATIÈRE TOXIQUE</w:t>
            </w:r>
            <w:r w:rsidRPr="00C64110">
              <w:rPr>
                <w:sz w:val="18"/>
                <w:szCs w:val="18"/>
                <w:lang w:val="fr-FR" w:eastAsia="zh-CN"/>
              </w:rPr>
              <w:t>,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6CA1415E"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6.1</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155916A"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Voir 2.0.5.6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AB8301A" w14:textId="77777777" w:rsidR="00DB7B5E" w:rsidRPr="00C64110" w:rsidRDefault="00DB7B5E"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71A2FD0"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274</w:t>
            </w:r>
            <w:r w:rsidRPr="00C64110">
              <w:rPr>
                <w:sz w:val="18"/>
                <w:szCs w:val="18"/>
                <w:lang w:val="fr-FR"/>
              </w:rPr>
              <w:br/>
              <w:t>391</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62A8FFC0"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6843A4"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F7AAB8"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P006</w:t>
            </w:r>
            <w:r w:rsidRPr="00C64110">
              <w:rPr>
                <w:sz w:val="18"/>
                <w:szCs w:val="18"/>
                <w:lang w:val="fr-FR"/>
              </w:rPr>
              <w:br/>
              <w:t>LP03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5D1AE8" w14:textId="77777777" w:rsidR="00DB7B5E" w:rsidRPr="00C64110" w:rsidRDefault="00DB7B5E" w:rsidP="006201FD">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DDE364" w14:textId="77777777" w:rsidR="00DB7B5E" w:rsidRPr="00C64110" w:rsidRDefault="00DB7B5E" w:rsidP="006201FD">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13693425" w14:textId="77777777" w:rsidR="00DB7B5E" w:rsidRPr="00C64110" w:rsidRDefault="00DB7B5E" w:rsidP="006201FD">
            <w:pPr>
              <w:suppressAutoHyphens w:val="0"/>
              <w:spacing w:line="200" w:lineRule="exact"/>
              <w:jc w:val="center"/>
              <w:rPr>
                <w:sz w:val="18"/>
                <w:szCs w:val="18"/>
                <w:lang w:val="fr-FR" w:eastAsia="nb-NO"/>
              </w:rPr>
            </w:pPr>
          </w:p>
        </w:tc>
      </w:tr>
      <w:tr w:rsidR="00DB7B5E" w:rsidRPr="00C64110" w14:paraId="27D9F74D"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5BB1BB27" w14:textId="77777777" w:rsidR="00DB7B5E" w:rsidRPr="00C64110" w:rsidRDefault="00DB7B5E" w:rsidP="006201FD">
            <w:pPr>
              <w:suppressAutoHyphens w:val="0"/>
              <w:spacing w:line="200" w:lineRule="exact"/>
              <w:rPr>
                <w:sz w:val="18"/>
                <w:szCs w:val="18"/>
                <w:lang w:val="fr-FR"/>
              </w:rPr>
            </w:pPr>
            <w:r w:rsidRPr="00C64110">
              <w:rPr>
                <w:sz w:val="18"/>
                <w:szCs w:val="18"/>
                <w:lang w:val="fr-FR"/>
              </w:rPr>
              <w:t>3547</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4C65B1B7" w14:textId="20161EAF" w:rsidR="00DB7B5E" w:rsidRPr="00C64110" w:rsidRDefault="00DB7B5E" w:rsidP="00EC3C7A">
            <w:pPr>
              <w:spacing w:before="40" w:after="40" w:line="240" w:lineRule="auto"/>
              <w:rPr>
                <w:sz w:val="18"/>
                <w:szCs w:val="18"/>
                <w:lang w:val="fr-FR" w:eastAsia="zh-CN"/>
              </w:rPr>
            </w:pPr>
            <w:r w:rsidRPr="00C64110">
              <w:rPr>
                <w:sz w:val="18"/>
                <w:szCs w:val="18"/>
                <w:lang w:val="fr-FR" w:eastAsia="zh-CN"/>
              </w:rPr>
              <w:t xml:space="preserve">OBJETS CONTENANT </w:t>
            </w:r>
            <w:r w:rsidR="00EC3C7A">
              <w:rPr>
                <w:sz w:val="18"/>
                <w:szCs w:val="18"/>
                <w:lang w:val="fr-FR" w:eastAsia="zh-CN"/>
              </w:rPr>
              <w:t>DE LA</w:t>
            </w:r>
            <w:r w:rsidRPr="00C64110">
              <w:rPr>
                <w:sz w:val="18"/>
                <w:szCs w:val="18"/>
                <w:lang w:val="fr-FR" w:eastAsia="zh-CN"/>
              </w:rPr>
              <w:t xml:space="preserve"> </w:t>
            </w:r>
            <w:r w:rsidR="00EC3C7A">
              <w:rPr>
                <w:sz w:val="18"/>
                <w:szCs w:val="18"/>
                <w:lang w:val="fr-FR" w:eastAsia="zh-CN"/>
              </w:rPr>
              <w:t>MATIÈRE CORROSIVE</w:t>
            </w:r>
            <w:r w:rsidRPr="00C64110">
              <w:rPr>
                <w:sz w:val="18"/>
                <w:szCs w:val="18"/>
                <w:lang w:val="fr-FR" w:eastAsia="zh-CN"/>
              </w:rPr>
              <w:t>,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745F9E8E"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8</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352AF11"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Voir 2.0.5.6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612CDDB" w14:textId="77777777" w:rsidR="00DB7B5E" w:rsidRPr="00C64110" w:rsidRDefault="00DB7B5E"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A702A9D"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274</w:t>
            </w:r>
            <w:r w:rsidRPr="00C64110">
              <w:rPr>
                <w:sz w:val="18"/>
                <w:szCs w:val="18"/>
                <w:lang w:val="fr-FR"/>
              </w:rPr>
              <w:br/>
              <w:t>391</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C1FC3FE"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AEC3F6"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A0824B"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P006</w:t>
            </w:r>
            <w:r w:rsidRPr="00C64110">
              <w:rPr>
                <w:sz w:val="18"/>
                <w:szCs w:val="18"/>
                <w:lang w:val="fr-FR"/>
              </w:rPr>
              <w:br/>
              <w:t>LP03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B34D7E" w14:textId="77777777" w:rsidR="00DB7B5E" w:rsidRPr="00C64110" w:rsidRDefault="00DB7B5E" w:rsidP="006201FD">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B090DF" w14:textId="77777777" w:rsidR="00DB7B5E" w:rsidRPr="00C64110" w:rsidRDefault="00DB7B5E" w:rsidP="006201FD">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5DB29A65" w14:textId="77777777" w:rsidR="00DB7B5E" w:rsidRPr="00C64110" w:rsidRDefault="00DB7B5E" w:rsidP="006201FD">
            <w:pPr>
              <w:suppressAutoHyphens w:val="0"/>
              <w:spacing w:line="200" w:lineRule="exact"/>
              <w:jc w:val="center"/>
              <w:rPr>
                <w:sz w:val="18"/>
                <w:szCs w:val="18"/>
                <w:lang w:val="fr-FR" w:eastAsia="nb-NO"/>
              </w:rPr>
            </w:pPr>
          </w:p>
        </w:tc>
      </w:tr>
      <w:tr w:rsidR="00DB7B5E" w:rsidRPr="00890443" w14:paraId="5FD759BF" w14:textId="77777777" w:rsidTr="006201FD">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14:paraId="6FF0F9F2" w14:textId="77777777" w:rsidR="00DB7B5E" w:rsidRPr="00C64110" w:rsidRDefault="00DB7B5E" w:rsidP="006201FD">
            <w:pPr>
              <w:suppressAutoHyphens w:val="0"/>
              <w:spacing w:line="200" w:lineRule="exact"/>
              <w:rPr>
                <w:sz w:val="18"/>
                <w:szCs w:val="18"/>
                <w:lang w:val="fr-FR"/>
              </w:rPr>
            </w:pPr>
            <w:r w:rsidRPr="00C64110">
              <w:rPr>
                <w:sz w:val="18"/>
                <w:szCs w:val="18"/>
                <w:lang w:val="fr-FR"/>
              </w:rPr>
              <w:t>3548</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AB1A2DE" w14:textId="77777777" w:rsidR="00DB7B5E" w:rsidRPr="00C64110" w:rsidRDefault="00DB7B5E" w:rsidP="006201FD">
            <w:pPr>
              <w:spacing w:before="40" w:after="40" w:line="240" w:lineRule="auto"/>
              <w:rPr>
                <w:sz w:val="18"/>
                <w:szCs w:val="18"/>
                <w:lang w:val="fr-FR" w:eastAsia="zh-CN"/>
              </w:rPr>
            </w:pPr>
            <w:r w:rsidRPr="00C64110">
              <w:rPr>
                <w:sz w:val="18"/>
                <w:szCs w:val="18"/>
                <w:lang w:val="fr-FR" w:eastAsia="zh-CN"/>
              </w:rPr>
              <w:t>OBJETS CONTENANT DES MARCHANDISES DANGEREUSES DIVERSES,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5BC1CC21"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9</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34C0F1A5"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Voir 2.0.5.6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90310BE" w14:textId="77777777" w:rsidR="00DB7B5E" w:rsidRPr="00C64110" w:rsidRDefault="00DB7B5E" w:rsidP="006201FD">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5A64601"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274</w:t>
            </w:r>
            <w:r w:rsidRPr="00C64110">
              <w:rPr>
                <w:sz w:val="18"/>
                <w:szCs w:val="18"/>
                <w:lang w:val="fr-FR"/>
              </w:rPr>
              <w:br/>
              <w:t>391</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46D86D4E"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E6141C" w14:textId="77777777" w:rsidR="00DB7B5E" w:rsidRPr="00C64110" w:rsidRDefault="00DB7B5E" w:rsidP="006201FD">
            <w:pPr>
              <w:suppressAutoHyphens w:val="0"/>
              <w:spacing w:before="40" w:after="120" w:line="220" w:lineRule="exact"/>
              <w:jc w:val="center"/>
              <w:rPr>
                <w:sz w:val="18"/>
                <w:szCs w:val="18"/>
                <w:lang w:val="fr-FR"/>
              </w:rPr>
            </w:pPr>
            <w:r w:rsidRPr="00C64110">
              <w:rPr>
                <w:sz w:val="18"/>
                <w:szCs w:val="18"/>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9E8103" w14:textId="77777777" w:rsidR="00DB7B5E" w:rsidRPr="00890443" w:rsidRDefault="00DB7B5E" w:rsidP="006201FD">
            <w:pPr>
              <w:suppressAutoHyphens w:val="0"/>
              <w:spacing w:before="40" w:after="120" w:line="220" w:lineRule="exact"/>
              <w:jc w:val="center"/>
              <w:rPr>
                <w:sz w:val="18"/>
                <w:szCs w:val="18"/>
                <w:lang w:val="fr-FR"/>
              </w:rPr>
            </w:pPr>
            <w:r w:rsidRPr="00C64110">
              <w:rPr>
                <w:sz w:val="18"/>
                <w:szCs w:val="18"/>
                <w:lang w:val="fr-FR"/>
              </w:rPr>
              <w:t>P006</w:t>
            </w:r>
            <w:r w:rsidRPr="00C64110">
              <w:rPr>
                <w:sz w:val="18"/>
                <w:szCs w:val="18"/>
                <w:lang w:val="fr-FR"/>
              </w:rPr>
              <w:br/>
              <w:t>LP03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C84041" w14:textId="77777777" w:rsidR="00DB7B5E" w:rsidRPr="00890443" w:rsidRDefault="00DB7B5E" w:rsidP="006201FD">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55FA97" w14:textId="77777777" w:rsidR="00DB7B5E" w:rsidRPr="00890443" w:rsidRDefault="00DB7B5E" w:rsidP="006201FD">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097B722A" w14:textId="77777777" w:rsidR="00DB7B5E" w:rsidRPr="00890443" w:rsidRDefault="00DB7B5E" w:rsidP="006201FD">
            <w:pPr>
              <w:suppressAutoHyphens w:val="0"/>
              <w:spacing w:line="200" w:lineRule="exact"/>
              <w:jc w:val="center"/>
              <w:rPr>
                <w:sz w:val="18"/>
                <w:szCs w:val="18"/>
                <w:lang w:val="fr-FR" w:eastAsia="nb-NO"/>
              </w:rPr>
            </w:pPr>
          </w:p>
        </w:tc>
      </w:tr>
    </w:tbl>
    <w:p w14:paraId="0E8A7EB9" w14:textId="77777777" w:rsidR="00196C06" w:rsidRPr="0059443A" w:rsidRDefault="00196C06" w:rsidP="00143989">
      <w:pPr>
        <w:pStyle w:val="H1G"/>
      </w:pPr>
      <w:r w:rsidRPr="0059443A">
        <w:lastRenderedPageBreak/>
        <w:tab/>
      </w:r>
      <w:r w:rsidRPr="0059443A">
        <w:tab/>
        <w:t>Index alphabétique</w:t>
      </w:r>
    </w:p>
    <w:p w14:paraId="722C3261" w14:textId="77777777" w:rsidR="00196C06" w:rsidRPr="0059443A" w:rsidRDefault="00196C06" w:rsidP="00196C06">
      <w:pPr>
        <w:pStyle w:val="SingleTxtG"/>
        <w:spacing w:before="120"/>
        <w:rPr>
          <w:b/>
          <w:lang w:val="fr-FR"/>
        </w:rPr>
      </w:pPr>
      <w:r w:rsidRPr="0059443A">
        <w:rPr>
          <w:lang w:val="fr-FR"/>
        </w:rPr>
        <w:t xml:space="preserve">Dans la rubrique pour «ACRYLATE DE 2-DIMÉTHYLAMINOÉTHYLE», </w:t>
      </w:r>
      <w:r w:rsidRPr="0059443A">
        <w:t>à la fin de la désignation, ajouter «STABILISÉ».</w:t>
      </w:r>
    </w:p>
    <w:p w14:paraId="1E6AE3DE" w14:textId="38325202" w:rsidR="00196C06" w:rsidRDefault="00196C06" w:rsidP="00196C06">
      <w:pPr>
        <w:spacing w:before="120" w:after="120" w:line="240" w:lineRule="auto"/>
        <w:ind w:left="1134" w:right="1134"/>
        <w:jc w:val="both"/>
        <w:rPr>
          <w:iCs/>
        </w:rPr>
      </w:pPr>
      <w:r>
        <w:rPr>
          <w:iCs/>
        </w:rPr>
        <w:t>Ajouter les nouvelles rubriques suivantes</w:t>
      </w:r>
      <w:r w:rsidR="00FB54EF">
        <w:rPr>
          <w:iCs/>
        </w:rPr>
        <w:t xml:space="preserve"> dans l’ordre alphabétique</w:t>
      </w:r>
      <w:r>
        <w:rPr>
          <w:iCs/>
        </w:rPr>
        <w:t>:</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775B3B" w14:paraId="038B1992" w14:textId="77777777" w:rsidTr="00775B3B">
        <w:trPr>
          <w:cantSplit/>
          <w:trHeight w:val="403"/>
        </w:trPr>
        <w:tc>
          <w:tcPr>
            <w:tcW w:w="4770" w:type="dxa"/>
          </w:tcPr>
          <w:p w14:paraId="5B4EF99F" w14:textId="77777777" w:rsidR="00775B3B" w:rsidRPr="00890443" w:rsidRDefault="00775B3B" w:rsidP="00585B3C">
            <w:pPr>
              <w:spacing w:after="120"/>
              <w:ind w:left="284" w:hanging="284"/>
              <w:rPr>
                <w:sz w:val="18"/>
                <w:szCs w:val="18"/>
                <w:lang w:val="fr-FR" w:eastAsia="zh-CN"/>
              </w:rPr>
            </w:pPr>
            <w:r w:rsidRPr="00143989">
              <w:rPr>
                <w:sz w:val="18"/>
                <w:szCs w:val="18"/>
                <w:lang w:val="fr-FR" w:eastAsia="zh-CN"/>
              </w:rPr>
              <w:t>BATTERIES AU LITHIUM INSTALLÉES DANS DES ENGINS DE TRANSPORT batteries au lithium ionique ou batteries au lithium métal</w:t>
            </w:r>
          </w:p>
        </w:tc>
        <w:tc>
          <w:tcPr>
            <w:tcW w:w="1084" w:type="dxa"/>
          </w:tcPr>
          <w:p w14:paraId="7FCB242C" w14:textId="77777777" w:rsidR="00775B3B" w:rsidRDefault="00775B3B" w:rsidP="00585B3C">
            <w:pPr>
              <w:spacing w:after="120"/>
              <w:ind w:left="284" w:hanging="284"/>
              <w:jc w:val="center"/>
              <w:rPr>
                <w:lang w:val="fr-FR"/>
              </w:rPr>
            </w:pPr>
            <w:r>
              <w:rPr>
                <w:lang w:val="fr-FR"/>
              </w:rPr>
              <w:t>9</w:t>
            </w:r>
          </w:p>
        </w:tc>
        <w:tc>
          <w:tcPr>
            <w:tcW w:w="1517" w:type="dxa"/>
          </w:tcPr>
          <w:p w14:paraId="2F379CE7" w14:textId="77777777" w:rsidR="00775B3B" w:rsidRDefault="00775B3B" w:rsidP="00585B3C">
            <w:pPr>
              <w:spacing w:after="120"/>
              <w:ind w:left="284" w:hanging="284"/>
              <w:jc w:val="center"/>
              <w:rPr>
                <w:lang w:val="fr-FR"/>
              </w:rPr>
            </w:pPr>
            <w:r>
              <w:rPr>
                <w:lang w:val="fr-FR"/>
              </w:rPr>
              <w:t>3536</w:t>
            </w:r>
          </w:p>
        </w:tc>
      </w:tr>
      <w:tr w:rsidR="009E38EF" w14:paraId="252BD975" w14:textId="77777777" w:rsidTr="00775B3B">
        <w:trPr>
          <w:cantSplit/>
          <w:trHeight w:val="403"/>
        </w:trPr>
        <w:tc>
          <w:tcPr>
            <w:tcW w:w="4770" w:type="dxa"/>
          </w:tcPr>
          <w:p w14:paraId="05B46FF4" w14:textId="571F581E" w:rsidR="009E38EF" w:rsidRPr="00890443" w:rsidRDefault="00EC3C7A" w:rsidP="003E6028">
            <w:pPr>
              <w:spacing w:after="120"/>
              <w:ind w:left="284" w:hanging="284"/>
              <w:rPr>
                <w:sz w:val="18"/>
                <w:szCs w:val="18"/>
                <w:lang w:val="fr-FR" w:eastAsia="zh-CN"/>
              </w:rPr>
            </w:pPr>
            <w:r>
              <w:rPr>
                <w:sz w:val="18"/>
                <w:szCs w:val="18"/>
                <w:lang w:val="fr-FR" w:eastAsia="zh-CN"/>
              </w:rPr>
              <w:t>OBJETS CONTENANT DU GAZ INFLAMMABLE, N.S.A.</w:t>
            </w:r>
          </w:p>
        </w:tc>
        <w:tc>
          <w:tcPr>
            <w:tcW w:w="1084" w:type="dxa"/>
            <w:vAlign w:val="center"/>
          </w:tcPr>
          <w:p w14:paraId="76378EDF" w14:textId="77777777" w:rsidR="009E38EF" w:rsidRPr="003E6028" w:rsidRDefault="009E38EF" w:rsidP="003E6028">
            <w:pPr>
              <w:spacing w:after="120"/>
              <w:ind w:left="284" w:hanging="284"/>
              <w:jc w:val="center"/>
              <w:rPr>
                <w:lang w:val="fr-FR"/>
              </w:rPr>
            </w:pPr>
            <w:r w:rsidRPr="003E6028">
              <w:rPr>
                <w:lang w:val="fr-FR"/>
              </w:rPr>
              <w:t>2.1</w:t>
            </w:r>
          </w:p>
        </w:tc>
        <w:tc>
          <w:tcPr>
            <w:tcW w:w="1517" w:type="dxa"/>
            <w:vAlign w:val="center"/>
          </w:tcPr>
          <w:p w14:paraId="4C70F9CC" w14:textId="77777777" w:rsidR="009E38EF" w:rsidRPr="003E6028" w:rsidRDefault="009E38EF" w:rsidP="003E6028">
            <w:pPr>
              <w:ind w:left="284" w:hanging="284"/>
              <w:jc w:val="center"/>
              <w:rPr>
                <w:lang w:val="fr-FR"/>
              </w:rPr>
            </w:pPr>
            <w:r w:rsidRPr="003E6028">
              <w:rPr>
                <w:lang w:val="fr-FR"/>
              </w:rPr>
              <w:t>3537</w:t>
            </w:r>
          </w:p>
        </w:tc>
      </w:tr>
      <w:tr w:rsidR="009E38EF" w:rsidRPr="00C64110" w14:paraId="69B4992F" w14:textId="77777777" w:rsidTr="00775B3B">
        <w:trPr>
          <w:cantSplit/>
          <w:trHeight w:val="403"/>
        </w:trPr>
        <w:tc>
          <w:tcPr>
            <w:tcW w:w="4770" w:type="dxa"/>
          </w:tcPr>
          <w:p w14:paraId="1E4228E2" w14:textId="742BC2E2" w:rsidR="009E38EF" w:rsidRPr="00C64110" w:rsidRDefault="00EC3C7A" w:rsidP="00C64110">
            <w:pPr>
              <w:spacing w:after="120"/>
              <w:ind w:left="284" w:hanging="284"/>
              <w:rPr>
                <w:sz w:val="18"/>
                <w:szCs w:val="18"/>
                <w:lang w:val="fr-FR" w:eastAsia="zh-CN"/>
              </w:rPr>
            </w:pPr>
            <w:r w:rsidRPr="00C64110">
              <w:rPr>
                <w:sz w:val="18"/>
                <w:szCs w:val="18"/>
                <w:lang w:val="fr-FR" w:eastAsia="zh-CN"/>
              </w:rPr>
              <w:t xml:space="preserve">OBJETS CONTENANT </w:t>
            </w:r>
            <w:r>
              <w:rPr>
                <w:sz w:val="18"/>
                <w:szCs w:val="18"/>
                <w:lang w:val="fr-FR" w:eastAsia="zh-CN"/>
              </w:rPr>
              <w:t>DU GAZ ININFLAMMABLE</w:t>
            </w:r>
            <w:r w:rsidRPr="00C64110">
              <w:rPr>
                <w:sz w:val="18"/>
                <w:szCs w:val="18"/>
                <w:lang w:val="fr-FR" w:eastAsia="zh-CN"/>
              </w:rPr>
              <w:t>,</w:t>
            </w:r>
            <w:r>
              <w:rPr>
                <w:sz w:val="18"/>
                <w:szCs w:val="18"/>
                <w:lang w:val="fr-FR" w:eastAsia="zh-CN"/>
              </w:rPr>
              <w:t xml:space="preserve"> NON TOXIQUE</w:t>
            </w:r>
            <w:r w:rsidRPr="00C64110">
              <w:rPr>
                <w:sz w:val="18"/>
                <w:szCs w:val="18"/>
                <w:lang w:val="fr-FR" w:eastAsia="zh-CN"/>
              </w:rPr>
              <w:t>, N.S.A.</w:t>
            </w:r>
          </w:p>
        </w:tc>
        <w:tc>
          <w:tcPr>
            <w:tcW w:w="1084" w:type="dxa"/>
            <w:vAlign w:val="center"/>
          </w:tcPr>
          <w:p w14:paraId="6B273599" w14:textId="77777777" w:rsidR="009E38EF" w:rsidRPr="00C64110" w:rsidRDefault="009E38EF" w:rsidP="00C64110">
            <w:pPr>
              <w:spacing w:after="120"/>
              <w:ind w:left="284" w:hanging="284"/>
              <w:jc w:val="center"/>
              <w:rPr>
                <w:lang w:val="fr-FR"/>
              </w:rPr>
            </w:pPr>
            <w:r w:rsidRPr="00C64110">
              <w:rPr>
                <w:lang w:val="fr-FR"/>
              </w:rPr>
              <w:t>2.2</w:t>
            </w:r>
          </w:p>
        </w:tc>
        <w:tc>
          <w:tcPr>
            <w:tcW w:w="1517" w:type="dxa"/>
            <w:vAlign w:val="center"/>
          </w:tcPr>
          <w:p w14:paraId="5A402411" w14:textId="77777777" w:rsidR="009E38EF" w:rsidRPr="00C64110" w:rsidRDefault="009E38EF" w:rsidP="00C64110">
            <w:pPr>
              <w:ind w:left="284" w:hanging="284"/>
              <w:jc w:val="center"/>
              <w:rPr>
                <w:lang w:val="fr-FR"/>
              </w:rPr>
            </w:pPr>
            <w:r w:rsidRPr="00C64110">
              <w:rPr>
                <w:lang w:val="fr-FR"/>
              </w:rPr>
              <w:t>3538</w:t>
            </w:r>
          </w:p>
        </w:tc>
      </w:tr>
      <w:tr w:rsidR="009E38EF" w:rsidRPr="00C64110" w14:paraId="71A18177" w14:textId="77777777" w:rsidTr="00775B3B">
        <w:trPr>
          <w:cantSplit/>
          <w:trHeight w:val="403"/>
        </w:trPr>
        <w:tc>
          <w:tcPr>
            <w:tcW w:w="4770" w:type="dxa"/>
          </w:tcPr>
          <w:p w14:paraId="50658753" w14:textId="1B4DA3D5" w:rsidR="009E38EF" w:rsidRPr="00C64110" w:rsidRDefault="00EC3C7A" w:rsidP="00C64110">
            <w:pPr>
              <w:spacing w:after="120"/>
              <w:ind w:left="284" w:hanging="284"/>
              <w:rPr>
                <w:sz w:val="18"/>
                <w:szCs w:val="18"/>
                <w:lang w:val="fr-FR" w:eastAsia="zh-CN"/>
              </w:rPr>
            </w:pPr>
            <w:r w:rsidRPr="00C64110">
              <w:rPr>
                <w:sz w:val="18"/>
                <w:szCs w:val="18"/>
                <w:lang w:val="fr-FR" w:eastAsia="zh-CN"/>
              </w:rPr>
              <w:t xml:space="preserve">OBJETS CONTENANT </w:t>
            </w:r>
            <w:r>
              <w:rPr>
                <w:sz w:val="18"/>
                <w:szCs w:val="18"/>
                <w:lang w:val="fr-FR" w:eastAsia="zh-CN"/>
              </w:rPr>
              <w:t>DU GAZ TOXIQUE</w:t>
            </w:r>
            <w:r w:rsidRPr="00C64110">
              <w:rPr>
                <w:sz w:val="18"/>
                <w:szCs w:val="18"/>
                <w:lang w:val="fr-FR" w:eastAsia="zh-CN"/>
              </w:rPr>
              <w:t>, N.S.A.</w:t>
            </w:r>
          </w:p>
        </w:tc>
        <w:tc>
          <w:tcPr>
            <w:tcW w:w="1084" w:type="dxa"/>
            <w:vAlign w:val="center"/>
          </w:tcPr>
          <w:p w14:paraId="62056087" w14:textId="77777777" w:rsidR="009E38EF" w:rsidRPr="00C64110" w:rsidRDefault="009E38EF" w:rsidP="00C64110">
            <w:pPr>
              <w:spacing w:after="120"/>
              <w:ind w:left="284" w:hanging="284"/>
              <w:jc w:val="center"/>
              <w:rPr>
                <w:lang w:val="fr-FR"/>
              </w:rPr>
            </w:pPr>
            <w:r w:rsidRPr="00C64110">
              <w:rPr>
                <w:lang w:val="fr-FR"/>
              </w:rPr>
              <w:t>2.3</w:t>
            </w:r>
          </w:p>
        </w:tc>
        <w:tc>
          <w:tcPr>
            <w:tcW w:w="1517" w:type="dxa"/>
            <w:vAlign w:val="center"/>
          </w:tcPr>
          <w:p w14:paraId="03551208" w14:textId="77777777" w:rsidR="009E38EF" w:rsidRPr="00C64110" w:rsidRDefault="009E38EF" w:rsidP="00C64110">
            <w:pPr>
              <w:ind w:left="284" w:hanging="284"/>
              <w:jc w:val="center"/>
              <w:rPr>
                <w:lang w:val="fr-FR"/>
              </w:rPr>
            </w:pPr>
            <w:r w:rsidRPr="00C64110">
              <w:rPr>
                <w:lang w:val="fr-FR"/>
              </w:rPr>
              <w:t>3539</w:t>
            </w:r>
          </w:p>
        </w:tc>
      </w:tr>
      <w:tr w:rsidR="009E38EF" w:rsidRPr="00C64110" w14:paraId="5A8FB329" w14:textId="77777777" w:rsidTr="00775B3B">
        <w:trPr>
          <w:cantSplit/>
          <w:trHeight w:val="403"/>
        </w:trPr>
        <w:tc>
          <w:tcPr>
            <w:tcW w:w="4770" w:type="dxa"/>
          </w:tcPr>
          <w:p w14:paraId="5BF093CA" w14:textId="6A03E3E7" w:rsidR="009E38EF" w:rsidRPr="00C64110" w:rsidRDefault="00EC3C7A" w:rsidP="00C64110">
            <w:pPr>
              <w:spacing w:after="120"/>
              <w:ind w:left="284" w:hanging="284"/>
              <w:rPr>
                <w:sz w:val="18"/>
                <w:szCs w:val="18"/>
                <w:lang w:val="fr-FR" w:eastAsia="zh-CN"/>
              </w:rPr>
            </w:pPr>
            <w:r w:rsidRPr="00C64110">
              <w:rPr>
                <w:sz w:val="18"/>
                <w:szCs w:val="18"/>
                <w:lang w:val="fr-FR" w:eastAsia="zh-CN"/>
              </w:rPr>
              <w:t xml:space="preserve">OBJETS CONTENANT </w:t>
            </w:r>
            <w:r>
              <w:rPr>
                <w:sz w:val="18"/>
                <w:szCs w:val="18"/>
                <w:lang w:val="fr-FR" w:eastAsia="zh-CN"/>
              </w:rPr>
              <w:t>DU LIQUIDE INFLAMMABLE</w:t>
            </w:r>
            <w:r w:rsidRPr="00C64110">
              <w:rPr>
                <w:sz w:val="18"/>
                <w:szCs w:val="18"/>
                <w:lang w:val="fr-FR" w:eastAsia="zh-CN"/>
              </w:rPr>
              <w:t>, N.S.A.</w:t>
            </w:r>
          </w:p>
        </w:tc>
        <w:tc>
          <w:tcPr>
            <w:tcW w:w="1084" w:type="dxa"/>
            <w:vAlign w:val="center"/>
          </w:tcPr>
          <w:p w14:paraId="376289F8" w14:textId="77777777" w:rsidR="009E38EF" w:rsidRPr="00C64110" w:rsidRDefault="009E38EF" w:rsidP="00C64110">
            <w:pPr>
              <w:spacing w:after="120"/>
              <w:ind w:left="284" w:hanging="284"/>
              <w:jc w:val="center"/>
              <w:rPr>
                <w:lang w:val="fr-FR"/>
              </w:rPr>
            </w:pPr>
            <w:r w:rsidRPr="00C64110">
              <w:rPr>
                <w:lang w:val="fr-FR"/>
              </w:rPr>
              <w:t>3</w:t>
            </w:r>
          </w:p>
        </w:tc>
        <w:tc>
          <w:tcPr>
            <w:tcW w:w="1517" w:type="dxa"/>
            <w:vAlign w:val="center"/>
          </w:tcPr>
          <w:p w14:paraId="5A53C3E9" w14:textId="77777777" w:rsidR="009E38EF" w:rsidRPr="00C64110" w:rsidRDefault="009E38EF" w:rsidP="00C64110">
            <w:pPr>
              <w:ind w:left="284" w:hanging="284"/>
              <w:jc w:val="center"/>
              <w:rPr>
                <w:lang w:val="fr-FR"/>
              </w:rPr>
            </w:pPr>
            <w:r w:rsidRPr="00C64110">
              <w:rPr>
                <w:lang w:val="fr-FR"/>
              </w:rPr>
              <w:t>3540</w:t>
            </w:r>
          </w:p>
        </w:tc>
      </w:tr>
      <w:tr w:rsidR="009E38EF" w:rsidRPr="00C64110" w14:paraId="532AFB89" w14:textId="77777777" w:rsidTr="00775B3B">
        <w:trPr>
          <w:cantSplit/>
          <w:trHeight w:val="403"/>
        </w:trPr>
        <w:tc>
          <w:tcPr>
            <w:tcW w:w="4770" w:type="dxa"/>
          </w:tcPr>
          <w:p w14:paraId="55D90CDA" w14:textId="37CEF3D1" w:rsidR="009E38EF" w:rsidRPr="00C64110" w:rsidRDefault="00EC3C7A" w:rsidP="00C64110">
            <w:pPr>
              <w:spacing w:after="120"/>
              <w:ind w:left="284" w:hanging="284"/>
              <w:rPr>
                <w:sz w:val="18"/>
                <w:szCs w:val="18"/>
                <w:lang w:val="fr-FR" w:eastAsia="zh-CN"/>
              </w:rPr>
            </w:pPr>
            <w:r w:rsidRPr="00C64110">
              <w:rPr>
                <w:sz w:val="18"/>
                <w:szCs w:val="18"/>
                <w:lang w:val="fr-FR" w:eastAsia="zh-CN"/>
              </w:rPr>
              <w:t xml:space="preserve">OBJETS CONTENANT </w:t>
            </w:r>
            <w:r>
              <w:rPr>
                <w:sz w:val="18"/>
                <w:szCs w:val="18"/>
                <w:lang w:val="fr-FR" w:eastAsia="zh-CN"/>
              </w:rPr>
              <w:t>DU SOLIDE</w:t>
            </w:r>
            <w:r w:rsidRPr="00C64110">
              <w:rPr>
                <w:sz w:val="18"/>
                <w:szCs w:val="18"/>
                <w:lang w:val="fr-FR" w:eastAsia="zh-CN"/>
              </w:rPr>
              <w:t xml:space="preserve"> </w:t>
            </w:r>
            <w:r>
              <w:rPr>
                <w:sz w:val="18"/>
                <w:szCs w:val="18"/>
                <w:lang w:val="fr-FR" w:eastAsia="zh-CN"/>
              </w:rPr>
              <w:t>INFLAMMABLE</w:t>
            </w:r>
            <w:r w:rsidRPr="00C64110">
              <w:rPr>
                <w:sz w:val="18"/>
                <w:szCs w:val="18"/>
                <w:lang w:val="fr-FR" w:eastAsia="zh-CN"/>
              </w:rPr>
              <w:t>, N.S.A.</w:t>
            </w:r>
          </w:p>
        </w:tc>
        <w:tc>
          <w:tcPr>
            <w:tcW w:w="1084" w:type="dxa"/>
            <w:vAlign w:val="center"/>
          </w:tcPr>
          <w:p w14:paraId="02CEE2B0" w14:textId="77777777" w:rsidR="009E38EF" w:rsidRPr="00C64110" w:rsidRDefault="009E38EF" w:rsidP="00C64110">
            <w:pPr>
              <w:spacing w:after="120"/>
              <w:ind w:left="284" w:hanging="284"/>
              <w:jc w:val="center"/>
              <w:rPr>
                <w:lang w:val="fr-FR"/>
              </w:rPr>
            </w:pPr>
            <w:r w:rsidRPr="00C64110">
              <w:rPr>
                <w:lang w:val="fr-FR"/>
              </w:rPr>
              <w:t>4.1</w:t>
            </w:r>
          </w:p>
        </w:tc>
        <w:tc>
          <w:tcPr>
            <w:tcW w:w="1517" w:type="dxa"/>
            <w:vAlign w:val="center"/>
          </w:tcPr>
          <w:p w14:paraId="55DB2518" w14:textId="77777777" w:rsidR="009E38EF" w:rsidRPr="00C64110" w:rsidRDefault="009E38EF" w:rsidP="00C64110">
            <w:pPr>
              <w:ind w:left="284" w:hanging="284"/>
              <w:jc w:val="center"/>
              <w:rPr>
                <w:lang w:val="fr-FR"/>
              </w:rPr>
            </w:pPr>
            <w:r w:rsidRPr="00C64110">
              <w:rPr>
                <w:lang w:val="fr-FR"/>
              </w:rPr>
              <w:t>3541</w:t>
            </w:r>
          </w:p>
        </w:tc>
      </w:tr>
      <w:tr w:rsidR="009E38EF" w:rsidRPr="00C64110" w14:paraId="26D803C6" w14:textId="77777777" w:rsidTr="00775B3B">
        <w:trPr>
          <w:cantSplit/>
          <w:trHeight w:val="403"/>
        </w:trPr>
        <w:tc>
          <w:tcPr>
            <w:tcW w:w="4770" w:type="dxa"/>
          </w:tcPr>
          <w:p w14:paraId="3300A43E" w14:textId="3A3CE651" w:rsidR="009E38EF" w:rsidRPr="00C64110" w:rsidRDefault="00EC3C7A" w:rsidP="00C64110">
            <w:pPr>
              <w:spacing w:after="120"/>
              <w:ind w:left="284" w:hanging="284"/>
              <w:rPr>
                <w:sz w:val="18"/>
                <w:szCs w:val="18"/>
                <w:lang w:val="fr-FR" w:eastAsia="zh-CN"/>
              </w:rPr>
            </w:pPr>
            <w:r w:rsidRPr="00C64110">
              <w:rPr>
                <w:sz w:val="18"/>
                <w:szCs w:val="18"/>
                <w:lang w:val="fr-FR" w:eastAsia="zh-CN"/>
              </w:rPr>
              <w:t xml:space="preserve">OBJETS CONTENANT </w:t>
            </w:r>
            <w:r>
              <w:rPr>
                <w:sz w:val="18"/>
                <w:szCs w:val="18"/>
                <w:lang w:val="fr-FR" w:eastAsia="zh-CN"/>
              </w:rPr>
              <w:t>DE LA</w:t>
            </w:r>
            <w:r w:rsidRPr="00C64110">
              <w:rPr>
                <w:sz w:val="18"/>
                <w:szCs w:val="18"/>
                <w:lang w:val="fr-FR" w:eastAsia="zh-CN"/>
              </w:rPr>
              <w:t xml:space="preserve"> </w:t>
            </w:r>
            <w:r>
              <w:rPr>
                <w:sz w:val="18"/>
                <w:szCs w:val="18"/>
                <w:lang w:val="fr-FR" w:eastAsia="zh-CN"/>
              </w:rPr>
              <w:t>MATIÈRE</w:t>
            </w:r>
            <w:r w:rsidRPr="00C64110">
              <w:rPr>
                <w:sz w:val="18"/>
                <w:szCs w:val="18"/>
                <w:lang w:val="fr-FR" w:eastAsia="zh-CN"/>
              </w:rPr>
              <w:t xml:space="preserve"> </w:t>
            </w:r>
            <w:r>
              <w:rPr>
                <w:sz w:val="18"/>
                <w:szCs w:val="18"/>
                <w:lang w:val="fr-FR" w:eastAsia="zh-CN"/>
              </w:rPr>
              <w:t>SUJETTE</w:t>
            </w:r>
            <w:r w:rsidRPr="00C64110">
              <w:rPr>
                <w:sz w:val="18"/>
                <w:szCs w:val="18"/>
                <w:lang w:val="fr-FR" w:eastAsia="zh-CN"/>
              </w:rPr>
              <w:t xml:space="preserve"> </w:t>
            </w:r>
            <w:r>
              <w:rPr>
                <w:sz w:val="18"/>
                <w:szCs w:val="18"/>
                <w:lang w:val="fr-FR" w:eastAsia="zh-CN"/>
              </w:rPr>
              <w:t>À</w:t>
            </w:r>
            <w:r w:rsidRPr="00C64110">
              <w:rPr>
                <w:sz w:val="18"/>
                <w:szCs w:val="18"/>
                <w:lang w:val="fr-FR" w:eastAsia="zh-CN"/>
              </w:rPr>
              <w:t xml:space="preserve"> L'INFLAMMATION SPONTANEE, N.S.A.</w:t>
            </w:r>
          </w:p>
        </w:tc>
        <w:tc>
          <w:tcPr>
            <w:tcW w:w="1084" w:type="dxa"/>
            <w:vAlign w:val="center"/>
          </w:tcPr>
          <w:p w14:paraId="3AA9A076" w14:textId="77777777" w:rsidR="009E38EF" w:rsidRPr="00C64110" w:rsidRDefault="009E38EF" w:rsidP="00C64110">
            <w:pPr>
              <w:spacing w:after="120"/>
              <w:ind w:left="284" w:hanging="284"/>
              <w:jc w:val="center"/>
              <w:rPr>
                <w:lang w:val="fr-FR"/>
              </w:rPr>
            </w:pPr>
            <w:r w:rsidRPr="00C64110">
              <w:rPr>
                <w:lang w:val="fr-FR"/>
              </w:rPr>
              <w:t>4.2</w:t>
            </w:r>
          </w:p>
        </w:tc>
        <w:tc>
          <w:tcPr>
            <w:tcW w:w="1517" w:type="dxa"/>
            <w:vAlign w:val="center"/>
          </w:tcPr>
          <w:p w14:paraId="187DA2B7" w14:textId="77777777" w:rsidR="009E38EF" w:rsidRPr="00C64110" w:rsidRDefault="009E38EF" w:rsidP="00C64110">
            <w:pPr>
              <w:ind w:left="284" w:hanging="284"/>
              <w:jc w:val="center"/>
              <w:rPr>
                <w:lang w:val="fr-FR"/>
              </w:rPr>
            </w:pPr>
            <w:r w:rsidRPr="00C64110">
              <w:rPr>
                <w:lang w:val="fr-FR"/>
              </w:rPr>
              <w:t>3542</w:t>
            </w:r>
          </w:p>
        </w:tc>
      </w:tr>
      <w:tr w:rsidR="009E38EF" w:rsidRPr="00C64110" w14:paraId="51A72821" w14:textId="77777777" w:rsidTr="00775B3B">
        <w:trPr>
          <w:cantSplit/>
          <w:trHeight w:val="403"/>
        </w:trPr>
        <w:tc>
          <w:tcPr>
            <w:tcW w:w="4770" w:type="dxa"/>
          </w:tcPr>
          <w:p w14:paraId="48158CBC" w14:textId="2394C9A0" w:rsidR="009E38EF" w:rsidRPr="00C64110" w:rsidRDefault="00EC3C7A" w:rsidP="00EC3C7A">
            <w:pPr>
              <w:spacing w:after="120"/>
              <w:ind w:left="284" w:hanging="284"/>
              <w:rPr>
                <w:sz w:val="18"/>
                <w:szCs w:val="18"/>
                <w:lang w:val="fr-FR" w:eastAsia="zh-CN"/>
              </w:rPr>
            </w:pPr>
            <w:r w:rsidRPr="00C64110">
              <w:rPr>
                <w:sz w:val="18"/>
                <w:szCs w:val="18"/>
                <w:lang w:val="fr-FR" w:eastAsia="zh-CN"/>
              </w:rPr>
              <w:t xml:space="preserve">OBJETS CONTENANT </w:t>
            </w:r>
            <w:r>
              <w:rPr>
                <w:sz w:val="18"/>
                <w:szCs w:val="18"/>
                <w:lang w:val="fr-FR" w:eastAsia="zh-CN"/>
              </w:rPr>
              <w:t>DE LA</w:t>
            </w:r>
            <w:r w:rsidRPr="00C64110">
              <w:rPr>
                <w:sz w:val="18"/>
                <w:szCs w:val="18"/>
                <w:lang w:val="fr-FR" w:eastAsia="zh-CN"/>
              </w:rPr>
              <w:t xml:space="preserve"> </w:t>
            </w:r>
            <w:r>
              <w:rPr>
                <w:sz w:val="18"/>
                <w:szCs w:val="18"/>
                <w:lang w:val="fr-FR" w:eastAsia="zh-CN"/>
              </w:rPr>
              <w:t>MATIÈRE</w:t>
            </w:r>
            <w:r w:rsidRPr="00C64110">
              <w:rPr>
                <w:sz w:val="18"/>
                <w:szCs w:val="18"/>
                <w:lang w:val="fr-FR" w:eastAsia="zh-CN"/>
              </w:rPr>
              <w:t xml:space="preserve"> QU</w:t>
            </w:r>
            <w:r>
              <w:rPr>
                <w:sz w:val="18"/>
                <w:szCs w:val="18"/>
                <w:lang w:val="fr-FR" w:eastAsia="zh-CN"/>
              </w:rPr>
              <w:t>I, AU CONTACT DE L'EAU, DÉGAGE</w:t>
            </w:r>
            <w:r w:rsidRPr="00C64110">
              <w:rPr>
                <w:sz w:val="18"/>
                <w:szCs w:val="18"/>
                <w:lang w:val="fr-FR" w:eastAsia="zh-CN"/>
              </w:rPr>
              <w:t xml:space="preserve"> DES GAZ INFLAMMABLES, N.S.A.</w:t>
            </w:r>
          </w:p>
        </w:tc>
        <w:tc>
          <w:tcPr>
            <w:tcW w:w="1084" w:type="dxa"/>
            <w:vAlign w:val="center"/>
          </w:tcPr>
          <w:p w14:paraId="7DC4DEE9" w14:textId="77777777" w:rsidR="009E38EF" w:rsidRPr="00C64110" w:rsidRDefault="009E38EF" w:rsidP="00C64110">
            <w:pPr>
              <w:spacing w:after="120"/>
              <w:ind w:left="284" w:hanging="284"/>
              <w:jc w:val="center"/>
              <w:rPr>
                <w:lang w:val="fr-FR"/>
              </w:rPr>
            </w:pPr>
            <w:r w:rsidRPr="00C64110">
              <w:rPr>
                <w:lang w:val="fr-FR"/>
              </w:rPr>
              <w:t>4.3</w:t>
            </w:r>
          </w:p>
        </w:tc>
        <w:tc>
          <w:tcPr>
            <w:tcW w:w="1517" w:type="dxa"/>
            <w:vAlign w:val="center"/>
          </w:tcPr>
          <w:p w14:paraId="04A88FF4" w14:textId="77777777" w:rsidR="009E38EF" w:rsidRPr="00C64110" w:rsidRDefault="009E38EF" w:rsidP="00C64110">
            <w:pPr>
              <w:ind w:left="284" w:hanging="284"/>
              <w:jc w:val="center"/>
              <w:rPr>
                <w:lang w:val="fr-FR"/>
              </w:rPr>
            </w:pPr>
            <w:r w:rsidRPr="00C64110">
              <w:rPr>
                <w:lang w:val="fr-FR"/>
              </w:rPr>
              <w:t>3543</w:t>
            </w:r>
          </w:p>
        </w:tc>
      </w:tr>
      <w:tr w:rsidR="009E38EF" w:rsidRPr="00C64110" w14:paraId="261D1E65" w14:textId="77777777" w:rsidTr="00775B3B">
        <w:trPr>
          <w:cantSplit/>
          <w:trHeight w:val="403"/>
        </w:trPr>
        <w:tc>
          <w:tcPr>
            <w:tcW w:w="4770" w:type="dxa"/>
          </w:tcPr>
          <w:p w14:paraId="14BB6570" w14:textId="1A1C400E" w:rsidR="009E38EF" w:rsidRPr="00C64110" w:rsidRDefault="00EC3C7A" w:rsidP="00C64110">
            <w:pPr>
              <w:spacing w:after="120"/>
              <w:ind w:left="284" w:hanging="284"/>
              <w:rPr>
                <w:sz w:val="18"/>
                <w:szCs w:val="18"/>
                <w:lang w:val="fr-FR" w:eastAsia="zh-CN"/>
              </w:rPr>
            </w:pPr>
            <w:r w:rsidRPr="00C64110">
              <w:rPr>
                <w:sz w:val="18"/>
                <w:szCs w:val="18"/>
                <w:lang w:val="fr-FR" w:eastAsia="zh-CN"/>
              </w:rPr>
              <w:t xml:space="preserve">OBJETS CONTENANT </w:t>
            </w:r>
            <w:r>
              <w:rPr>
                <w:sz w:val="18"/>
                <w:szCs w:val="18"/>
                <w:lang w:val="fr-FR" w:eastAsia="zh-CN"/>
              </w:rPr>
              <w:t>DE LA</w:t>
            </w:r>
            <w:r w:rsidRPr="00C64110">
              <w:rPr>
                <w:sz w:val="18"/>
                <w:szCs w:val="18"/>
                <w:lang w:val="fr-FR" w:eastAsia="zh-CN"/>
              </w:rPr>
              <w:t xml:space="preserve"> </w:t>
            </w:r>
            <w:r>
              <w:rPr>
                <w:sz w:val="18"/>
                <w:szCs w:val="18"/>
                <w:lang w:val="fr-FR" w:eastAsia="zh-CN"/>
              </w:rPr>
              <w:t>MATIÈRE</w:t>
            </w:r>
            <w:r w:rsidRPr="00C64110">
              <w:rPr>
                <w:sz w:val="18"/>
                <w:szCs w:val="18"/>
                <w:lang w:val="fr-FR" w:eastAsia="zh-CN"/>
              </w:rPr>
              <w:t xml:space="preserve"> </w:t>
            </w:r>
            <w:r>
              <w:rPr>
                <w:sz w:val="18"/>
                <w:szCs w:val="18"/>
                <w:lang w:val="fr-FR" w:eastAsia="zh-CN"/>
              </w:rPr>
              <w:t>COMBURANTE</w:t>
            </w:r>
            <w:r w:rsidRPr="00C64110">
              <w:rPr>
                <w:sz w:val="18"/>
                <w:szCs w:val="18"/>
                <w:lang w:val="fr-FR" w:eastAsia="zh-CN"/>
              </w:rPr>
              <w:t>, N.S.A.</w:t>
            </w:r>
          </w:p>
        </w:tc>
        <w:tc>
          <w:tcPr>
            <w:tcW w:w="1084" w:type="dxa"/>
            <w:vAlign w:val="center"/>
          </w:tcPr>
          <w:p w14:paraId="742F3F4B" w14:textId="77777777" w:rsidR="009E38EF" w:rsidRPr="00C64110" w:rsidRDefault="009E38EF" w:rsidP="00C64110">
            <w:pPr>
              <w:spacing w:after="120"/>
              <w:ind w:left="284" w:hanging="284"/>
              <w:jc w:val="center"/>
              <w:rPr>
                <w:lang w:val="fr-FR"/>
              </w:rPr>
            </w:pPr>
            <w:r w:rsidRPr="00C64110">
              <w:rPr>
                <w:lang w:val="fr-FR"/>
              </w:rPr>
              <w:t>5.1</w:t>
            </w:r>
          </w:p>
        </w:tc>
        <w:tc>
          <w:tcPr>
            <w:tcW w:w="1517" w:type="dxa"/>
            <w:vAlign w:val="center"/>
          </w:tcPr>
          <w:p w14:paraId="539C16A2" w14:textId="77777777" w:rsidR="009E38EF" w:rsidRPr="00C64110" w:rsidRDefault="009E38EF" w:rsidP="00C64110">
            <w:pPr>
              <w:ind w:left="284" w:hanging="284"/>
              <w:jc w:val="center"/>
              <w:rPr>
                <w:lang w:val="fr-FR"/>
              </w:rPr>
            </w:pPr>
            <w:r w:rsidRPr="00C64110">
              <w:rPr>
                <w:lang w:val="fr-FR"/>
              </w:rPr>
              <w:t>3544</w:t>
            </w:r>
          </w:p>
        </w:tc>
      </w:tr>
      <w:tr w:rsidR="009E38EF" w:rsidRPr="00C64110" w14:paraId="219036BA" w14:textId="77777777" w:rsidTr="00775B3B">
        <w:trPr>
          <w:cantSplit/>
          <w:trHeight w:val="403"/>
        </w:trPr>
        <w:tc>
          <w:tcPr>
            <w:tcW w:w="4770" w:type="dxa"/>
          </w:tcPr>
          <w:p w14:paraId="4623BE7D" w14:textId="03579420" w:rsidR="009E38EF" w:rsidRPr="00C64110" w:rsidRDefault="00EC3C7A" w:rsidP="00C64110">
            <w:pPr>
              <w:spacing w:after="120"/>
              <w:ind w:left="284" w:hanging="284"/>
              <w:rPr>
                <w:sz w:val="18"/>
                <w:szCs w:val="18"/>
                <w:lang w:val="fr-FR" w:eastAsia="zh-CN"/>
              </w:rPr>
            </w:pPr>
            <w:r w:rsidRPr="00C64110">
              <w:rPr>
                <w:sz w:val="18"/>
                <w:szCs w:val="18"/>
                <w:lang w:val="fr-FR" w:eastAsia="zh-CN"/>
              </w:rPr>
              <w:t xml:space="preserve">OBJETS CONTENANT </w:t>
            </w:r>
            <w:r>
              <w:rPr>
                <w:sz w:val="18"/>
                <w:szCs w:val="18"/>
                <w:lang w:val="fr-FR" w:eastAsia="zh-CN"/>
              </w:rPr>
              <w:t>DU PEROXYDE ORGANIQUE</w:t>
            </w:r>
            <w:r w:rsidRPr="00C64110">
              <w:rPr>
                <w:sz w:val="18"/>
                <w:szCs w:val="18"/>
                <w:lang w:val="fr-FR" w:eastAsia="zh-CN"/>
              </w:rPr>
              <w:t>, N.S.A.</w:t>
            </w:r>
          </w:p>
        </w:tc>
        <w:tc>
          <w:tcPr>
            <w:tcW w:w="1084" w:type="dxa"/>
            <w:vAlign w:val="center"/>
          </w:tcPr>
          <w:p w14:paraId="644FAB48" w14:textId="77777777" w:rsidR="009E38EF" w:rsidRPr="00C64110" w:rsidRDefault="009E38EF" w:rsidP="00C64110">
            <w:pPr>
              <w:spacing w:after="120"/>
              <w:ind w:left="284" w:hanging="284"/>
              <w:jc w:val="center"/>
              <w:rPr>
                <w:lang w:val="fr-FR"/>
              </w:rPr>
            </w:pPr>
            <w:r w:rsidRPr="00C64110">
              <w:rPr>
                <w:lang w:val="fr-FR"/>
              </w:rPr>
              <w:t>5.2</w:t>
            </w:r>
          </w:p>
        </w:tc>
        <w:tc>
          <w:tcPr>
            <w:tcW w:w="1517" w:type="dxa"/>
            <w:vAlign w:val="center"/>
          </w:tcPr>
          <w:p w14:paraId="5F6ADC3F" w14:textId="77777777" w:rsidR="009E38EF" w:rsidRPr="00C64110" w:rsidRDefault="009E38EF" w:rsidP="00C64110">
            <w:pPr>
              <w:ind w:left="284" w:hanging="284"/>
              <w:jc w:val="center"/>
              <w:rPr>
                <w:lang w:val="fr-FR"/>
              </w:rPr>
            </w:pPr>
            <w:r w:rsidRPr="00C64110">
              <w:rPr>
                <w:lang w:val="fr-FR"/>
              </w:rPr>
              <w:t>3545</w:t>
            </w:r>
          </w:p>
        </w:tc>
      </w:tr>
      <w:tr w:rsidR="009E38EF" w:rsidRPr="00C64110" w14:paraId="3155D28D" w14:textId="77777777" w:rsidTr="00775B3B">
        <w:trPr>
          <w:cantSplit/>
          <w:trHeight w:val="403"/>
        </w:trPr>
        <w:tc>
          <w:tcPr>
            <w:tcW w:w="4770" w:type="dxa"/>
          </w:tcPr>
          <w:p w14:paraId="34904F3E" w14:textId="4408EAA0" w:rsidR="009E38EF" w:rsidRPr="00C64110" w:rsidRDefault="00EC3C7A" w:rsidP="00C64110">
            <w:pPr>
              <w:spacing w:after="120"/>
              <w:ind w:left="284" w:hanging="284"/>
              <w:rPr>
                <w:sz w:val="18"/>
                <w:szCs w:val="18"/>
                <w:lang w:val="fr-FR" w:eastAsia="zh-CN"/>
              </w:rPr>
            </w:pPr>
            <w:r w:rsidRPr="00C64110">
              <w:rPr>
                <w:sz w:val="18"/>
                <w:szCs w:val="18"/>
                <w:lang w:val="fr-FR" w:eastAsia="zh-CN"/>
              </w:rPr>
              <w:t xml:space="preserve">OBJETS CONTENANT </w:t>
            </w:r>
            <w:r>
              <w:rPr>
                <w:sz w:val="18"/>
                <w:szCs w:val="18"/>
                <w:lang w:val="fr-FR" w:eastAsia="zh-CN"/>
              </w:rPr>
              <w:t>DE LA</w:t>
            </w:r>
            <w:r w:rsidRPr="00C64110">
              <w:rPr>
                <w:sz w:val="18"/>
                <w:szCs w:val="18"/>
                <w:lang w:val="fr-FR" w:eastAsia="zh-CN"/>
              </w:rPr>
              <w:t xml:space="preserve"> </w:t>
            </w:r>
            <w:r>
              <w:rPr>
                <w:sz w:val="18"/>
                <w:szCs w:val="18"/>
                <w:lang w:val="fr-FR" w:eastAsia="zh-CN"/>
              </w:rPr>
              <w:t>MATIÈRE TOXIQUE</w:t>
            </w:r>
            <w:r w:rsidRPr="00C64110">
              <w:rPr>
                <w:sz w:val="18"/>
                <w:szCs w:val="18"/>
                <w:lang w:val="fr-FR" w:eastAsia="zh-CN"/>
              </w:rPr>
              <w:t>, N.S.A.</w:t>
            </w:r>
          </w:p>
        </w:tc>
        <w:tc>
          <w:tcPr>
            <w:tcW w:w="1084" w:type="dxa"/>
            <w:vAlign w:val="center"/>
          </w:tcPr>
          <w:p w14:paraId="1F3CD6EA" w14:textId="77777777" w:rsidR="009E38EF" w:rsidRPr="00C64110" w:rsidRDefault="009E38EF" w:rsidP="00C64110">
            <w:pPr>
              <w:spacing w:after="120"/>
              <w:ind w:left="284" w:hanging="284"/>
              <w:jc w:val="center"/>
              <w:rPr>
                <w:lang w:val="fr-FR"/>
              </w:rPr>
            </w:pPr>
            <w:r w:rsidRPr="00C64110">
              <w:rPr>
                <w:lang w:val="fr-FR"/>
              </w:rPr>
              <w:t>6.1</w:t>
            </w:r>
          </w:p>
        </w:tc>
        <w:tc>
          <w:tcPr>
            <w:tcW w:w="1517" w:type="dxa"/>
            <w:vAlign w:val="center"/>
          </w:tcPr>
          <w:p w14:paraId="7C0D9D3B" w14:textId="77777777" w:rsidR="009E38EF" w:rsidRPr="00C64110" w:rsidRDefault="009E38EF" w:rsidP="00C64110">
            <w:pPr>
              <w:ind w:left="284" w:hanging="284"/>
              <w:jc w:val="center"/>
              <w:rPr>
                <w:lang w:val="fr-FR"/>
              </w:rPr>
            </w:pPr>
            <w:r w:rsidRPr="00C64110">
              <w:rPr>
                <w:lang w:val="fr-FR"/>
              </w:rPr>
              <w:t>3546</w:t>
            </w:r>
          </w:p>
        </w:tc>
      </w:tr>
      <w:tr w:rsidR="009E38EF" w:rsidRPr="00C64110" w14:paraId="47E06F9A" w14:textId="77777777" w:rsidTr="00775B3B">
        <w:trPr>
          <w:cantSplit/>
          <w:trHeight w:val="403"/>
        </w:trPr>
        <w:tc>
          <w:tcPr>
            <w:tcW w:w="4770" w:type="dxa"/>
          </w:tcPr>
          <w:p w14:paraId="447B3746" w14:textId="61A94F6D" w:rsidR="009E38EF" w:rsidRPr="00C64110" w:rsidRDefault="00EC3C7A" w:rsidP="00C64110">
            <w:pPr>
              <w:spacing w:after="120"/>
              <w:ind w:left="284" w:hanging="284"/>
              <w:rPr>
                <w:sz w:val="18"/>
                <w:szCs w:val="18"/>
                <w:lang w:val="fr-FR" w:eastAsia="zh-CN"/>
              </w:rPr>
            </w:pPr>
            <w:r w:rsidRPr="00C64110">
              <w:rPr>
                <w:sz w:val="18"/>
                <w:szCs w:val="18"/>
                <w:lang w:val="fr-FR" w:eastAsia="zh-CN"/>
              </w:rPr>
              <w:t xml:space="preserve">OBJETS CONTENANT </w:t>
            </w:r>
            <w:r>
              <w:rPr>
                <w:sz w:val="18"/>
                <w:szCs w:val="18"/>
                <w:lang w:val="fr-FR" w:eastAsia="zh-CN"/>
              </w:rPr>
              <w:t>DE LA</w:t>
            </w:r>
            <w:r w:rsidRPr="00C64110">
              <w:rPr>
                <w:sz w:val="18"/>
                <w:szCs w:val="18"/>
                <w:lang w:val="fr-FR" w:eastAsia="zh-CN"/>
              </w:rPr>
              <w:t xml:space="preserve"> </w:t>
            </w:r>
            <w:r>
              <w:rPr>
                <w:sz w:val="18"/>
                <w:szCs w:val="18"/>
                <w:lang w:val="fr-FR" w:eastAsia="zh-CN"/>
              </w:rPr>
              <w:t>MATIÈRE CORROSIVE</w:t>
            </w:r>
            <w:r w:rsidRPr="00C64110">
              <w:rPr>
                <w:sz w:val="18"/>
                <w:szCs w:val="18"/>
                <w:lang w:val="fr-FR" w:eastAsia="zh-CN"/>
              </w:rPr>
              <w:t>, N.S.A.</w:t>
            </w:r>
          </w:p>
        </w:tc>
        <w:tc>
          <w:tcPr>
            <w:tcW w:w="1084" w:type="dxa"/>
            <w:vAlign w:val="center"/>
          </w:tcPr>
          <w:p w14:paraId="46046048" w14:textId="77777777" w:rsidR="009E38EF" w:rsidRPr="00C64110" w:rsidRDefault="009E38EF" w:rsidP="00C64110">
            <w:pPr>
              <w:spacing w:after="120"/>
              <w:ind w:left="284" w:hanging="284"/>
              <w:jc w:val="center"/>
              <w:rPr>
                <w:lang w:val="fr-FR"/>
              </w:rPr>
            </w:pPr>
            <w:r w:rsidRPr="00C64110">
              <w:rPr>
                <w:lang w:val="fr-FR"/>
              </w:rPr>
              <w:t>8</w:t>
            </w:r>
          </w:p>
        </w:tc>
        <w:tc>
          <w:tcPr>
            <w:tcW w:w="1517" w:type="dxa"/>
            <w:vAlign w:val="center"/>
          </w:tcPr>
          <w:p w14:paraId="30EE7A8E" w14:textId="77777777" w:rsidR="009E38EF" w:rsidRPr="00C64110" w:rsidRDefault="009E38EF" w:rsidP="00C64110">
            <w:pPr>
              <w:ind w:left="284" w:hanging="284"/>
              <w:jc w:val="center"/>
              <w:rPr>
                <w:lang w:val="fr-FR"/>
              </w:rPr>
            </w:pPr>
            <w:r w:rsidRPr="00C64110">
              <w:rPr>
                <w:lang w:val="fr-FR"/>
              </w:rPr>
              <w:t>3547</w:t>
            </w:r>
          </w:p>
        </w:tc>
      </w:tr>
      <w:tr w:rsidR="009E38EF" w:rsidRPr="00C64110" w14:paraId="27187DDF" w14:textId="77777777" w:rsidTr="00775B3B">
        <w:trPr>
          <w:cantSplit/>
          <w:trHeight w:val="403"/>
        </w:trPr>
        <w:tc>
          <w:tcPr>
            <w:tcW w:w="4770" w:type="dxa"/>
          </w:tcPr>
          <w:p w14:paraId="082654DE" w14:textId="77777777" w:rsidR="009E38EF" w:rsidRPr="00C64110" w:rsidRDefault="009E38EF" w:rsidP="00C64110">
            <w:pPr>
              <w:spacing w:after="120"/>
              <w:ind w:left="284" w:hanging="284"/>
              <w:rPr>
                <w:sz w:val="18"/>
                <w:szCs w:val="18"/>
                <w:lang w:val="fr-FR" w:eastAsia="zh-CN"/>
              </w:rPr>
            </w:pPr>
            <w:r w:rsidRPr="00C64110">
              <w:rPr>
                <w:sz w:val="18"/>
                <w:szCs w:val="18"/>
                <w:lang w:val="fr-FR" w:eastAsia="zh-CN"/>
              </w:rPr>
              <w:t>OBJETS CONTENANT DES MARCHANDISES DANGEREUSES DIVERSES, N.S.A.</w:t>
            </w:r>
          </w:p>
        </w:tc>
        <w:tc>
          <w:tcPr>
            <w:tcW w:w="1084" w:type="dxa"/>
            <w:vAlign w:val="center"/>
          </w:tcPr>
          <w:p w14:paraId="41928E08" w14:textId="77777777" w:rsidR="009E38EF" w:rsidRPr="00C64110" w:rsidRDefault="009E38EF" w:rsidP="00C64110">
            <w:pPr>
              <w:spacing w:after="120"/>
              <w:ind w:left="284" w:hanging="284"/>
              <w:jc w:val="center"/>
              <w:rPr>
                <w:lang w:val="fr-FR"/>
              </w:rPr>
            </w:pPr>
            <w:r w:rsidRPr="00C64110">
              <w:rPr>
                <w:lang w:val="fr-FR"/>
              </w:rPr>
              <w:t>9</w:t>
            </w:r>
          </w:p>
        </w:tc>
        <w:tc>
          <w:tcPr>
            <w:tcW w:w="1517" w:type="dxa"/>
            <w:vAlign w:val="center"/>
          </w:tcPr>
          <w:p w14:paraId="2E5FAA64" w14:textId="77777777" w:rsidR="009E38EF" w:rsidRPr="00C64110" w:rsidRDefault="009E38EF" w:rsidP="00C64110">
            <w:pPr>
              <w:ind w:left="284" w:hanging="284"/>
              <w:jc w:val="center"/>
              <w:rPr>
                <w:lang w:val="fr-FR"/>
              </w:rPr>
            </w:pPr>
            <w:r w:rsidRPr="00C64110">
              <w:rPr>
                <w:lang w:val="fr-FR"/>
              </w:rPr>
              <w:t>3548</w:t>
            </w:r>
          </w:p>
        </w:tc>
      </w:tr>
      <w:tr w:rsidR="00775B3B" w14:paraId="0E20F5D3" w14:textId="77777777" w:rsidTr="00585B3C">
        <w:trPr>
          <w:cantSplit/>
          <w:trHeight w:val="403"/>
        </w:trPr>
        <w:tc>
          <w:tcPr>
            <w:tcW w:w="4770" w:type="dxa"/>
          </w:tcPr>
          <w:p w14:paraId="315C81E0" w14:textId="77777777" w:rsidR="00775B3B" w:rsidRPr="00C64110" w:rsidRDefault="00775B3B" w:rsidP="00585B3C">
            <w:pPr>
              <w:spacing w:after="120"/>
              <w:ind w:left="284" w:hanging="284"/>
              <w:rPr>
                <w:lang w:val="fr-FR"/>
              </w:rPr>
            </w:pPr>
            <w:r w:rsidRPr="00C64110">
              <w:rPr>
                <w:sz w:val="18"/>
                <w:szCs w:val="18"/>
                <w:lang w:val="fr-FR" w:eastAsia="zh-CN"/>
              </w:rPr>
              <w:t>SOLIDE INORGANIQUE TOXIQUE, INFLAMMABLE, N.S.A.</w:t>
            </w:r>
          </w:p>
        </w:tc>
        <w:tc>
          <w:tcPr>
            <w:tcW w:w="1084" w:type="dxa"/>
          </w:tcPr>
          <w:p w14:paraId="44EF47B1" w14:textId="77777777" w:rsidR="00775B3B" w:rsidRPr="00C64110" w:rsidRDefault="00775B3B" w:rsidP="00585B3C">
            <w:pPr>
              <w:spacing w:after="120"/>
              <w:ind w:left="284" w:hanging="284"/>
              <w:jc w:val="center"/>
              <w:rPr>
                <w:lang w:val="fr-FR"/>
              </w:rPr>
            </w:pPr>
            <w:r w:rsidRPr="00C64110">
              <w:rPr>
                <w:lang w:val="fr-FR"/>
              </w:rPr>
              <w:t>6.1</w:t>
            </w:r>
          </w:p>
        </w:tc>
        <w:tc>
          <w:tcPr>
            <w:tcW w:w="1517" w:type="dxa"/>
          </w:tcPr>
          <w:p w14:paraId="2A9E188F" w14:textId="77777777" w:rsidR="00775B3B" w:rsidRDefault="00775B3B" w:rsidP="00585B3C">
            <w:pPr>
              <w:spacing w:after="120"/>
              <w:ind w:left="284" w:hanging="284"/>
              <w:jc w:val="center"/>
              <w:rPr>
                <w:lang w:val="fr-FR"/>
              </w:rPr>
            </w:pPr>
            <w:r w:rsidRPr="00C64110">
              <w:rPr>
                <w:lang w:val="fr-FR"/>
              </w:rPr>
              <w:t>3535</w:t>
            </w:r>
          </w:p>
        </w:tc>
      </w:tr>
    </w:tbl>
    <w:p w14:paraId="320BADAF" w14:textId="77777777" w:rsidR="00196C06" w:rsidRPr="0059443A" w:rsidRDefault="00196C06" w:rsidP="00196C06">
      <w:pPr>
        <w:pStyle w:val="H1G"/>
      </w:pPr>
      <w:r w:rsidRPr="0059443A">
        <w:tab/>
      </w:r>
      <w:r w:rsidRPr="0059443A">
        <w:tab/>
        <w:t>Chapitre 3.3</w:t>
      </w:r>
    </w:p>
    <w:p w14:paraId="61BC31EA" w14:textId="7F14DCA6" w:rsidR="00972698" w:rsidRPr="00972698" w:rsidRDefault="00972698" w:rsidP="00972698">
      <w:pPr>
        <w:pStyle w:val="SingleTxtG"/>
      </w:pPr>
      <w:r w:rsidRPr="00972698">
        <w:t>3.3.1</w:t>
      </w:r>
      <w:r w:rsidRPr="00972698">
        <w:tab/>
      </w:r>
      <w:r>
        <w:t>Dans la troisième phrase, remplacer «comme "Piles au lithium endommagées"» par «comme "</w:t>
      </w:r>
      <w:r w:rsidRPr="00972698">
        <w:t>PILES AU LITHIUM POUR ÉLIMINATION</w:t>
      </w:r>
      <w:r>
        <w:t>"».</w:t>
      </w:r>
    </w:p>
    <w:p w14:paraId="0512E287" w14:textId="4C1BD143" w:rsidR="00196C06" w:rsidRDefault="00196C06" w:rsidP="00196C06">
      <w:pPr>
        <w:pStyle w:val="SingleTxtG"/>
        <w:rPr>
          <w:lang w:val="fr-FR"/>
        </w:rPr>
      </w:pPr>
      <w:r>
        <w:rPr>
          <w:lang w:eastAsia="en-GB"/>
        </w:rPr>
        <w:t>Disposition spéciale 23</w:t>
      </w:r>
      <w:r>
        <w:rPr>
          <w:lang w:eastAsia="en-GB"/>
        </w:rPr>
        <w:tab/>
      </w:r>
      <w:r>
        <w:rPr>
          <w:lang w:val="fr-FR"/>
        </w:rPr>
        <w:t>Remplacer «risque d’inflammabilité» par «danger d’inflammabilité».</w:t>
      </w:r>
    </w:p>
    <w:p w14:paraId="6301D488" w14:textId="77777777" w:rsidR="00196C06" w:rsidRDefault="00196C06" w:rsidP="00196C06">
      <w:pPr>
        <w:spacing w:before="120" w:after="120" w:line="240" w:lineRule="auto"/>
        <w:ind w:left="1134" w:right="1134"/>
        <w:jc w:val="both"/>
        <w:rPr>
          <w:lang w:eastAsia="en-GB"/>
        </w:rPr>
      </w:pPr>
      <w:r>
        <w:rPr>
          <w:lang w:val="fr-FR"/>
        </w:rPr>
        <w:t>Disposition spéciale 61</w:t>
      </w:r>
      <w:r>
        <w:rPr>
          <w:lang w:val="fr-FR"/>
        </w:rPr>
        <w:tab/>
        <w:t xml:space="preserve">Remplacer «risque» par «danger» et ajouter </w:t>
      </w:r>
      <w:proofErr w:type="gramStart"/>
      <w:r>
        <w:rPr>
          <w:lang w:val="fr-FR"/>
        </w:rPr>
        <w:t>«</w:t>
      </w:r>
      <w:r w:rsidRPr="005A2927">
        <w:rPr>
          <w:lang w:val="fr-FR"/>
        </w:rPr>
        <w:t>(</w:t>
      </w:r>
      <w:proofErr w:type="gramEnd"/>
      <w:r w:rsidRPr="005A2927">
        <w:rPr>
          <w:lang w:val="fr-FR"/>
        </w:rPr>
        <w:t xml:space="preserve">The WHO </w:t>
      </w:r>
      <w:proofErr w:type="spellStart"/>
      <w:r w:rsidRPr="005A2927">
        <w:rPr>
          <w:lang w:val="fr-FR"/>
        </w:rPr>
        <w:t>recommended</w:t>
      </w:r>
      <w:proofErr w:type="spellEnd"/>
      <w:r w:rsidRPr="005A2927">
        <w:rPr>
          <w:lang w:val="fr-FR"/>
        </w:rPr>
        <w:t xml:space="preserve"> classification of pesticides by </w:t>
      </w:r>
      <w:proofErr w:type="spellStart"/>
      <w:r w:rsidRPr="005A2927">
        <w:rPr>
          <w:lang w:val="fr-FR"/>
        </w:rPr>
        <w:t>hazard</w:t>
      </w:r>
      <w:proofErr w:type="spellEnd"/>
      <w:r w:rsidRPr="005A2927">
        <w:rPr>
          <w:lang w:val="fr-FR"/>
        </w:rPr>
        <w:t xml:space="preserve"> and guidelines to classification)</w:t>
      </w:r>
      <w:r>
        <w:rPr>
          <w:lang w:val="fr-FR"/>
        </w:rPr>
        <w:t>» avant «ou le nom de la matière».</w:t>
      </w:r>
    </w:p>
    <w:p w14:paraId="2936EA88" w14:textId="77777777" w:rsidR="00196C06" w:rsidRPr="0059443A" w:rsidRDefault="00196C06" w:rsidP="00196C06">
      <w:pPr>
        <w:spacing w:before="120" w:after="120" w:line="240" w:lineRule="auto"/>
        <w:ind w:left="1134" w:right="1134"/>
        <w:jc w:val="both"/>
        <w:rPr>
          <w:lang w:val="fr-FR"/>
        </w:rPr>
      </w:pPr>
      <w:r w:rsidRPr="0059443A">
        <w:rPr>
          <w:lang w:eastAsia="en-GB"/>
        </w:rPr>
        <w:lastRenderedPageBreak/>
        <w:t>Disposition spéciale 63</w:t>
      </w:r>
      <w:r w:rsidRPr="0059443A">
        <w:rPr>
          <w:lang w:eastAsia="en-GB"/>
        </w:rPr>
        <w:tab/>
        <w:t>Remplacer «risque» par «danger» (trois fois).</w:t>
      </w:r>
    </w:p>
    <w:p w14:paraId="5F212A35" w14:textId="77777777" w:rsidR="00196C06" w:rsidRPr="0059443A" w:rsidRDefault="00196C06" w:rsidP="00196C06">
      <w:pPr>
        <w:spacing w:before="120" w:after="120" w:line="240" w:lineRule="auto"/>
        <w:ind w:left="1134" w:right="1134"/>
        <w:jc w:val="both"/>
        <w:rPr>
          <w:lang w:eastAsia="en-GB"/>
        </w:rPr>
      </w:pPr>
      <w:r w:rsidRPr="0059443A">
        <w:rPr>
          <w:lang w:eastAsia="en-GB"/>
        </w:rPr>
        <w:t>Disposition spéciale 122</w:t>
      </w:r>
      <w:r w:rsidRPr="0059443A">
        <w:rPr>
          <w:lang w:eastAsia="en-GB"/>
        </w:rPr>
        <w:tab/>
        <w:t>Remplacer «risques» par «dangers».</w:t>
      </w:r>
    </w:p>
    <w:p w14:paraId="0D5E65C7" w14:textId="77777777" w:rsidR="00196C06" w:rsidRPr="0059443A" w:rsidRDefault="00196C06" w:rsidP="00196C06">
      <w:pPr>
        <w:tabs>
          <w:tab w:val="left" w:pos="3402"/>
        </w:tabs>
        <w:spacing w:before="120" w:after="120" w:line="240" w:lineRule="auto"/>
        <w:ind w:left="1134" w:right="1134"/>
        <w:jc w:val="both"/>
        <w:rPr>
          <w:lang w:eastAsia="en-GB"/>
        </w:rPr>
      </w:pPr>
      <w:r w:rsidRPr="0059443A">
        <w:rPr>
          <w:lang w:eastAsia="en-GB"/>
        </w:rPr>
        <w:t>Disposition spéciale 133</w:t>
      </w:r>
      <w:r w:rsidRPr="0059443A">
        <w:rPr>
          <w:lang w:eastAsia="en-GB"/>
        </w:rPr>
        <w:tab/>
        <w:t>Remplacer «risque» par «danger».</w:t>
      </w:r>
    </w:p>
    <w:p w14:paraId="5644FB80" w14:textId="77777777" w:rsidR="00196C06" w:rsidRPr="0059443A" w:rsidRDefault="00196C06" w:rsidP="00196C06">
      <w:pPr>
        <w:tabs>
          <w:tab w:val="left" w:pos="3402"/>
        </w:tabs>
        <w:spacing w:before="120" w:after="120" w:line="240" w:lineRule="auto"/>
        <w:ind w:left="1134" w:right="1134"/>
        <w:jc w:val="both"/>
        <w:rPr>
          <w:lang w:eastAsia="en-GB"/>
        </w:rPr>
      </w:pPr>
      <w:r w:rsidRPr="0059443A">
        <w:rPr>
          <w:lang w:eastAsia="en-GB"/>
        </w:rPr>
        <w:t>Disposition spéciale 172</w:t>
      </w:r>
      <w:r w:rsidRPr="0059443A">
        <w:rPr>
          <w:lang w:eastAsia="en-GB"/>
        </w:rPr>
        <w:tab/>
        <w:t>Remplacer «risque» par «danger» (quatre fois) et au c), remplacer «risque(s)» par «danger(s)».</w:t>
      </w:r>
    </w:p>
    <w:p w14:paraId="28EB6DAC" w14:textId="77777777" w:rsidR="00196C06" w:rsidRPr="0059443A" w:rsidRDefault="00196C06" w:rsidP="00196C06">
      <w:pPr>
        <w:spacing w:before="120" w:after="120" w:line="240" w:lineRule="auto"/>
        <w:ind w:left="1134" w:right="1134"/>
        <w:jc w:val="both"/>
        <w:rPr>
          <w:lang w:eastAsia="en-GB"/>
        </w:rPr>
      </w:pPr>
      <w:r w:rsidRPr="0059443A">
        <w:rPr>
          <w:lang w:eastAsia="en-GB"/>
        </w:rPr>
        <w:t>Disposition spéciale 181</w:t>
      </w:r>
      <w:r w:rsidRPr="0059443A">
        <w:rPr>
          <w:lang w:eastAsia="en-GB"/>
        </w:rPr>
        <w:tab/>
        <w:t>Remplacer «risque» par «danger».</w:t>
      </w:r>
    </w:p>
    <w:p w14:paraId="450302C6" w14:textId="06987B48" w:rsidR="00754218" w:rsidRDefault="00754218" w:rsidP="00754218">
      <w:pPr>
        <w:pStyle w:val="SingleTxtG"/>
        <w:rPr>
          <w:lang w:val="fr-FR"/>
        </w:rPr>
      </w:pPr>
      <w:r>
        <w:rPr>
          <w:lang w:val="fr-FR"/>
        </w:rPr>
        <w:t>Supprimer la disposition spéciale</w:t>
      </w:r>
      <w:r w:rsidRPr="0059443A">
        <w:rPr>
          <w:lang w:val="fr-FR"/>
        </w:rPr>
        <w:t xml:space="preserve"> </w:t>
      </w:r>
      <w:r>
        <w:rPr>
          <w:lang w:val="fr-FR"/>
        </w:rPr>
        <w:t>186</w:t>
      </w:r>
      <w:r w:rsidRPr="0059443A">
        <w:rPr>
          <w:lang w:val="fr-FR"/>
        </w:rPr>
        <w:t xml:space="preserve"> et ajouter: «</w:t>
      </w:r>
      <w:r>
        <w:rPr>
          <w:lang w:val="fr-FR"/>
        </w:rPr>
        <w:t>186</w:t>
      </w:r>
      <w:r w:rsidRPr="0059443A">
        <w:rPr>
          <w:lang w:val="fr-FR"/>
        </w:rPr>
        <w:tab/>
      </w:r>
      <w:r w:rsidRPr="0059443A">
        <w:rPr>
          <w:i/>
          <w:lang w:val="fr-FR"/>
        </w:rPr>
        <w:t>(Supprimé)</w:t>
      </w:r>
      <w:r w:rsidRPr="0059443A">
        <w:rPr>
          <w:lang w:val="fr-FR"/>
        </w:rPr>
        <w:t>».</w:t>
      </w:r>
    </w:p>
    <w:p w14:paraId="72EEA7F7" w14:textId="33259CF4" w:rsidR="00196C06" w:rsidRPr="0059443A" w:rsidRDefault="00196C06" w:rsidP="00196C06">
      <w:pPr>
        <w:spacing w:before="120" w:after="120" w:line="240" w:lineRule="auto"/>
        <w:ind w:left="1134" w:right="1134"/>
        <w:jc w:val="both"/>
        <w:rPr>
          <w:lang w:val="fr-FR"/>
        </w:rPr>
      </w:pPr>
      <w:r w:rsidRPr="0059443A">
        <w:rPr>
          <w:lang w:val="fr-FR"/>
        </w:rPr>
        <w:t>Disposition spéciale 188</w:t>
      </w:r>
      <w:r>
        <w:rPr>
          <w:lang w:val="fr-FR"/>
        </w:rPr>
        <w:t xml:space="preserve"> d)</w:t>
      </w:r>
      <w:r w:rsidRPr="0059443A">
        <w:rPr>
          <w:lang w:val="fr-FR"/>
        </w:rPr>
        <w:tab/>
      </w:r>
      <w:r>
        <w:rPr>
          <w:lang w:val="fr-FR"/>
        </w:rPr>
        <w:tab/>
        <w:t>R</w:t>
      </w:r>
      <w:r w:rsidRPr="0059443A">
        <w:rPr>
          <w:lang w:val="fr-FR"/>
        </w:rPr>
        <w:t>emplacer «protection contre les contacts avec des matériaux conducteurs» par «protection contre les contacts avec des matériaux conducteurs d’électricité».</w:t>
      </w:r>
    </w:p>
    <w:p w14:paraId="6F65E4FC" w14:textId="2355BC7B" w:rsidR="00196C06" w:rsidRDefault="00196C06" w:rsidP="00196C06">
      <w:pPr>
        <w:pStyle w:val="SingleTxtG"/>
        <w:spacing w:before="120"/>
        <w:rPr>
          <w:lang w:eastAsia="en-GB" w:bidi="en-GB"/>
        </w:rPr>
      </w:pPr>
      <w:r>
        <w:t>Disposition spéciale 188 f)</w:t>
      </w:r>
      <w:r>
        <w:tab/>
      </w:r>
      <w:r w:rsidRPr="00CC6AA6">
        <w:tab/>
        <w:t xml:space="preserve">Ajouter </w:t>
      </w:r>
      <w:r>
        <w:t>les deux</w:t>
      </w:r>
      <w:r w:rsidRPr="00CC6AA6">
        <w:t xml:space="preserve"> nouvelle</w:t>
      </w:r>
      <w:r>
        <w:t>s</w:t>
      </w:r>
      <w:r w:rsidRPr="00CC6AA6">
        <w:t xml:space="preserve"> phrase</w:t>
      </w:r>
      <w:r>
        <w:t>s</w:t>
      </w:r>
      <w:r w:rsidRPr="00CC6AA6">
        <w:t xml:space="preserve"> suivante</w:t>
      </w:r>
      <w:r>
        <w:t>s</w:t>
      </w:r>
      <w:r w:rsidRPr="00CC6AA6">
        <w:t xml:space="preserve"> </w:t>
      </w:r>
      <w:r w:rsidRPr="00CC6AA6">
        <w:rPr>
          <w:lang w:eastAsia="en-GB" w:bidi="en-GB"/>
        </w:rPr>
        <w:t xml:space="preserve">à la fin: «Lorsque les colis sont </w:t>
      </w:r>
      <w:r w:rsidR="00B66988">
        <w:rPr>
          <w:lang w:eastAsia="en-GB" w:bidi="en-GB"/>
        </w:rPr>
        <w:t>placés dans un suremballage, la marque</w:t>
      </w:r>
      <w:r w:rsidRPr="00CC6AA6">
        <w:rPr>
          <w:lang w:eastAsia="en-GB" w:bidi="en-GB"/>
        </w:rPr>
        <w:t xml:space="preserve"> de pile au lithium </w:t>
      </w:r>
      <w:r w:rsidR="00B66988">
        <w:rPr>
          <w:lang w:eastAsia="en-GB" w:bidi="en-GB"/>
        </w:rPr>
        <w:t>doit être soit directement visible, soit reproduite</w:t>
      </w:r>
      <w:r w:rsidRPr="00CC6AA6">
        <w:rPr>
          <w:lang w:eastAsia="en-GB" w:bidi="en-GB"/>
        </w:rPr>
        <w:t xml:space="preserve"> à l’extérieur du suremballage et celui-ci doit porter la marque “SUREMBALLAGE”. Les lettres de la marque “SUREMBALLAGE” doivent mesur</w:t>
      </w:r>
      <w:r>
        <w:rPr>
          <w:lang w:eastAsia="en-GB" w:bidi="en-GB"/>
        </w:rPr>
        <w:t>er au moins 12 mm de hauteur.».</w:t>
      </w:r>
    </w:p>
    <w:p w14:paraId="330E83E5" w14:textId="77777777" w:rsidR="00196C06" w:rsidRPr="0059443A" w:rsidRDefault="00196C06" w:rsidP="00196C06">
      <w:pPr>
        <w:pStyle w:val="SingleTxtG"/>
        <w:rPr>
          <w:iCs/>
          <w:lang w:val="fr-FR"/>
        </w:rPr>
      </w:pPr>
      <w:r w:rsidRPr="0059443A">
        <w:rPr>
          <w:iCs/>
          <w:lang w:val="fr-FR"/>
        </w:rPr>
        <w:t xml:space="preserve">Le Nota devient Nota 1. Ajouter </w:t>
      </w:r>
      <w:r>
        <w:rPr>
          <w:iCs/>
          <w:lang w:val="fr-FR"/>
        </w:rPr>
        <w:t>le</w:t>
      </w:r>
      <w:r w:rsidRPr="0059443A">
        <w:rPr>
          <w:iCs/>
          <w:lang w:val="fr-FR"/>
        </w:rPr>
        <w:t xml:space="preserve"> nouveau Nota 2 suivant:</w:t>
      </w:r>
    </w:p>
    <w:p w14:paraId="4EE6B4D8" w14:textId="71B609C1" w:rsidR="00196C06" w:rsidRPr="0059443A" w:rsidRDefault="00196C06" w:rsidP="00196C06">
      <w:pPr>
        <w:pStyle w:val="SingleTxtG"/>
        <w:rPr>
          <w:iCs/>
          <w:lang w:val="fr-FR"/>
        </w:rPr>
      </w:pPr>
      <w:r w:rsidRPr="0059443A">
        <w:rPr>
          <w:iCs/>
          <w:lang w:val="fr-FR"/>
        </w:rPr>
        <w:t>«</w:t>
      </w:r>
      <w:r w:rsidRPr="0059443A">
        <w:rPr>
          <w:b/>
          <w:i/>
          <w:iCs/>
          <w:lang w:val="fr-FR"/>
        </w:rPr>
        <w:t>NOTA 2:</w:t>
      </w:r>
      <w:r w:rsidRPr="0059443A">
        <w:rPr>
          <w:i/>
          <w:iCs/>
          <w:lang w:val="fr-FR"/>
        </w:rPr>
        <w:t xml:space="preserve"> </w:t>
      </w:r>
      <w:r w:rsidR="00AF7202">
        <w:rPr>
          <w:i/>
          <w:iCs/>
          <w:lang w:val="fr-FR"/>
        </w:rPr>
        <w:tab/>
      </w:r>
      <w:r w:rsidRPr="0059443A">
        <w:rPr>
          <w:i/>
          <w:iCs/>
          <w:lang w:val="fr-FR"/>
        </w:rPr>
        <w:t>Les colis contenant des piles au lithium emballées conformément aux dispositions de la section IB des instructions d’emballage 965 ou 968 du chapitre 11 de la partie 4 des Instructions techniques de l’OACI pour la sécurité du transport aérien des marchandises dangereuses qui portent la marque représentée au paragraphe 5.2.1.9 (marque pour les piles au lithium) et l’étiquette représentée au paragraphe 5.2.2.2.2, modèle No 9A sont réputés satisfaire aux dispositions de la présente disposition spéciale.</w:t>
      </w:r>
      <w:r w:rsidRPr="0059443A">
        <w:rPr>
          <w:iCs/>
          <w:lang w:val="fr-FR"/>
        </w:rPr>
        <w:t>».</w:t>
      </w:r>
    </w:p>
    <w:p w14:paraId="41D20066" w14:textId="3FB0CBB6" w:rsidR="00196C06" w:rsidRPr="00CC6AA6" w:rsidRDefault="00196C06" w:rsidP="00196C06">
      <w:pPr>
        <w:pStyle w:val="SingleTxtG"/>
        <w:rPr>
          <w:i/>
          <w:iCs/>
          <w:lang w:val="fr-FR"/>
        </w:rPr>
      </w:pPr>
      <w:r w:rsidRPr="00CC6AA6">
        <w:t>Disposition spéciale 188</w:t>
      </w:r>
      <w:r w:rsidR="00C00F54">
        <w:t>, dans le premier paragraphe après</w:t>
      </w:r>
      <w:r w:rsidRPr="00CC6AA6">
        <w:t xml:space="preserve"> </w:t>
      </w:r>
      <w:r w:rsidR="00C00F54">
        <w:t>h</w:t>
      </w:r>
      <w:r>
        <w:t>)</w:t>
      </w:r>
      <w:r>
        <w:tab/>
      </w:r>
      <w:r>
        <w:tab/>
        <w:t>Ajouter la nouvelle phrase suivante à la fin du deuxième paragraphe: «Dans la présente disposition spéciale, on entend par «équipement» un appareil alimenté par des piles ou batteries au lithium.».</w:t>
      </w:r>
    </w:p>
    <w:p w14:paraId="79FE23E4" w14:textId="5EC88065" w:rsidR="00421B88" w:rsidRDefault="00421B88" w:rsidP="00421B88">
      <w:pPr>
        <w:pStyle w:val="SingleTxtG"/>
      </w:pPr>
      <w:r w:rsidRPr="00CC6AA6">
        <w:t>Disposition spéciale</w:t>
      </w:r>
      <w:r>
        <w:t xml:space="preserve"> 193</w:t>
      </w:r>
      <w:r>
        <w:tab/>
        <w:t>Modifier pour lire comme suit:</w:t>
      </w:r>
    </w:p>
    <w:p w14:paraId="4CF278C9" w14:textId="693935F4" w:rsidR="00421B88" w:rsidRPr="00421B88" w:rsidRDefault="00421B88" w:rsidP="00421B88">
      <w:pPr>
        <w:pStyle w:val="SingleTxtG"/>
      </w:pPr>
      <w:r>
        <w:t>«193</w:t>
      </w:r>
      <w:r>
        <w:tab/>
        <w:t>Cette rubrique n’est applicable qu’aux engrais au nitrate d’ammonium composés. Ils doivent être classés conformément à la procédure définie dans le Manuel d’épreuves et de critères, troisième partie, section 39. Les engrais répondant aux critères de ce numéro ONU ne sont soumis au présent Règlement que lorsqu’ils sont transportés par air ou par mer.».</w:t>
      </w:r>
    </w:p>
    <w:p w14:paraId="5935DE49" w14:textId="74B254CE" w:rsidR="00196C06" w:rsidRDefault="00196C06" w:rsidP="00196C06">
      <w:pPr>
        <w:spacing w:before="120" w:after="120" w:line="240" w:lineRule="auto"/>
        <w:ind w:left="1134" w:right="1134"/>
        <w:jc w:val="both"/>
        <w:rPr>
          <w:lang w:eastAsia="en-GB"/>
        </w:rPr>
      </w:pPr>
      <w:r>
        <w:rPr>
          <w:lang w:val="fr-FR"/>
        </w:rPr>
        <w:t>Disposition spéciale 199</w:t>
      </w:r>
      <w:r>
        <w:rPr>
          <w:lang w:val="fr-FR"/>
        </w:rPr>
        <w:tab/>
        <w:t>Remplacer «division de risque» par «division de danger».</w:t>
      </w:r>
    </w:p>
    <w:p w14:paraId="6DE65FD7" w14:textId="77777777" w:rsidR="00196C06" w:rsidRPr="0059443A" w:rsidRDefault="00196C06" w:rsidP="00196C06">
      <w:pPr>
        <w:spacing w:before="120" w:after="120" w:line="240" w:lineRule="auto"/>
        <w:ind w:left="1134" w:right="1134"/>
        <w:jc w:val="both"/>
        <w:rPr>
          <w:lang w:eastAsia="en-GB"/>
        </w:rPr>
      </w:pPr>
      <w:r w:rsidRPr="0059443A">
        <w:rPr>
          <w:lang w:eastAsia="en-GB"/>
        </w:rPr>
        <w:t>Disposition spéciale 204</w:t>
      </w:r>
      <w:r w:rsidRPr="0059443A">
        <w:rPr>
          <w:lang w:eastAsia="en-GB"/>
        </w:rPr>
        <w:tab/>
        <w:t>Remplacer «risque» par «danger» (trois fois).</w:t>
      </w:r>
    </w:p>
    <w:p w14:paraId="38B09714" w14:textId="5B7BD6AE" w:rsidR="00196C06" w:rsidRPr="0059443A" w:rsidRDefault="00196C06" w:rsidP="00196C06">
      <w:pPr>
        <w:pStyle w:val="SingleTxtG"/>
        <w:rPr>
          <w:lang w:val="fr-FR"/>
        </w:rPr>
      </w:pPr>
      <w:r w:rsidRPr="0059443A">
        <w:rPr>
          <w:lang w:val="fr-FR"/>
        </w:rPr>
        <w:t xml:space="preserve">Supprimer </w:t>
      </w:r>
      <w:r w:rsidR="00AF7202">
        <w:rPr>
          <w:lang w:val="fr-FR"/>
        </w:rPr>
        <w:t xml:space="preserve">la disposition spéciale 240 </w:t>
      </w:r>
      <w:r w:rsidRPr="0059443A">
        <w:rPr>
          <w:lang w:val="fr-FR"/>
        </w:rPr>
        <w:t>et ajouter: «240</w:t>
      </w:r>
      <w:r w:rsidRPr="0059443A">
        <w:rPr>
          <w:lang w:val="fr-FR"/>
        </w:rPr>
        <w:tab/>
      </w:r>
      <w:r w:rsidRPr="0059443A">
        <w:rPr>
          <w:i/>
          <w:lang w:val="fr-FR"/>
        </w:rPr>
        <w:t>(Supprimé)</w:t>
      </w:r>
      <w:r w:rsidRPr="0059443A">
        <w:rPr>
          <w:lang w:val="fr-FR"/>
        </w:rPr>
        <w:t>».</w:t>
      </w:r>
    </w:p>
    <w:p w14:paraId="56830CDC" w14:textId="77777777" w:rsidR="00C64110" w:rsidRDefault="00196C06" w:rsidP="00196C06">
      <w:pPr>
        <w:pStyle w:val="SingleTxtG"/>
        <w:rPr>
          <w:iCs/>
          <w:lang w:val="fr-FR"/>
        </w:rPr>
      </w:pPr>
      <w:r w:rsidRPr="00193B8A">
        <w:rPr>
          <w:iCs/>
          <w:lang w:val="fr-FR"/>
        </w:rPr>
        <w:t>Disposition spéciale 251</w:t>
      </w:r>
      <w:r w:rsidRPr="00193B8A">
        <w:rPr>
          <w:iCs/>
          <w:lang w:val="fr-FR"/>
        </w:rPr>
        <w:tab/>
        <w:t xml:space="preserve">Dans le premier paragraphe, </w:t>
      </w:r>
      <w:r w:rsidR="00145488">
        <w:rPr>
          <w:iCs/>
          <w:lang w:val="fr-FR"/>
        </w:rPr>
        <w:t>remplacer</w:t>
      </w:r>
      <w:r w:rsidRPr="00193B8A">
        <w:rPr>
          <w:iCs/>
          <w:lang w:val="fr-FR"/>
        </w:rPr>
        <w:t xml:space="preserve"> la deuxième phrase </w:t>
      </w:r>
      <w:r w:rsidR="00145488">
        <w:rPr>
          <w:iCs/>
          <w:lang w:val="fr-FR"/>
        </w:rPr>
        <w:t>par</w:t>
      </w:r>
      <w:r w:rsidRPr="00193B8A">
        <w:rPr>
          <w:iCs/>
          <w:lang w:val="fr-FR"/>
        </w:rPr>
        <w:t>:</w:t>
      </w:r>
      <w:r w:rsidR="00C64110">
        <w:rPr>
          <w:iCs/>
          <w:lang w:val="fr-FR"/>
        </w:rPr>
        <w:t xml:space="preserve"> </w:t>
      </w:r>
    </w:p>
    <w:p w14:paraId="0D99863D" w14:textId="28EAE5EA" w:rsidR="00196C06" w:rsidRPr="00193B8A" w:rsidRDefault="00196C06" w:rsidP="00196C06">
      <w:pPr>
        <w:pStyle w:val="SingleTxtG"/>
        <w:rPr>
          <w:iCs/>
          <w:lang w:val="fr-FR"/>
        </w:rPr>
      </w:pPr>
      <w:r w:rsidRPr="00193B8A">
        <w:rPr>
          <w:iCs/>
          <w:lang w:val="fr-FR"/>
        </w:rPr>
        <w:t>«Ces trousses doivent contenir uniquement des marchandises dangereuses autorisées en tant que:</w:t>
      </w:r>
    </w:p>
    <w:p w14:paraId="55BF814A" w14:textId="77777777" w:rsidR="00196C06" w:rsidRPr="00193B8A" w:rsidRDefault="00196C06" w:rsidP="00196C06">
      <w:pPr>
        <w:pStyle w:val="SingleTxtG"/>
        <w:rPr>
          <w:iCs/>
          <w:lang w:val="fr-FR"/>
        </w:rPr>
      </w:pPr>
      <w:r w:rsidRPr="00193B8A">
        <w:rPr>
          <w:iCs/>
          <w:lang w:val="fr-FR"/>
        </w:rPr>
        <w:t>a)</w:t>
      </w:r>
      <w:r w:rsidRPr="00193B8A">
        <w:rPr>
          <w:iCs/>
          <w:lang w:val="fr-FR"/>
        </w:rPr>
        <w:tab/>
        <w:t>Quantités exceptées en dessous des quantités indiquées par le code figurant en colonne 7b de la Liste des marchandises dangereuses du chapitre 3.2, à condition que la quantité nette par emballage intérieur et la quantité nette par colis soient telles que prescrites aux 3.5.1.2 et 3.5.1.3;</w:t>
      </w:r>
    </w:p>
    <w:p w14:paraId="2ECFD764" w14:textId="77777777" w:rsidR="00196C06" w:rsidRPr="00193B8A" w:rsidRDefault="00196C06" w:rsidP="00196C06">
      <w:pPr>
        <w:pStyle w:val="SingleTxtG"/>
        <w:rPr>
          <w:iCs/>
          <w:lang w:val="fr-FR"/>
        </w:rPr>
      </w:pPr>
      <w:r w:rsidRPr="00193B8A">
        <w:rPr>
          <w:iCs/>
          <w:lang w:val="fr-FR"/>
        </w:rPr>
        <w:t>b)</w:t>
      </w:r>
      <w:r w:rsidRPr="00193B8A">
        <w:rPr>
          <w:iCs/>
          <w:lang w:val="fr-FR"/>
        </w:rPr>
        <w:tab/>
        <w:t>Quantités limitées comme indiqué en colonne 7a de la Liste des marchandises dangereuses du chapitre 3.2, à condition que la quantité nette par emballage intérieur ne dépasse pas 250 ml ou 250 g.».</w:t>
      </w:r>
    </w:p>
    <w:p w14:paraId="7686D331" w14:textId="77777777" w:rsidR="00196C06" w:rsidRDefault="00196C06" w:rsidP="00196C06">
      <w:pPr>
        <w:pStyle w:val="SingleTxtG"/>
        <w:rPr>
          <w:iCs/>
          <w:lang w:val="fr-FR"/>
        </w:rPr>
      </w:pPr>
      <w:r w:rsidRPr="00193B8A">
        <w:rPr>
          <w:iCs/>
          <w:lang w:val="fr-FR"/>
        </w:rPr>
        <w:t>Dans le deuxième paragraphe, supprimer la deuxième phrase.</w:t>
      </w:r>
      <w:r>
        <w:rPr>
          <w:iCs/>
          <w:lang w:val="fr-FR"/>
        </w:rPr>
        <w:t xml:space="preserve"> </w:t>
      </w:r>
    </w:p>
    <w:p w14:paraId="2D610406" w14:textId="3BD8ECA9" w:rsidR="00196C06" w:rsidRPr="00193B8A" w:rsidRDefault="00196C06" w:rsidP="00196C06">
      <w:pPr>
        <w:pStyle w:val="SingleTxtG"/>
        <w:rPr>
          <w:iCs/>
          <w:lang w:val="fr-FR"/>
        </w:rPr>
      </w:pPr>
      <w:r w:rsidRPr="00193B8A">
        <w:rPr>
          <w:iCs/>
          <w:lang w:val="fr-FR"/>
        </w:rPr>
        <w:lastRenderedPageBreak/>
        <w:t xml:space="preserve">Au début du troisième paragraphe, ajouter la nouvelle </w:t>
      </w:r>
      <w:r w:rsidR="00145488">
        <w:rPr>
          <w:iCs/>
          <w:lang w:val="fr-FR"/>
        </w:rPr>
        <w:t xml:space="preserve">première </w:t>
      </w:r>
      <w:r w:rsidRPr="00193B8A">
        <w:rPr>
          <w:iCs/>
          <w:lang w:val="fr-FR"/>
        </w:rPr>
        <w:t>phrase suivante: «Aux fins de la description des marchandises dangereuses dans le document de transport suivant le 5.4.1.4.1, le groupe d'emballage figurant sur le document doit être le groupe d'emballage le plus sévère attribué aux matières présentes dans la trousse.».</w:t>
      </w:r>
    </w:p>
    <w:p w14:paraId="3672F813" w14:textId="77777777" w:rsidR="00196C06" w:rsidRPr="0059443A" w:rsidRDefault="00196C06" w:rsidP="00196C06">
      <w:pPr>
        <w:spacing w:before="120" w:after="120" w:line="240" w:lineRule="auto"/>
        <w:ind w:left="1134" w:right="1134"/>
        <w:jc w:val="both"/>
        <w:rPr>
          <w:lang w:eastAsia="en-GB"/>
        </w:rPr>
      </w:pPr>
      <w:r w:rsidRPr="0059443A">
        <w:rPr>
          <w:lang w:eastAsia="en-GB"/>
        </w:rPr>
        <w:t>Disposition spéciale 271</w:t>
      </w:r>
      <w:r w:rsidRPr="0059443A">
        <w:rPr>
          <w:lang w:eastAsia="en-GB"/>
        </w:rPr>
        <w:tab/>
        <w:t>Remplacer «risque» par «danger».</w:t>
      </w:r>
    </w:p>
    <w:p w14:paraId="6E74A362" w14:textId="77777777" w:rsidR="00196C06" w:rsidRDefault="00196C06" w:rsidP="00196C06">
      <w:pPr>
        <w:spacing w:before="120" w:after="120" w:line="240" w:lineRule="auto"/>
        <w:ind w:left="1134" w:right="1134"/>
        <w:jc w:val="both"/>
        <w:rPr>
          <w:lang w:eastAsia="en-GB"/>
        </w:rPr>
      </w:pPr>
      <w:r>
        <w:rPr>
          <w:lang w:val="fr-FR"/>
        </w:rPr>
        <w:t>Disposition spéciale 280</w:t>
      </w:r>
      <w:r>
        <w:rPr>
          <w:lang w:val="fr-FR"/>
        </w:rPr>
        <w:tab/>
        <w:t>Remplacer «risque de projection» par «danger de projection».</w:t>
      </w:r>
    </w:p>
    <w:p w14:paraId="7EDAEFB9" w14:textId="77777777" w:rsidR="00196C06" w:rsidRPr="0059443A" w:rsidRDefault="00196C06" w:rsidP="00196C06">
      <w:pPr>
        <w:spacing w:before="120" w:after="120" w:line="240" w:lineRule="auto"/>
        <w:ind w:left="1134" w:right="1134"/>
        <w:jc w:val="both"/>
        <w:rPr>
          <w:lang w:eastAsia="en-GB"/>
        </w:rPr>
      </w:pPr>
      <w:r w:rsidRPr="0059443A">
        <w:rPr>
          <w:lang w:eastAsia="en-GB"/>
        </w:rPr>
        <w:t>Disposition spéciale 290 b)</w:t>
      </w:r>
      <w:r w:rsidRPr="0059443A">
        <w:rPr>
          <w:lang w:eastAsia="en-GB"/>
        </w:rPr>
        <w:tab/>
      </w:r>
      <w:r>
        <w:rPr>
          <w:lang w:eastAsia="en-GB"/>
        </w:rPr>
        <w:tab/>
      </w:r>
      <w:r w:rsidRPr="0059443A">
        <w:rPr>
          <w:lang w:eastAsia="en-GB"/>
        </w:rPr>
        <w:t>Remplacer «risque» par «danger».</w:t>
      </w:r>
    </w:p>
    <w:p w14:paraId="11A80A9E" w14:textId="77777777" w:rsidR="00196C06" w:rsidRPr="0059443A" w:rsidRDefault="00196C06" w:rsidP="00196C06">
      <w:pPr>
        <w:pStyle w:val="SingleTxtG"/>
      </w:pPr>
      <w:r w:rsidRPr="0059443A">
        <w:t>Disposition spéciale 293 b)</w:t>
      </w:r>
      <w:r w:rsidRPr="0059443A">
        <w:tab/>
      </w:r>
      <w:r>
        <w:tab/>
      </w:r>
      <w:r w:rsidRPr="0059443A">
        <w:t>La modification ne s’applique pas au texte français.</w:t>
      </w:r>
    </w:p>
    <w:p w14:paraId="3F53446B" w14:textId="77777777" w:rsidR="00196C06" w:rsidRDefault="00196C06" w:rsidP="00196C06">
      <w:pPr>
        <w:spacing w:before="120" w:after="120" w:line="240" w:lineRule="auto"/>
        <w:ind w:left="1134" w:right="1134"/>
        <w:jc w:val="both"/>
        <w:rPr>
          <w:lang w:val="fr-FR"/>
        </w:rPr>
      </w:pPr>
      <w:r>
        <w:rPr>
          <w:lang w:val="fr-FR"/>
        </w:rPr>
        <w:t>D</w:t>
      </w:r>
      <w:r w:rsidRPr="00F56315">
        <w:rPr>
          <w:lang w:val="fr-FR"/>
        </w:rPr>
        <w:t xml:space="preserve">isposition spéciale 296 </w:t>
      </w:r>
      <w:r w:rsidRPr="00F56315">
        <w:rPr>
          <w:lang w:val="fr-FR"/>
        </w:rPr>
        <w:tab/>
        <w:t xml:space="preserve">Dans le dernier paragraphe, </w:t>
      </w:r>
      <w:proofErr w:type="gramStart"/>
      <w:r w:rsidRPr="00F56315">
        <w:rPr>
          <w:lang w:val="fr-FR"/>
        </w:rPr>
        <w:t>remplacer</w:t>
      </w:r>
      <w:proofErr w:type="gramEnd"/>
      <w:r w:rsidRPr="00F56315">
        <w:rPr>
          <w:lang w:val="fr-FR"/>
        </w:rPr>
        <w:t xml:space="preserve"> «sans risque subsidiaire» par «sans danger subsidiaire»</w:t>
      </w:r>
      <w:r>
        <w:rPr>
          <w:lang w:val="fr-FR"/>
        </w:rPr>
        <w:t>.</w:t>
      </w:r>
    </w:p>
    <w:p w14:paraId="2C6D4E4A" w14:textId="7566021E" w:rsidR="00BE6A49" w:rsidRDefault="00BE6A49" w:rsidP="00BE6A49">
      <w:pPr>
        <w:pStyle w:val="SingleTxtG"/>
      </w:pPr>
      <w:r w:rsidRPr="00D0062E">
        <w:t>Disposition spéciale 301</w:t>
      </w:r>
      <w:r w:rsidRPr="00D0062E">
        <w:tab/>
        <w:t>Le premier amendement ne s’applique pas au texte français. Modifier la cinquième phrase pour lire comme suit: «Si les machines ou appareils contiennent plus d’un</w:t>
      </w:r>
      <w:r w:rsidR="00902691">
        <w:t>e</w:t>
      </w:r>
      <w:r w:rsidRPr="00D0062E">
        <w:t xml:space="preserve"> marchandise dangereuse, les matières doivent être enfermées individuellement de manière à ne pas pouvoir réagir dangereusement entre elles durant le transport (voir 4.1.1.6).». Supprimer la dernière phrase.</w:t>
      </w:r>
    </w:p>
    <w:p w14:paraId="457E88EA" w14:textId="77777777" w:rsidR="00196C06" w:rsidRDefault="00196C06" w:rsidP="00196C06">
      <w:pPr>
        <w:spacing w:before="120" w:after="120" w:line="240" w:lineRule="auto"/>
        <w:ind w:left="1134" w:right="1134"/>
        <w:jc w:val="both"/>
        <w:rPr>
          <w:i/>
          <w:iCs/>
        </w:rPr>
      </w:pPr>
      <w:r>
        <w:rPr>
          <w:lang w:val="fr-FR"/>
        </w:rPr>
        <w:t>Disposition spéciale 303</w:t>
      </w:r>
      <w:r>
        <w:rPr>
          <w:lang w:val="fr-FR"/>
        </w:rPr>
        <w:tab/>
        <w:t>Remplacer «risque subsidiaire» par «danger subsidiaire».</w:t>
      </w:r>
    </w:p>
    <w:p w14:paraId="7B314D9C" w14:textId="09DBCD80" w:rsidR="00D6244B" w:rsidRDefault="00D6244B" w:rsidP="00D6244B">
      <w:pPr>
        <w:pStyle w:val="SingleTxtG"/>
        <w:rPr>
          <w:lang w:val="fr-FR"/>
        </w:rPr>
      </w:pPr>
      <w:r>
        <w:rPr>
          <w:lang w:val="fr-FR"/>
        </w:rPr>
        <w:t>Disposition spéciale 307</w:t>
      </w:r>
      <w:r>
        <w:rPr>
          <w:lang w:val="fr-FR"/>
        </w:rPr>
        <w:tab/>
        <w:t>Modifier pour lire comme suit:</w:t>
      </w:r>
    </w:p>
    <w:p w14:paraId="50677041" w14:textId="34DF514C" w:rsidR="00D6244B" w:rsidRDefault="00D6244B" w:rsidP="00D6244B">
      <w:pPr>
        <w:pStyle w:val="SingleTxtG"/>
        <w:rPr>
          <w:lang w:val="fr-FR"/>
        </w:rPr>
      </w:pPr>
      <w:r>
        <w:rPr>
          <w:lang w:val="fr-FR"/>
        </w:rPr>
        <w:t>«</w:t>
      </w:r>
      <w:r w:rsidR="00145488">
        <w:rPr>
          <w:lang w:val="fr-FR"/>
        </w:rPr>
        <w:t>307</w:t>
      </w:r>
      <w:r w:rsidR="00145488">
        <w:rPr>
          <w:lang w:val="fr-FR"/>
        </w:rPr>
        <w:tab/>
      </w:r>
      <w:r>
        <w:t>Cette rubrique ne doit être utilisée que pour les engrais au nitrate d’ammonium. Ils doivent être classés conformément à la procédure définie dans le Manuel d’épreuves et de critères, troisième partie, section 39.</w:t>
      </w:r>
      <w:r>
        <w:rPr>
          <w:lang w:val="fr-FR"/>
        </w:rPr>
        <w:t>».</w:t>
      </w:r>
    </w:p>
    <w:p w14:paraId="0CDE0BD1" w14:textId="2A815603" w:rsidR="004215B9" w:rsidRDefault="006201FD" w:rsidP="004215B9">
      <w:pPr>
        <w:pStyle w:val="SingleTxtG"/>
        <w:rPr>
          <w:lang w:val="fr-FR"/>
        </w:rPr>
      </w:pPr>
      <w:r>
        <w:rPr>
          <w:lang w:val="fr-FR"/>
        </w:rPr>
        <w:t>Disposition spéciale 308</w:t>
      </w:r>
      <w:r w:rsidR="004215B9">
        <w:rPr>
          <w:lang w:val="fr-FR"/>
        </w:rPr>
        <w:tab/>
        <w:t>Modifier pour lire comme suit:</w:t>
      </w:r>
    </w:p>
    <w:p w14:paraId="3D77FCC2" w14:textId="77777777" w:rsidR="004215B9" w:rsidRDefault="004215B9" w:rsidP="004215B9">
      <w:pPr>
        <w:pStyle w:val="SingleTxtG"/>
        <w:rPr>
          <w:lang w:val="fr-FR"/>
        </w:rPr>
      </w:pPr>
      <w:r>
        <w:rPr>
          <w:lang w:val="fr-FR"/>
        </w:rPr>
        <w:t>«308</w:t>
      </w:r>
      <w:r>
        <w:rPr>
          <w:lang w:val="fr-FR"/>
        </w:rPr>
        <w:tab/>
      </w:r>
      <w:r w:rsidRPr="00BF7AA4">
        <w:rPr>
          <w:rFonts w:asciiTheme="majorBidi" w:hAnsiTheme="majorBidi" w:cstheme="majorBidi"/>
          <w:szCs w:val="24"/>
        </w:rPr>
        <w:t>Afin de prévenir toute combustion spontanée de la farine de poisson, il</w:t>
      </w:r>
      <w:r>
        <w:rPr>
          <w:rFonts w:asciiTheme="majorBidi" w:hAnsiTheme="majorBidi" w:cstheme="majorBidi"/>
          <w:szCs w:val="24"/>
        </w:rPr>
        <w:t xml:space="preserve"> </w:t>
      </w:r>
      <w:r w:rsidRPr="00BF7AA4">
        <w:rPr>
          <w:rFonts w:asciiTheme="majorBidi" w:hAnsiTheme="majorBidi" w:cstheme="majorBidi"/>
          <w:szCs w:val="24"/>
        </w:rPr>
        <w:t>faut la stabiliser par application efficace en cours de fabrication d’</w:t>
      </w:r>
      <w:proofErr w:type="spellStart"/>
      <w:r w:rsidRPr="00BF7AA4">
        <w:rPr>
          <w:rFonts w:asciiTheme="majorBidi" w:hAnsiTheme="majorBidi" w:cstheme="majorBidi"/>
          <w:szCs w:val="24"/>
        </w:rPr>
        <w:t>éthoxyquine</w:t>
      </w:r>
      <w:proofErr w:type="spellEnd"/>
      <w:r w:rsidRPr="00BF7AA4">
        <w:rPr>
          <w:rFonts w:asciiTheme="majorBidi" w:hAnsiTheme="majorBidi" w:cstheme="majorBidi"/>
          <w:szCs w:val="24"/>
        </w:rPr>
        <w:t xml:space="preserve">, de </w:t>
      </w:r>
      <w:proofErr w:type="spellStart"/>
      <w:r w:rsidRPr="00BF7AA4">
        <w:rPr>
          <w:rFonts w:asciiTheme="majorBidi" w:hAnsiTheme="majorBidi" w:cstheme="majorBidi"/>
          <w:szCs w:val="24"/>
        </w:rPr>
        <w:t>buthylhydroxytoluène</w:t>
      </w:r>
      <w:proofErr w:type="spellEnd"/>
      <w:r w:rsidRPr="00BF7AA4">
        <w:rPr>
          <w:rFonts w:asciiTheme="majorBidi" w:hAnsiTheme="majorBidi" w:cstheme="majorBidi"/>
          <w:szCs w:val="24"/>
        </w:rPr>
        <w:t xml:space="preserve"> (BHT) ou de tocophérols (également utilisés dans un mélange avec de l’extrait de romarin). La période écoulée entre cette application et l’expédition du produit ne doit pas dépasser 12 mois. Les déchets de poisson ou la farine de poisson doivent contenir au moins </w:t>
      </w:r>
      <w:r>
        <w:rPr>
          <w:rFonts w:asciiTheme="majorBidi" w:hAnsiTheme="majorBidi" w:cstheme="majorBidi"/>
          <w:szCs w:val="24"/>
        </w:rPr>
        <w:t>5</w:t>
      </w:r>
      <w:r w:rsidRPr="00BF7AA4">
        <w:rPr>
          <w:rFonts w:asciiTheme="majorBidi" w:hAnsiTheme="majorBidi" w:cstheme="majorBidi"/>
          <w:szCs w:val="24"/>
        </w:rPr>
        <w:t>0 ppm (mg/kg) d’</w:t>
      </w:r>
      <w:proofErr w:type="spellStart"/>
      <w:r w:rsidRPr="00BF7AA4">
        <w:rPr>
          <w:rFonts w:asciiTheme="majorBidi" w:hAnsiTheme="majorBidi" w:cstheme="majorBidi"/>
          <w:szCs w:val="24"/>
        </w:rPr>
        <w:t>éthoxyquine</w:t>
      </w:r>
      <w:proofErr w:type="spellEnd"/>
      <w:r>
        <w:rPr>
          <w:rFonts w:asciiTheme="majorBidi" w:hAnsiTheme="majorBidi" w:cstheme="majorBidi"/>
          <w:szCs w:val="24"/>
        </w:rPr>
        <w:t xml:space="preserve">, </w:t>
      </w:r>
      <w:r w:rsidRPr="00BF7AA4">
        <w:rPr>
          <w:rFonts w:asciiTheme="majorBidi" w:hAnsiTheme="majorBidi" w:cstheme="majorBidi"/>
          <w:szCs w:val="24"/>
        </w:rPr>
        <w:t xml:space="preserve">100 ppm (mg/kg) </w:t>
      </w:r>
      <w:r>
        <w:rPr>
          <w:rFonts w:asciiTheme="majorBidi" w:hAnsiTheme="majorBidi" w:cstheme="majorBidi"/>
          <w:szCs w:val="24"/>
        </w:rPr>
        <w:t>de BHT ou 250 ppm (mg/kg) d’antiox</w:t>
      </w:r>
      <w:r w:rsidRPr="00BF7AA4">
        <w:rPr>
          <w:rFonts w:asciiTheme="majorBidi" w:hAnsiTheme="majorBidi" w:cstheme="majorBidi"/>
          <w:szCs w:val="24"/>
        </w:rPr>
        <w:t>ydants</w:t>
      </w:r>
      <w:r>
        <w:rPr>
          <w:rFonts w:asciiTheme="majorBidi" w:hAnsiTheme="majorBidi" w:cstheme="majorBidi"/>
          <w:szCs w:val="24"/>
        </w:rPr>
        <w:t xml:space="preserve"> à base de tocophérol</w:t>
      </w:r>
      <w:r w:rsidRPr="00BF7AA4">
        <w:rPr>
          <w:rFonts w:asciiTheme="majorBidi" w:hAnsiTheme="majorBidi" w:cstheme="majorBidi"/>
          <w:szCs w:val="24"/>
        </w:rPr>
        <w:t xml:space="preserve"> au moment de l’expédition.</w:t>
      </w:r>
      <w:r>
        <w:rPr>
          <w:lang w:val="fr-FR"/>
        </w:rPr>
        <w:t>».</w:t>
      </w:r>
    </w:p>
    <w:p w14:paraId="101ADBE7" w14:textId="677E1C59" w:rsidR="004215B9" w:rsidRDefault="006201FD" w:rsidP="004215B9">
      <w:pPr>
        <w:pStyle w:val="SingleTxtG"/>
        <w:rPr>
          <w:lang w:val="fr-FR"/>
        </w:rPr>
      </w:pPr>
      <w:r>
        <w:rPr>
          <w:lang w:val="fr-FR"/>
        </w:rPr>
        <w:t>Disposition spéciale 310</w:t>
      </w:r>
      <w:r w:rsidR="004215B9">
        <w:rPr>
          <w:lang w:val="fr-FR"/>
        </w:rPr>
        <w:tab/>
      </w:r>
      <w:r w:rsidR="006A1BE3" w:rsidRPr="00E36427">
        <w:t xml:space="preserve">Dans le premier paragraphe, remplacer </w:t>
      </w:r>
      <w:r w:rsidR="006A1BE3">
        <w:t>«</w:t>
      </w:r>
      <w:r w:rsidR="006A1BE3" w:rsidRPr="00E36427">
        <w:t>piles et b</w:t>
      </w:r>
      <w:r w:rsidR="006A1BE3">
        <w:t>atteries</w:t>
      </w:r>
      <w:r w:rsidR="006A1BE3" w:rsidRPr="00E36427">
        <w:t xml:space="preserve">» par </w:t>
      </w:r>
      <w:r w:rsidR="006A1BE3">
        <w:t xml:space="preserve">«piles ou batteries» (deux fois) </w:t>
      </w:r>
      <w:r w:rsidR="006A1BE3">
        <w:rPr>
          <w:lang w:val="fr-FR"/>
        </w:rPr>
        <w:t>et</w:t>
      </w:r>
      <w:r w:rsidR="004215B9">
        <w:rPr>
          <w:lang w:val="fr-FR"/>
        </w:rPr>
        <w:t>, à la fin, ajouter «</w:t>
      </w:r>
      <w:r w:rsidR="004215B9">
        <w:t>ou LP905 du 4.1.4.3, selon les cas</w:t>
      </w:r>
      <w:r w:rsidR="004215B9">
        <w:rPr>
          <w:lang w:val="fr-FR"/>
        </w:rPr>
        <w:t>».</w:t>
      </w:r>
    </w:p>
    <w:p w14:paraId="4CBD8277" w14:textId="141AF79B" w:rsidR="00AF7202" w:rsidRPr="0059443A" w:rsidRDefault="00AF7202" w:rsidP="00AF7202">
      <w:pPr>
        <w:pStyle w:val="SingleTxtG"/>
        <w:rPr>
          <w:lang w:val="fr-FR"/>
        </w:rPr>
      </w:pPr>
      <w:r w:rsidRPr="0059443A">
        <w:rPr>
          <w:lang w:val="fr-FR"/>
        </w:rPr>
        <w:t>Suppr</w:t>
      </w:r>
      <w:r>
        <w:rPr>
          <w:lang w:val="fr-FR"/>
        </w:rPr>
        <w:t xml:space="preserve">imer la disposition spéciale 312 </w:t>
      </w:r>
      <w:r w:rsidRPr="0059443A">
        <w:rPr>
          <w:lang w:val="fr-FR"/>
        </w:rPr>
        <w:t>et ajouter: «312</w:t>
      </w:r>
      <w:r w:rsidRPr="0059443A">
        <w:rPr>
          <w:lang w:val="fr-FR"/>
        </w:rPr>
        <w:tab/>
      </w:r>
      <w:r w:rsidRPr="0059443A">
        <w:rPr>
          <w:i/>
          <w:lang w:val="fr-FR"/>
        </w:rPr>
        <w:t>(Supprimé)</w:t>
      </w:r>
      <w:r w:rsidRPr="0059443A">
        <w:rPr>
          <w:lang w:val="fr-FR"/>
        </w:rPr>
        <w:t>».</w:t>
      </w:r>
    </w:p>
    <w:p w14:paraId="0360766D" w14:textId="6284089C" w:rsidR="00196C06" w:rsidRDefault="00196C06" w:rsidP="00196C06">
      <w:pPr>
        <w:spacing w:before="120" w:after="120" w:line="240" w:lineRule="auto"/>
        <w:ind w:left="1134" w:right="1134"/>
        <w:jc w:val="both"/>
        <w:rPr>
          <w:lang w:val="fr-FR"/>
        </w:rPr>
      </w:pPr>
      <w:r>
        <w:rPr>
          <w:lang w:val="fr-FR"/>
        </w:rPr>
        <w:t>Disposition spéciale 339 b)</w:t>
      </w:r>
      <w:r>
        <w:rPr>
          <w:lang w:val="fr-FR"/>
        </w:rPr>
        <w:tab/>
      </w:r>
      <w:r>
        <w:rPr>
          <w:lang w:val="fr-FR"/>
        </w:rPr>
        <w:tab/>
        <w:t>Remplacer «risques potentiels» par «dangers potentiels».</w:t>
      </w:r>
    </w:p>
    <w:p w14:paraId="29543207" w14:textId="77777777" w:rsidR="00196C06" w:rsidRDefault="00196C06" w:rsidP="00196C06">
      <w:pPr>
        <w:spacing w:before="120" w:after="120" w:line="240" w:lineRule="auto"/>
        <w:ind w:left="1134" w:right="1134"/>
        <w:jc w:val="both"/>
        <w:rPr>
          <w:lang w:val="fr-FR"/>
        </w:rPr>
      </w:pPr>
      <w:r>
        <w:t>Disposition</w:t>
      </w:r>
      <w:r>
        <w:rPr>
          <w:lang w:val="fr-FR"/>
        </w:rPr>
        <w:t xml:space="preserve"> spéciale 361 b)</w:t>
      </w:r>
      <w:r>
        <w:rPr>
          <w:lang w:val="fr-FR"/>
        </w:rPr>
        <w:tab/>
      </w:r>
      <w:r>
        <w:rPr>
          <w:lang w:val="fr-FR"/>
        </w:rPr>
        <w:tab/>
        <w:t>Remplacer «risque potentiel» par «danger potentiel».</w:t>
      </w:r>
    </w:p>
    <w:p w14:paraId="6723AA5C" w14:textId="63FB90E9" w:rsidR="00196C06" w:rsidRPr="001F7C6C" w:rsidRDefault="00196C06" w:rsidP="00196C06">
      <w:pPr>
        <w:spacing w:before="120" w:after="120" w:line="240" w:lineRule="auto"/>
        <w:ind w:left="1134" w:right="1134"/>
        <w:jc w:val="both"/>
        <w:rPr>
          <w:lang w:eastAsia="en-GB"/>
        </w:rPr>
      </w:pPr>
      <w:r w:rsidRPr="001F7C6C">
        <w:t xml:space="preserve">Disposition spéciale 362 b) </w:t>
      </w:r>
      <w:r>
        <w:tab/>
      </w:r>
      <w:r w:rsidR="00CB7CDD">
        <w:tab/>
      </w:r>
      <w:r w:rsidRPr="001F7C6C">
        <w:rPr>
          <w:lang w:eastAsia="en-GB"/>
        </w:rPr>
        <w:t>Remplacer «risque» par «danger».</w:t>
      </w:r>
    </w:p>
    <w:p w14:paraId="123B562E" w14:textId="77777777" w:rsidR="00196C06" w:rsidRPr="0059443A" w:rsidRDefault="00196C06" w:rsidP="00196C06">
      <w:pPr>
        <w:spacing w:before="120" w:after="120" w:line="240" w:lineRule="auto"/>
        <w:ind w:left="1134" w:right="1134"/>
        <w:jc w:val="both"/>
        <w:rPr>
          <w:lang w:eastAsia="en-GB"/>
        </w:rPr>
      </w:pPr>
      <w:r w:rsidRPr="0059443A">
        <w:rPr>
          <w:lang w:eastAsia="en-GB"/>
        </w:rPr>
        <w:t>Disposition spéciale 362 c)</w:t>
      </w:r>
      <w:r w:rsidRPr="0059443A">
        <w:rPr>
          <w:lang w:eastAsia="en-GB"/>
        </w:rPr>
        <w:tab/>
      </w:r>
      <w:r>
        <w:rPr>
          <w:lang w:eastAsia="en-GB"/>
        </w:rPr>
        <w:tab/>
      </w:r>
      <w:r w:rsidRPr="0059443A">
        <w:rPr>
          <w:lang w:eastAsia="en-GB"/>
        </w:rPr>
        <w:t>Remplacer «risque» par «danger».</w:t>
      </w:r>
    </w:p>
    <w:p w14:paraId="256063E2" w14:textId="77777777" w:rsidR="00196C06" w:rsidRPr="0059443A" w:rsidRDefault="00196C06" w:rsidP="00196C06">
      <w:pPr>
        <w:pStyle w:val="SingleTxtG"/>
        <w:rPr>
          <w:lang w:val="fr-FR"/>
        </w:rPr>
      </w:pPr>
      <w:r w:rsidRPr="0059443A">
        <w:rPr>
          <w:lang w:val="fr-FR"/>
        </w:rPr>
        <w:t>Disposition spéciale 363</w:t>
      </w:r>
      <w:r w:rsidRPr="0059443A">
        <w:rPr>
          <w:lang w:val="fr-FR"/>
        </w:rPr>
        <w:tab/>
        <w:t xml:space="preserve">Ajouter la nouvelle phrase introductive au début: «Cette rubrique peut être utilisée uniquement lorsque les conditions de la présente disposition spéciale sont remplies. Aucune autre prescription du présent Règlement ne s’applique.». </w:t>
      </w:r>
    </w:p>
    <w:p w14:paraId="476EB85D" w14:textId="77777777" w:rsidR="00196C06" w:rsidRPr="0059443A" w:rsidRDefault="00196C06" w:rsidP="00196C06">
      <w:pPr>
        <w:pStyle w:val="SingleTxtG"/>
        <w:rPr>
          <w:lang w:val="fr-FR"/>
        </w:rPr>
      </w:pPr>
      <w:r w:rsidRPr="0059443A">
        <w:rPr>
          <w:lang w:val="fr-FR"/>
        </w:rPr>
        <w:t>Disposition spéciale 363 f)</w:t>
      </w:r>
      <w:r w:rsidRPr="0059443A">
        <w:rPr>
          <w:lang w:val="fr-FR"/>
        </w:rPr>
        <w:tab/>
      </w:r>
      <w:r>
        <w:rPr>
          <w:lang w:val="fr-FR"/>
        </w:rPr>
        <w:tab/>
      </w:r>
      <w:r w:rsidRPr="0059443A">
        <w:rPr>
          <w:lang w:val="fr-FR"/>
        </w:rPr>
        <w:t>Remplacer la dernière phrase par le texte suivant:</w:t>
      </w:r>
    </w:p>
    <w:p w14:paraId="7DA39D6D" w14:textId="77777777" w:rsidR="00196C06" w:rsidRPr="0059443A" w:rsidRDefault="00196C06" w:rsidP="00196C06">
      <w:pPr>
        <w:spacing w:before="120" w:after="120" w:line="240" w:lineRule="auto"/>
        <w:ind w:left="1134" w:right="1134"/>
        <w:jc w:val="both"/>
        <w:rPr>
          <w:iCs/>
          <w:lang w:val="fr-FR"/>
        </w:rPr>
      </w:pPr>
      <w:r w:rsidRPr="0059443A">
        <w:rPr>
          <w:lang w:val="fr-FR"/>
        </w:rPr>
        <w:t>«</w:t>
      </w:r>
      <w:r w:rsidRPr="0059443A">
        <w:rPr>
          <w:iCs/>
          <w:lang w:val="fr-FR"/>
        </w:rPr>
        <w:t>Cependant, les piles ou batteries au lithium doivent satisfaire aux prescriptions du 2.9.4 excepté que le 2.9.4 (a) ne s'applique pas quand des piles ou batteries prototypes de pré-production ou des piles ou batteries d'une petite série de production comprenant au plus 100 piles ou batteries sont installées dans les moteurs ou machines.</w:t>
      </w:r>
    </w:p>
    <w:p w14:paraId="08DB500B" w14:textId="77777777" w:rsidR="00196C06" w:rsidRPr="0059443A" w:rsidRDefault="00196C06" w:rsidP="00196C06">
      <w:pPr>
        <w:pStyle w:val="SingleTxtG"/>
        <w:rPr>
          <w:lang w:val="fr-FR"/>
        </w:rPr>
      </w:pPr>
      <w:r w:rsidRPr="0059443A">
        <w:rPr>
          <w:iCs/>
          <w:lang w:val="fr-FR"/>
        </w:rPr>
        <w:lastRenderedPageBreak/>
        <w:t>Quand une pile ou batterie au lithium installée dans un moteur ou une machine est endommagée ou défectueuse, le moteur ou la machine doit être transporté tel que défini par l'autorité compétente.</w:t>
      </w:r>
      <w:r w:rsidRPr="0059443A">
        <w:rPr>
          <w:lang w:val="fr-FR"/>
        </w:rPr>
        <w:t>».</w:t>
      </w:r>
    </w:p>
    <w:p w14:paraId="1ED8981D" w14:textId="77777777" w:rsidR="00196C06" w:rsidRPr="0059443A" w:rsidRDefault="00196C06" w:rsidP="00196C06">
      <w:pPr>
        <w:pStyle w:val="SingleTxtG"/>
        <w:rPr>
          <w:lang w:val="fr-FR"/>
        </w:rPr>
      </w:pPr>
      <w:r w:rsidRPr="0059443A">
        <w:rPr>
          <w:lang w:val="fr-FR"/>
        </w:rPr>
        <w:t>Disposition spéciale 363</w:t>
      </w:r>
      <w:r w:rsidRPr="0059443A">
        <w:rPr>
          <w:lang w:val="fr-FR"/>
        </w:rPr>
        <w:tab/>
        <w:t xml:space="preserve">Supprimer le texte introductif de l’alinéa g). Les alinéas i) à vi) sont renommés alinéas g) à </w:t>
      </w:r>
      <w:r w:rsidRPr="0059443A">
        <w:rPr>
          <w:i/>
          <w:lang w:val="fr-FR"/>
        </w:rPr>
        <w:t>l</w:t>
      </w:r>
      <w:r w:rsidRPr="0059443A">
        <w:rPr>
          <w:lang w:val="fr-FR"/>
        </w:rPr>
        <w:t>). Ajouter un nouvel alinéa m) pour lire comme suit:</w:t>
      </w:r>
      <w:r w:rsidRPr="0059443A">
        <w:rPr>
          <w:lang w:val="fr-FR"/>
        </w:rPr>
        <w:tab/>
      </w:r>
    </w:p>
    <w:p w14:paraId="76505970" w14:textId="07ADAF9C" w:rsidR="00196C06" w:rsidRPr="0059443A" w:rsidRDefault="00116131" w:rsidP="00196C06">
      <w:pPr>
        <w:pStyle w:val="SingleTxtG"/>
        <w:rPr>
          <w:lang w:val="fr-FR"/>
        </w:rPr>
      </w:pPr>
      <w:r>
        <w:rPr>
          <w:lang w:val="fr-FR"/>
        </w:rPr>
        <w:t>«</w:t>
      </w:r>
      <w:proofErr w:type="gramStart"/>
      <w:r w:rsidR="00196C06" w:rsidRPr="0059443A">
        <w:rPr>
          <w:lang w:val="fr-FR"/>
        </w:rPr>
        <w:t>m</w:t>
      </w:r>
      <w:proofErr w:type="gramEnd"/>
      <w:r w:rsidR="00196C06" w:rsidRPr="0059443A">
        <w:rPr>
          <w:lang w:val="fr-FR"/>
        </w:rPr>
        <w:t>)</w:t>
      </w:r>
      <w:r w:rsidR="00196C06" w:rsidRPr="0059443A">
        <w:rPr>
          <w:lang w:val="fr-FR"/>
        </w:rPr>
        <w:tab/>
        <w:t>Les prescriptions de l’instruction d’emballage P005 du 4</w:t>
      </w:r>
      <w:r>
        <w:rPr>
          <w:lang w:val="fr-FR"/>
        </w:rPr>
        <w:t>.1.4.1 doivent être appliquées.»</w:t>
      </w:r>
      <w:r w:rsidR="00196C06" w:rsidRPr="0059443A">
        <w:rPr>
          <w:lang w:val="fr-FR"/>
        </w:rPr>
        <w:t>.</w:t>
      </w:r>
    </w:p>
    <w:p w14:paraId="7CF776F5" w14:textId="77777777" w:rsidR="00196C06" w:rsidRPr="0059443A" w:rsidRDefault="00196C06" w:rsidP="00196C06">
      <w:pPr>
        <w:spacing w:before="120" w:after="120" w:line="240" w:lineRule="auto"/>
        <w:ind w:left="1134" w:right="1134"/>
        <w:jc w:val="both"/>
        <w:rPr>
          <w:lang w:eastAsia="en-GB"/>
        </w:rPr>
      </w:pPr>
      <w:r w:rsidRPr="0059443A">
        <w:rPr>
          <w:lang w:eastAsia="en-GB"/>
        </w:rPr>
        <w:t>Disposition spéciale 369</w:t>
      </w:r>
      <w:r w:rsidRPr="0059443A">
        <w:rPr>
          <w:lang w:eastAsia="en-GB"/>
        </w:rPr>
        <w:tab/>
        <w:t>Remplacer «risques» par «dangers» dans le premier paragraphe et remplacer «risque» par «danger» dans le troisième paragraphe.</w:t>
      </w:r>
    </w:p>
    <w:p w14:paraId="34C9A5D5" w14:textId="1471DA79" w:rsidR="00E93B06" w:rsidRPr="00484762" w:rsidRDefault="00E93B06" w:rsidP="00E93B06">
      <w:pPr>
        <w:pStyle w:val="SingleTxtG"/>
        <w:rPr>
          <w:lang w:val="fr-FR"/>
        </w:rPr>
      </w:pPr>
      <w:r w:rsidRPr="00C64110">
        <w:rPr>
          <w:lang w:val="fr-FR"/>
        </w:rPr>
        <w:t xml:space="preserve">Disposition spéciale 376 </w:t>
      </w:r>
      <w:r w:rsidRPr="00C64110">
        <w:rPr>
          <w:lang w:val="fr-FR"/>
        </w:rPr>
        <w:tab/>
      </w:r>
      <w:r w:rsidRPr="00484762">
        <w:rPr>
          <w:lang w:val="fr-FR"/>
        </w:rPr>
        <w:t xml:space="preserve">Modifier le texte après les 3 premiers paragraphes </w:t>
      </w:r>
      <w:r>
        <w:rPr>
          <w:lang w:val="fr-FR"/>
        </w:rPr>
        <w:t>et le Nota pour lire comme suit:</w:t>
      </w:r>
      <w:r w:rsidRPr="00484762">
        <w:rPr>
          <w:lang w:val="fr-FR"/>
        </w:rPr>
        <w:t xml:space="preserve"> </w:t>
      </w:r>
    </w:p>
    <w:p w14:paraId="36EB9EC4" w14:textId="77777777" w:rsidR="00E93B06" w:rsidRPr="00484762" w:rsidRDefault="00E93B06" w:rsidP="00E93B06">
      <w:pPr>
        <w:pStyle w:val="SingleTxtG"/>
        <w:rPr>
          <w:lang w:val="fr-FR"/>
        </w:rPr>
      </w:pPr>
      <w:r>
        <w:rPr>
          <w:lang w:val="fr-FR"/>
        </w:rPr>
        <w:t>«</w:t>
      </w:r>
      <w:r w:rsidRPr="00484762">
        <w:rPr>
          <w:lang w:val="fr-FR"/>
        </w:rPr>
        <w:t>Les piles et batteries doivent être emballées conformément aux instructions d’emballage P908 du 4.1.4.1 ou LP904 du 4.1.4.3, selon les cas.</w:t>
      </w:r>
    </w:p>
    <w:p w14:paraId="08369C80" w14:textId="77777777" w:rsidR="00E93B06" w:rsidRPr="00484762" w:rsidRDefault="00E93B06" w:rsidP="00E93B06">
      <w:pPr>
        <w:pStyle w:val="SingleTxtG"/>
        <w:rPr>
          <w:lang w:val="fr-FR"/>
        </w:rPr>
      </w:pPr>
      <w:r w:rsidRPr="00484762">
        <w:rPr>
          <w:lang w:val="fr-FR"/>
        </w:rPr>
        <w:tab/>
        <w:t xml:space="preserve">Les piles et batteries </w:t>
      </w:r>
      <w:r w:rsidRPr="006535B1">
        <w:rPr>
          <w:szCs w:val="22"/>
        </w:rPr>
        <w:t>identifiées comme endommagées ou défectueuses</w:t>
      </w:r>
      <w:r w:rsidRPr="00484762">
        <w:rPr>
          <w:lang w:val="fr-FR"/>
        </w:rPr>
        <w:t xml:space="preserve"> </w:t>
      </w:r>
      <w:r>
        <w:rPr>
          <w:lang w:val="fr-FR"/>
        </w:rPr>
        <w:t xml:space="preserve">et </w:t>
      </w:r>
      <w:r w:rsidRPr="00484762">
        <w:rPr>
          <w:lang w:val="fr-FR"/>
        </w:rPr>
        <w:t xml:space="preserve">susceptibles de se démonter rapidement, de réagir dangereusement, de produire une flamme ou un dangereux dégagement de chaleur ou une émission de gaz ou de vapeur toxiques, corrosifs ou inflammables, dans les conditions normales de transport doivent être </w:t>
      </w:r>
      <w:r>
        <w:rPr>
          <w:lang w:val="fr-FR"/>
        </w:rPr>
        <w:t xml:space="preserve">emballées et </w:t>
      </w:r>
      <w:r w:rsidRPr="00484762">
        <w:rPr>
          <w:lang w:val="fr-FR"/>
        </w:rPr>
        <w:t>transportées</w:t>
      </w:r>
      <w:r>
        <w:rPr>
          <w:lang w:val="fr-FR"/>
        </w:rPr>
        <w:t xml:space="preserve"> </w:t>
      </w:r>
      <w:r w:rsidRPr="00484762">
        <w:rPr>
          <w:lang w:val="fr-FR"/>
        </w:rPr>
        <w:t xml:space="preserve">conformément aux instructions d’emballage </w:t>
      </w:r>
      <w:r>
        <w:rPr>
          <w:lang w:val="fr-FR"/>
        </w:rPr>
        <w:t>P911 du 4.1.4.1 ou LP906</w:t>
      </w:r>
      <w:r w:rsidRPr="00484762">
        <w:rPr>
          <w:lang w:val="fr-FR"/>
        </w:rPr>
        <w:t xml:space="preserve"> du 4.1.4.3, selon les cas.</w:t>
      </w:r>
      <w:r>
        <w:rPr>
          <w:lang w:val="fr-FR"/>
        </w:rPr>
        <w:t xml:space="preserve"> L’autorité compétente peut autoriser des conditions d’emballage ou de transport alternatives.</w:t>
      </w:r>
    </w:p>
    <w:p w14:paraId="321E7F11" w14:textId="77777777" w:rsidR="00E93B06" w:rsidRDefault="00E93B06" w:rsidP="00E93B06">
      <w:pPr>
        <w:pStyle w:val="SingleTxtG"/>
        <w:rPr>
          <w:lang w:val="fr-FR"/>
        </w:rPr>
      </w:pPr>
      <w:r w:rsidRPr="00484762">
        <w:tab/>
      </w:r>
      <w:r w:rsidRPr="00484762">
        <w:rPr>
          <w:lang w:val="fr-FR"/>
        </w:rPr>
        <w:t>Les colis doivent porter l’indication "ENDOMMAGÉES/DÉFECTUEUSES"</w:t>
      </w:r>
      <w:r>
        <w:rPr>
          <w:lang w:val="fr-FR"/>
        </w:rPr>
        <w:t xml:space="preserve"> en plus de la désignation officielle de transport tel qu’il est indiqué au 5.2.1.</w:t>
      </w:r>
    </w:p>
    <w:p w14:paraId="56FD7B3A" w14:textId="77777777" w:rsidR="00E93B06" w:rsidRDefault="00E93B06" w:rsidP="00E93B06">
      <w:pPr>
        <w:pStyle w:val="SingleTxtG"/>
        <w:rPr>
          <w:szCs w:val="22"/>
        </w:rPr>
      </w:pPr>
      <w:r w:rsidRPr="001219D5">
        <w:rPr>
          <w:szCs w:val="22"/>
        </w:rPr>
        <w:t xml:space="preserve">Le document de transport </w:t>
      </w:r>
      <w:r>
        <w:rPr>
          <w:szCs w:val="22"/>
        </w:rPr>
        <w:t>doit contenir</w:t>
      </w:r>
      <w:r w:rsidRPr="001219D5">
        <w:rPr>
          <w:szCs w:val="22"/>
        </w:rPr>
        <w:t xml:space="preserve"> la mention suivante: "Transport </w:t>
      </w:r>
      <w:r>
        <w:rPr>
          <w:szCs w:val="22"/>
        </w:rPr>
        <w:t>selon</w:t>
      </w:r>
      <w:r w:rsidRPr="001219D5">
        <w:rPr>
          <w:szCs w:val="22"/>
        </w:rPr>
        <w:t xml:space="preserve"> la disposition spéciale 37</w:t>
      </w:r>
      <w:r>
        <w:rPr>
          <w:szCs w:val="22"/>
        </w:rPr>
        <w:t>6</w:t>
      </w:r>
      <w:r w:rsidRPr="001219D5">
        <w:rPr>
          <w:szCs w:val="22"/>
        </w:rPr>
        <w:t>".</w:t>
      </w:r>
    </w:p>
    <w:p w14:paraId="556D47EC" w14:textId="77777777" w:rsidR="00E93B06" w:rsidRPr="006530EC" w:rsidRDefault="00E93B06" w:rsidP="00E93B06">
      <w:pPr>
        <w:pStyle w:val="SingleTxtG"/>
        <w:rPr>
          <w:szCs w:val="22"/>
        </w:rPr>
      </w:pPr>
      <w:r>
        <w:rPr>
          <w:szCs w:val="22"/>
        </w:rPr>
        <w:t>Le cas échéant, le transport doit être accompagné d’une copie de l’agrément de l’autorité compétente.».</w:t>
      </w:r>
    </w:p>
    <w:p w14:paraId="47C5C7F8" w14:textId="2E63A784" w:rsidR="00AF7202" w:rsidRPr="0059443A" w:rsidRDefault="00AF7202" w:rsidP="00AF7202">
      <w:pPr>
        <w:pStyle w:val="SingleTxtG"/>
        <w:rPr>
          <w:lang w:val="fr-FR"/>
        </w:rPr>
      </w:pPr>
      <w:r w:rsidRPr="0059443A">
        <w:rPr>
          <w:lang w:val="fr-FR"/>
        </w:rPr>
        <w:t>Suppr</w:t>
      </w:r>
      <w:r>
        <w:rPr>
          <w:lang w:val="fr-FR"/>
        </w:rPr>
        <w:t>imer les dispositions spéciales</w:t>
      </w:r>
      <w:r w:rsidRPr="0059443A">
        <w:rPr>
          <w:lang w:val="fr-FR"/>
        </w:rPr>
        <w:t xml:space="preserve"> 380 et 385 et ajouter: </w:t>
      </w:r>
    </w:p>
    <w:p w14:paraId="3E66EAFD" w14:textId="2FD74F59" w:rsidR="00AF7202" w:rsidRPr="0059443A" w:rsidRDefault="00AF7202" w:rsidP="00AF7202">
      <w:pPr>
        <w:pStyle w:val="SingleTxtG"/>
        <w:rPr>
          <w:lang w:val="fr-FR"/>
        </w:rPr>
      </w:pPr>
      <w:r w:rsidRPr="0059443A">
        <w:rPr>
          <w:lang w:val="fr-FR"/>
        </w:rPr>
        <w:t>«380</w:t>
      </w:r>
      <w:r w:rsidRPr="0059443A">
        <w:rPr>
          <w:lang w:val="fr-FR"/>
        </w:rPr>
        <w:tab/>
      </w:r>
      <w:r w:rsidRPr="0059443A">
        <w:rPr>
          <w:i/>
          <w:lang w:val="fr-FR"/>
        </w:rPr>
        <w:t>(Supprimé)</w:t>
      </w:r>
      <w:r w:rsidRPr="0059443A">
        <w:rPr>
          <w:lang w:val="fr-FR"/>
        </w:rPr>
        <w:t>».</w:t>
      </w:r>
    </w:p>
    <w:p w14:paraId="0D51D32A" w14:textId="77777777" w:rsidR="00AF7202" w:rsidRPr="0059443A" w:rsidRDefault="00AF7202" w:rsidP="00AF7202">
      <w:pPr>
        <w:pStyle w:val="SingleTxtG"/>
        <w:rPr>
          <w:lang w:val="fr-FR"/>
        </w:rPr>
      </w:pPr>
      <w:r w:rsidRPr="0059443A">
        <w:rPr>
          <w:lang w:val="fr-FR"/>
        </w:rPr>
        <w:t>«385</w:t>
      </w:r>
      <w:r w:rsidRPr="0059443A">
        <w:rPr>
          <w:lang w:val="fr-FR"/>
        </w:rPr>
        <w:tab/>
      </w:r>
      <w:r w:rsidRPr="0059443A">
        <w:rPr>
          <w:i/>
          <w:lang w:val="fr-FR"/>
        </w:rPr>
        <w:t>(Supprimé)</w:t>
      </w:r>
      <w:r w:rsidRPr="0059443A">
        <w:rPr>
          <w:lang w:val="fr-FR"/>
        </w:rPr>
        <w:t>».</w:t>
      </w:r>
    </w:p>
    <w:p w14:paraId="1D8220B8" w14:textId="640BF7D8" w:rsidR="008D7987" w:rsidRDefault="008D7987" w:rsidP="00196C06">
      <w:pPr>
        <w:pStyle w:val="SingleTxtG"/>
        <w:rPr>
          <w:lang w:val="fr-FR"/>
        </w:rPr>
      </w:pPr>
      <w:r w:rsidRPr="00C64110">
        <w:rPr>
          <w:lang w:val="fr-FR"/>
        </w:rPr>
        <w:t xml:space="preserve">Disposition spéciale 386 </w:t>
      </w:r>
      <w:r w:rsidRPr="00C64110">
        <w:rPr>
          <w:lang w:val="fr-FR"/>
        </w:rPr>
        <w:tab/>
        <w:t xml:space="preserve">Dans la première phrase, </w:t>
      </w:r>
      <w:proofErr w:type="gramStart"/>
      <w:r w:rsidRPr="00C64110">
        <w:rPr>
          <w:lang w:val="fr-FR"/>
        </w:rPr>
        <w:t>remplacer</w:t>
      </w:r>
      <w:proofErr w:type="gramEnd"/>
      <w:r w:rsidRPr="00C64110">
        <w:rPr>
          <w:lang w:val="fr-FR"/>
        </w:rPr>
        <w:t xml:space="preserve"> «7.1.6» par «7.1.5».</w:t>
      </w:r>
      <w:r>
        <w:rPr>
          <w:lang w:val="fr-FR"/>
        </w:rPr>
        <w:t xml:space="preserve"> </w:t>
      </w:r>
    </w:p>
    <w:p w14:paraId="31EAA6ED" w14:textId="4E0E8145" w:rsidR="00196C06" w:rsidRPr="0059443A" w:rsidRDefault="00196C06" w:rsidP="00196C06">
      <w:pPr>
        <w:pStyle w:val="SingleTxtG"/>
        <w:rPr>
          <w:iCs/>
          <w:lang w:val="fr-FR"/>
        </w:rPr>
      </w:pPr>
      <w:r>
        <w:rPr>
          <w:iCs/>
          <w:lang w:val="fr-FR"/>
        </w:rPr>
        <w:t xml:space="preserve">3.3.1 </w:t>
      </w:r>
      <w:r w:rsidRPr="0059443A">
        <w:rPr>
          <w:iCs/>
          <w:lang w:val="fr-FR"/>
        </w:rPr>
        <w:t>Ajouter les nouvelles dispositions spéciales suivantes:</w:t>
      </w:r>
    </w:p>
    <w:p w14:paraId="12128D38" w14:textId="0FB4EE89" w:rsidR="00196C06" w:rsidRPr="0059443A" w:rsidRDefault="00196C06" w:rsidP="00196C06">
      <w:pPr>
        <w:pStyle w:val="SingleTxtG"/>
        <w:rPr>
          <w:i/>
        </w:rPr>
      </w:pPr>
      <w:r w:rsidRPr="0059443A">
        <w:rPr>
          <w:lang w:val="fr-FR"/>
        </w:rPr>
        <w:t>«387</w:t>
      </w:r>
      <w:r w:rsidRPr="0059443A">
        <w:rPr>
          <w:lang w:val="fr-FR"/>
        </w:rPr>
        <w:tab/>
        <w:t>Les batteries au lithium conformes au 2.9.4 f), contenant à la fois des piles primaires au lithium métal et des piles au lithium ionique rechargeables, doivent être affectées aux Nos ONU 3090 ou 3091 selon le cas. Lorsque ces batteries sont transportées conformément à la disposition spéciale 188, la teneur totale en lithium de toutes les piles au lithium métal contenues dans la batterie ne doit pas dépasser 1,5 g et la capacité totale de toutes les piles au lithium ionique contenues dans la batterie ne doit pas dépasser 10 Wh.».</w:t>
      </w:r>
    </w:p>
    <w:p w14:paraId="2AB82524" w14:textId="1886BD5F" w:rsidR="00196C06" w:rsidRPr="0059443A" w:rsidRDefault="00196C06" w:rsidP="00196C06">
      <w:pPr>
        <w:spacing w:before="120" w:after="120" w:line="240" w:lineRule="auto"/>
        <w:ind w:left="1134" w:right="1134"/>
        <w:jc w:val="both"/>
        <w:rPr>
          <w:iCs/>
          <w:lang w:val="fr-FR"/>
        </w:rPr>
      </w:pPr>
      <w:r w:rsidRPr="0059443A">
        <w:rPr>
          <w:iCs/>
          <w:lang w:val="fr-FR"/>
        </w:rPr>
        <w:t>«388</w:t>
      </w:r>
      <w:r w:rsidRPr="0059443A">
        <w:rPr>
          <w:iCs/>
          <w:lang w:val="fr-FR"/>
        </w:rPr>
        <w:tab/>
        <w:t>La rubrique ONU 3166 s’applique aux véhicules mus par un moteur à combustion interne ou une pile à combustible fonctionnant au moyen d’un liquide inflammable ou d’un gaz inflammable.</w:t>
      </w:r>
    </w:p>
    <w:p w14:paraId="7575A43A" w14:textId="77777777" w:rsidR="00196C06" w:rsidRPr="0059443A" w:rsidRDefault="00196C06" w:rsidP="00196C06">
      <w:pPr>
        <w:spacing w:before="120" w:after="120" w:line="240" w:lineRule="auto"/>
        <w:ind w:left="1134" w:right="1134"/>
        <w:jc w:val="both"/>
        <w:rPr>
          <w:iCs/>
          <w:lang w:val="fr-FR"/>
        </w:rPr>
      </w:pPr>
      <w:r w:rsidRPr="0059443A">
        <w:rPr>
          <w:iCs/>
          <w:lang w:val="fr-FR"/>
        </w:rPr>
        <w:t xml:space="preserve">Les véhicules propulsés par un moteur pile à combustible doivent être expédiés sous les rubriques ONU 3166 VÉHICULE À PROPULSION PAR PILE À COMBUSTIBLE CONTENANT DU GAZ INFLAMMABLE ou ONU 3166 VÉHICULE À PROPULSION PAR PILE À COMBUSTIBLE CONTENANT DU LIQUIDE INFLAMMABLE, selon qu’il convient. Ces rubriques incluent les véhicules électriques hybrides propulsés à la fois </w:t>
      </w:r>
      <w:r w:rsidRPr="0059443A">
        <w:rPr>
          <w:iCs/>
          <w:lang w:val="fr-FR"/>
        </w:rPr>
        <w:lastRenderedPageBreak/>
        <w:t>par une pile à combustible et par un moteur à combustion interne avec des accumulateurs à électrolyte liquide ou des batteries au sodium, au lithium métal ou au lithium ionique, transportés avec ces accumulateurs ou batteries installés.</w:t>
      </w:r>
    </w:p>
    <w:p w14:paraId="3D2A3038" w14:textId="77777777" w:rsidR="00196C06" w:rsidRPr="0059443A" w:rsidRDefault="00196C06" w:rsidP="00196C06">
      <w:pPr>
        <w:spacing w:before="120" w:after="120" w:line="240" w:lineRule="auto"/>
        <w:ind w:left="1134" w:right="1134"/>
        <w:jc w:val="both"/>
        <w:rPr>
          <w:iCs/>
          <w:lang w:val="fr-FR"/>
        </w:rPr>
      </w:pPr>
      <w:r w:rsidRPr="0059443A">
        <w:rPr>
          <w:iCs/>
          <w:lang w:val="fr-FR"/>
        </w:rPr>
        <w:t>Les autres véhicules comportant un moteur à combustion interne doivent être expédiés sous les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14:paraId="1688A498" w14:textId="77777777" w:rsidR="00196C06" w:rsidRPr="0059443A" w:rsidRDefault="00196C06" w:rsidP="00196C06">
      <w:pPr>
        <w:spacing w:before="120" w:after="120" w:line="240" w:lineRule="auto"/>
        <w:ind w:left="1134" w:right="1134"/>
        <w:jc w:val="both"/>
        <w:rPr>
          <w:iCs/>
          <w:lang w:val="fr-FR"/>
        </w:rPr>
      </w:pPr>
      <w:r w:rsidRPr="0059443A">
        <w:rPr>
          <w:iCs/>
          <w:lang w:val="fr-FR"/>
        </w:rPr>
        <w:t>Si un véhicule est à propulsion par liquide inflammable et par un moteur à combustion interne fonctionnant au gaz inflammable, il doit être expédié sous la rubrique ONU 3166 VÉHICULE À PROPULSION PAR LIQUIDE INFLAMMABLE.</w:t>
      </w:r>
    </w:p>
    <w:p w14:paraId="131F234E" w14:textId="77777777" w:rsidR="00196C06" w:rsidRPr="0059443A" w:rsidRDefault="00196C06" w:rsidP="00196C06">
      <w:pPr>
        <w:spacing w:before="120" w:after="120" w:line="240" w:lineRule="auto"/>
        <w:ind w:left="1134" w:right="1134"/>
        <w:jc w:val="both"/>
        <w:rPr>
          <w:iCs/>
          <w:lang w:val="fr-FR"/>
        </w:rPr>
      </w:pPr>
      <w:r w:rsidRPr="0059443A">
        <w:rPr>
          <w:iCs/>
          <w:lang w:val="fr-FR"/>
        </w:rPr>
        <w:t>La rubrique ONU 3171 ne s’applique 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w:t>
      </w:r>
    </w:p>
    <w:p w14:paraId="2C9A10C6" w14:textId="77777777" w:rsidR="00196C06" w:rsidRPr="0059443A" w:rsidRDefault="00196C06" w:rsidP="00196C06">
      <w:pPr>
        <w:spacing w:before="120" w:after="120" w:line="240" w:lineRule="auto"/>
        <w:ind w:left="1134" w:right="1134"/>
        <w:jc w:val="both"/>
        <w:rPr>
          <w:iCs/>
          <w:lang w:val="fr-FR"/>
        </w:rPr>
      </w:pPr>
      <w:r w:rsidRPr="0059443A">
        <w:rPr>
          <w:iCs/>
          <w:lang w:val="fr-FR"/>
        </w:rPr>
        <w:t>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(cycles à pédales motorisés) et autre véhicules de ce type (par exemple véhicules auto-équilibrés ou véhicules non équipés de position assise), fauteuils roulants, tondeuses à gazon autoportées, engins de chantier et agricoles autopropulsés, bateaux et aéronefs. Sont inclus les véhicules transportés dans un emballage. Dans ce cas, certaines parties du véhicule peuvent en être détachées pour tenir dans l’emballage.</w:t>
      </w:r>
    </w:p>
    <w:p w14:paraId="2D824091" w14:textId="77777777" w:rsidR="00196C06" w:rsidRPr="0059443A" w:rsidRDefault="00196C06" w:rsidP="00196C06">
      <w:pPr>
        <w:spacing w:before="120" w:after="120" w:line="240" w:lineRule="auto"/>
        <w:ind w:left="1134" w:right="1134"/>
        <w:jc w:val="both"/>
        <w:rPr>
          <w:iCs/>
          <w:lang w:val="fr-FR"/>
        </w:rPr>
      </w:pPr>
      <w:r w:rsidRPr="0059443A">
        <w:rPr>
          <w:iCs/>
          <w:lang w:val="fr-FR"/>
        </w:rPr>
        <w:t>Au nombre des équipements on peut citer les tondeuses à gazon, les appareils de nettoyage ou modèles réduits d’embarcations ou modèles réduits d'aéronefs. Les équipements mus par des batteries au lithium métal ou au lithium ionique doivent être expédiés sous les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14:paraId="78F3BCD6" w14:textId="77777777" w:rsidR="00196C06" w:rsidRPr="0059443A" w:rsidRDefault="00196C06" w:rsidP="00196C06">
      <w:pPr>
        <w:spacing w:before="120" w:after="120" w:line="240" w:lineRule="auto"/>
        <w:ind w:left="1134" w:right="1134"/>
        <w:jc w:val="both"/>
        <w:rPr>
          <w:iCs/>
          <w:lang w:val="fr-FR"/>
        </w:rPr>
      </w:pPr>
      <w:r w:rsidRPr="0059443A">
        <w:rPr>
          <w:iCs/>
          <w:lang w:val="fr-FR"/>
        </w:rPr>
        <w:t>Les marchandises dangereuses telles que les piles ou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w:t>
      </w:r>
      <w:r w:rsidRPr="0059443A">
        <w:t xml:space="preserve"> </w:t>
      </w:r>
      <w:r w:rsidRPr="0059443A">
        <w:rPr>
          <w:iCs/>
          <w:lang w:val="fr-FR"/>
        </w:rPr>
        <w:t>Cependant, les piles ou batteries au lithium doivent satisfaire aux prescriptions du 2.9.4 excepté que le 2.9.4 (a) ne s'applique pas quand des piles ou batteries prototypes de pré-production ou des piles ou batteries d'une petite série de production comprenant au plus 100 piles ou batteries sont installées dans les véhicules ou équipements.</w:t>
      </w:r>
    </w:p>
    <w:p w14:paraId="39A0467E" w14:textId="77777777" w:rsidR="00196C06" w:rsidRPr="0059443A" w:rsidRDefault="00196C06" w:rsidP="00196C06">
      <w:pPr>
        <w:spacing w:before="120" w:after="120" w:line="240" w:lineRule="auto"/>
        <w:ind w:left="1134" w:right="1134"/>
        <w:jc w:val="both"/>
        <w:rPr>
          <w:iCs/>
          <w:lang w:val="fr-FR"/>
        </w:rPr>
      </w:pPr>
      <w:r w:rsidRPr="0059443A">
        <w:rPr>
          <w:iCs/>
          <w:lang w:val="fr-FR"/>
        </w:rPr>
        <w:t>Quand une pile ou batterie au lithium installée dans un véhicule ou équipement est endommagée ou défectueuse, le véhicule ou l’équipement doit être transporté tel que défini par l'autorité compétente.».</w:t>
      </w:r>
    </w:p>
    <w:p w14:paraId="779641D8" w14:textId="53674F56" w:rsidR="00196C06" w:rsidRPr="0059443A" w:rsidRDefault="00196C06" w:rsidP="00196C06">
      <w:pPr>
        <w:spacing w:before="120" w:after="120" w:line="240" w:lineRule="auto"/>
        <w:ind w:left="1134" w:right="1134"/>
        <w:jc w:val="both"/>
      </w:pPr>
      <w:r w:rsidRPr="0059443A">
        <w:t>«389</w:t>
      </w:r>
      <w:r w:rsidRPr="0059443A">
        <w:tab/>
        <w:t>Cette rubrique s’applique uniquement aux batteries au lithium ionique ou batteries au lithium métal installées dans un engin de transport et conçues uniquement pour fournir de l’énergie hors de l’engin de transport. Les batteries au lithium doivent répondre aux prescriptions des 2.9.4 a) à e) et contenir les systèmes nécessaires pour prévenir la surcharge et la décharge excessive des batteries.</w:t>
      </w:r>
    </w:p>
    <w:p w14:paraId="61EFF4D9" w14:textId="63B294A6" w:rsidR="00BA3214" w:rsidRDefault="00196C06" w:rsidP="00BA3214">
      <w:pPr>
        <w:pStyle w:val="SingleTxtG"/>
      </w:pPr>
      <w:r w:rsidRPr="0059443A">
        <w:lastRenderedPageBreak/>
        <w:t>Les batteries doivent être solidement arrimées à la structure intérieure de l’engin de transport (par exemple sur des étagères ou dans des armoires) de manière à empêcher tout court</w:t>
      </w:r>
      <w:r w:rsidRPr="0059443A">
        <w:noBreakHyphen/>
        <w:t xml:space="preserve">circuit, tout fonctionnement accidentel ou tout mouvement significatif lorsque l’engin de transport fermé subit des chocs, est manutentionné, ou est soumis à des vibrations inhérentes au transport. </w:t>
      </w:r>
      <w:r w:rsidR="00BA3214">
        <w:t xml:space="preserve">Les marchandises dangereuses nécessaires au </w:t>
      </w:r>
      <w:r w:rsidR="00BA3214" w:rsidRPr="0059443A">
        <w:t>bon fonctionnement</w:t>
      </w:r>
      <w:r w:rsidR="00BA3214">
        <w:t xml:space="preserve"> de l’engin de transport et à sa sécurité (par exemple les systèmes d’extinction d’incendie et les systèmes de climatisation) doivent y être correctement assujetties ou installées et ne sont pas par ailleurs soumises aux dispositions du </w:t>
      </w:r>
      <w:r w:rsidR="00BA3214" w:rsidRPr="0059443A">
        <w:t>présent Règlement</w:t>
      </w:r>
      <w:r w:rsidR="00BA3214">
        <w:t>. Des marchandises dangereuses qui ne sont pas nécessaires à son bon fonctionnement et à sa sécurité ne doivent pas être transportées à l’intérieur de l’engin de transport.</w:t>
      </w:r>
    </w:p>
    <w:p w14:paraId="053EAD42" w14:textId="77777777" w:rsidR="00196C06" w:rsidRPr="0059443A" w:rsidRDefault="00196C06" w:rsidP="00196C06">
      <w:pPr>
        <w:pStyle w:val="SingleTxtG"/>
      </w:pPr>
      <w:r w:rsidRPr="0059443A">
        <w:t>Les batteries à l'intérieur de l’engin de transport ne sont pas soumises aux prescriptions relatives au marquage ou à l’étiquetage. L’engin de transport doit porter le numéro ONU, conformément au 5.3.2.1.2 et être placardé sur deux côtés opposés, conformément au 5.3.1.1.2.».</w:t>
      </w:r>
    </w:p>
    <w:p w14:paraId="7F60F3D6" w14:textId="1A56DD0B" w:rsidR="00BE6A49" w:rsidRPr="00E57329" w:rsidRDefault="00BE6A49" w:rsidP="00BE6A49">
      <w:pPr>
        <w:pStyle w:val="SingleTxtG"/>
      </w:pPr>
      <w:r>
        <w:t>«391</w:t>
      </w:r>
      <w:r>
        <w:tab/>
        <w:t>Les o</w:t>
      </w:r>
      <w:r w:rsidRPr="002121F1">
        <w:t>bjets contenant des marchandises dangereuses de</w:t>
      </w:r>
      <w:r>
        <w:t xml:space="preserve">s </w:t>
      </w:r>
      <w:r w:rsidRPr="002121F1">
        <w:t>d</w:t>
      </w:r>
      <w:r>
        <w:t xml:space="preserve">ivisions 2.3, </w:t>
      </w:r>
      <w:r w:rsidRPr="002121F1">
        <w:t xml:space="preserve">4.2, 4.3, </w:t>
      </w:r>
      <w:r>
        <w:t>5.1,</w:t>
      </w:r>
      <w:r w:rsidRPr="002121F1">
        <w:t xml:space="preserve"> 5.</w:t>
      </w:r>
      <w:r>
        <w:t xml:space="preserve">2 ou de la Division </w:t>
      </w:r>
      <w:r w:rsidRPr="002121F1">
        <w:t>6.1 pour les matières toxiques à l</w:t>
      </w:r>
      <w:r>
        <w:t>’</w:t>
      </w:r>
      <w:r w:rsidRPr="002121F1">
        <w:t>inhalation nécessitant le groupe d</w:t>
      </w:r>
      <w:r>
        <w:t>’</w:t>
      </w:r>
      <w:r w:rsidRPr="002121F1">
        <w:t xml:space="preserve">emballage I et les objets </w:t>
      </w:r>
      <w:r>
        <w:t>présent</w:t>
      </w:r>
      <w:r w:rsidRPr="002121F1">
        <w:t xml:space="preserve">ant </w:t>
      </w:r>
      <w:r>
        <w:t>plus d’un des risques énumérés aux alinéas b) à d) du paragraphe </w:t>
      </w:r>
      <w:r w:rsidRPr="002121F1">
        <w:t xml:space="preserve">2.0.3.1 </w:t>
      </w:r>
      <w:r>
        <w:t>doivent être transportés dans les conditions approuvées par l’autorité compétente</w:t>
      </w:r>
      <w:r w:rsidRPr="002121F1">
        <w:t>.</w:t>
      </w:r>
      <w:r>
        <w:t>».</w:t>
      </w:r>
    </w:p>
    <w:p w14:paraId="7297F0F7" w14:textId="5A73D4CF" w:rsidR="00F12C72" w:rsidRPr="00F12C72" w:rsidRDefault="00F12C72" w:rsidP="00F12C72">
      <w:pPr>
        <w:pStyle w:val="SingleTxtG"/>
      </w:pPr>
      <w:r w:rsidRPr="00F12C72">
        <w:t>«392</w:t>
      </w:r>
      <w:r w:rsidRPr="00F12C72">
        <w:tab/>
        <w:t>Pour le transport des systèmes de confinement de gaz combustible qui sont conçus pour être installés sur des véhicules automobiles et qui contiennent ce gaz, il n’y a pas lieu d’appliquer les dispositions de la sous-section 4.1.4.1 et du chapitre 6.2 du présent Règlement si ils sont transportés en vue de leur élimination, de leur recyclage, de leur réparation, de leur inspection, ou de leur entretien, ou depuis leur lieu de fabrication vers un atelier de montage de véhicules, si les conditions ci-après sont satisfaites:</w:t>
      </w:r>
    </w:p>
    <w:p w14:paraId="4A041BF5" w14:textId="77777777" w:rsidR="00F12C72" w:rsidRPr="00F12C72" w:rsidRDefault="00F12C72" w:rsidP="00F12C72">
      <w:pPr>
        <w:pStyle w:val="SingleTxtG"/>
      </w:pPr>
      <w:r w:rsidRPr="00F12C72">
        <w:t>a)</w:t>
      </w:r>
      <w:r w:rsidRPr="00F12C72">
        <w:tab/>
        <w:t>Les systèmes de confinement de gaz combustible satisfont aux prescriptions des normes ou règlements applicables aux réservoirs à carburant destinés aux véhicules automobiles, suivant le cas. Des exemples de normes et règlements applicables sont: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6"/>
        <w:gridCol w:w="5238"/>
      </w:tblGrid>
      <w:tr w:rsidR="00F12C72" w:rsidRPr="00DB1462" w14:paraId="1FC84963" w14:textId="77777777" w:rsidTr="008B7736">
        <w:tc>
          <w:tcPr>
            <w:tcW w:w="8504" w:type="dxa"/>
            <w:gridSpan w:val="2"/>
            <w:shd w:val="clear" w:color="auto" w:fill="auto"/>
          </w:tcPr>
          <w:p w14:paraId="1AB152F5" w14:textId="77777777" w:rsidR="00F12C72" w:rsidRPr="00DB1462" w:rsidRDefault="00F12C72" w:rsidP="008B7736">
            <w:pPr>
              <w:keepNext/>
              <w:spacing w:before="40" w:after="120"/>
              <w:ind w:left="113" w:right="113"/>
            </w:pPr>
            <w:r w:rsidRPr="00DB1462">
              <w:rPr>
                <w:b/>
                <w:bCs/>
                <w:lang w:eastAsia="en-GB" w:bidi="en-GB"/>
              </w:rPr>
              <w:t>Réservoirs à GPL</w:t>
            </w:r>
          </w:p>
        </w:tc>
      </w:tr>
      <w:tr w:rsidR="00F12C72" w:rsidRPr="00DB1462" w14:paraId="7BA2C292" w14:textId="77777777" w:rsidTr="008B7736">
        <w:trPr>
          <w:cantSplit/>
        </w:trPr>
        <w:tc>
          <w:tcPr>
            <w:tcW w:w="3266" w:type="dxa"/>
            <w:shd w:val="clear" w:color="auto" w:fill="auto"/>
          </w:tcPr>
          <w:p w14:paraId="61B42046" w14:textId="77777777" w:rsidR="00F12C72" w:rsidRPr="00DB1462" w:rsidRDefault="00F12C72" w:rsidP="008B7736">
            <w:pPr>
              <w:spacing w:before="40" w:after="120"/>
              <w:ind w:left="113" w:right="113"/>
              <w:rPr>
                <w:lang w:eastAsia="en-GB" w:bidi="en-GB"/>
              </w:rPr>
            </w:pPr>
            <w:r w:rsidRPr="00DB1462">
              <w:t xml:space="preserve">Règlement </w:t>
            </w:r>
            <w:r w:rsidRPr="001B3FC0">
              <w:t xml:space="preserve">ECE No </w:t>
            </w:r>
            <w:r w:rsidRPr="00DB1462">
              <w:t>67, Révision 2</w:t>
            </w:r>
          </w:p>
        </w:tc>
        <w:tc>
          <w:tcPr>
            <w:tcW w:w="5238" w:type="dxa"/>
            <w:shd w:val="clear" w:color="auto" w:fill="auto"/>
          </w:tcPr>
          <w:p w14:paraId="5646F7F1" w14:textId="3F64A718" w:rsidR="00F12C72" w:rsidRPr="00DB1462" w:rsidRDefault="00F12C72" w:rsidP="008B7736">
            <w:pPr>
              <w:spacing w:before="40" w:after="120"/>
              <w:ind w:left="113" w:right="113"/>
              <w:rPr>
                <w:lang w:eastAsia="en-GB" w:bidi="en-GB"/>
              </w:rPr>
            </w:pPr>
            <w:r w:rsidRPr="00DB1462">
              <w:t>Prescriptions uniformes relatives à l’homologation</w:t>
            </w:r>
            <w:r>
              <w:t>:</w:t>
            </w:r>
            <w:r w:rsidRPr="00DB1462">
              <w:t xml:space="preserve"> I. Des équipements spéciaux pour l’alimentation du moteur aux gaz de pétrole liquéfiés sur les véhicules</w:t>
            </w:r>
            <w:r>
              <w:t> </w:t>
            </w:r>
            <w:r w:rsidRPr="002C6A9D">
              <w:t>des catégories M et N</w:t>
            </w:r>
            <w:r>
              <w:t>;</w:t>
            </w:r>
            <w:r w:rsidRPr="00DB1462">
              <w:t xml:space="preserve"> II. Des véhicules </w:t>
            </w:r>
            <w:r w:rsidRPr="002C6A9D">
              <w:t xml:space="preserve">des catégories M et N </w:t>
            </w:r>
            <w:r w:rsidRPr="00DB1462">
              <w:t>munis d’un équipement spécial pour l’alimentation du moteur aux gaz de pétrole liquéfiés en ce qui concerne l’installation de cet équipement</w:t>
            </w:r>
          </w:p>
        </w:tc>
      </w:tr>
      <w:tr w:rsidR="00F12C72" w:rsidRPr="00DB1462" w14:paraId="5C8E4317" w14:textId="77777777" w:rsidTr="008B7736">
        <w:trPr>
          <w:cantSplit/>
        </w:trPr>
        <w:tc>
          <w:tcPr>
            <w:tcW w:w="3266" w:type="dxa"/>
            <w:shd w:val="clear" w:color="auto" w:fill="auto"/>
          </w:tcPr>
          <w:p w14:paraId="2E0F5C11" w14:textId="77777777" w:rsidR="00F12C72" w:rsidRPr="00DB1462" w:rsidRDefault="00F12C72" w:rsidP="008B7736">
            <w:pPr>
              <w:spacing w:before="40" w:after="120"/>
              <w:ind w:left="113" w:right="113"/>
              <w:rPr>
                <w:lang w:eastAsia="en-GB" w:bidi="en-GB"/>
              </w:rPr>
            </w:pPr>
            <w:r w:rsidRPr="00DB1462">
              <w:t xml:space="preserve">Règlement </w:t>
            </w:r>
            <w:r w:rsidRPr="001B3FC0">
              <w:t xml:space="preserve">ECE No </w:t>
            </w:r>
            <w:r w:rsidRPr="00DB1462">
              <w:t>115</w:t>
            </w:r>
          </w:p>
        </w:tc>
        <w:tc>
          <w:tcPr>
            <w:tcW w:w="5238" w:type="dxa"/>
            <w:shd w:val="clear" w:color="auto" w:fill="auto"/>
          </w:tcPr>
          <w:p w14:paraId="1E4BC9ED" w14:textId="38EB213A" w:rsidR="00F12C72" w:rsidRPr="00DB1462" w:rsidRDefault="00F12C72" w:rsidP="008B7736">
            <w:pPr>
              <w:spacing w:before="40" w:after="120"/>
              <w:ind w:left="113" w:right="113"/>
              <w:rPr>
                <w:lang w:eastAsia="en-GB" w:bidi="en-GB"/>
              </w:rPr>
            </w:pPr>
            <w:r w:rsidRPr="00DB1462">
              <w:t>Prescriptions uniformes relatives à l’homologation</w:t>
            </w:r>
            <w:r>
              <w:t>:</w:t>
            </w:r>
            <w:r w:rsidRPr="00DB1462">
              <w:t xml:space="preserve"> I. Des systèmes spéciaux d’adaptation au GPL (gaz de pétrole liquéfié) pour véhicules automobiles leur permettant d’utiliser ce carburant dans leur système de propulsion</w:t>
            </w:r>
            <w:r>
              <w:t>;</w:t>
            </w:r>
            <w:r w:rsidRPr="00DB1462">
              <w:t xml:space="preserve"> II. Des systèmes spéciaux d’adaptation au GNC (gaz naturel comprimé) pour véhicules automobiles leur permettant d’utiliser ce carburant dans leur système de propulsion</w:t>
            </w:r>
          </w:p>
        </w:tc>
      </w:tr>
      <w:tr w:rsidR="00F12C72" w:rsidRPr="00DB1462" w14:paraId="0ED59FC8" w14:textId="77777777" w:rsidTr="008B7736">
        <w:tc>
          <w:tcPr>
            <w:tcW w:w="8504" w:type="dxa"/>
            <w:gridSpan w:val="2"/>
            <w:shd w:val="clear" w:color="auto" w:fill="auto"/>
          </w:tcPr>
          <w:p w14:paraId="58B0B9D2" w14:textId="77777777" w:rsidR="00F12C72" w:rsidRPr="00DB1462" w:rsidRDefault="00F12C72" w:rsidP="008B7736">
            <w:pPr>
              <w:spacing w:before="40" w:after="120"/>
              <w:ind w:left="113" w:right="113"/>
            </w:pPr>
            <w:r w:rsidRPr="00DB1462">
              <w:rPr>
                <w:b/>
                <w:bCs/>
                <w:lang w:eastAsia="en-GB" w:bidi="en-GB"/>
              </w:rPr>
              <w:t>Réservoirs à GNC</w:t>
            </w:r>
          </w:p>
        </w:tc>
      </w:tr>
      <w:tr w:rsidR="00F12C72" w:rsidRPr="00DB1462" w14:paraId="1B30B9F5" w14:textId="77777777" w:rsidTr="008B7736">
        <w:tc>
          <w:tcPr>
            <w:tcW w:w="3266" w:type="dxa"/>
            <w:shd w:val="clear" w:color="auto" w:fill="auto"/>
          </w:tcPr>
          <w:p w14:paraId="345F841D" w14:textId="77777777" w:rsidR="00F12C72" w:rsidRPr="00DB1462" w:rsidRDefault="00F12C72" w:rsidP="008B7736">
            <w:pPr>
              <w:spacing w:before="40" w:after="120"/>
              <w:ind w:left="113" w:right="113"/>
              <w:rPr>
                <w:lang w:eastAsia="en-GB" w:bidi="en-GB"/>
              </w:rPr>
            </w:pPr>
            <w:r w:rsidRPr="00DB1462">
              <w:t xml:space="preserve">Règlement </w:t>
            </w:r>
            <w:r w:rsidRPr="001B3FC0">
              <w:t xml:space="preserve">ECE No </w:t>
            </w:r>
            <w:r w:rsidRPr="00DB1462">
              <w:t>110</w:t>
            </w:r>
          </w:p>
        </w:tc>
        <w:tc>
          <w:tcPr>
            <w:tcW w:w="5238" w:type="dxa"/>
            <w:shd w:val="clear" w:color="auto" w:fill="auto"/>
          </w:tcPr>
          <w:p w14:paraId="4F5C18D0" w14:textId="7D16FC4F" w:rsidR="00F12C72" w:rsidRPr="00DB1462" w:rsidRDefault="00F12C72" w:rsidP="008B7736">
            <w:pPr>
              <w:spacing w:before="40" w:after="120"/>
              <w:ind w:left="113" w:right="113"/>
              <w:rPr>
                <w:lang w:eastAsia="en-GB" w:bidi="en-GB"/>
              </w:rPr>
            </w:pPr>
            <w:r w:rsidRPr="00DB1462">
              <w:t>Prescriptions uniformes relatives à l’homologation</w:t>
            </w:r>
            <w:r>
              <w:t>:</w:t>
            </w:r>
            <w:r w:rsidRPr="00DB1462">
              <w:t xml:space="preserve"> I. Des organes spéciaux pour l’alimentation du moteur au gaz naturel comprimé (GNC) sur les véhicules</w:t>
            </w:r>
            <w:r>
              <w:t>;</w:t>
            </w:r>
            <w:r w:rsidRPr="00DB1462">
              <w:t xml:space="preserve"> II. Des véhicules munis d’organes spéciaux d’un type homologué pour l’alimentation du moteur au gaz naturel comprimé (GNC) </w:t>
            </w:r>
            <w:r w:rsidRPr="002C6A9D">
              <w:t xml:space="preserve">et/ou au gaz </w:t>
            </w:r>
            <w:r w:rsidRPr="002C6A9D">
              <w:lastRenderedPageBreak/>
              <w:t xml:space="preserve">naturel liquéfié (GNL) </w:t>
            </w:r>
            <w:r w:rsidRPr="00DB1462">
              <w:t>en ce qui concerne l’installation de ces organes</w:t>
            </w:r>
          </w:p>
        </w:tc>
      </w:tr>
      <w:tr w:rsidR="00F12C72" w:rsidRPr="00DB1462" w14:paraId="4A47FD49" w14:textId="77777777" w:rsidTr="008B7736">
        <w:tc>
          <w:tcPr>
            <w:tcW w:w="3266" w:type="dxa"/>
            <w:shd w:val="clear" w:color="auto" w:fill="auto"/>
          </w:tcPr>
          <w:p w14:paraId="375AB00A" w14:textId="77777777" w:rsidR="00F12C72" w:rsidRPr="00DB1462" w:rsidRDefault="00F12C72" w:rsidP="008B7736">
            <w:pPr>
              <w:spacing w:before="40" w:after="120"/>
              <w:ind w:left="113" w:right="113"/>
              <w:rPr>
                <w:lang w:eastAsia="en-GB" w:bidi="en-GB"/>
              </w:rPr>
            </w:pPr>
            <w:r w:rsidRPr="00DB1462">
              <w:lastRenderedPageBreak/>
              <w:t xml:space="preserve">Règlement </w:t>
            </w:r>
            <w:r w:rsidRPr="001B3FC0">
              <w:t xml:space="preserve">ECE No </w:t>
            </w:r>
            <w:r w:rsidRPr="00DB1462">
              <w:t>115</w:t>
            </w:r>
          </w:p>
        </w:tc>
        <w:tc>
          <w:tcPr>
            <w:tcW w:w="5238" w:type="dxa"/>
            <w:shd w:val="clear" w:color="auto" w:fill="auto"/>
          </w:tcPr>
          <w:p w14:paraId="2D2046C7" w14:textId="3C98AB0E" w:rsidR="00F12C72" w:rsidRPr="00DB1462" w:rsidRDefault="00F12C72" w:rsidP="008B7736">
            <w:pPr>
              <w:spacing w:before="40" w:after="120"/>
              <w:ind w:left="113" w:right="113"/>
              <w:rPr>
                <w:lang w:eastAsia="en-GB" w:bidi="en-GB"/>
              </w:rPr>
            </w:pPr>
            <w:r>
              <w:t>(</w:t>
            </w:r>
            <w:r w:rsidRPr="00DB1462">
              <w:t>Prescriptions uniformes relatives à l’homologation</w:t>
            </w:r>
            <w:r>
              <w:t>:</w:t>
            </w:r>
            <w:r w:rsidRPr="00DB1462">
              <w:t xml:space="preserve"> I. Des systèmes spéciaux d’adaptation au GPL (gaz de pétrole liquéfié) pour véhicules automobiles leur permettant d’utiliser ce carburant dans leur système de propulsion</w:t>
            </w:r>
            <w:r>
              <w:t>;</w:t>
            </w:r>
            <w:r w:rsidRPr="00DB1462">
              <w:t xml:space="preserve"> II. Des systèmes spéciaux d’adaptation au GNC (gaz naturel comprimé) pour véhicules automobiles leur permettant d’utiliser ce carburant dans leur système de propulsion</w:t>
            </w:r>
            <w:r>
              <w:t>)</w:t>
            </w:r>
          </w:p>
        </w:tc>
      </w:tr>
      <w:tr w:rsidR="00F12C72" w:rsidRPr="00DB1462" w14:paraId="4A41B033" w14:textId="77777777" w:rsidTr="008B7736">
        <w:tc>
          <w:tcPr>
            <w:tcW w:w="3266" w:type="dxa"/>
            <w:shd w:val="clear" w:color="auto" w:fill="auto"/>
          </w:tcPr>
          <w:p w14:paraId="46CCADD0" w14:textId="77777777" w:rsidR="00F12C72" w:rsidRPr="00DB1462" w:rsidRDefault="00F12C72" w:rsidP="008B7736">
            <w:pPr>
              <w:spacing w:before="40" w:after="120"/>
              <w:ind w:left="113" w:right="113"/>
              <w:rPr>
                <w:lang w:eastAsia="en-GB" w:bidi="en-GB"/>
              </w:rPr>
            </w:pPr>
            <w:r w:rsidRPr="00DB1462">
              <w:t>ISO 11439</w:t>
            </w:r>
            <w:r>
              <w:t>:2</w:t>
            </w:r>
            <w:r w:rsidRPr="00DB1462">
              <w:t xml:space="preserve">013 </w:t>
            </w:r>
          </w:p>
        </w:tc>
        <w:tc>
          <w:tcPr>
            <w:tcW w:w="5238" w:type="dxa"/>
            <w:shd w:val="clear" w:color="auto" w:fill="auto"/>
          </w:tcPr>
          <w:p w14:paraId="3534EBAA" w14:textId="77777777" w:rsidR="00F12C72" w:rsidRPr="00DB1462" w:rsidRDefault="00F12C72" w:rsidP="008B7736">
            <w:pPr>
              <w:spacing w:before="40" w:after="120"/>
              <w:ind w:left="113" w:right="113"/>
              <w:rPr>
                <w:lang w:eastAsia="en-GB" w:bidi="en-GB"/>
              </w:rPr>
            </w:pPr>
            <w:r w:rsidRPr="00DB1462">
              <w:t>Bouteilles à gaz − Bouteilles haute pression pour le stockage de gaz naturel utilisé comme carburant à bord des véhicules automobiles et ISO 15500 Véhicules routiers − Systèmes d’alimentation en gaz naturel comprimé (GNC)</w:t>
            </w:r>
          </w:p>
        </w:tc>
      </w:tr>
      <w:tr w:rsidR="00F12C72" w:rsidRPr="00DB1462" w14:paraId="138E3A1A" w14:textId="77777777" w:rsidTr="008B7736">
        <w:tc>
          <w:tcPr>
            <w:tcW w:w="3266" w:type="dxa"/>
            <w:shd w:val="clear" w:color="auto" w:fill="auto"/>
          </w:tcPr>
          <w:p w14:paraId="55116D64" w14:textId="77777777" w:rsidR="00F12C72" w:rsidRPr="00DB1462" w:rsidRDefault="00F12C72" w:rsidP="008B7736">
            <w:pPr>
              <w:spacing w:before="40" w:after="120"/>
              <w:ind w:left="113" w:right="113"/>
              <w:rPr>
                <w:lang w:eastAsia="en-GB" w:bidi="en-GB"/>
              </w:rPr>
            </w:pPr>
            <w:r>
              <w:t xml:space="preserve">Série des normes </w:t>
            </w:r>
            <w:r w:rsidRPr="00DB1462">
              <w:t xml:space="preserve">ISO 15500 </w:t>
            </w:r>
          </w:p>
        </w:tc>
        <w:tc>
          <w:tcPr>
            <w:tcW w:w="5238" w:type="dxa"/>
            <w:shd w:val="clear" w:color="auto" w:fill="auto"/>
          </w:tcPr>
          <w:p w14:paraId="189E7F81" w14:textId="77777777" w:rsidR="00F12C72" w:rsidRPr="00DB1462" w:rsidRDefault="00F12C72" w:rsidP="008B7736">
            <w:pPr>
              <w:spacing w:before="40" w:after="120"/>
              <w:ind w:left="113" w:right="113"/>
              <w:rPr>
                <w:lang w:eastAsia="en-GB" w:bidi="en-GB"/>
              </w:rPr>
            </w:pPr>
            <w:r w:rsidRPr="00DB1462">
              <w:t xml:space="preserve">Véhicules routiers − Composants des systèmes de combustible gaz naturel comprimé (GNC) − </w:t>
            </w:r>
            <w:r>
              <w:t>Différentes parties applicables</w:t>
            </w:r>
          </w:p>
        </w:tc>
      </w:tr>
      <w:tr w:rsidR="00F12C72" w:rsidRPr="00410B90" w14:paraId="64E51347" w14:textId="77777777" w:rsidTr="008B7736">
        <w:tc>
          <w:tcPr>
            <w:tcW w:w="3266" w:type="dxa"/>
            <w:shd w:val="clear" w:color="auto" w:fill="auto"/>
          </w:tcPr>
          <w:p w14:paraId="39562CB6" w14:textId="77777777" w:rsidR="00F12C72" w:rsidRPr="00DB1462" w:rsidRDefault="00F12C72" w:rsidP="008B7736">
            <w:pPr>
              <w:spacing w:before="40" w:after="120"/>
              <w:ind w:left="113" w:right="113"/>
              <w:rPr>
                <w:lang w:eastAsia="en-GB" w:bidi="en-GB"/>
              </w:rPr>
            </w:pPr>
            <w:r w:rsidRPr="00DB1462">
              <w:t>ANSI NGV 2</w:t>
            </w:r>
          </w:p>
        </w:tc>
        <w:tc>
          <w:tcPr>
            <w:tcW w:w="5238" w:type="dxa"/>
            <w:shd w:val="clear" w:color="auto" w:fill="auto"/>
          </w:tcPr>
          <w:p w14:paraId="39FE1E81" w14:textId="77777777" w:rsidR="00F12C72" w:rsidRPr="00E11BCE" w:rsidRDefault="00F12C72" w:rsidP="008B7736">
            <w:pPr>
              <w:spacing w:before="40" w:after="120"/>
              <w:ind w:left="113" w:right="113"/>
              <w:rPr>
                <w:i/>
                <w:lang w:val="en-GB" w:eastAsia="en-GB" w:bidi="en-GB"/>
              </w:rPr>
            </w:pPr>
            <w:r w:rsidRPr="003B798C">
              <w:rPr>
                <w:i/>
                <w:lang w:val="en-GB"/>
              </w:rPr>
              <w:t>Compressed natural gas vehicle fuel containers</w:t>
            </w:r>
          </w:p>
        </w:tc>
      </w:tr>
      <w:tr w:rsidR="00F12C72" w:rsidRPr="00DB1462" w14:paraId="08854F44" w14:textId="77777777" w:rsidTr="008B7736">
        <w:tc>
          <w:tcPr>
            <w:tcW w:w="3266" w:type="dxa"/>
            <w:shd w:val="clear" w:color="auto" w:fill="auto"/>
          </w:tcPr>
          <w:p w14:paraId="43217185" w14:textId="77777777" w:rsidR="00F12C72" w:rsidRPr="00DB1462" w:rsidRDefault="00F12C72" w:rsidP="008B7736">
            <w:pPr>
              <w:spacing w:before="40" w:after="120"/>
              <w:ind w:left="113" w:right="113"/>
              <w:rPr>
                <w:lang w:eastAsia="en-GB" w:bidi="en-GB"/>
              </w:rPr>
            </w:pPr>
            <w:r w:rsidRPr="00DB1462">
              <w:t>CSA B51</w:t>
            </w:r>
            <w:r>
              <w:t>−</w:t>
            </w:r>
            <w:r w:rsidRPr="00DB1462">
              <w:t xml:space="preserve"> Deuxième partie</w:t>
            </w:r>
            <w:r>
              <w:t>:2014</w:t>
            </w:r>
          </w:p>
        </w:tc>
        <w:tc>
          <w:tcPr>
            <w:tcW w:w="5238" w:type="dxa"/>
            <w:shd w:val="clear" w:color="auto" w:fill="auto"/>
          </w:tcPr>
          <w:p w14:paraId="750CD647" w14:textId="064B398D" w:rsidR="00F12C72" w:rsidRPr="00DB1462" w:rsidRDefault="00F12C72" w:rsidP="008B7736">
            <w:pPr>
              <w:spacing w:before="40" w:after="120"/>
              <w:ind w:left="113" w:right="113"/>
              <w:rPr>
                <w:lang w:eastAsia="en-GB" w:bidi="en-GB"/>
              </w:rPr>
            </w:pPr>
            <w:r w:rsidRPr="00DB1462">
              <w:t xml:space="preserve">Code sur les chaudières, les appareils et les tuyauteries sous pression </w:t>
            </w:r>
            <w:r>
              <w:t>−</w:t>
            </w:r>
            <w:r w:rsidRPr="00DB1462">
              <w:t xml:space="preserve"> Deuxième partie</w:t>
            </w:r>
            <w:r>
              <w:t>:</w:t>
            </w:r>
            <w:r w:rsidRPr="00DB1462">
              <w:t xml:space="preserve"> Exigences s’appliquant aux cylindres à haute pression servant à l’entreposage de carburant à bord de véhicules automobiles</w:t>
            </w:r>
          </w:p>
        </w:tc>
      </w:tr>
      <w:tr w:rsidR="00F12C72" w:rsidRPr="00DB1462" w14:paraId="6768384B" w14:textId="77777777" w:rsidTr="008B7736">
        <w:tc>
          <w:tcPr>
            <w:tcW w:w="8504" w:type="dxa"/>
            <w:gridSpan w:val="2"/>
            <w:shd w:val="clear" w:color="auto" w:fill="auto"/>
          </w:tcPr>
          <w:p w14:paraId="7D3EA5B6" w14:textId="77777777" w:rsidR="00F12C72" w:rsidRPr="00DB1462" w:rsidRDefault="00F12C72" w:rsidP="008B7736">
            <w:pPr>
              <w:spacing w:before="40" w:after="120"/>
              <w:ind w:left="113" w:right="113"/>
              <w:rPr>
                <w:b/>
                <w:szCs w:val="24"/>
              </w:rPr>
            </w:pPr>
            <w:r w:rsidRPr="00DB1462">
              <w:rPr>
                <w:b/>
                <w:szCs w:val="24"/>
                <w:lang w:eastAsia="en-GB" w:bidi="en-GB"/>
              </w:rPr>
              <w:t>Réservoirs à hydrogène sous pression</w:t>
            </w:r>
          </w:p>
        </w:tc>
      </w:tr>
      <w:tr w:rsidR="00F12C72" w:rsidRPr="00DB1462" w14:paraId="61E472D6" w14:textId="77777777" w:rsidTr="008B7736">
        <w:tc>
          <w:tcPr>
            <w:tcW w:w="3266" w:type="dxa"/>
            <w:shd w:val="clear" w:color="auto" w:fill="auto"/>
          </w:tcPr>
          <w:p w14:paraId="244474C8" w14:textId="77777777" w:rsidR="00F12C72" w:rsidRPr="00DB1462" w:rsidRDefault="00F12C72" w:rsidP="008B7736">
            <w:pPr>
              <w:spacing w:before="40" w:after="120"/>
              <w:ind w:left="113" w:right="113"/>
              <w:rPr>
                <w:lang w:eastAsia="en-GB" w:bidi="en-GB"/>
              </w:rPr>
            </w:pPr>
            <w:r w:rsidRPr="00DB1462">
              <w:t>Règlement technique mondial n</w:t>
            </w:r>
            <w:r w:rsidRPr="00DB1462">
              <w:rPr>
                <w:vertAlign w:val="superscript"/>
              </w:rPr>
              <w:t>o</w:t>
            </w:r>
            <w:r w:rsidRPr="00DB1462">
              <w:t> 13</w:t>
            </w:r>
          </w:p>
        </w:tc>
        <w:tc>
          <w:tcPr>
            <w:tcW w:w="5238" w:type="dxa"/>
            <w:shd w:val="clear" w:color="auto" w:fill="auto"/>
          </w:tcPr>
          <w:p w14:paraId="7140E6D5" w14:textId="77777777" w:rsidR="00F12C72" w:rsidRPr="00DB1462" w:rsidRDefault="00F12C72" w:rsidP="008B7736">
            <w:pPr>
              <w:spacing w:before="40" w:after="120"/>
              <w:ind w:left="113" w:right="113"/>
              <w:rPr>
                <w:lang w:eastAsia="en-GB" w:bidi="en-GB"/>
              </w:rPr>
            </w:pPr>
            <w:r w:rsidRPr="00DB1462">
              <w:t>Règlement technique mondial sur les véhicules à hydrogène à pile à combustible (ECE/TRANS/180/Add.13)</w:t>
            </w:r>
          </w:p>
        </w:tc>
      </w:tr>
      <w:tr w:rsidR="00F12C72" w:rsidRPr="00DB1462" w14:paraId="35E13B27" w14:textId="77777777" w:rsidTr="008B7736">
        <w:tc>
          <w:tcPr>
            <w:tcW w:w="3266" w:type="dxa"/>
            <w:shd w:val="clear" w:color="auto" w:fill="auto"/>
          </w:tcPr>
          <w:p w14:paraId="14166685" w14:textId="77777777" w:rsidR="00F12C72" w:rsidRPr="00DB1462" w:rsidRDefault="00F12C72" w:rsidP="008B7736">
            <w:pPr>
              <w:spacing w:before="40" w:after="120"/>
              <w:ind w:left="113" w:right="113"/>
              <w:rPr>
                <w:lang w:eastAsia="en-GB" w:bidi="en-GB"/>
              </w:rPr>
            </w:pPr>
            <w:r w:rsidRPr="00DB1462">
              <w:t>ISO/TS 15869</w:t>
            </w:r>
            <w:r>
              <w:t>:2</w:t>
            </w:r>
            <w:r w:rsidRPr="00DB1462">
              <w:t xml:space="preserve">009 </w:t>
            </w:r>
          </w:p>
        </w:tc>
        <w:tc>
          <w:tcPr>
            <w:tcW w:w="5238" w:type="dxa"/>
            <w:shd w:val="clear" w:color="auto" w:fill="auto"/>
          </w:tcPr>
          <w:p w14:paraId="3A67A993" w14:textId="77777777" w:rsidR="00F12C72" w:rsidRPr="00DB1462" w:rsidRDefault="00F12C72" w:rsidP="008B7736">
            <w:pPr>
              <w:spacing w:before="40" w:after="120"/>
              <w:ind w:left="113" w:right="113"/>
              <w:rPr>
                <w:lang w:eastAsia="en-GB" w:bidi="en-GB"/>
              </w:rPr>
            </w:pPr>
            <w:r w:rsidRPr="00DB1462">
              <w:t>Hydrogène gazeux et mélanges d’hydrogène gazeux − Réservoirs de carburant pour véhicules terrestres et ISO 13985</w:t>
            </w:r>
            <w:r>
              <w:t>:2</w:t>
            </w:r>
            <w:r w:rsidRPr="00DB1462">
              <w:t>006 Hydrogène liquide − Réservoirs de carburant pour véhicules terrestres</w:t>
            </w:r>
          </w:p>
        </w:tc>
      </w:tr>
      <w:tr w:rsidR="00F12C72" w:rsidRPr="00DB1462" w14:paraId="476FACCD" w14:textId="77777777" w:rsidTr="008B7736">
        <w:tc>
          <w:tcPr>
            <w:tcW w:w="3266" w:type="dxa"/>
            <w:shd w:val="clear" w:color="auto" w:fill="auto"/>
          </w:tcPr>
          <w:p w14:paraId="1CA71D57" w14:textId="77777777" w:rsidR="00F12C72" w:rsidRPr="00DB1462" w:rsidRDefault="00F12C72" w:rsidP="008B7736">
            <w:pPr>
              <w:spacing w:before="40" w:after="120"/>
              <w:ind w:left="113" w:right="113"/>
              <w:rPr>
                <w:lang w:eastAsia="en-GB" w:bidi="en-GB"/>
              </w:rPr>
            </w:pPr>
            <w:r w:rsidRPr="00DB1462">
              <w:t xml:space="preserve">Règlement (CE) </w:t>
            </w:r>
            <w:r>
              <w:t>No</w:t>
            </w:r>
            <w:r w:rsidRPr="00DB1462">
              <w:t xml:space="preserve"> 79/2009 </w:t>
            </w:r>
          </w:p>
        </w:tc>
        <w:tc>
          <w:tcPr>
            <w:tcW w:w="5238" w:type="dxa"/>
            <w:shd w:val="clear" w:color="auto" w:fill="auto"/>
          </w:tcPr>
          <w:p w14:paraId="521D41BC" w14:textId="77777777" w:rsidR="00F12C72" w:rsidRPr="00DB1462" w:rsidRDefault="00F12C72" w:rsidP="008B7736">
            <w:pPr>
              <w:spacing w:before="40" w:after="120"/>
              <w:ind w:left="113" w:right="113"/>
              <w:rPr>
                <w:lang w:eastAsia="en-GB" w:bidi="en-GB"/>
              </w:rPr>
            </w:pPr>
            <w:r w:rsidRPr="00DB1462">
              <w:t xml:space="preserve">Règlement (CE) </w:t>
            </w:r>
            <w:r>
              <w:t>No</w:t>
            </w:r>
            <w:r w:rsidRPr="00DB1462">
              <w:t> 79/2009 du Parlement européen et du Conseil du 14 janvier 2009 concernant la réception par type des véhicules à moteur fonctionnant à l’hydrogène et modifiant la directive 2007/46/CE</w:t>
            </w:r>
          </w:p>
        </w:tc>
      </w:tr>
      <w:tr w:rsidR="00F12C72" w:rsidRPr="00DB1462" w14:paraId="361C2D71" w14:textId="77777777" w:rsidTr="008B7736">
        <w:tc>
          <w:tcPr>
            <w:tcW w:w="3266" w:type="dxa"/>
            <w:shd w:val="clear" w:color="auto" w:fill="auto"/>
          </w:tcPr>
          <w:p w14:paraId="224516B5" w14:textId="77777777" w:rsidR="00F12C72" w:rsidRPr="00DB1462" w:rsidRDefault="00F12C72" w:rsidP="008B7736">
            <w:pPr>
              <w:spacing w:before="40" w:after="120"/>
              <w:ind w:left="113" w:right="113"/>
              <w:rPr>
                <w:lang w:eastAsia="en-GB" w:bidi="en-GB"/>
              </w:rPr>
            </w:pPr>
            <w:r w:rsidRPr="00DB1462">
              <w:t xml:space="preserve">Règlement (UE) </w:t>
            </w:r>
            <w:r>
              <w:t xml:space="preserve">No </w:t>
            </w:r>
            <w:r w:rsidRPr="00DB1462">
              <w:t xml:space="preserve">406/2010 </w:t>
            </w:r>
          </w:p>
        </w:tc>
        <w:tc>
          <w:tcPr>
            <w:tcW w:w="5238" w:type="dxa"/>
            <w:shd w:val="clear" w:color="auto" w:fill="auto"/>
          </w:tcPr>
          <w:p w14:paraId="4F84D640" w14:textId="77777777" w:rsidR="00F12C72" w:rsidRPr="00DB1462" w:rsidRDefault="00F12C72" w:rsidP="008B7736">
            <w:pPr>
              <w:spacing w:before="40" w:after="120"/>
              <w:ind w:left="113" w:right="113"/>
              <w:rPr>
                <w:lang w:eastAsia="en-GB" w:bidi="en-GB"/>
              </w:rPr>
            </w:pPr>
            <w:r w:rsidRPr="00DB1462">
              <w:t xml:space="preserve">Règlement (UE) </w:t>
            </w:r>
            <w:r>
              <w:t>No</w:t>
            </w:r>
            <w:r w:rsidRPr="00DB1462">
              <w:t xml:space="preserve"> 406/2010 de la Commission du 26 avril 2010 portant application du Règlement (CE) </w:t>
            </w:r>
            <w:r>
              <w:t xml:space="preserve">No </w:t>
            </w:r>
            <w:r w:rsidRPr="00DB1462">
              <w:t>79/2009 du Parlement européen et du Conseil concernant la réception par type des véhicules à moteur fonctionnant à l’hydrogène</w:t>
            </w:r>
          </w:p>
        </w:tc>
      </w:tr>
      <w:tr w:rsidR="00F12C72" w:rsidRPr="00DB1462" w14:paraId="04EA3AAB" w14:textId="77777777" w:rsidTr="008B7736">
        <w:tc>
          <w:tcPr>
            <w:tcW w:w="3266" w:type="dxa"/>
            <w:shd w:val="clear" w:color="auto" w:fill="auto"/>
          </w:tcPr>
          <w:p w14:paraId="720819DF" w14:textId="77777777" w:rsidR="00F12C72" w:rsidRPr="00DB1462" w:rsidRDefault="00F12C72" w:rsidP="008B7736">
            <w:pPr>
              <w:spacing w:before="40" w:after="120"/>
              <w:ind w:left="113" w:right="113"/>
              <w:rPr>
                <w:lang w:eastAsia="en-GB" w:bidi="en-GB"/>
              </w:rPr>
            </w:pPr>
            <w:r w:rsidRPr="00DB1462">
              <w:rPr>
                <w:lang w:eastAsia="en-GB" w:bidi="en-GB"/>
              </w:rPr>
              <w:t xml:space="preserve">Règlement </w:t>
            </w:r>
            <w:r w:rsidRPr="001B3FC0">
              <w:t xml:space="preserve">ECE No </w:t>
            </w:r>
            <w:r w:rsidRPr="00DB1462">
              <w:rPr>
                <w:lang w:eastAsia="en-GB" w:bidi="en-GB"/>
              </w:rPr>
              <w:t xml:space="preserve">134 </w:t>
            </w:r>
          </w:p>
        </w:tc>
        <w:tc>
          <w:tcPr>
            <w:tcW w:w="5238" w:type="dxa"/>
            <w:shd w:val="clear" w:color="auto" w:fill="auto"/>
          </w:tcPr>
          <w:p w14:paraId="3BD56757" w14:textId="77777777" w:rsidR="00F12C72" w:rsidRPr="00DB1462" w:rsidRDefault="00F12C72" w:rsidP="008B7736">
            <w:pPr>
              <w:spacing w:before="40" w:after="120"/>
              <w:ind w:left="113" w:right="113"/>
              <w:rPr>
                <w:lang w:eastAsia="en-GB" w:bidi="en-GB"/>
              </w:rPr>
            </w:pPr>
            <w:r w:rsidRPr="00DB1462">
              <w:t xml:space="preserve">Règlement </w:t>
            </w:r>
            <w:r w:rsidRPr="001B3FC0">
              <w:t xml:space="preserve">ECE No </w:t>
            </w:r>
            <w:r w:rsidRPr="00DB1462">
              <w:t>134 (Véhicules à hydrogène et à pile à combustible (HFCV))</w:t>
            </w:r>
          </w:p>
        </w:tc>
      </w:tr>
      <w:tr w:rsidR="00F12C72" w:rsidRPr="00DB1462" w14:paraId="154D1E4D" w14:textId="77777777" w:rsidTr="008B7736">
        <w:tc>
          <w:tcPr>
            <w:tcW w:w="3266" w:type="dxa"/>
            <w:shd w:val="clear" w:color="auto" w:fill="auto"/>
          </w:tcPr>
          <w:p w14:paraId="28D95F3B" w14:textId="77777777" w:rsidR="00F12C72" w:rsidRPr="00DB1462" w:rsidRDefault="00F12C72" w:rsidP="008B7736">
            <w:pPr>
              <w:spacing w:before="40" w:after="120"/>
              <w:ind w:left="113" w:right="113"/>
              <w:rPr>
                <w:lang w:eastAsia="en-GB" w:bidi="en-GB"/>
              </w:rPr>
            </w:pPr>
            <w:r w:rsidRPr="00DB1462">
              <w:t>CSA B51</w:t>
            </w:r>
            <w:r>
              <w:t>−</w:t>
            </w:r>
            <w:r w:rsidRPr="00DB1462">
              <w:t xml:space="preserve"> Deuxième partie</w:t>
            </w:r>
            <w:r>
              <w:t>:2014</w:t>
            </w:r>
          </w:p>
        </w:tc>
        <w:tc>
          <w:tcPr>
            <w:tcW w:w="5238" w:type="dxa"/>
            <w:shd w:val="clear" w:color="auto" w:fill="auto"/>
          </w:tcPr>
          <w:p w14:paraId="36271B3F" w14:textId="38B0BE30" w:rsidR="00F12C72" w:rsidRPr="00DB1462" w:rsidRDefault="00F12C72" w:rsidP="008B7736">
            <w:pPr>
              <w:spacing w:before="40" w:after="120"/>
              <w:ind w:left="113" w:right="113"/>
              <w:rPr>
                <w:lang w:eastAsia="en-GB" w:bidi="en-GB"/>
              </w:rPr>
            </w:pPr>
            <w:r w:rsidRPr="00DB1462">
              <w:t xml:space="preserve">Code sur les chaudières, les appareils et les tuyauteries sous pression </w:t>
            </w:r>
            <w:r>
              <w:t>−</w:t>
            </w:r>
            <w:r w:rsidRPr="00DB1462">
              <w:t xml:space="preserve"> Deuxième partie</w:t>
            </w:r>
            <w:r>
              <w:t>:</w:t>
            </w:r>
            <w:r w:rsidRPr="00DB1462">
              <w:t xml:space="preserve"> Exigences s’appliquant aux cylindres à haute pression servant à l’entreposage de carburant à bord de véhicules automobiles</w:t>
            </w:r>
          </w:p>
        </w:tc>
      </w:tr>
    </w:tbl>
    <w:p w14:paraId="4A901E5A" w14:textId="6A9D92FC" w:rsidR="00F12C72" w:rsidRPr="0022565D" w:rsidRDefault="00F12C72" w:rsidP="00F12C72">
      <w:pPr>
        <w:pStyle w:val="SingleTxtG"/>
        <w:spacing w:before="120"/>
        <w:ind w:left="1138" w:right="1138" w:firstLine="562"/>
      </w:pPr>
      <w:r w:rsidRPr="0022565D">
        <w:t xml:space="preserve">Le transport des réservoirs à gaz conçus et fabriqués conformément aux précédentes versions des normes ou règlements pertinents, applicables aux réservoirs à gaz destinés aux </w:t>
      </w:r>
      <w:r w:rsidRPr="0022565D">
        <w:lastRenderedPageBreak/>
        <w:t xml:space="preserve">véhicules automobiles, en vigueur au moment de l’homologation des véhicules </w:t>
      </w:r>
      <w:r w:rsidR="00553856">
        <w:t>pour</w:t>
      </w:r>
      <w:r w:rsidRPr="0022565D">
        <w:t xml:space="preserve"> lesquels ces réservoirs </w:t>
      </w:r>
      <w:r w:rsidR="00553856">
        <w:t>ont été conçus et construits</w:t>
      </w:r>
      <w:r w:rsidRPr="0022565D">
        <w:t>, reste autorisé</w:t>
      </w:r>
      <w:r w:rsidR="003B798C" w:rsidRPr="0022565D">
        <w:t>;</w:t>
      </w:r>
    </w:p>
    <w:p w14:paraId="15E94D3F" w14:textId="046078F6" w:rsidR="00F12C72" w:rsidRPr="00F12C72" w:rsidRDefault="00F12C72" w:rsidP="00F12C72">
      <w:pPr>
        <w:pStyle w:val="SingleTxtG"/>
      </w:pPr>
      <w:r w:rsidRPr="0022565D">
        <w:t>b)</w:t>
      </w:r>
      <w:r w:rsidRPr="0022565D">
        <w:tab/>
        <w:t>Les systèmes de confinement de gaz combustible doivent être étanches et ne présenter aucun dommage externe susceptible d’affecter la sécurité</w:t>
      </w:r>
      <w:r w:rsidR="007075CD" w:rsidRPr="0022565D">
        <w:t>;</w:t>
      </w:r>
    </w:p>
    <w:p w14:paraId="3245289A" w14:textId="77777777" w:rsidR="00F12C72" w:rsidRPr="00F12C72" w:rsidRDefault="00F12C72" w:rsidP="003B798C">
      <w:pPr>
        <w:pStyle w:val="SingleTxtG"/>
        <w:rPr>
          <w:i/>
        </w:rPr>
      </w:pPr>
      <w:r w:rsidRPr="00F12C72">
        <w:rPr>
          <w:b/>
          <w:i/>
        </w:rPr>
        <w:t>NOTA 1:</w:t>
      </w:r>
      <w:r w:rsidRPr="00F12C72">
        <w:rPr>
          <w:i/>
        </w:rPr>
        <w:t xml:space="preserve"> Les critères sont énoncés dans la norme ISO 11623:2015 Bouteilles à gaz transportable − Contrôles et essais périodiques des bouteilles à gaz en matériau composite (ou ISO 19078:2013 Bouteilles à gaz − Inspection de l’installation des bouteilles, et requalification des bouteilles haute pression pour le stockage du gaz naturel, utilisé comme carburant, à bord des véhicules automobiles).</w:t>
      </w:r>
    </w:p>
    <w:p w14:paraId="2233770F" w14:textId="08320313" w:rsidR="00F12C72" w:rsidRPr="00F12C72" w:rsidRDefault="00F12C72" w:rsidP="0022565D">
      <w:pPr>
        <w:pStyle w:val="SingleTxtG"/>
        <w:ind w:firstLine="567"/>
        <w:rPr>
          <w:i/>
        </w:rPr>
      </w:pPr>
      <w:r w:rsidRPr="00F12C72">
        <w:rPr>
          <w:b/>
          <w:i/>
        </w:rPr>
        <w:t>2:</w:t>
      </w:r>
      <w:r w:rsidRPr="00F12C72">
        <w:rPr>
          <w:i/>
        </w:rPr>
        <w:t xml:space="preserve"> Si les systèmes de confinement de gaz combustible ne sont pas étanches ou s’ils sont trop remplis ou s’ils présentent des dommages qui pourraient affecter la sécurité</w:t>
      </w:r>
      <w:r w:rsidR="00555DEB">
        <w:rPr>
          <w:i/>
        </w:rPr>
        <w:t xml:space="preserve"> </w:t>
      </w:r>
      <w:r w:rsidR="00555DEB" w:rsidRPr="00555DEB">
        <w:rPr>
          <w:i/>
        </w:rPr>
        <w:t>(</w:t>
      </w:r>
      <w:r w:rsidR="00555DEB">
        <w:rPr>
          <w:i/>
        </w:rPr>
        <w:t>p</w:t>
      </w:r>
      <w:r w:rsidR="00555DEB" w:rsidRPr="00555DEB">
        <w:rPr>
          <w:i/>
        </w:rPr>
        <w:t>ar exemple, dans le cas d'un rappel relatif à la sécurité)</w:t>
      </w:r>
      <w:r w:rsidRPr="00F12C72">
        <w:rPr>
          <w:i/>
        </w:rPr>
        <w:t>, ils ne peuvent être transportés que dans des récipients à pression de secours conformes au présent Règlement.</w:t>
      </w:r>
    </w:p>
    <w:p w14:paraId="2B6B4F7F" w14:textId="6FAFB1EB" w:rsidR="00F12C72" w:rsidRPr="0022565D" w:rsidRDefault="00F12C72" w:rsidP="00F12C72">
      <w:pPr>
        <w:pStyle w:val="SingleTxtG"/>
      </w:pPr>
      <w:r w:rsidRPr="0022565D">
        <w:t>c)</w:t>
      </w:r>
      <w:r w:rsidRPr="0022565D">
        <w:tab/>
        <w:t>Si le système de confinement des gaz est équipé d’au moins deux robinets intégrés en série, les deux robinets doivent être obturés de manière à être étanches au gaz dans les conditions normales de transport. Si un seul robinet existe ou fonctionne correctement, toutes les ouvertures à l’exception de celle du dispositif de décompression, doivent être obturées de façon à être étanches aux gaz dans les conditions normales de transport</w:t>
      </w:r>
      <w:r w:rsidR="007075CD" w:rsidRPr="0022565D">
        <w:t>;</w:t>
      </w:r>
    </w:p>
    <w:p w14:paraId="4ED574D5" w14:textId="424969D3" w:rsidR="00F12C72" w:rsidRPr="0022565D" w:rsidRDefault="00F12C72" w:rsidP="00F12C72">
      <w:pPr>
        <w:pStyle w:val="SingleTxtG"/>
      </w:pPr>
      <w:r w:rsidRPr="0022565D">
        <w:t>d)</w:t>
      </w:r>
      <w:r w:rsidRPr="0022565D">
        <w:tab/>
        <w:t>Les systèmes de confinement de gaz combustible doivent être transportés de façon à éviter toute obstruction du dispositif de décompression et tout endommagement des robinets et de toute autre partie sous pression des systèmes de confinement de gaz combustible et tout dégagement accidentel de gaz dans les conditions normales de transport. Le système de confinement de gaz combustible doit être fixé de façon à ne pas glisser, à ne pas rouler et à ne pas subir de déplacements verticaux</w:t>
      </w:r>
      <w:r w:rsidR="007075CD" w:rsidRPr="0022565D">
        <w:t>;</w:t>
      </w:r>
    </w:p>
    <w:p w14:paraId="6DEFE3F8" w14:textId="156D9B65" w:rsidR="00F12C72" w:rsidRPr="0022565D" w:rsidRDefault="00F12C72" w:rsidP="00F12C72">
      <w:pPr>
        <w:pStyle w:val="SingleTxtG"/>
      </w:pPr>
      <w:r w:rsidRPr="0022565D">
        <w:t>e)</w:t>
      </w:r>
      <w:r w:rsidRPr="0022565D">
        <w:tab/>
        <w:t>Les robinets doivent être protégés par l’une des méthodes décrites au 4.1.6.1.8, alinéas a) à e)</w:t>
      </w:r>
      <w:r w:rsidR="007075CD" w:rsidRPr="0022565D">
        <w:t>;</w:t>
      </w:r>
    </w:p>
    <w:p w14:paraId="2709A412" w14:textId="28EF4011" w:rsidR="00F12C72" w:rsidRPr="0022565D" w:rsidRDefault="00F12C72" w:rsidP="00F12C72">
      <w:pPr>
        <w:pStyle w:val="SingleTxtG"/>
      </w:pPr>
      <w:r w:rsidRPr="0022565D">
        <w:t>f)</w:t>
      </w:r>
      <w:r w:rsidRPr="0022565D">
        <w:tab/>
        <w:t>Sauf dans le cas des systèmes de confinement de gaz combustible transportés en vue de leur élimination, de leur recyclage, de leur réparation, de leur inspection, ou de leur entretien, les systèmes de confinement de gaz combustible ne doivent pas être remplis à plus de 20 % de leur taux de remplissage nominal ou de leur pression de service nominale, selon qu’il convient</w:t>
      </w:r>
      <w:r w:rsidR="007075CD" w:rsidRPr="0022565D">
        <w:t>;</w:t>
      </w:r>
      <w:r w:rsidRPr="0022565D">
        <w:t xml:space="preserve"> </w:t>
      </w:r>
    </w:p>
    <w:p w14:paraId="37E80D7F" w14:textId="136BD900" w:rsidR="00F12C72" w:rsidRPr="0022565D" w:rsidRDefault="00F12C72" w:rsidP="00F12C72">
      <w:pPr>
        <w:pStyle w:val="SingleTxtG"/>
      </w:pPr>
      <w:r w:rsidRPr="0022565D">
        <w:t>g)</w:t>
      </w:r>
      <w:r w:rsidRPr="0022565D">
        <w:tab/>
        <w:t xml:space="preserve">Nonobstant les dispositions du chapitre 5.2, lorsque les systèmes de confinement des gaz combustibles sont expédiés dans un dispositif de </w:t>
      </w:r>
      <w:r w:rsidR="00BD454A">
        <w:t>manutention, les marqu</w:t>
      </w:r>
      <w:r w:rsidRPr="0022565D">
        <w:t>es et étiquettes peuvent être apposé</w:t>
      </w:r>
      <w:r w:rsidR="00BD454A">
        <w:t>e</w:t>
      </w:r>
      <w:r w:rsidRPr="0022565D">
        <w:t>s sur ledit dispositif</w:t>
      </w:r>
      <w:r w:rsidR="007075CD" w:rsidRPr="0022565D">
        <w:t>;</w:t>
      </w:r>
      <w:r w:rsidRPr="0022565D">
        <w:t xml:space="preserve"> </w:t>
      </w:r>
      <w:r w:rsidR="0028758A" w:rsidRPr="0022565D">
        <w:t>et</w:t>
      </w:r>
    </w:p>
    <w:p w14:paraId="5C5A9B80" w14:textId="45DB448C" w:rsidR="00F12C72" w:rsidRPr="0022565D" w:rsidRDefault="00F12C72" w:rsidP="00F12C72">
      <w:pPr>
        <w:pStyle w:val="SingleTxtG"/>
      </w:pPr>
      <w:r w:rsidRPr="0022565D">
        <w:t>h)</w:t>
      </w:r>
      <w:r w:rsidRPr="0022565D">
        <w:tab/>
        <w:t xml:space="preserve">Nonobstant les dispositions du 5.4.1.5, les renseignements relatifs à la quantité totale de marchandises dangereuses peuvent être remplacés </w:t>
      </w:r>
      <w:r w:rsidR="0086151F" w:rsidRPr="0022565D">
        <w:t>par les renseignements ci-après</w:t>
      </w:r>
      <w:r w:rsidRPr="0022565D">
        <w:t>:</w:t>
      </w:r>
    </w:p>
    <w:p w14:paraId="1B0C5997" w14:textId="16B5146E" w:rsidR="00F12C72" w:rsidRPr="0022565D" w:rsidRDefault="00F12C72" w:rsidP="0086151F">
      <w:pPr>
        <w:pStyle w:val="SingleTxtG"/>
        <w:ind w:firstLine="567"/>
      </w:pPr>
      <w:r w:rsidRPr="0022565D">
        <w:t>i)</w:t>
      </w:r>
      <w:r w:rsidRPr="0022565D">
        <w:tab/>
        <w:t>Le nombre de systèmes de</w:t>
      </w:r>
      <w:r w:rsidR="00A97522" w:rsidRPr="0022565D">
        <w:t xml:space="preserve"> confinement de gaz combustible</w:t>
      </w:r>
      <w:r w:rsidRPr="0022565D">
        <w:t>;</w:t>
      </w:r>
      <w:r w:rsidR="0028758A" w:rsidRPr="0022565D">
        <w:t xml:space="preserve"> et</w:t>
      </w:r>
    </w:p>
    <w:p w14:paraId="43D5B266" w14:textId="77777777" w:rsidR="00F12C72" w:rsidRPr="0022565D" w:rsidRDefault="00F12C72" w:rsidP="00A7254B">
      <w:pPr>
        <w:pStyle w:val="SingleTxtG"/>
        <w:ind w:left="1701"/>
      </w:pPr>
      <w:r w:rsidRPr="0022565D">
        <w:t>ii)</w:t>
      </w:r>
      <w:r w:rsidRPr="0022565D">
        <w:tab/>
        <w:t>Dans le cas des gaz liquéfiés, la masse nette totale (kg) de gaz pour chaque système de confinement de gaz combustible et, dans le cas des gaz comprimés, la capacité totale en eau (</w:t>
      </w:r>
      <w:r w:rsidRPr="0022565D">
        <w:rPr>
          <w:i/>
        </w:rPr>
        <w:t>l</w:t>
      </w:r>
      <w:r w:rsidRPr="0022565D">
        <w:t xml:space="preserve">) de chaque système de confinement de gaz combustible, suivie de la pression nominale de service. </w:t>
      </w:r>
    </w:p>
    <w:p w14:paraId="7829C3E6" w14:textId="67B73F01" w:rsidR="00F12C72" w:rsidRPr="0022565D" w:rsidRDefault="00F12C72" w:rsidP="00A7254B">
      <w:pPr>
        <w:pStyle w:val="SingleTxtG"/>
        <w:ind w:firstLine="567"/>
      </w:pPr>
      <w:r w:rsidRPr="0022565D">
        <w:t>Exemples de renseignements à mentionner s</w:t>
      </w:r>
      <w:r w:rsidR="00771312">
        <w:t>ur le document de transport</w:t>
      </w:r>
      <w:r w:rsidRPr="0022565D">
        <w:t>:</w:t>
      </w:r>
    </w:p>
    <w:p w14:paraId="754D4E61" w14:textId="1D620CA2" w:rsidR="00F12C72" w:rsidRPr="0022565D" w:rsidRDefault="00771312" w:rsidP="00A7254B">
      <w:pPr>
        <w:pStyle w:val="SingleTxtG"/>
        <w:ind w:left="1701"/>
      </w:pPr>
      <w:r>
        <w:t>Exemple 1</w:t>
      </w:r>
      <w:r w:rsidR="00F12C72" w:rsidRPr="0022565D">
        <w:t>: “No ONU 1971 gaz naturel, comprimé, 2.1, un dispositif de stockage de gaz combustible d’une capacité totale de 50 l, 200 bar”.</w:t>
      </w:r>
    </w:p>
    <w:p w14:paraId="5487B78E" w14:textId="11AA2F80" w:rsidR="00F12C72" w:rsidRPr="00F12C72" w:rsidRDefault="00771312" w:rsidP="00A7254B">
      <w:pPr>
        <w:pStyle w:val="SingleTxtG"/>
        <w:ind w:left="1701"/>
      </w:pPr>
      <w:r>
        <w:lastRenderedPageBreak/>
        <w:t>Exemple 2</w:t>
      </w:r>
      <w:r w:rsidR="00F12C72" w:rsidRPr="0022565D">
        <w:t>: “No ONU 1965 hydrocarbures gazeux en mélange, liquéfié, N.S.A., 2.1, trois dispositifs</w:t>
      </w:r>
      <w:r w:rsidR="00565907">
        <w:t xml:space="preserve"> de stockage de gaz combustible</w:t>
      </w:r>
      <w:r w:rsidR="00F12C72" w:rsidRPr="0022565D">
        <w:t>, la masse de gaz étant pour chacun de 15 kg”. ».</w:t>
      </w:r>
    </w:p>
    <w:p w14:paraId="0B7CF19E" w14:textId="77777777" w:rsidR="00196C06" w:rsidRDefault="00196C06" w:rsidP="00196C06">
      <w:pPr>
        <w:pStyle w:val="H1G"/>
      </w:pPr>
      <w:r>
        <w:tab/>
      </w:r>
      <w:r>
        <w:tab/>
      </w:r>
      <w:r w:rsidRPr="0006668C">
        <w:t>Chapitre 3</w:t>
      </w:r>
      <w:r>
        <w:t>.5</w:t>
      </w:r>
    </w:p>
    <w:p w14:paraId="534DEF26" w14:textId="77777777" w:rsidR="00196C06" w:rsidRDefault="00196C06" w:rsidP="00196C06">
      <w:pPr>
        <w:pStyle w:val="SingleTxtG"/>
      </w:pPr>
      <w:r w:rsidRPr="00EF61FC">
        <w:rPr>
          <w:lang w:val="fr-FR"/>
        </w:rPr>
        <w:t xml:space="preserve">3.5.4.1 </w:t>
      </w:r>
      <w:r>
        <w:rPr>
          <w:lang w:val="fr-FR"/>
        </w:rPr>
        <w:tab/>
        <w:t>Remplacer «classe de risque» par «classe de danger».</w:t>
      </w:r>
    </w:p>
    <w:p w14:paraId="736FB9E3" w14:textId="77777777" w:rsidR="00196C06" w:rsidRPr="0059443A" w:rsidRDefault="00196C06" w:rsidP="00196C06">
      <w:pPr>
        <w:pStyle w:val="H1G"/>
      </w:pPr>
      <w:r w:rsidRPr="0059443A">
        <w:tab/>
      </w:r>
      <w:r w:rsidRPr="0059443A">
        <w:tab/>
        <w:t>Appendice A</w:t>
      </w:r>
    </w:p>
    <w:p w14:paraId="203B3493" w14:textId="7F23B6C6" w:rsidR="00196C06" w:rsidRPr="0059443A" w:rsidRDefault="00196C06" w:rsidP="00196C06">
      <w:pPr>
        <w:spacing w:before="120" w:after="120" w:line="240" w:lineRule="auto"/>
        <w:ind w:left="1134" w:right="1134"/>
        <w:jc w:val="both"/>
        <w:rPr>
          <w:lang w:eastAsia="en-GB"/>
        </w:rPr>
      </w:pPr>
      <w:r w:rsidRPr="0059443A">
        <w:rPr>
          <w:bCs/>
        </w:rPr>
        <w:t>Liste des désignations offi</w:t>
      </w:r>
      <w:r w:rsidR="0022565D">
        <w:rPr>
          <w:bCs/>
        </w:rPr>
        <w:t>cielles de transport génériques</w:t>
      </w:r>
      <w:r w:rsidRPr="0059443A">
        <w:rPr>
          <w:bCs/>
        </w:rPr>
        <w:t xml:space="preserve"> et non spécifiées par ailleurs (N.S.A.)</w:t>
      </w:r>
      <w:r w:rsidRPr="0059443A">
        <w:rPr>
          <w:bCs/>
          <w:lang w:eastAsia="en-GB"/>
        </w:rPr>
        <w:t>, intitulé de la colonne 2</w:t>
      </w:r>
      <w:r w:rsidRPr="0059443A">
        <w:rPr>
          <w:bCs/>
          <w:lang w:eastAsia="en-GB"/>
        </w:rPr>
        <w:tab/>
      </w:r>
      <w:r w:rsidRPr="0059443A">
        <w:rPr>
          <w:lang w:eastAsia="en-GB"/>
        </w:rPr>
        <w:t>Remplacer «risque» par «danger».</w:t>
      </w:r>
    </w:p>
    <w:p w14:paraId="451B9E61" w14:textId="77777777" w:rsidR="00676CB4" w:rsidRPr="003024FD" w:rsidRDefault="00676CB4" w:rsidP="00676CB4">
      <w:pPr>
        <w:pStyle w:val="SingleTxtG"/>
        <w:rPr>
          <w:rFonts w:asciiTheme="majorBidi" w:hAnsiTheme="majorBidi" w:cstheme="majorBidi"/>
          <w:color w:val="000000"/>
          <w:lang w:val="fr-FR"/>
        </w:rPr>
      </w:pPr>
      <w:r w:rsidRPr="003024FD">
        <w:rPr>
          <w:rFonts w:asciiTheme="majorBidi" w:hAnsiTheme="majorBidi" w:cstheme="majorBidi"/>
          <w:color w:val="000000"/>
          <w:lang w:val="fr-FR"/>
        </w:rPr>
        <w:t>Dans le tableau, pour la Classe 2, division 2.1, sous “Rubriques générales”, ajouter la nouvelle rubrique suivante:</w:t>
      </w:r>
    </w:p>
    <w:tbl>
      <w:tblPr>
        <w:tblStyle w:val="TableGrid"/>
        <w:tblW w:w="0" w:type="auto"/>
        <w:tblInd w:w="1134" w:type="dxa"/>
        <w:tblLook w:val="04A0" w:firstRow="1" w:lastRow="0" w:firstColumn="1" w:lastColumn="0" w:noHBand="0" w:noVBand="1"/>
      </w:tblPr>
      <w:tblGrid>
        <w:gridCol w:w="1242"/>
        <w:gridCol w:w="1276"/>
        <w:gridCol w:w="1134"/>
        <w:gridCol w:w="4456"/>
      </w:tblGrid>
      <w:tr w:rsidR="00676CB4" w:rsidRPr="003024FD" w14:paraId="658B9837" w14:textId="77777777" w:rsidTr="00791025">
        <w:tc>
          <w:tcPr>
            <w:tcW w:w="1242" w:type="dxa"/>
          </w:tcPr>
          <w:p w14:paraId="4F97C6AE"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2.1</w:t>
            </w:r>
          </w:p>
        </w:tc>
        <w:tc>
          <w:tcPr>
            <w:tcW w:w="1276" w:type="dxa"/>
          </w:tcPr>
          <w:p w14:paraId="0CADDA14"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Voir 2.0.5.6</w:t>
            </w:r>
          </w:p>
        </w:tc>
        <w:tc>
          <w:tcPr>
            <w:tcW w:w="1134" w:type="dxa"/>
          </w:tcPr>
          <w:p w14:paraId="0493F514"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3537</w:t>
            </w:r>
          </w:p>
        </w:tc>
        <w:tc>
          <w:tcPr>
            <w:tcW w:w="4456" w:type="dxa"/>
          </w:tcPr>
          <w:p w14:paraId="3B2DC281" w14:textId="77777777" w:rsidR="00676CB4" w:rsidRPr="003024FD" w:rsidRDefault="00676CB4" w:rsidP="00791025">
            <w:pPr>
              <w:keepNext/>
              <w:keepLines/>
              <w:suppressAutoHyphens w:val="0"/>
              <w:autoSpaceDE w:val="0"/>
              <w:autoSpaceDN w:val="0"/>
              <w:adjustRightInd w:val="0"/>
              <w:spacing w:line="240" w:lineRule="auto"/>
              <w:ind w:left="175" w:hanging="175"/>
              <w:rPr>
                <w:color w:val="000000"/>
                <w:sz w:val="18"/>
                <w:szCs w:val="18"/>
                <w:lang w:val="fr-FR"/>
              </w:rPr>
            </w:pPr>
            <w:r w:rsidRPr="003024FD">
              <w:rPr>
                <w:sz w:val="18"/>
                <w:szCs w:val="18"/>
                <w:lang w:val="fr-FR" w:eastAsia="zh-CN"/>
              </w:rPr>
              <w:t xml:space="preserve">OBJETS CONTENANT </w:t>
            </w:r>
            <w:r>
              <w:rPr>
                <w:sz w:val="18"/>
                <w:szCs w:val="18"/>
                <w:lang w:val="fr-FR" w:eastAsia="zh-CN"/>
              </w:rPr>
              <w:t>DU GAZ INFLAMMABLE</w:t>
            </w:r>
            <w:r w:rsidRPr="003024FD">
              <w:rPr>
                <w:sz w:val="18"/>
                <w:szCs w:val="18"/>
                <w:lang w:val="fr-FR" w:eastAsia="zh-CN"/>
              </w:rPr>
              <w:t>, N.S.A.</w:t>
            </w:r>
          </w:p>
        </w:tc>
      </w:tr>
    </w:tbl>
    <w:p w14:paraId="375B6F84" w14:textId="77777777" w:rsidR="00676CB4" w:rsidRPr="003024FD" w:rsidRDefault="00676CB4" w:rsidP="00676CB4">
      <w:pPr>
        <w:pStyle w:val="SingleTxtG"/>
        <w:spacing w:before="120"/>
        <w:rPr>
          <w:rFonts w:asciiTheme="majorBidi" w:hAnsiTheme="majorBidi" w:cstheme="majorBidi"/>
          <w:color w:val="000000"/>
          <w:lang w:val="fr-FR"/>
        </w:rPr>
      </w:pPr>
      <w:r w:rsidRPr="003024FD">
        <w:rPr>
          <w:rFonts w:asciiTheme="majorBidi" w:hAnsiTheme="majorBidi" w:cstheme="majorBidi"/>
          <w:color w:val="000000"/>
          <w:lang w:val="fr-FR"/>
        </w:rPr>
        <w:t>Dans le tableau, pour la Classe 2, division 2.2, sous “Rubriques générales”, ajouter la nouvelle rubrique suivante:</w:t>
      </w:r>
    </w:p>
    <w:tbl>
      <w:tblPr>
        <w:tblStyle w:val="TableGrid"/>
        <w:tblW w:w="0" w:type="auto"/>
        <w:tblInd w:w="1134" w:type="dxa"/>
        <w:tblLook w:val="04A0" w:firstRow="1" w:lastRow="0" w:firstColumn="1" w:lastColumn="0" w:noHBand="0" w:noVBand="1"/>
      </w:tblPr>
      <w:tblGrid>
        <w:gridCol w:w="1242"/>
        <w:gridCol w:w="1276"/>
        <w:gridCol w:w="1134"/>
        <w:gridCol w:w="4456"/>
      </w:tblGrid>
      <w:tr w:rsidR="00676CB4" w:rsidRPr="003024FD" w14:paraId="5F379FD7" w14:textId="77777777" w:rsidTr="00791025">
        <w:tc>
          <w:tcPr>
            <w:tcW w:w="1242" w:type="dxa"/>
          </w:tcPr>
          <w:p w14:paraId="49D1E641"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2.2</w:t>
            </w:r>
          </w:p>
        </w:tc>
        <w:tc>
          <w:tcPr>
            <w:tcW w:w="1276" w:type="dxa"/>
          </w:tcPr>
          <w:p w14:paraId="147B3A83"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Voir 2.0.5.6</w:t>
            </w:r>
          </w:p>
        </w:tc>
        <w:tc>
          <w:tcPr>
            <w:tcW w:w="1134" w:type="dxa"/>
          </w:tcPr>
          <w:p w14:paraId="56806079"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3538</w:t>
            </w:r>
          </w:p>
        </w:tc>
        <w:tc>
          <w:tcPr>
            <w:tcW w:w="4456" w:type="dxa"/>
          </w:tcPr>
          <w:p w14:paraId="1601D43B" w14:textId="77777777" w:rsidR="00676CB4" w:rsidRPr="003024FD" w:rsidRDefault="00676CB4" w:rsidP="00791025">
            <w:pPr>
              <w:keepNext/>
              <w:keepLines/>
              <w:suppressAutoHyphens w:val="0"/>
              <w:autoSpaceDE w:val="0"/>
              <w:autoSpaceDN w:val="0"/>
              <w:adjustRightInd w:val="0"/>
              <w:spacing w:line="240" w:lineRule="auto"/>
              <w:ind w:left="175" w:hanging="175"/>
              <w:rPr>
                <w:color w:val="000000"/>
                <w:sz w:val="18"/>
                <w:szCs w:val="18"/>
                <w:lang w:val="fr-FR"/>
              </w:rPr>
            </w:pPr>
            <w:r w:rsidRPr="003024FD">
              <w:rPr>
                <w:sz w:val="18"/>
                <w:szCs w:val="18"/>
                <w:lang w:val="fr-FR" w:eastAsia="zh-CN"/>
              </w:rPr>
              <w:t xml:space="preserve">OBJETS CONTENANT </w:t>
            </w:r>
            <w:r>
              <w:rPr>
                <w:sz w:val="18"/>
                <w:szCs w:val="18"/>
                <w:lang w:val="fr-FR" w:eastAsia="zh-CN"/>
              </w:rPr>
              <w:t>DU GAZ ININFLAMMABLE, NON TOXIQUE</w:t>
            </w:r>
            <w:r w:rsidRPr="003024FD">
              <w:rPr>
                <w:sz w:val="18"/>
                <w:szCs w:val="18"/>
                <w:lang w:val="fr-FR" w:eastAsia="zh-CN"/>
              </w:rPr>
              <w:t>, N.S.A.</w:t>
            </w:r>
          </w:p>
        </w:tc>
      </w:tr>
    </w:tbl>
    <w:p w14:paraId="73FBF516" w14:textId="77777777" w:rsidR="00676CB4" w:rsidRPr="003024FD" w:rsidRDefault="00676CB4" w:rsidP="00676CB4">
      <w:pPr>
        <w:pStyle w:val="SingleTxtG"/>
        <w:spacing w:before="120"/>
        <w:rPr>
          <w:rFonts w:asciiTheme="majorBidi" w:hAnsiTheme="majorBidi" w:cstheme="majorBidi"/>
          <w:color w:val="000000"/>
          <w:lang w:val="fr-FR"/>
        </w:rPr>
      </w:pPr>
      <w:r w:rsidRPr="003024FD">
        <w:rPr>
          <w:rFonts w:asciiTheme="majorBidi" w:hAnsiTheme="majorBidi" w:cstheme="majorBidi"/>
          <w:color w:val="000000"/>
          <w:lang w:val="fr-FR"/>
        </w:rPr>
        <w:t>Dans le tableau, pour la Classe 2, division 2.3, sous “Rubriques générales”, ajouter la nouvelle rubrique suivante:</w:t>
      </w:r>
    </w:p>
    <w:tbl>
      <w:tblPr>
        <w:tblStyle w:val="TableGrid"/>
        <w:tblW w:w="0" w:type="auto"/>
        <w:tblInd w:w="1134" w:type="dxa"/>
        <w:tblLook w:val="04A0" w:firstRow="1" w:lastRow="0" w:firstColumn="1" w:lastColumn="0" w:noHBand="0" w:noVBand="1"/>
      </w:tblPr>
      <w:tblGrid>
        <w:gridCol w:w="1242"/>
        <w:gridCol w:w="1276"/>
        <w:gridCol w:w="1134"/>
        <w:gridCol w:w="4456"/>
      </w:tblGrid>
      <w:tr w:rsidR="00676CB4" w:rsidRPr="003024FD" w14:paraId="3308401C" w14:textId="77777777" w:rsidTr="00791025">
        <w:tc>
          <w:tcPr>
            <w:tcW w:w="1242" w:type="dxa"/>
          </w:tcPr>
          <w:p w14:paraId="23F6421B"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2.3</w:t>
            </w:r>
          </w:p>
        </w:tc>
        <w:tc>
          <w:tcPr>
            <w:tcW w:w="1276" w:type="dxa"/>
          </w:tcPr>
          <w:p w14:paraId="3952DC0D"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Voir 2.0.5.6</w:t>
            </w:r>
          </w:p>
        </w:tc>
        <w:tc>
          <w:tcPr>
            <w:tcW w:w="1134" w:type="dxa"/>
          </w:tcPr>
          <w:p w14:paraId="3AD0BB2F"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3539</w:t>
            </w:r>
          </w:p>
        </w:tc>
        <w:tc>
          <w:tcPr>
            <w:tcW w:w="4456" w:type="dxa"/>
          </w:tcPr>
          <w:p w14:paraId="74A9D974" w14:textId="77777777" w:rsidR="00676CB4" w:rsidRPr="003024FD" w:rsidRDefault="00676CB4" w:rsidP="00791025">
            <w:pPr>
              <w:keepNext/>
              <w:keepLines/>
              <w:suppressAutoHyphens w:val="0"/>
              <w:autoSpaceDE w:val="0"/>
              <w:autoSpaceDN w:val="0"/>
              <w:adjustRightInd w:val="0"/>
              <w:spacing w:line="240" w:lineRule="auto"/>
              <w:ind w:left="175" w:hanging="175"/>
              <w:rPr>
                <w:color w:val="000000"/>
                <w:sz w:val="18"/>
                <w:szCs w:val="18"/>
                <w:lang w:val="fr-FR"/>
              </w:rPr>
            </w:pPr>
            <w:r w:rsidRPr="003024FD">
              <w:rPr>
                <w:sz w:val="18"/>
                <w:szCs w:val="18"/>
                <w:lang w:val="fr-FR" w:eastAsia="zh-CN"/>
              </w:rPr>
              <w:t xml:space="preserve">OBJETS CONTENANT </w:t>
            </w:r>
            <w:r>
              <w:rPr>
                <w:sz w:val="18"/>
                <w:szCs w:val="18"/>
                <w:lang w:val="fr-FR" w:eastAsia="zh-CN"/>
              </w:rPr>
              <w:t>DU GAZ TOXIQUE</w:t>
            </w:r>
            <w:r w:rsidRPr="003024FD">
              <w:rPr>
                <w:sz w:val="18"/>
                <w:szCs w:val="18"/>
                <w:lang w:val="fr-FR" w:eastAsia="zh-CN"/>
              </w:rPr>
              <w:t>, N.S.A.</w:t>
            </w:r>
          </w:p>
        </w:tc>
      </w:tr>
    </w:tbl>
    <w:p w14:paraId="5E904D82" w14:textId="77777777" w:rsidR="00676CB4" w:rsidRPr="003024FD" w:rsidRDefault="00676CB4" w:rsidP="00676CB4">
      <w:pPr>
        <w:pStyle w:val="SingleTxtG"/>
        <w:spacing w:before="120"/>
        <w:rPr>
          <w:rFonts w:asciiTheme="majorBidi" w:hAnsiTheme="majorBidi" w:cstheme="majorBidi"/>
          <w:color w:val="000000"/>
          <w:lang w:val="fr-FR"/>
        </w:rPr>
      </w:pPr>
      <w:r w:rsidRPr="003024FD">
        <w:rPr>
          <w:rFonts w:asciiTheme="majorBidi" w:hAnsiTheme="majorBidi" w:cstheme="majorBidi"/>
          <w:color w:val="000000"/>
          <w:lang w:val="fr-FR"/>
        </w:rPr>
        <w:t>Dans le tableau, pour la Classe 3, sous “Rubriques générales”, ajouter la nouvelle rubrique suivante:</w:t>
      </w:r>
    </w:p>
    <w:tbl>
      <w:tblPr>
        <w:tblStyle w:val="TableGrid"/>
        <w:tblW w:w="0" w:type="auto"/>
        <w:tblInd w:w="1134" w:type="dxa"/>
        <w:tblLook w:val="04A0" w:firstRow="1" w:lastRow="0" w:firstColumn="1" w:lastColumn="0" w:noHBand="0" w:noVBand="1"/>
      </w:tblPr>
      <w:tblGrid>
        <w:gridCol w:w="1242"/>
        <w:gridCol w:w="1276"/>
        <w:gridCol w:w="1134"/>
        <w:gridCol w:w="4456"/>
      </w:tblGrid>
      <w:tr w:rsidR="00676CB4" w:rsidRPr="003024FD" w14:paraId="75CBC1FC" w14:textId="77777777" w:rsidTr="00791025">
        <w:tc>
          <w:tcPr>
            <w:tcW w:w="1242" w:type="dxa"/>
          </w:tcPr>
          <w:p w14:paraId="60FA5E2C"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3</w:t>
            </w:r>
          </w:p>
        </w:tc>
        <w:tc>
          <w:tcPr>
            <w:tcW w:w="1276" w:type="dxa"/>
          </w:tcPr>
          <w:p w14:paraId="7FFBB80A"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Voir 2.0.5.6</w:t>
            </w:r>
          </w:p>
        </w:tc>
        <w:tc>
          <w:tcPr>
            <w:tcW w:w="1134" w:type="dxa"/>
          </w:tcPr>
          <w:p w14:paraId="76D053B6"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3540</w:t>
            </w:r>
          </w:p>
        </w:tc>
        <w:tc>
          <w:tcPr>
            <w:tcW w:w="4456" w:type="dxa"/>
          </w:tcPr>
          <w:p w14:paraId="31286587" w14:textId="77777777" w:rsidR="00676CB4" w:rsidRPr="003024FD" w:rsidRDefault="00676CB4" w:rsidP="00791025">
            <w:pPr>
              <w:keepNext/>
              <w:keepLines/>
              <w:suppressAutoHyphens w:val="0"/>
              <w:autoSpaceDE w:val="0"/>
              <w:autoSpaceDN w:val="0"/>
              <w:adjustRightInd w:val="0"/>
              <w:spacing w:line="240" w:lineRule="auto"/>
              <w:ind w:left="175" w:hanging="175"/>
              <w:rPr>
                <w:color w:val="000000"/>
                <w:sz w:val="18"/>
                <w:szCs w:val="18"/>
                <w:lang w:val="fr-FR"/>
              </w:rPr>
            </w:pPr>
            <w:r w:rsidRPr="003024FD">
              <w:rPr>
                <w:sz w:val="18"/>
                <w:szCs w:val="18"/>
                <w:lang w:val="fr-FR" w:eastAsia="zh-CN"/>
              </w:rPr>
              <w:t xml:space="preserve">OBJETS CONTENANT </w:t>
            </w:r>
            <w:r>
              <w:rPr>
                <w:sz w:val="18"/>
                <w:szCs w:val="18"/>
                <w:lang w:val="fr-FR" w:eastAsia="zh-CN"/>
              </w:rPr>
              <w:t>DU LIQUIDE INFLAMMABLE</w:t>
            </w:r>
            <w:r w:rsidRPr="003024FD">
              <w:rPr>
                <w:sz w:val="18"/>
                <w:szCs w:val="18"/>
                <w:lang w:val="fr-FR" w:eastAsia="zh-CN"/>
              </w:rPr>
              <w:t>, N.S.A.</w:t>
            </w:r>
          </w:p>
        </w:tc>
      </w:tr>
    </w:tbl>
    <w:p w14:paraId="24DDC780" w14:textId="77777777" w:rsidR="00676CB4" w:rsidRPr="003024FD" w:rsidRDefault="00676CB4" w:rsidP="00676CB4">
      <w:pPr>
        <w:pStyle w:val="SingleTxtG"/>
        <w:spacing w:before="120"/>
        <w:rPr>
          <w:rFonts w:asciiTheme="majorBidi" w:hAnsiTheme="majorBidi" w:cstheme="majorBidi"/>
          <w:color w:val="000000"/>
          <w:lang w:val="fr-FR"/>
        </w:rPr>
      </w:pPr>
      <w:r w:rsidRPr="003024FD">
        <w:rPr>
          <w:rFonts w:asciiTheme="majorBidi" w:hAnsiTheme="majorBidi" w:cstheme="majorBidi"/>
          <w:color w:val="000000"/>
          <w:lang w:val="fr-FR"/>
        </w:rPr>
        <w:t>Dans le tableau, pour la Classe 4, division 4.1, sous “Rubriques générales”, ajouter la nouvelle rubrique suivante:</w:t>
      </w:r>
    </w:p>
    <w:tbl>
      <w:tblPr>
        <w:tblStyle w:val="TableGrid"/>
        <w:tblW w:w="0" w:type="auto"/>
        <w:tblInd w:w="1134" w:type="dxa"/>
        <w:tblLook w:val="04A0" w:firstRow="1" w:lastRow="0" w:firstColumn="1" w:lastColumn="0" w:noHBand="0" w:noVBand="1"/>
      </w:tblPr>
      <w:tblGrid>
        <w:gridCol w:w="1242"/>
        <w:gridCol w:w="1276"/>
        <w:gridCol w:w="1134"/>
        <w:gridCol w:w="4456"/>
      </w:tblGrid>
      <w:tr w:rsidR="00676CB4" w:rsidRPr="003024FD" w14:paraId="0D8275CF" w14:textId="77777777" w:rsidTr="00791025">
        <w:tc>
          <w:tcPr>
            <w:tcW w:w="1242" w:type="dxa"/>
          </w:tcPr>
          <w:p w14:paraId="6B3B4327"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4.1</w:t>
            </w:r>
          </w:p>
        </w:tc>
        <w:tc>
          <w:tcPr>
            <w:tcW w:w="1276" w:type="dxa"/>
          </w:tcPr>
          <w:p w14:paraId="5B8C1E36"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Voir 2.0.5.6</w:t>
            </w:r>
          </w:p>
        </w:tc>
        <w:tc>
          <w:tcPr>
            <w:tcW w:w="1134" w:type="dxa"/>
          </w:tcPr>
          <w:p w14:paraId="296FDEF3"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3541</w:t>
            </w:r>
          </w:p>
        </w:tc>
        <w:tc>
          <w:tcPr>
            <w:tcW w:w="4456" w:type="dxa"/>
          </w:tcPr>
          <w:p w14:paraId="43C8E83E" w14:textId="77777777" w:rsidR="00676CB4" w:rsidRPr="003024FD" w:rsidRDefault="00676CB4" w:rsidP="00791025">
            <w:pPr>
              <w:keepNext/>
              <w:keepLines/>
              <w:suppressAutoHyphens w:val="0"/>
              <w:autoSpaceDE w:val="0"/>
              <w:autoSpaceDN w:val="0"/>
              <w:adjustRightInd w:val="0"/>
              <w:spacing w:line="240" w:lineRule="auto"/>
              <w:ind w:left="175" w:hanging="175"/>
              <w:rPr>
                <w:color w:val="000000"/>
                <w:sz w:val="18"/>
                <w:szCs w:val="18"/>
                <w:lang w:val="fr-FR"/>
              </w:rPr>
            </w:pPr>
            <w:r w:rsidRPr="003024FD">
              <w:rPr>
                <w:sz w:val="18"/>
                <w:szCs w:val="18"/>
                <w:lang w:val="fr-FR" w:eastAsia="zh-CN"/>
              </w:rPr>
              <w:t xml:space="preserve">OBJETS CONTENANT </w:t>
            </w:r>
            <w:r>
              <w:rPr>
                <w:sz w:val="18"/>
                <w:szCs w:val="18"/>
                <w:lang w:val="fr-FR" w:eastAsia="zh-CN"/>
              </w:rPr>
              <w:t>DU SOLIDE INFLAMMABLE</w:t>
            </w:r>
            <w:r w:rsidRPr="003024FD">
              <w:rPr>
                <w:sz w:val="18"/>
                <w:szCs w:val="18"/>
                <w:lang w:val="fr-FR" w:eastAsia="zh-CN"/>
              </w:rPr>
              <w:t>, N.S.A.</w:t>
            </w:r>
          </w:p>
        </w:tc>
      </w:tr>
    </w:tbl>
    <w:p w14:paraId="60EE2D29" w14:textId="77777777" w:rsidR="00676CB4" w:rsidRPr="003024FD" w:rsidRDefault="00676CB4" w:rsidP="00676CB4">
      <w:pPr>
        <w:pStyle w:val="SingleTxtG"/>
        <w:spacing w:before="120"/>
        <w:rPr>
          <w:rFonts w:asciiTheme="majorBidi" w:hAnsiTheme="majorBidi" w:cstheme="majorBidi"/>
          <w:color w:val="000000"/>
          <w:lang w:val="fr-FR"/>
        </w:rPr>
      </w:pPr>
      <w:r w:rsidRPr="003024FD">
        <w:rPr>
          <w:rFonts w:asciiTheme="majorBidi" w:hAnsiTheme="majorBidi" w:cstheme="majorBidi"/>
          <w:color w:val="000000"/>
          <w:lang w:val="fr-FR"/>
        </w:rPr>
        <w:t>Dans le tableau, pour la Classe 4, division 4.2, sous “Rubriques générales”, ajouter la nouvelle rubrique suivante:</w:t>
      </w:r>
    </w:p>
    <w:tbl>
      <w:tblPr>
        <w:tblStyle w:val="TableGrid"/>
        <w:tblW w:w="0" w:type="auto"/>
        <w:tblInd w:w="1134" w:type="dxa"/>
        <w:tblLook w:val="04A0" w:firstRow="1" w:lastRow="0" w:firstColumn="1" w:lastColumn="0" w:noHBand="0" w:noVBand="1"/>
      </w:tblPr>
      <w:tblGrid>
        <w:gridCol w:w="1242"/>
        <w:gridCol w:w="1276"/>
        <w:gridCol w:w="1134"/>
        <w:gridCol w:w="4456"/>
      </w:tblGrid>
      <w:tr w:rsidR="00676CB4" w:rsidRPr="003024FD" w14:paraId="7222C0C9" w14:textId="77777777" w:rsidTr="00791025">
        <w:tc>
          <w:tcPr>
            <w:tcW w:w="1242" w:type="dxa"/>
          </w:tcPr>
          <w:p w14:paraId="2C47691E"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4.2</w:t>
            </w:r>
          </w:p>
        </w:tc>
        <w:tc>
          <w:tcPr>
            <w:tcW w:w="1276" w:type="dxa"/>
          </w:tcPr>
          <w:p w14:paraId="4A987AF7"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Voir 2.0.5.6</w:t>
            </w:r>
          </w:p>
        </w:tc>
        <w:tc>
          <w:tcPr>
            <w:tcW w:w="1134" w:type="dxa"/>
          </w:tcPr>
          <w:p w14:paraId="56B2321E"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3542</w:t>
            </w:r>
          </w:p>
        </w:tc>
        <w:tc>
          <w:tcPr>
            <w:tcW w:w="4456" w:type="dxa"/>
          </w:tcPr>
          <w:p w14:paraId="0D398151" w14:textId="77777777" w:rsidR="00676CB4" w:rsidRPr="003024FD" w:rsidRDefault="00676CB4" w:rsidP="00791025">
            <w:pPr>
              <w:keepNext/>
              <w:keepLines/>
              <w:suppressAutoHyphens w:val="0"/>
              <w:autoSpaceDE w:val="0"/>
              <w:autoSpaceDN w:val="0"/>
              <w:adjustRightInd w:val="0"/>
              <w:spacing w:line="240" w:lineRule="auto"/>
              <w:ind w:left="175" w:hanging="175"/>
              <w:rPr>
                <w:color w:val="000000"/>
                <w:sz w:val="18"/>
                <w:szCs w:val="18"/>
                <w:lang w:val="fr-FR"/>
              </w:rPr>
            </w:pPr>
            <w:r w:rsidRPr="003024FD">
              <w:rPr>
                <w:sz w:val="18"/>
                <w:szCs w:val="18"/>
                <w:lang w:val="fr-FR" w:eastAsia="zh-CN"/>
              </w:rPr>
              <w:t xml:space="preserve">OBJETS CONTENANT </w:t>
            </w:r>
            <w:r>
              <w:rPr>
                <w:sz w:val="18"/>
                <w:szCs w:val="18"/>
                <w:lang w:val="fr-FR" w:eastAsia="zh-CN"/>
              </w:rPr>
              <w:t>DE LA MATIÈRE SUJETTE</w:t>
            </w:r>
            <w:r w:rsidRPr="003024FD">
              <w:rPr>
                <w:sz w:val="18"/>
                <w:szCs w:val="18"/>
                <w:lang w:val="fr-FR" w:eastAsia="zh-CN"/>
              </w:rPr>
              <w:t xml:space="preserve"> </w:t>
            </w:r>
            <w:r>
              <w:rPr>
                <w:sz w:val="18"/>
                <w:szCs w:val="18"/>
                <w:lang w:val="fr-FR" w:eastAsia="zh-CN"/>
              </w:rPr>
              <w:t>À</w:t>
            </w:r>
            <w:r w:rsidRPr="003024FD">
              <w:rPr>
                <w:sz w:val="18"/>
                <w:szCs w:val="18"/>
                <w:lang w:val="fr-FR" w:eastAsia="zh-CN"/>
              </w:rPr>
              <w:t xml:space="preserve"> L'INFLAMMATION SPONTANEE, N.S.A.</w:t>
            </w:r>
          </w:p>
        </w:tc>
      </w:tr>
    </w:tbl>
    <w:p w14:paraId="3A4AE059" w14:textId="77777777" w:rsidR="00676CB4" w:rsidRPr="003024FD" w:rsidRDefault="00676CB4" w:rsidP="00676CB4">
      <w:pPr>
        <w:pStyle w:val="SingleTxtG"/>
        <w:spacing w:before="120"/>
        <w:rPr>
          <w:rFonts w:asciiTheme="majorBidi" w:hAnsiTheme="majorBidi" w:cstheme="majorBidi"/>
          <w:color w:val="000000"/>
          <w:lang w:val="fr-FR"/>
        </w:rPr>
      </w:pPr>
      <w:r w:rsidRPr="003024FD">
        <w:rPr>
          <w:rFonts w:asciiTheme="majorBidi" w:hAnsiTheme="majorBidi" w:cstheme="majorBidi"/>
          <w:color w:val="000000"/>
          <w:lang w:val="fr-FR"/>
        </w:rPr>
        <w:t>Dans le tableau, pour la Classe 4, division 4.3, sous “Rubriques générales”, ajouter la nouvelle rubrique suivante:</w:t>
      </w:r>
    </w:p>
    <w:tbl>
      <w:tblPr>
        <w:tblStyle w:val="TableGrid"/>
        <w:tblW w:w="0" w:type="auto"/>
        <w:tblInd w:w="1134" w:type="dxa"/>
        <w:tblLook w:val="04A0" w:firstRow="1" w:lastRow="0" w:firstColumn="1" w:lastColumn="0" w:noHBand="0" w:noVBand="1"/>
      </w:tblPr>
      <w:tblGrid>
        <w:gridCol w:w="1242"/>
        <w:gridCol w:w="1276"/>
        <w:gridCol w:w="1134"/>
        <w:gridCol w:w="4456"/>
      </w:tblGrid>
      <w:tr w:rsidR="00676CB4" w:rsidRPr="003024FD" w14:paraId="4D9820BF" w14:textId="77777777" w:rsidTr="00791025">
        <w:tc>
          <w:tcPr>
            <w:tcW w:w="1242" w:type="dxa"/>
          </w:tcPr>
          <w:p w14:paraId="658D7D96"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4.3</w:t>
            </w:r>
          </w:p>
        </w:tc>
        <w:tc>
          <w:tcPr>
            <w:tcW w:w="1276" w:type="dxa"/>
          </w:tcPr>
          <w:p w14:paraId="0017D9BC"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Voir 2.0.5.6</w:t>
            </w:r>
          </w:p>
        </w:tc>
        <w:tc>
          <w:tcPr>
            <w:tcW w:w="1134" w:type="dxa"/>
          </w:tcPr>
          <w:p w14:paraId="2E08A68A"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3543</w:t>
            </w:r>
          </w:p>
        </w:tc>
        <w:tc>
          <w:tcPr>
            <w:tcW w:w="4456" w:type="dxa"/>
          </w:tcPr>
          <w:p w14:paraId="1CE9BA2D" w14:textId="77777777" w:rsidR="00676CB4" w:rsidRPr="003024FD" w:rsidRDefault="00676CB4" w:rsidP="00791025">
            <w:pPr>
              <w:keepNext/>
              <w:keepLines/>
              <w:suppressAutoHyphens w:val="0"/>
              <w:autoSpaceDE w:val="0"/>
              <w:autoSpaceDN w:val="0"/>
              <w:adjustRightInd w:val="0"/>
              <w:spacing w:line="240" w:lineRule="auto"/>
              <w:ind w:left="175" w:hanging="175"/>
              <w:rPr>
                <w:color w:val="000000"/>
                <w:sz w:val="18"/>
                <w:szCs w:val="18"/>
                <w:lang w:val="fr-FR"/>
              </w:rPr>
            </w:pPr>
            <w:r w:rsidRPr="003024FD">
              <w:rPr>
                <w:sz w:val="18"/>
                <w:szCs w:val="18"/>
                <w:lang w:val="fr-FR" w:eastAsia="zh-CN"/>
              </w:rPr>
              <w:t xml:space="preserve">OBJETS CONTENANT </w:t>
            </w:r>
            <w:r>
              <w:rPr>
                <w:sz w:val="18"/>
                <w:szCs w:val="18"/>
                <w:lang w:val="fr-FR" w:eastAsia="zh-CN"/>
              </w:rPr>
              <w:t xml:space="preserve">DE LA MATIÈRE </w:t>
            </w:r>
            <w:r w:rsidRPr="003024FD">
              <w:rPr>
                <w:sz w:val="18"/>
                <w:szCs w:val="18"/>
                <w:lang w:val="fr-FR" w:eastAsia="zh-CN"/>
              </w:rPr>
              <w:t>QUI, AU CONTACT DE L'EAU, D</w:t>
            </w:r>
            <w:r>
              <w:rPr>
                <w:sz w:val="18"/>
                <w:szCs w:val="18"/>
                <w:lang w:val="fr-FR" w:eastAsia="zh-CN"/>
              </w:rPr>
              <w:t>EGAGE</w:t>
            </w:r>
            <w:r w:rsidRPr="003024FD">
              <w:rPr>
                <w:sz w:val="18"/>
                <w:szCs w:val="18"/>
                <w:lang w:val="fr-FR" w:eastAsia="zh-CN"/>
              </w:rPr>
              <w:t xml:space="preserve"> DES GAZ INFLAMMABLES, N.S.A.</w:t>
            </w:r>
          </w:p>
        </w:tc>
      </w:tr>
    </w:tbl>
    <w:p w14:paraId="602D1567" w14:textId="77777777" w:rsidR="00676CB4" w:rsidRPr="003024FD" w:rsidRDefault="00676CB4" w:rsidP="00676CB4">
      <w:pPr>
        <w:pStyle w:val="SingleTxtG"/>
        <w:spacing w:before="120"/>
        <w:rPr>
          <w:rFonts w:asciiTheme="majorBidi" w:hAnsiTheme="majorBidi" w:cstheme="majorBidi"/>
          <w:color w:val="000000"/>
          <w:lang w:val="fr-FR"/>
        </w:rPr>
      </w:pPr>
      <w:r w:rsidRPr="003024FD">
        <w:rPr>
          <w:rFonts w:asciiTheme="majorBidi" w:hAnsiTheme="majorBidi" w:cstheme="majorBidi"/>
          <w:color w:val="000000"/>
          <w:lang w:val="fr-FR"/>
        </w:rPr>
        <w:t>Dans le tableau, pour la Classe 5, division 5.1, sous “Rubriques générales”, ajouter la nouvelle rubrique suivante:</w:t>
      </w:r>
    </w:p>
    <w:tbl>
      <w:tblPr>
        <w:tblStyle w:val="TableGrid"/>
        <w:tblW w:w="0" w:type="auto"/>
        <w:tblInd w:w="1134" w:type="dxa"/>
        <w:tblLook w:val="04A0" w:firstRow="1" w:lastRow="0" w:firstColumn="1" w:lastColumn="0" w:noHBand="0" w:noVBand="1"/>
      </w:tblPr>
      <w:tblGrid>
        <w:gridCol w:w="1242"/>
        <w:gridCol w:w="1276"/>
        <w:gridCol w:w="1134"/>
        <w:gridCol w:w="4456"/>
      </w:tblGrid>
      <w:tr w:rsidR="00676CB4" w:rsidRPr="003024FD" w14:paraId="78AF9378" w14:textId="77777777" w:rsidTr="00791025">
        <w:tc>
          <w:tcPr>
            <w:tcW w:w="1242" w:type="dxa"/>
          </w:tcPr>
          <w:p w14:paraId="3C9AFE57"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5.1</w:t>
            </w:r>
          </w:p>
        </w:tc>
        <w:tc>
          <w:tcPr>
            <w:tcW w:w="1276" w:type="dxa"/>
          </w:tcPr>
          <w:p w14:paraId="211C14FE"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Voir 2.0.5.6</w:t>
            </w:r>
          </w:p>
        </w:tc>
        <w:tc>
          <w:tcPr>
            <w:tcW w:w="1134" w:type="dxa"/>
          </w:tcPr>
          <w:p w14:paraId="4D5E0F64"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3544</w:t>
            </w:r>
          </w:p>
        </w:tc>
        <w:tc>
          <w:tcPr>
            <w:tcW w:w="4456" w:type="dxa"/>
          </w:tcPr>
          <w:p w14:paraId="2C81553B" w14:textId="77777777" w:rsidR="00676CB4" w:rsidRPr="003024FD" w:rsidRDefault="00676CB4" w:rsidP="00791025">
            <w:pPr>
              <w:keepNext/>
              <w:keepLines/>
              <w:suppressAutoHyphens w:val="0"/>
              <w:autoSpaceDE w:val="0"/>
              <w:autoSpaceDN w:val="0"/>
              <w:adjustRightInd w:val="0"/>
              <w:spacing w:line="240" w:lineRule="auto"/>
              <w:ind w:left="175" w:hanging="175"/>
              <w:rPr>
                <w:color w:val="000000"/>
                <w:sz w:val="18"/>
                <w:szCs w:val="18"/>
                <w:lang w:val="fr-FR"/>
              </w:rPr>
            </w:pPr>
            <w:r w:rsidRPr="003024FD">
              <w:rPr>
                <w:sz w:val="18"/>
                <w:szCs w:val="18"/>
                <w:lang w:val="fr-FR" w:eastAsia="zh-CN"/>
              </w:rPr>
              <w:t xml:space="preserve">OBJETS CONTENANT </w:t>
            </w:r>
            <w:r>
              <w:rPr>
                <w:sz w:val="18"/>
                <w:szCs w:val="18"/>
                <w:lang w:val="fr-FR" w:eastAsia="zh-CN"/>
              </w:rPr>
              <w:t>DE LA MATIÈRE COMBURANTE</w:t>
            </w:r>
            <w:r w:rsidRPr="003024FD">
              <w:rPr>
                <w:sz w:val="18"/>
                <w:szCs w:val="18"/>
                <w:lang w:val="fr-FR" w:eastAsia="zh-CN"/>
              </w:rPr>
              <w:t>, N.S.A.</w:t>
            </w:r>
          </w:p>
        </w:tc>
      </w:tr>
    </w:tbl>
    <w:p w14:paraId="02B95709" w14:textId="77777777" w:rsidR="00676CB4" w:rsidRPr="003024FD" w:rsidRDefault="00676CB4" w:rsidP="00676CB4">
      <w:pPr>
        <w:pStyle w:val="SingleTxtG"/>
        <w:spacing w:before="120"/>
        <w:rPr>
          <w:rFonts w:asciiTheme="majorBidi" w:hAnsiTheme="majorBidi" w:cstheme="majorBidi"/>
          <w:color w:val="000000"/>
          <w:lang w:val="fr-FR"/>
        </w:rPr>
      </w:pPr>
      <w:r w:rsidRPr="003024FD">
        <w:rPr>
          <w:rFonts w:asciiTheme="majorBidi" w:hAnsiTheme="majorBidi" w:cstheme="majorBidi"/>
          <w:color w:val="000000"/>
          <w:lang w:val="fr-FR"/>
        </w:rPr>
        <w:lastRenderedPageBreak/>
        <w:t xml:space="preserve">Dans le tableau, pour la Classe 5, division 5.2, après “Rubriques spécifiques” ajouter une nouvelle section “Rubriques générales” et y ajouter la nouvelle rubrique suivante: </w:t>
      </w:r>
    </w:p>
    <w:tbl>
      <w:tblPr>
        <w:tblStyle w:val="TableGrid"/>
        <w:tblW w:w="0" w:type="auto"/>
        <w:tblInd w:w="1134" w:type="dxa"/>
        <w:tblLook w:val="04A0" w:firstRow="1" w:lastRow="0" w:firstColumn="1" w:lastColumn="0" w:noHBand="0" w:noVBand="1"/>
      </w:tblPr>
      <w:tblGrid>
        <w:gridCol w:w="1242"/>
        <w:gridCol w:w="1276"/>
        <w:gridCol w:w="1134"/>
        <w:gridCol w:w="4281"/>
      </w:tblGrid>
      <w:tr w:rsidR="00676CB4" w:rsidRPr="003024FD" w14:paraId="5F2DDEB9" w14:textId="77777777" w:rsidTr="00DE1D7B">
        <w:tc>
          <w:tcPr>
            <w:tcW w:w="1242" w:type="dxa"/>
          </w:tcPr>
          <w:p w14:paraId="1B4CB23D"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5.2</w:t>
            </w:r>
          </w:p>
        </w:tc>
        <w:tc>
          <w:tcPr>
            <w:tcW w:w="1276" w:type="dxa"/>
          </w:tcPr>
          <w:p w14:paraId="685E89F4"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Voir 2.0.5.6</w:t>
            </w:r>
          </w:p>
        </w:tc>
        <w:tc>
          <w:tcPr>
            <w:tcW w:w="1134" w:type="dxa"/>
          </w:tcPr>
          <w:p w14:paraId="0DDF448A"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3545</w:t>
            </w:r>
          </w:p>
        </w:tc>
        <w:tc>
          <w:tcPr>
            <w:tcW w:w="4281" w:type="dxa"/>
          </w:tcPr>
          <w:p w14:paraId="49550F04" w14:textId="77777777" w:rsidR="00676CB4" w:rsidRPr="003024FD" w:rsidRDefault="00676CB4" w:rsidP="00791025">
            <w:pPr>
              <w:keepNext/>
              <w:keepLines/>
              <w:suppressAutoHyphens w:val="0"/>
              <w:autoSpaceDE w:val="0"/>
              <w:autoSpaceDN w:val="0"/>
              <w:adjustRightInd w:val="0"/>
              <w:spacing w:line="240" w:lineRule="auto"/>
              <w:ind w:left="175" w:hanging="175"/>
              <w:rPr>
                <w:color w:val="000000"/>
                <w:sz w:val="18"/>
                <w:szCs w:val="18"/>
                <w:lang w:val="fr-FR"/>
              </w:rPr>
            </w:pPr>
            <w:r w:rsidRPr="003024FD">
              <w:rPr>
                <w:sz w:val="18"/>
                <w:szCs w:val="18"/>
                <w:lang w:val="fr-FR" w:eastAsia="zh-CN"/>
              </w:rPr>
              <w:t xml:space="preserve">OBJETS CONTENANT </w:t>
            </w:r>
            <w:r>
              <w:rPr>
                <w:sz w:val="18"/>
                <w:szCs w:val="18"/>
                <w:lang w:val="fr-FR" w:eastAsia="zh-CN"/>
              </w:rPr>
              <w:t>DU PEROXYDE ORGANIQUE</w:t>
            </w:r>
            <w:r w:rsidRPr="003024FD">
              <w:rPr>
                <w:sz w:val="18"/>
                <w:szCs w:val="18"/>
                <w:lang w:val="fr-FR" w:eastAsia="zh-CN"/>
              </w:rPr>
              <w:t>, N.S.A.</w:t>
            </w:r>
          </w:p>
        </w:tc>
      </w:tr>
    </w:tbl>
    <w:p w14:paraId="7DC649FA" w14:textId="77777777" w:rsidR="00676CB4" w:rsidRDefault="00676CB4" w:rsidP="00676CB4">
      <w:pPr>
        <w:pStyle w:val="SingleTxtG"/>
        <w:spacing w:before="120"/>
        <w:rPr>
          <w:rFonts w:asciiTheme="majorBidi" w:hAnsiTheme="majorBidi" w:cstheme="majorBidi"/>
          <w:color w:val="000000"/>
          <w:lang w:val="fr-FR"/>
        </w:rPr>
      </w:pPr>
      <w:r w:rsidRPr="003024FD">
        <w:rPr>
          <w:rFonts w:asciiTheme="majorBidi" w:hAnsiTheme="majorBidi" w:cstheme="majorBidi"/>
          <w:color w:val="000000"/>
          <w:lang w:val="fr-FR"/>
        </w:rPr>
        <w:t xml:space="preserve">Dans le tableau, pour la Classe 6, division 6.1, sous “Rubriques générales”, ajouter </w:t>
      </w:r>
      <w:r>
        <w:rPr>
          <w:rFonts w:asciiTheme="majorBidi" w:hAnsiTheme="majorBidi" w:cstheme="majorBidi"/>
          <w:color w:val="000000"/>
          <w:lang w:val="fr-FR"/>
        </w:rPr>
        <w:t>les</w:t>
      </w:r>
      <w:r w:rsidRPr="003024FD">
        <w:rPr>
          <w:rFonts w:asciiTheme="majorBidi" w:hAnsiTheme="majorBidi" w:cstheme="majorBidi"/>
          <w:color w:val="000000"/>
          <w:lang w:val="fr-FR"/>
        </w:rPr>
        <w:t xml:space="preserve"> nouvelle</w:t>
      </w:r>
      <w:r>
        <w:rPr>
          <w:rFonts w:asciiTheme="majorBidi" w:hAnsiTheme="majorBidi" w:cstheme="majorBidi"/>
          <w:color w:val="000000"/>
          <w:lang w:val="fr-FR"/>
        </w:rPr>
        <w:t>s</w:t>
      </w:r>
      <w:r w:rsidRPr="003024FD">
        <w:rPr>
          <w:rFonts w:asciiTheme="majorBidi" w:hAnsiTheme="majorBidi" w:cstheme="majorBidi"/>
          <w:color w:val="000000"/>
          <w:lang w:val="fr-FR"/>
        </w:rPr>
        <w:t xml:space="preserve"> rubrique</w:t>
      </w:r>
      <w:r>
        <w:rPr>
          <w:rFonts w:asciiTheme="majorBidi" w:hAnsiTheme="majorBidi" w:cstheme="majorBidi"/>
          <w:color w:val="000000"/>
          <w:lang w:val="fr-FR"/>
        </w:rPr>
        <w:t>s</w:t>
      </w:r>
      <w:r w:rsidRPr="003024FD">
        <w:rPr>
          <w:rFonts w:asciiTheme="majorBidi" w:hAnsiTheme="majorBidi" w:cstheme="majorBidi"/>
          <w:color w:val="000000"/>
          <w:lang w:val="fr-FR"/>
        </w:rPr>
        <w:t xml:space="preserve"> suivante</w:t>
      </w:r>
      <w:r>
        <w:rPr>
          <w:rFonts w:asciiTheme="majorBidi" w:hAnsiTheme="majorBidi" w:cstheme="majorBidi"/>
          <w:color w:val="000000"/>
          <w:lang w:val="fr-FR"/>
        </w:rPr>
        <w:t>s</w:t>
      </w:r>
      <w:r w:rsidRPr="003024FD">
        <w:rPr>
          <w:rFonts w:asciiTheme="majorBidi" w:hAnsiTheme="majorBidi" w:cstheme="majorBidi"/>
          <w:color w:val="000000"/>
          <w:lang w:val="fr-FR"/>
        </w:rPr>
        <w:t>:</w:t>
      </w:r>
    </w:p>
    <w:tbl>
      <w:tblPr>
        <w:tblStyle w:val="TableGrid"/>
        <w:tblW w:w="0" w:type="auto"/>
        <w:tblInd w:w="1134" w:type="dxa"/>
        <w:tblLook w:val="04A0" w:firstRow="1" w:lastRow="0" w:firstColumn="1" w:lastColumn="0" w:noHBand="0" w:noVBand="1"/>
      </w:tblPr>
      <w:tblGrid>
        <w:gridCol w:w="1206"/>
        <w:gridCol w:w="1252"/>
        <w:gridCol w:w="1109"/>
        <w:gridCol w:w="4315"/>
      </w:tblGrid>
      <w:tr w:rsidR="00676CB4" w:rsidRPr="003024FD" w14:paraId="1C32A5F9" w14:textId="77777777" w:rsidTr="00791025">
        <w:tc>
          <w:tcPr>
            <w:tcW w:w="1206" w:type="dxa"/>
          </w:tcPr>
          <w:p w14:paraId="3B10F5CE" w14:textId="77777777" w:rsidR="00676CB4" w:rsidRPr="00343219"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43219">
              <w:rPr>
                <w:color w:val="000000"/>
                <w:lang w:val="fr-FR"/>
              </w:rPr>
              <w:t>6.1</w:t>
            </w:r>
          </w:p>
        </w:tc>
        <w:tc>
          <w:tcPr>
            <w:tcW w:w="1252" w:type="dxa"/>
          </w:tcPr>
          <w:p w14:paraId="14B2AE97" w14:textId="77777777" w:rsidR="00676CB4" w:rsidRPr="00343219"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43219">
              <w:rPr>
                <w:color w:val="000000"/>
                <w:lang w:val="fr-FR"/>
              </w:rPr>
              <w:t>4.1</w:t>
            </w:r>
          </w:p>
        </w:tc>
        <w:tc>
          <w:tcPr>
            <w:tcW w:w="1109" w:type="dxa"/>
          </w:tcPr>
          <w:p w14:paraId="25E086A9" w14:textId="77777777" w:rsidR="00676CB4" w:rsidRPr="00343219"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43219">
              <w:rPr>
                <w:color w:val="000000"/>
                <w:lang w:val="fr-FR"/>
              </w:rPr>
              <w:t>3535</w:t>
            </w:r>
          </w:p>
        </w:tc>
        <w:tc>
          <w:tcPr>
            <w:tcW w:w="4315" w:type="dxa"/>
          </w:tcPr>
          <w:p w14:paraId="319AD6E4" w14:textId="77777777" w:rsidR="00676CB4" w:rsidRPr="003024FD" w:rsidRDefault="00676CB4" w:rsidP="00791025">
            <w:pPr>
              <w:keepNext/>
              <w:keepLines/>
              <w:suppressAutoHyphens w:val="0"/>
              <w:autoSpaceDE w:val="0"/>
              <w:autoSpaceDN w:val="0"/>
              <w:adjustRightInd w:val="0"/>
              <w:spacing w:line="240" w:lineRule="auto"/>
              <w:ind w:left="175" w:hanging="175"/>
              <w:rPr>
                <w:color w:val="000000"/>
                <w:sz w:val="18"/>
                <w:szCs w:val="18"/>
                <w:lang w:val="fr-FR"/>
              </w:rPr>
            </w:pPr>
            <w:r w:rsidRPr="00343219">
              <w:rPr>
                <w:sz w:val="18"/>
                <w:szCs w:val="18"/>
                <w:lang w:val="fr-FR" w:eastAsia="zh-CN"/>
              </w:rPr>
              <w:t>SOLIDE INORGANIQUE TOXIQUE, INFLAMMABLE, N.S.A.</w:t>
            </w:r>
          </w:p>
        </w:tc>
      </w:tr>
      <w:tr w:rsidR="00676CB4" w:rsidRPr="003024FD" w14:paraId="298BA826" w14:textId="77777777" w:rsidTr="00791025">
        <w:tc>
          <w:tcPr>
            <w:tcW w:w="1206" w:type="dxa"/>
          </w:tcPr>
          <w:p w14:paraId="5E15FD53"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6.1</w:t>
            </w:r>
          </w:p>
        </w:tc>
        <w:tc>
          <w:tcPr>
            <w:tcW w:w="1252" w:type="dxa"/>
          </w:tcPr>
          <w:p w14:paraId="0CA43804"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Voir 2.0.5.6</w:t>
            </w:r>
          </w:p>
        </w:tc>
        <w:tc>
          <w:tcPr>
            <w:tcW w:w="1109" w:type="dxa"/>
          </w:tcPr>
          <w:p w14:paraId="1305A349"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3546</w:t>
            </w:r>
          </w:p>
        </w:tc>
        <w:tc>
          <w:tcPr>
            <w:tcW w:w="4315" w:type="dxa"/>
          </w:tcPr>
          <w:p w14:paraId="5A55D2FA" w14:textId="77777777" w:rsidR="00676CB4" w:rsidRPr="003024FD" w:rsidRDefault="00676CB4" w:rsidP="00791025">
            <w:pPr>
              <w:keepNext/>
              <w:keepLines/>
              <w:suppressAutoHyphens w:val="0"/>
              <w:autoSpaceDE w:val="0"/>
              <w:autoSpaceDN w:val="0"/>
              <w:adjustRightInd w:val="0"/>
              <w:spacing w:line="240" w:lineRule="auto"/>
              <w:ind w:left="175" w:hanging="175"/>
              <w:rPr>
                <w:color w:val="000000"/>
                <w:sz w:val="18"/>
                <w:szCs w:val="18"/>
                <w:lang w:val="fr-FR"/>
              </w:rPr>
            </w:pPr>
            <w:r w:rsidRPr="003024FD">
              <w:rPr>
                <w:sz w:val="18"/>
                <w:szCs w:val="18"/>
                <w:lang w:val="fr-FR" w:eastAsia="zh-CN"/>
              </w:rPr>
              <w:t xml:space="preserve">OBJETS CONTENANT </w:t>
            </w:r>
            <w:r>
              <w:rPr>
                <w:sz w:val="18"/>
                <w:szCs w:val="18"/>
                <w:lang w:val="fr-FR" w:eastAsia="zh-CN"/>
              </w:rPr>
              <w:t>DE LA MATIÈRE TOXIQUE</w:t>
            </w:r>
            <w:r w:rsidRPr="003024FD">
              <w:rPr>
                <w:sz w:val="18"/>
                <w:szCs w:val="18"/>
                <w:lang w:val="fr-FR" w:eastAsia="zh-CN"/>
              </w:rPr>
              <w:t>, N.S.A.</w:t>
            </w:r>
          </w:p>
        </w:tc>
      </w:tr>
    </w:tbl>
    <w:p w14:paraId="6DBE7FC9" w14:textId="77777777" w:rsidR="00676CB4" w:rsidRPr="003024FD" w:rsidRDefault="00676CB4" w:rsidP="00676CB4">
      <w:pPr>
        <w:pStyle w:val="SingleTxtG"/>
        <w:spacing w:before="120"/>
        <w:rPr>
          <w:rFonts w:asciiTheme="majorBidi" w:hAnsiTheme="majorBidi" w:cstheme="majorBidi"/>
          <w:color w:val="000000"/>
          <w:lang w:val="fr-FR"/>
        </w:rPr>
      </w:pPr>
      <w:r w:rsidRPr="003024FD">
        <w:rPr>
          <w:rFonts w:asciiTheme="majorBidi" w:hAnsiTheme="majorBidi" w:cstheme="majorBidi"/>
          <w:color w:val="000000"/>
          <w:lang w:val="fr-FR"/>
        </w:rPr>
        <w:t>Dans le tableau, pour la Classe 8, sous “Rubriques générales”, ajouter la nouvelle rubrique suivante:</w:t>
      </w:r>
    </w:p>
    <w:tbl>
      <w:tblPr>
        <w:tblStyle w:val="TableGrid"/>
        <w:tblW w:w="0" w:type="auto"/>
        <w:tblInd w:w="1134" w:type="dxa"/>
        <w:tblLook w:val="04A0" w:firstRow="1" w:lastRow="0" w:firstColumn="1" w:lastColumn="0" w:noHBand="0" w:noVBand="1"/>
      </w:tblPr>
      <w:tblGrid>
        <w:gridCol w:w="1242"/>
        <w:gridCol w:w="1276"/>
        <w:gridCol w:w="1134"/>
        <w:gridCol w:w="4281"/>
      </w:tblGrid>
      <w:tr w:rsidR="00676CB4" w:rsidRPr="003024FD" w14:paraId="3BCEDEC1" w14:textId="77777777" w:rsidTr="00DE1D7B">
        <w:tc>
          <w:tcPr>
            <w:tcW w:w="1242" w:type="dxa"/>
          </w:tcPr>
          <w:p w14:paraId="403934E3"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8</w:t>
            </w:r>
          </w:p>
        </w:tc>
        <w:tc>
          <w:tcPr>
            <w:tcW w:w="1276" w:type="dxa"/>
          </w:tcPr>
          <w:p w14:paraId="6DAEAD79"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Voir 2.0.5.6</w:t>
            </w:r>
          </w:p>
        </w:tc>
        <w:tc>
          <w:tcPr>
            <w:tcW w:w="1134" w:type="dxa"/>
          </w:tcPr>
          <w:p w14:paraId="6141DFF5"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3547</w:t>
            </w:r>
          </w:p>
        </w:tc>
        <w:tc>
          <w:tcPr>
            <w:tcW w:w="4281" w:type="dxa"/>
          </w:tcPr>
          <w:p w14:paraId="3739B483" w14:textId="77777777" w:rsidR="00676CB4" w:rsidRPr="003024FD" w:rsidRDefault="00676CB4" w:rsidP="00791025">
            <w:pPr>
              <w:keepNext/>
              <w:keepLines/>
              <w:suppressAutoHyphens w:val="0"/>
              <w:autoSpaceDE w:val="0"/>
              <w:autoSpaceDN w:val="0"/>
              <w:adjustRightInd w:val="0"/>
              <w:spacing w:line="240" w:lineRule="auto"/>
              <w:ind w:left="175" w:hanging="175"/>
              <w:rPr>
                <w:color w:val="000000"/>
                <w:sz w:val="18"/>
                <w:szCs w:val="18"/>
                <w:lang w:val="fr-FR"/>
              </w:rPr>
            </w:pPr>
            <w:r w:rsidRPr="003024FD">
              <w:rPr>
                <w:sz w:val="18"/>
                <w:szCs w:val="18"/>
                <w:lang w:val="fr-FR" w:eastAsia="zh-CN"/>
              </w:rPr>
              <w:t xml:space="preserve">OBJETS CONTENANT </w:t>
            </w:r>
            <w:r>
              <w:rPr>
                <w:sz w:val="18"/>
                <w:szCs w:val="18"/>
                <w:lang w:val="fr-FR" w:eastAsia="zh-CN"/>
              </w:rPr>
              <w:t>DE LA MATIÈRE CORROSIVE</w:t>
            </w:r>
            <w:r w:rsidRPr="003024FD">
              <w:rPr>
                <w:sz w:val="18"/>
                <w:szCs w:val="18"/>
                <w:lang w:val="fr-FR" w:eastAsia="zh-CN"/>
              </w:rPr>
              <w:t>, N.S.A.</w:t>
            </w:r>
          </w:p>
        </w:tc>
      </w:tr>
    </w:tbl>
    <w:p w14:paraId="0A4471CD" w14:textId="77777777" w:rsidR="00676CB4" w:rsidRPr="003024FD" w:rsidRDefault="00676CB4" w:rsidP="00676CB4">
      <w:pPr>
        <w:pStyle w:val="SingleTxtG"/>
        <w:spacing w:before="120"/>
        <w:rPr>
          <w:rFonts w:asciiTheme="majorBidi" w:hAnsiTheme="majorBidi" w:cstheme="majorBidi"/>
          <w:color w:val="000000"/>
          <w:lang w:val="fr-FR"/>
        </w:rPr>
      </w:pPr>
      <w:r w:rsidRPr="003024FD">
        <w:rPr>
          <w:rFonts w:asciiTheme="majorBidi" w:hAnsiTheme="majorBidi" w:cstheme="majorBidi"/>
          <w:color w:val="000000"/>
          <w:lang w:val="fr-FR"/>
        </w:rPr>
        <w:t>Dans le tableau, pour la Classe 9, sous “Rubriques générales”, ajouter la nouvelle rubrique suivante:</w:t>
      </w:r>
    </w:p>
    <w:tbl>
      <w:tblPr>
        <w:tblStyle w:val="TableGrid"/>
        <w:tblW w:w="0" w:type="auto"/>
        <w:tblInd w:w="1134" w:type="dxa"/>
        <w:tblLook w:val="04A0" w:firstRow="1" w:lastRow="0" w:firstColumn="1" w:lastColumn="0" w:noHBand="0" w:noVBand="1"/>
      </w:tblPr>
      <w:tblGrid>
        <w:gridCol w:w="1242"/>
        <w:gridCol w:w="1276"/>
        <w:gridCol w:w="1134"/>
        <w:gridCol w:w="4281"/>
      </w:tblGrid>
      <w:tr w:rsidR="00676CB4" w:rsidRPr="003024FD" w14:paraId="6F41E27C" w14:textId="77777777" w:rsidTr="00DE1D7B">
        <w:tc>
          <w:tcPr>
            <w:tcW w:w="1242" w:type="dxa"/>
          </w:tcPr>
          <w:p w14:paraId="7ECE7739"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9</w:t>
            </w:r>
          </w:p>
        </w:tc>
        <w:tc>
          <w:tcPr>
            <w:tcW w:w="1276" w:type="dxa"/>
          </w:tcPr>
          <w:p w14:paraId="51C0B6EC"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Voir 2.0.5.6</w:t>
            </w:r>
          </w:p>
        </w:tc>
        <w:tc>
          <w:tcPr>
            <w:tcW w:w="1134" w:type="dxa"/>
          </w:tcPr>
          <w:p w14:paraId="69366741" w14:textId="77777777" w:rsidR="00676CB4" w:rsidRPr="003024FD" w:rsidRDefault="00676CB4" w:rsidP="0079102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3024FD">
              <w:rPr>
                <w:color w:val="000000"/>
                <w:lang w:val="fr-FR"/>
              </w:rPr>
              <w:t>3548</w:t>
            </w:r>
          </w:p>
        </w:tc>
        <w:tc>
          <w:tcPr>
            <w:tcW w:w="4281" w:type="dxa"/>
          </w:tcPr>
          <w:p w14:paraId="67241B8D" w14:textId="77777777" w:rsidR="00676CB4" w:rsidRPr="003024FD" w:rsidRDefault="00676CB4" w:rsidP="00791025">
            <w:pPr>
              <w:keepNext/>
              <w:keepLines/>
              <w:suppressAutoHyphens w:val="0"/>
              <w:autoSpaceDE w:val="0"/>
              <w:autoSpaceDN w:val="0"/>
              <w:adjustRightInd w:val="0"/>
              <w:spacing w:line="240" w:lineRule="auto"/>
              <w:ind w:left="175" w:hanging="175"/>
              <w:rPr>
                <w:color w:val="000000"/>
                <w:sz w:val="18"/>
                <w:szCs w:val="18"/>
                <w:lang w:val="fr-FR"/>
              </w:rPr>
            </w:pPr>
            <w:r w:rsidRPr="003024FD">
              <w:rPr>
                <w:sz w:val="18"/>
                <w:szCs w:val="18"/>
                <w:lang w:val="fr-FR" w:eastAsia="zh-CN"/>
              </w:rPr>
              <w:t>OBJETS CONTENANT DES MARCHANDISES DANGEREUSES DIVERSES, N.S.A.</w:t>
            </w:r>
          </w:p>
        </w:tc>
      </w:tr>
    </w:tbl>
    <w:p w14:paraId="18554B7E" w14:textId="77777777" w:rsidR="00196C06" w:rsidRPr="00241634" w:rsidRDefault="00196C06" w:rsidP="00196C06">
      <w:pPr>
        <w:pStyle w:val="H1G"/>
        <w:rPr>
          <w:lang w:val="fr-FR"/>
        </w:rPr>
      </w:pPr>
      <w:r>
        <w:rPr>
          <w:lang w:val="fr-FR"/>
        </w:rPr>
        <w:tab/>
      </w:r>
      <w:r>
        <w:rPr>
          <w:lang w:val="fr-FR"/>
        </w:rPr>
        <w:tab/>
      </w:r>
      <w:r w:rsidRPr="00241634">
        <w:rPr>
          <w:lang w:val="fr-FR"/>
        </w:rPr>
        <w:t>Appendice B</w:t>
      </w:r>
    </w:p>
    <w:p w14:paraId="1B3DDDEB" w14:textId="77777777" w:rsidR="00196C06" w:rsidRDefault="00196C06" w:rsidP="00196C06">
      <w:pPr>
        <w:pStyle w:val="SingleTxtG"/>
      </w:pPr>
      <w:r w:rsidRPr="00E04A3B">
        <w:t>Dans la définition de «</w:t>
      </w:r>
      <w:r w:rsidRPr="00E04A3B">
        <w:rPr>
          <w:b/>
          <w:bCs/>
          <w:i/>
          <w:iCs/>
        </w:rPr>
        <w:t>Amorçage, moyens d'</w:t>
      </w:r>
      <w:r w:rsidRPr="00E04A3B">
        <w:t>», au point 2), remplacer «risque notable» par «danger notable».</w:t>
      </w:r>
    </w:p>
    <w:p w14:paraId="0C4ECF06" w14:textId="77777777" w:rsidR="00196C06" w:rsidRDefault="00196C06" w:rsidP="00196C06">
      <w:pPr>
        <w:pStyle w:val="SingleTxtG"/>
      </w:pPr>
      <w:r w:rsidRPr="00E04A3B">
        <w:t>Dans la définition de «</w:t>
      </w:r>
      <w:r w:rsidRPr="00E04A3B">
        <w:rPr>
          <w:b/>
          <w:bCs/>
          <w:i/>
          <w:iCs/>
        </w:rPr>
        <w:t>CARTOUCHES À PROJECTILE INERTE POUR ARMES</w:t>
      </w:r>
      <w:r w:rsidRPr="00E04A3B">
        <w:t>», remplacer «risque prédominant» par «danger prédominant».</w:t>
      </w:r>
    </w:p>
    <w:p w14:paraId="3D40DD8C" w14:textId="77777777" w:rsidR="00196C06" w:rsidRDefault="00196C06" w:rsidP="00196C06">
      <w:pPr>
        <w:pStyle w:val="SingleTxtG"/>
      </w:pPr>
      <w:r w:rsidRPr="00E04A3B">
        <w:t>Dans la définition de «</w:t>
      </w:r>
      <w:r w:rsidRPr="00E04A3B">
        <w:rPr>
          <w:b/>
          <w:bCs/>
          <w:i/>
          <w:iCs/>
        </w:rPr>
        <w:t>MATIÈRES EXPLOSIVES TRÈS PEU SENSIBLES (MATIÈRES ETPS), N.S.A.</w:t>
      </w:r>
      <w:r w:rsidRPr="00E04A3B">
        <w:t>», remplacer «risque d’explosion en masse» par «danger d’explosion en masse».</w:t>
      </w:r>
    </w:p>
    <w:p w14:paraId="5C05966B" w14:textId="77777777" w:rsidR="00196C06" w:rsidRPr="00E04A3B" w:rsidRDefault="00196C06" w:rsidP="00196C06">
      <w:pPr>
        <w:pStyle w:val="SingleTxtG"/>
      </w:pPr>
      <w:r w:rsidRPr="00E04A3B">
        <w:t>Dans la définition de «</w:t>
      </w:r>
      <w:r w:rsidRPr="00E04A3B">
        <w:rPr>
          <w:b/>
          <w:bCs/>
          <w:i/>
          <w:iCs/>
        </w:rPr>
        <w:t>Totalité du chargement et totalité du contenu</w:t>
      </w:r>
      <w:r w:rsidRPr="00E04A3B">
        <w:t>», remplacer «évaluation du risque» par «évaluation du danger».</w:t>
      </w:r>
    </w:p>
    <w:p w14:paraId="0C18CC57" w14:textId="77777777" w:rsidR="00196C06" w:rsidRPr="0059443A" w:rsidRDefault="00196C06" w:rsidP="00196C06">
      <w:pPr>
        <w:pStyle w:val="H1G"/>
      </w:pPr>
      <w:r>
        <w:tab/>
      </w:r>
      <w:r>
        <w:tab/>
      </w:r>
      <w:r w:rsidRPr="0059443A">
        <w:t>Chapitre 4.1</w:t>
      </w:r>
    </w:p>
    <w:p w14:paraId="75EEF60F" w14:textId="77777777" w:rsidR="00196C06" w:rsidRDefault="00196C06" w:rsidP="00196C06">
      <w:pPr>
        <w:pStyle w:val="SingleTxtG"/>
        <w:tabs>
          <w:tab w:val="left" w:pos="1854"/>
        </w:tabs>
      </w:pPr>
      <w:r w:rsidRPr="00EF61FC">
        <w:rPr>
          <w:lang w:val="fr-FR"/>
        </w:rPr>
        <w:t xml:space="preserve">4.1.1.11 </w:t>
      </w:r>
      <w:r>
        <w:rPr>
          <w:lang w:val="fr-FR"/>
        </w:rPr>
        <w:tab/>
      </w:r>
      <w:r>
        <w:rPr>
          <w:lang w:val="fr-FR"/>
        </w:rPr>
        <w:tab/>
        <w:t>À la fin, remplacer «risque» par «danger».</w:t>
      </w:r>
    </w:p>
    <w:p w14:paraId="3EEB3C93" w14:textId="77777777" w:rsidR="00A07845" w:rsidRDefault="00A07845" w:rsidP="00A07845">
      <w:pPr>
        <w:pStyle w:val="SingleTxtG"/>
      </w:pPr>
      <w:r>
        <w:t>4.1.3.8.1</w:t>
      </w:r>
      <w:r>
        <w:tab/>
        <w:t xml:space="preserve">Les modifications ne s’appliquent pas au texte français. </w:t>
      </w:r>
    </w:p>
    <w:p w14:paraId="31FDE577" w14:textId="77777777" w:rsidR="00DB4351" w:rsidRDefault="00DB4351" w:rsidP="00DB4351">
      <w:pPr>
        <w:pStyle w:val="SingleTxtG"/>
        <w:rPr>
          <w:lang w:val="fr-FR"/>
        </w:rPr>
      </w:pPr>
      <w:r w:rsidRPr="0059443A">
        <w:rPr>
          <w:lang w:val="fr-FR"/>
        </w:rPr>
        <w:t>4.1.4.1, in</w:t>
      </w:r>
      <w:r>
        <w:rPr>
          <w:lang w:val="fr-FR"/>
        </w:rPr>
        <w:t xml:space="preserve">struction d’emballage </w:t>
      </w:r>
      <w:r w:rsidRPr="00052D3E">
        <w:rPr>
          <w:lang w:val="fr-FR"/>
        </w:rPr>
        <w:t>P001</w:t>
      </w:r>
      <w:r w:rsidRPr="00052D3E">
        <w:rPr>
          <w:lang w:val="fr-FR"/>
        </w:rPr>
        <w:tab/>
        <w:t xml:space="preserve">Sous «Emballages composites», </w:t>
      </w:r>
      <w:r>
        <w:rPr>
          <w:lang w:val="fr-FR"/>
        </w:rPr>
        <w:t>dans la première ligne, remplacer «ou en aluminium» par «, en aluminium ou en plastique» et ajouter «, 6HH1» après «6HB1».</w:t>
      </w:r>
    </w:p>
    <w:p w14:paraId="7458D6A0" w14:textId="77777777" w:rsidR="00DB4351" w:rsidRDefault="00DB4351" w:rsidP="00DB4351">
      <w:pPr>
        <w:pStyle w:val="SingleTxtG"/>
        <w:rPr>
          <w:lang w:val="fr-FR"/>
        </w:rPr>
      </w:pPr>
      <w:r w:rsidRPr="0059443A">
        <w:rPr>
          <w:lang w:val="fr-FR"/>
        </w:rPr>
        <w:t>4.1.4.1, in</w:t>
      </w:r>
      <w:r>
        <w:rPr>
          <w:lang w:val="fr-FR"/>
        </w:rPr>
        <w:t>struction d’emballage P001</w:t>
      </w:r>
      <w:r>
        <w:rPr>
          <w:lang w:val="fr-FR"/>
        </w:rPr>
        <w:tab/>
      </w:r>
      <w:r w:rsidRPr="00052D3E">
        <w:rPr>
          <w:lang w:val="fr-FR"/>
        </w:rPr>
        <w:t xml:space="preserve">Sous «Emballages composites», </w:t>
      </w:r>
      <w:r>
        <w:rPr>
          <w:lang w:val="fr-FR"/>
        </w:rPr>
        <w:t>dans la deuxième ligne, remplacer «</w:t>
      </w:r>
      <w:r>
        <w:t>, en plastique ou en contre-plaqué (6HG1, 6HH1, 6HD1)</w:t>
      </w:r>
      <w:r>
        <w:rPr>
          <w:lang w:val="fr-FR"/>
        </w:rPr>
        <w:t>» par «</w:t>
      </w:r>
      <w:r>
        <w:t>ou en contre-plaqué (6HG1, 6HD1)</w:t>
      </w:r>
      <w:r>
        <w:rPr>
          <w:lang w:val="fr-FR"/>
        </w:rPr>
        <w:t>».</w:t>
      </w:r>
    </w:p>
    <w:p w14:paraId="4242EB3B" w14:textId="0772F5C0" w:rsidR="00196C06" w:rsidRPr="0059443A" w:rsidRDefault="00196C06" w:rsidP="00196C06">
      <w:pPr>
        <w:pStyle w:val="SingleTxtG"/>
        <w:tabs>
          <w:tab w:val="left" w:pos="1854"/>
        </w:tabs>
        <w:rPr>
          <w:lang w:val="fr-FR"/>
        </w:rPr>
      </w:pPr>
      <w:r w:rsidRPr="0059443A">
        <w:t xml:space="preserve">4.1.4.1, instruction d’emballage </w:t>
      </w:r>
      <w:r w:rsidRPr="0059443A">
        <w:rPr>
          <w:lang w:val="fr-FR"/>
        </w:rPr>
        <w:t xml:space="preserve">P101 </w:t>
      </w:r>
      <w:r w:rsidRPr="0059443A">
        <w:rPr>
          <w:lang w:val="fr-FR"/>
        </w:rPr>
        <w:tab/>
        <w:t xml:space="preserve">Remplacer «utilisé pour les véhicules automobiles en circulation internationale» par «utilisé sur les véhicules en circulation routière </w:t>
      </w:r>
      <w:proofErr w:type="spellStart"/>
      <w:r w:rsidRPr="0059443A">
        <w:rPr>
          <w:lang w:val="fr-FR"/>
        </w:rPr>
        <w:t>internationale</w:t>
      </w:r>
      <w:r w:rsidRPr="0059443A">
        <w:rPr>
          <w:b/>
          <w:vertAlign w:val="superscript"/>
          <w:lang w:val="fr-FR"/>
        </w:rPr>
        <w:t>a</w:t>
      </w:r>
      <w:proofErr w:type="spellEnd"/>
      <w:r w:rsidRPr="0059443A">
        <w:rPr>
          <w:lang w:val="fr-FR"/>
        </w:rPr>
        <w:t>».</w:t>
      </w:r>
    </w:p>
    <w:p w14:paraId="1C471E23" w14:textId="77777777" w:rsidR="00196C06" w:rsidRPr="0059443A" w:rsidRDefault="00196C06" w:rsidP="00196C06">
      <w:pPr>
        <w:pStyle w:val="SingleTxtG"/>
        <w:tabs>
          <w:tab w:val="left" w:pos="1854"/>
        </w:tabs>
        <w:rPr>
          <w:lang w:val="fr-FR"/>
        </w:rPr>
      </w:pPr>
      <w:r w:rsidRPr="0059443A">
        <w:rPr>
          <w:lang w:val="fr-FR"/>
        </w:rPr>
        <w:t xml:space="preserve">La note de bas de </w:t>
      </w:r>
      <w:r>
        <w:rPr>
          <w:lang w:val="fr-FR"/>
        </w:rPr>
        <w:t>tableau</w:t>
      </w:r>
      <w:r w:rsidRPr="0059443A">
        <w:rPr>
          <w:lang w:val="fr-FR"/>
        </w:rPr>
        <w:t xml:space="preserve"> </w:t>
      </w:r>
      <w:r w:rsidRPr="0059443A">
        <w:rPr>
          <w:b/>
          <w:vertAlign w:val="superscript"/>
          <w:lang w:val="fr-FR"/>
        </w:rPr>
        <w:t>a</w:t>
      </w:r>
      <w:r w:rsidRPr="0059443A">
        <w:rPr>
          <w:lang w:val="fr-FR"/>
        </w:rPr>
        <w:t xml:space="preserve"> se lit comme suit:</w:t>
      </w:r>
    </w:p>
    <w:p w14:paraId="6F5BE72C" w14:textId="77777777" w:rsidR="00196C06" w:rsidRPr="0059443A" w:rsidRDefault="00196C06" w:rsidP="00196C06">
      <w:pPr>
        <w:pStyle w:val="SingleTxtG"/>
        <w:rPr>
          <w:lang w:val="fr-FR"/>
        </w:rPr>
      </w:pPr>
      <w:r w:rsidRPr="0059443A">
        <w:rPr>
          <w:lang w:val="fr-FR"/>
        </w:rPr>
        <w:lastRenderedPageBreak/>
        <w:t>«</w:t>
      </w:r>
      <w:proofErr w:type="gramStart"/>
      <w:r w:rsidRPr="0059443A">
        <w:rPr>
          <w:b/>
          <w:vertAlign w:val="superscript"/>
          <w:lang w:val="fr-FR"/>
        </w:rPr>
        <w:t>a</w:t>
      </w:r>
      <w:proofErr w:type="gramEnd"/>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w:t>
      </w:r>
    </w:p>
    <w:p w14:paraId="7C1F32A0" w14:textId="77777777" w:rsidR="00196C06" w:rsidRPr="0059443A" w:rsidRDefault="00196C06" w:rsidP="00196C06">
      <w:pPr>
        <w:pStyle w:val="SingleTxtG"/>
        <w:rPr>
          <w:lang w:eastAsia="en-GB"/>
        </w:rPr>
      </w:pPr>
      <w:r w:rsidRPr="0059443A">
        <w:rPr>
          <w:lang w:val="fr-FR"/>
        </w:rPr>
        <w:t>4.1.4.1, instruction d’emballage P200</w:t>
      </w:r>
      <w:r>
        <w:rPr>
          <w:lang w:val="fr-FR"/>
        </w:rPr>
        <w:tab/>
        <w:t>D</w:t>
      </w:r>
      <w:r w:rsidRPr="0059443A">
        <w:rPr>
          <w:lang w:val="fr-FR"/>
        </w:rPr>
        <w:t>ans l’intitulé de la colonne 4 des tableaux 1, 2 et 3</w:t>
      </w:r>
      <w:r>
        <w:rPr>
          <w:lang w:val="fr-FR"/>
        </w:rPr>
        <w:t>, r</w:t>
      </w:r>
      <w:proofErr w:type="spellStart"/>
      <w:r w:rsidRPr="0059443A">
        <w:rPr>
          <w:lang w:eastAsia="en-GB"/>
        </w:rPr>
        <w:t>emplacer</w:t>
      </w:r>
      <w:proofErr w:type="spellEnd"/>
      <w:r w:rsidRPr="0059443A">
        <w:rPr>
          <w:lang w:eastAsia="en-GB"/>
        </w:rPr>
        <w:t xml:space="preserve"> «Risque» par «Danger».</w:t>
      </w:r>
    </w:p>
    <w:p w14:paraId="3F209B6F" w14:textId="609290DC" w:rsidR="00196C06" w:rsidRDefault="00196C06" w:rsidP="00196C06">
      <w:pPr>
        <w:pStyle w:val="SingleTxtG"/>
        <w:spacing w:before="120"/>
        <w:rPr>
          <w:lang w:val="fr-FR"/>
        </w:rPr>
      </w:pPr>
      <w:r w:rsidRPr="008A0A46">
        <w:rPr>
          <w:lang w:val="fr-FR"/>
        </w:rPr>
        <w:t xml:space="preserve">4.1.4.1, instruction d’emballage </w:t>
      </w:r>
      <w:r>
        <w:rPr>
          <w:lang w:val="fr-FR"/>
        </w:rPr>
        <w:t>P200 3) e)</w:t>
      </w:r>
      <w:r w:rsidR="00585B3C">
        <w:rPr>
          <w:lang w:val="fr-FR"/>
        </w:rPr>
        <w:tab/>
      </w:r>
      <w:r w:rsidR="00EA0411">
        <w:rPr>
          <w:lang w:val="fr-FR"/>
        </w:rPr>
        <w:t>Modifier comme suit:</w:t>
      </w:r>
    </w:p>
    <w:p w14:paraId="60F7BBCD" w14:textId="77777777" w:rsidR="00196C06" w:rsidRDefault="00196C06" w:rsidP="00196C06">
      <w:pPr>
        <w:pStyle w:val="SingleTxtG"/>
        <w:spacing w:before="120"/>
        <w:ind w:left="1701"/>
        <w:rPr>
          <w:lang w:val="fr-FR"/>
        </w:rPr>
      </w:pPr>
      <w:r>
        <w:rPr>
          <w:lang w:val="fr-FR"/>
        </w:rPr>
        <w:t>Dans le premier paragraphe, modifier le texte entre parenthèses pour lire comme suit: «à savoir le gaz liquéfié et le gaz comprimé».</w:t>
      </w:r>
    </w:p>
    <w:p w14:paraId="1AEC9672" w14:textId="77777777" w:rsidR="00196C06" w:rsidRDefault="00196C06" w:rsidP="00196C06">
      <w:pPr>
        <w:pStyle w:val="SingleTxtG"/>
        <w:spacing w:before="120"/>
        <w:ind w:left="1701"/>
        <w:rPr>
          <w:lang w:val="fr-FR"/>
        </w:rPr>
      </w:pPr>
      <w:r>
        <w:rPr>
          <w:lang w:val="fr-FR"/>
        </w:rPr>
        <w:t>Modifier l’alinéa i) pour lire comme suit</w:t>
      </w:r>
      <w:proofErr w:type="gramStart"/>
      <w:r>
        <w:rPr>
          <w:lang w:val="fr-FR"/>
        </w:rPr>
        <w:t>:.</w:t>
      </w:r>
      <w:proofErr w:type="gramEnd"/>
    </w:p>
    <w:p w14:paraId="01544745" w14:textId="77777777" w:rsidR="00196C06" w:rsidRDefault="00196C06" w:rsidP="00196C06">
      <w:pPr>
        <w:pStyle w:val="SingleTxtG"/>
        <w:spacing w:before="120"/>
        <w:ind w:left="1701"/>
      </w:pPr>
      <w:r>
        <w:t>«</w:t>
      </w:r>
      <w:r w:rsidRPr="004D500E">
        <w:t>i)</w:t>
      </w:r>
      <w:r w:rsidRPr="004D500E">
        <w:tab/>
        <w:t xml:space="preserve">Calcul de la pression de vapeur </w:t>
      </w:r>
      <w:r>
        <w:t>du gaz liquéfié</w:t>
      </w:r>
      <w:r w:rsidRPr="004D500E">
        <w:t xml:space="preserve"> et de la pression partielle du gaz comprimé à 15 °C (température de remplissage);</w:t>
      </w:r>
      <w:r>
        <w:t>».</w:t>
      </w:r>
    </w:p>
    <w:p w14:paraId="193EC9DB" w14:textId="77777777" w:rsidR="00196C06" w:rsidRDefault="00196C06" w:rsidP="00196C06">
      <w:pPr>
        <w:pStyle w:val="SingleTxtG"/>
        <w:spacing w:before="120"/>
        <w:ind w:left="1701"/>
        <w:rPr>
          <w:lang w:val="fr-FR"/>
        </w:rPr>
      </w:pPr>
      <w:r>
        <w:rPr>
          <w:lang w:val="fr-FR"/>
        </w:rPr>
        <w:t>Modifier les alinéas iv) et v) pour lire comme suit</w:t>
      </w:r>
      <w:proofErr w:type="gramStart"/>
      <w:r>
        <w:rPr>
          <w:lang w:val="fr-FR"/>
        </w:rPr>
        <w:t>:.</w:t>
      </w:r>
      <w:proofErr w:type="gramEnd"/>
    </w:p>
    <w:p w14:paraId="18D29B59" w14:textId="77777777" w:rsidR="00196C06" w:rsidRPr="004D500E" w:rsidRDefault="00196C06" w:rsidP="00196C06">
      <w:pPr>
        <w:pStyle w:val="SingleTxtG"/>
        <w:spacing w:before="120"/>
        <w:ind w:left="1701"/>
      </w:pPr>
      <w:r>
        <w:t>«</w:t>
      </w:r>
      <w:r w:rsidRPr="004D500E">
        <w:t>iv)</w:t>
      </w:r>
      <w:r w:rsidRPr="004D500E">
        <w:tab/>
        <w:t xml:space="preserve">Calcul de la pression de vapeur </w:t>
      </w:r>
      <w:r>
        <w:t>du gaz liquéfié</w:t>
      </w:r>
      <w:r w:rsidRPr="004D500E">
        <w:t xml:space="preserve"> à 65 °C;</w:t>
      </w:r>
      <w:r w:rsidRPr="008A0A46">
        <w:t xml:space="preserve"> </w:t>
      </w:r>
    </w:p>
    <w:p w14:paraId="629E5A91" w14:textId="77777777" w:rsidR="00196C06" w:rsidRPr="004D500E" w:rsidRDefault="00196C06" w:rsidP="00196C06">
      <w:pPr>
        <w:pStyle w:val="SingleTxtG"/>
        <w:spacing w:before="120"/>
        <w:ind w:left="1701"/>
      </w:pPr>
      <w:r w:rsidRPr="004D500E">
        <w:t>v)</w:t>
      </w:r>
      <w:r w:rsidRPr="004D500E">
        <w:tab/>
        <w:t xml:space="preserve">La pression totale est la somme de la pression de vapeur </w:t>
      </w:r>
      <w:r>
        <w:t>du gaz liquéfié</w:t>
      </w:r>
      <w:r w:rsidRPr="004D500E">
        <w:t xml:space="preserve"> et de la pression partielle du gaz comprimé à 65 °C;</w:t>
      </w:r>
      <w:r w:rsidRPr="008A0A46">
        <w:t xml:space="preserve"> </w:t>
      </w:r>
      <w:r>
        <w:t>».</w:t>
      </w:r>
    </w:p>
    <w:p w14:paraId="70055BD4" w14:textId="77777777" w:rsidR="00196C06" w:rsidRPr="008A0A46" w:rsidRDefault="00196C06" w:rsidP="00196C06">
      <w:pPr>
        <w:pStyle w:val="SingleTxtG"/>
        <w:spacing w:before="120"/>
        <w:ind w:left="1701"/>
        <w:rPr>
          <w:lang w:val="fr-FR"/>
        </w:rPr>
      </w:pPr>
      <w:r>
        <w:rPr>
          <w:lang w:val="fr-FR"/>
        </w:rPr>
        <w:t>L’amendement relatif au dernier paragraphe ne s’applique pas au texte français.</w:t>
      </w:r>
    </w:p>
    <w:p w14:paraId="6CC39C78" w14:textId="7F60C49F" w:rsidR="00196C06" w:rsidRPr="0059443A" w:rsidRDefault="00196C06" w:rsidP="00196C06">
      <w:pPr>
        <w:pStyle w:val="SingleTxtG"/>
        <w:rPr>
          <w:lang w:eastAsia="en-GB"/>
        </w:rPr>
      </w:pPr>
      <w:r w:rsidRPr="0059443A">
        <w:rPr>
          <w:lang w:val="fr-FR"/>
        </w:rPr>
        <w:t>4.1.4.1, in</w:t>
      </w:r>
      <w:r>
        <w:rPr>
          <w:lang w:val="fr-FR"/>
        </w:rPr>
        <w:t>struction d’emballage P203 (7)</w:t>
      </w:r>
      <w:r>
        <w:rPr>
          <w:lang w:val="fr-FR"/>
        </w:rPr>
        <w:tab/>
      </w:r>
      <w:r w:rsidRPr="0059443A">
        <w:rPr>
          <w:lang w:eastAsia="en-GB"/>
        </w:rPr>
        <w:t>Remplacer «risque» par «danger».</w:t>
      </w:r>
    </w:p>
    <w:p w14:paraId="429B2CFE" w14:textId="388DFAE0" w:rsidR="00196C06" w:rsidRPr="0059443A" w:rsidRDefault="00196C06" w:rsidP="00196C06">
      <w:pPr>
        <w:pStyle w:val="SingleTxtG"/>
        <w:rPr>
          <w:lang w:val="fr-FR"/>
        </w:rPr>
      </w:pPr>
      <w:r w:rsidRPr="0059443A">
        <w:rPr>
          <w:lang w:val="fr-FR"/>
        </w:rPr>
        <w:t>4.1.4.1, i</w:t>
      </w:r>
      <w:r>
        <w:rPr>
          <w:lang w:val="fr-FR"/>
        </w:rPr>
        <w:t>nstruction d’emballage P206 (3)</w:t>
      </w:r>
      <w:r w:rsidR="00EA0411" w:rsidRPr="00EA0411">
        <w:rPr>
          <w:lang w:val="fr-FR"/>
        </w:rPr>
        <w:t xml:space="preserve"> </w:t>
      </w:r>
      <w:r w:rsidR="00EA0411">
        <w:rPr>
          <w:lang w:val="fr-FR"/>
        </w:rPr>
        <w:tab/>
        <w:t>Modifier comme suit:</w:t>
      </w:r>
    </w:p>
    <w:p w14:paraId="5619DC25" w14:textId="77777777" w:rsidR="00196C06" w:rsidRPr="0059443A" w:rsidRDefault="00196C06" w:rsidP="00196C06">
      <w:pPr>
        <w:pStyle w:val="SingleTxtG"/>
        <w:ind w:left="1701"/>
      </w:pPr>
      <w:r w:rsidRPr="0059443A">
        <w:t>Au deuxième paragraphe, r</w:t>
      </w:r>
      <w:r>
        <w:t>emplacer «la phase liquide» par</w:t>
      </w:r>
      <w:r w:rsidRPr="0059443A">
        <w:t xml:space="preserve"> «le liquide».</w:t>
      </w:r>
    </w:p>
    <w:p w14:paraId="391F6968" w14:textId="77777777" w:rsidR="00196C06" w:rsidRPr="0059443A" w:rsidRDefault="00196C06" w:rsidP="00196C06">
      <w:pPr>
        <w:pStyle w:val="SingleTxtG"/>
        <w:ind w:left="1701"/>
      </w:pPr>
      <w:r w:rsidRPr="0059443A">
        <w:t>À l’alinéa a), rempl</w:t>
      </w:r>
      <w:r>
        <w:t>acer «du composant liquide» par</w:t>
      </w:r>
      <w:r w:rsidRPr="0059443A">
        <w:t xml:space="preserve"> «du liquide».</w:t>
      </w:r>
    </w:p>
    <w:p w14:paraId="051B9F30" w14:textId="77777777" w:rsidR="00196C06" w:rsidRPr="0059443A" w:rsidRDefault="00196C06" w:rsidP="00196C06">
      <w:pPr>
        <w:pStyle w:val="SingleTxtG"/>
        <w:ind w:left="1701"/>
      </w:pPr>
      <w:r w:rsidRPr="0059443A">
        <w:t>À l’alinéa d), rempl</w:t>
      </w:r>
      <w:r>
        <w:t>acer «du composant liquide» par</w:t>
      </w:r>
      <w:r w:rsidRPr="0059443A">
        <w:t xml:space="preserve"> «du liquide».</w:t>
      </w:r>
    </w:p>
    <w:p w14:paraId="0FB6B734" w14:textId="77777777" w:rsidR="00196C06" w:rsidRPr="0059443A" w:rsidRDefault="00196C06" w:rsidP="00196C06">
      <w:pPr>
        <w:pStyle w:val="SingleTxtG"/>
        <w:ind w:left="1701"/>
      </w:pPr>
      <w:r w:rsidRPr="0059443A">
        <w:t>À l’alinéa e), rempl</w:t>
      </w:r>
      <w:r>
        <w:t>acer «du composant liquide» par</w:t>
      </w:r>
      <w:r w:rsidRPr="0059443A">
        <w:t xml:space="preserve"> «du liquide».</w:t>
      </w:r>
    </w:p>
    <w:p w14:paraId="6F9EF34B" w14:textId="77777777" w:rsidR="00196C06" w:rsidRPr="0059443A" w:rsidRDefault="00196C06" w:rsidP="00196C06">
      <w:pPr>
        <w:pStyle w:val="SingleTxtG"/>
        <w:ind w:left="1701"/>
      </w:pPr>
      <w:r w:rsidRPr="0059443A">
        <w:t>Au dernier paragraphe, rempl</w:t>
      </w:r>
      <w:r>
        <w:t>acer «le composant liquide» par</w:t>
      </w:r>
      <w:r w:rsidRPr="0059443A">
        <w:t xml:space="preserve"> «la phase liquide».</w:t>
      </w:r>
    </w:p>
    <w:p w14:paraId="569B3C9C" w14:textId="77777777" w:rsidR="00196C06" w:rsidRPr="0059443A" w:rsidRDefault="00196C06" w:rsidP="00196C06">
      <w:pPr>
        <w:pStyle w:val="SingleTxtG"/>
        <w:rPr>
          <w:lang w:eastAsia="en-GB"/>
        </w:rPr>
      </w:pPr>
      <w:r w:rsidRPr="0059443A">
        <w:rPr>
          <w:lang w:val="fr-FR"/>
        </w:rPr>
        <w:t>4.1.4.1, instruction d’emballage P208</w:t>
      </w:r>
      <w:r>
        <w:rPr>
          <w:lang w:val="fr-FR"/>
        </w:rPr>
        <w:tab/>
        <w:t>D</w:t>
      </w:r>
      <w:r w:rsidRPr="0059443A">
        <w:rPr>
          <w:lang w:val="fr-FR"/>
        </w:rPr>
        <w:t>ans l’intitul</w:t>
      </w:r>
      <w:r>
        <w:rPr>
          <w:lang w:val="fr-FR"/>
        </w:rPr>
        <w:t>é de la colonne 4 du tableau 1, r</w:t>
      </w:r>
      <w:proofErr w:type="spellStart"/>
      <w:r w:rsidRPr="0059443A">
        <w:rPr>
          <w:lang w:eastAsia="en-GB"/>
        </w:rPr>
        <w:t>emplacer</w:t>
      </w:r>
      <w:proofErr w:type="spellEnd"/>
      <w:r w:rsidRPr="0059443A">
        <w:rPr>
          <w:lang w:eastAsia="en-GB"/>
        </w:rPr>
        <w:t xml:space="preserve"> «Risque» par «Danger».</w:t>
      </w:r>
    </w:p>
    <w:p w14:paraId="3794FB71" w14:textId="77777777" w:rsidR="00196C06" w:rsidRPr="0059443A" w:rsidRDefault="00196C06" w:rsidP="00196C06">
      <w:pPr>
        <w:pStyle w:val="SingleTxtG"/>
        <w:rPr>
          <w:lang w:eastAsia="en-GB"/>
        </w:rPr>
      </w:pPr>
      <w:r>
        <w:rPr>
          <w:lang w:val="fr-FR"/>
        </w:rPr>
        <w:t>4.1.4.1, i</w:t>
      </w:r>
      <w:r w:rsidRPr="0059443A">
        <w:rPr>
          <w:lang w:val="fr-FR"/>
        </w:rPr>
        <w:t xml:space="preserve">nstruction d’emballage P520, </w:t>
      </w:r>
      <w:r>
        <w:rPr>
          <w:lang w:val="fr-FR"/>
        </w:rPr>
        <w:t>disposition supplémentaire 4</w:t>
      </w:r>
      <w:r w:rsidRPr="0059443A">
        <w:rPr>
          <w:lang w:val="fr-FR"/>
        </w:rPr>
        <w:t xml:space="preserve"> </w:t>
      </w:r>
      <w:r>
        <w:rPr>
          <w:lang w:val="fr-FR"/>
        </w:rPr>
        <w:tab/>
      </w:r>
      <w:r w:rsidRPr="0059443A">
        <w:rPr>
          <w:lang w:eastAsia="en-GB"/>
        </w:rPr>
        <w:t>Remplacer «risque» par «danger».</w:t>
      </w:r>
    </w:p>
    <w:p w14:paraId="5C83D46F" w14:textId="2B85F11F" w:rsidR="00C052E4" w:rsidRPr="00C052E4" w:rsidRDefault="00C052E4" w:rsidP="00C052E4">
      <w:pPr>
        <w:pStyle w:val="SingleTxtG"/>
        <w:rPr>
          <w:lang w:eastAsia="en-GB"/>
        </w:rPr>
      </w:pPr>
      <w:r w:rsidRPr="00C052E4">
        <w:rPr>
          <w:lang w:val="fr-FR"/>
        </w:rPr>
        <w:t>4.1.4.1, instruction d’emballage P520</w:t>
      </w:r>
      <w:r w:rsidRPr="00C052E4">
        <w:rPr>
          <w:lang w:val="fr-FR"/>
        </w:rPr>
        <w:tab/>
        <w:t>Ajouter les nouvelles dispositions spéciales d’emballage suivantes:</w:t>
      </w:r>
    </w:p>
    <w:p w14:paraId="414B4AEF" w14:textId="51CED450" w:rsidR="00C052E4" w:rsidRPr="00C052E4" w:rsidRDefault="00C052E4" w:rsidP="00C052E4">
      <w:pPr>
        <w:pStyle w:val="SingleTxtG"/>
        <w:rPr>
          <w:rStyle w:val="SingleTxtGChar"/>
          <w:lang w:val="fr-FR"/>
        </w:rPr>
      </w:pPr>
      <w:r w:rsidRPr="00C052E4">
        <w:rPr>
          <w:rStyle w:val="SingleTxtGChar"/>
          <w:lang w:val="fr-FR"/>
        </w:rPr>
        <w:t xml:space="preserve"> «PP94</w:t>
      </w:r>
      <w:r w:rsidRPr="00C052E4">
        <w:rPr>
          <w:rStyle w:val="SingleTxtGChar"/>
          <w:lang w:val="fr-FR"/>
        </w:rPr>
        <w:tab/>
        <w:t xml:space="preserve">Les très petites quantités d’échantillons énergétiques </w:t>
      </w:r>
      <w:r w:rsidRPr="0028758A">
        <w:rPr>
          <w:rStyle w:val="SingleTxtGChar"/>
          <w:lang w:val="fr-FR"/>
        </w:rPr>
        <w:t>de la</w:t>
      </w:r>
      <w:r w:rsidRPr="00C052E4">
        <w:rPr>
          <w:rStyle w:val="SingleTxtGChar"/>
          <w:lang w:val="fr-FR"/>
        </w:rPr>
        <w:t xml:space="preserve"> section 2.0.4.3 peuvent être transportées sous les Nos ONU 3223 ou 3224</w:t>
      </w:r>
      <w:r w:rsidR="00771312">
        <w:rPr>
          <w:rStyle w:val="SingleTxtGChar"/>
          <w:lang w:val="fr-FR"/>
        </w:rPr>
        <w:t>, selon le cas, à condition que</w:t>
      </w:r>
      <w:r w:rsidRPr="00C052E4">
        <w:rPr>
          <w:rStyle w:val="SingleTxtGChar"/>
          <w:lang w:val="fr-FR"/>
        </w:rPr>
        <w:t>:</w:t>
      </w:r>
    </w:p>
    <w:p w14:paraId="00868C25" w14:textId="77777777" w:rsidR="00C052E4" w:rsidRPr="00C052E4" w:rsidRDefault="00C052E4" w:rsidP="00C052E4">
      <w:pPr>
        <w:pStyle w:val="SingleTxtG"/>
        <w:rPr>
          <w:rStyle w:val="SingleTxtGChar"/>
          <w:lang w:val="fr-FR"/>
        </w:rPr>
      </w:pPr>
      <w:r w:rsidRPr="00C052E4">
        <w:rPr>
          <w:rStyle w:val="SingleTxtGChar"/>
          <w:lang w:val="fr-FR"/>
        </w:rPr>
        <w:t>1.</w:t>
      </w:r>
      <w:r w:rsidRPr="00C052E4">
        <w:rPr>
          <w:rStyle w:val="SingleTxtGChar"/>
          <w:lang w:val="fr-FR"/>
        </w:rPr>
        <w:tab/>
        <w:t>Seuls des emballages combinés dont l’emballage extérieur est fait de caisses (4A, 4B, 4N, 4C1, 4C2, 4D, 4F, 4G, 4H1 et 4H2) soient utilisés;</w:t>
      </w:r>
    </w:p>
    <w:p w14:paraId="44BB0856" w14:textId="77777777" w:rsidR="00C052E4" w:rsidRPr="00C052E4" w:rsidRDefault="00C052E4" w:rsidP="00C052E4">
      <w:pPr>
        <w:pStyle w:val="SingleTxtG"/>
        <w:rPr>
          <w:rStyle w:val="SingleTxtGChar"/>
          <w:lang w:val="fr-FR"/>
        </w:rPr>
      </w:pPr>
      <w:r w:rsidRPr="00C052E4">
        <w:rPr>
          <w:rStyle w:val="SingleTxtGChar"/>
          <w:lang w:val="fr-FR"/>
        </w:rPr>
        <w:t>2.</w:t>
      </w:r>
      <w:r w:rsidRPr="00C052E4">
        <w:rPr>
          <w:rStyle w:val="SingleTxtGChar"/>
          <w:lang w:val="fr-FR"/>
        </w:rPr>
        <w:tab/>
        <w:t>Les échantillons soient transportés dans des plaques à réservoirs ou des plaques multiples en plastique, en verre, en porcelaine ou en grès, faisant office d’emballage intérieur;</w:t>
      </w:r>
    </w:p>
    <w:p w14:paraId="563B9B1E" w14:textId="5CEF17BB" w:rsidR="00C052E4" w:rsidRPr="00E84D05" w:rsidRDefault="00C052E4" w:rsidP="00C052E4">
      <w:pPr>
        <w:pStyle w:val="SingleTxtG"/>
        <w:rPr>
          <w:rStyle w:val="SingleTxtGChar"/>
          <w:lang w:val="fr-FR"/>
        </w:rPr>
      </w:pPr>
      <w:r w:rsidRPr="00E84D05">
        <w:rPr>
          <w:rStyle w:val="SingleTxtGChar"/>
          <w:lang w:val="fr-FR"/>
        </w:rPr>
        <w:t>3.</w:t>
      </w:r>
      <w:r w:rsidRPr="00E84D05">
        <w:rPr>
          <w:rStyle w:val="SingleTxtGChar"/>
          <w:lang w:val="fr-FR"/>
        </w:rPr>
        <w:tab/>
        <w:t>La quantité maximum par cavité interne ne dépasse pas 0,01 g pour les matières solides et 0,01 ml pour les matières liquides;</w:t>
      </w:r>
    </w:p>
    <w:p w14:paraId="47BAA4F7" w14:textId="5EA7E0F5" w:rsidR="00C052E4" w:rsidRPr="00E84D05" w:rsidRDefault="00C052E4" w:rsidP="00C052E4">
      <w:pPr>
        <w:pStyle w:val="SingleTxtG"/>
        <w:rPr>
          <w:rStyle w:val="SingleTxtGChar"/>
          <w:lang w:val="fr-FR"/>
        </w:rPr>
      </w:pPr>
      <w:r w:rsidRPr="00E84D05">
        <w:rPr>
          <w:rStyle w:val="SingleTxtGChar"/>
          <w:lang w:val="fr-FR"/>
        </w:rPr>
        <w:lastRenderedPageBreak/>
        <w:t>4.</w:t>
      </w:r>
      <w:r w:rsidRPr="00E84D05">
        <w:rPr>
          <w:rStyle w:val="SingleTxtGChar"/>
          <w:lang w:val="fr-FR"/>
        </w:rPr>
        <w:tab/>
        <w:t xml:space="preserve">La quantité maximum nette par emballage extérieur </w:t>
      </w:r>
      <w:r w:rsidR="0028758A" w:rsidRPr="00E84D05">
        <w:rPr>
          <w:rStyle w:val="SingleTxtGChar"/>
          <w:lang w:val="fr-FR"/>
        </w:rPr>
        <w:t xml:space="preserve">soit </w:t>
      </w:r>
      <w:r w:rsidRPr="00E84D05">
        <w:rPr>
          <w:rStyle w:val="SingleTxtGChar"/>
          <w:lang w:val="fr-FR"/>
        </w:rPr>
        <w:t>égale à 20 g pour les matières solides et à 20 ml pour les matières liquides. Dans le cas d’emballages en commun, la somme de la masse en g et du volume en ml ne doit pas dépasser 20; et</w:t>
      </w:r>
    </w:p>
    <w:p w14:paraId="5C0E7B50" w14:textId="48D273ED" w:rsidR="00C052E4" w:rsidRPr="00C052E4" w:rsidRDefault="00C052E4" w:rsidP="00C052E4">
      <w:pPr>
        <w:pStyle w:val="SingleTxtG"/>
        <w:rPr>
          <w:rStyle w:val="SingleTxtGChar"/>
          <w:lang w:val="fr-FR"/>
        </w:rPr>
      </w:pPr>
      <w:r w:rsidRPr="00E84D05">
        <w:rPr>
          <w:rStyle w:val="SingleTxtGChar"/>
          <w:lang w:val="fr-FR"/>
        </w:rPr>
        <w:t>5.</w:t>
      </w:r>
      <w:r w:rsidRPr="00E84D05">
        <w:rPr>
          <w:rStyle w:val="SingleTxtGChar"/>
          <w:lang w:val="fr-FR"/>
        </w:rPr>
        <w:tab/>
        <w:t xml:space="preserve">Lorsque l’on utilise de la neige carbonique ou de l’azote liquide comme réfrigérant en vue d’un contrôle de qualité, les prescriptions du paragraphe 5.5.3 </w:t>
      </w:r>
      <w:r w:rsidR="0028758A" w:rsidRPr="00E84D05">
        <w:rPr>
          <w:rStyle w:val="SingleTxtGChar"/>
          <w:lang w:val="fr-FR"/>
        </w:rPr>
        <w:t>soient</w:t>
      </w:r>
      <w:r w:rsidRPr="00E84D05">
        <w:rPr>
          <w:rStyle w:val="SingleTxtGChar"/>
          <w:lang w:val="fr-FR"/>
        </w:rPr>
        <w:t xml:space="preserve"> remplies. Des supports intérieurs doivent être prévus pour que les emballages intérieurs restent dans leur position initiale. Les emballages intérieurs et extérieurs doivent conserver leur intégrité à la température du produit réfrigérant utilisé ainsi qu’aux températures et aux pressions qui découleraient d’un arrêt de la réfrigération.</w:t>
      </w:r>
    </w:p>
    <w:p w14:paraId="600E32AF" w14:textId="77777777" w:rsidR="00C052E4" w:rsidRPr="00C052E4" w:rsidRDefault="00C052E4" w:rsidP="00C052E4">
      <w:pPr>
        <w:pStyle w:val="SingleTxtG"/>
        <w:rPr>
          <w:rStyle w:val="SingleTxtGChar"/>
          <w:lang w:val="fr-FR"/>
        </w:rPr>
      </w:pPr>
      <w:r w:rsidRPr="00C052E4">
        <w:t>PP95</w:t>
      </w:r>
      <w:r w:rsidRPr="00C052E4">
        <w:tab/>
        <w:t>L</w:t>
      </w:r>
      <w:r w:rsidRPr="00C052E4">
        <w:rPr>
          <w:rStyle w:val="SingleTxtGChar"/>
          <w:lang w:val="fr-FR"/>
        </w:rPr>
        <w:t xml:space="preserve">es petites quantités d’échantillons énergétiques </w:t>
      </w:r>
      <w:r w:rsidRPr="0028758A">
        <w:rPr>
          <w:rStyle w:val="SingleTxtGChar"/>
          <w:lang w:val="fr-FR"/>
        </w:rPr>
        <w:t>de la</w:t>
      </w:r>
      <w:r w:rsidRPr="00C052E4">
        <w:rPr>
          <w:rStyle w:val="SingleTxtGChar"/>
          <w:lang w:val="fr-FR"/>
        </w:rPr>
        <w:t xml:space="preserve"> section 2.0.4.3 peuvent être transportées sous les Nos ONU 3223 ou 3224, selon le cas, à condition que:</w:t>
      </w:r>
    </w:p>
    <w:p w14:paraId="1BBB5ACA" w14:textId="361E3C64" w:rsidR="00C052E4" w:rsidRPr="00E84D05" w:rsidRDefault="00C052E4" w:rsidP="00C052E4">
      <w:pPr>
        <w:pStyle w:val="SingleTxtG"/>
      </w:pPr>
      <w:r w:rsidRPr="00E84D05">
        <w:t>1.</w:t>
      </w:r>
      <w:r w:rsidRPr="00E84D05">
        <w:tab/>
        <w:t xml:space="preserve">Les emballages extérieurs </w:t>
      </w:r>
      <w:r w:rsidR="000243E2">
        <w:t xml:space="preserve">consistent uniquement en des caisses en carton ondulé de type 4G </w:t>
      </w:r>
      <w:r w:rsidRPr="00E84D05">
        <w:t>avec, pour dimensions minimales, une longueur de 60 cm, une largeur de 40,5 cm et une hauteur de 30 cm, et avec une épaisseur de paroi minimale de 1,3 cm;</w:t>
      </w:r>
    </w:p>
    <w:p w14:paraId="7D96AA7B" w14:textId="77777777" w:rsidR="00C052E4" w:rsidRPr="00E84D05" w:rsidRDefault="00C052E4" w:rsidP="00C052E4">
      <w:pPr>
        <w:pStyle w:val="SingleTxtG"/>
      </w:pPr>
      <w:r w:rsidRPr="00E84D05">
        <w:t>2.</w:t>
      </w:r>
      <w:r w:rsidRPr="00E84D05">
        <w:tab/>
        <w:t>La matière soit contenue dans un emballage intérieur de verre ou de plastique d’une capacité maximum de 30 ml placé dans une matrice expansible en mousse de polyéthylène d'au moins 130 mm d'épaisseur ayant une densité de 18 ± 1 g/l;</w:t>
      </w:r>
    </w:p>
    <w:p w14:paraId="18172C3E" w14:textId="6A67DF84" w:rsidR="00C052E4" w:rsidRPr="00E84D05" w:rsidRDefault="00C052E4" w:rsidP="00C052E4">
      <w:pPr>
        <w:pStyle w:val="SingleTxtG"/>
      </w:pPr>
      <w:r w:rsidRPr="00E84D05">
        <w:t>3.</w:t>
      </w:r>
      <w:r w:rsidRPr="00E84D05">
        <w:tab/>
        <w:t xml:space="preserve">Dans le support de mousse, les emballages intérieurs </w:t>
      </w:r>
      <w:r w:rsidR="0028758A" w:rsidRPr="00E84D05">
        <w:t xml:space="preserve">soient </w:t>
      </w:r>
      <w:r w:rsidRPr="00E84D05">
        <w:t xml:space="preserve">séparés les uns des autres d'une distance minimale de 40 mm et de la paroi de l'emballage extérieur d'une distance minimale de 70 </w:t>
      </w:r>
      <w:proofErr w:type="spellStart"/>
      <w:r w:rsidRPr="00E84D05">
        <w:t>mm.</w:t>
      </w:r>
      <w:proofErr w:type="spellEnd"/>
      <w:r w:rsidRPr="00E84D05">
        <w:t xml:space="preserve"> </w:t>
      </w:r>
      <w:r w:rsidR="00565907">
        <w:t>Le colis</w:t>
      </w:r>
      <w:r w:rsidRPr="00E84D05">
        <w:t xml:space="preserve"> peut contenir jusqu'à deux couches de telles matrices de mousse, chacune pouvant contenir jusqu'à 28 emballages intérieurs;</w:t>
      </w:r>
    </w:p>
    <w:p w14:paraId="4C090E3B" w14:textId="78070B24" w:rsidR="00C052E4" w:rsidRPr="00E84D05" w:rsidRDefault="00C052E4" w:rsidP="00C052E4">
      <w:pPr>
        <w:pStyle w:val="SingleTxtG"/>
      </w:pPr>
      <w:r w:rsidRPr="00E84D05">
        <w:t>4.</w:t>
      </w:r>
      <w:r w:rsidRPr="00E84D05">
        <w:tab/>
        <w:t xml:space="preserve">Chaque emballage intérieur ne </w:t>
      </w:r>
      <w:r w:rsidR="0028758A" w:rsidRPr="00E84D05">
        <w:t>contienne pas</w:t>
      </w:r>
      <w:r w:rsidRPr="00E84D05">
        <w:t xml:space="preserve"> plus de 1 g pour les solides ou 1 ml pour les liquides;</w:t>
      </w:r>
    </w:p>
    <w:p w14:paraId="1273C0C2" w14:textId="329D6471" w:rsidR="00C052E4" w:rsidRPr="00C052E4" w:rsidRDefault="00C052E4" w:rsidP="00C052E4">
      <w:pPr>
        <w:pStyle w:val="SingleTxtG"/>
      </w:pPr>
      <w:r w:rsidRPr="00E84D05">
        <w:t>5.</w:t>
      </w:r>
      <w:r w:rsidRPr="00E84D05">
        <w:tab/>
      </w:r>
      <w:r w:rsidRPr="00E84D05">
        <w:rPr>
          <w:rStyle w:val="SingleTxtGChar"/>
          <w:lang w:val="fr-FR"/>
        </w:rPr>
        <w:t xml:space="preserve">La quantité maximum nette par emballage extérieur </w:t>
      </w:r>
      <w:r w:rsidR="0028758A" w:rsidRPr="00E84D05">
        <w:rPr>
          <w:rStyle w:val="SingleTxtGChar"/>
          <w:lang w:val="fr-FR"/>
        </w:rPr>
        <w:t xml:space="preserve">soit </w:t>
      </w:r>
      <w:r w:rsidRPr="00E84D05">
        <w:rPr>
          <w:rStyle w:val="SingleTxtGChar"/>
          <w:lang w:val="fr-FR"/>
        </w:rPr>
        <w:t>égale à 56 g pour les matières solides et à 56 ml pour les matières liquides. Dans le cas d’emballages en commun, la somme de la masse en g et du volume en ml ne doit pas dépasser 56; et</w:t>
      </w:r>
    </w:p>
    <w:p w14:paraId="6ABE0F0A" w14:textId="546E2FA6" w:rsidR="00C052E4" w:rsidRPr="00C052E4" w:rsidRDefault="00C052E4" w:rsidP="00C052E4">
      <w:pPr>
        <w:pStyle w:val="SingleTxtG"/>
        <w:rPr>
          <w:rStyle w:val="SingleTxtGChar"/>
          <w:lang w:val="fr-FR"/>
        </w:rPr>
      </w:pPr>
      <w:r w:rsidRPr="00C052E4">
        <w:rPr>
          <w:rStyle w:val="SingleTxtGChar"/>
          <w:lang w:val="fr-FR"/>
        </w:rPr>
        <w:t>6.</w:t>
      </w:r>
      <w:r w:rsidRPr="00C052E4">
        <w:rPr>
          <w:rStyle w:val="SingleTxtGChar"/>
          <w:lang w:val="fr-FR"/>
        </w:rPr>
        <w:tab/>
        <w:t xml:space="preserve">Lorsque l’on utilise de la neige carbonique ou de l’azote liquide comme réfrigérant en </w:t>
      </w:r>
      <w:r w:rsidRPr="00E84D05">
        <w:rPr>
          <w:rStyle w:val="SingleTxtGChar"/>
          <w:lang w:val="fr-FR"/>
        </w:rPr>
        <w:t xml:space="preserve">vue d’un contrôle de qualité, les prescriptions du paragraphe 5.5.3 </w:t>
      </w:r>
      <w:r w:rsidR="0028758A" w:rsidRPr="00E84D05">
        <w:rPr>
          <w:rStyle w:val="SingleTxtGChar"/>
          <w:lang w:val="fr-FR"/>
        </w:rPr>
        <w:t>soient</w:t>
      </w:r>
      <w:r w:rsidRPr="00E84D05">
        <w:rPr>
          <w:rStyle w:val="SingleTxtGChar"/>
          <w:lang w:val="fr-FR"/>
        </w:rPr>
        <w:t xml:space="preserve"> remplies. Des supports intérieurs doivent être prévus pour que les emballages intérieurs restent dans leur position initiale. Les emballages intérieurs et extérieurs doivent conserver leur intégrité à la température du produit réfrigérant utilisé ainsi qu’aux températures et aux pressions qui découleraient d’un arrêt de la réfrigération.».</w:t>
      </w:r>
    </w:p>
    <w:p w14:paraId="47DBCD48" w14:textId="4C6F6694" w:rsidR="004215B9" w:rsidRDefault="004215B9" w:rsidP="004215B9">
      <w:pPr>
        <w:pStyle w:val="SingleTxtG"/>
        <w:rPr>
          <w:lang w:val="fr-FR"/>
        </w:rPr>
      </w:pPr>
      <w:r w:rsidRPr="003A2882">
        <w:rPr>
          <w:lang w:val="fr-FR"/>
        </w:rPr>
        <w:t>4.1.4.1, instruction d’embal</w:t>
      </w:r>
      <w:r w:rsidR="003F0288">
        <w:rPr>
          <w:lang w:val="fr-FR"/>
        </w:rPr>
        <w:t>lage P620</w:t>
      </w:r>
      <w:r w:rsidRPr="003A2882">
        <w:rPr>
          <w:lang w:val="fr-FR"/>
        </w:rPr>
        <w:tab/>
      </w:r>
      <w:r w:rsidR="00EA0411">
        <w:rPr>
          <w:lang w:val="fr-FR"/>
        </w:rPr>
        <w:t>Dans la disposition supplémentaire</w:t>
      </w:r>
      <w:r w:rsidRPr="003A2882">
        <w:rPr>
          <w:lang w:val="fr-FR"/>
        </w:rPr>
        <w:t xml:space="preserve"> </w:t>
      </w:r>
      <w:proofErr w:type="gramStart"/>
      <w:r w:rsidRPr="003A2882">
        <w:rPr>
          <w:lang w:val="fr-FR"/>
        </w:rPr>
        <w:t>3.,</w:t>
      </w:r>
      <w:proofErr w:type="gramEnd"/>
      <w:r w:rsidRPr="003A2882">
        <w:rPr>
          <w:lang w:val="fr-FR"/>
        </w:rPr>
        <w:t xml:space="preserve"> </w:t>
      </w:r>
      <w:r>
        <w:rPr>
          <w:lang w:val="fr-FR"/>
        </w:rPr>
        <w:t xml:space="preserve">à la fin, supprimer «et </w:t>
      </w:r>
      <w:r w:rsidRPr="00807FBA">
        <w:rPr>
          <w:lang w:val="fr-FR"/>
        </w:rPr>
        <w:t>à des températures de -40 °C à +55 °C</w:t>
      </w:r>
      <w:r>
        <w:rPr>
          <w:lang w:val="fr-FR"/>
        </w:rPr>
        <w:t>» et ajouter la nouvelle phrase suivante: «</w:t>
      </w:r>
      <w:r w:rsidRPr="003A2882">
        <w:rPr>
          <w:lang w:val="fr-FR"/>
        </w:rPr>
        <w:t xml:space="preserve">Ce récipient </w:t>
      </w:r>
      <w:r w:rsidR="00856BF5">
        <w:rPr>
          <w:lang w:val="fr-FR"/>
        </w:rPr>
        <w:t xml:space="preserve">primaire </w:t>
      </w:r>
      <w:r w:rsidRPr="003A2882">
        <w:rPr>
          <w:lang w:val="fr-FR"/>
        </w:rPr>
        <w:t xml:space="preserve">ou cet emballage </w:t>
      </w:r>
      <w:r w:rsidR="00856BF5">
        <w:rPr>
          <w:lang w:val="fr-FR"/>
        </w:rPr>
        <w:t xml:space="preserve">secondaire </w:t>
      </w:r>
      <w:r w:rsidRPr="003A2882">
        <w:rPr>
          <w:lang w:val="fr-FR"/>
        </w:rPr>
        <w:t>doit aussi être capable de résister à des températures de -40 °C à +55 °C.»</w:t>
      </w:r>
      <w:r>
        <w:rPr>
          <w:lang w:val="fr-FR"/>
        </w:rPr>
        <w:t xml:space="preserve">. </w:t>
      </w:r>
    </w:p>
    <w:p w14:paraId="1CCAF313" w14:textId="77777777" w:rsidR="00196C06" w:rsidRPr="0059443A" w:rsidRDefault="00196C06" w:rsidP="00196C06">
      <w:pPr>
        <w:pStyle w:val="SingleTxtG"/>
        <w:rPr>
          <w:lang w:val="fr-FR"/>
        </w:rPr>
      </w:pPr>
      <w:r w:rsidRPr="0059443A">
        <w:rPr>
          <w:lang w:val="fr-FR"/>
        </w:rPr>
        <w:t>4.1.4.1, instruction d’emballage P80</w:t>
      </w:r>
      <w:r>
        <w:rPr>
          <w:lang w:val="fr-FR"/>
        </w:rPr>
        <w:t>1, disposition supplémentaire 2</w:t>
      </w:r>
      <w:r>
        <w:rPr>
          <w:lang w:val="fr-FR"/>
        </w:rPr>
        <w:tab/>
      </w:r>
      <w:r w:rsidRPr="0059443A">
        <w:rPr>
          <w:lang w:val="fr-FR"/>
        </w:rPr>
        <w:t>Ajouter «électrique» après «isolant».</w:t>
      </w:r>
    </w:p>
    <w:p w14:paraId="7E7988B0" w14:textId="4F9CD765" w:rsidR="00196C06" w:rsidRDefault="00196C06" w:rsidP="00196C06">
      <w:pPr>
        <w:spacing w:before="120" w:after="120" w:line="240" w:lineRule="auto"/>
        <w:ind w:left="1134" w:right="1134"/>
        <w:jc w:val="both"/>
        <w:rPr>
          <w:i/>
          <w:iCs/>
          <w:lang w:val="fr-FR"/>
        </w:rPr>
      </w:pPr>
      <w:r w:rsidRPr="0059443A">
        <w:rPr>
          <w:lang w:val="fr-FR"/>
        </w:rPr>
        <w:t>4.1</w:t>
      </w:r>
      <w:r>
        <w:rPr>
          <w:lang w:val="fr-FR"/>
        </w:rPr>
        <w:t>.4.1, instruction d’emballage P9</w:t>
      </w:r>
      <w:r w:rsidRPr="0059443A">
        <w:rPr>
          <w:lang w:val="fr-FR"/>
        </w:rPr>
        <w:t>01</w:t>
      </w:r>
      <w:r w:rsidR="00EA0411">
        <w:rPr>
          <w:lang w:val="fr-FR"/>
        </w:rPr>
        <w:tab/>
      </w:r>
      <w:r w:rsidRPr="00193B8A">
        <w:rPr>
          <w:iCs/>
          <w:lang w:val="fr-FR"/>
        </w:rPr>
        <w:t xml:space="preserve">Dans la disposition supplémentaire, </w:t>
      </w:r>
      <w:r w:rsidR="007E3EEB">
        <w:rPr>
          <w:iCs/>
          <w:lang w:val="fr-FR"/>
        </w:rPr>
        <w:t>remplacer</w:t>
      </w:r>
      <w:r w:rsidRPr="00193B8A">
        <w:rPr>
          <w:iCs/>
          <w:lang w:val="fr-FR"/>
        </w:rPr>
        <w:t xml:space="preserve"> «</w:t>
      </w:r>
      <w:r w:rsidRPr="00193B8A">
        <w:t>d'une contenance maximale de 250 ml ou 250 g, et</w:t>
      </w:r>
      <w:r w:rsidRPr="00193B8A">
        <w:rPr>
          <w:iCs/>
          <w:lang w:val="fr-FR"/>
        </w:rPr>
        <w:t>»</w:t>
      </w:r>
      <w:r w:rsidR="007E3EEB">
        <w:rPr>
          <w:iCs/>
          <w:lang w:val="fr-FR"/>
        </w:rPr>
        <w:t xml:space="preserve"> par «qui»</w:t>
      </w:r>
      <w:r w:rsidRPr="00193B8A">
        <w:rPr>
          <w:iCs/>
          <w:lang w:val="fr-FR"/>
        </w:rPr>
        <w:t>.</w:t>
      </w:r>
    </w:p>
    <w:p w14:paraId="4FB03C09" w14:textId="16B1C9E2" w:rsidR="004215B9" w:rsidRPr="003A2882" w:rsidRDefault="004215B9" w:rsidP="004215B9">
      <w:pPr>
        <w:pStyle w:val="SingleTxtG"/>
        <w:rPr>
          <w:lang w:val="fr-FR"/>
        </w:rPr>
      </w:pPr>
      <w:r w:rsidRPr="003A2882">
        <w:rPr>
          <w:lang w:val="fr-FR"/>
        </w:rPr>
        <w:t>4.1.4.</w:t>
      </w:r>
      <w:r w:rsidR="003F0288">
        <w:rPr>
          <w:lang w:val="fr-FR"/>
        </w:rPr>
        <w:t>1, instruction d’emballage P902</w:t>
      </w:r>
      <w:r w:rsidRPr="003A2882">
        <w:rPr>
          <w:lang w:val="fr-FR"/>
        </w:rPr>
        <w:tab/>
        <w:t>Dans le paragraphe sous «</w:t>
      </w:r>
      <w:r w:rsidRPr="003A2882">
        <w:rPr>
          <w:b/>
          <w:lang w:val="fr-FR"/>
        </w:rPr>
        <w:t>Objets non emballés:</w:t>
      </w:r>
      <w:r w:rsidRPr="003A2882">
        <w:rPr>
          <w:lang w:val="fr-FR"/>
        </w:rPr>
        <w:t>», à la fin, ajouter «ou vice-versa, y compris lors de trajets faisant intervenir des lieux de manutention intermédiaires».</w:t>
      </w:r>
    </w:p>
    <w:p w14:paraId="7AECD88F" w14:textId="77777777" w:rsidR="00196C06" w:rsidRDefault="00196C06" w:rsidP="00196C06">
      <w:pPr>
        <w:spacing w:before="120" w:after="120" w:line="240" w:lineRule="auto"/>
        <w:ind w:left="1134" w:right="1134"/>
        <w:jc w:val="both"/>
        <w:rPr>
          <w:i/>
          <w:iCs/>
          <w:lang w:val="fr-FR"/>
        </w:rPr>
      </w:pPr>
      <w:r w:rsidRPr="0059443A">
        <w:rPr>
          <w:lang w:val="fr-FR"/>
        </w:rPr>
        <w:t>4.1.4</w:t>
      </w:r>
      <w:r>
        <w:rPr>
          <w:lang w:val="fr-FR"/>
        </w:rPr>
        <w:t>.1, instruction d’emballage P903</w:t>
      </w:r>
      <w:r>
        <w:rPr>
          <w:lang w:val="fr-FR"/>
        </w:rPr>
        <w:tab/>
      </w:r>
      <w:r>
        <w:t>Ajouter la nouvelle phrase suivante au début de la deuxième ligne: «Aux fins de la présente instruction d’emballage, on entend par «équipement» un appareil alimenté par des piles ou batteries au lithium.».</w:t>
      </w:r>
      <w:r w:rsidRPr="007C2FAF">
        <w:t xml:space="preserve"> </w:t>
      </w:r>
    </w:p>
    <w:p w14:paraId="18A42B5F" w14:textId="77777777" w:rsidR="00196C06" w:rsidRPr="00CC6AA6" w:rsidRDefault="00196C06" w:rsidP="00196C06">
      <w:pPr>
        <w:pStyle w:val="SingleTxtG"/>
        <w:rPr>
          <w:i/>
          <w:iCs/>
          <w:lang w:val="fr-FR"/>
        </w:rPr>
      </w:pPr>
      <w:r w:rsidRPr="0059443A">
        <w:rPr>
          <w:lang w:val="fr-FR"/>
        </w:rPr>
        <w:lastRenderedPageBreak/>
        <w:t>4.1.4</w:t>
      </w:r>
      <w:r>
        <w:rPr>
          <w:lang w:val="fr-FR"/>
        </w:rPr>
        <w:t>.1, instruction d’emballage P903, 3)</w:t>
      </w:r>
      <w:r>
        <w:rPr>
          <w:lang w:val="fr-FR"/>
        </w:rPr>
        <w:tab/>
      </w:r>
      <w:r>
        <w:rPr>
          <w:lang w:val="fr-FR"/>
        </w:rPr>
        <w:tab/>
      </w:r>
      <w:r>
        <w:t>Supprimer la dernière phrase.</w:t>
      </w:r>
    </w:p>
    <w:p w14:paraId="1650C39E" w14:textId="593E20DA" w:rsidR="00196C06" w:rsidRPr="001D0D59" w:rsidRDefault="00196C06" w:rsidP="00196C06">
      <w:pPr>
        <w:pStyle w:val="SingleTxtG"/>
        <w:spacing w:before="120"/>
        <w:rPr>
          <w:lang w:val="fr-FR"/>
        </w:rPr>
      </w:pPr>
      <w:r>
        <w:rPr>
          <w:lang w:val="fr-FR"/>
        </w:rPr>
        <w:t>4.1.4.1, instruction d’emballage P906 2)</w:t>
      </w:r>
      <w:r>
        <w:rPr>
          <w:lang w:val="fr-FR"/>
        </w:rPr>
        <w:tab/>
      </w:r>
      <w:r>
        <w:rPr>
          <w:lang w:val="fr-FR"/>
        </w:rPr>
        <w:tab/>
      </w:r>
      <w:r w:rsidR="0073448C">
        <w:rPr>
          <w:lang w:val="fr-FR"/>
        </w:rPr>
        <w:t xml:space="preserve">Dans la phrase d’introduction et dans l’alinéa b), remplacer </w:t>
      </w:r>
      <w:r>
        <w:rPr>
          <w:lang w:val="fr-FR"/>
        </w:rPr>
        <w:t>«appareils» par «objets».</w:t>
      </w:r>
    </w:p>
    <w:p w14:paraId="02444430" w14:textId="77777777" w:rsidR="00196C06" w:rsidRPr="0059443A" w:rsidRDefault="00196C06" w:rsidP="00196C06">
      <w:pPr>
        <w:pStyle w:val="SingleTxtG"/>
        <w:rPr>
          <w:lang w:val="fr-FR"/>
        </w:rPr>
      </w:pPr>
      <w:r w:rsidRPr="0059443A">
        <w:rPr>
          <w:lang w:val="fr-FR"/>
        </w:rPr>
        <w:t>4.1.4.1, instruction d’emballage P908</w:t>
      </w:r>
      <w:r>
        <w:rPr>
          <w:lang w:val="fr-FR"/>
        </w:rPr>
        <w:tab/>
        <w:t xml:space="preserve">Dans les </w:t>
      </w:r>
      <w:r w:rsidRPr="0059443A">
        <w:rPr>
          <w:lang w:val="fr-FR"/>
        </w:rPr>
        <w:t>pa</w:t>
      </w:r>
      <w:r>
        <w:rPr>
          <w:lang w:val="fr-FR"/>
        </w:rPr>
        <w:t>ragraphes 2 et 4, r</w:t>
      </w:r>
      <w:r w:rsidRPr="0059443A">
        <w:rPr>
          <w:lang w:val="fr-FR"/>
        </w:rPr>
        <w:t>emplacer «non conducteur» par «non conducteur d’électricité».</w:t>
      </w:r>
    </w:p>
    <w:p w14:paraId="4C34FB88" w14:textId="77777777" w:rsidR="00196C06" w:rsidRPr="0059443A" w:rsidRDefault="00196C06" w:rsidP="00196C06">
      <w:pPr>
        <w:pStyle w:val="SingleTxtG"/>
        <w:rPr>
          <w:lang w:val="fr-FR"/>
        </w:rPr>
      </w:pPr>
      <w:r w:rsidRPr="0059443A">
        <w:rPr>
          <w:lang w:val="fr-FR"/>
        </w:rPr>
        <w:t>4.1.4.1, instruction d’emballage P909</w:t>
      </w:r>
      <w:r>
        <w:rPr>
          <w:lang w:val="fr-FR"/>
        </w:rPr>
        <w:tab/>
        <w:t>Dans l’</w:t>
      </w:r>
      <w:r w:rsidRPr="0059443A">
        <w:rPr>
          <w:lang w:val="fr-FR"/>
        </w:rPr>
        <w:t xml:space="preserve">alinéa c) du paragraphe 1, </w:t>
      </w:r>
      <w:r>
        <w:rPr>
          <w:lang w:val="fr-FR"/>
        </w:rPr>
        <w:t>l’</w:t>
      </w:r>
      <w:r w:rsidRPr="0059443A">
        <w:rPr>
          <w:lang w:val="fr-FR"/>
        </w:rPr>
        <w:t xml:space="preserve">alinéa b) du paragraphe 2, </w:t>
      </w:r>
      <w:r>
        <w:rPr>
          <w:lang w:val="fr-FR"/>
        </w:rPr>
        <w:t xml:space="preserve">le </w:t>
      </w:r>
      <w:r w:rsidRPr="0059443A">
        <w:rPr>
          <w:lang w:val="fr-FR"/>
        </w:rPr>
        <w:t xml:space="preserve">quatrième tiret de la disposition supplémentaire 2 </w:t>
      </w:r>
      <w:r>
        <w:rPr>
          <w:lang w:val="fr-FR"/>
        </w:rPr>
        <w:t>et la disposition supplémentaire 3, remplacer «non conducteur» par «non conducteur d’électricité</w:t>
      </w:r>
      <w:r w:rsidRPr="0059443A">
        <w:rPr>
          <w:lang w:val="fr-FR"/>
        </w:rPr>
        <w:t>».</w:t>
      </w:r>
    </w:p>
    <w:p w14:paraId="1C17ECF8" w14:textId="77777777" w:rsidR="00196C06" w:rsidRDefault="00196C06" w:rsidP="00196C06">
      <w:pPr>
        <w:pStyle w:val="SingleTxtG"/>
        <w:tabs>
          <w:tab w:val="left" w:pos="4536"/>
        </w:tabs>
        <w:rPr>
          <w:lang w:val="fr-FR"/>
        </w:rPr>
      </w:pPr>
      <w:r w:rsidRPr="00B6673E">
        <w:rPr>
          <w:lang w:val="fr-FR"/>
        </w:rPr>
        <w:t>4.1.4.1</w:t>
      </w:r>
      <w:r>
        <w:rPr>
          <w:lang w:val="fr-FR"/>
        </w:rPr>
        <w:t>, instruction d’emballage P910</w:t>
      </w:r>
      <w:r>
        <w:rPr>
          <w:lang w:val="fr-FR"/>
        </w:rPr>
        <w:tab/>
      </w:r>
      <w:r w:rsidRPr="00B6673E">
        <w:rPr>
          <w:lang w:val="fr-FR"/>
        </w:rPr>
        <w:t>Dans la première phrase, remplacer « piles et batteries » par « piles ou batteries » (deux fois).</w:t>
      </w:r>
    </w:p>
    <w:p w14:paraId="2EE729A7" w14:textId="5565D1E4" w:rsidR="00196C06" w:rsidRPr="0059443A" w:rsidRDefault="00196C06" w:rsidP="00196C06">
      <w:pPr>
        <w:pStyle w:val="SingleTxtG"/>
        <w:tabs>
          <w:tab w:val="left" w:pos="4536"/>
        </w:tabs>
        <w:rPr>
          <w:lang w:val="fr-FR"/>
        </w:rPr>
      </w:pPr>
      <w:r w:rsidRPr="0059443A">
        <w:rPr>
          <w:lang w:val="fr-FR"/>
        </w:rPr>
        <w:t>4.1.4.1, instruction d’emballage P910</w:t>
      </w:r>
      <w:r>
        <w:rPr>
          <w:lang w:val="fr-FR"/>
        </w:rPr>
        <w:tab/>
        <w:t xml:space="preserve">Dans les </w:t>
      </w:r>
      <w:r w:rsidRPr="0059443A">
        <w:rPr>
          <w:lang w:val="fr-FR"/>
        </w:rPr>
        <w:t>alinéas</w:t>
      </w:r>
      <w:r w:rsidR="00375009">
        <w:rPr>
          <w:lang w:val="fr-FR"/>
        </w:rPr>
        <w:t xml:space="preserve"> </w:t>
      </w:r>
      <w:r w:rsidRPr="0059443A">
        <w:rPr>
          <w:lang w:val="fr-FR"/>
        </w:rPr>
        <w:t>c)</w:t>
      </w:r>
      <w:r w:rsidRPr="0059443A">
        <w:rPr>
          <w:i/>
          <w:lang w:val="fr-FR"/>
        </w:rPr>
        <w:t xml:space="preserve"> </w:t>
      </w:r>
      <w:r w:rsidRPr="0059443A">
        <w:rPr>
          <w:lang w:val="fr-FR"/>
        </w:rPr>
        <w:t>et d)</w:t>
      </w:r>
      <w:r w:rsidRPr="0059443A">
        <w:rPr>
          <w:i/>
          <w:lang w:val="fr-FR"/>
        </w:rPr>
        <w:t xml:space="preserve"> </w:t>
      </w:r>
      <w:r w:rsidRPr="0059443A">
        <w:rPr>
          <w:lang w:val="fr-FR"/>
        </w:rPr>
        <w:t xml:space="preserve">du paragraphe 1, </w:t>
      </w:r>
      <w:r>
        <w:rPr>
          <w:lang w:val="fr-FR"/>
        </w:rPr>
        <w:t>dans l’</w:t>
      </w:r>
      <w:r w:rsidRPr="0059443A">
        <w:rPr>
          <w:lang w:val="fr-FR"/>
        </w:rPr>
        <w:t>alinéa</w:t>
      </w:r>
      <w:r w:rsidR="00375009">
        <w:rPr>
          <w:lang w:val="fr-FR"/>
        </w:rPr>
        <w:t xml:space="preserve"> </w:t>
      </w:r>
      <w:r w:rsidRPr="0059443A">
        <w:rPr>
          <w:lang w:val="fr-FR"/>
        </w:rPr>
        <w:t xml:space="preserve">c) du paragraphe 2 et </w:t>
      </w:r>
      <w:r>
        <w:rPr>
          <w:lang w:val="fr-FR"/>
        </w:rPr>
        <w:t xml:space="preserve">dans le </w:t>
      </w:r>
      <w:r w:rsidRPr="0059443A">
        <w:rPr>
          <w:lang w:val="fr-FR"/>
        </w:rPr>
        <w:t>quatrième tiret d</w:t>
      </w:r>
      <w:r>
        <w:rPr>
          <w:lang w:val="fr-FR"/>
        </w:rPr>
        <w:t>es dispositions supplémentaires, remplacer «non conducteur» par «non conducteur d’électricité</w:t>
      </w:r>
      <w:r w:rsidRPr="0059443A">
        <w:rPr>
          <w:lang w:val="fr-FR"/>
        </w:rPr>
        <w:t>».</w:t>
      </w:r>
    </w:p>
    <w:p w14:paraId="52647A21" w14:textId="77777777" w:rsidR="00DB4351" w:rsidRDefault="00DB4351" w:rsidP="00DB4351">
      <w:pPr>
        <w:pStyle w:val="SingleTxtG"/>
      </w:pPr>
      <w:r>
        <w:t>4.1.4.1</w:t>
      </w:r>
      <w:r>
        <w:tab/>
      </w:r>
      <w:r>
        <w:tab/>
        <w:t xml:space="preserve">Ajouter la nouvelle instruction d’emballage </w:t>
      </w:r>
      <w:r w:rsidRPr="00000EAA">
        <w:t>P006</w:t>
      </w:r>
      <w:r>
        <w:t xml:space="preserve"> suivante:</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DB4351" w:rsidRPr="00EE1565" w14:paraId="7CC93E90" w14:textId="77777777" w:rsidTr="008B7736">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73AE1715" w14:textId="77777777" w:rsidR="00DB4351" w:rsidRPr="00EE1565"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Pr>
                <w:b/>
                <w:lang w:val="fr-FR"/>
              </w:rPr>
              <w:t>P006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78B86B53" w14:textId="77777777" w:rsidR="00DB4351" w:rsidRPr="00EE1565"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EE1565">
              <w:rPr>
                <w:b/>
                <w:iCs/>
                <w:lang w:val="fr-FR"/>
              </w:rPr>
              <w:t>INSTRUCTION D’EMBALLAGE</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5FA422B" w14:textId="77777777" w:rsidR="00DB4351" w:rsidRPr="00EE1565"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000EAA">
              <w:rPr>
                <w:b/>
                <w:iCs/>
                <w:lang w:val="fr-FR"/>
              </w:rPr>
              <w:t>P006</w:t>
            </w:r>
          </w:p>
        </w:tc>
      </w:tr>
      <w:tr w:rsidR="00DB4351" w:rsidRPr="00EE1565" w14:paraId="67E026BB" w14:textId="77777777" w:rsidTr="008B7736">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721D70" w14:textId="77777777" w:rsidR="00DB4351" w:rsidRPr="00EE1565"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EE1565">
              <w:rPr>
                <w:iCs/>
                <w:lang w:val="fr-FR"/>
              </w:rPr>
              <w:t xml:space="preserve">Cette instruction s’applique </w:t>
            </w:r>
            <w:r w:rsidRPr="00DA5FAD">
              <w:rPr>
                <w:iCs/>
                <w:lang w:val="fr-FR"/>
              </w:rPr>
              <w:t>aux Nos ONU 35</w:t>
            </w:r>
            <w:r>
              <w:rPr>
                <w:iCs/>
                <w:lang w:val="fr-FR"/>
              </w:rPr>
              <w:t>37</w:t>
            </w:r>
            <w:r w:rsidRPr="00DA5FAD">
              <w:rPr>
                <w:iCs/>
                <w:lang w:val="fr-FR"/>
              </w:rPr>
              <w:t>, 35</w:t>
            </w:r>
            <w:r>
              <w:rPr>
                <w:iCs/>
                <w:lang w:val="fr-FR"/>
              </w:rPr>
              <w:t>38</w:t>
            </w:r>
            <w:r w:rsidRPr="00DA5FAD">
              <w:rPr>
                <w:iCs/>
                <w:lang w:val="fr-FR"/>
              </w:rPr>
              <w:t>, 35</w:t>
            </w:r>
            <w:r>
              <w:rPr>
                <w:iCs/>
                <w:lang w:val="fr-FR"/>
              </w:rPr>
              <w:t>40</w:t>
            </w:r>
            <w:r w:rsidRPr="00DA5FAD">
              <w:rPr>
                <w:iCs/>
                <w:lang w:val="fr-FR"/>
              </w:rPr>
              <w:t>, 35</w:t>
            </w:r>
            <w:r>
              <w:rPr>
                <w:iCs/>
                <w:lang w:val="fr-FR"/>
              </w:rPr>
              <w:t>41</w:t>
            </w:r>
            <w:r w:rsidRPr="00DA5FAD">
              <w:rPr>
                <w:iCs/>
                <w:lang w:val="fr-FR"/>
              </w:rPr>
              <w:t>, 35</w:t>
            </w:r>
            <w:r>
              <w:rPr>
                <w:iCs/>
                <w:lang w:val="fr-FR"/>
              </w:rPr>
              <w:t>46</w:t>
            </w:r>
            <w:r w:rsidRPr="00DA5FAD">
              <w:rPr>
                <w:iCs/>
                <w:lang w:val="fr-FR"/>
              </w:rPr>
              <w:t>, 35</w:t>
            </w:r>
            <w:r>
              <w:rPr>
                <w:iCs/>
                <w:lang w:val="fr-FR"/>
              </w:rPr>
              <w:t xml:space="preserve">47 </w:t>
            </w:r>
            <w:r w:rsidRPr="00DA5FAD">
              <w:rPr>
                <w:iCs/>
                <w:lang w:val="fr-FR"/>
              </w:rPr>
              <w:t>et 35</w:t>
            </w:r>
            <w:r>
              <w:rPr>
                <w:iCs/>
                <w:lang w:val="fr-FR"/>
              </w:rPr>
              <w:t>48</w:t>
            </w:r>
            <w:r w:rsidRPr="00DA5FAD">
              <w:rPr>
                <w:iCs/>
                <w:lang w:val="fr-FR"/>
              </w:rPr>
              <w:t>.</w:t>
            </w:r>
          </w:p>
        </w:tc>
      </w:tr>
      <w:tr w:rsidR="00DB4351" w:rsidRPr="00EE1565" w14:paraId="7017EBDD" w14:textId="77777777" w:rsidTr="008B7736">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D3AB3FE" w14:textId="56FB9559" w:rsidR="00DB4351" w:rsidRPr="00EE1565" w:rsidRDefault="001F5C8B" w:rsidP="008B7736">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Pr>
                <w:lang w:val="fr-FR"/>
              </w:rPr>
              <w:t>1)</w:t>
            </w:r>
            <w:r w:rsidR="00DB4351" w:rsidRPr="00EE1565">
              <w:rPr>
                <w:lang w:val="fr-FR"/>
              </w:rPr>
              <w:tab/>
            </w:r>
            <w:r w:rsidR="00DB4351" w:rsidRPr="00EE1565">
              <w:rPr>
                <w:iCs/>
                <w:lang w:val="fr-FR"/>
              </w:rPr>
              <w:t>Les emballages suivants sont autorisés s’il est satisfait aux dispositions générales des sections </w:t>
            </w:r>
            <w:r w:rsidR="00DB4351" w:rsidRPr="00EE1565">
              <w:rPr>
                <w:b/>
                <w:iCs/>
                <w:lang w:val="fr-FR"/>
              </w:rPr>
              <w:t>4.1.1</w:t>
            </w:r>
            <w:r w:rsidR="00DB4351" w:rsidRPr="00EE1565">
              <w:rPr>
                <w:iCs/>
                <w:lang w:val="fr-FR"/>
              </w:rPr>
              <w:t xml:space="preserve"> et </w:t>
            </w:r>
            <w:r w:rsidR="00DB4351" w:rsidRPr="00EE1565">
              <w:rPr>
                <w:b/>
                <w:iCs/>
                <w:lang w:val="fr-FR"/>
              </w:rPr>
              <w:t>4.1.3</w:t>
            </w:r>
            <w:r w:rsidR="00DB4351" w:rsidRPr="00EE1565">
              <w:rPr>
                <w:iCs/>
                <w:lang w:val="fr-FR"/>
              </w:rPr>
              <w:t>:</w:t>
            </w:r>
          </w:p>
        </w:tc>
      </w:tr>
      <w:tr w:rsidR="00DB4351" w:rsidRPr="00410B90" w14:paraId="5405514C"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0C08042" w14:textId="77777777" w:rsidR="00DB4351" w:rsidRPr="00EE1565"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sidRPr="00EE1565">
              <w:rPr>
                <w:iCs/>
                <w:lang w:val="pt-BR"/>
              </w:rPr>
              <w:t>Fûts (1A2, 1B2, 1N2, 1H2, 1D</w:t>
            </w:r>
            <w:r>
              <w:rPr>
                <w:iCs/>
                <w:lang w:val="pt-BR"/>
              </w:rPr>
              <w:t>,</w:t>
            </w:r>
            <w:r w:rsidRPr="00EE1565">
              <w:rPr>
                <w:iCs/>
                <w:lang w:val="pt-BR"/>
              </w:rPr>
              <w:t xml:space="preserve"> 1G);</w:t>
            </w:r>
          </w:p>
        </w:tc>
      </w:tr>
      <w:tr w:rsidR="00DB4351" w:rsidRPr="00EE1565" w14:paraId="6007EE8B"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B0CAAF8" w14:textId="77777777" w:rsidR="00DB4351" w:rsidRPr="00EE1565"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sidRPr="00EE1565">
              <w:rPr>
                <w:iCs/>
                <w:lang w:val="pt-BR"/>
              </w:rPr>
              <w:t xml:space="preserve">Caisses (4A, 4B, </w:t>
            </w:r>
            <w:r>
              <w:rPr>
                <w:iCs/>
                <w:lang w:val="pt-BR"/>
              </w:rPr>
              <w:t xml:space="preserve">4N, 4C1, 4C2, 4D, 4F, 4G, 4H1, </w:t>
            </w:r>
            <w:r w:rsidRPr="00EE1565">
              <w:rPr>
                <w:iCs/>
                <w:lang w:val="pt-BR"/>
              </w:rPr>
              <w:t>4H2);</w:t>
            </w:r>
          </w:p>
        </w:tc>
      </w:tr>
      <w:tr w:rsidR="00DB4351" w:rsidRPr="00410B90" w14:paraId="4A787923"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B572D7A" w14:textId="3C1267C1" w:rsidR="00DB4351" w:rsidRPr="00EE1565"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sidRPr="00E84D05">
              <w:rPr>
                <w:iCs/>
                <w:lang w:val="pt-BR"/>
              </w:rPr>
              <w:t>Bidons (jerrican</w:t>
            </w:r>
            <w:r w:rsidR="0028758A" w:rsidRPr="00E84D05">
              <w:rPr>
                <w:iCs/>
                <w:lang w:val="pt-BR"/>
              </w:rPr>
              <w:t>e</w:t>
            </w:r>
            <w:r w:rsidRPr="00E84D05">
              <w:rPr>
                <w:iCs/>
                <w:lang w:val="pt-BR"/>
              </w:rPr>
              <w:t>s) (3A2, 3B2, 3H2)</w:t>
            </w:r>
          </w:p>
        </w:tc>
      </w:tr>
      <w:tr w:rsidR="00DB4351" w:rsidRPr="00EE1565" w14:paraId="50845A04"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0ACC0910" w14:textId="77777777" w:rsidR="00DB4351" w:rsidRPr="00EE1565" w:rsidRDefault="00DB4351" w:rsidP="008B7736">
            <w:pPr>
              <w:tabs>
                <w:tab w:val="left" w:pos="517"/>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EB0C06">
              <w:rPr>
                <w:lang w:val="en-GB"/>
              </w:rPr>
              <w:tab/>
            </w:r>
            <w:r w:rsidRPr="00EE1565">
              <w:rPr>
                <w:iCs/>
                <w:lang w:val="fr-FR"/>
              </w:rPr>
              <w:t>Les emballages doivent satisfaire au niveau d</w:t>
            </w:r>
            <w:r>
              <w:rPr>
                <w:iCs/>
                <w:lang w:val="fr-FR"/>
              </w:rPr>
              <w:t>’épreuve du groupe d’emballage </w:t>
            </w:r>
            <w:r w:rsidRPr="00EE1565">
              <w:rPr>
                <w:iCs/>
                <w:lang w:val="fr-FR"/>
              </w:rPr>
              <w:t>I</w:t>
            </w:r>
            <w:r>
              <w:rPr>
                <w:iCs/>
                <w:lang w:val="fr-FR"/>
              </w:rPr>
              <w:t>I</w:t>
            </w:r>
            <w:r w:rsidRPr="00EE1565">
              <w:rPr>
                <w:iCs/>
                <w:lang w:val="fr-FR"/>
              </w:rPr>
              <w:t>.</w:t>
            </w:r>
          </w:p>
        </w:tc>
      </w:tr>
      <w:tr w:rsidR="00DB4351" w:rsidRPr="00EE1565" w14:paraId="04E7A336"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07E35EE" w14:textId="50C0AF49" w:rsidR="00DB4351" w:rsidRPr="00EE1565" w:rsidRDefault="00DB4351"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Pr>
                <w:lang w:val="fr-FR"/>
              </w:rPr>
              <w:t>2</w:t>
            </w:r>
            <w:r w:rsidR="001F5C8B">
              <w:rPr>
                <w:lang w:val="fr-FR"/>
              </w:rPr>
              <w:t>)</w:t>
            </w:r>
            <w:r w:rsidRPr="00EE1565">
              <w:rPr>
                <w:lang w:val="fr-FR"/>
              </w:rPr>
              <w:tab/>
            </w:r>
            <w:r w:rsidRPr="00A00AAA">
              <w:rPr>
                <w:lang w:val="fr-FR"/>
              </w:rPr>
              <w:t xml:space="preserve">En outre, pour les objets robustes, les emballages </w:t>
            </w:r>
            <w:r>
              <w:rPr>
                <w:lang w:val="fr-FR"/>
              </w:rPr>
              <w:t>suivants sont autorisés</w:t>
            </w:r>
            <w:r w:rsidRPr="00A00AAA">
              <w:rPr>
                <w:lang w:val="fr-FR"/>
              </w:rPr>
              <w:t>:</w:t>
            </w:r>
          </w:p>
        </w:tc>
      </w:tr>
      <w:tr w:rsidR="00DB4351" w:rsidRPr="00EE1565" w14:paraId="02C52694"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56D077D" w14:textId="77777777" w:rsidR="00DB4351" w:rsidRPr="00EE1565" w:rsidRDefault="00DB4351" w:rsidP="008B7736">
            <w:pPr>
              <w:tabs>
                <w:tab w:val="left" w:pos="1418"/>
                <w:tab w:val="left" w:pos="1985"/>
                <w:tab w:val="left" w:pos="2552"/>
                <w:tab w:val="left" w:pos="3119"/>
                <w:tab w:val="left" w:pos="3686"/>
                <w:tab w:val="left" w:pos="4253"/>
                <w:tab w:val="left" w:pos="4820"/>
              </w:tabs>
              <w:suppressAutoHyphens w:val="0"/>
              <w:spacing w:before="30" w:after="30" w:line="240" w:lineRule="auto"/>
              <w:ind w:left="517" w:right="73" w:hanging="426"/>
              <w:jc w:val="both"/>
              <w:rPr>
                <w:lang w:val="fr-FR"/>
              </w:rPr>
            </w:pPr>
            <w:r w:rsidRPr="00EE1565">
              <w:rPr>
                <w:lang w:val="fr-FR"/>
              </w:rPr>
              <w:tab/>
            </w:r>
            <w:r w:rsidRPr="009A2AA2">
              <w:t>Des emballages extérieurs robustes, construits en matériaux appropriés, et d</w:t>
            </w:r>
            <w:r>
              <w:t>’</w:t>
            </w:r>
            <w:r w:rsidRPr="009A2AA2">
              <w:t>une résistance et d</w:t>
            </w:r>
            <w:r>
              <w:t>’</w:t>
            </w:r>
            <w:r w:rsidRPr="009A2AA2">
              <w:t xml:space="preserve">une conception </w:t>
            </w:r>
            <w:proofErr w:type="gramStart"/>
            <w:r w:rsidRPr="009A2AA2">
              <w:t>adaptées</w:t>
            </w:r>
            <w:proofErr w:type="gramEnd"/>
            <w:r w:rsidRPr="009A2AA2">
              <w:t xml:space="preserve"> à la capacité de l</w:t>
            </w:r>
            <w:r>
              <w:t>’</w:t>
            </w:r>
            <w:r w:rsidRPr="009A2AA2">
              <w:t>emballage et à l</w:t>
            </w:r>
            <w:r>
              <w:t>’</w:t>
            </w:r>
            <w:r w:rsidRPr="009A2AA2">
              <w:t>utilisation prévue. Les emballages doivent satisfaire aux prescriptions des paragraphes 4.1.1.1, 4.1.1.2, 4.1.1.8 et 4.1.3</w:t>
            </w:r>
            <w:r>
              <w:t xml:space="preserve"> afin d’aboutir à un niveau de protection au moins équivalent à celui obtenu en appliquant le chapitre 6.1</w:t>
            </w:r>
            <w:r w:rsidRPr="009A2AA2">
              <w:t xml:space="preserve">. Les objets peuvent être transportés non emballés ou sur des palettes lorsque les marchandises dangereuses </w:t>
            </w:r>
            <w:r>
              <w:t xml:space="preserve">reçoivent </w:t>
            </w:r>
            <w:r w:rsidRPr="009A2AA2">
              <w:t xml:space="preserve">une protection équivalente par </w:t>
            </w:r>
            <w:r>
              <w:t>l’objet qui les contient</w:t>
            </w:r>
            <w:r w:rsidRPr="009A2AA2">
              <w:t>.</w:t>
            </w:r>
          </w:p>
        </w:tc>
      </w:tr>
      <w:tr w:rsidR="00DB4351" w:rsidRPr="00EE1565" w14:paraId="3A84923B"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065C006" w14:textId="7245D907" w:rsidR="00DB4351" w:rsidRPr="00EE1565" w:rsidRDefault="00DB4351"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Pr>
                <w:lang w:val="fr-FR"/>
              </w:rPr>
              <w:t>3</w:t>
            </w:r>
            <w:r w:rsidR="001F5C8B">
              <w:rPr>
                <w:lang w:val="fr-FR"/>
              </w:rPr>
              <w:t>)</w:t>
            </w:r>
            <w:r w:rsidRPr="00EE1565">
              <w:rPr>
                <w:lang w:val="fr-FR"/>
              </w:rPr>
              <w:tab/>
            </w:r>
            <w:r w:rsidRPr="009A2AA2">
              <w:t>De surcroît, les conditions suivantes doivent être remplies</w:t>
            </w:r>
            <w:r>
              <w:t>:</w:t>
            </w:r>
          </w:p>
        </w:tc>
      </w:tr>
      <w:tr w:rsidR="00DB4351" w:rsidRPr="00A00AAA" w14:paraId="6764BD87"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AEAA912" w14:textId="326E52ED" w:rsidR="00DB4351" w:rsidRDefault="00DB4351" w:rsidP="0084669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a)</w:t>
            </w:r>
            <w:r w:rsidRPr="009A2AA2">
              <w:t xml:space="preserve"> </w:t>
            </w:r>
            <w:r w:rsidRPr="00EE1565">
              <w:rPr>
                <w:lang w:val="fr-FR"/>
              </w:rPr>
              <w:tab/>
            </w:r>
            <w:r w:rsidRPr="009A2AA2">
              <w:t xml:space="preserve">Les récipients contenus dans des objets contenant eux-mêmes des matières liquides ou des matières solides doivent être fabriqués </w:t>
            </w:r>
            <w:r w:rsidR="00846692">
              <w:t>en</w:t>
            </w:r>
            <w:r w:rsidRPr="009A2AA2">
              <w:t xml:space="preserve"> un matériau approprié et calés dans l</w:t>
            </w:r>
            <w:r>
              <w:t>’</w:t>
            </w:r>
            <w:r w:rsidRPr="009A2AA2">
              <w:t>objet de telle façon que, dans des conditions normales de transport, ils ne puissent se briser, se crever ou laisser échapper leur contenu dans l</w:t>
            </w:r>
            <w:r>
              <w:t>’</w:t>
            </w:r>
            <w:r w:rsidRPr="009A2AA2">
              <w:t>objet lui-même ou dans l</w:t>
            </w:r>
            <w:r>
              <w:t>’emballage extérieur</w:t>
            </w:r>
            <w:r w:rsidRPr="009A2AA2">
              <w:t>;</w:t>
            </w:r>
          </w:p>
        </w:tc>
      </w:tr>
      <w:tr w:rsidR="00DB4351" w:rsidRPr="00A00AAA" w14:paraId="705372B1"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EC7C168" w14:textId="3F7ECDEF" w:rsidR="00DB4351" w:rsidRDefault="00DB4351" w:rsidP="0084669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b)</w:t>
            </w:r>
            <w:r w:rsidRPr="00EE1565">
              <w:rPr>
                <w:lang w:val="fr-FR"/>
              </w:rPr>
              <w:t xml:space="preserve"> </w:t>
            </w:r>
            <w:r w:rsidRPr="00EE1565">
              <w:rPr>
                <w:lang w:val="fr-FR"/>
              </w:rPr>
              <w:tab/>
            </w:r>
            <w:r w:rsidRPr="00B223AB">
              <w:t xml:space="preserve">Les récipients contenant des matières liquides et équipés </w:t>
            </w:r>
            <w:r w:rsidR="00846692">
              <w:t>de fermetures</w:t>
            </w:r>
            <w:r w:rsidRPr="00B223AB">
              <w:t xml:space="preserve"> doivent être emballés de telle sorte que leurs fermetures soient bien orientées. </w:t>
            </w:r>
            <w:r w:rsidR="00A91546">
              <w:t>L</w:t>
            </w:r>
            <w:r>
              <w:t xml:space="preserve">es récipients doivent </w:t>
            </w:r>
            <w:r w:rsidRPr="00A00AAA">
              <w:t>en outre être conformes aux dispositions</w:t>
            </w:r>
            <w:r>
              <w:t xml:space="preserve"> relatives à l’épreuve de pression interne du 6.1.5.5;</w:t>
            </w:r>
          </w:p>
        </w:tc>
      </w:tr>
      <w:tr w:rsidR="00DB4351" w:rsidRPr="00A00AAA" w14:paraId="30B53A8C"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C63EE2E" w14:textId="77777777" w:rsidR="00DB4351" w:rsidRDefault="00DB4351" w:rsidP="008B7736">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c)</w:t>
            </w:r>
            <w:r w:rsidRPr="00EE1565">
              <w:rPr>
                <w:lang w:val="fr-FR"/>
              </w:rPr>
              <w:t xml:space="preserve"> </w:t>
            </w:r>
            <w:r w:rsidRPr="00EE1565">
              <w:rPr>
                <w:lang w:val="fr-FR"/>
              </w:rPr>
              <w:tab/>
            </w:r>
            <w:r w:rsidRPr="00B223AB">
              <w:t>Les récipients susceptibles de se briser ou de se crever facilement, par exemple les récipients en verre, en porcelaine ou en grès ou encore en certaines matières plastiques doivent être correctement calés. Toute fuite du contenu ne doit pas altérer sensiblement les propriétés protectrices de l</w:t>
            </w:r>
            <w:r>
              <w:t>’</w:t>
            </w:r>
            <w:r w:rsidRPr="00B223AB">
              <w:t>objet ou de son emballage extérieur</w:t>
            </w:r>
            <w:r>
              <w:t>;</w:t>
            </w:r>
          </w:p>
        </w:tc>
      </w:tr>
      <w:tr w:rsidR="00DB4351" w:rsidRPr="00A00AAA" w14:paraId="481AFFD5" w14:textId="77777777"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393CC8D" w14:textId="4460DBC5" w:rsidR="00DB4351" w:rsidRDefault="00DB4351" w:rsidP="00A53AD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FC0AC2">
              <w:rPr>
                <w:lang w:val="fr-FR"/>
              </w:rPr>
              <w:t xml:space="preserve">d) </w:t>
            </w:r>
            <w:r w:rsidRPr="00FC0AC2">
              <w:rPr>
                <w:lang w:val="fr-FR"/>
              </w:rPr>
              <w:tab/>
            </w:r>
            <w:r w:rsidRPr="00FC0AC2">
              <w:t xml:space="preserve">Les récipients contenant des gaz placés à l’intérieur d’objets doivent satisfaire aux prescriptions de la section 4.1.6 et du chapitre 6.2, selon le cas, ou offrir un niveau de protection équivalent aux </w:t>
            </w:r>
            <w:r w:rsidR="00A53AD4">
              <w:t>instructions</w:t>
            </w:r>
            <w:r w:rsidRPr="00FC0AC2">
              <w:t xml:space="preserve"> d’emballage P200 ou P208;</w:t>
            </w:r>
          </w:p>
        </w:tc>
      </w:tr>
      <w:tr w:rsidR="00DB4351" w:rsidRPr="00A00AAA" w14:paraId="6ECC3E54" w14:textId="77777777" w:rsidTr="008B7736">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4ED57A93" w14:textId="586FCDB7" w:rsidR="00DB4351" w:rsidRDefault="00DB4351" w:rsidP="00A53AD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e)</w:t>
            </w:r>
            <w:r w:rsidRPr="00EE1565">
              <w:rPr>
                <w:lang w:val="fr-FR"/>
              </w:rPr>
              <w:t xml:space="preserve"> </w:t>
            </w:r>
            <w:r w:rsidRPr="00EE1565">
              <w:rPr>
                <w:lang w:val="fr-FR"/>
              </w:rPr>
              <w:tab/>
            </w:r>
            <w:r w:rsidRPr="00B223AB">
              <w:t>Si l</w:t>
            </w:r>
            <w:r>
              <w:t>’</w:t>
            </w:r>
            <w:r w:rsidRPr="00B223AB">
              <w:t xml:space="preserve">objet ne contient aucun récipient, il doit renfermer totalement les </w:t>
            </w:r>
            <w:r w:rsidR="00A53AD4">
              <w:t>matières</w:t>
            </w:r>
            <w:r w:rsidRPr="00B223AB">
              <w:t xml:space="preserve"> dangereuses qu</w:t>
            </w:r>
            <w:r>
              <w:t>’</w:t>
            </w:r>
            <w:r w:rsidRPr="00B223AB">
              <w:t>il contient et empêcher toute fuite de celles-ci dans des conditions normales de transport.</w:t>
            </w:r>
          </w:p>
        </w:tc>
      </w:tr>
      <w:tr w:rsidR="00DB4351" w:rsidRPr="00A00AAA" w14:paraId="47F4C685" w14:textId="77777777" w:rsidTr="0037500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C80100E" w14:textId="47D749F2" w:rsidR="00DB4351" w:rsidRDefault="00DB4351"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Pr>
                <w:lang w:val="fr-FR"/>
              </w:rPr>
              <w:lastRenderedPageBreak/>
              <w:t>4</w:t>
            </w:r>
            <w:r w:rsidR="001F5C8B">
              <w:rPr>
                <w:lang w:val="fr-FR"/>
              </w:rPr>
              <w:t>)</w:t>
            </w:r>
            <w:r w:rsidRPr="00EE1565">
              <w:rPr>
                <w:lang w:val="fr-FR"/>
              </w:rPr>
              <w:tab/>
            </w:r>
            <w:r w:rsidRPr="00A30369">
              <w:rPr>
                <w:lang w:val="fr-FR"/>
              </w:rPr>
              <w:t>Les objets doivent être emballés de manière à empêcher tout mouvement des objets et tout fonctionnement accidentel dans des conditions normales de transport.</w:t>
            </w:r>
          </w:p>
        </w:tc>
      </w:tr>
      <w:tr w:rsidR="00375009" w:rsidRPr="00A00AAA" w14:paraId="7B3EC569" w14:textId="77777777" w:rsidTr="008B7736">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3196A4D8" w14:textId="77777777" w:rsidR="00375009" w:rsidRDefault="00375009"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p>
        </w:tc>
      </w:tr>
    </w:tbl>
    <w:p w14:paraId="28999869" w14:textId="762CCB33" w:rsidR="00E93B06" w:rsidRDefault="00E93B06" w:rsidP="00E84D05">
      <w:pPr>
        <w:pStyle w:val="SingleTxtG"/>
        <w:spacing w:before="120"/>
      </w:pPr>
      <w:r>
        <w:t>4.1.4.1</w:t>
      </w:r>
      <w:r>
        <w:tab/>
      </w:r>
      <w:r>
        <w:tab/>
        <w:t>Ajouter la nouvelle instruction d’emballage P911 suivante:</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E93B06" w:rsidRPr="00EE1565" w14:paraId="26F402BE" w14:textId="77777777" w:rsidTr="006201FD">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778CE6F"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Pr>
                <w:b/>
                <w:lang w:val="fr-FR"/>
              </w:rPr>
              <w:t>P911</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60944D71"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EE1565">
              <w:rPr>
                <w:b/>
                <w:iCs/>
                <w:lang w:val="fr-FR"/>
              </w:rPr>
              <w:t>INSTRUCTION D’EMBALLAGE</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46BCF14"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Pr>
                <w:b/>
                <w:iCs/>
                <w:lang w:val="fr-FR"/>
              </w:rPr>
              <w:t>P911</w:t>
            </w:r>
          </w:p>
        </w:tc>
      </w:tr>
      <w:tr w:rsidR="00E93B06" w:rsidRPr="00EE1565" w14:paraId="4F2548BD" w14:textId="77777777" w:rsidTr="006201FD">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19E9A5"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EE1565">
              <w:rPr>
                <w:iCs/>
                <w:lang w:val="fr-FR"/>
              </w:rPr>
              <w:t xml:space="preserve">Cette instruction s’applique aux piles et batteries endommagées ou défectueuses, </w:t>
            </w:r>
            <w:proofErr w:type="spellStart"/>
            <w:r w:rsidRPr="00EE1565">
              <w:rPr>
                <w:iCs/>
                <w:lang w:val="fr-FR"/>
              </w:rPr>
              <w:t>des</w:t>
            </w:r>
            <w:proofErr w:type="spellEnd"/>
            <w:r w:rsidRPr="00EE1565">
              <w:rPr>
                <w:iCs/>
                <w:lang w:val="fr-FR"/>
              </w:rPr>
              <w:t xml:space="preserve"> Nos ONU 3090, 3091, 3480 et 3481, </w:t>
            </w:r>
            <w:r w:rsidRPr="00484762">
              <w:rPr>
                <w:lang w:val="fr-FR"/>
              </w:rPr>
              <w:t>susceptibles de se démonter rapidement, de réagir dangereusement, de produire une flamme ou un dangereux dégagement de chaleur ou une émission de gaz ou de vapeur toxiques, corrosifs ou inflammables, dans les conditions normales de transport</w:t>
            </w:r>
            <w:r>
              <w:rPr>
                <w:lang w:val="fr-FR"/>
              </w:rPr>
              <w:t>.</w:t>
            </w:r>
          </w:p>
        </w:tc>
      </w:tr>
      <w:tr w:rsidR="00E93B06" w:rsidRPr="00EE1565" w14:paraId="7AC7E49D" w14:textId="77777777" w:rsidTr="006201FD">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46466C8"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EE1565">
              <w:rPr>
                <w:iCs/>
                <w:lang w:val="fr-FR"/>
              </w:rPr>
              <w:t>Les emballages suivants sont autorisés s’il est satisfait aux dispositions générales des sections </w:t>
            </w:r>
            <w:r w:rsidRPr="00EE1565">
              <w:rPr>
                <w:b/>
                <w:iCs/>
                <w:lang w:val="fr-FR"/>
              </w:rPr>
              <w:t>4.1.1</w:t>
            </w:r>
            <w:r w:rsidRPr="00EE1565">
              <w:rPr>
                <w:iCs/>
                <w:lang w:val="fr-FR"/>
              </w:rPr>
              <w:t xml:space="preserve"> et </w:t>
            </w:r>
            <w:r w:rsidRPr="00EE1565">
              <w:rPr>
                <w:b/>
                <w:iCs/>
                <w:lang w:val="fr-FR"/>
              </w:rPr>
              <w:t>4.1.3</w:t>
            </w:r>
            <w:r w:rsidRPr="00EE1565">
              <w:rPr>
                <w:iCs/>
                <w:lang w:val="fr-FR"/>
              </w:rPr>
              <w:t>:</w:t>
            </w:r>
          </w:p>
        </w:tc>
      </w:tr>
      <w:tr w:rsidR="00E93B06" w:rsidRPr="00EE1565" w14:paraId="786353A6" w14:textId="77777777" w:rsidTr="006201FD">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19A52B2"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EE1565">
              <w:rPr>
                <w:bCs/>
                <w:iCs/>
                <w:lang w:val="fr-FR"/>
              </w:rPr>
              <w:t xml:space="preserve">Pour les piles et batteries et pour les équipements contenant des piles et des batteries: </w:t>
            </w:r>
          </w:p>
        </w:tc>
      </w:tr>
      <w:tr w:rsidR="00E93B06" w:rsidRPr="00410B90" w14:paraId="5B0A5E91"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58CF11B"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sidRPr="00EE1565">
              <w:rPr>
                <w:iCs/>
                <w:lang w:val="pt-BR"/>
              </w:rPr>
              <w:t>Fûts (1A2, 1B2, 1N2, 1H2, 1D</w:t>
            </w:r>
            <w:r>
              <w:rPr>
                <w:iCs/>
                <w:lang w:val="pt-BR"/>
              </w:rPr>
              <w:t>,</w:t>
            </w:r>
            <w:r w:rsidRPr="00EE1565">
              <w:rPr>
                <w:iCs/>
                <w:lang w:val="pt-BR"/>
              </w:rPr>
              <w:t xml:space="preserve"> 1G);</w:t>
            </w:r>
          </w:p>
        </w:tc>
      </w:tr>
      <w:tr w:rsidR="00E93B06" w:rsidRPr="00EE1565" w14:paraId="5DD04483"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37DABEA3"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sidRPr="00EE1565">
              <w:rPr>
                <w:iCs/>
                <w:lang w:val="pt-BR"/>
              </w:rPr>
              <w:t xml:space="preserve">Caisses (4A, 4B, </w:t>
            </w:r>
            <w:r>
              <w:rPr>
                <w:iCs/>
                <w:lang w:val="pt-BR"/>
              </w:rPr>
              <w:t xml:space="preserve">4N, 4C1, 4C2, 4D, 4F, 4G, 4H1, </w:t>
            </w:r>
            <w:r w:rsidRPr="00EE1565">
              <w:rPr>
                <w:iCs/>
                <w:lang w:val="pt-BR"/>
              </w:rPr>
              <w:t>4H2);</w:t>
            </w:r>
          </w:p>
        </w:tc>
      </w:tr>
      <w:tr w:rsidR="00E93B06" w:rsidRPr="00410B90" w14:paraId="6F5B3B54"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9E13281" w14:textId="6EEA2283"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sidRPr="0074245A">
              <w:rPr>
                <w:iCs/>
                <w:lang w:val="pt-BR"/>
              </w:rPr>
              <w:t>Bidons (</w:t>
            </w:r>
            <w:r w:rsidR="0028758A" w:rsidRPr="0074245A">
              <w:rPr>
                <w:iCs/>
                <w:lang w:val="pt-BR"/>
              </w:rPr>
              <w:t>jerricanes</w:t>
            </w:r>
            <w:r w:rsidRPr="0074245A">
              <w:rPr>
                <w:iCs/>
                <w:lang w:val="pt-BR"/>
              </w:rPr>
              <w:t>) (3A2, 3B2, 3H2)</w:t>
            </w:r>
          </w:p>
        </w:tc>
      </w:tr>
      <w:tr w:rsidR="00E93B06" w:rsidRPr="00EE1565" w14:paraId="0B83F137"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9FFF5C3"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EE1565">
              <w:rPr>
                <w:iCs/>
                <w:lang w:val="fr-FR"/>
              </w:rPr>
              <w:t>Les emballages doivent satisfaire au niveau d</w:t>
            </w:r>
            <w:r>
              <w:rPr>
                <w:iCs/>
                <w:lang w:val="fr-FR"/>
              </w:rPr>
              <w:t>’épreuve du groupe d’emballage </w:t>
            </w:r>
            <w:r w:rsidRPr="00EE1565">
              <w:rPr>
                <w:iCs/>
                <w:lang w:val="fr-FR"/>
              </w:rPr>
              <w:t>I.</w:t>
            </w:r>
          </w:p>
        </w:tc>
      </w:tr>
      <w:tr w:rsidR="00E93B06" w:rsidRPr="00EE1565" w14:paraId="515B30C9"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FC9875F" w14:textId="180E1DB2" w:rsidR="00E93B06" w:rsidRPr="00EE1565" w:rsidRDefault="00E93B06"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EE1565">
              <w:rPr>
                <w:lang w:val="fr-FR"/>
              </w:rPr>
              <w:t>1</w:t>
            </w:r>
            <w:r w:rsidR="00154C17">
              <w:rPr>
                <w:lang w:val="fr-FR"/>
              </w:rPr>
              <w:t>)</w:t>
            </w:r>
            <w:r w:rsidRPr="00EE1565">
              <w:rPr>
                <w:lang w:val="fr-FR"/>
              </w:rPr>
              <w:tab/>
            </w:r>
            <w:r>
              <w:rPr>
                <w:lang w:val="fr-FR"/>
              </w:rPr>
              <w:t xml:space="preserve">L’emballage doit pouvoir satisfaire aux prescriptions </w:t>
            </w:r>
            <w:r w:rsidRPr="00CB14D4">
              <w:rPr>
                <w:lang w:val="fr-FR"/>
              </w:rPr>
              <w:t xml:space="preserve">supplémentaires </w:t>
            </w:r>
            <w:r>
              <w:rPr>
                <w:lang w:val="fr-FR"/>
              </w:rPr>
              <w:t xml:space="preserve">suivantes </w:t>
            </w:r>
            <w:r w:rsidRPr="00CB14D4">
              <w:rPr>
                <w:lang w:val="fr-FR"/>
              </w:rPr>
              <w:t>en matière de performance dans les cas où les piles et batteries se démontent rapidement, réagissent dangereusement, produisent une flamme ou un dangereux dégagement de chaleur ou une émission de gaz ou de vapeur toxiques, corrosifs ou inflammables</w:t>
            </w:r>
            <w:r>
              <w:rPr>
                <w:lang w:val="fr-FR"/>
              </w:rPr>
              <w:t>:</w:t>
            </w:r>
          </w:p>
        </w:tc>
      </w:tr>
      <w:tr w:rsidR="00E93B06" w:rsidRPr="00EE1565" w14:paraId="5ED06403"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26B70BA" w14:textId="74418415"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a)</w:t>
            </w:r>
            <w:r w:rsidRPr="00EE1565">
              <w:rPr>
                <w:lang w:val="fr-FR"/>
              </w:rPr>
              <w:tab/>
            </w:r>
            <w:r w:rsidRPr="00CB14D4">
              <w:rPr>
                <w:lang w:val="fr-FR"/>
              </w:rPr>
              <w:t xml:space="preserve">La température de la surface extérieure du colis </w:t>
            </w:r>
            <w:r w:rsidR="00A53AD4">
              <w:rPr>
                <w:lang w:val="fr-FR"/>
              </w:rPr>
              <w:t xml:space="preserve">complet </w:t>
            </w:r>
            <w:r w:rsidRPr="00CB14D4">
              <w:rPr>
                <w:lang w:val="fr-FR"/>
              </w:rPr>
              <w:t>ne doit pas être supérieure à 100 °C. Une pointe momentanée de température a</w:t>
            </w:r>
            <w:r>
              <w:rPr>
                <w:lang w:val="fr-FR"/>
              </w:rPr>
              <w:t>tteignant 200 °C est acceptable</w:t>
            </w:r>
            <w:r w:rsidRPr="00CB14D4">
              <w:rPr>
                <w:lang w:val="fr-FR"/>
              </w:rPr>
              <w:t>;</w:t>
            </w:r>
          </w:p>
        </w:tc>
      </w:tr>
      <w:tr w:rsidR="00E93B06" w:rsidRPr="00EE1565" w14:paraId="53D30D30"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B99BC20" w14:textId="77777777" w:rsidR="00E93B06"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b)</w:t>
            </w:r>
            <w:r w:rsidRPr="00EE1565">
              <w:rPr>
                <w:lang w:val="fr-FR"/>
              </w:rPr>
              <w:t xml:space="preserve"> </w:t>
            </w:r>
            <w:r w:rsidRPr="00EE1565">
              <w:rPr>
                <w:lang w:val="fr-FR"/>
              </w:rPr>
              <w:tab/>
            </w:r>
            <w:r w:rsidRPr="0072230B">
              <w:rPr>
                <w:lang w:val="fr-FR"/>
              </w:rPr>
              <w:t>Aucune flamme dangereuse</w:t>
            </w:r>
            <w:r>
              <w:rPr>
                <w:lang w:val="fr-FR"/>
              </w:rPr>
              <w:t xml:space="preserve"> ne doit se produire</w:t>
            </w:r>
            <w:r w:rsidRPr="0072230B">
              <w:rPr>
                <w:lang w:val="fr-FR"/>
              </w:rPr>
              <w:t xml:space="preserve"> à l’extérieur </w:t>
            </w:r>
            <w:r>
              <w:rPr>
                <w:lang w:val="fr-FR"/>
              </w:rPr>
              <w:t>du colis</w:t>
            </w:r>
            <w:r w:rsidRPr="0072230B">
              <w:rPr>
                <w:lang w:val="fr-FR"/>
              </w:rPr>
              <w:t>;</w:t>
            </w:r>
          </w:p>
        </w:tc>
      </w:tr>
      <w:tr w:rsidR="00E93B06" w:rsidRPr="00EE1565" w14:paraId="3F49E9B9"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2ADC420" w14:textId="77777777" w:rsidR="00E93B06"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c)</w:t>
            </w:r>
            <w:r w:rsidRPr="00EE1565">
              <w:rPr>
                <w:lang w:val="fr-FR"/>
              </w:rPr>
              <w:t xml:space="preserve"> </w:t>
            </w:r>
            <w:r w:rsidRPr="00EE1565">
              <w:rPr>
                <w:lang w:val="fr-FR"/>
              </w:rPr>
              <w:tab/>
            </w:r>
            <w:r>
              <w:rPr>
                <w:lang w:val="fr-FR"/>
              </w:rPr>
              <w:t>Aucun</w:t>
            </w:r>
            <w:r w:rsidRPr="0072230B">
              <w:rPr>
                <w:lang w:val="fr-FR"/>
              </w:rPr>
              <w:t xml:space="preserve"> </w:t>
            </w:r>
            <w:r>
              <w:rPr>
                <w:lang w:val="fr-FR"/>
              </w:rPr>
              <w:t>fragment</w:t>
            </w:r>
            <w:r w:rsidRPr="0072230B">
              <w:rPr>
                <w:lang w:val="fr-FR"/>
              </w:rPr>
              <w:t xml:space="preserve"> dangereux </w:t>
            </w:r>
            <w:r>
              <w:rPr>
                <w:lang w:val="fr-FR"/>
              </w:rPr>
              <w:t>ne doit être projeté à l’extérieur du colis</w:t>
            </w:r>
            <w:r w:rsidRPr="0072230B">
              <w:rPr>
                <w:lang w:val="fr-FR"/>
              </w:rPr>
              <w:t>;</w:t>
            </w:r>
          </w:p>
        </w:tc>
      </w:tr>
      <w:tr w:rsidR="00E93B06" w:rsidRPr="00EE1565" w14:paraId="18D5E896"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1983FD7" w14:textId="3B98AC02" w:rsidR="00E93B06" w:rsidRDefault="00E93B06" w:rsidP="00A53AD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d)</w:t>
            </w:r>
            <w:r w:rsidRPr="00EE1565">
              <w:rPr>
                <w:lang w:val="fr-FR"/>
              </w:rPr>
              <w:t xml:space="preserve"> </w:t>
            </w:r>
            <w:r w:rsidRPr="00EE1565">
              <w:rPr>
                <w:lang w:val="fr-FR"/>
              </w:rPr>
              <w:tab/>
            </w:r>
            <w:r>
              <w:rPr>
                <w:lang w:val="fr-FR"/>
              </w:rPr>
              <w:t xml:space="preserve">L’intégrité structurelle </w:t>
            </w:r>
            <w:r w:rsidR="00A53AD4">
              <w:rPr>
                <w:lang w:val="fr-FR"/>
              </w:rPr>
              <w:t>du colis</w:t>
            </w:r>
            <w:r>
              <w:rPr>
                <w:lang w:val="fr-FR"/>
              </w:rPr>
              <w:t xml:space="preserve"> doit être conservée.</w:t>
            </w:r>
          </w:p>
        </w:tc>
      </w:tr>
      <w:tr w:rsidR="00E93B06" w:rsidRPr="00EE1565" w14:paraId="32D448EC"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1486EEC"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e)</w:t>
            </w:r>
            <w:r w:rsidRPr="00EE1565">
              <w:rPr>
                <w:lang w:val="fr-FR"/>
              </w:rPr>
              <w:t xml:space="preserve"> </w:t>
            </w:r>
            <w:r w:rsidRPr="00EE1565">
              <w:rPr>
                <w:lang w:val="fr-FR"/>
              </w:rPr>
              <w:tab/>
            </w:r>
            <w:r w:rsidRPr="0072230B">
              <w:rPr>
                <w:lang w:val="fr-FR"/>
              </w:rPr>
              <w:t>Les emballages doivent disposer d’un système de gestion des flux de gaz (par exemple, dispositif de filtration, de ventilation, de confinement des gaz, d’étanchéisation, etc.)</w:t>
            </w:r>
            <w:r>
              <w:rPr>
                <w:lang w:val="fr-FR"/>
              </w:rPr>
              <w:t xml:space="preserve"> selon le cas</w:t>
            </w:r>
            <w:r w:rsidRPr="0072230B">
              <w:rPr>
                <w:lang w:val="fr-FR"/>
              </w:rPr>
              <w:t>.</w:t>
            </w:r>
          </w:p>
        </w:tc>
      </w:tr>
      <w:tr w:rsidR="00E93B06" w:rsidRPr="00EE1565" w14:paraId="7E23D661"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4FE62E0" w14:textId="2E6B182F" w:rsidR="00E93B06" w:rsidRDefault="00E93B06"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Pr>
                <w:lang w:val="fr-FR"/>
              </w:rPr>
              <w:t>2</w:t>
            </w:r>
            <w:r w:rsidR="00154C17">
              <w:rPr>
                <w:lang w:val="fr-FR"/>
              </w:rPr>
              <w:t>)</w:t>
            </w:r>
            <w:r w:rsidRPr="00EE1565">
              <w:rPr>
                <w:lang w:val="fr-FR"/>
              </w:rPr>
              <w:t xml:space="preserve"> </w:t>
            </w:r>
            <w:r w:rsidRPr="00EE1565">
              <w:rPr>
                <w:lang w:val="fr-FR"/>
              </w:rPr>
              <w:tab/>
            </w:r>
            <w:r>
              <w:rPr>
                <w:lang w:val="fr-FR"/>
              </w:rPr>
              <w:t xml:space="preserve">Les prescriptions </w:t>
            </w:r>
            <w:r w:rsidRPr="00CB14D4">
              <w:rPr>
                <w:lang w:val="fr-FR"/>
              </w:rPr>
              <w:t>supplémentaires en matière de performance</w:t>
            </w:r>
            <w:r>
              <w:rPr>
                <w:lang w:val="fr-FR"/>
              </w:rPr>
              <w:t xml:space="preserve"> doivent être vérifiées par des épreuves comme spécifié par l’autorité compétente</w:t>
            </w:r>
            <w:r w:rsidRPr="0072230B">
              <w:rPr>
                <w:b/>
                <w:vertAlign w:val="superscript"/>
                <w:lang w:val="fr-FR"/>
              </w:rPr>
              <w:t xml:space="preserve"> a</w:t>
            </w:r>
            <w:r>
              <w:rPr>
                <w:lang w:val="fr-FR"/>
              </w:rPr>
              <w:t xml:space="preserve">. </w:t>
            </w:r>
          </w:p>
        </w:tc>
      </w:tr>
      <w:tr w:rsidR="00E93B06" w:rsidRPr="00EE1565" w14:paraId="3516BA78"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FE4517B" w14:textId="31DAE6BC" w:rsidR="00E93B06" w:rsidRDefault="00E93B06" w:rsidP="00A53AD4">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EE1565">
              <w:rPr>
                <w:lang w:val="fr-FR"/>
              </w:rPr>
              <w:tab/>
            </w:r>
            <w:r>
              <w:t>Un</w:t>
            </w:r>
            <w:r w:rsidRPr="009F35A9">
              <w:t xml:space="preserve"> rapport établi à l’issue </w:t>
            </w:r>
            <w:r>
              <w:t>de la vérification</w:t>
            </w:r>
            <w:r w:rsidR="00A53AD4">
              <w:t xml:space="preserve"> doit </w:t>
            </w:r>
            <w:r w:rsidRPr="009F35A9">
              <w:t xml:space="preserve">être </w:t>
            </w:r>
            <w:r w:rsidR="00A53AD4">
              <w:t>disponible</w:t>
            </w:r>
            <w:r w:rsidRPr="009F35A9">
              <w:t xml:space="preserve"> à la demande. Doivent y être énumérés, au minimum, le nom de la pile ou de la batterie, son numéro, sa masse, son type, </w:t>
            </w:r>
            <w:r w:rsidR="00A53AD4">
              <w:t>son contenu énergétique</w:t>
            </w:r>
            <w:r w:rsidRPr="009F35A9">
              <w:t>, le numéro d’identification de l’emballage et les données d’épreuves, selon la méthode de vérification spécifiée par l’autorité compétente.</w:t>
            </w:r>
          </w:p>
        </w:tc>
      </w:tr>
      <w:tr w:rsidR="00E93B06" w:rsidRPr="00EE1565" w14:paraId="43CE4DDE"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3FC5ED1" w14:textId="66EBBCFD" w:rsidR="00E93B06" w:rsidRPr="00EE1565" w:rsidRDefault="00E93B06"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Pr>
                <w:lang w:val="fr-FR"/>
              </w:rPr>
              <w:t>3</w:t>
            </w:r>
            <w:r w:rsidR="00154C17">
              <w:rPr>
                <w:lang w:val="fr-FR"/>
              </w:rPr>
              <w:t>)</w:t>
            </w:r>
            <w:r w:rsidRPr="00EE1565">
              <w:rPr>
                <w:lang w:val="fr-FR"/>
              </w:rPr>
              <w:tab/>
            </w:r>
            <w:r w:rsidRPr="009F35A9">
              <w:rPr>
                <w:lang w:val="fr-FR"/>
              </w:rPr>
              <w:t>Dans les cas où on utilise de la neige carbonique ou de l’azote liquide comme réfrigérant, les pres</w:t>
            </w:r>
            <w:r>
              <w:rPr>
                <w:lang w:val="fr-FR"/>
              </w:rPr>
              <w:t>criptions du 5.5.3 s’appliquent</w:t>
            </w:r>
            <w:r w:rsidRPr="009F35A9">
              <w:rPr>
                <w:lang w:val="fr-FR"/>
              </w:rPr>
              <w:t xml:space="preserve">. Les emballages intérieur </w:t>
            </w:r>
            <w:r>
              <w:rPr>
                <w:lang w:val="fr-FR"/>
              </w:rPr>
              <w:t>et</w:t>
            </w:r>
            <w:r w:rsidRPr="009F35A9">
              <w:rPr>
                <w:lang w:val="fr-FR"/>
              </w:rPr>
              <w:t xml:space="preserve"> extérieur doivent conserver leur intégrité à la température du réfrigérant utilisé ainsi qu’aux températures et pressions qui pourraient être atteintes en cas de disparition de l’agent de refroidissement.</w:t>
            </w:r>
          </w:p>
        </w:tc>
      </w:tr>
      <w:tr w:rsidR="00E93B06" w:rsidRPr="00EE1565" w14:paraId="541EF173" w14:textId="77777777" w:rsidTr="006201FD">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5C8E2499"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lang w:val="fr-FR"/>
              </w:rPr>
            </w:pPr>
            <w:r w:rsidRPr="00EE1565">
              <w:rPr>
                <w:b/>
                <w:iCs/>
                <w:lang w:val="fr-FR"/>
              </w:rPr>
              <w:t>Disposition supplémentaire:</w:t>
            </w:r>
          </w:p>
        </w:tc>
      </w:tr>
      <w:tr w:rsidR="00E93B06" w:rsidRPr="00EE1565" w14:paraId="207F2C87" w14:textId="77777777" w:rsidTr="006201FD">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4221A9E2"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EE1565">
              <w:rPr>
                <w:iCs/>
                <w:lang w:val="fr-FR"/>
              </w:rPr>
              <w:t xml:space="preserve">Les piles ou batteries doivent être protégées contre les </w:t>
            </w:r>
            <w:proofErr w:type="spellStart"/>
            <w:r w:rsidRPr="00EE1565">
              <w:rPr>
                <w:iCs/>
                <w:lang w:val="fr-FR"/>
              </w:rPr>
              <w:t>courts-circuits</w:t>
            </w:r>
            <w:proofErr w:type="spellEnd"/>
            <w:r w:rsidRPr="00EE1565">
              <w:rPr>
                <w:iCs/>
                <w:lang w:val="fr-FR"/>
              </w:rPr>
              <w:t>.</w:t>
            </w:r>
          </w:p>
        </w:tc>
      </w:tr>
      <w:tr w:rsidR="00E93B06" w:rsidRPr="00EE1565" w14:paraId="18053C5B" w14:textId="77777777" w:rsidTr="006201FD">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49DC0053" w14:textId="77777777" w:rsidR="00E93B06" w:rsidRPr="00746154" w:rsidRDefault="00E93B06" w:rsidP="006201FD">
            <w:pPr>
              <w:tabs>
                <w:tab w:val="left" w:pos="366"/>
                <w:tab w:val="left" w:pos="1985"/>
                <w:tab w:val="left" w:pos="2552"/>
                <w:tab w:val="left" w:pos="3119"/>
                <w:tab w:val="left" w:pos="3686"/>
                <w:tab w:val="left" w:pos="4253"/>
                <w:tab w:val="left" w:pos="4820"/>
              </w:tabs>
              <w:suppressAutoHyphens w:val="0"/>
              <w:spacing w:before="60" w:after="60" w:line="240" w:lineRule="auto"/>
              <w:jc w:val="both"/>
              <w:rPr>
                <w:i/>
                <w:lang w:val="fr-FR"/>
              </w:rPr>
            </w:pPr>
            <w:proofErr w:type="gramStart"/>
            <w:r w:rsidRPr="00746154">
              <w:rPr>
                <w:b/>
                <w:vertAlign w:val="superscript"/>
                <w:lang w:val="fr-FR"/>
              </w:rPr>
              <w:t>a</w:t>
            </w:r>
            <w:proofErr w:type="gramEnd"/>
            <w:r w:rsidRPr="00746154">
              <w:rPr>
                <w:i/>
                <w:lang w:val="fr-FR"/>
              </w:rPr>
              <w:tab/>
              <w:t>Les critères suivants, selon le cas, peuvent être pris en compte pour évaluer la performance de l'emballage:</w:t>
            </w:r>
          </w:p>
        </w:tc>
      </w:tr>
      <w:tr w:rsidR="00E93B06" w:rsidRPr="00EE1565" w14:paraId="5E0EE334"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1BE93E7C" w14:textId="77777777" w:rsidR="00E93B06" w:rsidRPr="00746154"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lang w:val="fr-FR"/>
              </w:rPr>
            </w:pPr>
            <w:r w:rsidRPr="00746154">
              <w:rPr>
                <w:i/>
                <w:lang w:val="fr-FR"/>
              </w:rPr>
              <w:tab/>
              <w:t xml:space="preserve">a) </w:t>
            </w:r>
            <w:r w:rsidRPr="00746154">
              <w:rPr>
                <w:i/>
                <w:lang w:val="fr-FR"/>
              </w:rPr>
              <w:tab/>
              <w:t>L’évaluation doit être effectuée dans le cadre d’un système de gestion de la qualité (tel que le programme décrit au 2.9.4 e)) permettant d’assurer la traçabilité des résultats des épreuves, des données de référence ainsi que des modèles de caractérisation utilisés;</w:t>
            </w:r>
          </w:p>
        </w:tc>
      </w:tr>
      <w:tr w:rsidR="00E93B06" w:rsidRPr="00EE1565" w14:paraId="35D1CBE9"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C2F18A7" w14:textId="6AB91E07" w:rsidR="00E93B06" w:rsidRPr="00746154"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746154">
              <w:rPr>
                <w:i/>
                <w:lang w:val="fr-FR"/>
              </w:rPr>
              <w:tab/>
              <w:t xml:space="preserve">b) </w:t>
            </w:r>
            <w:r w:rsidRPr="00746154">
              <w:rPr>
                <w:i/>
                <w:lang w:val="fr-FR"/>
              </w:rPr>
              <w:tab/>
              <w:t xml:space="preserve">Les dangers attendus en cas d’emballement thermique pour le type de pile ou batterie transportée, dans les conditions de transport prévues (par exemple, l’utilisation d’un emballage intérieur, le niveau de charge, l’utilisation d’un rembourrage non combustible, non conducteur d’électricité et absorbant suffisant etc.), doivent </w:t>
            </w:r>
            <w:r w:rsidRPr="00746154">
              <w:rPr>
                <w:i/>
                <w:lang w:val="fr-FR"/>
              </w:rPr>
              <w:lastRenderedPageBreak/>
              <w:t xml:space="preserve">être clairement définis et quantifiés; la liste de référence des dangers possibles pour les piles </w:t>
            </w:r>
            <w:r w:rsidR="00A53AD4">
              <w:rPr>
                <w:i/>
                <w:lang w:val="fr-FR"/>
              </w:rPr>
              <w:t xml:space="preserve">ou </w:t>
            </w:r>
            <w:r w:rsidRPr="00746154">
              <w:rPr>
                <w:i/>
                <w:lang w:val="fr-FR"/>
              </w:rPr>
              <w:t xml:space="preserve">batteries au lithium (susceptibles de se démonter rapidement, de réagir dangereusement, de produire une flamme ou un dangereux dégagement de chaleur ou une émission de gaz ou de vapeur toxiques, corrosifs ou inflammables) peut être utilisée à cet effet. La quantification de ces dangers doit être fondée sur </w:t>
            </w:r>
            <w:r w:rsidR="00A53AD4">
              <w:rPr>
                <w:i/>
                <w:lang w:val="fr-FR"/>
              </w:rPr>
              <w:t>la littérature scientifique disponible</w:t>
            </w:r>
            <w:r w:rsidRPr="00746154">
              <w:rPr>
                <w:i/>
                <w:lang w:val="fr-FR"/>
              </w:rPr>
              <w:t>;</w:t>
            </w:r>
          </w:p>
        </w:tc>
      </w:tr>
      <w:tr w:rsidR="00E93B06" w:rsidRPr="00EE1565" w14:paraId="28ADE5D0"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C886C41" w14:textId="08811BC9" w:rsidR="00E93B06" w:rsidRPr="00746154"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746154">
              <w:rPr>
                <w:i/>
                <w:lang w:val="fr-FR"/>
              </w:rPr>
              <w:lastRenderedPageBreak/>
              <w:tab/>
              <w:t xml:space="preserve">c) </w:t>
            </w:r>
            <w:r w:rsidRPr="00746154">
              <w:rPr>
                <w:i/>
                <w:lang w:val="fr-FR"/>
              </w:rPr>
              <w:tab/>
              <w:t>Les effets d’atténuation de ces dangers, propres à l’emballage, doivent être déterminés et caractérisés, en fonction du type de protection offerte par celui-ci et des propriétés des matériaux qui le constituent. Cette évaluation doit être accompagnée d’une liste des caractéristiques techniques et de schémas techniques (densité [kg·m</w:t>
            </w:r>
            <w:r w:rsidRPr="00746154">
              <w:rPr>
                <w:i/>
                <w:vertAlign w:val="superscript"/>
                <w:lang w:val="fr-FR"/>
              </w:rPr>
              <w:t>-</w:t>
            </w:r>
            <w:r w:rsidRPr="00746154">
              <w:rPr>
                <w:i/>
                <w:lang w:val="fr-FR"/>
              </w:rPr>
              <w:t>³], capacité calorifique [J·kg</w:t>
            </w:r>
            <w:r w:rsidRPr="00746154">
              <w:rPr>
                <w:i/>
                <w:vertAlign w:val="superscript"/>
                <w:lang w:val="fr-FR"/>
              </w:rPr>
              <w:t>-1</w:t>
            </w:r>
            <w:r w:rsidRPr="00746154">
              <w:rPr>
                <w:i/>
                <w:lang w:val="fr-FR"/>
              </w:rPr>
              <w:t>·K</w:t>
            </w:r>
            <w:r w:rsidRPr="00746154">
              <w:rPr>
                <w:i/>
                <w:vertAlign w:val="superscript"/>
                <w:lang w:val="fr-FR"/>
              </w:rPr>
              <w:t>-1</w:t>
            </w:r>
            <w:r w:rsidRPr="00746154">
              <w:rPr>
                <w:i/>
                <w:lang w:val="fr-FR"/>
              </w:rPr>
              <w:t>], pouvoir calorifique [</w:t>
            </w:r>
            <w:r w:rsidR="00A53AD4">
              <w:rPr>
                <w:i/>
                <w:lang w:val="fr-FR"/>
              </w:rPr>
              <w:t>k</w:t>
            </w:r>
            <w:r w:rsidRPr="00746154">
              <w:rPr>
                <w:i/>
                <w:lang w:val="fr-FR"/>
              </w:rPr>
              <w:t>J·kg</w:t>
            </w:r>
            <w:r w:rsidRPr="00746154">
              <w:rPr>
                <w:i/>
                <w:vertAlign w:val="superscript"/>
                <w:lang w:val="fr-FR"/>
              </w:rPr>
              <w:t>-1</w:t>
            </w:r>
            <w:r w:rsidRPr="00746154">
              <w:rPr>
                <w:i/>
                <w:lang w:val="fr-FR"/>
              </w:rPr>
              <w:t>], conductivité thermique [W·m</w:t>
            </w:r>
            <w:r w:rsidRPr="00746154">
              <w:rPr>
                <w:i/>
                <w:vertAlign w:val="superscript"/>
                <w:lang w:val="fr-FR"/>
              </w:rPr>
              <w:t>-1</w:t>
            </w:r>
            <w:r w:rsidRPr="00746154">
              <w:rPr>
                <w:i/>
                <w:lang w:val="fr-FR"/>
              </w:rPr>
              <w:t>·K</w:t>
            </w:r>
            <w:r w:rsidRPr="00746154">
              <w:rPr>
                <w:i/>
                <w:vertAlign w:val="superscript"/>
                <w:lang w:val="fr-FR"/>
              </w:rPr>
              <w:t>-1</w:t>
            </w:r>
            <w:r w:rsidRPr="00746154">
              <w:rPr>
                <w:i/>
                <w:lang w:val="fr-FR"/>
              </w:rPr>
              <w:t>], température de fusion et température d’inflammation [K], coefficient de transmission thermique de l’emballage extérieur [W·m</w:t>
            </w:r>
            <w:r w:rsidRPr="00746154">
              <w:rPr>
                <w:i/>
                <w:vertAlign w:val="superscript"/>
                <w:lang w:val="fr-FR"/>
              </w:rPr>
              <w:t>-2</w:t>
            </w:r>
            <w:r w:rsidRPr="00746154">
              <w:rPr>
                <w:i/>
                <w:lang w:val="fr-FR"/>
              </w:rPr>
              <w:t>·K</w:t>
            </w:r>
            <w:r w:rsidRPr="00746154">
              <w:rPr>
                <w:i/>
                <w:vertAlign w:val="superscript"/>
                <w:lang w:val="fr-FR"/>
              </w:rPr>
              <w:t>-1</w:t>
            </w:r>
            <w:r w:rsidRPr="00746154">
              <w:rPr>
                <w:i/>
                <w:lang w:val="fr-FR"/>
              </w:rPr>
              <w:t>], …);</w:t>
            </w:r>
          </w:p>
        </w:tc>
      </w:tr>
      <w:tr w:rsidR="00E93B06" w:rsidRPr="00EE1565" w14:paraId="2C5B8E2A"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2561B21" w14:textId="3BBC73F5" w:rsidR="00E93B06" w:rsidRPr="00746154"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746154">
              <w:rPr>
                <w:i/>
                <w:lang w:val="fr-FR"/>
              </w:rPr>
              <w:tab/>
              <w:t xml:space="preserve">d) </w:t>
            </w:r>
            <w:r w:rsidRPr="00746154">
              <w:rPr>
                <w:i/>
                <w:lang w:val="fr-FR"/>
              </w:rPr>
              <w:tab/>
              <w:t>L’épreuve et tous calculs justificatifs doivent évaluer le résultat de l’emballement thermique de la pile ou batterie à l’intérieur de l’emballage, dans des conditions</w:t>
            </w:r>
            <w:r w:rsidR="00A53AD4">
              <w:rPr>
                <w:i/>
                <w:lang w:val="fr-FR"/>
              </w:rPr>
              <w:t xml:space="preserve"> normales</w:t>
            </w:r>
            <w:r w:rsidRPr="00746154">
              <w:rPr>
                <w:i/>
                <w:lang w:val="fr-FR"/>
              </w:rPr>
              <w:t xml:space="preserve"> de transport;</w:t>
            </w:r>
          </w:p>
        </w:tc>
      </w:tr>
      <w:tr w:rsidR="00E93B06" w:rsidRPr="00EE1565" w14:paraId="26BFB9CF"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F69BE8B" w14:textId="1FC902E0" w:rsidR="00E93B06" w:rsidRPr="00746154" w:rsidRDefault="00E93B06" w:rsidP="00A53AD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746154">
              <w:rPr>
                <w:i/>
                <w:lang w:val="fr-FR"/>
              </w:rPr>
              <w:tab/>
              <w:t xml:space="preserve">e) </w:t>
            </w:r>
            <w:r w:rsidRPr="00746154">
              <w:rPr>
                <w:i/>
                <w:lang w:val="fr-FR"/>
              </w:rPr>
              <w:tab/>
              <w:t>Dans les cas où le niveau de charge de la pile ou batterie est inconnu, l’évaluation doit être faite avec</w:t>
            </w:r>
            <w:r w:rsidR="00A53AD4">
              <w:rPr>
                <w:i/>
                <w:lang w:val="fr-FR"/>
              </w:rPr>
              <w:t xml:space="preserve"> le</w:t>
            </w:r>
            <w:r w:rsidRPr="00746154">
              <w:rPr>
                <w:i/>
                <w:lang w:val="fr-FR"/>
              </w:rPr>
              <w:t xml:space="preserve"> niveau de charge </w:t>
            </w:r>
            <w:r w:rsidR="00A53AD4" w:rsidRPr="00746154">
              <w:rPr>
                <w:i/>
                <w:lang w:val="fr-FR"/>
              </w:rPr>
              <w:t xml:space="preserve">le plus haut </w:t>
            </w:r>
            <w:r w:rsidRPr="00746154">
              <w:rPr>
                <w:i/>
                <w:lang w:val="fr-FR"/>
              </w:rPr>
              <w:t>possible correspondant aux conditions d’utilisation de la pile ou batterie;</w:t>
            </w:r>
          </w:p>
        </w:tc>
      </w:tr>
      <w:tr w:rsidR="00E93B06" w:rsidRPr="00EE1565" w14:paraId="76BAD46A"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447EF7A" w14:textId="77777777" w:rsidR="00E93B06" w:rsidRPr="00746154"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746154">
              <w:rPr>
                <w:i/>
                <w:lang w:val="fr-FR"/>
              </w:rPr>
              <w:tab/>
              <w:t xml:space="preserve">f) </w:t>
            </w:r>
            <w:r w:rsidRPr="00746154">
              <w:rPr>
                <w:i/>
                <w:lang w:val="fr-FR"/>
              </w:rPr>
              <w:tab/>
              <w:t>Les conditions environnantes dans lesquelles l’emballage peut être utilisé et transporté doivent être décrites (y compris pour les conséquences possibles d’émissions de gaz ou de fumées sur l’environnement telles que ventilation ou autres méthode) en relation avec le système de gestion des flux de gaz de l’emballage;</w:t>
            </w:r>
          </w:p>
        </w:tc>
      </w:tr>
      <w:tr w:rsidR="00E93B06" w:rsidRPr="00EE1565" w14:paraId="0E028CEC"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873D014" w14:textId="7D80EBED" w:rsidR="00E93B06" w:rsidRPr="00746154"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746154">
              <w:rPr>
                <w:i/>
                <w:lang w:val="fr-FR"/>
              </w:rPr>
              <w:tab/>
              <w:t xml:space="preserve">g) </w:t>
            </w:r>
            <w:r w:rsidRPr="00746154">
              <w:rPr>
                <w:i/>
                <w:lang w:val="fr-FR"/>
              </w:rPr>
              <w:tab/>
              <w:t xml:space="preserve">Les épreuves ou le calcul type doivent reposer sur l’hypothèse la plus pessimiste en ce qui concerne le déclenchement de l’emballement thermique et sa propagation à l’intérieur de la pile ou batterie, en postulant la pire défaillance possible au niveau des conditions </w:t>
            </w:r>
            <w:r w:rsidR="002324D3">
              <w:rPr>
                <w:i/>
                <w:lang w:val="fr-FR"/>
              </w:rPr>
              <w:t xml:space="preserve">normales </w:t>
            </w:r>
            <w:r w:rsidRPr="00746154">
              <w:rPr>
                <w:i/>
                <w:lang w:val="fr-FR"/>
              </w:rPr>
              <w:t>de transport, ainsi que les niveaux de chaleur et d’émission de flammes les plus élevés, afin d’évaluer les possibilités de propagation de la réaction;</w:t>
            </w:r>
          </w:p>
        </w:tc>
      </w:tr>
      <w:tr w:rsidR="00E93B06" w:rsidRPr="00EE1565" w14:paraId="76F399AD"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12E504BE" w14:textId="77777777" w:rsidR="00E93B06" w:rsidRPr="00746154" w:rsidRDefault="00E93B06" w:rsidP="006201FD">
            <w:pPr>
              <w:tabs>
                <w:tab w:val="left" w:pos="791"/>
              </w:tabs>
              <w:suppressAutoHyphens w:val="0"/>
              <w:spacing w:before="60" w:after="60" w:line="240" w:lineRule="auto"/>
              <w:ind w:left="366" w:hanging="426"/>
              <w:jc w:val="both"/>
              <w:rPr>
                <w:i/>
                <w:lang w:val="fr-FR"/>
              </w:rPr>
            </w:pPr>
            <w:r w:rsidRPr="00746154">
              <w:rPr>
                <w:i/>
                <w:lang w:val="fr-FR"/>
              </w:rPr>
              <w:tab/>
              <w:t xml:space="preserve">h) </w:t>
            </w:r>
            <w:r w:rsidRPr="00746154">
              <w:rPr>
                <w:i/>
                <w:lang w:val="fr-FR"/>
              </w:rPr>
              <w:tab/>
              <w:t>Les conséquences du scénario doivent être évaluées sur une période suffisamment longue pour en connaître toutes les répercussions possibles (soit 24 heures).</w:t>
            </w:r>
          </w:p>
        </w:tc>
      </w:tr>
      <w:tr w:rsidR="00E93B06" w:rsidRPr="00EE1565" w14:paraId="25146D66" w14:textId="77777777" w:rsidTr="006201FD">
        <w:trPr>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7A5B8BF0" w14:textId="77777777" w:rsidR="00E93B06" w:rsidRPr="00EE1565"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lang w:val="fr-FR"/>
              </w:rPr>
            </w:pPr>
          </w:p>
        </w:tc>
      </w:tr>
    </w:tbl>
    <w:p w14:paraId="25EA9262" w14:textId="15EADC1E" w:rsidR="00196C06" w:rsidRPr="00495AE5" w:rsidRDefault="00196C06" w:rsidP="00196C06">
      <w:pPr>
        <w:spacing w:before="120" w:after="120" w:line="240" w:lineRule="auto"/>
        <w:ind w:left="1134" w:right="1134"/>
        <w:jc w:val="both"/>
        <w:rPr>
          <w:lang w:val="fr-FR"/>
        </w:rPr>
      </w:pPr>
      <w:r w:rsidRPr="0074245A">
        <w:rPr>
          <w:lang w:val="fr-FR"/>
        </w:rPr>
        <w:t>4.1.4.2, i</w:t>
      </w:r>
      <w:proofErr w:type="spellStart"/>
      <w:r w:rsidRPr="0074245A">
        <w:t>nstruction</w:t>
      </w:r>
      <w:proofErr w:type="spellEnd"/>
      <w:r w:rsidRPr="0074245A">
        <w:t xml:space="preserve"> d’emballage IBC520</w:t>
      </w:r>
      <w:r w:rsidRPr="0074245A">
        <w:tab/>
        <w:t xml:space="preserve">Dans la deuxième ligne, après «4.1.7.2.», ajouter la nouvelle phrase suivante: «Les préparations énumérées ci-après peuvent également être transportées </w:t>
      </w:r>
      <w:r w:rsidR="00F8604F" w:rsidRPr="0074245A">
        <w:t xml:space="preserve">emballées conformément à la méthode d’emballage OP8 de l’instruction </w:t>
      </w:r>
      <w:r w:rsidRPr="0074245A">
        <w:t>d’emballage P520 du 4.1.4.1, avec les mêmes températures de régulation et critiques, le cas échéant.».</w:t>
      </w:r>
    </w:p>
    <w:p w14:paraId="68128E42" w14:textId="77777777" w:rsidR="00196C06" w:rsidRPr="00CC6AA6" w:rsidRDefault="00196C06" w:rsidP="00196C06">
      <w:pPr>
        <w:pStyle w:val="SingleTxtG"/>
      </w:pPr>
      <w:r w:rsidRPr="00CC6AA6">
        <w:t>4.1.4.2,</w:t>
      </w:r>
      <w:r>
        <w:t xml:space="preserve"> </w:t>
      </w:r>
      <w:r w:rsidRPr="00CC6AA6">
        <w:t>i</w:t>
      </w:r>
      <w:r>
        <w:t>nstruction d’emballage IBC520</w:t>
      </w:r>
      <w:r w:rsidRPr="00CC6AA6">
        <w:tab/>
        <w:t>Pour le No ONU 3109, sous la rubrique «</w:t>
      </w:r>
      <w:proofErr w:type="spellStart"/>
      <w:r w:rsidRPr="00CC6AA6">
        <w:t>Hydroperoxyde</w:t>
      </w:r>
      <w:proofErr w:type="spellEnd"/>
      <w:r w:rsidRPr="00CC6AA6">
        <w:t xml:space="preserve"> de </w:t>
      </w:r>
      <w:proofErr w:type="spellStart"/>
      <w:r w:rsidRPr="00CC6AA6">
        <w:t>tert</w:t>
      </w:r>
      <w:proofErr w:type="spellEnd"/>
      <w:r w:rsidRPr="00CC6AA6">
        <w:t>-butyle, à 72 % au plus dans l’eau» ajouter une nouvelle ligne pour lire comme suit</w:t>
      </w:r>
      <w: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2"/>
        <w:gridCol w:w="1843"/>
        <w:gridCol w:w="1843"/>
        <w:gridCol w:w="1843"/>
      </w:tblGrid>
      <w:tr w:rsidR="00196C06" w:rsidRPr="00CC6AA6" w14:paraId="5E089040" w14:textId="77777777" w:rsidTr="006201FD">
        <w:tc>
          <w:tcPr>
            <w:tcW w:w="1842" w:type="dxa"/>
            <w:tcBorders>
              <w:top w:val="single" w:sz="4" w:space="0" w:color="auto"/>
              <w:bottom w:val="single" w:sz="12" w:space="0" w:color="auto"/>
            </w:tcBorders>
            <w:shd w:val="clear" w:color="auto" w:fill="auto"/>
            <w:vAlign w:val="bottom"/>
          </w:tcPr>
          <w:p w14:paraId="2AE87A2E" w14:textId="77777777" w:rsidR="00196C06" w:rsidRPr="00CC6AA6" w:rsidRDefault="00196C06" w:rsidP="006201FD">
            <w:pPr>
              <w:spacing w:before="80" w:after="80" w:line="200" w:lineRule="exact"/>
              <w:ind w:right="113"/>
              <w:rPr>
                <w:i/>
                <w:sz w:val="16"/>
              </w:rPr>
            </w:pPr>
            <w:r w:rsidRPr="00CC6AA6">
              <w:rPr>
                <w:i/>
                <w:sz w:val="16"/>
              </w:rPr>
              <w:t>Type de GRV</w:t>
            </w:r>
          </w:p>
        </w:tc>
        <w:tc>
          <w:tcPr>
            <w:tcW w:w="1843" w:type="dxa"/>
            <w:tcBorders>
              <w:top w:val="single" w:sz="4" w:space="0" w:color="auto"/>
              <w:bottom w:val="single" w:sz="12" w:space="0" w:color="auto"/>
            </w:tcBorders>
            <w:shd w:val="clear" w:color="auto" w:fill="auto"/>
          </w:tcPr>
          <w:p w14:paraId="33A40862" w14:textId="77777777" w:rsidR="00196C06" w:rsidRPr="00CC6AA6" w:rsidRDefault="00196C06" w:rsidP="006201FD">
            <w:pPr>
              <w:spacing w:before="80" w:after="80" w:line="200" w:lineRule="exact"/>
              <w:ind w:right="113"/>
              <w:rPr>
                <w:i/>
                <w:sz w:val="16"/>
              </w:rPr>
            </w:pPr>
            <w:r w:rsidRPr="00CC6AA6">
              <w:rPr>
                <w:i/>
                <w:sz w:val="16"/>
              </w:rPr>
              <w:t>Quantité maximale (litres)</w:t>
            </w:r>
          </w:p>
        </w:tc>
        <w:tc>
          <w:tcPr>
            <w:tcW w:w="1843" w:type="dxa"/>
            <w:tcBorders>
              <w:top w:val="single" w:sz="4" w:space="0" w:color="auto"/>
              <w:bottom w:val="single" w:sz="12" w:space="0" w:color="auto"/>
            </w:tcBorders>
            <w:shd w:val="clear" w:color="auto" w:fill="auto"/>
          </w:tcPr>
          <w:p w14:paraId="36E270FE" w14:textId="77777777" w:rsidR="00196C06" w:rsidRPr="00CC6AA6" w:rsidRDefault="00196C06" w:rsidP="006201FD">
            <w:pPr>
              <w:spacing w:before="80" w:after="80" w:line="200" w:lineRule="exact"/>
              <w:ind w:right="113"/>
              <w:rPr>
                <w:i/>
                <w:sz w:val="16"/>
              </w:rPr>
            </w:pPr>
            <w:proofErr w:type="spellStart"/>
            <w:r w:rsidRPr="00CC6AA6">
              <w:rPr>
                <w:i/>
                <w:sz w:val="16"/>
              </w:rPr>
              <w:t>Temp</w:t>
            </w:r>
            <w:proofErr w:type="spellEnd"/>
            <w:r w:rsidRPr="00CC6AA6">
              <w:rPr>
                <w:i/>
                <w:sz w:val="16"/>
              </w:rPr>
              <w:t>. de régulation</w:t>
            </w:r>
          </w:p>
        </w:tc>
        <w:tc>
          <w:tcPr>
            <w:tcW w:w="1843" w:type="dxa"/>
            <w:tcBorders>
              <w:top w:val="single" w:sz="4" w:space="0" w:color="auto"/>
              <w:bottom w:val="single" w:sz="12" w:space="0" w:color="auto"/>
            </w:tcBorders>
            <w:shd w:val="clear" w:color="auto" w:fill="auto"/>
          </w:tcPr>
          <w:p w14:paraId="28158E80" w14:textId="77777777" w:rsidR="00196C06" w:rsidRPr="00CC6AA6" w:rsidRDefault="00196C06" w:rsidP="006201FD">
            <w:pPr>
              <w:spacing w:before="80" w:after="80" w:line="200" w:lineRule="exact"/>
              <w:ind w:right="113"/>
              <w:rPr>
                <w:i/>
                <w:sz w:val="16"/>
              </w:rPr>
            </w:pPr>
            <w:proofErr w:type="spellStart"/>
            <w:r w:rsidRPr="00CC6AA6">
              <w:rPr>
                <w:i/>
                <w:sz w:val="16"/>
              </w:rPr>
              <w:t>Temp</w:t>
            </w:r>
            <w:proofErr w:type="spellEnd"/>
            <w:r w:rsidRPr="00CC6AA6">
              <w:rPr>
                <w:i/>
                <w:sz w:val="16"/>
              </w:rPr>
              <w:t>. critique</w:t>
            </w:r>
          </w:p>
        </w:tc>
      </w:tr>
      <w:tr w:rsidR="00196C06" w:rsidRPr="00CC6AA6" w14:paraId="4AA74D23" w14:textId="77777777" w:rsidTr="006201FD">
        <w:tc>
          <w:tcPr>
            <w:tcW w:w="1842" w:type="dxa"/>
            <w:tcBorders>
              <w:bottom w:val="single" w:sz="12" w:space="0" w:color="auto"/>
            </w:tcBorders>
            <w:shd w:val="clear" w:color="auto" w:fill="auto"/>
          </w:tcPr>
          <w:p w14:paraId="0992D998" w14:textId="77777777" w:rsidR="00196C06" w:rsidRPr="00CC6AA6" w:rsidRDefault="00196C06" w:rsidP="006201FD">
            <w:pPr>
              <w:spacing w:before="40" w:after="120"/>
              <w:ind w:right="113"/>
              <w:rPr>
                <w:sz w:val="18"/>
                <w:szCs w:val="18"/>
              </w:rPr>
            </w:pPr>
            <w:r w:rsidRPr="00CC6AA6">
              <w:rPr>
                <w:sz w:val="18"/>
                <w:szCs w:val="18"/>
              </w:rPr>
              <w:t>31HA1</w:t>
            </w:r>
          </w:p>
        </w:tc>
        <w:tc>
          <w:tcPr>
            <w:tcW w:w="1843" w:type="dxa"/>
            <w:tcBorders>
              <w:bottom w:val="single" w:sz="12" w:space="0" w:color="auto"/>
            </w:tcBorders>
            <w:shd w:val="clear" w:color="auto" w:fill="auto"/>
          </w:tcPr>
          <w:p w14:paraId="61B256BC" w14:textId="77777777" w:rsidR="00196C06" w:rsidRPr="00CC6AA6" w:rsidRDefault="00196C06" w:rsidP="006201FD">
            <w:pPr>
              <w:spacing w:before="40" w:after="120"/>
              <w:ind w:right="113"/>
              <w:rPr>
                <w:sz w:val="18"/>
                <w:szCs w:val="18"/>
              </w:rPr>
            </w:pPr>
            <w:r w:rsidRPr="00CC6AA6">
              <w:rPr>
                <w:sz w:val="18"/>
                <w:szCs w:val="18"/>
              </w:rPr>
              <w:t>1 000</w:t>
            </w:r>
          </w:p>
        </w:tc>
        <w:tc>
          <w:tcPr>
            <w:tcW w:w="1843" w:type="dxa"/>
            <w:tcBorders>
              <w:bottom w:val="single" w:sz="12" w:space="0" w:color="auto"/>
            </w:tcBorders>
            <w:shd w:val="clear" w:color="auto" w:fill="auto"/>
          </w:tcPr>
          <w:p w14:paraId="11B6652F" w14:textId="77777777" w:rsidR="00196C06" w:rsidRPr="00CC6AA6" w:rsidRDefault="00196C06" w:rsidP="006201FD">
            <w:pPr>
              <w:spacing w:before="40" w:after="120"/>
              <w:ind w:right="113"/>
              <w:rPr>
                <w:sz w:val="18"/>
                <w:szCs w:val="18"/>
              </w:rPr>
            </w:pPr>
          </w:p>
        </w:tc>
        <w:tc>
          <w:tcPr>
            <w:tcW w:w="1843" w:type="dxa"/>
            <w:tcBorders>
              <w:bottom w:val="single" w:sz="12" w:space="0" w:color="auto"/>
            </w:tcBorders>
            <w:shd w:val="clear" w:color="auto" w:fill="auto"/>
          </w:tcPr>
          <w:p w14:paraId="1D546B5B" w14:textId="77777777" w:rsidR="00196C06" w:rsidRPr="00CC6AA6" w:rsidRDefault="00196C06" w:rsidP="006201FD">
            <w:pPr>
              <w:spacing w:before="40" w:after="120"/>
              <w:ind w:right="113"/>
              <w:rPr>
                <w:sz w:val="18"/>
                <w:szCs w:val="18"/>
              </w:rPr>
            </w:pPr>
          </w:p>
        </w:tc>
      </w:tr>
    </w:tbl>
    <w:p w14:paraId="347F0600" w14:textId="6CCE80B6" w:rsidR="00196C06" w:rsidRPr="00CC6AA6" w:rsidRDefault="00196C06" w:rsidP="00196C06">
      <w:pPr>
        <w:pStyle w:val="SingleTxtG"/>
        <w:spacing w:before="120"/>
      </w:pPr>
      <w:r w:rsidRPr="00CC6AA6">
        <w:t>4.1.4.2, i</w:t>
      </w:r>
      <w:r w:rsidR="001A6331">
        <w:t>nstruction d’emballage IBC 520</w:t>
      </w:r>
      <w:r w:rsidRPr="00CC6AA6">
        <w:tab/>
        <w:t>Insérer les nouvelles rubriques suivantes</w:t>
      </w:r>
      <w: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0"/>
        <w:gridCol w:w="2412"/>
        <w:gridCol w:w="1606"/>
        <w:gridCol w:w="1607"/>
        <w:gridCol w:w="1607"/>
        <w:gridCol w:w="1607"/>
      </w:tblGrid>
      <w:tr w:rsidR="00196C06" w:rsidRPr="00CC6AA6" w14:paraId="7DA46A52" w14:textId="77777777" w:rsidTr="006201FD">
        <w:trPr>
          <w:cantSplit/>
          <w:tblHeader/>
        </w:trPr>
        <w:tc>
          <w:tcPr>
            <w:tcW w:w="800" w:type="dxa"/>
            <w:tcBorders>
              <w:top w:val="single" w:sz="4" w:space="0" w:color="auto"/>
              <w:bottom w:val="single" w:sz="12" w:space="0" w:color="auto"/>
            </w:tcBorders>
            <w:shd w:val="clear" w:color="auto" w:fill="auto"/>
            <w:vAlign w:val="bottom"/>
          </w:tcPr>
          <w:p w14:paraId="0815FF27" w14:textId="77777777" w:rsidR="00196C06" w:rsidRPr="00CC6AA6" w:rsidRDefault="00196C06" w:rsidP="006201FD">
            <w:pPr>
              <w:spacing w:before="80" w:after="80" w:line="200" w:lineRule="exact"/>
              <w:ind w:right="113"/>
              <w:rPr>
                <w:i/>
                <w:sz w:val="16"/>
              </w:rPr>
            </w:pPr>
            <w:r w:rsidRPr="00CC6AA6">
              <w:rPr>
                <w:i/>
                <w:sz w:val="16"/>
              </w:rPr>
              <w:t>No ONU</w:t>
            </w:r>
          </w:p>
        </w:tc>
        <w:tc>
          <w:tcPr>
            <w:tcW w:w="2412" w:type="dxa"/>
            <w:tcBorders>
              <w:top w:val="single" w:sz="4" w:space="0" w:color="auto"/>
              <w:bottom w:val="single" w:sz="12" w:space="0" w:color="auto"/>
            </w:tcBorders>
            <w:shd w:val="clear" w:color="auto" w:fill="auto"/>
            <w:vAlign w:val="bottom"/>
          </w:tcPr>
          <w:p w14:paraId="4EEA23C7" w14:textId="77777777" w:rsidR="00196C06" w:rsidRPr="00CC6AA6" w:rsidRDefault="00196C06" w:rsidP="006201FD">
            <w:pPr>
              <w:spacing w:before="80" w:after="80" w:line="200" w:lineRule="exact"/>
              <w:ind w:right="113"/>
              <w:rPr>
                <w:i/>
                <w:sz w:val="16"/>
              </w:rPr>
            </w:pPr>
            <w:r w:rsidRPr="00CC6AA6">
              <w:rPr>
                <w:i/>
                <w:sz w:val="16"/>
              </w:rPr>
              <w:t>Peroxyde organique</w:t>
            </w:r>
          </w:p>
        </w:tc>
        <w:tc>
          <w:tcPr>
            <w:tcW w:w="1606" w:type="dxa"/>
            <w:tcBorders>
              <w:top w:val="single" w:sz="4" w:space="0" w:color="auto"/>
              <w:bottom w:val="single" w:sz="12" w:space="0" w:color="auto"/>
            </w:tcBorders>
            <w:shd w:val="clear" w:color="auto" w:fill="auto"/>
            <w:vAlign w:val="bottom"/>
          </w:tcPr>
          <w:p w14:paraId="076B745F" w14:textId="77777777" w:rsidR="00196C06" w:rsidRPr="00CC6AA6" w:rsidRDefault="00196C06" w:rsidP="006201FD">
            <w:pPr>
              <w:spacing w:before="80" w:after="80" w:line="200" w:lineRule="exact"/>
              <w:ind w:right="113"/>
              <w:rPr>
                <w:i/>
                <w:sz w:val="16"/>
              </w:rPr>
            </w:pPr>
            <w:r w:rsidRPr="00CC6AA6">
              <w:rPr>
                <w:i/>
                <w:sz w:val="16"/>
              </w:rPr>
              <w:t>Type de GRV</w:t>
            </w:r>
          </w:p>
        </w:tc>
        <w:tc>
          <w:tcPr>
            <w:tcW w:w="1607" w:type="dxa"/>
            <w:tcBorders>
              <w:top w:val="single" w:sz="4" w:space="0" w:color="auto"/>
              <w:bottom w:val="single" w:sz="12" w:space="0" w:color="auto"/>
            </w:tcBorders>
            <w:shd w:val="clear" w:color="auto" w:fill="auto"/>
            <w:vAlign w:val="bottom"/>
          </w:tcPr>
          <w:p w14:paraId="405C0347" w14:textId="77777777" w:rsidR="00196C06" w:rsidRPr="00CC6AA6" w:rsidRDefault="00196C06" w:rsidP="006201FD">
            <w:pPr>
              <w:spacing w:before="80" w:after="80" w:line="200" w:lineRule="exact"/>
              <w:ind w:right="113"/>
              <w:rPr>
                <w:i/>
                <w:sz w:val="16"/>
              </w:rPr>
            </w:pPr>
            <w:r w:rsidRPr="00CC6AA6">
              <w:rPr>
                <w:i/>
                <w:sz w:val="16"/>
              </w:rPr>
              <w:t>Quantité maximale (litres)</w:t>
            </w:r>
          </w:p>
        </w:tc>
        <w:tc>
          <w:tcPr>
            <w:tcW w:w="1607" w:type="dxa"/>
            <w:tcBorders>
              <w:top w:val="single" w:sz="4" w:space="0" w:color="auto"/>
              <w:bottom w:val="single" w:sz="12" w:space="0" w:color="auto"/>
            </w:tcBorders>
            <w:shd w:val="clear" w:color="auto" w:fill="auto"/>
            <w:vAlign w:val="bottom"/>
          </w:tcPr>
          <w:p w14:paraId="24F69F6C" w14:textId="77777777" w:rsidR="00196C06" w:rsidRPr="00CC6AA6" w:rsidRDefault="00196C06" w:rsidP="006201FD">
            <w:pPr>
              <w:spacing w:before="80" w:after="80" w:line="200" w:lineRule="exact"/>
              <w:ind w:right="113"/>
              <w:rPr>
                <w:i/>
                <w:sz w:val="16"/>
              </w:rPr>
            </w:pPr>
            <w:proofErr w:type="spellStart"/>
            <w:r w:rsidRPr="00CC6AA6">
              <w:rPr>
                <w:i/>
                <w:sz w:val="16"/>
              </w:rPr>
              <w:t>Temp</w:t>
            </w:r>
            <w:proofErr w:type="spellEnd"/>
            <w:r w:rsidRPr="00CC6AA6">
              <w:rPr>
                <w:i/>
                <w:sz w:val="16"/>
              </w:rPr>
              <w:t>. de régulation</w:t>
            </w:r>
          </w:p>
        </w:tc>
        <w:tc>
          <w:tcPr>
            <w:tcW w:w="1607" w:type="dxa"/>
            <w:tcBorders>
              <w:top w:val="single" w:sz="4" w:space="0" w:color="auto"/>
              <w:bottom w:val="single" w:sz="12" w:space="0" w:color="auto"/>
            </w:tcBorders>
            <w:shd w:val="clear" w:color="auto" w:fill="auto"/>
            <w:vAlign w:val="bottom"/>
          </w:tcPr>
          <w:p w14:paraId="244EC9E7" w14:textId="77777777" w:rsidR="00196C06" w:rsidRPr="00CC6AA6" w:rsidRDefault="00196C06" w:rsidP="006201FD">
            <w:pPr>
              <w:spacing w:before="80" w:after="80" w:line="200" w:lineRule="exact"/>
              <w:ind w:right="113"/>
              <w:rPr>
                <w:i/>
                <w:sz w:val="16"/>
              </w:rPr>
            </w:pPr>
            <w:proofErr w:type="spellStart"/>
            <w:r w:rsidRPr="00CC6AA6">
              <w:rPr>
                <w:i/>
                <w:sz w:val="16"/>
              </w:rPr>
              <w:t>Temp</w:t>
            </w:r>
            <w:proofErr w:type="spellEnd"/>
            <w:r w:rsidRPr="00CC6AA6">
              <w:rPr>
                <w:i/>
                <w:sz w:val="16"/>
              </w:rPr>
              <w:t>. critique</w:t>
            </w:r>
          </w:p>
        </w:tc>
      </w:tr>
      <w:tr w:rsidR="00196C06" w:rsidRPr="00CC6AA6" w14:paraId="3CDE1C50" w14:textId="77777777" w:rsidTr="006201FD">
        <w:tc>
          <w:tcPr>
            <w:tcW w:w="800" w:type="dxa"/>
            <w:tcBorders>
              <w:top w:val="single" w:sz="12" w:space="0" w:color="auto"/>
            </w:tcBorders>
            <w:shd w:val="clear" w:color="auto" w:fill="auto"/>
          </w:tcPr>
          <w:p w14:paraId="278FCFF7" w14:textId="77777777" w:rsidR="00196C06" w:rsidRPr="00CC6AA6" w:rsidRDefault="00196C06" w:rsidP="006201FD">
            <w:pPr>
              <w:spacing w:before="40" w:after="120"/>
              <w:ind w:right="113"/>
              <w:rPr>
                <w:sz w:val="18"/>
                <w:szCs w:val="18"/>
              </w:rPr>
            </w:pPr>
            <w:r w:rsidRPr="00CC6AA6">
              <w:rPr>
                <w:sz w:val="18"/>
                <w:szCs w:val="18"/>
              </w:rPr>
              <w:t>3109</w:t>
            </w:r>
          </w:p>
        </w:tc>
        <w:tc>
          <w:tcPr>
            <w:tcW w:w="2412" w:type="dxa"/>
            <w:tcBorders>
              <w:top w:val="single" w:sz="12" w:space="0" w:color="auto"/>
            </w:tcBorders>
            <w:shd w:val="clear" w:color="auto" w:fill="auto"/>
          </w:tcPr>
          <w:p w14:paraId="5329FA17" w14:textId="77777777" w:rsidR="00196C06" w:rsidRPr="00CC6AA6" w:rsidRDefault="00196C06" w:rsidP="006201FD">
            <w:pPr>
              <w:tabs>
                <w:tab w:val="left" w:pos="288"/>
                <w:tab w:val="left" w:pos="576"/>
                <w:tab w:val="left" w:pos="864"/>
                <w:tab w:val="left" w:pos="1152"/>
              </w:tabs>
              <w:spacing w:before="40" w:after="120"/>
              <w:ind w:left="144" w:right="43"/>
            </w:pPr>
            <w:r w:rsidRPr="00CC6AA6">
              <w:t>Diméthyl-2,5-</w:t>
            </w:r>
            <w:r>
              <w:t>bis</w:t>
            </w:r>
            <w:r w:rsidRPr="00CC6AA6">
              <w:t xml:space="preserve"> (</w:t>
            </w:r>
            <w:proofErr w:type="spellStart"/>
            <w:r w:rsidRPr="00CC6AA6">
              <w:t>tert-butylperoxy</w:t>
            </w:r>
            <w:proofErr w:type="spellEnd"/>
            <w:r w:rsidRPr="00CC6AA6">
              <w:t>)-2,5 hexane, à 52 % au plus dans un diluant de type A</w:t>
            </w:r>
          </w:p>
        </w:tc>
        <w:tc>
          <w:tcPr>
            <w:tcW w:w="1606" w:type="dxa"/>
            <w:tcBorders>
              <w:top w:val="single" w:sz="12" w:space="0" w:color="auto"/>
            </w:tcBorders>
            <w:shd w:val="clear" w:color="auto" w:fill="auto"/>
          </w:tcPr>
          <w:p w14:paraId="0C6C2983" w14:textId="77777777" w:rsidR="00196C06" w:rsidRPr="00CC6AA6" w:rsidRDefault="00196C06" w:rsidP="006201FD">
            <w:pPr>
              <w:tabs>
                <w:tab w:val="left" w:pos="288"/>
                <w:tab w:val="left" w:pos="576"/>
                <w:tab w:val="left" w:pos="864"/>
                <w:tab w:val="left" w:pos="1152"/>
              </w:tabs>
              <w:spacing w:before="40" w:after="120"/>
              <w:ind w:left="144" w:right="43"/>
              <w:jc w:val="center"/>
            </w:pPr>
            <w:r w:rsidRPr="00CC6AA6">
              <w:t>31HA1</w:t>
            </w:r>
          </w:p>
        </w:tc>
        <w:tc>
          <w:tcPr>
            <w:tcW w:w="1607" w:type="dxa"/>
            <w:tcBorders>
              <w:top w:val="single" w:sz="12" w:space="0" w:color="auto"/>
            </w:tcBorders>
            <w:shd w:val="clear" w:color="auto" w:fill="auto"/>
          </w:tcPr>
          <w:p w14:paraId="2C81424F" w14:textId="77777777" w:rsidR="00196C06" w:rsidRPr="00CC6AA6" w:rsidRDefault="00196C06" w:rsidP="006201FD">
            <w:pPr>
              <w:tabs>
                <w:tab w:val="left" w:pos="288"/>
                <w:tab w:val="left" w:pos="576"/>
                <w:tab w:val="left" w:pos="864"/>
                <w:tab w:val="left" w:pos="1152"/>
              </w:tabs>
              <w:spacing w:before="40" w:after="120"/>
              <w:ind w:left="144" w:right="43"/>
              <w:jc w:val="center"/>
            </w:pPr>
            <w:r w:rsidRPr="00CC6AA6">
              <w:t>1000</w:t>
            </w:r>
          </w:p>
        </w:tc>
        <w:tc>
          <w:tcPr>
            <w:tcW w:w="1607" w:type="dxa"/>
            <w:tcBorders>
              <w:top w:val="single" w:sz="12" w:space="0" w:color="auto"/>
            </w:tcBorders>
            <w:shd w:val="clear" w:color="auto" w:fill="auto"/>
          </w:tcPr>
          <w:p w14:paraId="75D9A19E" w14:textId="77777777" w:rsidR="00196C06" w:rsidRPr="00CC6AA6" w:rsidRDefault="00196C06" w:rsidP="006201FD">
            <w:pPr>
              <w:tabs>
                <w:tab w:val="left" w:pos="288"/>
                <w:tab w:val="left" w:pos="576"/>
                <w:tab w:val="left" w:pos="864"/>
                <w:tab w:val="left" w:pos="1152"/>
              </w:tabs>
              <w:spacing w:before="40" w:after="120"/>
              <w:ind w:left="144" w:right="43"/>
              <w:jc w:val="center"/>
            </w:pPr>
          </w:p>
        </w:tc>
        <w:tc>
          <w:tcPr>
            <w:tcW w:w="1607" w:type="dxa"/>
            <w:tcBorders>
              <w:top w:val="single" w:sz="12" w:space="0" w:color="auto"/>
            </w:tcBorders>
            <w:shd w:val="clear" w:color="auto" w:fill="auto"/>
          </w:tcPr>
          <w:p w14:paraId="391A3132" w14:textId="77777777" w:rsidR="00196C06" w:rsidRPr="00CC6AA6" w:rsidRDefault="00196C06" w:rsidP="006201FD">
            <w:pPr>
              <w:tabs>
                <w:tab w:val="left" w:pos="288"/>
                <w:tab w:val="left" w:pos="576"/>
                <w:tab w:val="left" w:pos="864"/>
                <w:tab w:val="left" w:pos="1152"/>
              </w:tabs>
              <w:spacing w:before="40" w:after="120"/>
              <w:ind w:left="144" w:right="43"/>
              <w:jc w:val="center"/>
            </w:pPr>
          </w:p>
        </w:tc>
      </w:tr>
      <w:tr w:rsidR="00196C06" w:rsidRPr="00CC6AA6" w14:paraId="0BFA2A7C" w14:textId="77777777" w:rsidTr="006201FD">
        <w:tc>
          <w:tcPr>
            <w:tcW w:w="800" w:type="dxa"/>
            <w:shd w:val="clear" w:color="auto" w:fill="auto"/>
          </w:tcPr>
          <w:p w14:paraId="2FF0F80A" w14:textId="77777777" w:rsidR="00196C06" w:rsidRPr="00CC6AA6" w:rsidRDefault="00196C06" w:rsidP="006201FD">
            <w:pPr>
              <w:spacing w:before="40" w:after="120"/>
              <w:ind w:right="113"/>
              <w:rPr>
                <w:sz w:val="18"/>
                <w:szCs w:val="18"/>
              </w:rPr>
            </w:pPr>
            <w:r w:rsidRPr="00CC6AA6">
              <w:rPr>
                <w:sz w:val="18"/>
                <w:szCs w:val="18"/>
              </w:rPr>
              <w:t>3109</w:t>
            </w:r>
          </w:p>
        </w:tc>
        <w:tc>
          <w:tcPr>
            <w:tcW w:w="2412" w:type="dxa"/>
            <w:shd w:val="clear" w:color="auto" w:fill="auto"/>
          </w:tcPr>
          <w:p w14:paraId="4A685C57" w14:textId="77777777" w:rsidR="00196C06" w:rsidRPr="00CC6AA6" w:rsidRDefault="00196C06" w:rsidP="006201FD">
            <w:pPr>
              <w:tabs>
                <w:tab w:val="left" w:pos="288"/>
                <w:tab w:val="left" w:pos="576"/>
                <w:tab w:val="left" w:pos="864"/>
                <w:tab w:val="left" w:pos="1152"/>
              </w:tabs>
              <w:spacing w:before="40" w:after="120"/>
              <w:ind w:left="144" w:right="43"/>
            </w:pPr>
            <w:r w:rsidRPr="00CC6AA6">
              <w:t>Triéthyl-3</w:t>
            </w:r>
            <w:proofErr w:type="gramStart"/>
            <w:r w:rsidRPr="00CC6AA6">
              <w:t>,6,9</w:t>
            </w:r>
            <w:proofErr w:type="gramEnd"/>
            <w:r>
              <w:t xml:space="preserve"> </w:t>
            </w:r>
            <w:r w:rsidRPr="00CC6AA6">
              <w:t>triméthyl-3,6,9</w:t>
            </w:r>
            <w:r>
              <w:t xml:space="preserve"> </w:t>
            </w:r>
            <w:r w:rsidRPr="00CC6AA6">
              <w:t>triperoxonane-1,4,7 à 27 % au plus dans un diluant de type A</w:t>
            </w:r>
          </w:p>
        </w:tc>
        <w:tc>
          <w:tcPr>
            <w:tcW w:w="1606" w:type="dxa"/>
            <w:shd w:val="clear" w:color="auto" w:fill="auto"/>
          </w:tcPr>
          <w:p w14:paraId="20AB651A" w14:textId="77777777" w:rsidR="00196C06" w:rsidRPr="00CC6AA6" w:rsidRDefault="00196C06" w:rsidP="006201FD">
            <w:pPr>
              <w:tabs>
                <w:tab w:val="left" w:pos="288"/>
                <w:tab w:val="left" w:pos="576"/>
                <w:tab w:val="left" w:pos="864"/>
                <w:tab w:val="left" w:pos="1152"/>
              </w:tabs>
              <w:spacing w:before="40" w:after="120"/>
              <w:ind w:left="144" w:right="43"/>
              <w:jc w:val="center"/>
            </w:pPr>
            <w:r w:rsidRPr="00CC6AA6">
              <w:t>31HA1</w:t>
            </w:r>
          </w:p>
        </w:tc>
        <w:tc>
          <w:tcPr>
            <w:tcW w:w="1607" w:type="dxa"/>
            <w:shd w:val="clear" w:color="auto" w:fill="auto"/>
          </w:tcPr>
          <w:p w14:paraId="6A5254B5" w14:textId="77777777" w:rsidR="00196C06" w:rsidRPr="00CC6AA6" w:rsidRDefault="00196C06" w:rsidP="006201FD">
            <w:pPr>
              <w:tabs>
                <w:tab w:val="left" w:pos="288"/>
                <w:tab w:val="left" w:pos="576"/>
                <w:tab w:val="left" w:pos="864"/>
                <w:tab w:val="left" w:pos="1152"/>
              </w:tabs>
              <w:spacing w:before="40" w:after="120"/>
              <w:ind w:left="144" w:right="43"/>
              <w:jc w:val="center"/>
            </w:pPr>
            <w:r w:rsidRPr="00CC6AA6">
              <w:t>1000</w:t>
            </w:r>
          </w:p>
        </w:tc>
        <w:tc>
          <w:tcPr>
            <w:tcW w:w="1607" w:type="dxa"/>
            <w:shd w:val="clear" w:color="auto" w:fill="auto"/>
          </w:tcPr>
          <w:p w14:paraId="7388A1C8" w14:textId="77777777" w:rsidR="00196C06" w:rsidRPr="00CC6AA6" w:rsidRDefault="00196C06" w:rsidP="006201FD">
            <w:pPr>
              <w:tabs>
                <w:tab w:val="left" w:pos="288"/>
                <w:tab w:val="left" w:pos="576"/>
                <w:tab w:val="left" w:pos="864"/>
                <w:tab w:val="left" w:pos="1152"/>
              </w:tabs>
              <w:spacing w:before="40" w:after="120"/>
              <w:ind w:left="144" w:right="43"/>
              <w:jc w:val="center"/>
            </w:pPr>
          </w:p>
        </w:tc>
        <w:tc>
          <w:tcPr>
            <w:tcW w:w="1607" w:type="dxa"/>
            <w:shd w:val="clear" w:color="auto" w:fill="auto"/>
          </w:tcPr>
          <w:p w14:paraId="5BB3636D" w14:textId="77777777" w:rsidR="00196C06" w:rsidRPr="00CC6AA6" w:rsidRDefault="00196C06" w:rsidP="006201FD">
            <w:pPr>
              <w:tabs>
                <w:tab w:val="left" w:pos="288"/>
                <w:tab w:val="left" w:pos="576"/>
                <w:tab w:val="left" w:pos="864"/>
                <w:tab w:val="left" w:pos="1152"/>
              </w:tabs>
              <w:spacing w:before="40" w:after="120"/>
              <w:ind w:left="144" w:right="43"/>
              <w:jc w:val="center"/>
            </w:pPr>
          </w:p>
        </w:tc>
      </w:tr>
      <w:tr w:rsidR="00196C06" w:rsidRPr="00CC6AA6" w14:paraId="04A05E85" w14:textId="77777777" w:rsidTr="006201FD">
        <w:tc>
          <w:tcPr>
            <w:tcW w:w="800" w:type="dxa"/>
            <w:tcBorders>
              <w:bottom w:val="single" w:sz="12" w:space="0" w:color="auto"/>
            </w:tcBorders>
            <w:shd w:val="clear" w:color="auto" w:fill="auto"/>
          </w:tcPr>
          <w:p w14:paraId="173CA161" w14:textId="77777777" w:rsidR="00196C06" w:rsidRPr="0074245A" w:rsidRDefault="00196C06" w:rsidP="006201FD">
            <w:pPr>
              <w:spacing w:before="40" w:after="120"/>
              <w:ind w:right="113"/>
              <w:rPr>
                <w:sz w:val="18"/>
                <w:szCs w:val="18"/>
              </w:rPr>
            </w:pPr>
            <w:r w:rsidRPr="0074245A">
              <w:rPr>
                <w:sz w:val="18"/>
                <w:szCs w:val="18"/>
              </w:rPr>
              <w:lastRenderedPageBreak/>
              <w:t>3119</w:t>
            </w:r>
          </w:p>
        </w:tc>
        <w:tc>
          <w:tcPr>
            <w:tcW w:w="2412" w:type="dxa"/>
            <w:tcBorders>
              <w:bottom w:val="single" w:sz="12" w:space="0" w:color="auto"/>
            </w:tcBorders>
            <w:shd w:val="clear" w:color="auto" w:fill="auto"/>
          </w:tcPr>
          <w:p w14:paraId="0C07C0E9" w14:textId="77777777" w:rsidR="00196C06" w:rsidRPr="0074245A" w:rsidRDefault="00196C06" w:rsidP="006201FD">
            <w:pPr>
              <w:tabs>
                <w:tab w:val="left" w:pos="288"/>
                <w:tab w:val="left" w:pos="576"/>
                <w:tab w:val="left" w:pos="864"/>
                <w:tab w:val="left" w:pos="1152"/>
              </w:tabs>
              <w:spacing w:before="40" w:after="120"/>
              <w:ind w:left="144" w:right="43"/>
            </w:pPr>
            <w:r w:rsidRPr="0074245A">
              <w:t xml:space="preserve">Ethyl-2 </w:t>
            </w:r>
            <w:proofErr w:type="spellStart"/>
            <w:r w:rsidRPr="0074245A">
              <w:t>peroxyhexanoate</w:t>
            </w:r>
            <w:proofErr w:type="spellEnd"/>
            <w:r w:rsidRPr="0074245A">
              <w:t xml:space="preserve"> de </w:t>
            </w:r>
            <w:proofErr w:type="spellStart"/>
            <w:r w:rsidRPr="0074245A">
              <w:t>tert</w:t>
            </w:r>
            <w:proofErr w:type="spellEnd"/>
            <w:r w:rsidRPr="0074245A">
              <w:t>-amyle, à 62 % au plus dans un diluant du type A</w:t>
            </w:r>
          </w:p>
        </w:tc>
        <w:tc>
          <w:tcPr>
            <w:tcW w:w="1606" w:type="dxa"/>
            <w:tcBorders>
              <w:bottom w:val="single" w:sz="12" w:space="0" w:color="auto"/>
            </w:tcBorders>
            <w:shd w:val="clear" w:color="auto" w:fill="auto"/>
          </w:tcPr>
          <w:p w14:paraId="208066BD" w14:textId="77777777" w:rsidR="00196C06" w:rsidRPr="0074245A" w:rsidRDefault="00196C06" w:rsidP="006201FD">
            <w:pPr>
              <w:tabs>
                <w:tab w:val="left" w:pos="288"/>
                <w:tab w:val="left" w:pos="576"/>
                <w:tab w:val="left" w:pos="864"/>
                <w:tab w:val="left" w:pos="1152"/>
              </w:tabs>
              <w:spacing w:before="40" w:after="120"/>
              <w:ind w:left="144" w:right="43"/>
              <w:jc w:val="center"/>
            </w:pPr>
            <w:r w:rsidRPr="0074245A">
              <w:t>31HA1</w:t>
            </w:r>
          </w:p>
        </w:tc>
        <w:tc>
          <w:tcPr>
            <w:tcW w:w="1607" w:type="dxa"/>
            <w:tcBorders>
              <w:bottom w:val="single" w:sz="12" w:space="0" w:color="auto"/>
            </w:tcBorders>
            <w:shd w:val="clear" w:color="auto" w:fill="auto"/>
          </w:tcPr>
          <w:p w14:paraId="78F22E0F" w14:textId="77777777" w:rsidR="00196C06" w:rsidRPr="0074245A" w:rsidRDefault="00196C06" w:rsidP="006201FD">
            <w:pPr>
              <w:tabs>
                <w:tab w:val="left" w:pos="288"/>
                <w:tab w:val="left" w:pos="576"/>
                <w:tab w:val="left" w:pos="864"/>
                <w:tab w:val="left" w:pos="1152"/>
              </w:tabs>
              <w:spacing w:before="40" w:after="120"/>
              <w:ind w:left="144" w:right="43"/>
              <w:jc w:val="center"/>
            </w:pPr>
            <w:r w:rsidRPr="0074245A">
              <w:t>1000</w:t>
            </w:r>
          </w:p>
        </w:tc>
        <w:tc>
          <w:tcPr>
            <w:tcW w:w="1607" w:type="dxa"/>
            <w:tcBorders>
              <w:bottom w:val="single" w:sz="12" w:space="0" w:color="auto"/>
            </w:tcBorders>
            <w:shd w:val="clear" w:color="auto" w:fill="auto"/>
          </w:tcPr>
          <w:p w14:paraId="7DDDE7A3" w14:textId="56CD9932" w:rsidR="00196C06" w:rsidRPr="0074245A" w:rsidRDefault="00196C06" w:rsidP="006201FD">
            <w:pPr>
              <w:tabs>
                <w:tab w:val="left" w:pos="288"/>
                <w:tab w:val="left" w:pos="576"/>
                <w:tab w:val="left" w:pos="864"/>
                <w:tab w:val="left" w:pos="1152"/>
              </w:tabs>
              <w:spacing w:before="40" w:after="120"/>
              <w:ind w:left="144" w:right="43"/>
              <w:jc w:val="center"/>
            </w:pPr>
            <w:r w:rsidRPr="0074245A">
              <w:t>+15 </w:t>
            </w:r>
            <w:r w:rsidR="002D378C" w:rsidRPr="0074245A">
              <w:t>°</w:t>
            </w:r>
            <w:r w:rsidRPr="0074245A">
              <w:t>C</w:t>
            </w:r>
          </w:p>
        </w:tc>
        <w:tc>
          <w:tcPr>
            <w:tcW w:w="1607" w:type="dxa"/>
            <w:tcBorders>
              <w:bottom w:val="single" w:sz="12" w:space="0" w:color="auto"/>
            </w:tcBorders>
            <w:shd w:val="clear" w:color="auto" w:fill="auto"/>
          </w:tcPr>
          <w:p w14:paraId="450C5186" w14:textId="6E517C0A" w:rsidR="00196C06" w:rsidRPr="0074245A" w:rsidRDefault="00196C06" w:rsidP="006201FD">
            <w:pPr>
              <w:tabs>
                <w:tab w:val="left" w:pos="288"/>
                <w:tab w:val="left" w:pos="576"/>
                <w:tab w:val="left" w:pos="864"/>
                <w:tab w:val="left" w:pos="1152"/>
              </w:tabs>
              <w:spacing w:before="40" w:after="120"/>
              <w:ind w:left="144" w:right="43"/>
              <w:jc w:val="center"/>
            </w:pPr>
            <w:r w:rsidRPr="0074245A">
              <w:t>+20 </w:t>
            </w:r>
            <w:r w:rsidR="002D378C" w:rsidRPr="0074245A">
              <w:t>°</w:t>
            </w:r>
            <w:r w:rsidRPr="0074245A">
              <w:t>C</w:t>
            </w:r>
          </w:p>
        </w:tc>
      </w:tr>
    </w:tbl>
    <w:p w14:paraId="28C69197" w14:textId="77777777" w:rsidR="00196C06" w:rsidRPr="0059443A" w:rsidRDefault="00196C06" w:rsidP="00196C06">
      <w:pPr>
        <w:pStyle w:val="SingleTxtG"/>
        <w:spacing w:before="120"/>
        <w:rPr>
          <w:lang w:val="fr-FR"/>
        </w:rPr>
      </w:pPr>
      <w:r w:rsidRPr="0059443A">
        <w:rPr>
          <w:lang w:val="fr-FR"/>
        </w:rPr>
        <w:t>4.1.4.3</w:t>
      </w:r>
      <w:r w:rsidRPr="0059443A">
        <w:rPr>
          <w:lang w:val="fr-FR"/>
        </w:rPr>
        <w:tab/>
        <w:t>, instruction d’emballage LP902</w:t>
      </w:r>
      <w:r w:rsidRPr="0059443A">
        <w:rPr>
          <w:lang w:val="fr-FR"/>
        </w:rPr>
        <w:tab/>
        <w:t>Sous «</w:t>
      </w:r>
      <w:r w:rsidRPr="00DD1250">
        <w:rPr>
          <w:b/>
          <w:lang w:val="fr-FR"/>
        </w:rPr>
        <w:t>Objets emballés</w:t>
      </w:r>
      <w:r w:rsidRPr="0059443A">
        <w:rPr>
          <w:lang w:val="fr-FR"/>
        </w:rPr>
        <w:t>», remplacer «Emballage satisfaisant au niveau d’épreuve du groupe d’emballage III.» par:</w:t>
      </w:r>
    </w:p>
    <w:p w14:paraId="64CC1D21" w14:textId="77777777" w:rsidR="00196C06" w:rsidRPr="0059443A" w:rsidRDefault="00196C06" w:rsidP="00196C06">
      <w:pPr>
        <w:pStyle w:val="SingleTxtG"/>
        <w:spacing w:before="120"/>
        <w:rPr>
          <w:lang w:val="fr-FR"/>
        </w:rPr>
      </w:pPr>
      <w:r w:rsidRPr="0059443A">
        <w:t>«</w:t>
      </w:r>
      <w:r w:rsidRPr="0059443A">
        <w:rPr>
          <w:lang w:val="fr-FR"/>
        </w:rPr>
        <w:t>Grands emballages rigides satisfaisant au niveau d’</w:t>
      </w:r>
      <w:proofErr w:type="spellStart"/>
      <w:r w:rsidRPr="0059443A">
        <w:rPr>
          <w:lang w:val="fr-FR"/>
        </w:rPr>
        <w:t>épreuv</w:t>
      </w:r>
      <w:proofErr w:type="spellEnd"/>
      <w:r w:rsidRPr="0059443A">
        <w:t>e du groupe d’emballage III, en</w:t>
      </w:r>
      <w:r w:rsidRPr="0059443A">
        <w:rPr>
          <w:lang w:val="fr-FR"/>
        </w:rPr>
        <w:t xml:space="preserve">: </w:t>
      </w:r>
    </w:p>
    <w:p w14:paraId="05865B93" w14:textId="77777777" w:rsidR="00196C06" w:rsidRPr="0059443A" w:rsidRDefault="00196C06" w:rsidP="00196C06">
      <w:pPr>
        <w:pStyle w:val="SingleTxtG"/>
        <w:spacing w:after="0"/>
        <w:ind w:left="1699" w:right="1138"/>
        <w:rPr>
          <w:lang w:val="fr-FR"/>
        </w:rPr>
      </w:pPr>
      <w:r w:rsidRPr="0059443A">
        <w:rPr>
          <w:lang w:val="fr-FR"/>
        </w:rPr>
        <w:t>Acier (50A)</w:t>
      </w:r>
    </w:p>
    <w:p w14:paraId="0E73CF0D" w14:textId="77777777" w:rsidR="00196C06" w:rsidRPr="0059443A" w:rsidRDefault="00196C06" w:rsidP="00196C06">
      <w:pPr>
        <w:pStyle w:val="SingleTxtG"/>
        <w:spacing w:after="0"/>
        <w:ind w:left="1699" w:right="1138"/>
        <w:rPr>
          <w:lang w:val="fr-FR"/>
        </w:rPr>
      </w:pPr>
      <w:r w:rsidRPr="0059443A">
        <w:rPr>
          <w:lang w:val="fr-FR"/>
        </w:rPr>
        <w:t>Aluminium (50B)</w:t>
      </w:r>
    </w:p>
    <w:p w14:paraId="0BDAE57D" w14:textId="77777777" w:rsidR="00196C06" w:rsidRPr="0059443A" w:rsidRDefault="00196C06" w:rsidP="00196C06">
      <w:pPr>
        <w:pStyle w:val="SingleTxtG"/>
        <w:spacing w:after="0"/>
        <w:ind w:left="1699" w:right="1138"/>
        <w:rPr>
          <w:lang w:val="fr-FR"/>
        </w:rPr>
      </w:pPr>
      <w:r w:rsidRPr="0059443A">
        <w:rPr>
          <w:lang w:val="fr-FR"/>
        </w:rPr>
        <w:t>Métal autre que l’acier ou l’aluminium (50N)</w:t>
      </w:r>
    </w:p>
    <w:p w14:paraId="67A2B5FD" w14:textId="77777777" w:rsidR="00196C06" w:rsidRPr="0059443A" w:rsidRDefault="00196C06" w:rsidP="00196C06">
      <w:pPr>
        <w:pStyle w:val="SingleTxtG"/>
        <w:spacing w:after="0"/>
        <w:ind w:left="1699" w:right="1138"/>
        <w:rPr>
          <w:lang w:val="fr-FR"/>
        </w:rPr>
      </w:pPr>
      <w:r w:rsidRPr="0059443A">
        <w:rPr>
          <w:lang w:val="fr-FR"/>
        </w:rPr>
        <w:t>Plastique rigide (50H)</w:t>
      </w:r>
    </w:p>
    <w:p w14:paraId="682C92FC" w14:textId="77777777" w:rsidR="00196C06" w:rsidRPr="0059443A" w:rsidRDefault="00196C06" w:rsidP="00196C06">
      <w:pPr>
        <w:pStyle w:val="SingleTxtG"/>
        <w:spacing w:after="0"/>
        <w:ind w:left="1699" w:right="1138"/>
        <w:rPr>
          <w:lang w:val="fr-FR"/>
        </w:rPr>
      </w:pPr>
      <w:r w:rsidRPr="0059443A">
        <w:rPr>
          <w:lang w:val="fr-FR"/>
        </w:rPr>
        <w:t>Bois naturel (50C)</w:t>
      </w:r>
    </w:p>
    <w:p w14:paraId="110FB2DA" w14:textId="77777777" w:rsidR="00196C06" w:rsidRPr="0059443A" w:rsidRDefault="00196C06" w:rsidP="00196C06">
      <w:pPr>
        <w:pStyle w:val="SingleTxtG"/>
        <w:spacing w:after="0"/>
        <w:ind w:left="1699" w:right="1138"/>
        <w:rPr>
          <w:lang w:val="fr-FR"/>
        </w:rPr>
      </w:pPr>
      <w:r w:rsidRPr="0059443A">
        <w:rPr>
          <w:lang w:val="fr-FR"/>
        </w:rPr>
        <w:t>Contre-plaqué (50D)</w:t>
      </w:r>
    </w:p>
    <w:p w14:paraId="224D1EDA" w14:textId="77777777" w:rsidR="00196C06" w:rsidRPr="0059443A" w:rsidRDefault="00196C06" w:rsidP="00196C06">
      <w:pPr>
        <w:pStyle w:val="SingleTxtG"/>
        <w:spacing w:after="0"/>
        <w:ind w:left="1699" w:right="1138"/>
        <w:rPr>
          <w:lang w:val="fr-FR"/>
        </w:rPr>
      </w:pPr>
      <w:r w:rsidRPr="0059443A">
        <w:rPr>
          <w:lang w:val="fr-FR"/>
        </w:rPr>
        <w:t>Bois reconstitué (50F)</w:t>
      </w:r>
    </w:p>
    <w:p w14:paraId="03A559E1" w14:textId="77777777" w:rsidR="00196C06" w:rsidRPr="0059443A" w:rsidRDefault="00196C06" w:rsidP="00196C06">
      <w:pPr>
        <w:pStyle w:val="SingleTxtG"/>
        <w:ind w:left="1699" w:right="1138"/>
        <w:rPr>
          <w:b/>
          <w:lang w:val="fr-FR"/>
        </w:rPr>
      </w:pPr>
      <w:r w:rsidRPr="0059443A">
        <w:rPr>
          <w:lang w:val="fr-FR"/>
        </w:rPr>
        <w:t>Carton rigide (50G)».</w:t>
      </w:r>
    </w:p>
    <w:p w14:paraId="367582FB" w14:textId="1D2D06DB" w:rsidR="004215B9" w:rsidRPr="003A2882" w:rsidRDefault="004215B9" w:rsidP="004215B9">
      <w:pPr>
        <w:pStyle w:val="SingleTxtG"/>
        <w:rPr>
          <w:lang w:val="fr-FR"/>
        </w:rPr>
      </w:pPr>
      <w:r w:rsidRPr="003A2882">
        <w:rPr>
          <w:lang w:val="fr-FR"/>
        </w:rPr>
        <w:t>4.1.4.3, instruction d’emballage LP902</w:t>
      </w:r>
      <w:r w:rsidRPr="003A2882">
        <w:rPr>
          <w:lang w:val="fr-FR"/>
        </w:rPr>
        <w:tab/>
        <w:t>Dans le paragraphe sous «</w:t>
      </w:r>
      <w:r w:rsidRPr="003A2882">
        <w:rPr>
          <w:b/>
          <w:lang w:val="fr-FR"/>
        </w:rPr>
        <w:t>Objets non emballés:</w:t>
      </w:r>
      <w:r w:rsidRPr="003A2882">
        <w:rPr>
          <w:lang w:val="fr-FR"/>
        </w:rPr>
        <w:t>», à la fin, ajouter «ou vice-versa, y compris lors de trajets faisant intervenir des lieux de manutention intermédiaires».</w:t>
      </w:r>
    </w:p>
    <w:p w14:paraId="1C0EE8D5" w14:textId="7B180E86" w:rsidR="004215B9" w:rsidRPr="003A2882" w:rsidRDefault="004215B9" w:rsidP="004215B9">
      <w:pPr>
        <w:pStyle w:val="SingleTxtG"/>
        <w:rPr>
          <w:lang w:val="fr-FR"/>
        </w:rPr>
      </w:pPr>
      <w:r w:rsidRPr="003A2882">
        <w:rPr>
          <w:lang w:val="fr-FR"/>
        </w:rPr>
        <w:t>4.1.4.3, instruction d’emballage LP90</w:t>
      </w:r>
      <w:r>
        <w:rPr>
          <w:lang w:val="fr-FR"/>
        </w:rPr>
        <w:t>3</w:t>
      </w:r>
      <w:r w:rsidR="00DD1250">
        <w:rPr>
          <w:lang w:val="fr-FR"/>
        </w:rPr>
        <w:tab/>
      </w:r>
      <w:r>
        <w:rPr>
          <w:lang w:val="fr-FR"/>
        </w:rPr>
        <w:t>Dans la deuxième phrase, remplacer «</w:t>
      </w:r>
      <w:r w:rsidRPr="00560723">
        <w:t>, y compris pour une batterie contenue dans un équipement</w:t>
      </w:r>
      <w:r>
        <w:rPr>
          <w:lang w:val="fr-FR"/>
        </w:rPr>
        <w:t>» par «et pour les batteries contenues dans un seul équipement,». Modifier la dernière phrase avant la disposition supplémentaire, pour lire comme suit «</w:t>
      </w:r>
      <w:r w:rsidRPr="00DF6809">
        <w:t xml:space="preserve">La batterie </w:t>
      </w:r>
      <w:r>
        <w:t>ou l’équipement doit être emballé de manière à être protégé</w:t>
      </w:r>
      <w:r w:rsidRPr="00DF6809">
        <w:t xml:space="preserve"> contre les dommages qui pourraient être causés par </w:t>
      </w:r>
      <w:r>
        <w:t>son</w:t>
      </w:r>
      <w:r w:rsidRPr="00DF6809">
        <w:t xml:space="preserve"> mouvement ou </w:t>
      </w:r>
      <w:r>
        <w:t>son</w:t>
      </w:r>
      <w:r w:rsidRPr="00DF6809">
        <w:t xml:space="preserve"> placement dans le grand emballage.</w:t>
      </w:r>
      <w:r>
        <w:rPr>
          <w:lang w:val="fr-FR"/>
        </w:rPr>
        <w:t>».</w:t>
      </w:r>
    </w:p>
    <w:p w14:paraId="3BB36725" w14:textId="5BE60EB0" w:rsidR="004215B9" w:rsidRDefault="004215B9" w:rsidP="004215B9">
      <w:pPr>
        <w:pStyle w:val="SingleTxtG"/>
        <w:rPr>
          <w:lang w:val="fr-FR"/>
        </w:rPr>
      </w:pPr>
      <w:r w:rsidRPr="003A2882">
        <w:rPr>
          <w:lang w:val="fr-FR"/>
        </w:rPr>
        <w:t>4.1.4.3, instruction d’emballage LP90</w:t>
      </w:r>
      <w:r>
        <w:rPr>
          <w:lang w:val="fr-FR"/>
        </w:rPr>
        <w:t>4</w:t>
      </w:r>
      <w:r w:rsidR="00DD1250">
        <w:rPr>
          <w:lang w:val="fr-FR"/>
        </w:rPr>
        <w:tab/>
        <w:t>Modifier comme suit:</w:t>
      </w:r>
    </w:p>
    <w:p w14:paraId="6C88C14B" w14:textId="77777777" w:rsidR="004215B9" w:rsidRDefault="004215B9" w:rsidP="001A6331">
      <w:pPr>
        <w:pStyle w:val="SingleTxtG"/>
        <w:ind w:left="1701"/>
        <w:rPr>
          <w:lang w:val="fr-FR"/>
        </w:rPr>
      </w:pPr>
      <w:r>
        <w:rPr>
          <w:lang w:val="fr-FR"/>
        </w:rPr>
        <w:t>Dans la première phrase, après «</w:t>
      </w:r>
      <w:r w:rsidRPr="001C32A7">
        <w:t>ou défectueuses</w:t>
      </w:r>
      <w:r>
        <w:rPr>
          <w:lang w:val="fr-FR"/>
        </w:rPr>
        <w:t>» ajouter «</w:t>
      </w:r>
      <w:r w:rsidRPr="00C964D7">
        <w:rPr>
          <w:lang w:val="fr-FR"/>
        </w:rPr>
        <w:t>et aux piles et batteries endommagées ou défectueuses contenues dans un seul équipement</w:t>
      </w:r>
      <w:r>
        <w:rPr>
          <w:lang w:val="fr-FR"/>
        </w:rPr>
        <w:t>». À la fin de la première phrase, supprimer «</w:t>
      </w:r>
      <w:r w:rsidRPr="001C32A7">
        <w:t>y compris celles contenues dans des équipeme</w:t>
      </w:r>
      <w:r>
        <w:t>nts, emballées individuellement</w:t>
      </w:r>
      <w:r>
        <w:rPr>
          <w:lang w:val="fr-FR"/>
        </w:rPr>
        <w:t xml:space="preserve">». </w:t>
      </w:r>
    </w:p>
    <w:p w14:paraId="556C5CB2" w14:textId="77777777" w:rsidR="004215B9" w:rsidRDefault="004215B9" w:rsidP="001A6331">
      <w:pPr>
        <w:pStyle w:val="SingleTxtG"/>
        <w:ind w:left="1701"/>
        <w:rPr>
          <w:lang w:val="fr-FR"/>
        </w:rPr>
      </w:pPr>
      <w:r>
        <w:rPr>
          <w:lang w:val="fr-FR"/>
        </w:rPr>
        <w:t>Modifier le début de la deuxième phrase pour lire comme suit «</w:t>
      </w:r>
      <w:r w:rsidRPr="00C06506">
        <w:t xml:space="preserve">Les </w:t>
      </w:r>
      <w:r>
        <w:t xml:space="preserve">grands </w:t>
      </w:r>
      <w:r w:rsidRPr="00C06506">
        <w:t xml:space="preserve">emballages suivants sont autorisés pour une seule batterie endommagée ou défectueuse ou pour </w:t>
      </w:r>
      <w:r>
        <w:t>les piles ou batteries endommagées ou défectueuses contenues dans un seul équipement</w:t>
      </w:r>
      <w:r w:rsidRPr="00C06506">
        <w:t>, s’il est satisfait</w:t>
      </w:r>
      <w:r>
        <w:t>…</w:t>
      </w:r>
      <w:r>
        <w:rPr>
          <w:lang w:val="fr-FR"/>
        </w:rPr>
        <w:t xml:space="preserve">». </w:t>
      </w:r>
    </w:p>
    <w:p w14:paraId="392CFBA5" w14:textId="12A065D2" w:rsidR="004215B9" w:rsidRDefault="004215B9" w:rsidP="001A6331">
      <w:pPr>
        <w:pStyle w:val="SingleTxtG"/>
        <w:ind w:left="1701"/>
        <w:rPr>
          <w:lang w:val="fr-FR"/>
        </w:rPr>
      </w:pPr>
      <w:r>
        <w:rPr>
          <w:lang w:val="fr-FR"/>
        </w:rPr>
        <w:t xml:space="preserve">Dans la troisième phrase, remplacer «contenant des batteries» par «contenant des piles et des batteries». </w:t>
      </w:r>
    </w:p>
    <w:p w14:paraId="2E6EF604" w14:textId="7A3F49FD" w:rsidR="00290141" w:rsidRPr="0074245A" w:rsidRDefault="00290141" w:rsidP="001A6331">
      <w:pPr>
        <w:pStyle w:val="SingleTxtG"/>
        <w:ind w:left="1701"/>
        <w:rPr>
          <w:lang w:val="fr-FR"/>
        </w:rPr>
      </w:pPr>
      <w:r w:rsidRPr="0074245A">
        <w:rPr>
          <w:lang w:val="fr-FR"/>
        </w:rPr>
        <w:t>Avant «Acier (50A)», insérer la nouvelle ligne suivante:</w:t>
      </w:r>
    </w:p>
    <w:p w14:paraId="69066F43" w14:textId="25D89E0F" w:rsidR="00290141" w:rsidRPr="0074245A" w:rsidRDefault="00290141" w:rsidP="001A6331">
      <w:pPr>
        <w:pStyle w:val="SingleTxtG"/>
        <w:ind w:left="1701"/>
        <w:rPr>
          <w:lang w:val="fr-FR"/>
        </w:rPr>
      </w:pPr>
      <w:r w:rsidRPr="0074245A">
        <w:rPr>
          <w:lang w:val="fr-FR"/>
        </w:rPr>
        <w:t>«</w:t>
      </w:r>
      <w:r w:rsidRPr="0074245A">
        <w:rPr>
          <w:iCs/>
        </w:rPr>
        <w:t>Grands emballages rigides satisfaisant au niveau d’épreuve du groupe d’emballage II, en:</w:t>
      </w:r>
      <w:r w:rsidRPr="0074245A">
        <w:rPr>
          <w:lang w:val="fr-FR"/>
        </w:rPr>
        <w:t>».</w:t>
      </w:r>
    </w:p>
    <w:p w14:paraId="02347BEC" w14:textId="3BF10CA5" w:rsidR="00290141" w:rsidRDefault="00290141" w:rsidP="001A6331">
      <w:pPr>
        <w:pStyle w:val="SingleTxtG"/>
        <w:ind w:left="1701"/>
        <w:rPr>
          <w:lang w:val="fr-FR"/>
        </w:rPr>
      </w:pPr>
      <w:r w:rsidRPr="0074245A">
        <w:rPr>
          <w:lang w:val="fr-FR"/>
        </w:rPr>
        <w:t xml:space="preserve">Après «Contreplaqué (50D)», </w:t>
      </w:r>
      <w:proofErr w:type="gramStart"/>
      <w:r w:rsidRPr="0074245A">
        <w:rPr>
          <w:lang w:val="fr-FR"/>
        </w:rPr>
        <w:t>supprimer</w:t>
      </w:r>
      <w:proofErr w:type="gramEnd"/>
      <w:r w:rsidRPr="0074245A">
        <w:rPr>
          <w:lang w:val="fr-FR"/>
        </w:rPr>
        <w:t xml:space="preserve"> «</w:t>
      </w:r>
      <w:r w:rsidRPr="00410B90">
        <w:rPr>
          <w:rFonts w:ascii="TimesNewRomanPSMT" w:hAnsi="TimesNewRomanPSMT" w:cs="TimesNewRomanPSMT"/>
          <w:lang w:val="fr-FR" w:eastAsia="en-GB"/>
        </w:rPr>
        <w:t>Les emballages doivent satisfaire au niveau d’épreuve du groupe d’emballage II.</w:t>
      </w:r>
      <w:r w:rsidRPr="0074245A">
        <w:rPr>
          <w:lang w:val="fr-FR"/>
        </w:rPr>
        <w:t>».</w:t>
      </w:r>
    </w:p>
    <w:p w14:paraId="0DBEC0C3" w14:textId="77777777" w:rsidR="004215B9" w:rsidRDefault="004215B9" w:rsidP="001A6331">
      <w:pPr>
        <w:pStyle w:val="SingleTxtG"/>
        <w:ind w:left="1701"/>
        <w:rPr>
          <w:lang w:val="fr-FR"/>
        </w:rPr>
      </w:pPr>
      <w:r>
        <w:rPr>
          <w:lang w:val="fr-FR"/>
        </w:rPr>
        <w:t xml:space="preserve">Au début du point </w:t>
      </w:r>
      <w:proofErr w:type="gramStart"/>
      <w:r>
        <w:rPr>
          <w:lang w:val="fr-FR"/>
        </w:rPr>
        <w:t>1.,</w:t>
      </w:r>
      <w:proofErr w:type="gramEnd"/>
      <w:r>
        <w:rPr>
          <w:lang w:val="fr-FR"/>
        </w:rPr>
        <w:t xml:space="preserve"> remplacer «</w:t>
      </w:r>
      <w:r w:rsidRPr="001C32A7">
        <w:t>Chaque batterie endommagée ou défectueuse ou équipement contenant une telle batterie</w:t>
      </w:r>
      <w:r>
        <w:rPr>
          <w:lang w:val="fr-FR"/>
        </w:rPr>
        <w:t>» par «</w:t>
      </w:r>
      <w:r>
        <w:t>La</w:t>
      </w:r>
      <w:r w:rsidRPr="001C32A7">
        <w:t xml:space="preserve"> batterie endommagée ou </w:t>
      </w:r>
      <w:r w:rsidRPr="001C32A7">
        <w:lastRenderedPageBreak/>
        <w:t xml:space="preserve">défectueuse ou </w:t>
      </w:r>
      <w:r>
        <w:t>l’</w:t>
      </w:r>
      <w:r w:rsidRPr="001C32A7">
        <w:t xml:space="preserve">équipement contenant </w:t>
      </w:r>
      <w:r>
        <w:t xml:space="preserve">des piles ou batteries </w:t>
      </w:r>
      <w:r w:rsidRPr="001C32A7">
        <w:t>endommagée</w:t>
      </w:r>
      <w:r>
        <w:t>s</w:t>
      </w:r>
      <w:r w:rsidRPr="001C32A7">
        <w:t xml:space="preserve"> ou défectueuse</w:t>
      </w:r>
      <w:r>
        <w:t>s</w:t>
      </w:r>
      <w:r>
        <w:rPr>
          <w:lang w:val="fr-FR"/>
        </w:rPr>
        <w:t xml:space="preserve">». </w:t>
      </w:r>
    </w:p>
    <w:p w14:paraId="69F5A7D1" w14:textId="5030A3E0" w:rsidR="004215B9" w:rsidRDefault="004215B9" w:rsidP="001A6331">
      <w:pPr>
        <w:pStyle w:val="SingleTxtG"/>
        <w:ind w:left="1701"/>
        <w:rPr>
          <w:lang w:val="fr-FR"/>
        </w:rPr>
      </w:pPr>
      <w:r>
        <w:rPr>
          <w:lang w:val="fr-FR"/>
        </w:rPr>
        <w:t xml:space="preserve">Au point </w:t>
      </w:r>
      <w:proofErr w:type="gramStart"/>
      <w:r>
        <w:rPr>
          <w:lang w:val="fr-FR"/>
        </w:rPr>
        <w:t>2.,</w:t>
      </w:r>
      <w:proofErr w:type="gramEnd"/>
      <w:r>
        <w:rPr>
          <w:lang w:val="fr-FR"/>
        </w:rPr>
        <w:t xml:space="preserve"> remplacer «</w:t>
      </w:r>
      <w:r w:rsidRPr="00F84935">
        <w:t>Chaque emballage intérieur</w:t>
      </w:r>
      <w:r>
        <w:rPr>
          <w:lang w:val="fr-FR"/>
        </w:rPr>
        <w:t>» par «L’emballage intérieur»</w:t>
      </w:r>
      <w:r w:rsidR="00DA77EF">
        <w:rPr>
          <w:lang w:val="fr-FR"/>
        </w:rPr>
        <w:t xml:space="preserve"> et remplacer «non conducteur» par «non conducteur d’électricité</w:t>
      </w:r>
      <w:r w:rsidR="00DA77EF" w:rsidRPr="0059443A">
        <w:rPr>
          <w:lang w:val="fr-FR"/>
        </w:rPr>
        <w:t>».</w:t>
      </w:r>
      <w:r>
        <w:rPr>
          <w:lang w:val="fr-FR"/>
        </w:rPr>
        <w:t>.</w:t>
      </w:r>
    </w:p>
    <w:p w14:paraId="1033F8DC" w14:textId="2C232BFE" w:rsidR="004215B9" w:rsidRDefault="004215B9" w:rsidP="001A6331">
      <w:pPr>
        <w:pStyle w:val="SingleTxtG"/>
        <w:ind w:left="1701"/>
        <w:rPr>
          <w:lang w:val="fr-FR"/>
        </w:rPr>
      </w:pPr>
      <w:r>
        <w:rPr>
          <w:lang w:val="fr-FR"/>
        </w:rPr>
        <w:t xml:space="preserve">Au point </w:t>
      </w:r>
      <w:proofErr w:type="gramStart"/>
      <w:r>
        <w:rPr>
          <w:lang w:val="fr-FR"/>
        </w:rPr>
        <w:t>4.,</w:t>
      </w:r>
      <w:proofErr w:type="gramEnd"/>
      <w:r>
        <w:rPr>
          <w:lang w:val="fr-FR"/>
        </w:rPr>
        <w:t xml:space="preserve"> après «déplacement de la batterie», ajouter «ou de l’équipement»</w:t>
      </w:r>
      <w:r w:rsidR="00DA77EF">
        <w:rPr>
          <w:lang w:val="fr-FR"/>
        </w:rPr>
        <w:t xml:space="preserve"> et</w:t>
      </w:r>
      <w:r w:rsidR="00DA77EF" w:rsidRPr="00DA77EF">
        <w:rPr>
          <w:lang w:val="fr-FR"/>
        </w:rPr>
        <w:t xml:space="preserve"> </w:t>
      </w:r>
      <w:r w:rsidR="00DA77EF">
        <w:rPr>
          <w:lang w:val="fr-FR"/>
        </w:rPr>
        <w:t>remplacer «non conducteur» par «non conducteur d’électricité</w:t>
      </w:r>
      <w:r w:rsidR="00DA77EF" w:rsidRPr="0059443A">
        <w:rPr>
          <w:lang w:val="fr-FR"/>
        </w:rPr>
        <w:t>».</w:t>
      </w:r>
      <w:r>
        <w:rPr>
          <w:lang w:val="fr-FR"/>
        </w:rPr>
        <w:t>.</w:t>
      </w:r>
    </w:p>
    <w:p w14:paraId="34DED408" w14:textId="7B8F544C" w:rsidR="004215B9" w:rsidRDefault="00335CBD" w:rsidP="001A6331">
      <w:pPr>
        <w:pStyle w:val="SingleTxtG"/>
        <w:ind w:left="1701"/>
        <w:rPr>
          <w:lang w:val="fr-FR"/>
        </w:rPr>
      </w:pPr>
      <w:r>
        <w:rPr>
          <w:lang w:val="fr-FR"/>
        </w:rPr>
        <w:t>Dans la dernière phrase avant la disposition supplémentaire, avant «batteries» ajouter «piles et».</w:t>
      </w:r>
    </w:p>
    <w:p w14:paraId="63791504" w14:textId="2ECF9952" w:rsidR="004215B9" w:rsidRPr="003A2882" w:rsidRDefault="00335CBD" w:rsidP="001A6331">
      <w:pPr>
        <w:pStyle w:val="SingleTxtG"/>
        <w:ind w:left="1701"/>
        <w:rPr>
          <w:lang w:val="fr-FR"/>
        </w:rPr>
      </w:pPr>
      <w:r>
        <w:rPr>
          <w:lang w:val="fr-FR"/>
        </w:rPr>
        <w:t>Dans la disposition supplémentaire, avant «batteries» ajouter «piles et».</w:t>
      </w:r>
    </w:p>
    <w:p w14:paraId="0E12F9F0" w14:textId="77777777" w:rsidR="00DD1250" w:rsidRDefault="00DD1250" w:rsidP="00DD1250">
      <w:pPr>
        <w:pStyle w:val="SingleTxtG"/>
      </w:pPr>
      <w:r>
        <w:t>4.1.4.3</w:t>
      </w:r>
      <w:r>
        <w:tab/>
      </w:r>
      <w:r>
        <w:tab/>
        <w:t>Ajouter la nouvelle instruction d’emballage LP03 suivante:</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DD1250" w:rsidRPr="00EE1565" w14:paraId="362DC163" w14:textId="77777777" w:rsidTr="00657D7C">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090B169A" w14:textId="77777777" w:rsidR="00DD1250" w:rsidRPr="00EE1565"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Pr>
                <w:b/>
                <w:lang w:val="fr-FR"/>
              </w:rPr>
              <w:t>LP03</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096EBE15" w14:textId="77777777" w:rsidR="00DD1250" w:rsidRPr="00EE1565"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EE1565">
              <w:rPr>
                <w:b/>
                <w:iCs/>
                <w:lang w:val="fr-FR"/>
              </w:rPr>
              <w:t>INSTRUCTION D’EMBALLAGE</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87EDE94" w14:textId="77777777" w:rsidR="00DD1250" w:rsidRPr="00EE1565"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Pr>
                <w:b/>
                <w:iCs/>
                <w:lang w:val="fr-FR"/>
              </w:rPr>
              <w:t>LP03</w:t>
            </w:r>
          </w:p>
        </w:tc>
      </w:tr>
      <w:tr w:rsidR="00DD1250" w:rsidRPr="00EE1565" w14:paraId="5F225D94" w14:textId="77777777" w:rsidTr="00657D7C">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60C2EB" w14:textId="77777777" w:rsidR="00DD1250" w:rsidRPr="00EE1565"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EE1565">
              <w:rPr>
                <w:iCs/>
                <w:lang w:val="fr-FR"/>
              </w:rPr>
              <w:t xml:space="preserve">Cette instruction s’applique </w:t>
            </w:r>
            <w:r w:rsidRPr="00DA5FAD">
              <w:rPr>
                <w:iCs/>
                <w:lang w:val="fr-FR"/>
              </w:rPr>
              <w:t>aux Nos ONU 35</w:t>
            </w:r>
            <w:r>
              <w:rPr>
                <w:iCs/>
                <w:lang w:val="fr-FR"/>
              </w:rPr>
              <w:t>37</w:t>
            </w:r>
            <w:r w:rsidRPr="00DA5FAD">
              <w:rPr>
                <w:iCs/>
                <w:lang w:val="fr-FR"/>
              </w:rPr>
              <w:t>, 35</w:t>
            </w:r>
            <w:r>
              <w:rPr>
                <w:iCs/>
                <w:lang w:val="fr-FR"/>
              </w:rPr>
              <w:t>38</w:t>
            </w:r>
            <w:r w:rsidRPr="00DA5FAD">
              <w:rPr>
                <w:iCs/>
                <w:lang w:val="fr-FR"/>
              </w:rPr>
              <w:t>, 35</w:t>
            </w:r>
            <w:r>
              <w:rPr>
                <w:iCs/>
                <w:lang w:val="fr-FR"/>
              </w:rPr>
              <w:t>40</w:t>
            </w:r>
            <w:r w:rsidRPr="00DA5FAD">
              <w:rPr>
                <w:iCs/>
                <w:lang w:val="fr-FR"/>
              </w:rPr>
              <w:t>, 35</w:t>
            </w:r>
            <w:r>
              <w:rPr>
                <w:iCs/>
                <w:lang w:val="fr-FR"/>
              </w:rPr>
              <w:t>41</w:t>
            </w:r>
            <w:r w:rsidRPr="00DA5FAD">
              <w:rPr>
                <w:iCs/>
                <w:lang w:val="fr-FR"/>
              </w:rPr>
              <w:t>, 35</w:t>
            </w:r>
            <w:r>
              <w:rPr>
                <w:iCs/>
                <w:lang w:val="fr-FR"/>
              </w:rPr>
              <w:t>46</w:t>
            </w:r>
            <w:r w:rsidRPr="00DA5FAD">
              <w:rPr>
                <w:iCs/>
                <w:lang w:val="fr-FR"/>
              </w:rPr>
              <w:t>, 35</w:t>
            </w:r>
            <w:r>
              <w:rPr>
                <w:iCs/>
                <w:lang w:val="fr-FR"/>
              </w:rPr>
              <w:t xml:space="preserve">47 </w:t>
            </w:r>
            <w:r w:rsidRPr="00DA5FAD">
              <w:rPr>
                <w:iCs/>
                <w:lang w:val="fr-FR"/>
              </w:rPr>
              <w:t>et 35</w:t>
            </w:r>
            <w:r>
              <w:rPr>
                <w:iCs/>
                <w:lang w:val="fr-FR"/>
              </w:rPr>
              <w:t>48</w:t>
            </w:r>
            <w:r w:rsidRPr="00DA5FAD">
              <w:rPr>
                <w:iCs/>
                <w:lang w:val="fr-FR"/>
              </w:rPr>
              <w:t>.</w:t>
            </w:r>
          </w:p>
        </w:tc>
      </w:tr>
      <w:tr w:rsidR="00DD1250" w:rsidRPr="00EE1565" w14:paraId="1E82D0DC" w14:textId="77777777" w:rsidTr="00657D7C">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46CD70C" w14:textId="29E56113" w:rsidR="00DD1250" w:rsidRPr="00EE1565" w:rsidRDefault="00B95B90" w:rsidP="00657D7C">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Pr>
                <w:lang w:val="fr-FR"/>
              </w:rPr>
              <w:t>1)</w:t>
            </w:r>
            <w:r w:rsidR="00DD1250" w:rsidRPr="00EE1565">
              <w:rPr>
                <w:lang w:val="fr-FR"/>
              </w:rPr>
              <w:t xml:space="preserve"> </w:t>
            </w:r>
            <w:r w:rsidR="00DD1250" w:rsidRPr="00EE1565">
              <w:rPr>
                <w:lang w:val="fr-FR"/>
              </w:rPr>
              <w:tab/>
            </w:r>
            <w:r w:rsidR="00DD1250" w:rsidRPr="00EE1565">
              <w:rPr>
                <w:iCs/>
                <w:lang w:val="fr-FR"/>
              </w:rPr>
              <w:t xml:space="preserve">Les </w:t>
            </w:r>
            <w:r w:rsidR="00DD1250">
              <w:rPr>
                <w:iCs/>
                <w:lang w:val="fr-FR"/>
              </w:rPr>
              <w:t xml:space="preserve">grands </w:t>
            </w:r>
            <w:r w:rsidR="00DD1250" w:rsidRPr="00EE1565">
              <w:rPr>
                <w:iCs/>
                <w:lang w:val="fr-FR"/>
              </w:rPr>
              <w:t>emballages suivants sont autorisés s’il est satisfait aux dispositions générales des sections </w:t>
            </w:r>
            <w:r w:rsidR="00DD1250" w:rsidRPr="00EE1565">
              <w:rPr>
                <w:b/>
                <w:iCs/>
                <w:lang w:val="fr-FR"/>
              </w:rPr>
              <w:t>4.1.1</w:t>
            </w:r>
            <w:r w:rsidR="00DD1250" w:rsidRPr="00EE1565">
              <w:rPr>
                <w:iCs/>
                <w:lang w:val="fr-FR"/>
              </w:rPr>
              <w:t xml:space="preserve"> et </w:t>
            </w:r>
            <w:r w:rsidR="00DD1250" w:rsidRPr="00EE1565">
              <w:rPr>
                <w:b/>
                <w:iCs/>
                <w:lang w:val="fr-FR"/>
              </w:rPr>
              <w:t>4.1.3</w:t>
            </w:r>
            <w:r w:rsidR="00DD1250" w:rsidRPr="00EE1565">
              <w:rPr>
                <w:iCs/>
                <w:lang w:val="fr-FR"/>
              </w:rPr>
              <w:t>:</w:t>
            </w:r>
          </w:p>
        </w:tc>
      </w:tr>
      <w:tr w:rsidR="00DD1250" w:rsidRPr="00EE1565" w14:paraId="7EAA5810" w14:textId="77777777" w:rsidTr="00657D7C">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1B93582C" w14:textId="77777777" w:rsidR="00DD1250" w:rsidRPr="00EE1565" w:rsidRDefault="00DD1250" w:rsidP="00657D7C">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EE1565">
              <w:rPr>
                <w:lang w:val="fr-FR"/>
              </w:rPr>
              <w:tab/>
            </w:r>
            <w:r w:rsidRPr="00441ED5">
              <w:rPr>
                <w:iCs/>
              </w:rPr>
              <w:t>Grands emballages rigides satisfaisant au niveau d’épreuve du groupe d’emballage II, en:</w:t>
            </w:r>
          </w:p>
        </w:tc>
      </w:tr>
      <w:tr w:rsidR="00DD1250" w:rsidRPr="00DA5FAD" w14:paraId="15FF6288" w14:textId="77777777" w:rsidTr="00657D7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80153F9" w14:textId="77777777" w:rsidR="00DD1250" w:rsidRPr="00EE1565"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Pr>
                <w:iCs/>
                <w:lang w:val="pt-BR"/>
              </w:rPr>
              <w:t>Acier</w:t>
            </w:r>
            <w:r w:rsidRPr="00EE1565">
              <w:rPr>
                <w:iCs/>
                <w:lang w:val="pt-BR"/>
              </w:rPr>
              <w:t xml:space="preserve"> (</w:t>
            </w:r>
            <w:r>
              <w:rPr>
                <w:iCs/>
                <w:lang w:val="pt-BR"/>
              </w:rPr>
              <w:t>50A</w:t>
            </w:r>
            <w:r w:rsidRPr="00EE1565">
              <w:rPr>
                <w:iCs/>
                <w:lang w:val="pt-BR"/>
              </w:rPr>
              <w:t>);</w:t>
            </w:r>
          </w:p>
        </w:tc>
      </w:tr>
      <w:tr w:rsidR="00DD1250" w:rsidRPr="00A30369" w14:paraId="5147A066" w14:textId="77777777" w:rsidTr="00657D7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173C48A" w14:textId="77777777" w:rsidR="00DD1250"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Pr>
                <w:iCs/>
                <w:lang w:val="pt-BR"/>
              </w:rPr>
              <w:t>Aluminium (50B);</w:t>
            </w:r>
          </w:p>
        </w:tc>
      </w:tr>
      <w:tr w:rsidR="00DD1250" w:rsidRPr="00A30369" w14:paraId="337CCC14" w14:textId="77777777" w:rsidTr="00657D7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3E140B9" w14:textId="77777777" w:rsidR="00DD1250"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sidRPr="00441ED5">
              <w:rPr>
                <w:iCs/>
              </w:rPr>
              <w:t>Métal autre que l’acier ou l’aluminium (50N);</w:t>
            </w:r>
          </w:p>
        </w:tc>
      </w:tr>
      <w:tr w:rsidR="00DD1250" w:rsidRPr="00A30369" w14:paraId="0D05A578" w14:textId="77777777" w:rsidTr="00657D7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5ADF10F" w14:textId="77777777" w:rsidR="00DD1250" w:rsidRPr="00441ED5"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441ED5">
              <w:rPr>
                <w:iCs/>
              </w:rPr>
              <w:t>Plastique rigide (50H);</w:t>
            </w:r>
          </w:p>
        </w:tc>
      </w:tr>
      <w:tr w:rsidR="00DD1250" w:rsidRPr="00A30369" w14:paraId="0138322F" w14:textId="77777777" w:rsidTr="00657D7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CA997FB" w14:textId="77777777" w:rsidR="00DD1250" w:rsidRPr="00441ED5"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441ED5">
              <w:rPr>
                <w:iCs/>
              </w:rPr>
              <w:t>Bois naturel (50C);</w:t>
            </w:r>
          </w:p>
        </w:tc>
      </w:tr>
      <w:tr w:rsidR="00DD1250" w:rsidRPr="00A30369" w14:paraId="1D2F960E" w14:textId="77777777" w:rsidTr="00657D7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3E9D8D0" w14:textId="77777777" w:rsidR="00DD1250" w:rsidRPr="00441ED5"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441ED5">
              <w:rPr>
                <w:iCs/>
              </w:rPr>
              <w:t>Contre-plaqué (50D);</w:t>
            </w:r>
          </w:p>
        </w:tc>
      </w:tr>
      <w:tr w:rsidR="00DD1250" w:rsidRPr="00A30369" w14:paraId="1CC1EFFD" w14:textId="77777777" w:rsidTr="00657D7C">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459C6B01" w14:textId="77777777" w:rsidR="00DD1250" w:rsidRPr="00441ED5"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441ED5">
              <w:rPr>
                <w:iCs/>
              </w:rPr>
              <w:t>Bois reconstitué (50F);</w:t>
            </w:r>
          </w:p>
        </w:tc>
      </w:tr>
      <w:tr w:rsidR="00DD1250" w:rsidRPr="00A30369" w14:paraId="153ED837" w14:textId="77777777" w:rsidTr="00657D7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7208298" w14:textId="77777777" w:rsidR="00DD1250" w:rsidRPr="00441ED5"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441ED5">
              <w:rPr>
                <w:iCs/>
              </w:rPr>
              <w:t>Carton rigide (50G).</w:t>
            </w:r>
          </w:p>
        </w:tc>
      </w:tr>
      <w:tr w:rsidR="00DD1250" w:rsidRPr="00EE1565" w14:paraId="48A5E6CE" w14:textId="77777777" w:rsidTr="00657D7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6F9650A" w14:textId="6BC6CD3C" w:rsidR="00DD1250" w:rsidRPr="00EE1565" w:rsidRDefault="00B95B90" w:rsidP="00657D7C">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Pr>
                <w:lang w:val="fr-FR"/>
              </w:rPr>
              <w:t>2)</w:t>
            </w:r>
            <w:r w:rsidR="00DD1250" w:rsidRPr="00EE1565">
              <w:rPr>
                <w:lang w:val="fr-FR"/>
              </w:rPr>
              <w:tab/>
            </w:r>
            <w:r w:rsidR="00DD1250" w:rsidRPr="009A2AA2">
              <w:t>De surcroît, les conditions suivantes doivent être remplies</w:t>
            </w:r>
            <w:r w:rsidR="00DD1250">
              <w:t>:</w:t>
            </w:r>
          </w:p>
        </w:tc>
      </w:tr>
      <w:tr w:rsidR="00DD1250" w:rsidRPr="00A00AAA" w14:paraId="184836ED" w14:textId="77777777" w:rsidTr="00657D7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F945331" w14:textId="77777777" w:rsidR="00DD1250" w:rsidRDefault="00DD1250" w:rsidP="00657D7C">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a)</w:t>
            </w:r>
            <w:r w:rsidRPr="009A2AA2">
              <w:t xml:space="preserve"> </w:t>
            </w:r>
            <w:r w:rsidRPr="00EE1565">
              <w:rPr>
                <w:lang w:val="fr-FR"/>
              </w:rPr>
              <w:tab/>
            </w:r>
            <w:r w:rsidRPr="009A2AA2">
              <w:t>Les récipients contenus dans des objets contenant eux-mêmes des matières liquides ou des matières solides doivent être fabriqués dans un matériau approprié et calés dans l</w:t>
            </w:r>
            <w:r>
              <w:t>’</w:t>
            </w:r>
            <w:r w:rsidRPr="009A2AA2">
              <w:t>objet de telle façon que, dans des conditions normales de transport, ils ne puissent se briser, se crever ou laisser échapper leur contenu dans l</w:t>
            </w:r>
            <w:r>
              <w:t>’</w:t>
            </w:r>
            <w:r w:rsidRPr="009A2AA2">
              <w:t>objet lui-même ou dans l</w:t>
            </w:r>
            <w:r>
              <w:t>’emballage extérieur</w:t>
            </w:r>
            <w:r w:rsidRPr="009A2AA2">
              <w:t>;</w:t>
            </w:r>
          </w:p>
        </w:tc>
      </w:tr>
      <w:tr w:rsidR="00DD1250" w:rsidRPr="00A00AAA" w14:paraId="4EA916D7" w14:textId="77777777" w:rsidTr="00657D7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56FD773" w14:textId="74E10392" w:rsidR="00DD1250" w:rsidRDefault="00DD1250" w:rsidP="00CE4E90">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b)</w:t>
            </w:r>
            <w:r w:rsidRPr="00EE1565">
              <w:rPr>
                <w:lang w:val="fr-FR"/>
              </w:rPr>
              <w:t xml:space="preserve"> </w:t>
            </w:r>
            <w:r w:rsidRPr="00EE1565">
              <w:rPr>
                <w:lang w:val="fr-FR"/>
              </w:rPr>
              <w:tab/>
            </w:r>
            <w:r w:rsidRPr="00B223AB">
              <w:t>Les récipients contenant des matières liquides et équipés d</w:t>
            </w:r>
            <w:r>
              <w:t>’</w:t>
            </w:r>
            <w:r w:rsidRPr="00B223AB">
              <w:t xml:space="preserve">une fermeture doivent être emballés de telle sorte que leurs fermetures soient bien orientées. </w:t>
            </w:r>
            <w:r w:rsidR="00CE4E90">
              <w:t>L</w:t>
            </w:r>
            <w:r>
              <w:t xml:space="preserve">es récipients doivent </w:t>
            </w:r>
            <w:r w:rsidRPr="00A00AAA">
              <w:t>en outre être conformes aux dispositions</w:t>
            </w:r>
            <w:r>
              <w:t xml:space="preserve"> relatives à l’épreuve de pression interne du 6.1.5.5;</w:t>
            </w:r>
          </w:p>
        </w:tc>
      </w:tr>
      <w:tr w:rsidR="00DD1250" w:rsidRPr="00A00AAA" w14:paraId="2ED4148B" w14:textId="77777777" w:rsidTr="00657D7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7DE1B8F" w14:textId="77777777" w:rsidR="00DD1250" w:rsidRDefault="00DD1250" w:rsidP="00657D7C">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c)</w:t>
            </w:r>
            <w:r w:rsidRPr="00EE1565">
              <w:rPr>
                <w:lang w:val="fr-FR"/>
              </w:rPr>
              <w:t xml:space="preserve"> </w:t>
            </w:r>
            <w:r w:rsidRPr="00EE1565">
              <w:rPr>
                <w:lang w:val="fr-FR"/>
              </w:rPr>
              <w:tab/>
            </w:r>
            <w:r w:rsidRPr="00B223AB">
              <w:t>Les récipients susceptibles de se briser ou de se crever facilement, par exemple les récipients en verre, en porcelaine ou en grès ou encore en certaines matières plastiques doivent être correctement calés. Toute fuite du contenu ne doit pas altérer sensiblement les propriétés protectrices de l</w:t>
            </w:r>
            <w:r>
              <w:t>’</w:t>
            </w:r>
            <w:r w:rsidRPr="00B223AB">
              <w:t>objet ou de son emballage extérieur</w:t>
            </w:r>
            <w:r>
              <w:t>;</w:t>
            </w:r>
          </w:p>
        </w:tc>
      </w:tr>
      <w:tr w:rsidR="00DD1250" w:rsidRPr="00A00AAA" w14:paraId="35A32AC2" w14:textId="77777777" w:rsidTr="00657D7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924D8F0" w14:textId="4A63074C" w:rsidR="00DD1250" w:rsidRDefault="00DD1250" w:rsidP="009F128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sidRPr="00FC0AC2">
              <w:rPr>
                <w:lang w:val="fr-FR"/>
              </w:rPr>
              <w:t xml:space="preserve">d) </w:t>
            </w:r>
            <w:r w:rsidRPr="00FC0AC2">
              <w:rPr>
                <w:lang w:val="fr-FR"/>
              </w:rPr>
              <w:tab/>
            </w:r>
            <w:r w:rsidRPr="00FC0AC2">
              <w:t xml:space="preserve">Les récipients contenant des gaz placés à l’intérieur d’objets doivent satisfaire aux prescriptions de la section 4.1.6 et du chapitre 6.2, selon le cas, ou offrir un niveau de protection équivalent aux </w:t>
            </w:r>
            <w:r w:rsidR="009F1284">
              <w:t>instructions</w:t>
            </w:r>
            <w:r w:rsidRPr="00FC0AC2">
              <w:t xml:space="preserve"> d’emballage P200 ou P208;</w:t>
            </w:r>
          </w:p>
        </w:tc>
      </w:tr>
      <w:tr w:rsidR="00DD1250" w:rsidRPr="00A00AAA" w14:paraId="180CF28B" w14:textId="77777777" w:rsidTr="00657D7C">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4FAC1776" w14:textId="77777777" w:rsidR="00DD1250" w:rsidRDefault="00DD1250" w:rsidP="00657D7C">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e)</w:t>
            </w:r>
            <w:r w:rsidRPr="00EE1565">
              <w:rPr>
                <w:lang w:val="fr-FR"/>
              </w:rPr>
              <w:t xml:space="preserve"> </w:t>
            </w:r>
            <w:r w:rsidRPr="00EE1565">
              <w:rPr>
                <w:lang w:val="fr-FR"/>
              </w:rPr>
              <w:tab/>
            </w:r>
            <w:r w:rsidRPr="00B223AB">
              <w:t>Si l</w:t>
            </w:r>
            <w:r>
              <w:t>’</w:t>
            </w:r>
            <w:r w:rsidRPr="00B223AB">
              <w:t>objet ne contient aucun récipient, il doit renfermer totalement les marchandises dangereuses qu</w:t>
            </w:r>
            <w:r>
              <w:t>’</w:t>
            </w:r>
            <w:r w:rsidRPr="00B223AB">
              <w:t>il contient et empêcher toute fuite de celles-ci dans des conditions normales de transport.</w:t>
            </w:r>
          </w:p>
        </w:tc>
      </w:tr>
      <w:tr w:rsidR="00DD1250" w:rsidRPr="00A00AAA" w14:paraId="7390DD56" w14:textId="77777777" w:rsidTr="00657D7C">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43C18ED2" w14:textId="3A02016D" w:rsidR="00DD1250" w:rsidRDefault="00B95B90" w:rsidP="00657D7C">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Pr>
                <w:lang w:val="fr-FR"/>
              </w:rPr>
              <w:t>3)</w:t>
            </w:r>
            <w:r w:rsidR="00DD1250" w:rsidRPr="00EE1565">
              <w:rPr>
                <w:lang w:val="fr-FR"/>
              </w:rPr>
              <w:tab/>
            </w:r>
            <w:r w:rsidR="00DD1250" w:rsidRPr="00A30369">
              <w:rPr>
                <w:lang w:val="fr-FR"/>
              </w:rPr>
              <w:t>Les objets doivent être emballés de manière à empêcher tout mouvement des objets et tout fonctionnement accidentel dans des conditions normales de transport.</w:t>
            </w:r>
          </w:p>
        </w:tc>
      </w:tr>
    </w:tbl>
    <w:p w14:paraId="6517C7AA" w14:textId="604F87B0" w:rsidR="004215B9" w:rsidRDefault="004215B9" w:rsidP="0074245A">
      <w:pPr>
        <w:pStyle w:val="SingleTxtG"/>
        <w:spacing w:before="120"/>
        <w:rPr>
          <w:lang w:val="fr-FR"/>
        </w:rPr>
      </w:pPr>
      <w:r>
        <w:rPr>
          <w:lang w:val="fr-FR"/>
        </w:rPr>
        <w:t>4.1.4.3</w:t>
      </w:r>
      <w:r>
        <w:rPr>
          <w:lang w:val="fr-FR"/>
        </w:rPr>
        <w:tab/>
      </w:r>
      <w:r>
        <w:rPr>
          <w:lang w:val="fr-FR"/>
        </w:rPr>
        <w:tab/>
        <w:t>Ajouter la nouvelle instruction d’emballage LP905 suivante:</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853"/>
        <w:gridCol w:w="7938"/>
        <w:gridCol w:w="850"/>
      </w:tblGrid>
      <w:tr w:rsidR="004215B9" w:rsidRPr="00B83C53" w14:paraId="03659F07" w14:textId="77777777" w:rsidTr="006201FD">
        <w:trPr>
          <w:cantSplit/>
        </w:trPr>
        <w:tc>
          <w:tcPr>
            <w:tcW w:w="853" w:type="dxa"/>
          </w:tcPr>
          <w:p w14:paraId="5C539F7F" w14:textId="77777777" w:rsidR="004215B9" w:rsidRPr="00B83C53"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rPr>
                <w:b/>
                <w:bCs/>
                <w:lang w:val="fr-FR"/>
              </w:rPr>
            </w:pPr>
            <w:r w:rsidRPr="00B83C53">
              <w:rPr>
                <w:b/>
                <w:bCs/>
                <w:lang w:val="fr-FR"/>
              </w:rPr>
              <w:lastRenderedPageBreak/>
              <w:t>LP90</w:t>
            </w:r>
            <w:r>
              <w:rPr>
                <w:b/>
                <w:bCs/>
                <w:lang w:val="fr-FR"/>
              </w:rPr>
              <w:t>5</w:t>
            </w:r>
          </w:p>
        </w:tc>
        <w:tc>
          <w:tcPr>
            <w:tcW w:w="7938" w:type="dxa"/>
          </w:tcPr>
          <w:p w14:paraId="0F1AA3B5" w14:textId="77777777" w:rsidR="004215B9" w:rsidRPr="00B83C53"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jc w:val="center"/>
              <w:outlineLvl w:val="6"/>
              <w:rPr>
                <w:b/>
                <w:bCs/>
                <w:lang w:val="fr-FR"/>
              </w:rPr>
            </w:pPr>
            <w:r w:rsidRPr="00B83C53">
              <w:rPr>
                <w:b/>
                <w:bCs/>
                <w:lang w:val="fr-FR"/>
              </w:rPr>
              <w:t>INSTRUCTION D'EMBALLAGE</w:t>
            </w:r>
          </w:p>
        </w:tc>
        <w:tc>
          <w:tcPr>
            <w:tcW w:w="850" w:type="dxa"/>
          </w:tcPr>
          <w:p w14:paraId="0C06FEB2" w14:textId="77777777" w:rsidR="004215B9" w:rsidRPr="00B83C53"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lang w:val="fr-FR"/>
              </w:rPr>
            </w:pPr>
            <w:r w:rsidRPr="00B83C53">
              <w:rPr>
                <w:b/>
                <w:bCs/>
                <w:lang w:val="fr-FR"/>
              </w:rPr>
              <w:t>LP90</w:t>
            </w:r>
            <w:r>
              <w:rPr>
                <w:b/>
                <w:bCs/>
                <w:lang w:val="fr-FR"/>
              </w:rPr>
              <w:t>5</w:t>
            </w:r>
          </w:p>
        </w:tc>
      </w:tr>
      <w:tr w:rsidR="004215B9" w:rsidRPr="00B83C53" w14:paraId="49074787" w14:textId="77777777" w:rsidTr="006201FD">
        <w:trPr>
          <w:cantSplit/>
        </w:trPr>
        <w:tc>
          <w:tcPr>
            <w:tcW w:w="9641" w:type="dxa"/>
            <w:gridSpan w:val="3"/>
            <w:tcBorders>
              <w:bottom w:val="single" w:sz="6" w:space="0" w:color="auto"/>
            </w:tcBorders>
          </w:tcPr>
          <w:p w14:paraId="6C927109" w14:textId="77777777"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E77163">
              <w:t xml:space="preserve">Cette instruction s’applique aux séries de production composées </w:t>
            </w:r>
            <w:r w:rsidRPr="00E77163">
              <w:rPr>
                <w:rFonts w:asciiTheme="majorBidi" w:hAnsiTheme="majorBidi" w:cstheme="majorBidi"/>
              </w:rPr>
              <w:t xml:space="preserve">au maximum de </w:t>
            </w:r>
            <w:r w:rsidRPr="00E77163">
              <w:t>100 piles et batteries des numéros ONU 3090, 3091, 3480 et 3481 et aux prototypes de pré-production de piles et batteries de ces numéros ONU lorsque ces prototypes sont transportés pour être éprouvés.</w:t>
            </w:r>
          </w:p>
        </w:tc>
      </w:tr>
      <w:tr w:rsidR="004215B9" w:rsidRPr="00B83C53" w14:paraId="0CFF41C7" w14:textId="77777777" w:rsidTr="006201FD">
        <w:trPr>
          <w:cantSplit/>
        </w:trPr>
        <w:tc>
          <w:tcPr>
            <w:tcW w:w="9641" w:type="dxa"/>
            <w:gridSpan w:val="3"/>
            <w:tcBorders>
              <w:top w:val="single" w:sz="6" w:space="0" w:color="auto"/>
              <w:bottom w:val="nil"/>
            </w:tcBorders>
          </w:tcPr>
          <w:p w14:paraId="374FD731" w14:textId="4BA78C31"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E77163">
              <w:t xml:space="preserve">Les grands emballages suivants sont autorisés pour une seule batterie et pour les piles et batteries contenues dans un seul équipement s’il est satisfait aux dispositions générales des </w:t>
            </w:r>
            <w:r w:rsidRPr="00E77163">
              <w:rPr>
                <w:b/>
              </w:rPr>
              <w:t>4.1.1</w:t>
            </w:r>
            <w:r w:rsidRPr="00E77163">
              <w:t xml:space="preserve"> et </w:t>
            </w:r>
            <w:r w:rsidRPr="00E77163">
              <w:rPr>
                <w:b/>
              </w:rPr>
              <w:t>4.1.3</w:t>
            </w:r>
            <w:r w:rsidRPr="00E77163">
              <w:t>:</w:t>
            </w:r>
          </w:p>
        </w:tc>
      </w:tr>
      <w:tr w:rsidR="004215B9" w:rsidRPr="00B83C53" w14:paraId="7256D37E" w14:textId="77777777" w:rsidTr="006201FD">
        <w:trPr>
          <w:cantSplit/>
        </w:trPr>
        <w:tc>
          <w:tcPr>
            <w:tcW w:w="9641" w:type="dxa"/>
            <w:gridSpan w:val="3"/>
            <w:tcBorders>
              <w:top w:val="nil"/>
              <w:bottom w:val="nil"/>
            </w:tcBorders>
          </w:tcPr>
          <w:p w14:paraId="378B3401" w14:textId="1A88BF8E"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E77163">
              <w:t>1)</w:t>
            </w:r>
            <w:r w:rsidRPr="00E77163">
              <w:tab/>
              <w:t xml:space="preserve">Pour une </w:t>
            </w:r>
            <w:r w:rsidRPr="00E77163">
              <w:rPr>
                <w:rFonts w:asciiTheme="majorBidi" w:hAnsiTheme="majorBidi" w:cstheme="majorBidi"/>
              </w:rPr>
              <w:t>batterie</w:t>
            </w:r>
            <w:r w:rsidR="00722738">
              <w:rPr>
                <w:rFonts w:asciiTheme="majorBidi" w:hAnsiTheme="majorBidi" w:cstheme="majorBidi"/>
              </w:rPr>
              <w:t>:</w:t>
            </w:r>
          </w:p>
        </w:tc>
      </w:tr>
      <w:tr w:rsidR="004215B9" w:rsidRPr="00B83C53" w14:paraId="79FDE028" w14:textId="77777777" w:rsidTr="006201FD">
        <w:trPr>
          <w:cantSplit/>
        </w:trPr>
        <w:tc>
          <w:tcPr>
            <w:tcW w:w="9641" w:type="dxa"/>
            <w:gridSpan w:val="3"/>
            <w:tcBorders>
              <w:top w:val="nil"/>
              <w:bottom w:val="nil"/>
            </w:tcBorders>
          </w:tcPr>
          <w:p w14:paraId="07FC6D68" w14:textId="2BFCE504" w:rsidR="004215B9" w:rsidRPr="00E7716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E77163">
              <w:tab/>
            </w:r>
            <w:r w:rsidRPr="00E77163">
              <w:rPr>
                <w:rFonts w:asciiTheme="majorBidi" w:hAnsiTheme="majorBidi" w:cstheme="majorBidi"/>
              </w:rPr>
              <w:t>Grands emballages rigides satisfaisant au niveau d’épreu</w:t>
            </w:r>
            <w:r w:rsidR="00DD1250">
              <w:rPr>
                <w:rFonts w:asciiTheme="majorBidi" w:hAnsiTheme="majorBidi" w:cstheme="majorBidi"/>
              </w:rPr>
              <w:t>ve du groupe d’emballage II, en</w:t>
            </w:r>
            <w:r w:rsidRPr="00E77163">
              <w:rPr>
                <w:rFonts w:asciiTheme="majorBidi" w:hAnsiTheme="majorBidi" w:cstheme="majorBidi"/>
              </w:rPr>
              <w:t>:</w:t>
            </w:r>
          </w:p>
        </w:tc>
      </w:tr>
      <w:tr w:rsidR="004215B9" w:rsidRPr="00B83C53" w14:paraId="17C057E9" w14:textId="77777777" w:rsidTr="006201FD">
        <w:trPr>
          <w:cantSplit/>
        </w:trPr>
        <w:tc>
          <w:tcPr>
            <w:tcW w:w="9641" w:type="dxa"/>
            <w:gridSpan w:val="3"/>
            <w:tcBorders>
              <w:top w:val="nil"/>
              <w:bottom w:val="nil"/>
            </w:tcBorders>
          </w:tcPr>
          <w:p w14:paraId="1B8D5346" w14:textId="77777777"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Pr>
                <w:rFonts w:asciiTheme="majorBidi" w:hAnsiTheme="majorBidi" w:cstheme="majorBidi"/>
              </w:rPr>
              <w:t>Acier (50A)</w:t>
            </w:r>
            <w:r w:rsidRPr="00E77163">
              <w:rPr>
                <w:rFonts w:asciiTheme="majorBidi" w:hAnsiTheme="majorBidi" w:cstheme="majorBidi"/>
              </w:rPr>
              <w:t>;</w:t>
            </w:r>
          </w:p>
        </w:tc>
      </w:tr>
      <w:tr w:rsidR="004215B9" w:rsidRPr="00B83C53" w14:paraId="1AD7DA08" w14:textId="77777777" w:rsidTr="006201FD">
        <w:trPr>
          <w:cantSplit/>
        </w:trPr>
        <w:tc>
          <w:tcPr>
            <w:tcW w:w="9641" w:type="dxa"/>
            <w:gridSpan w:val="3"/>
            <w:tcBorders>
              <w:top w:val="nil"/>
              <w:bottom w:val="nil"/>
            </w:tcBorders>
          </w:tcPr>
          <w:p w14:paraId="48F930F4" w14:textId="77777777"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Pr>
                <w:rFonts w:asciiTheme="majorBidi" w:hAnsiTheme="majorBidi" w:cstheme="majorBidi"/>
              </w:rPr>
              <w:t>Aluminium (50B)</w:t>
            </w:r>
            <w:r w:rsidRPr="00E77163">
              <w:rPr>
                <w:rFonts w:asciiTheme="majorBidi" w:hAnsiTheme="majorBidi" w:cstheme="majorBidi"/>
              </w:rPr>
              <w:t>;</w:t>
            </w:r>
          </w:p>
        </w:tc>
      </w:tr>
      <w:tr w:rsidR="004215B9" w:rsidRPr="00B83C53" w14:paraId="18BA6B1B" w14:textId="77777777" w:rsidTr="006201FD">
        <w:trPr>
          <w:cantSplit/>
        </w:trPr>
        <w:tc>
          <w:tcPr>
            <w:tcW w:w="9641" w:type="dxa"/>
            <w:gridSpan w:val="3"/>
            <w:tcBorders>
              <w:top w:val="nil"/>
              <w:bottom w:val="nil"/>
            </w:tcBorders>
          </w:tcPr>
          <w:p w14:paraId="65D43321" w14:textId="77777777"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Pr="00E77163">
              <w:rPr>
                <w:rFonts w:asciiTheme="majorBidi" w:hAnsiTheme="majorBidi" w:cstheme="majorBidi"/>
              </w:rPr>
              <w:t>Métal autre q</w:t>
            </w:r>
            <w:r>
              <w:rPr>
                <w:rFonts w:asciiTheme="majorBidi" w:hAnsiTheme="majorBidi" w:cstheme="majorBidi"/>
              </w:rPr>
              <w:t>ue l’acier et l’aluminium (50N)</w:t>
            </w:r>
            <w:r w:rsidRPr="00E77163">
              <w:rPr>
                <w:rFonts w:asciiTheme="majorBidi" w:hAnsiTheme="majorBidi" w:cstheme="majorBidi"/>
              </w:rPr>
              <w:t>;</w:t>
            </w:r>
          </w:p>
        </w:tc>
      </w:tr>
      <w:tr w:rsidR="004215B9" w:rsidRPr="00B83C53" w14:paraId="50901DE7" w14:textId="77777777" w:rsidTr="006201FD">
        <w:trPr>
          <w:cantSplit/>
        </w:trPr>
        <w:tc>
          <w:tcPr>
            <w:tcW w:w="9641" w:type="dxa"/>
            <w:gridSpan w:val="3"/>
            <w:tcBorders>
              <w:top w:val="nil"/>
              <w:bottom w:val="nil"/>
            </w:tcBorders>
          </w:tcPr>
          <w:p w14:paraId="42ABB6C9" w14:textId="77777777"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Pr>
                <w:rFonts w:asciiTheme="majorBidi" w:hAnsiTheme="majorBidi" w:cstheme="majorBidi"/>
              </w:rPr>
              <w:t>Plastique rigide (50H)</w:t>
            </w:r>
            <w:r w:rsidRPr="00E77163">
              <w:rPr>
                <w:rFonts w:asciiTheme="majorBidi" w:hAnsiTheme="majorBidi" w:cstheme="majorBidi"/>
              </w:rPr>
              <w:t>;</w:t>
            </w:r>
          </w:p>
        </w:tc>
      </w:tr>
      <w:tr w:rsidR="004215B9" w:rsidRPr="00B83C53" w14:paraId="4FD5CD54" w14:textId="77777777" w:rsidTr="006201FD">
        <w:trPr>
          <w:cantSplit/>
        </w:trPr>
        <w:tc>
          <w:tcPr>
            <w:tcW w:w="9641" w:type="dxa"/>
            <w:gridSpan w:val="3"/>
            <w:tcBorders>
              <w:top w:val="nil"/>
              <w:bottom w:val="nil"/>
            </w:tcBorders>
          </w:tcPr>
          <w:p w14:paraId="43D7FB70" w14:textId="0FF001B7" w:rsidR="004215B9" w:rsidRPr="00B83C53" w:rsidRDefault="004215B9" w:rsidP="00086498">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Pr>
                <w:rFonts w:asciiTheme="majorBidi" w:hAnsiTheme="majorBidi" w:cstheme="majorBidi"/>
              </w:rPr>
              <w:t xml:space="preserve">Bois </w:t>
            </w:r>
            <w:r w:rsidR="00086498">
              <w:rPr>
                <w:rFonts w:asciiTheme="majorBidi" w:hAnsiTheme="majorBidi" w:cstheme="majorBidi"/>
              </w:rPr>
              <w:t xml:space="preserve">naturel </w:t>
            </w:r>
            <w:r>
              <w:rPr>
                <w:rFonts w:asciiTheme="majorBidi" w:hAnsiTheme="majorBidi" w:cstheme="majorBidi"/>
              </w:rPr>
              <w:t>(50C)</w:t>
            </w:r>
            <w:r w:rsidRPr="00E77163">
              <w:rPr>
                <w:rFonts w:asciiTheme="majorBidi" w:hAnsiTheme="majorBidi" w:cstheme="majorBidi"/>
              </w:rPr>
              <w:t>;</w:t>
            </w:r>
          </w:p>
        </w:tc>
      </w:tr>
      <w:tr w:rsidR="004215B9" w:rsidRPr="00B83C53" w14:paraId="37B890FE" w14:textId="77777777" w:rsidTr="006201FD">
        <w:trPr>
          <w:cantSplit/>
        </w:trPr>
        <w:tc>
          <w:tcPr>
            <w:tcW w:w="9641" w:type="dxa"/>
            <w:gridSpan w:val="3"/>
            <w:tcBorders>
              <w:top w:val="nil"/>
              <w:bottom w:val="nil"/>
            </w:tcBorders>
          </w:tcPr>
          <w:p w14:paraId="583300F5" w14:textId="77777777" w:rsidR="004215B9" w:rsidRPr="00E7716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rPr>
            </w:pPr>
            <w:r w:rsidRPr="00B83C53">
              <w:rPr>
                <w:lang w:val="fr-FR"/>
              </w:rPr>
              <w:tab/>
            </w:r>
            <w:r>
              <w:rPr>
                <w:rFonts w:asciiTheme="majorBidi" w:hAnsiTheme="majorBidi" w:cstheme="majorBidi"/>
              </w:rPr>
              <w:t>Contreplaqué (50D)</w:t>
            </w:r>
            <w:r w:rsidRPr="00E77163">
              <w:rPr>
                <w:rFonts w:asciiTheme="majorBidi" w:hAnsiTheme="majorBidi" w:cstheme="majorBidi"/>
              </w:rPr>
              <w:t>;</w:t>
            </w:r>
          </w:p>
        </w:tc>
      </w:tr>
      <w:tr w:rsidR="004215B9" w:rsidRPr="00B83C53" w14:paraId="7E62923F" w14:textId="77777777" w:rsidTr="006201FD">
        <w:trPr>
          <w:cantSplit/>
        </w:trPr>
        <w:tc>
          <w:tcPr>
            <w:tcW w:w="9641" w:type="dxa"/>
            <w:gridSpan w:val="3"/>
            <w:tcBorders>
              <w:top w:val="nil"/>
              <w:bottom w:val="nil"/>
            </w:tcBorders>
          </w:tcPr>
          <w:p w14:paraId="3E9F3FE2" w14:textId="77777777" w:rsidR="004215B9" w:rsidRPr="00E7716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rPr>
            </w:pPr>
            <w:r w:rsidRPr="00B83C53">
              <w:rPr>
                <w:lang w:val="fr-FR"/>
              </w:rPr>
              <w:tab/>
            </w:r>
            <w:r>
              <w:rPr>
                <w:rFonts w:asciiTheme="majorBidi" w:hAnsiTheme="majorBidi" w:cstheme="majorBidi"/>
              </w:rPr>
              <w:t>Bois reconstitué (50F)</w:t>
            </w:r>
            <w:r w:rsidRPr="00E77163">
              <w:rPr>
                <w:rFonts w:asciiTheme="majorBidi" w:hAnsiTheme="majorBidi" w:cstheme="majorBidi"/>
              </w:rPr>
              <w:t>;</w:t>
            </w:r>
          </w:p>
        </w:tc>
      </w:tr>
      <w:tr w:rsidR="004215B9" w:rsidRPr="00B83C53" w14:paraId="348B25EE" w14:textId="77777777" w:rsidTr="006201FD">
        <w:trPr>
          <w:cantSplit/>
        </w:trPr>
        <w:tc>
          <w:tcPr>
            <w:tcW w:w="9641" w:type="dxa"/>
            <w:gridSpan w:val="3"/>
            <w:tcBorders>
              <w:top w:val="nil"/>
              <w:bottom w:val="nil"/>
            </w:tcBorders>
          </w:tcPr>
          <w:p w14:paraId="2691703A" w14:textId="77777777" w:rsidR="004215B9" w:rsidRPr="00E7716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rPr>
            </w:pPr>
            <w:r w:rsidRPr="00B83C53">
              <w:rPr>
                <w:lang w:val="fr-FR"/>
              </w:rPr>
              <w:tab/>
            </w:r>
            <w:r w:rsidRPr="00E77163">
              <w:rPr>
                <w:rFonts w:asciiTheme="majorBidi" w:hAnsiTheme="majorBidi" w:cstheme="majorBidi"/>
              </w:rPr>
              <w:t>Carton rigide (50G).</w:t>
            </w:r>
          </w:p>
        </w:tc>
      </w:tr>
      <w:tr w:rsidR="004215B9" w:rsidRPr="00B83C53" w14:paraId="4577016E" w14:textId="77777777" w:rsidTr="006201FD">
        <w:trPr>
          <w:cantSplit/>
        </w:trPr>
        <w:tc>
          <w:tcPr>
            <w:tcW w:w="9641" w:type="dxa"/>
            <w:gridSpan w:val="3"/>
            <w:tcBorders>
              <w:top w:val="nil"/>
              <w:bottom w:val="nil"/>
            </w:tcBorders>
          </w:tcPr>
          <w:p w14:paraId="593AF287" w14:textId="05BDBDD3" w:rsidR="004215B9" w:rsidRPr="00E7716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rPr>
            </w:pPr>
            <w:r w:rsidRPr="00E77163">
              <w:rPr>
                <w:rFonts w:asciiTheme="majorBidi" w:hAnsiTheme="majorBidi" w:cstheme="majorBidi"/>
              </w:rPr>
              <w:t xml:space="preserve">Les </w:t>
            </w:r>
            <w:r w:rsidR="009F1284">
              <w:rPr>
                <w:rFonts w:asciiTheme="majorBidi" w:hAnsiTheme="majorBidi" w:cstheme="majorBidi"/>
              </w:rPr>
              <w:t xml:space="preserve">grands </w:t>
            </w:r>
            <w:r w:rsidRPr="00E77163">
              <w:rPr>
                <w:rFonts w:asciiTheme="majorBidi" w:hAnsiTheme="majorBidi" w:cstheme="majorBidi"/>
              </w:rPr>
              <w:t>emballages doivent également satisfa</w:t>
            </w:r>
            <w:r>
              <w:rPr>
                <w:rFonts w:asciiTheme="majorBidi" w:hAnsiTheme="majorBidi" w:cstheme="majorBidi"/>
              </w:rPr>
              <w:t>ire aux prescriptions suivantes</w:t>
            </w:r>
            <w:r w:rsidRPr="00E77163">
              <w:rPr>
                <w:rFonts w:asciiTheme="majorBidi" w:hAnsiTheme="majorBidi" w:cstheme="majorBidi"/>
              </w:rPr>
              <w:t>:</w:t>
            </w:r>
          </w:p>
        </w:tc>
      </w:tr>
      <w:tr w:rsidR="004215B9" w:rsidRPr="00B83C53" w14:paraId="74679699" w14:textId="77777777" w:rsidTr="006201FD">
        <w:trPr>
          <w:cantSplit/>
        </w:trPr>
        <w:tc>
          <w:tcPr>
            <w:tcW w:w="9641" w:type="dxa"/>
            <w:gridSpan w:val="3"/>
            <w:tcBorders>
              <w:top w:val="nil"/>
              <w:bottom w:val="nil"/>
            </w:tcBorders>
          </w:tcPr>
          <w:p w14:paraId="017EB161" w14:textId="6A37FC3A" w:rsidR="004215B9" w:rsidRPr="00E77163" w:rsidRDefault="004215B9" w:rsidP="008577B0">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E77163">
              <w:rPr>
                <w:rFonts w:asciiTheme="majorBidi" w:hAnsiTheme="majorBidi" w:cstheme="majorBidi"/>
                <w:bCs/>
              </w:rPr>
              <w:t>a)</w:t>
            </w:r>
            <w:r w:rsidRPr="00E77163">
              <w:rPr>
                <w:rFonts w:asciiTheme="majorBidi" w:hAnsiTheme="majorBidi" w:cstheme="majorBidi"/>
                <w:bCs/>
              </w:rPr>
              <w:tab/>
              <w:t xml:space="preserve">Une batterie de taille, forme ou masse différente </w:t>
            </w:r>
            <w:r w:rsidR="008577B0">
              <w:rPr>
                <w:rFonts w:asciiTheme="majorBidi" w:hAnsiTheme="majorBidi" w:cstheme="majorBidi"/>
              </w:rPr>
              <w:t>peut-être</w:t>
            </w:r>
            <w:r w:rsidRPr="00E77163">
              <w:rPr>
                <w:rFonts w:asciiTheme="majorBidi" w:hAnsiTheme="majorBidi" w:cstheme="majorBidi"/>
              </w:rPr>
              <w:t xml:space="preserve"> emballée dans un emballage extérieur de modèle type éprouvé indiqué ci-dessus à condition que la masse brute totale du colis ne dépasse pas la masse brute pour laquel</w:t>
            </w:r>
            <w:r>
              <w:rPr>
                <w:rFonts w:asciiTheme="majorBidi" w:hAnsiTheme="majorBidi" w:cstheme="majorBidi"/>
              </w:rPr>
              <w:t>le le modèle type a été éprouvé</w:t>
            </w:r>
            <w:r w:rsidRPr="00E77163">
              <w:rPr>
                <w:rFonts w:asciiTheme="majorBidi" w:hAnsiTheme="majorBidi" w:cstheme="majorBidi"/>
              </w:rPr>
              <w:t>;</w:t>
            </w:r>
          </w:p>
        </w:tc>
      </w:tr>
      <w:tr w:rsidR="004215B9" w:rsidRPr="00B83C53" w14:paraId="15A3F94B" w14:textId="77777777" w:rsidTr="006201FD">
        <w:trPr>
          <w:cantSplit/>
        </w:trPr>
        <w:tc>
          <w:tcPr>
            <w:tcW w:w="9641" w:type="dxa"/>
            <w:gridSpan w:val="3"/>
            <w:tcBorders>
              <w:top w:val="nil"/>
              <w:bottom w:val="nil"/>
            </w:tcBorders>
          </w:tcPr>
          <w:p w14:paraId="45096CE9" w14:textId="51DF7076" w:rsidR="004215B9" w:rsidRPr="00E77163"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E77163">
              <w:rPr>
                <w:rFonts w:asciiTheme="majorBidi" w:hAnsiTheme="majorBidi" w:cstheme="majorBidi"/>
              </w:rPr>
              <w:t>b)</w:t>
            </w:r>
            <w:r w:rsidRPr="00E77163">
              <w:rPr>
                <w:rFonts w:asciiTheme="majorBidi" w:hAnsiTheme="majorBidi" w:cstheme="majorBidi"/>
              </w:rPr>
              <w:tab/>
              <w:t xml:space="preserve">La </w:t>
            </w:r>
            <w:r w:rsidRPr="00E77163">
              <w:rPr>
                <w:rFonts w:asciiTheme="majorBidi" w:hAnsiTheme="majorBidi" w:cstheme="majorBidi"/>
                <w:bCs/>
              </w:rPr>
              <w:t>batterie</w:t>
            </w:r>
            <w:r w:rsidRPr="00E77163">
              <w:rPr>
                <w:rFonts w:asciiTheme="majorBidi" w:hAnsiTheme="majorBidi" w:cstheme="majorBidi"/>
              </w:rPr>
              <w:t xml:space="preserve"> est emballée dans un emballage intérieur placé à l’int</w:t>
            </w:r>
            <w:r w:rsidR="00DD1250">
              <w:rPr>
                <w:rFonts w:asciiTheme="majorBidi" w:hAnsiTheme="majorBidi" w:cstheme="majorBidi"/>
              </w:rPr>
              <w:t>érieur d’un emballage extérieur</w:t>
            </w:r>
            <w:r w:rsidRPr="00E77163">
              <w:rPr>
                <w:rFonts w:asciiTheme="majorBidi" w:hAnsiTheme="majorBidi" w:cstheme="majorBidi"/>
              </w:rPr>
              <w:t>;</w:t>
            </w:r>
          </w:p>
        </w:tc>
      </w:tr>
      <w:tr w:rsidR="004215B9" w:rsidRPr="00B83C53" w14:paraId="5610C4BB" w14:textId="77777777" w:rsidTr="006201FD">
        <w:trPr>
          <w:cantSplit/>
        </w:trPr>
        <w:tc>
          <w:tcPr>
            <w:tcW w:w="9641" w:type="dxa"/>
            <w:gridSpan w:val="3"/>
            <w:tcBorders>
              <w:top w:val="nil"/>
              <w:bottom w:val="nil"/>
            </w:tcBorders>
          </w:tcPr>
          <w:p w14:paraId="4E9F7322" w14:textId="77777777" w:rsidR="004215B9" w:rsidRPr="00B83C53"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E77163">
              <w:rPr>
                <w:rFonts w:asciiTheme="majorBidi" w:hAnsiTheme="majorBidi" w:cstheme="majorBidi"/>
                <w:bCs/>
              </w:rPr>
              <w:t>c)</w:t>
            </w:r>
            <w:r w:rsidRPr="00E77163">
              <w:rPr>
                <w:rFonts w:asciiTheme="majorBidi" w:hAnsiTheme="majorBidi" w:cstheme="majorBidi"/>
                <w:bCs/>
              </w:rPr>
              <w:tab/>
              <w:t>L’emballage</w:t>
            </w:r>
            <w:r w:rsidRPr="00B83C53">
              <w:rPr>
                <w:rFonts w:asciiTheme="majorBidi" w:hAnsiTheme="majorBidi" w:cstheme="majorBidi"/>
                <w:bCs/>
              </w:rPr>
              <w:t xml:space="preserve"> intérieur est entouré d’un matériau non combustible et non conducteur </w:t>
            </w:r>
            <w:r>
              <w:rPr>
                <w:rFonts w:asciiTheme="majorBidi" w:hAnsiTheme="majorBidi" w:cstheme="majorBidi"/>
              </w:rPr>
              <w:t>d’électricité</w:t>
            </w:r>
            <w:r w:rsidRPr="00B83C53">
              <w:rPr>
                <w:rFonts w:asciiTheme="majorBidi" w:hAnsiTheme="majorBidi" w:cstheme="majorBidi"/>
                <w:bCs/>
              </w:rPr>
              <w:t xml:space="preserve"> assurant une isolation thermique suffisante pour le protéger contre tout </w:t>
            </w:r>
            <w:r>
              <w:rPr>
                <w:rFonts w:asciiTheme="majorBidi" w:hAnsiTheme="majorBidi" w:cstheme="majorBidi"/>
                <w:bCs/>
              </w:rPr>
              <w:t>dégagement de chaleur dangereux</w:t>
            </w:r>
            <w:r w:rsidRPr="00B83C53">
              <w:rPr>
                <w:rFonts w:asciiTheme="majorBidi" w:hAnsiTheme="majorBidi" w:cstheme="majorBidi"/>
                <w:bCs/>
              </w:rPr>
              <w:t>;</w:t>
            </w:r>
          </w:p>
        </w:tc>
      </w:tr>
      <w:tr w:rsidR="004215B9" w:rsidRPr="00B83C53" w14:paraId="3899D482" w14:textId="77777777" w:rsidTr="006201FD">
        <w:trPr>
          <w:cantSplit/>
        </w:trPr>
        <w:tc>
          <w:tcPr>
            <w:tcW w:w="9641" w:type="dxa"/>
            <w:gridSpan w:val="3"/>
            <w:tcBorders>
              <w:top w:val="nil"/>
              <w:bottom w:val="nil"/>
            </w:tcBorders>
          </w:tcPr>
          <w:p w14:paraId="5C580A8E" w14:textId="7A2DCE66" w:rsidR="004215B9" w:rsidRPr="00E77163"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E77163">
              <w:rPr>
                <w:rFonts w:asciiTheme="majorBidi" w:hAnsiTheme="majorBidi" w:cstheme="majorBidi"/>
              </w:rPr>
              <w:t>d)</w:t>
            </w:r>
            <w:r w:rsidRPr="00E77163">
              <w:rPr>
                <w:rFonts w:asciiTheme="majorBidi" w:hAnsiTheme="majorBidi" w:cstheme="majorBidi"/>
              </w:rPr>
              <w:tab/>
              <w:t xml:space="preserve">Des mesures </w:t>
            </w:r>
            <w:r w:rsidRPr="00E77163">
              <w:rPr>
                <w:rFonts w:asciiTheme="majorBidi" w:hAnsiTheme="majorBidi" w:cstheme="majorBidi"/>
                <w:bCs/>
              </w:rPr>
              <w:t>appropriées</w:t>
            </w:r>
            <w:r w:rsidRPr="00E77163">
              <w:rPr>
                <w:rFonts w:asciiTheme="majorBidi" w:hAnsiTheme="majorBidi" w:cstheme="majorBidi"/>
              </w:rPr>
              <w:t xml:space="preserve"> sont prises pour protéger la batterie contre les vibrations et les chocs et empêcher tout déplacement de celle-ci à l’intérieur du colis susceptible de l’endommager et de rendre son transport dangereux. Lorsqu’un matériau de rembourrage est utilisé à ces fins, il doit être non combustible </w:t>
            </w:r>
            <w:r>
              <w:rPr>
                <w:rFonts w:asciiTheme="majorBidi" w:hAnsiTheme="majorBidi" w:cstheme="majorBidi"/>
              </w:rPr>
              <w:t>et non conducteur d’électricité</w:t>
            </w:r>
            <w:r w:rsidRPr="00E77163">
              <w:rPr>
                <w:rFonts w:asciiTheme="majorBidi" w:hAnsiTheme="majorBidi" w:cstheme="majorBidi"/>
              </w:rPr>
              <w:t>;</w:t>
            </w:r>
            <w:r w:rsidR="00722738">
              <w:rPr>
                <w:rFonts w:asciiTheme="majorBidi" w:hAnsiTheme="majorBidi" w:cstheme="majorBidi"/>
              </w:rPr>
              <w:t xml:space="preserve"> et</w:t>
            </w:r>
          </w:p>
        </w:tc>
      </w:tr>
      <w:tr w:rsidR="004215B9" w:rsidRPr="00B83C53" w14:paraId="71DFC586" w14:textId="77777777" w:rsidTr="006201FD">
        <w:trPr>
          <w:cantSplit/>
        </w:trPr>
        <w:tc>
          <w:tcPr>
            <w:tcW w:w="9641" w:type="dxa"/>
            <w:gridSpan w:val="3"/>
            <w:tcBorders>
              <w:top w:val="nil"/>
              <w:bottom w:val="nil"/>
            </w:tcBorders>
          </w:tcPr>
          <w:p w14:paraId="007A60CA" w14:textId="3469E5AE" w:rsidR="004215B9" w:rsidRPr="00E77163"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E77163">
              <w:rPr>
                <w:rFonts w:asciiTheme="majorBidi" w:hAnsiTheme="majorBidi" w:cstheme="majorBidi"/>
              </w:rPr>
              <w:t>e)</w:t>
            </w:r>
            <w:r w:rsidRPr="00E77163">
              <w:rPr>
                <w:rFonts w:asciiTheme="majorBidi" w:hAnsiTheme="majorBidi" w:cstheme="majorBidi"/>
              </w:rPr>
              <w:tab/>
              <w:t>La non-</w:t>
            </w:r>
            <w:r w:rsidRPr="00E77163">
              <w:rPr>
                <w:rFonts w:asciiTheme="majorBidi" w:hAnsiTheme="majorBidi" w:cstheme="majorBidi"/>
                <w:bCs/>
              </w:rPr>
              <w:t>combustibilité</w:t>
            </w:r>
            <w:r w:rsidRPr="00E77163">
              <w:rPr>
                <w:rFonts w:asciiTheme="majorBidi" w:hAnsiTheme="majorBidi" w:cstheme="majorBidi"/>
              </w:rPr>
              <w:t xml:space="preserve"> doit être évaluée conformément à une n</w:t>
            </w:r>
            <w:r w:rsidR="00FB04F3">
              <w:rPr>
                <w:rFonts w:asciiTheme="majorBidi" w:hAnsiTheme="majorBidi" w:cstheme="majorBidi"/>
              </w:rPr>
              <w:t xml:space="preserve">orme reconnue dans le pays où le grand </w:t>
            </w:r>
            <w:r w:rsidRPr="00E77163">
              <w:rPr>
                <w:rFonts w:asciiTheme="majorBidi" w:hAnsiTheme="majorBidi" w:cstheme="majorBidi"/>
              </w:rPr>
              <w:t>emballage est conçu ou fabriqué.</w:t>
            </w:r>
          </w:p>
        </w:tc>
      </w:tr>
      <w:tr w:rsidR="004215B9" w:rsidRPr="00B83C53" w14:paraId="76DD915A" w14:textId="77777777" w:rsidTr="006201FD">
        <w:trPr>
          <w:cantSplit/>
        </w:trPr>
        <w:tc>
          <w:tcPr>
            <w:tcW w:w="9641" w:type="dxa"/>
            <w:gridSpan w:val="3"/>
            <w:tcBorders>
              <w:top w:val="nil"/>
              <w:bottom w:val="nil"/>
            </w:tcBorders>
          </w:tcPr>
          <w:p w14:paraId="30A9A2F6" w14:textId="4DACD437" w:rsidR="004215B9" w:rsidRPr="00B83C53" w:rsidRDefault="004215B9" w:rsidP="006201FD">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rPr>
                <w:lang w:val="fr-FR"/>
              </w:rPr>
            </w:pPr>
            <w:r w:rsidRPr="00E77163">
              <w:rPr>
                <w:rFonts w:asciiTheme="majorBidi" w:hAnsiTheme="majorBidi" w:cstheme="majorBidi"/>
              </w:rPr>
              <w:t>2)</w:t>
            </w:r>
            <w:r w:rsidRPr="00E77163">
              <w:rPr>
                <w:rFonts w:asciiTheme="majorBidi" w:hAnsiTheme="majorBidi" w:cstheme="majorBidi"/>
              </w:rPr>
              <w:tab/>
              <w:t xml:space="preserve">Pour </w:t>
            </w:r>
            <w:r>
              <w:rPr>
                <w:rFonts w:asciiTheme="majorBidi" w:hAnsiTheme="majorBidi" w:cstheme="majorBidi"/>
              </w:rPr>
              <w:t>des piles ou des batteries contenues dans un seul équipement</w:t>
            </w:r>
            <w:r w:rsidR="00722738">
              <w:rPr>
                <w:rFonts w:asciiTheme="majorBidi" w:hAnsiTheme="majorBidi" w:cstheme="majorBidi"/>
              </w:rPr>
              <w:t>:</w:t>
            </w:r>
          </w:p>
        </w:tc>
      </w:tr>
      <w:tr w:rsidR="004215B9" w:rsidRPr="00B83C53" w14:paraId="7A178444" w14:textId="77777777" w:rsidTr="006201FD">
        <w:trPr>
          <w:cantSplit/>
        </w:trPr>
        <w:tc>
          <w:tcPr>
            <w:tcW w:w="9641" w:type="dxa"/>
            <w:gridSpan w:val="3"/>
            <w:tcBorders>
              <w:top w:val="nil"/>
              <w:bottom w:val="nil"/>
            </w:tcBorders>
          </w:tcPr>
          <w:p w14:paraId="2D1E2FAB" w14:textId="77777777" w:rsidR="004215B9" w:rsidRPr="00B83C53" w:rsidRDefault="004215B9" w:rsidP="006201FD">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rPr>
                <w:lang w:val="fr-FR"/>
              </w:rPr>
            </w:pPr>
            <w:r w:rsidRPr="00B83C53">
              <w:rPr>
                <w:lang w:val="fr-FR"/>
              </w:rPr>
              <w:tab/>
            </w:r>
            <w:r w:rsidRPr="00E77163">
              <w:rPr>
                <w:rFonts w:asciiTheme="majorBidi" w:hAnsiTheme="majorBidi" w:cstheme="majorBidi"/>
              </w:rPr>
              <w:t xml:space="preserve">Grands emballages rigides satisfaisant au niveau d’épreuve du groupe d’emballage </w:t>
            </w:r>
            <w:r>
              <w:rPr>
                <w:rFonts w:asciiTheme="majorBidi" w:hAnsiTheme="majorBidi" w:cstheme="majorBidi"/>
              </w:rPr>
              <w:t>II, en</w:t>
            </w:r>
            <w:r w:rsidRPr="00E77163">
              <w:rPr>
                <w:rFonts w:asciiTheme="majorBidi" w:hAnsiTheme="majorBidi" w:cstheme="majorBidi"/>
              </w:rPr>
              <w:t>:</w:t>
            </w:r>
          </w:p>
        </w:tc>
      </w:tr>
      <w:tr w:rsidR="004215B9" w:rsidRPr="00B83C53" w14:paraId="1705DCDC" w14:textId="77777777" w:rsidTr="006201FD">
        <w:trPr>
          <w:cantSplit/>
        </w:trPr>
        <w:tc>
          <w:tcPr>
            <w:tcW w:w="9641" w:type="dxa"/>
            <w:gridSpan w:val="3"/>
            <w:tcBorders>
              <w:top w:val="nil"/>
              <w:bottom w:val="nil"/>
            </w:tcBorders>
          </w:tcPr>
          <w:p w14:paraId="733A1A0A" w14:textId="77777777"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Pr>
                <w:lang w:val="fr-FR"/>
              </w:rPr>
              <w:tab/>
              <w:t>Acier (50A)</w:t>
            </w:r>
            <w:r w:rsidRPr="00B83C53">
              <w:rPr>
                <w:lang w:val="fr-FR"/>
              </w:rPr>
              <w:t>;</w:t>
            </w:r>
          </w:p>
        </w:tc>
      </w:tr>
      <w:tr w:rsidR="004215B9" w:rsidRPr="00B83C53" w14:paraId="4CB37A62" w14:textId="77777777" w:rsidTr="006201FD">
        <w:trPr>
          <w:cantSplit/>
        </w:trPr>
        <w:tc>
          <w:tcPr>
            <w:tcW w:w="9641" w:type="dxa"/>
            <w:gridSpan w:val="3"/>
            <w:tcBorders>
              <w:top w:val="nil"/>
              <w:bottom w:val="nil"/>
            </w:tcBorders>
          </w:tcPr>
          <w:p w14:paraId="56F694B3" w14:textId="77777777"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Pr>
                <w:rFonts w:asciiTheme="majorBidi" w:hAnsiTheme="majorBidi" w:cstheme="majorBidi"/>
              </w:rPr>
              <w:t>Aluminium (50B)</w:t>
            </w:r>
            <w:r w:rsidRPr="00E77163">
              <w:rPr>
                <w:rFonts w:asciiTheme="majorBidi" w:hAnsiTheme="majorBidi" w:cstheme="majorBidi"/>
              </w:rPr>
              <w:t>;</w:t>
            </w:r>
          </w:p>
        </w:tc>
      </w:tr>
      <w:tr w:rsidR="004215B9" w:rsidRPr="00B83C53" w14:paraId="499C994B" w14:textId="77777777" w:rsidTr="006201FD">
        <w:trPr>
          <w:cantSplit/>
        </w:trPr>
        <w:tc>
          <w:tcPr>
            <w:tcW w:w="9641" w:type="dxa"/>
            <w:gridSpan w:val="3"/>
            <w:tcBorders>
              <w:top w:val="nil"/>
              <w:bottom w:val="nil"/>
            </w:tcBorders>
          </w:tcPr>
          <w:p w14:paraId="1C6AD5E6" w14:textId="77777777"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Pr="00E77163">
              <w:rPr>
                <w:rFonts w:asciiTheme="majorBidi" w:hAnsiTheme="majorBidi" w:cstheme="majorBidi"/>
              </w:rPr>
              <w:t>Métal autre q</w:t>
            </w:r>
            <w:r>
              <w:rPr>
                <w:rFonts w:asciiTheme="majorBidi" w:hAnsiTheme="majorBidi" w:cstheme="majorBidi"/>
              </w:rPr>
              <w:t>ue l’acier et l’aluminium (50N)</w:t>
            </w:r>
            <w:r w:rsidRPr="00E77163">
              <w:rPr>
                <w:rFonts w:asciiTheme="majorBidi" w:hAnsiTheme="majorBidi" w:cstheme="majorBidi"/>
              </w:rPr>
              <w:t>;</w:t>
            </w:r>
          </w:p>
        </w:tc>
      </w:tr>
      <w:tr w:rsidR="004215B9" w:rsidRPr="00B83C53" w14:paraId="15C79DCE" w14:textId="77777777" w:rsidTr="006201FD">
        <w:trPr>
          <w:cantSplit/>
        </w:trPr>
        <w:tc>
          <w:tcPr>
            <w:tcW w:w="9641" w:type="dxa"/>
            <w:gridSpan w:val="3"/>
            <w:tcBorders>
              <w:top w:val="nil"/>
              <w:bottom w:val="nil"/>
            </w:tcBorders>
          </w:tcPr>
          <w:p w14:paraId="17B1A9B1" w14:textId="77777777"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Pr>
                <w:rFonts w:asciiTheme="majorBidi" w:hAnsiTheme="majorBidi" w:cstheme="majorBidi"/>
              </w:rPr>
              <w:t>Plastique rigide (50H)</w:t>
            </w:r>
            <w:r w:rsidRPr="00E77163">
              <w:rPr>
                <w:rFonts w:asciiTheme="majorBidi" w:hAnsiTheme="majorBidi" w:cstheme="majorBidi"/>
              </w:rPr>
              <w:t>;</w:t>
            </w:r>
          </w:p>
        </w:tc>
      </w:tr>
      <w:tr w:rsidR="004215B9" w:rsidRPr="00B83C53" w14:paraId="0FAEC18B" w14:textId="77777777" w:rsidTr="006201FD">
        <w:trPr>
          <w:cantSplit/>
        </w:trPr>
        <w:tc>
          <w:tcPr>
            <w:tcW w:w="9641" w:type="dxa"/>
            <w:gridSpan w:val="3"/>
            <w:tcBorders>
              <w:top w:val="nil"/>
              <w:bottom w:val="nil"/>
            </w:tcBorders>
          </w:tcPr>
          <w:p w14:paraId="25FDABA6" w14:textId="4BFBE6C2" w:rsidR="004215B9" w:rsidRPr="00B83C53" w:rsidRDefault="004215B9" w:rsidP="00086498">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Pr>
                <w:rFonts w:asciiTheme="majorBidi" w:hAnsiTheme="majorBidi" w:cstheme="majorBidi"/>
              </w:rPr>
              <w:t xml:space="preserve">Bois </w:t>
            </w:r>
            <w:r w:rsidR="00086498">
              <w:rPr>
                <w:rFonts w:asciiTheme="majorBidi" w:hAnsiTheme="majorBidi" w:cstheme="majorBidi"/>
              </w:rPr>
              <w:t xml:space="preserve">naturel </w:t>
            </w:r>
            <w:r>
              <w:rPr>
                <w:rFonts w:asciiTheme="majorBidi" w:hAnsiTheme="majorBidi" w:cstheme="majorBidi"/>
              </w:rPr>
              <w:t>(50C)</w:t>
            </w:r>
            <w:r w:rsidRPr="00E77163">
              <w:rPr>
                <w:rFonts w:asciiTheme="majorBidi" w:hAnsiTheme="majorBidi" w:cstheme="majorBidi"/>
              </w:rPr>
              <w:t>;</w:t>
            </w:r>
          </w:p>
        </w:tc>
      </w:tr>
      <w:tr w:rsidR="004215B9" w:rsidRPr="00B83C53" w14:paraId="4764105E" w14:textId="77777777" w:rsidTr="006201FD">
        <w:trPr>
          <w:cantSplit/>
        </w:trPr>
        <w:tc>
          <w:tcPr>
            <w:tcW w:w="9641" w:type="dxa"/>
            <w:gridSpan w:val="3"/>
            <w:tcBorders>
              <w:top w:val="nil"/>
              <w:bottom w:val="nil"/>
            </w:tcBorders>
          </w:tcPr>
          <w:p w14:paraId="3E43BADA" w14:textId="77777777"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Pr>
                <w:rFonts w:asciiTheme="majorBidi" w:hAnsiTheme="majorBidi" w:cstheme="majorBidi"/>
              </w:rPr>
              <w:t>Contreplaqué (50D)</w:t>
            </w:r>
            <w:r w:rsidRPr="00E77163">
              <w:rPr>
                <w:rFonts w:asciiTheme="majorBidi" w:hAnsiTheme="majorBidi" w:cstheme="majorBidi"/>
              </w:rPr>
              <w:t>;</w:t>
            </w:r>
          </w:p>
        </w:tc>
      </w:tr>
      <w:tr w:rsidR="004215B9" w:rsidRPr="00B83C53" w14:paraId="4EA877AC" w14:textId="77777777" w:rsidTr="006201FD">
        <w:trPr>
          <w:cantSplit/>
        </w:trPr>
        <w:tc>
          <w:tcPr>
            <w:tcW w:w="9641" w:type="dxa"/>
            <w:gridSpan w:val="3"/>
            <w:tcBorders>
              <w:top w:val="nil"/>
              <w:bottom w:val="nil"/>
            </w:tcBorders>
          </w:tcPr>
          <w:p w14:paraId="64D4B173" w14:textId="77777777"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Pr>
                <w:rFonts w:asciiTheme="majorBidi" w:hAnsiTheme="majorBidi" w:cstheme="majorBidi"/>
              </w:rPr>
              <w:t>Bois reconstitué (50F)</w:t>
            </w:r>
            <w:r w:rsidRPr="00E77163">
              <w:rPr>
                <w:rFonts w:asciiTheme="majorBidi" w:hAnsiTheme="majorBidi" w:cstheme="majorBidi"/>
              </w:rPr>
              <w:t>;</w:t>
            </w:r>
          </w:p>
        </w:tc>
      </w:tr>
      <w:tr w:rsidR="004215B9" w:rsidRPr="00B83C53" w14:paraId="1E04DC35" w14:textId="77777777" w:rsidTr="006201FD">
        <w:trPr>
          <w:cantSplit/>
        </w:trPr>
        <w:tc>
          <w:tcPr>
            <w:tcW w:w="9641" w:type="dxa"/>
            <w:gridSpan w:val="3"/>
            <w:tcBorders>
              <w:top w:val="nil"/>
              <w:bottom w:val="nil"/>
            </w:tcBorders>
          </w:tcPr>
          <w:p w14:paraId="3003D4BB" w14:textId="77777777"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t>Carton rigide (50G).</w:t>
            </w:r>
          </w:p>
        </w:tc>
      </w:tr>
      <w:tr w:rsidR="004215B9" w:rsidRPr="00B83C53" w14:paraId="50C6CA61" w14:textId="77777777" w:rsidTr="006201FD">
        <w:trPr>
          <w:cantSplit/>
        </w:trPr>
        <w:tc>
          <w:tcPr>
            <w:tcW w:w="9641" w:type="dxa"/>
            <w:gridSpan w:val="3"/>
            <w:tcBorders>
              <w:top w:val="nil"/>
              <w:bottom w:val="nil"/>
            </w:tcBorders>
          </w:tcPr>
          <w:p w14:paraId="3B80A1AA" w14:textId="315EAC94"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E77163">
              <w:rPr>
                <w:rFonts w:asciiTheme="majorBidi" w:hAnsiTheme="majorBidi" w:cstheme="majorBidi"/>
              </w:rPr>
              <w:t xml:space="preserve">Les </w:t>
            </w:r>
            <w:r w:rsidR="009F1284">
              <w:rPr>
                <w:rFonts w:asciiTheme="majorBidi" w:hAnsiTheme="majorBidi" w:cstheme="majorBidi"/>
              </w:rPr>
              <w:t xml:space="preserve">grands </w:t>
            </w:r>
            <w:r w:rsidRPr="00E77163">
              <w:rPr>
                <w:rFonts w:asciiTheme="majorBidi" w:hAnsiTheme="majorBidi" w:cstheme="majorBidi"/>
              </w:rPr>
              <w:t>emballages doivent également satisfa</w:t>
            </w:r>
            <w:r>
              <w:rPr>
                <w:rFonts w:asciiTheme="majorBidi" w:hAnsiTheme="majorBidi" w:cstheme="majorBidi"/>
              </w:rPr>
              <w:t>ire aux prescriptions suivantes</w:t>
            </w:r>
            <w:r w:rsidRPr="00E77163">
              <w:rPr>
                <w:rFonts w:asciiTheme="majorBidi" w:hAnsiTheme="majorBidi" w:cstheme="majorBidi"/>
              </w:rPr>
              <w:t>:</w:t>
            </w:r>
          </w:p>
        </w:tc>
      </w:tr>
      <w:tr w:rsidR="004215B9" w:rsidRPr="00A6613C" w14:paraId="6841F513" w14:textId="77777777" w:rsidTr="006201FD">
        <w:trPr>
          <w:cantSplit/>
        </w:trPr>
        <w:tc>
          <w:tcPr>
            <w:tcW w:w="9641" w:type="dxa"/>
            <w:gridSpan w:val="3"/>
            <w:tcBorders>
              <w:top w:val="nil"/>
              <w:bottom w:val="nil"/>
            </w:tcBorders>
          </w:tcPr>
          <w:p w14:paraId="754EB9FC" w14:textId="77777777" w:rsidR="004215B9" w:rsidRPr="00A6613C"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A6613C">
              <w:rPr>
                <w:rFonts w:asciiTheme="majorBidi" w:hAnsiTheme="majorBidi" w:cstheme="majorBidi"/>
                <w:bCs/>
              </w:rPr>
              <w:t>a)</w:t>
            </w:r>
            <w:r w:rsidRPr="00A6613C">
              <w:rPr>
                <w:rFonts w:asciiTheme="majorBidi" w:hAnsiTheme="majorBidi" w:cstheme="majorBidi"/>
                <w:bCs/>
              </w:rPr>
              <w:tab/>
              <w:t>Un équipement de taille, forme ou masse différente est emballé dans un emballage extérieur de modèle type éprouvé indiqué ci-dessus à condition que la masse brute totale du colis ne dépasse pas la masse brute pour laquel</w:t>
            </w:r>
            <w:r>
              <w:rPr>
                <w:rFonts w:asciiTheme="majorBidi" w:hAnsiTheme="majorBidi" w:cstheme="majorBidi"/>
                <w:bCs/>
              </w:rPr>
              <w:t>le le modèle type a été éprouvé</w:t>
            </w:r>
            <w:r w:rsidRPr="00A6613C">
              <w:rPr>
                <w:rFonts w:asciiTheme="majorBidi" w:hAnsiTheme="majorBidi" w:cstheme="majorBidi"/>
                <w:bCs/>
              </w:rPr>
              <w:t>;</w:t>
            </w:r>
          </w:p>
        </w:tc>
      </w:tr>
      <w:tr w:rsidR="004215B9" w:rsidRPr="00A6613C" w14:paraId="221216BA" w14:textId="77777777" w:rsidTr="006201FD">
        <w:trPr>
          <w:cantSplit/>
        </w:trPr>
        <w:tc>
          <w:tcPr>
            <w:tcW w:w="9641" w:type="dxa"/>
            <w:gridSpan w:val="3"/>
            <w:tcBorders>
              <w:top w:val="nil"/>
              <w:bottom w:val="nil"/>
            </w:tcBorders>
          </w:tcPr>
          <w:p w14:paraId="4563D5E9" w14:textId="77777777" w:rsidR="004215B9" w:rsidRPr="00A6613C"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E77163">
              <w:rPr>
                <w:rFonts w:asciiTheme="majorBidi" w:hAnsiTheme="majorBidi" w:cstheme="majorBidi"/>
              </w:rPr>
              <w:t>b)</w:t>
            </w:r>
            <w:r w:rsidRPr="00E77163">
              <w:rPr>
                <w:rFonts w:asciiTheme="majorBidi" w:hAnsiTheme="majorBidi" w:cstheme="majorBidi"/>
              </w:rPr>
              <w:tab/>
              <w:t>L’équipement est construit ou emballé de manière à empêcher tout fonctionnement a</w:t>
            </w:r>
            <w:r>
              <w:rPr>
                <w:rFonts w:asciiTheme="majorBidi" w:hAnsiTheme="majorBidi" w:cstheme="majorBidi"/>
              </w:rPr>
              <w:t>ccidentel au cours du transport</w:t>
            </w:r>
            <w:r w:rsidRPr="00E77163">
              <w:rPr>
                <w:rFonts w:asciiTheme="majorBidi" w:hAnsiTheme="majorBidi" w:cstheme="majorBidi"/>
              </w:rPr>
              <w:t>;</w:t>
            </w:r>
          </w:p>
        </w:tc>
      </w:tr>
      <w:tr w:rsidR="004215B9" w:rsidRPr="00A6613C" w14:paraId="03150AC7" w14:textId="77777777" w:rsidTr="006201FD">
        <w:trPr>
          <w:cantSplit/>
        </w:trPr>
        <w:tc>
          <w:tcPr>
            <w:tcW w:w="9641" w:type="dxa"/>
            <w:gridSpan w:val="3"/>
            <w:tcBorders>
              <w:top w:val="nil"/>
              <w:bottom w:val="nil"/>
            </w:tcBorders>
          </w:tcPr>
          <w:p w14:paraId="2AFE9133" w14:textId="72FCFF27" w:rsidR="004215B9" w:rsidRPr="00E77163"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E77163">
              <w:rPr>
                <w:rFonts w:asciiTheme="majorBidi" w:hAnsiTheme="majorBidi" w:cstheme="majorBidi"/>
              </w:rPr>
              <w:t>c)</w:t>
            </w:r>
            <w:r w:rsidRPr="00E77163">
              <w:rPr>
                <w:rFonts w:asciiTheme="majorBidi" w:hAnsiTheme="majorBidi" w:cstheme="majorBidi"/>
              </w:rPr>
              <w:tab/>
              <w:t>Des mesures appropriées sont prises pour protéger l’équipement contre les vibrations et les chocs et empêcher tout déplacement de celui-ci à l’intérieur du colis susceptible de l’endommager et de rendre son transport dangereux. Lorsqu’un matériau de rembourrage est utilisé à ces fins, il doit être non combustible et non conducteur d’électrici</w:t>
            </w:r>
            <w:r>
              <w:rPr>
                <w:rFonts w:asciiTheme="majorBidi" w:hAnsiTheme="majorBidi" w:cstheme="majorBidi"/>
              </w:rPr>
              <w:t>té</w:t>
            </w:r>
            <w:r w:rsidRPr="00E77163">
              <w:rPr>
                <w:rFonts w:asciiTheme="majorBidi" w:hAnsiTheme="majorBidi" w:cstheme="majorBidi"/>
              </w:rPr>
              <w:t>;</w:t>
            </w:r>
            <w:r w:rsidR="00E2037A">
              <w:rPr>
                <w:rFonts w:asciiTheme="majorBidi" w:hAnsiTheme="majorBidi" w:cstheme="majorBidi"/>
              </w:rPr>
              <w:t xml:space="preserve"> et</w:t>
            </w:r>
          </w:p>
        </w:tc>
      </w:tr>
      <w:tr w:rsidR="004215B9" w:rsidRPr="00B83C53" w14:paraId="31F4113E" w14:textId="77777777" w:rsidTr="006201FD">
        <w:trPr>
          <w:cantSplit/>
        </w:trPr>
        <w:tc>
          <w:tcPr>
            <w:tcW w:w="9641" w:type="dxa"/>
            <w:gridSpan w:val="3"/>
            <w:tcBorders>
              <w:top w:val="nil"/>
              <w:bottom w:val="single" w:sz="6" w:space="0" w:color="auto"/>
            </w:tcBorders>
          </w:tcPr>
          <w:p w14:paraId="594B1F13" w14:textId="3A497D29" w:rsidR="004215B9" w:rsidRPr="00E77163"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E77163">
              <w:rPr>
                <w:rFonts w:asciiTheme="majorBidi" w:hAnsiTheme="majorBidi" w:cstheme="majorBidi"/>
              </w:rPr>
              <w:lastRenderedPageBreak/>
              <w:t>d)</w:t>
            </w:r>
            <w:r w:rsidRPr="00E77163">
              <w:rPr>
                <w:rFonts w:asciiTheme="majorBidi" w:hAnsiTheme="majorBidi" w:cstheme="majorBidi"/>
              </w:rPr>
              <w:tab/>
              <w:t>La non-combustibilité doit être évaluée conformément à une n</w:t>
            </w:r>
            <w:r w:rsidR="009F1284">
              <w:rPr>
                <w:rFonts w:asciiTheme="majorBidi" w:hAnsiTheme="majorBidi" w:cstheme="majorBidi"/>
              </w:rPr>
              <w:t xml:space="preserve">orme reconnue dans le pays où le grand </w:t>
            </w:r>
            <w:r w:rsidRPr="00E77163">
              <w:rPr>
                <w:rFonts w:asciiTheme="majorBidi" w:hAnsiTheme="majorBidi" w:cstheme="majorBidi"/>
              </w:rPr>
              <w:t>emballage est conçu ou fabriqué.</w:t>
            </w:r>
          </w:p>
        </w:tc>
      </w:tr>
      <w:tr w:rsidR="004215B9" w:rsidRPr="00B83C53" w14:paraId="53F40B39" w14:textId="77777777" w:rsidTr="006201FD">
        <w:trPr>
          <w:cantSplit/>
        </w:trPr>
        <w:tc>
          <w:tcPr>
            <w:tcW w:w="9641" w:type="dxa"/>
            <w:gridSpan w:val="3"/>
            <w:tcBorders>
              <w:top w:val="single" w:sz="6" w:space="0" w:color="auto"/>
              <w:bottom w:val="nil"/>
            </w:tcBorders>
          </w:tcPr>
          <w:p w14:paraId="7B46533B" w14:textId="77777777" w:rsidR="004215B9" w:rsidRPr="00B83C53"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b/>
                <w:lang w:val="fr-FR"/>
              </w:rPr>
            </w:pPr>
            <w:r w:rsidRPr="00B83C53">
              <w:rPr>
                <w:b/>
                <w:lang w:val="fr-FR"/>
              </w:rPr>
              <w:t>Disposition supplémentaire:</w:t>
            </w:r>
          </w:p>
        </w:tc>
      </w:tr>
      <w:tr w:rsidR="004215B9" w:rsidRPr="00B83C53" w14:paraId="6C3B2F5B" w14:textId="77777777" w:rsidTr="006201FD">
        <w:trPr>
          <w:cantSplit/>
        </w:trPr>
        <w:tc>
          <w:tcPr>
            <w:tcW w:w="9641" w:type="dxa"/>
            <w:gridSpan w:val="3"/>
            <w:tcBorders>
              <w:top w:val="nil"/>
              <w:bottom w:val="single" w:sz="6" w:space="0" w:color="auto"/>
            </w:tcBorders>
          </w:tcPr>
          <w:p w14:paraId="545F6F3C" w14:textId="780B9F43" w:rsidR="004215B9" w:rsidRPr="00B83C53" w:rsidRDefault="004215B9" w:rsidP="009F1284">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rsidRPr="00E77163">
              <w:rPr>
                <w:rFonts w:asciiTheme="majorBidi" w:hAnsiTheme="majorBidi" w:cstheme="majorBidi"/>
              </w:rPr>
              <w:t xml:space="preserve">Les piles </w:t>
            </w:r>
            <w:r w:rsidR="009F1284" w:rsidRPr="00E77163">
              <w:rPr>
                <w:rFonts w:asciiTheme="majorBidi" w:hAnsiTheme="majorBidi" w:cstheme="majorBidi"/>
              </w:rPr>
              <w:t xml:space="preserve">et batteries </w:t>
            </w:r>
            <w:r w:rsidRPr="00E77163">
              <w:rPr>
                <w:rFonts w:asciiTheme="majorBidi" w:hAnsiTheme="majorBidi" w:cstheme="majorBidi"/>
              </w:rPr>
              <w:t xml:space="preserve">doivent être protégées contre les </w:t>
            </w:r>
            <w:proofErr w:type="spellStart"/>
            <w:r w:rsidRPr="00E77163">
              <w:rPr>
                <w:rFonts w:asciiTheme="majorBidi" w:hAnsiTheme="majorBidi" w:cstheme="majorBidi"/>
              </w:rPr>
              <w:t>courts-circuits</w:t>
            </w:r>
            <w:proofErr w:type="spellEnd"/>
            <w:r w:rsidRPr="00E77163">
              <w:rPr>
                <w:rFonts w:asciiTheme="majorBidi" w:hAnsiTheme="majorBidi" w:cstheme="majorBidi"/>
              </w:rPr>
              <w:t>.</w:t>
            </w:r>
          </w:p>
        </w:tc>
      </w:tr>
    </w:tbl>
    <w:p w14:paraId="20B46D0B" w14:textId="77777777" w:rsidR="00E93B06" w:rsidRDefault="00E93B06" w:rsidP="0074245A">
      <w:pPr>
        <w:pStyle w:val="SingleTxtG"/>
        <w:spacing w:before="120"/>
      </w:pPr>
      <w:r>
        <w:t>4.1.4.3</w:t>
      </w:r>
      <w:r>
        <w:tab/>
      </w:r>
      <w:r>
        <w:tab/>
        <w:t>Ajouter la nouvelle instruction d’emballage LP906 suivante:</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E93B06" w:rsidRPr="00EE1565" w14:paraId="2BA9C344" w14:textId="77777777" w:rsidTr="006201FD">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44C8056E"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Pr>
                <w:b/>
                <w:lang w:val="fr-FR"/>
              </w:rPr>
              <w:t>LP906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48851CE9"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EE1565">
              <w:rPr>
                <w:b/>
                <w:iCs/>
                <w:lang w:val="fr-FR"/>
              </w:rPr>
              <w:t>INSTRUCTION D’EMBALLAGE</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5B2E937"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Pr>
                <w:b/>
                <w:iCs/>
                <w:lang w:val="fr-FR"/>
              </w:rPr>
              <w:t>LP906</w:t>
            </w:r>
          </w:p>
        </w:tc>
      </w:tr>
      <w:tr w:rsidR="00E93B06" w:rsidRPr="00EE1565" w14:paraId="74D66A5A" w14:textId="77777777" w:rsidTr="006201FD">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B4CAD7" w14:textId="018754E4" w:rsidR="00E93B06" w:rsidRPr="00EE1565" w:rsidRDefault="00E93B06" w:rsidP="00753744">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1C32A7">
              <w:t xml:space="preserve">Cette instruction s’applique aux batteries endommagées ou défectueuses </w:t>
            </w:r>
            <w:proofErr w:type="spellStart"/>
            <w:r w:rsidRPr="001C32A7">
              <w:t>des</w:t>
            </w:r>
            <w:proofErr w:type="spellEnd"/>
            <w:r w:rsidRPr="001C32A7">
              <w:t xml:space="preserve"> Nos ONU 3090, 3091, 3480 et 3481, </w:t>
            </w:r>
            <w:r>
              <w:t>emballées individuellement,</w:t>
            </w:r>
            <w:r w:rsidRPr="00EE1565">
              <w:rPr>
                <w:iCs/>
                <w:lang w:val="fr-FR"/>
              </w:rPr>
              <w:t xml:space="preserve"> </w:t>
            </w:r>
            <w:r w:rsidRPr="00484762">
              <w:rPr>
                <w:lang w:val="fr-FR"/>
              </w:rPr>
              <w:t>susceptibles de se démonter rapidement, de réagir dangereusement, de produire une flamme ou un dangereux dégagement de chaleur ou une émission de gaz ou de vapeur toxiques, corrosifs ou inflammables, dans les conditions normales de transport</w:t>
            </w:r>
            <w:r>
              <w:rPr>
                <w:lang w:val="fr-FR"/>
              </w:rPr>
              <w:t>.</w:t>
            </w:r>
          </w:p>
        </w:tc>
      </w:tr>
      <w:tr w:rsidR="00E93B06" w:rsidRPr="00EE1565" w14:paraId="7E284E06" w14:textId="77777777" w:rsidTr="006201FD">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0BAED23"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EE1565">
              <w:rPr>
                <w:iCs/>
                <w:lang w:val="fr-FR"/>
              </w:rPr>
              <w:t xml:space="preserve">Les </w:t>
            </w:r>
            <w:r>
              <w:rPr>
                <w:iCs/>
                <w:lang w:val="fr-FR"/>
              </w:rPr>
              <w:t xml:space="preserve">grands </w:t>
            </w:r>
            <w:r w:rsidRPr="00EE1565">
              <w:rPr>
                <w:iCs/>
                <w:lang w:val="fr-FR"/>
              </w:rPr>
              <w:t>emballages suivants sont autorisés s’il est satisfait aux dispositions générales des sections </w:t>
            </w:r>
            <w:r w:rsidRPr="00EE1565">
              <w:rPr>
                <w:b/>
                <w:iCs/>
                <w:lang w:val="fr-FR"/>
              </w:rPr>
              <w:t>4.1.1</w:t>
            </w:r>
            <w:r w:rsidRPr="00EE1565">
              <w:rPr>
                <w:iCs/>
                <w:lang w:val="fr-FR"/>
              </w:rPr>
              <w:t xml:space="preserve"> et </w:t>
            </w:r>
            <w:r w:rsidRPr="00EE1565">
              <w:rPr>
                <w:b/>
                <w:iCs/>
                <w:lang w:val="fr-FR"/>
              </w:rPr>
              <w:t>4.1.3</w:t>
            </w:r>
            <w:r w:rsidRPr="00EE1565">
              <w:rPr>
                <w:iCs/>
                <w:lang w:val="fr-FR"/>
              </w:rPr>
              <w:t>:</w:t>
            </w:r>
          </w:p>
        </w:tc>
      </w:tr>
      <w:tr w:rsidR="00E93B06" w:rsidRPr="00EE1565" w14:paraId="7F7079F7" w14:textId="77777777" w:rsidTr="006201FD">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B46351D" w14:textId="4A77F20D" w:rsidR="00E93B06" w:rsidRPr="00EE1565" w:rsidRDefault="00E93B06" w:rsidP="00753744">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EE1565">
              <w:rPr>
                <w:bCs/>
                <w:iCs/>
                <w:lang w:val="fr-FR"/>
              </w:rPr>
              <w:t>Pour les batteries</w:t>
            </w:r>
            <w:r w:rsidR="00753744">
              <w:rPr>
                <w:bCs/>
                <w:iCs/>
                <w:lang w:val="fr-FR"/>
              </w:rPr>
              <w:t xml:space="preserve"> emballées individuellement</w:t>
            </w:r>
            <w:r w:rsidRPr="00EE1565">
              <w:rPr>
                <w:bCs/>
                <w:iCs/>
                <w:lang w:val="fr-FR"/>
              </w:rPr>
              <w:t xml:space="preserve"> et pour les </w:t>
            </w:r>
            <w:r w:rsidR="00753744">
              <w:rPr>
                <w:bCs/>
                <w:iCs/>
                <w:lang w:val="fr-FR"/>
              </w:rPr>
              <w:t>batteries contenues dans un seul équipement</w:t>
            </w:r>
            <w:r w:rsidRPr="00EE1565">
              <w:rPr>
                <w:bCs/>
                <w:iCs/>
                <w:lang w:val="fr-FR"/>
              </w:rPr>
              <w:t xml:space="preserve">: </w:t>
            </w:r>
          </w:p>
        </w:tc>
      </w:tr>
      <w:tr w:rsidR="00290141" w:rsidRPr="00EE1565" w14:paraId="4B29EB9D" w14:textId="77777777" w:rsidTr="006201FD">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14:paraId="5CDDFC6E" w14:textId="27178C53" w:rsidR="00290141" w:rsidRPr="00EE1565" w:rsidRDefault="00290141"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Cs/>
                <w:iCs/>
                <w:lang w:val="fr-FR"/>
              </w:rPr>
            </w:pPr>
            <w:r w:rsidRPr="0074245A">
              <w:rPr>
                <w:iCs/>
              </w:rPr>
              <w:t>Grands emballages rigides satisfaisant au niveau d’épreuve du groupe d’emballage I, en:</w:t>
            </w:r>
          </w:p>
        </w:tc>
      </w:tr>
      <w:tr w:rsidR="00E93B06" w:rsidRPr="00EE1565" w14:paraId="47244993"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903F03E"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sidRPr="00CF09C5">
              <w:t>Acier (50A);</w:t>
            </w:r>
          </w:p>
        </w:tc>
      </w:tr>
      <w:tr w:rsidR="00E93B06" w:rsidRPr="00EE1565" w14:paraId="3E6AE2A3"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56275814"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sidRPr="00B81B3C">
              <w:t>Aluminium (50B);</w:t>
            </w:r>
          </w:p>
        </w:tc>
      </w:tr>
      <w:tr w:rsidR="00E93B06" w:rsidRPr="00EE1565" w14:paraId="0A95747E"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5856C38"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sidRPr="00326F63">
              <w:t>Métal autre que l’acier et l’aluminium (50N);</w:t>
            </w:r>
          </w:p>
        </w:tc>
      </w:tr>
      <w:tr w:rsidR="00E93B06" w:rsidRPr="00EE1565" w14:paraId="578FBF16"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2A2B894" w14:textId="77777777" w:rsidR="00E93B06" w:rsidRPr="00326F63"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sidRPr="00455B88">
              <w:t>Plastique rigide (50H);</w:t>
            </w:r>
          </w:p>
        </w:tc>
      </w:tr>
      <w:tr w:rsidR="00E93B06" w:rsidRPr="00EE1565" w14:paraId="36260807"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0A2871C" w14:textId="77777777" w:rsidR="00E93B06" w:rsidRPr="00455B88"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sidRPr="00C14CD9">
              <w:t>Contreplaqué (50D)</w:t>
            </w:r>
            <w:r>
              <w:t>;</w:t>
            </w:r>
          </w:p>
        </w:tc>
      </w:tr>
      <w:tr w:rsidR="00E93B06" w:rsidRPr="00EE1565" w14:paraId="0BF41B1A"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C0EB9A0" w14:textId="77777777" w:rsidR="00E93B06" w:rsidRPr="00C14CD9"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t>Carton rigide (50G)</w:t>
            </w:r>
          </w:p>
        </w:tc>
      </w:tr>
      <w:tr w:rsidR="00E93B06" w:rsidRPr="00EE1565" w14:paraId="1BE2E8DA"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CF19B63" w14:textId="060782C6" w:rsidR="00E93B06" w:rsidRPr="00EE1565" w:rsidRDefault="00B95B90" w:rsidP="009F1284">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Pr>
                <w:lang w:val="fr-FR"/>
              </w:rPr>
              <w:t>1)</w:t>
            </w:r>
            <w:r w:rsidR="00E93B06" w:rsidRPr="00EE1565">
              <w:rPr>
                <w:lang w:val="fr-FR"/>
              </w:rPr>
              <w:tab/>
            </w:r>
            <w:r w:rsidR="009F1284">
              <w:rPr>
                <w:lang w:val="fr-FR"/>
              </w:rPr>
              <w:t xml:space="preserve">Le grand </w:t>
            </w:r>
            <w:r w:rsidR="00E93B06">
              <w:rPr>
                <w:lang w:val="fr-FR"/>
              </w:rPr>
              <w:t xml:space="preserve">emballage doit pouvoir satisfaire aux prescriptions </w:t>
            </w:r>
            <w:r w:rsidR="00E93B06" w:rsidRPr="00CB14D4">
              <w:rPr>
                <w:lang w:val="fr-FR"/>
              </w:rPr>
              <w:t xml:space="preserve">supplémentaires </w:t>
            </w:r>
            <w:r w:rsidR="00E93B06">
              <w:rPr>
                <w:lang w:val="fr-FR"/>
              </w:rPr>
              <w:t xml:space="preserve">suivantes </w:t>
            </w:r>
            <w:r w:rsidR="00E93B06" w:rsidRPr="00CB14D4">
              <w:rPr>
                <w:lang w:val="fr-FR"/>
              </w:rPr>
              <w:t xml:space="preserve">en matière de performance dans les cas où </w:t>
            </w:r>
            <w:r w:rsidR="00E93B06">
              <w:rPr>
                <w:lang w:val="fr-FR"/>
              </w:rPr>
              <w:t>la batterie se démonte rapidement, réagit dangereusement, produi</w:t>
            </w:r>
            <w:r w:rsidR="00E93B06" w:rsidRPr="00CB14D4">
              <w:rPr>
                <w:lang w:val="fr-FR"/>
              </w:rPr>
              <w:t>t une flamme ou un dangereux dégagement de chaleur ou une émission de gaz ou de vapeur toxiques, corrosifs ou inflammables</w:t>
            </w:r>
            <w:r w:rsidR="00E93B06">
              <w:rPr>
                <w:lang w:val="fr-FR"/>
              </w:rPr>
              <w:t>:</w:t>
            </w:r>
          </w:p>
        </w:tc>
      </w:tr>
      <w:tr w:rsidR="00E93B06" w:rsidRPr="00EE1565" w14:paraId="3C4780A7"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B0BBC66" w14:textId="29E32E1F"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a)</w:t>
            </w:r>
            <w:r w:rsidRPr="00EE1565">
              <w:rPr>
                <w:lang w:val="fr-FR"/>
              </w:rPr>
              <w:tab/>
            </w:r>
            <w:r w:rsidRPr="00CB14D4">
              <w:rPr>
                <w:lang w:val="fr-FR"/>
              </w:rPr>
              <w:t xml:space="preserve">La température de la surface extérieure du colis </w:t>
            </w:r>
            <w:r w:rsidR="009F1284">
              <w:rPr>
                <w:lang w:val="fr-FR"/>
              </w:rPr>
              <w:t xml:space="preserve">complet </w:t>
            </w:r>
            <w:r w:rsidRPr="00CB14D4">
              <w:rPr>
                <w:lang w:val="fr-FR"/>
              </w:rPr>
              <w:t>ne doit pas être supérieure à 100 °C. Une pointe momentanée de température a</w:t>
            </w:r>
            <w:r>
              <w:rPr>
                <w:lang w:val="fr-FR"/>
              </w:rPr>
              <w:t>tteignant 200 °C est acceptable</w:t>
            </w:r>
            <w:r w:rsidRPr="00CB14D4">
              <w:rPr>
                <w:lang w:val="fr-FR"/>
              </w:rPr>
              <w:t>;</w:t>
            </w:r>
          </w:p>
        </w:tc>
      </w:tr>
      <w:tr w:rsidR="00E93B06" w:rsidRPr="00EE1565" w14:paraId="33D4B7C3"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E1F5A37" w14:textId="77777777" w:rsidR="00E93B06"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b)</w:t>
            </w:r>
            <w:r w:rsidRPr="00EE1565">
              <w:rPr>
                <w:lang w:val="fr-FR"/>
              </w:rPr>
              <w:t xml:space="preserve"> </w:t>
            </w:r>
            <w:r w:rsidRPr="00EE1565">
              <w:rPr>
                <w:lang w:val="fr-FR"/>
              </w:rPr>
              <w:tab/>
            </w:r>
            <w:r w:rsidRPr="0072230B">
              <w:rPr>
                <w:lang w:val="fr-FR"/>
              </w:rPr>
              <w:t>Aucune flamme dangereuse</w:t>
            </w:r>
            <w:r>
              <w:rPr>
                <w:lang w:val="fr-FR"/>
              </w:rPr>
              <w:t xml:space="preserve"> ne doit se produire</w:t>
            </w:r>
            <w:r w:rsidRPr="0072230B">
              <w:rPr>
                <w:lang w:val="fr-FR"/>
              </w:rPr>
              <w:t xml:space="preserve"> à l’extérieur </w:t>
            </w:r>
            <w:r>
              <w:rPr>
                <w:lang w:val="fr-FR"/>
              </w:rPr>
              <w:t>du colis</w:t>
            </w:r>
            <w:r w:rsidRPr="0072230B">
              <w:rPr>
                <w:lang w:val="fr-FR"/>
              </w:rPr>
              <w:t>;</w:t>
            </w:r>
          </w:p>
        </w:tc>
      </w:tr>
      <w:tr w:rsidR="00E93B06" w:rsidRPr="00EE1565" w14:paraId="7E4B5D1A"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29A8E22" w14:textId="77777777" w:rsidR="00E93B06"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c)</w:t>
            </w:r>
            <w:r w:rsidRPr="00EE1565">
              <w:rPr>
                <w:lang w:val="fr-FR"/>
              </w:rPr>
              <w:t xml:space="preserve"> </w:t>
            </w:r>
            <w:r w:rsidRPr="00EE1565">
              <w:rPr>
                <w:lang w:val="fr-FR"/>
              </w:rPr>
              <w:tab/>
            </w:r>
            <w:r>
              <w:rPr>
                <w:lang w:val="fr-FR"/>
              </w:rPr>
              <w:t>Aucun</w:t>
            </w:r>
            <w:r w:rsidRPr="0072230B">
              <w:rPr>
                <w:lang w:val="fr-FR"/>
              </w:rPr>
              <w:t xml:space="preserve"> </w:t>
            </w:r>
            <w:r>
              <w:rPr>
                <w:lang w:val="fr-FR"/>
              </w:rPr>
              <w:t>fragment</w:t>
            </w:r>
            <w:r w:rsidRPr="0072230B">
              <w:rPr>
                <w:lang w:val="fr-FR"/>
              </w:rPr>
              <w:t xml:space="preserve"> dangereux </w:t>
            </w:r>
            <w:r>
              <w:rPr>
                <w:lang w:val="fr-FR"/>
              </w:rPr>
              <w:t>ne doit être projeté à l’extérieur du colis</w:t>
            </w:r>
            <w:r w:rsidRPr="0072230B">
              <w:rPr>
                <w:lang w:val="fr-FR"/>
              </w:rPr>
              <w:t>;</w:t>
            </w:r>
          </w:p>
        </w:tc>
      </w:tr>
      <w:tr w:rsidR="00E93B06" w:rsidRPr="00EE1565" w14:paraId="2415E838"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C3FBBD7" w14:textId="4BCAB35F" w:rsidR="00E93B06" w:rsidRDefault="00E93B06" w:rsidP="009F128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d)</w:t>
            </w:r>
            <w:r w:rsidRPr="00EE1565">
              <w:rPr>
                <w:lang w:val="fr-FR"/>
              </w:rPr>
              <w:t xml:space="preserve"> </w:t>
            </w:r>
            <w:r w:rsidRPr="00EE1565">
              <w:rPr>
                <w:lang w:val="fr-FR"/>
              </w:rPr>
              <w:tab/>
            </w:r>
            <w:r>
              <w:rPr>
                <w:lang w:val="fr-FR"/>
              </w:rPr>
              <w:t xml:space="preserve">L’intégrité structurelle </w:t>
            </w:r>
            <w:r w:rsidR="009F1284">
              <w:rPr>
                <w:lang w:val="fr-FR"/>
              </w:rPr>
              <w:t xml:space="preserve">du colis </w:t>
            </w:r>
            <w:r>
              <w:rPr>
                <w:lang w:val="fr-FR"/>
              </w:rPr>
              <w:t>doit être conservée</w:t>
            </w:r>
            <w:r w:rsidR="00B07702">
              <w:rPr>
                <w:lang w:val="fr-FR"/>
              </w:rPr>
              <w:t>; et</w:t>
            </w:r>
          </w:p>
        </w:tc>
      </w:tr>
      <w:tr w:rsidR="00E93B06" w:rsidRPr="00EE1565" w14:paraId="319774F7"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77A8043" w14:textId="1EB8F9AC"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fr-FR"/>
              </w:rPr>
            </w:pPr>
            <w:r>
              <w:rPr>
                <w:lang w:val="fr-FR"/>
              </w:rPr>
              <w:t>e)</w:t>
            </w:r>
            <w:r w:rsidRPr="00EE1565">
              <w:rPr>
                <w:lang w:val="fr-FR"/>
              </w:rPr>
              <w:t xml:space="preserve"> </w:t>
            </w:r>
            <w:r w:rsidRPr="00EE1565">
              <w:rPr>
                <w:lang w:val="fr-FR"/>
              </w:rPr>
              <w:tab/>
            </w:r>
            <w:r w:rsidRPr="0072230B">
              <w:rPr>
                <w:lang w:val="fr-FR"/>
              </w:rPr>
              <w:t xml:space="preserve">Les </w:t>
            </w:r>
            <w:r w:rsidR="009F1284">
              <w:rPr>
                <w:lang w:val="fr-FR"/>
              </w:rPr>
              <w:t xml:space="preserve">grands </w:t>
            </w:r>
            <w:r w:rsidRPr="0072230B">
              <w:rPr>
                <w:lang w:val="fr-FR"/>
              </w:rPr>
              <w:t>emballages doivent disposer d’un système de gestion des flux de gaz (par exemple, dispositif de filtration, de ventilation, de confinement des gaz, d’étanchéisation, etc.)</w:t>
            </w:r>
            <w:r>
              <w:rPr>
                <w:lang w:val="fr-FR"/>
              </w:rPr>
              <w:t xml:space="preserve"> selon le cas</w:t>
            </w:r>
            <w:r w:rsidRPr="0072230B">
              <w:rPr>
                <w:lang w:val="fr-FR"/>
              </w:rPr>
              <w:t>.</w:t>
            </w:r>
          </w:p>
        </w:tc>
      </w:tr>
      <w:tr w:rsidR="00E93B06" w:rsidRPr="00EE1565" w14:paraId="2C99B25F"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A6EED7E" w14:textId="47ECEC21" w:rsidR="00E93B06" w:rsidRDefault="00B95B90"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Pr>
                <w:lang w:val="fr-FR"/>
              </w:rPr>
              <w:t>2)</w:t>
            </w:r>
            <w:r w:rsidR="00E93B06" w:rsidRPr="00EE1565">
              <w:rPr>
                <w:lang w:val="fr-FR"/>
              </w:rPr>
              <w:tab/>
            </w:r>
            <w:r w:rsidR="00E93B06">
              <w:rPr>
                <w:lang w:val="fr-FR"/>
              </w:rPr>
              <w:t xml:space="preserve">Les prescriptions </w:t>
            </w:r>
            <w:r w:rsidR="00E93B06" w:rsidRPr="00CB14D4">
              <w:rPr>
                <w:lang w:val="fr-FR"/>
              </w:rPr>
              <w:t>supplémentaires en matière de performance</w:t>
            </w:r>
            <w:r w:rsidR="00E93B06">
              <w:rPr>
                <w:lang w:val="fr-FR"/>
              </w:rPr>
              <w:t xml:space="preserve"> doivent être vérifiées par des épreuves comme spécifié par l’autorité compétente</w:t>
            </w:r>
            <w:r w:rsidR="00E93B06" w:rsidRPr="0072230B">
              <w:rPr>
                <w:b/>
                <w:vertAlign w:val="superscript"/>
                <w:lang w:val="fr-FR"/>
              </w:rPr>
              <w:t xml:space="preserve"> a</w:t>
            </w:r>
            <w:r w:rsidR="00E93B06">
              <w:rPr>
                <w:lang w:val="fr-FR"/>
              </w:rPr>
              <w:t xml:space="preserve">. </w:t>
            </w:r>
          </w:p>
        </w:tc>
      </w:tr>
      <w:tr w:rsidR="00E93B06" w:rsidRPr="00EE1565" w14:paraId="43045D1C"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F5CB7D0" w14:textId="25E61E60" w:rsidR="00E93B06" w:rsidRDefault="00E93B06" w:rsidP="00076867">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sidRPr="00EE1565">
              <w:rPr>
                <w:lang w:val="fr-FR"/>
              </w:rPr>
              <w:tab/>
            </w:r>
            <w:r>
              <w:t>Un</w:t>
            </w:r>
            <w:r w:rsidRPr="009F35A9">
              <w:t xml:space="preserve"> rapport établi à l’issue </w:t>
            </w:r>
            <w:r>
              <w:t>de la vérification</w:t>
            </w:r>
            <w:r w:rsidRPr="009F35A9">
              <w:t xml:space="preserve"> doit être </w:t>
            </w:r>
            <w:r w:rsidR="00076867">
              <w:t>disponible</w:t>
            </w:r>
            <w:r w:rsidRPr="009F35A9">
              <w:t xml:space="preserve"> à la demande. Doivent y être é</w:t>
            </w:r>
            <w:r>
              <w:t xml:space="preserve">numérés, au minimum, le nom de </w:t>
            </w:r>
            <w:r w:rsidRPr="009F35A9">
              <w:t xml:space="preserve">la batterie, son numéro, sa masse, son type, </w:t>
            </w:r>
            <w:r w:rsidR="00076867">
              <w:t>son contenu énergétique</w:t>
            </w:r>
            <w:r w:rsidRPr="009F35A9">
              <w:t xml:space="preserve">, le numéro d’identification </w:t>
            </w:r>
            <w:r w:rsidR="00076867">
              <w:t xml:space="preserve">du grand </w:t>
            </w:r>
            <w:r w:rsidRPr="009F35A9">
              <w:t>emballage et les données d’épreuves, selon la méthode de vérification spécifiée par l’autorité compétente.</w:t>
            </w:r>
          </w:p>
        </w:tc>
      </w:tr>
      <w:tr w:rsidR="00E93B06" w:rsidRPr="00EE1565" w14:paraId="3375963E" w14:textId="77777777" w:rsidTr="006201F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974DE01" w14:textId="055F137E" w:rsidR="00E93B06" w:rsidRPr="00EE1565" w:rsidRDefault="00B95B90"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fr-FR"/>
              </w:rPr>
            </w:pPr>
            <w:r>
              <w:rPr>
                <w:lang w:val="fr-FR"/>
              </w:rPr>
              <w:t>3)</w:t>
            </w:r>
            <w:r w:rsidR="00E93B06" w:rsidRPr="00EE1565">
              <w:rPr>
                <w:lang w:val="fr-FR"/>
              </w:rPr>
              <w:tab/>
            </w:r>
            <w:r w:rsidR="00E93B06" w:rsidRPr="009F35A9">
              <w:rPr>
                <w:lang w:val="fr-FR"/>
              </w:rPr>
              <w:t>Dans les cas où on utilise de la neige carbonique ou de l’azote liquide comme réfrigérant, les pres</w:t>
            </w:r>
            <w:r w:rsidR="00E93B06">
              <w:rPr>
                <w:lang w:val="fr-FR"/>
              </w:rPr>
              <w:t>criptions du 5.5.3 s’appliquent</w:t>
            </w:r>
            <w:r w:rsidR="00E93B06" w:rsidRPr="009F35A9">
              <w:rPr>
                <w:lang w:val="fr-FR"/>
              </w:rPr>
              <w:t xml:space="preserve">. Les emballages intérieur </w:t>
            </w:r>
            <w:r w:rsidR="00E93B06">
              <w:rPr>
                <w:lang w:val="fr-FR"/>
              </w:rPr>
              <w:t>et</w:t>
            </w:r>
            <w:r w:rsidR="00E93B06" w:rsidRPr="009F35A9">
              <w:rPr>
                <w:lang w:val="fr-FR"/>
              </w:rPr>
              <w:t xml:space="preserve"> extérieur doivent conserver leur intégrité à la température du réfrigérant utilisé ainsi qu’aux températures et pressions qui pourraient être atteintes en cas de disparition de l’agent de refroidissement.</w:t>
            </w:r>
          </w:p>
        </w:tc>
      </w:tr>
      <w:tr w:rsidR="00E93B06" w:rsidRPr="00EE1565" w14:paraId="5D1E54FD" w14:textId="77777777" w:rsidTr="006201FD">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4111A61C"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lang w:val="fr-FR"/>
              </w:rPr>
            </w:pPr>
            <w:r w:rsidRPr="00EE1565">
              <w:rPr>
                <w:b/>
                <w:iCs/>
                <w:lang w:val="fr-FR"/>
              </w:rPr>
              <w:t>Disposition supplémentaire:</w:t>
            </w:r>
          </w:p>
        </w:tc>
      </w:tr>
      <w:tr w:rsidR="00E93B06" w:rsidRPr="00EE1565" w14:paraId="35ECB98E" w14:textId="77777777" w:rsidTr="006201FD">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6FAF5F6D" w14:textId="77777777" w:rsidR="00E93B06" w:rsidRPr="00EE1565"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EE1565">
              <w:rPr>
                <w:iCs/>
                <w:lang w:val="fr-FR"/>
              </w:rPr>
              <w:t xml:space="preserve">Les batteries doivent être protégées contre les </w:t>
            </w:r>
            <w:proofErr w:type="spellStart"/>
            <w:r w:rsidRPr="00EE1565">
              <w:rPr>
                <w:iCs/>
                <w:lang w:val="fr-FR"/>
              </w:rPr>
              <w:t>courts-circuits</w:t>
            </w:r>
            <w:proofErr w:type="spellEnd"/>
            <w:r w:rsidRPr="00EE1565">
              <w:rPr>
                <w:iCs/>
                <w:lang w:val="fr-FR"/>
              </w:rPr>
              <w:t>.</w:t>
            </w:r>
          </w:p>
        </w:tc>
      </w:tr>
      <w:tr w:rsidR="00E93B06" w:rsidRPr="00EE1565" w14:paraId="2A20622B" w14:textId="77777777" w:rsidTr="006201FD">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55975839" w14:textId="440B6DC8" w:rsidR="00E93B06" w:rsidRPr="009F35A9" w:rsidRDefault="00E93B06" w:rsidP="00753744">
            <w:pPr>
              <w:tabs>
                <w:tab w:val="left" w:pos="366"/>
                <w:tab w:val="left" w:pos="1985"/>
                <w:tab w:val="left" w:pos="2552"/>
                <w:tab w:val="left" w:pos="3119"/>
                <w:tab w:val="left" w:pos="3686"/>
                <w:tab w:val="left" w:pos="4253"/>
                <w:tab w:val="left" w:pos="4820"/>
              </w:tabs>
              <w:suppressAutoHyphens w:val="0"/>
              <w:spacing w:before="60" w:after="60" w:line="240" w:lineRule="auto"/>
              <w:jc w:val="both"/>
              <w:rPr>
                <w:lang w:val="fr-FR"/>
              </w:rPr>
            </w:pPr>
            <w:proofErr w:type="gramStart"/>
            <w:r w:rsidRPr="002C0D0B">
              <w:rPr>
                <w:b/>
                <w:vertAlign w:val="superscript"/>
                <w:lang w:val="fr-FR"/>
              </w:rPr>
              <w:t>a</w:t>
            </w:r>
            <w:proofErr w:type="gramEnd"/>
            <w:r w:rsidRPr="00EE1565">
              <w:rPr>
                <w:lang w:val="fr-FR"/>
              </w:rPr>
              <w:tab/>
            </w:r>
            <w:r w:rsidRPr="0074245A">
              <w:rPr>
                <w:i/>
                <w:lang w:val="fr-FR"/>
              </w:rPr>
              <w:t xml:space="preserve">Les critères suivants, selon le cas, peuvent être pris en compte pour évaluer la performance </w:t>
            </w:r>
            <w:r w:rsidR="00753744">
              <w:rPr>
                <w:i/>
                <w:lang w:val="fr-FR"/>
              </w:rPr>
              <w:t xml:space="preserve">du grand </w:t>
            </w:r>
            <w:r w:rsidRPr="0074245A">
              <w:rPr>
                <w:i/>
                <w:lang w:val="fr-FR"/>
              </w:rPr>
              <w:t>emballage:</w:t>
            </w:r>
          </w:p>
        </w:tc>
      </w:tr>
      <w:tr w:rsidR="00E93B06" w:rsidRPr="0074245A" w14:paraId="64A59898"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762CED5" w14:textId="77777777" w:rsidR="00E93B06" w:rsidRPr="0074245A"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lang w:val="fr-FR"/>
              </w:rPr>
            </w:pPr>
            <w:r w:rsidRPr="0074245A">
              <w:rPr>
                <w:i/>
                <w:lang w:val="fr-FR"/>
              </w:rPr>
              <w:tab/>
              <w:t xml:space="preserve">a) </w:t>
            </w:r>
            <w:r w:rsidRPr="0074245A">
              <w:rPr>
                <w:i/>
                <w:lang w:val="fr-FR"/>
              </w:rPr>
              <w:tab/>
              <w:t xml:space="preserve">L’évaluation doit être effectuée dans le cadre d’un système de gestion de la qualité (tel que le programme </w:t>
            </w:r>
            <w:r w:rsidRPr="0074245A">
              <w:rPr>
                <w:i/>
                <w:lang w:val="fr-FR"/>
              </w:rPr>
              <w:lastRenderedPageBreak/>
              <w:t>décrit au 2.9.4 e)) permettant d’assurer la traçabilité des résultats des épreuves, des données de référence ainsi que des modèles de caractérisation utilisés;</w:t>
            </w:r>
          </w:p>
        </w:tc>
      </w:tr>
      <w:tr w:rsidR="00E93B06" w:rsidRPr="0074245A" w14:paraId="729B49AB"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FDBE98B" w14:textId="65D0D63C" w:rsidR="00E93B06" w:rsidRPr="0074245A" w:rsidRDefault="00E93B06" w:rsidP="00076867">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74245A">
              <w:rPr>
                <w:i/>
                <w:lang w:val="fr-FR"/>
              </w:rPr>
              <w:lastRenderedPageBreak/>
              <w:tab/>
              <w:t xml:space="preserve">b) </w:t>
            </w:r>
            <w:r w:rsidRPr="0074245A">
              <w:rPr>
                <w:i/>
                <w:lang w:val="fr-FR"/>
              </w:rPr>
              <w:tab/>
              <w:t xml:space="preserve">Les dangers attendus en cas d’emballement thermique pour le type de batterie transportée, dans les conditions de transport prévues (par exemple, l’utilisation d’un emballage intérieur, le niveau de charge, l’utilisation d’un rembourrage non combustible, non conducteur d’électricité et absorbant suffisant etc.), doivent être clairement définis et quantifiés; la liste de référence des dangers possibles pour les batteries au lithium (susceptibles de se démonter rapidement, de réagir dangereusement, de produire une flamme ou un dangereux dégagement de chaleur ou une émission de gaz ou de vapeur toxiques, corrosifs ou inflammables) peut être utilisée à cet effet. La quantification de ces dangers doit être fondée sur </w:t>
            </w:r>
            <w:r w:rsidR="00076867" w:rsidRPr="00076867">
              <w:rPr>
                <w:i/>
                <w:lang w:val="fr-FR"/>
              </w:rPr>
              <w:t>la littérature</w:t>
            </w:r>
            <w:r w:rsidR="00076867">
              <w:rPr>
                <w:i/>
                <w:lang w:val="fr-FR"/>
              </w:rPr>
              <w:t xml:space="preserve"> </w:t>
            </w:r>
            <w:r w:rsidRPr="0074245A">
              <w:rPr>
                <w:i/>
                <w:lang w:val="fr-FR"/>
              </w:rPr>
              <w:t>scientifique</w:t>
            </w:r>
            <w:r w:rsidR="00076867">
              <w:rPr>
                <w:i/>
                <w:lang w:val="fr-FR"/>
              </w:rPr>
              <w:t xml:space="preserve"> disponible</w:t>
            </w:r>
            <w:r w:rsidRPr="0074245A">
              <w:rPr>
                <w:i/>
                <w:lang w:val="fr-FR"/>
              </w:rPr>
              <w:t>;</w:t>
            </w:r>
          </w:p>
        </w:tc>
      </w:tr>
      <w:tr w:rsidR="00E93B06" w:rsidRPr="0074245A" w14:paraId="47FE1D94"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A660C99" w14:textId="6CB31268" w:rsidR="00E93B06" w:rsidRPr="0074245A"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74245A">
              <w:rPr>
                <w:i/>
                <w:lang w:val="fr-FR"/>
              </w:rPr>
              <w:tab/>
              <w:t xml:space="preserve">c) </w:t>
            </w:r>
            <w:r w:rsidRPr="0074245A">
              <w:rPr>
                <w:i/>
                <w:lang w:val="fr-FR"/>
              </w:rPr>
              <w:tab/>
              <w:t xml:space="preserve">Les effets d’atténuation de ces dangers, propres </w:t>
            </w:r>
            <w:r w:rsidR="00C81FB2">
              <w:rPr>
                <w:i/>
                <w:lang w:val="fr-FR"/>
              </w:rPr>
              <w:t xml:space="preserve">au grand </w:t>
            </w:r>
            <w:r w:rsidRPr="0074245A">
              <w:rPr>
                <w:i/>
                <w:lang w:val="fr-FR"/>
              </w:rPr>
              <w:t>emballage, doivent être déterminés et caractérisés, en fonction du type de protection offerte par celui-ci et des propriétés des matériaux qui le constituent. Cette évaluation doit être accompagnée d’une liste des caractéristiques techniques et de schémas techniques (densité [kg·m</w:t>
            </w:r>
            <w:r w:rsidRPr="0074245A">
              <w:rPr>
                <w:i/>
                <w:vertAlign w:val="superscript"/>
                <w:lang w:val="fr-FR"/>
              </w:rPr>
              <w:t>-</w:t>
            </w:r>
            <w:r w:rsidRPr="0074245A">
              <w:rPr>
                <w:i/>
                <w:lang w:val="fr-FR"/>
              </w:rPr>
              <w:t>³], capacité calorifique [J·kg</w:t>
            </w:r>
            <w:r w:rsidRPr="0074245A">
              <w:rPr>
                <w:i/>
                <w:vertAlign w:val="superscript"/>
                <w:lang w:val="fr-FR"/>
              </w:rPr>
              <w:t>-1</w:t>
            </w:r>
            <w:r w:rsidRPr="0074245A">
              <w:rPr>
                <w:i/>
                <w:lang w:val="fr-FR"/>
              </w:rPr>
              <w:t>·K</w:t>
            </w:r>
            <w:r w:rsidRPr="0074245A">
              <w:rPr>
                <w:i/>
                <w:vertAlign w:val="superscript"/>
                <w:lang w:val="fr-FR"/>
              </w:rPr>
              <w:t>-1</w:t>
            </w:r>
            <w:r w:rsidRPr="0074245A">
              <w:rPr>
                <w:i/>
                <w:lang w:val="fr-FR"/>
              </w:rPr>
              <w:t>], pouvoir calorifique [</w:t>
            </w:r>
            <w:r w:rsidR="00C81FB2">
              <w:rPr>
                <w:i/>
                <w:lang w:val="fr-FR"/>
              </w:rPr>
              <w:t>k</w:t>
            </w:r>
            <w:r w:rsidRPr="0074245A">
              <w:rPr>
                <w:i/>
                <w:lang w:val="fr-FR"/>
              </w:rPr>
              <w:t>J·kg</w:t>
            </w:r>
            <w:r w:rsidRPr="0074245A">
              <w:rPr>
                <w:i/>
                <w:vertAlign w:val="superscript"/>
                <w:lang w:val="fr-FR"/>
              </w:rPr>
              <w:t>-1</w:t>
            </w:r>
            <w:r w:rsidRPr="0074245A">
              <w:rPr>
                <w:i/>
                <w:lang w:val="fr-FR"/>
              </w:rPr>
              <w:t>], conductivité thermique [W·m</w:t>
            </w:r>
            <w:r w:rsidRPr="0074245A">
              <w:rPr>
                <w:i/>
                <w:vertAlign w:val="superscript"/>
                <w:lang w:val="fr-FR"/>
              </w:rPr>
              <w:t>-1</w:t>
            </w:r>
            <w:r w:rsidRPr="0074245A">
              <w:rPr>
                <w:i/>
                <w:lang w:val="fr-FR"/>
              </w:rPr>
              <w:t>·K</w:t>
            </w:r>
            <w:r w:rsidRPr="0074245A">
              <w:rPr>
                <w:i/>
                <w:vertAlign w:val="superscript"/>
                <w:lang w:val="fr-FR"/>
              </w:rPr>
              <w:t>-1</w:t>
            </w:r>
            <w:r w:rsidRPr="0074245A">
              <w:rPr>
                <w:i/>
                <w:lang w:val="fr-FR"/>
              </w:rPr>
              <w:t>], température de fusion et température d’inflammation [K], coefficient de transmission thermique de l’emballage extérieur [W·m</w:t>
            </w:r>
            <w:r w:rsidRPr="0074245A">
              <w:rPr>
                <w:i/>
                <w:vertAlign w:val="superscript"/>
                <w:lang w:val="fr-FR"/>
              </w:rPr>
              <w:t>-2</w:t>
            </w:r>
            <w:r w:rsidRPr="0074245A">
              <w:rPr>
                <w:i/>
                <w:lang w:val="fr-FR"/>
              </w:rPr>
              <w:t>·K</w:t>
            </w:r>
            <w:r w:rsidRPr="0074245A">
              <w:rPr>
                <w:i/>
                <w:vertAlign w:val="superscript"/>
                <w:lang w:val="fr-FR"/>
              </w:rPr>
              <w:t>-1</w:t>
            </w:r>
            <w:r w:rsidRPr="0074245A">
              <w:rPr>
                <w:i/>
                <w:lang w:val="fr-FR"/>
              </w:rPr>
              <w:t>], …);</w:t>
            </w:r>
          </w:p>
        </w:tc>
      </w:tr>
      <w:tr w:rsidR="00E93B06" w:rsidRPr="0074245A" w14:paraId="6CA4D532"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AC181FE" w14:textId="34094164" w:rsidR="00E93B06" w:rsidRPr="0074245A"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74245A">
              <w:rPr>
                <w:i/>
                <w:lang w:val="fr-FR"/>
              </w:rPr>
              <w:tab/>
              <w:t xml:space="preserve">d) </w:t>
            </w:r>
            <w:r w:rsidRPr="0074245A">
              <w:rPr>
                <w:i/>
                <w:lang w:val="fr-FR"/>
              </w:rPr>
              <w:tab/>
              <w:t xml:space="preserve">L’épreuve et tous calculs justificatifs doivent évaluer le résultat de l’emballement thermique de la batterie à l’intérieur </w:t>
            </w:r>
            <w:r w:rsidR="00C81FB2">
              <w:rPr>
                <w:i/>
                <w:lang w:val="fr-FR"/>
              </w:rPr>
              <w:t xml:space="preserve">du grand </w:t>
            </w:r>
            <w:r w:rsidRPr="0074245A">
              <w:rPr>
                <w:i/>
                <w:lang w:val="fr-FR"/>
              </w:rPr>
              <w:t xml:space="preserve">emballage, dans des conditions </w:t>
            </w:r>
            <w:r w:rsidR="00C81FB2">
              <w:rPr>
                <w:i/>
                <w:lang w:val="fr-FR"/>
              </w:rPr>
              <w:t xml:space="preserve">normales </w:t>
            </w:r>
            <w:r w:rsidRPr="0074245A">
              <w:rPr>
                <w:i/>
                <w:lang w:val="fr-FR"/>
              </w:rPr>
              <w:t>de transport;</w:t>
            </w:r>
          </w:p>
        </w:tc>
      </w:tr>
      <w:tr w:rsidR="00E93B06" w:rsidRPr="0074245A" w14:paraId="6590EF08"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0A93DCF9" w14:textId="2D23B60F" w:rsidR="00E93B06" w:rsidRPr="0074245A"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74245A">
              <w:rPr>
                <w:i/>
                <w:lang w:val="fr-FR"/>
              </w:rPr>
              <w:tab/>
              <w:t xml:space="preserve">e) </w:t>
            </w:r>
            <w:r w:rsidRPr="0074245A">
              <w:rPr>
                <w:i/>
                <w:lang w:val="fr-FR"/>
              </w:rPr>
              <w:tab/>
              <w:t xml:space="preserve">Dans les cas où le niveau de charge de la batterie est inconnu, l’évaluation doit être faite avec le niveau de charge </w:t>
            </w:r>
            <w:r w:rsidR="00C81FB2">
              <w:rPr>
                <w:i/>
                <w:lang w:val="fr-FR"/>
              </w:rPr>
              <w:t xml:space="preserve">le </w:t>
            </w:r>
            <w:r w:rsidR="00C81FB2" w:rsidRPr="0074245A">
              <w:rPr>
                <w:i/>
                <w:lang w:val="fr-FR"/>
              </w:rPr>
              <w:t xml:space="preserve">plus haut </w:t>
            </w:r>
            <w:r w:rsidRPr="0074245A">
              <w:rPr>
                <w:i/>
                <w:lang w:val="fr-FR"/>
              </w:rPr>
              <w:t>possible correspondant aux conditions d’utilisation de la batterie;</w:t>
            </w:r>
          </w:p>
        </w:tc>
      </w:tr>
      <w:tr w:rsidR="00E93B06" w:rsidRPr="0074245A" w14:paraId="18C86BD7"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042EF70D" w14:textId="1133E7AF" w:rsidR="00E93B06" w:rsidRPr="0074245A"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74245A">
              <w:rPr>
                <w:i/>
                <w:lang w:val="fr-FR"/>
              </w:rPr>
              <w:tab/>
              <w:t xml:space="preserve">f) </w:t>
            </w:r>
            <w:r w:rsidRPr="0074245A">
              <w:rPr>
                <w:i/>
                <w:lang w:val="fr-FR"/>
              </w:rPr>
              <w:tab/>
              <w:t xml:space="preserve">Les conditions environnantes dans lesquelles </w:t>
            </w:r>
            <w:r w:rsidR="00C81FB2">
              <w:rPr>
                <w:i/>
                <w:lang w:val="fr-FR"/>
              </w:rPr>
              <w:t xml:space="preserve">le grand </w:t>
            </w:r>
            <w:r w:rsidRPr="0074245A">
              <w:rPr>
                <w:i/>
                <w:lang w:val="fr-FR"/>
              </w:rPr>
              <w:t>emballage peut être utilisé et transporté doivent être décrites (y compris pour les conséquences possibles d’émissions de gaz ou de fumées sur l’environnement telles que ventilation ou autres méthode) en relation avec le système de gestion des flux de gaz de l’emballage;</w:t>
            </w:r>
          </w:p>
        </w:tc>
      </w:tr>
      <w:tr w:rsidR="00E93B06" w:rsidRPr="0074245A" w14:paraId="6A074164"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5BDDE0D5" w14:textId="52FF3F17" w:rsidR="00E93B06" w:rsidRPr="0074245A"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r w:rsidRPr="0074245A">
              <w:rPr>
                <w:i/>
                <w:lang w:val="fr-FR"/>
              </w:rPr>
              <w:tab/>
              <w:t xml:space="preserve">g) </w:t>
            </w:r>
            <w:r w:rsidRPr="0074245A">
              <w:rPr>
                <w:i/>
                <w:lang w:val="fr-FR"/>
              </w:rPr>
              <w:tab/>
              <w:t xml:space="preserve">Les épreuves ou le calcul type doivent reposer sur l’hypothèse la plus pessimiste en ce qui concerne le déclenchement de l’emballement thermique et sa propagation à l’intérieur de la batterie, en postulant la pire défaillance possible au niveau des conditions </w:t>
            </w:r>
            <w:r w:rsidR="00C81FB2">
              <w:rPr>
                <w:i/>
                <w:lang w:val="fr-FR"/>
              </w:rPr>
              <w:t xml:space="preserve">normales </w:t>
            </w:r>
            <w:r w:rsidRPr="0074245A">
              <w:rPr>
                <w:i/>
                <w:lang w:val="fr-FR"/>
              </w:rPr>
              <w:t>de transport, ainsi que les niveaux de chaleur et d’émission de flammes les plus élevés, afin d’évaluer les possibilités de propagation de la réaction;</w:t>
            </w:r>
          </w:p>
        </w:tc>
      </w:tr>
      <w:tr w:rsidR="00E93B06" w:rsidRPr="0074245A" w14:paraId="301EA4BC" w14:textId="77777777" w:rsidTr="006201F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3647664" w14:textId="77777777" w:rsidR="00E93B06" w:rsidRPr="0074245A" w:rsidRDefault="00E93B06" w:rsidP="006201FD">
            <w:pPr>
              <w:tabs>
                <w:tab w:val="left" w:pos="791"/>
              </w:tabs>
              <w:suppressAutoHyphens w:val="0"/>
              <w:spacing w:before="60" w:after="60" w:line="240" w:lineRule="auto"/>
              <w:ind w:left="366" w:hanging="426"/>
              <w:jc w:val="both"/>
              <w:rPr>
                <w:i/>
                <w:lang w:val="fr-FR"/>
              </w:rPr>
            </w:pPr>
            <w:r w:rsidRPr="0074245A">
              <w:rPr>
                <w:i/>
                <w:lang w:val="fr-FR"/>
              </w:rPr>
              <w:tab/>
              <w:t xml:space="preserve">h) </w:t>
            </w:r>
            <w:r w:rsidRPr="0074245A">
              <w:rPr>
                <w:i/>
                <w:lang w:val="fr-FR"/>
              </w:rPr>
              <w:tab/>
              <w:t>Les conséquences du scénario doivent être évaluées sur une période suffisamment longue pour en connaître toutes les répercussions possibles (soit 24 heures).</w:t>
            </w:r>
          </w:p>
        </w:tc>
      </w:tr>
      <w:tr w:rsidR="00E93B06" w:rsidRPr="0074245A" w14:paraId="4F5F8C29" w14:textId="77777777" w:rsidTr="006201FD">
        <w:trPr>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22A281F0" w14:textId="77777777" w:rsidR="00E93B06" w:rsidRPr="0074245A"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fr-FR"/>
              </w:rPr>
            </w:pPr>
          </w:p>
        </w:tc>
      </w:tr>
    </w:tbl>
    <w:p w14:paraId="115564CB" w14:textId="77777777" w:rsidR="00196C06" w:rsidRDefault="00196C06" w:rsidP="004215B9">
      <w:pPr>
        <w:spacing w:before="120" w:after="120" w:line="240" w:lineRule="auto"/>
        <w:ind w:left="1134" w:right="1134"/>
        <w:jc w:val="both"/>
        <w:rPr>
          <w:lang w:val="fr-FR"/>
        </w:rPr>
      </w:pPr>
      <w:r w:rsidRPr="00EF61FC">
        <w:rPr>
          <w:lang w:val="fr-FR"/>
        </w:rPr>
        <w:t xml:space="preserve">4.1.5.12 </w:t>
      </w:r>
      <w:r>
        <w:rPr>
          <w:lang w:val="fr-FR"/>
        </w:rPr>
        <w:tab/>
        <w:t>Remplacer «division de risque» par «division de danger».</w:t>
      </w:r>
    </w:p>
    <w:p w14:paraId="24D9F0A1" w14:textId="77777777" w:rsidR="00196C06" w:rsidRPr="0059443A" w:rsidRDefault="00196C06" w:rsidP="00196C06">
      <w:pPr>
        <w:pStyle w:val="SingleTxtG"/>
        <w:rPr>
          <w:lang w:eastAsia="en-GB"/>
        </w:rPr>
      </w:pPr>
      <w:r w:rsidRPr="0059443A">
        <w:rPr>
          <w:lang w:eastAsia="en-GB"/>
        </w:rPr>
        <w:t>4.1.6.1.4</w:t>
      </w:r>
      <w:r w:rsidRPr="0059443A">
        <w:rPr>
          <w:lang w:eastAsia="en-GB"/>
        </w:rPr>
        <w:tab/>
        <w:t>Dans la dernière phrase, remplacer «risque» par «danger».</w:t>
      </w:r>
    </w:p>
    <w:p w14:paraId="65CCA131" w14:textId="2AD14E55" w:rsidR="00A0278B" w:rsidRDefault="00A0278B" w:rsidP="00196C06">
      <w:pPr>
        <w:spacing w:before="120" w:after="120" w:line="240" w:lineRule="auto"/>
        <w:ind w:left="1134" w:right="1134"/>
        <w:jc w:val="both"/>
        <w:rPr>
          <w:lang w:val="fr-FR"/>
        </w:rPr>
      </w:pPr>
      <w:r>
        <w:rPr>
          <w:lang w:val="fr-FR"/>
        </w:rPr>
        <w:t>4.1.7.2.3</w:t>
      </w:r>
      <w:r>
        <w:rPr>
          <w:lang w:val="fr-FR"/>
        </w:rPr>
        <w:tab/>
        <w:t>À la fin, remplacer «7.1.5.3.1» par «7.1.5.3».</w:t>
      </w:r>
    </w:p>
    <w:p w14:paraId="5690711D" w14:textId="7B1B6A5E" w:rsidR="00196C06" w:rsidRDefault="00196C06" w:rsidP="00196C06">
      <w:pPr>
        <w:spacing w:before="120" w:after="120" w:line="240" w:lineRule="auto"/>
        <w:ind w:left="1134" w:right="1134"/>
        <w:jc w:val="both"/>
        <w:rPr>
          <w:lang w:val="fr-FR"/>
        </w:rPr>
      </w:pPr>
      <w:r w:rsidRPr="00EF61FC">
        <w:rPr>
          <w:lang w:val="fr-FR"/>
        </w:rPr>
        <w:t xml:space="preserve">4.1.8.1 </w:t>
      </w:r>
      <w:r>
        <w:rPr>
          <w:lang w:val="fr-FR"/>
        </w:rPr>
        <w:tab/>
        <w:t>Remplacer «risque pour les personnes» par «danger pour les personnes».</w:t>
      </w:r>
    </w:p>
    <w:p w14:paraId="69766235" w14:textId="77777777" w:rsidR="00196C06" w:rsidRPr="0059443A" w:rsidRDefault="00196C06" w:rsidP="00196C06">
      <w:pPr>
        <w:spacing w:before="120" w:after="120" w:line="240" w:lineRule="auto"/>
        <w:ind w:left="1134" w:right="1134"/>
        <w:jc w:val="both"/>
        <w:rPr>
          <w:iCs/>
          <w:lang w:val="fr-FR"/>
        </w:rPr>
      </w:pPr>
      <w:r w:rsidRPr="0059443A">
        <w:rPr>
          <w:iCs/>
          <w:lang w:val="fr-FR"/>
        </w:rPr>
        <w:t>4.1.9.1.5</w:t>
      </w:r>
      <w:r w:rsidRPr="0059443A">
        <w:rPr>
          <w:iCs/>
          <w:lang w:val="fr-FR"/>
        </w:rPr>
        <w:tab/>
      </w:r>
      <w:r w:rsidRPr="0059443A">
        <w:rPr>
          <w:lang w:eastAsia="en-GB"/>
        </w:rPr>
        <w:t>À la fin, remplacer «risque» par «danger» (deux fois).</w:t>
      </w:r>
    </w:p>
    <w:p w14:paraId="5B9409CD" w14:textId="77777777" w:rsidR="00196C06" w:rsidRPr="0059443A" w:rsidRDefault="00196C06" w:rsidP="00196C06">
      <w:pPr>
        <w:pStyle w:val="H1G"/>
      </w:pPr>
      <w:r w:rsidRPr="0059443A">
        <w:tab/>
      </w:r>
      <w:r w:rsidRPr="0059443A">
        <w:tab/>
        <w:t>Chapitre 4.2</w:t>
      </w:r>
    </w:p>
    <w:p w14:paraId="5948E5FF" w14:textId="77777777" w:rsidR="00196C06" w:rsidRPr="0059443A" w:rsidRDefault="00196C06" w:rsidP="00196C06">
      <w:pPr>
        <w:spacing w:before="120" w:after="120" w:line="240" w:lineRule="auto"/>
        <w:ind w:left="1134" w:right="1134"/>
        <w:jc w:val="both"/>
        <w:rPr>
          <w:iCs/>
          <w:lang w:val="fr-FR"/>
        </w:rPr>
      </w:pPr>
      <w:r w:rsidRPr="0059443A">
        <w:rPr>
          <w:iCs/>
          <w:lang w:val="fr-FR"/>
        </w:rPr>
        <w:t>4.2.1.19.1</w:t>
      </w:r>
      <w:r w:rsidRPr="0059443A">
        <w:rPr>
          <w:iCs/>
          <w:lang w:val="fr-FR"/>
        </w:rPr>
        <w:tab/>
      </w:r>
      <w:r w:rsidRPr="0059443A">
        <w:rPr>
          <w:lang w:eastAsia="en-GB"/>
        </w:rPr>
        <w:t>Remplacer «risque</w:t>
      </w:r>
      <w:r>
        <w:rPr>
          <w:lang w:eastAsia="en-GB"/>
        </w:rPr>
        <w:t>s</w:t>
      </w:r>
      <w:r w:rsidRPr="0059443A">
        <w:rPr>
          <w:lang w:eastAsia="en-GB"/>
        </w:rPr>
        <w:t>» par «danger</w:t>
      </w:r>
      <w:r>
        <w:rPr>
          <w:lang w:eastAsia="en-GB"/>
        </w:rPr>
        <w:t>s</w:t>
      </w:r>
      <w:r w:rsidRPr="0059443A">
        <w:rPr>
          <w:lang w:eastAsia="en-GB"/>
        </w:rPr>
        <w:t>».</w:t>
      </w:r>
    </w:p>
    <w:p w14:paraId="5994BD41" w14:textId="7734C057" w:rsidR="00196C06" w:rsidRDefault="00196C06" w:rsidP="00196C06">
      <w:pPr>
        <w:spacing w:before="120" w:after="120" w:line="240" w:lineRule="auto"/>
        <w:ind w:left="1134" w:right="1134"/>
        <w:jc w:val="both"/>
      </w:pPr>
      <w:r w:rsidRPr="0074245A">
        <w:t xml:space="preserve">4.2.5.2.6, </w:t>
      </w:r>
      <w:r w:rsidRPr="0074245A">
        <w:rPr>
          <w:iCs/>
        </w:rPr>
        <w:t xml:space="preserve">instruction de transport en citernes mobiles </w:t>
      </w:r>
      <w:r w:rsidRPr="0074245A">
        <w:t>T23</w:t>
      </w:r>
      <w:r w:rsidRPr="0074245A">
        <w:tab/>
      </w:r>
      <w:r w:rsidRPr="0074245A">
        <w:tab/>
        <w:t xml:space="preserve">Dans la première ligne sous le titre, ajouter la nouvelle phrase suivante à la fin: «Les préparations énumérées ci-après peuvent également être transportées </w:t>
      </w:r>
      <w:r w:rsidR="00F8604F" w:rsidRPr="0074245A">
        <w:t>emballées conformément à la méthode d’emballage OP8 de l’instruction</w:t>
      </w:r>
      <w:r w:rsidRPr="0074245A">
        <w:t xml:space="preserve"> d’emballage P520 du 4.1.4.1, avec les mêmes températures de régulation et critiques, le cas échéant.».</w:t>
      </w:r>
    </w:p>
    <w:p w14:paraId="78922B55" w14:textId="77777777" w:rsidR="00196C06" w:rsidRPr="0059443A" w:rsidRDefault="00196C06" w:rsidP="00196C06">
      <w:pPr>
        <w:spacing w:before="120" w:after="120" w:line="240" w:lineRule="auto"/>
        <w:ind w:left="1134" w:right="1134"/>
        <w:jc w:val="both"/>
        <w:rPr>
          <w:iCs/>
        </w:rPr>
      </w:pPr>
      <w:r w:rsidRPr="0059443A">
        <w:rPr>
          <w:iCs/>
        </w:rPr>
        <w:t>4.2.5.2.6, instruction de transport en citernes mobiles T23</w:t>
      </w:r>
      <w:r w:rsidRPr="0059443A">
        <w:rPr>
          <w:iCs/>
        </w:rPr>
        <w:tab/>
        <w:t>Dans la note de bas de page d, à la fin, remplacer «risque» par «danger».</w:t>
      </w:r>
    </w:p>
    <w:p w14:paraId="6B542D7B" w14:textId="5CB04CAD" w:rsidR="008851A3" w:rsidRDefault="008851A3" w:rsidP="008851A3">
      <w:pPr>
        <w:pStyle w:val="SingleTxtG"/>
        <w:rPr>
          <w:lang w:val="fr-FR"/>
        </w:rPr>
      </w:pPr>
      <w:r>
        <w:rPr>
          <w:lang w:val="fr-FR"/>
        </w:rPr>
        <w:lastRenderedPageBreak/>
        <w:t xml:space="preserve">4.2.5.3, </w:t>
      </w:r>
      <w:r w:rsidR="001A6331">
        <w:rPr>
          <w:lang w:val="fr-FR"/>
        </w:rPr>
        <w:t>d</w:t>
      </w:r>
      <w:r w:rsidR="006A1C0A">
        <w:rPr>
          <w:lang w:val="fr-FR"/>
        </w:rPr>
        <w:t>isposition spéciale</w:t>
      </w:r>
      <w:r w:rsidR="001A6331" w:rsidRPr="001A6331">
        <w:rPr>
          <w:lang w:val="fr-FR"/>
        </w:rPr>
        <w:t xml:space="preserve"> </w:t>
      </w:r>
      <w:r>
        <w:rPr>
          <w:lang w:val="fr-FR"/>
        </w:rPr>
        <w:t>TP10</w:t>
      </w:r>
      <w:r>
        <w:rPr>
          <w:lang w:val="fr-FR"/>
        </w:rPr>
        <w:tab/>
        <w:t>Ajouter la nouvelle phrase suivante à la fin: «</w:t>
      </w:r>
      <w:r w:rsidRPr="006557DA">
        <w:rPr>
          <w:lang w:val="fr-FR"/>
        </w:rPr>
        <w:t xml:space="preserve">Une citerne mobile peut être </w:t>
      </w:r>
      <w:r>
        <w:rPr>
          <w:lang w:val="fr-FR"/>
        </w:rPr>
        <w:t>présentée au transport</w:t>
      </w:r>
      <w:r w:rsidRPr="006557DA">
        <w:rPr>
          <w:lang w:val="fr-FR"/>
        </w:rPr>
        <w:t xml:space="preserve"> après la date d’expiration de la validité du dernier contrôle du revêtement pour une période ne dépassant pas trois mois après cette date, après vidange mais avant nettoyage, pour être soumise à la prochaine épreuve ou au prochain contrôle avant d’être à nouveau remplie.</w:t>
      </w:r>
      <w:r>
        <w:rPr>
          <w:lang w:val="fr-FR"/>
        </w:rPr>
        <w:t>».</w:t>
      </w:r>
    </w:p>
    <w:p w14:paraId="1902720C" w14:textId="77777777" w:rsidR="00196C06" w:rsidRPr="00814742" w:rsidRDefault="00196C06" w:rsidP="00196C06">
      <w:pPr>
        <w:pStyle w:val="H1G"/>
      </w:pPr>
      <w:r>
        <w:tab/>
      </w:r>
      <w:r>
        <w:tab/>
      </w:r>
      <w:r w:rsidRPr="00814742">
        <w:t>Chapitre 4.3</w:t>
      </w:r>
    </w:p>
    <w:p w14:paraId="0DDDE412" w14:textId="77777777" w:rsidR="00196C06" w:rsidRDefault="00196C06" w:rsidP="00196C06">
      <w:pPr>
        <w:spacing w:before="120" w:after="120" w:line="240" w:lineRule="auto"/>
        <w:ind w:left="1134" w:right="1134"/>
        <w:jc w:val="both"/>
        <w:rPr>
          <w:lang w:val="fr-FR"/>
        </w:rPr>
      </w:pPr>
      <w:r w:rsidRPr="00EF61FC">
        <w:rPr>
          <w:lang w:val="fr-FR"/>
        </w:rPr>
        <w:t xml:space="preserve">4.3.1.12 </w:t>
      </w:r>
      <w:r>
        <w:rPr>
          <w:lang w:val="fr-FR"/>
        </w:rPr>
        <w:tab/>
        <w:t>À la fin, remplacer «risque» par «danger».</w:t>
      </w:r>
    </w:p>
    <w:p w14:paraId="08304A52" w14:textId="77777777" w:rsidR="00196C06" w:rsidRPr="0059443A" w:rsidRDefault="00196C06" w:rsidP="00196C06">
      <w:pPr>
        <w:pStyle w:val="H1G"/>
      </w:pPr>
      <w:r w:rsidRPr="0059443A">
        <w:tab/>
      </w:r>
      <w:r w:rsidRPr="0059443A">
        <w:tab/>
        <w:t>Chapitre 5.1</w:t>
      </w:r>
    </w:p>
    <w:p w14:paraId="3F9FDD2B" w14:textId="77777777" w:rsidR="00196C06" w:rsidRPr="00193B8A" w:rsidRDefault="00196C06" w:rsidP="00196C06">
      <w:pPr>
        <w:pStyle w:val="SingleTxtG"/>
        <w:rPr>
          <w:iCs/>
          <w:lang w:val="fr-FR"/>
        </w:rPr>
      </w:pPr>
      <w:r w:rsidRPr="00193B8A">
        <w:rPr>
          <w:iCs/>
          <w:lang w:val="fr-FR"/>
        </w:rPr>
        <w:t>5.1.1</w:t>
      </w:r>
      <w:r w:rsidRPr="00193B8A">
        <w:rPr>
          <w:iCs/>
          <w:lang w:val="fr-FR"/>
        </w:rPr>
        <w:tab/>
        <w:t>À la fin, ajouter un nouveau Nota pour lire comme suit:</w:t>
      </w:r>
    </w:p>
    <w:p w14:paraId="72F488FE" w14:textId="77777777" w:rsidR="00196C06" w:rsidRPr="00193B8A" w:rsidRDefault="00196C06" w:rsidP="00196C06">
      <w:pPr>
        <w:pStyle w:val="SingleTxtG"/>
        <w:rPr>
          <w:iCs/>
          <w:lang w:val="fr-FR"/>
        </w:rPr>
      </w:pPr>
      <w:r w:rsidRPr="00193B8A">
        <w:rPr>
          <w:iCs/>
          <w:lang w:val="fr-FR"/>
        </w:rPr>
        <w:t>«</w:t>
      </w:r>
      <w:r w:rsidRPr="00193B8A">
        <w:rPr>
          <w:b/>
          <w:i/>
          <w:iCs/>
          <w:lang w:val="fr-FR"/>
        </w:rPr>
        <w:t>NOTA:</w:t>
      </w:r>
      <w:r w:rsidRPr="00193B8A">
        <w:rPr>
          <w:i/>
          <w:iCs/>
          <w:lang w:val="fr-FR"/>
        </w:rPr>
        <w:tab/>
      </w:r>
      <w:r w:rsidRPr="00193B8A">
        <w:rPr>
          <w:i/>
        </w:rPr>
        <w:t xml:space="preserve">Conformément au </w:t>
      </w:r>
      <w:r>
        <w:rPr>
          <w:i/>
        </w:rPr>
        <w:t>SGH</w:t>
      </w:r>
      <w:r w:rsidRPr="00193B8A">
        <w:rPr>
          <w:i/>
        </w:rPr>
        <w:t xml:space="preserve">, pendant le transport, un pictogramme SGH non exigé par le présent Règlement ne doit apparaître que dans le cadre d’une étiquette SGH complète, </w:t>
      </w:r>
      <w:r>
        <w:rPr>
          <w:i/>
        </w:rPr>
        <w:t>et</w:t>
      </w:r>
      <w:r w:rsidRPr="00193B8A">
        <w:rPr>
          <w:i/>
        </w:rPr>
        <w:t xml:space="preserve"> pas de manière indépendante (voir SGH, 1.4.10.4.4).</w:t>
      </w:r>
      <w:r w:rsidRPr="00193B8A">
        <w:rPr>
          <w:iCs/>
          <w:lang w:val="fr-FR"/>
        </w:rPr>
        <w:t>».</w:t>
      </w:r>
    </w:p>
    <w:p w14:paraId="536CF253" w14:textId="77777777" w:rsidR="00196C06" w:rsidRPr="0059443A" w:rsidRDefault="00196C06" w:rsidP="00196C06">
      <w:pPr>
        <w:spacing w:before="120" w:after="120" w:line="240" w:lineRule="auto"/>
        <w:ind w:left="1134" w:right="1134"/>
        <w:jc w:val="both"/>
        <w:rPr>
          <w:iCs/>
          <w:lang w:val="fr-FR"/>
        </w:rPr>
      </w:pPr>
      <w:r w:rsidRPr="0059443A">
        <w:rPr>
          <w:iCs/>
          <w:lang w:val="fr-FR"/>
        </w:rPr>
        <w:t>5.1.4</w:t>
      </w:r>
      <w:r w:rsidRPr="0059443A">
        <w:rPr>
          <w:iCs/>
          <w:lang w:val="fr-FR"/>
        </w:rPr>
        <w:tab/>
      </w:r>
      <w:r w:rsidRPr="0059443A">
        <w:rPr>
          <w:lang w:eastAsia="en-GB"/>
        </w:rPr>
        <w:t>Remplacer «risque» par «danger» (deux fois).</w:t>
      </w:r>
    </w:p>
    <w:p w14:paraId="33A2AF78" w14:textId="77777777" w:rsidR="00196C06" w:rsidRPr="0059443A" w:rsidRDefault="00196C06" w:rsidP="00196C06">
      <w:pPr>
        <w:pStyle w:val="H1G"/>
      </w:pPr>
      <w:r w:rsidRPr="0059443A">
        <w:tab/>
      </w:r>
      <w:r w:rsidRPr="0059443A">
        <w:tab/>
        <w:t>Chapitre 5.2</w:t>
      </w:r>
    </w:p>
    <w:p w14:paraId="033261C5" w14:textId="77777777" w:rsidR="008521AB" w:rsidRDefault="008521AB" w:rsidP="008521AB">
      <w:pPr>
        <w:pStyle w:val="SingleTxtG"/>
        <w:rPr>
          <w:lang w:val="fr-FR"/>
        </w:rPr>
      </w:pPr>
      <w:r>
        <w:rPr>
          <w:lang w:val="fr-FR"/>
        </w:rPr>
        <w:t>5.2.1.3</w:t>
      </w:r>
      <w:r w:rsidR="00E103B7">
        <w:rPr>
          <w:lang w:val="fr-FR"/>
        </w:rPr>
        <w:tab/>
      </w:r>
      <w:r>
        <w:rPr>
          <w:lang w:val="fr-FR"/>
        </w:rPr>
        <w:tab/>
        <w:t>Après «Les emballages de secours» ajouter «, y compris les grands emballages de secours,».</w:t>
      </w:r>
    </w:p>
    <w:p w14:paraId="4ED8AEC2" w14:textId="77777777" w:rsidR="00196C06" w:rsidRPr="0059443A" w:rsidRDefault="00196C06" w:rsidP="00196C06">
      <w:pPr>
        <w:spacing w:before="120" w:after="120" w:line="240" w:lineRule="auto"/>
        <w:ind w:left="1134" w:right="1134"/>
        <w:jc w:val="both"/>
        <w:rPr>
          <w:iCs/>
          <w:lang w:val="fr-FR"/>
        </w:rPr>
      </w:pPr>
      <w:r w:rsidRPr="0059443A">
        <w:rPr>
          <w:lang w:eastAsia="en-GB"/>
        </w:rPr>
        <w:t>5.2.2.1.1</w:t>
      </w:r>
      <w:r w:rsidRPr="0059443A">
        <w:rPr>
          <w:iCs/>
          <w:lang w:val="fr-FR"/>
        </w:rPr>
        <w:tab/>
      </w:r>
      <w:r w:rsidRPr="0059443A">
        <w:rPr>
          <w:lang w:eastAsia="en-GB"/>
        </w:rPr>
        <w:t>Remplacer «risque» par «danger» (trois fois).</w:t>
      </w:r>
    </w:p>
    <w:p w14:paraId="6767D2C6" w14:textId="77777777" w:rsidR="00196C06" w:rsidRPr="0059443A" w:rsidRDefault="00196C06" w:rsidP="00196C06">
      <w:pPr>
        <w:spacing w:before="120" w:after="120" w:line="240" w:lineRule="auto"/>
        <w:ind w:left="1134" w:right="1134"/>
        <w:jc w:val="both"/>
        <w:rPr>
          <w:iCs/>
          <w:lang w:val="fr-FR"/>
        </w:rPr>
      </w:pPr>
      <w:r w:rsidRPr="0059443A">
        <w:rPr>
          <w:lang w:eastAsia="en-GB"/>
        </w:rPr>
        <w:t>5.2.2.1.2</w:t>
      </w:r>
      <w:r w:rsidRPr="0059443A">
        <w:rPr>
          <w:iCs/>
          <w:lang w:val="fr-FR"/>
        </w:rPr>
        <w:tab/>
      </w:r>
      <w:r w:rsidRPr="0059443A">
        <w:rPr>
          <w:lang w:eastAsia="en-GB"/>
        </w:rPr>
        <w:t>Remplacer «risque» par «danger» (cinq fois).</w:t>
      </w:r>
    </w:p>
    <w:p w14:paraId="5091CB96" w14:textId="77777777" w:rsidR="00196C06" w:rsidRPr="0059443A" w:rsidRDefault="00196C06" w:rsidP="00196C06">
      <w:pPr>
        <w:spacing w:before="120" w:after="120" w:line="240" w:lineRule="auto"/>
        <w:ind w:left="1134" w:right="1134"/>
        <w:jc w:val="both"/>
        <w:rPr>
          <w:iCs/>
          <w:lang w:val="fr-FR"/>
        </w:rPr>
      </w:pPr>
      <w:r w:rsidRPr="0059443A">
        <w:rPr>
          <w:lang w:eastAsia="en-GB"/>
        </w:rPr>
        <w:t xml:space="preserve">5.2.2.1.3 </w:t>
      </w:r>
      <w:r w:rsidRPr="0059443A">
        <w:rPr>
          <w:iCs/>
          <w:lang w:val="fr-FR"/>
        </w:rPr>
        <w:tab/>
      </w:r>
      <w:r w:rsidRPr="0059443A">
        <w:rPr>
          <w:lang w:eastAsia="en-GB"/>
        </w:rPr>
        <w:t>Remplacer «risque» par «danger» (trois fois).</w:t>
      </w:r>
    </w:p>
    <w:p w14:paraId="12C97282" w14:textId="77777777" w:rsidR="00196C06" w:rsidRPr="0059443A" w:rsidRDefault="00196C06" w:rsidP="00196C06">
      <w:pPr>
        <w:spacing w:before="120" w:after="120" w:line="240" w:lineRule="auto"/>
        <w:ind w:left="1134" w:right="1134"/>
        <w:jc w:val="both"/>
        <w:rPr>
          <w:iCs/>
          <w:lang w:val="fr-FR"/>
        </w:rPr>
      </w:pPr>
      <w:r w:rsidRPr="0059443A">
        <w:rPr>
          <w:lang w:eastAsia="en-GB"/>
        </w:rPr>
        <w:t xml:space="preserve">5.2.2.1.3.1 </w:t>
      </w:r>
      <w:r w:rsidRPr="0059443A">
        <w:rPr>
          <w:iCs/>
          <w:lang w:val="fr-FR"/>
        </w:rPr>
        <w:tab/>
      </w:r>
      <w:r w:rsidRPr="0059443A">
        <w:rPr>
          <w:lang w:eastAsia="en-GB"/>
        </w:rPr>
        <w:t>Remplacer «risque» par «danger» (deux fois).</w:t>
      </w:r>
    </w:p>
    <w:p w14:paraId="434BEB36" w14:textId="77777777" w:rsidR="00196C06" w:rsidRPr="0059443A" w:rsidRDefault="00196C06" w:rsidP="00196C06">
      <w:pPr>
        <w:spacing w:before="120" w:after="120" w:line="240" w:lineRule="auto"/>
        <w:ind w:left="1134" w:right="1134"/>
        <w:jc w:val="both"/>
        <w:rPr>
          <w:iCs/>
          <w:lang w:val="fr-FR"/>
        </w:rPr>
      </w:pPr>
      <w:r w:rsidRPr="0059443A">
        <w:rPr>
          <w:lang w:eastAsia="en-GB"/>
        </w:rPr>
        <w:t xml:space="preserve">5.2.2.1.4 </w:t>
      </w:r>
      <w:r w:rsidRPr="0059443A">
        <w:rPr>
          <w:iCs/>
          <w:lang w:val="fr-FR"/>
        </w:rPr>
        <w:tab/>
        <w:t xml:space="preserve">Dans le titre, </w:t>
      </w:r>
      <w:r w:rsidRPr="0059443A">
        <w:rPr>
          <w:lang w:eastAsia="en-GB"/>
        </w:rPr>
        <w:t>remplacer «risque(s)» par «danger(s)». Dans le tableau, dans le titre de la deuxième et de la quatrième colonne, remplacer «risque(s)» par «danger(s)». Dans le tableau, dans le titre de la troisième colonne, remplacer «risque» par «danger».</w:t>
      </w:r>
    </w:p>
    <w:p w14:paraId="44331A57" w14:textId="77777777" w:rsidR="00196C06" w:rsidRPr="0059443A" w:rsidRDefault="00196C06" w:rsidP="00196C06">
      <w:pPr>
        <w:spacing w:before="120" w:after="120" w:line="240" w:lineRule="auto"/>
        <w:ind w:left="1134" w:right="1134"/>
        <w:jc w:val="both"/>
        <w:rPr>
          <w:lang w:eastAsia="en-GB"/>
        </w:rPr>
      </w:pPr>
      <w:r w:rsidRPr="0059443A">
        <w:rPr>
          <w:lang w:eastAsia="en-GB"/>
        </w:rPr>
        <w:t>5.2.2.1.5</w:t>
      </w:r>
      <w:r w:rsidRPr="0059443A">
        <w:rPr>
          <w:lang w:eastAsia="en-GB"/>
        </w:rPr>
        <w:tab/>
        <w:t>À la fin, remplacer «risques» par «dangers».</w:t>
      </w:r>
    </w:p>
    <w:p w14:paraId="79ED0C89" w14:textId="77777777" w:rsidR="00196C06" w:rsidRPr="0059443A" w:rsidRDefault="00196C06" w:rsidP="00196C06">
      <w:pPr>
        <w:spacing w:before="120" w:after="120" w:line="240" w:lineRule="auto"/>
        <w:ind w:left="1134" w:right="1134"/>
        <w:jc w:val="both"/>
        <w:rPr>
          <w:lang w:eastAsia="en-GB"/>
        </w:rPr>
      </w:pPr>
      <w:r w:rsidRPr="0059443A">
        <w:rPr>
          <w:lang w:eastAsia="en-GB"/>
        </w:rPr>
        <w:t>5.2.2.1.6 c)</w:t>
      </w:r>
      <w:r w:rsidRPr="0059443A">
        <w:rPr>
          <w:iCs/>
          <w:lang w:val="fr-FR"/>
        </w:rPr>
        <w:t xml:space="preserve"> </w:t>
      </w:r>
      <w:r w:rsidRPr="0059443A">
        <w:rPr>
          <w:iCs/>
          <w:lang w:val="fr-FR"/>
        </w:rPr>
        <w:tab/>
      </w:r>
      <w:r w:rsidRPr="0059443A">
        <w:rPr>
          <w:lang w:eastAsia="en-GB"/>
        </w:rPr>
        <w:t>Remplacer «risque» par «danger».</w:t>
      </w:r>
    </w:p>
    <w:p w14:paraId="220591F7" w14:textId="77777777" w:rsidR="00196C06" w:rsidRPr="0059443A" w:rsidRDefault="00196C06" w:rsidP="00196C06">
      <w:pPr>
        <w:spacing w:before="120" w:after="120" w:line="240" w:lineRule="auto"/>
        <w:ind w:left="1134" w:right="1134"/>
        <w:jc w:val="both"/>
        <w:rPr>
          <w:lang w:eastAsia="en-GB"/>
        </w:rPr>
      </w:pPr>
      <w:r w:rsidRPr="0059443A">
        <w:rPr>
          <w:lang w:eastAsia="en-GB"/>
        </w:rPr>
        <w:t>5.2.2.1.9</w:t>
      </w:r>
      <w:r w:rsidRPr="0059443A">
        <w:rPr>
          <w:iCs/>
          <w:lang w:val="fr-FR"/>
        </w:rPr>
        <w:t xml:space="preserve"> </w:t>
      </w:r>
      <w:r w:rsidRPr="0059443A">
        <w:rPr>
          <w:iCs/>
          <w:lang w:val="fr-FR"/>
        </w:rPr>
        <w:tab/>
      </w:r>
      <w:r w:rsidRPr="0059443A">
        <w:rPr>
          <w:lang w:eastAsia="en-GB"/>
        </w:rPr>
        <w:t>Remplacer «risque» par «danger» (deux fois).</w:t>
      </w:r>
    </w:p>
    <w:p w14:paraId="5F9D2CB5" w14:textId="77777777" w:rsidR="00196C06" w:rsidRPr="0059443A" w:rsidRDefault="00196C06" w:rsidP="00196C06">
      <w:pPr>
        <w:spacing w:before="120" w:after="120" w:line="240" w:lineRule="auto"/>
        <w:ind w:left="1134" w:right="1134"/>
        <w:jc w:val="both"/>
        <w:rPr>
          <w:lang w:eastAsia="en-GB"/>
        </w:rPr>
      </w:pPr>
      <w:r w:rsidRPr="0059443A">
        <w:rPr>
          <w:lang w:eastAsia="en-GB"/>
        </w:rPr>
        <w:t>5.2.2.1.10</w:t>
      </w:r>
      <w:r w:rsidRPr="0059443A">
        <w:rPr>
          <w:iCs/>
          <w:lang w:val="fr-FR"/>
        </w:rPr>
        <w:t xml:space="preserve"> </w:t>
      </w:r>
      <w:r w:rsidRPr="0059443A">
        <w:rPr>
          <w:iCs/>
          <w:lang w:val="fr-FR"/>
        </w:rPr>
        <w:tab/>
      </w:r>
      <w:r w:rsidRPr="0059443A">
        <w:rPr>
          <w:lang w:eastAsia="en-GB"/>
        </w:rPr>
        <w:t>Remplacer «risque» par «danger» (quatre fois).</w:t>
      </w:r>
    </w:p>
    <w:p w14:paraId="5A6558A7" w14:textId="77777777" w:rsidR="00196C06" w:rsidRPr="0059443A" w:rsidRDefault="00196C06" w:rsidP="00196C06">
      <w:pPr>
        <w:spacing w:before="120" w:after="120" w:line="240" w:lineRule="auto"/>
        <w:ind w:left="1134" w:right="1134"/>
        <w:jc w:val="both"/>
        <w:rPr>
          <w:lang w:eastAsia="en-GB"/>
        </w:rPr>
      </w:pPr>
      <w:r w:rsidRPr="0059443A">
        <w:rPr>
          <w:lang w:eastAsia="en-GB"/>
        </w:rPr>
        <w:t>5.2.2.1.11</w:t>
      </w:r>
      <w:r w:rsidRPr="0059443A">
        <w:rPr>
          <w:lang w:eastAsia="en-GB"/>
        </w:rPr>
        <w:tab/>
        <w:t>Remplacer «risque» par «danger».</w:t>
      </w:r>
    </w:p>
    <w:p w14:paraId="0CDD4BAF" w14:textId="25AD55A8" w:rsidR="00E103B7" w:rsidRDefault="00E103B7" w:rsidP="00196C06">
      <w:pPr>
        <w:spacing w:before="120" w:after="120" w:line="240" w:lineRule="auto"/>
        <w:ind w:left="1134" w:right="1134"/>
        <w:jc w:val="both"/>
      </w:pPr>
      <w:r w:rsidRPr="00E103B7">
        <w:t>5.2.2.1.13</w:t>
      </w:r>
      <w:r>
        <w:tab/>
        <w:t>Ajouter la nouvelle sous-section suivante:</w:t>
      </w:r>
    </w:p>
    <w:p w14:paraId="20AD2DB3" w14:textId="77777777" w:rsidR="00E103B7" w:rsidRDefault="00E103B7" w:rsidP="00E103B7">
      <w:pPr>
        <w:pStyle w:val="SingleTxtG"/>
      </w:pPr>
      <w:r>
        <w:t>«5.2.2.1.13</w:t>
      </w:r>
      <w:r>
        <w:tab/>
      </w:r>
      <w:r w:rsidRPr="00803900">
        <w:rPr>
          <w:i/>
        </w:rPr>
        <w:t>Étiquetage des objets contenant des matières dangereuses transportés sous les numéros ONU 35</w:t>
      </w:r>
      <w:r>
        <w:rPr>
          <w:i/>
        </w:rPr>
        <w:t>37</w:t>
      </w:r>
      <w:r w:rsidRPr="00803900">
        <w:rPr>
          <w:i/>
        </w:rPr>
        <w:t>, 35</w:t>
      </w:r>
      <w:r>
        <w:rPr>
          <w:i/>
        </w:rPr>
        <w:t>38</w:t>
      </w:r>
      <w:r w:rsidRPr="00803900">
        <w:rPr>
          <w:i/>
        </w:rPr>
        <w:t>, 35</w:t>
      </w:r>
      <w:r>
        <w:rPr>
          <w:i/>
        </w:rPr>
        <w:t>39</w:t>
      </w:r>
      <w:r w:rsidRPr="00803900">
        <w:rPr>
          <w:i/>
        </w:rPr>
        <w:t>, 35</w:t>
      </w:r>
      <w:r>
        <w:rPr>
          <w:i/>
        </w:rPr>
        <w:t>40</w:t>
      </w:r>
      <w:r w:rsidRPr="00803900">
        <w:rPr>
          <w:i/>
        </w:rPr>
        <w:t>, 35</w:t>
      </w:r>
      <w:r>
        <w:rPr>
          <w:i/>
        </w:rPr>
        <w:t>41</w:t>
      </w:r>
      <w:r w:rsidRPr="00803900">
        <w:rPr>
          <w:i/>
        </w:rPr>
        <w:t>, 35</w:t>
      </w:r>
      <w:r>
        <w:rPr>
          <w:i/>
        </w:rPr>
        <w:t>42</w:t>
      </w:r>
      <w:r w:rsidRPr="00803900">
        <w:rPr>
          <w:i/>
        </w:rPr>
        <w:t>, 35</w:t>
      </w:r>
      <w:r>
        <w:rPr>
          <w:i/>
        </w:rPr>
        <w:t>43</w:t>
      </w:r>
      <w:r w:rsidRPr="00803900">
        <w:rPr>
          <w:i/>
        </w:rPr>
        <w:t>, 35</w:t>
      </w:r>
      <w:r>
        <w:rPr>
          <w:i/>
        </w:rPr>
        <w:t>44</w:t>
      </w:r>
      <w:r w:rsidRPr="00803900">
        <w:rPr>
          <w:i/>
        </w:rPr>
        <w:t>, 35</w:t>
      </w:r>
      <w:r>
        <w:rPr>
          <w:i/>
        </w:rPr>
        <w:t>45</w:t>
      </w:r>
      <w:r w:rsidRPr="00803900">
        <w:rPr>
          <w:i/>
        </w:rPr>
        <w:t>, 35</w:t>
      </w:r>
      <w:r>
        <w:rPr>
          <w:i/>
        </w:rPr>
        <w:t>46</w:t>
      </w:r>
      <w:r w:rsidRPr="00803900">
        <w:rPr>
          <w:i/>
        </w:rPr>
        <w:t>, 35</w:t>
      </w:r>
      <w:r>
        <w:rPr>
          <w:i/>
        </w:rPr>
        <w:t>47</w:t>
      </w:r>
      <w:r w:rsidRPr="00803900">
        <w:rPr>
          <w:i/>
        </w:rPr>
        <w:t xml:space="preserve"> et 35</w:t>
      </w:r>
      <w:r>
        <w:rPr>
          <w:i/>
        </w:rPr>
        <w:t>48</w:t>
      </w:r>
      <w:r>
        <w:t xml:space="preserve"> </w:t>
      </w:r>
    </w:p>
    <w:p w14:paraId="2EBEFD8D" w14:textId="2F41E6F2" w:rsidR="00E103B7" w:rsidRDefault="00E103B7" w:rsidP="00E103B7">
      <w:pPr>
        <w:pStyle w:val="SingleTxtG"/>
      </w:pPr>
      <w:r>
        <w:t>5.2.2.1.13.1</w:t>
      </w:r>
      <w:r>
        <w:tab/>
        <w:t xml:space="preserve">Les colis contenant des objets </w:t>
      </w:r>
      <w:r w:rsidR="0085770B">
        <w:t>contenant</w:t>
      </w:r>
      <w:r>
        <w:t xml:space="preserve"> des marchandises dangereuses et </w:t>
      </w:r>
      <w:r w:rsidR="0085770B">
        <w:t>les objets contenant d</w:t>
      </w:r>
      <w:r>
        <w:t xml:space="preserve">es marchandises dangereuses </w:t>
      </w:r>
      <w:r w:rsidR="0085770B">
        <w:t>qui sont transportés non emballé</w:t>
      </w:r>
      <w:r>
        <w:t xml:space="preserve">s doivent être étiquetés conformément au 5.2.2.1.2, en tenant compte des risques définis conformément au 2.0.5. Si l’objet contient une ou plusieurs batteries au lithium avec, pour les batteries au lithium métal, une quantité totale de lithium inférieure ou égale à 2 g, et, pour les batteries au lithium ionique, une énergie nominale en wattheures inférieure ou </w:t>
      </w:r>
      <w:r>
        <w:lastRenderedPageBreak/>
        <w:t xml:space="preserve">égale à 100 Wh, la marque pour les piles au lithium (figure 5.2.5) doit être apposée sur le colis ou sur l’objet non emballé. Si l’objet contient une ou plusieurs batteries au lithium avec, pour les batteries au lithium métal, une quantité totale de lithium supérieure à 2 g, et, pour les batteries au lithium ionique, une énergie nominale en wattheures supérieure à 100 Wh, l’étiquette pour les piles au lithium (voir No 9A au 5.2.2.1.2) doit être apposée sur le colis ou sur l’objet non emballé. </w:t>
      </w:r>
    </w:p>
    <w:p w14:paraId="7011D5AC" w14:textId="2AF4C415" w:rsidR="00E103B7" w:rsidRDefault="00E103B7" w:rsidP="00E103B7">
      <w:pPr>
        <w:pStyle w:val="SingleTxtG"/>
      </w:pPr>
      <w:r>
        <w:t>5.2.2.1.13.2</w:t>
      </w:r>
      <w:r>
        <w:tab/>
        <w:t xml:space="preserve">S’il est prescrit que les objets contenant des matières dangereuses liquides doivent être maintenus dans une position déterminée, des marques conformes au 5.2.1.7.1 indiquant l’orientation à respecter doivent être apposées de manière visible sur au moins deux </w:t>
      </w:r>
      <w:r w:rsidRPr="004C70B6">
        <w:t xml:space="preserve">faces verticales opposées </w:t>
      </w:r>
      <w:r w:rsidR="004C70B6">
        <w:t xml:space="preserve">du colis ou </w:t>
      </w:r>
      <w:r w:rsidRPr="004C70B6">
        <w:t xml:space="preserve">de l’objet </w:t>
      </w:r>
      <w:r w:rsidR="004C70B6">
        <w:t xml:space="preserve">non </w:t>
      </w:r>
      <w:r w:rsidRPr="004C70B6">
        <w:t>emballé, lorsque cela est possible, les flèches pointant</w:t>
      </w:r>
      <w:r>
        <w:t xml:space="preserve"> vers le haut.».</w:t>
      </w:r>
    </w:p>
    <w:p w14:paraId="4C610294" w14:textId="77777777" w:rsidR="00196C06" w:rsidRDefault="00196C06" w:rsidP="00196C06">
      <w:pPr>
        <w:pStyle w:val="SingleTxtG"/>
        <w:spacing w:before="120"/>
      </w:pPr>
      <w:r w:rsidRPr="00C57D44">
        <w:t>5.2.2.2.1.1.3</w:t>
      </w:r>
      <w:r>
        <w:tab/>
      </w:r>
      <w:r>
        <w:rPr>
          <w:iCs/>
          <w:lang w:val="fr-FR"/>
        </w:rPr>
        <w:t>Modifier pour lire comme suit:</w:t>
      </w:r>
    </w:p>
    <w:p w14:paraId="40ACC8CC" w14:textId="77777777" w:rsidR="00196C06" w:rsidRPr="001D0D59" w:rsidRDefault="00196C06" w:rsidP="00196C06">
      <w:pPr>
        <w:pStyle w:val="SingleTxtG"/>
        <w:spacing w:before="120"/>
        <w:rPr>
          <w:lang w:val="fr-FR"/>
        </w:rPr>
      </w:pPr>
      <w:r w:rsidRPr="00C57D44">
        <w:t>5.2.2.2.1.1.</w:t>
      </w:r>
      <w:r w:rsidRPr="00110EAA">
        <w:t>3</w:t>
      </w:r>
      <w:r w:rsidRPr="00110EAA">
        <w:rPr>
          <w:lang w:val="fr-FR"/>
        </w:rPr>
        <w:t xml:space="preserve"> Dans la première phrase, après «peuvent être réduites» ajouter «proportionnellement». Supprimer les deuxième et troisième phrases («La ligne tracée à l’intérieur de l’étiquette doit rester à 5 mm du bord. L’épaisseur minimale de cette ligne doit rester de 2 </w:t>
      </w:r>
      <w:proofErr w:type="spellStart"/>
      <w:r w:rsidRPr="00110EAA">
        <w:rPr>
          <w:lang w:val="fr-FR"/>
        </w:rPr>
        <w:t>mm.</w:t>
      </w:r>
      <w:proofErr w:type="spellEnd"/>
      <w:r w:rsidRPr="00110EAA">
        <w:rPr>
          <w:lang w:val="fr-FR"/>
        </w:rPr>
        <w:t>»).</w:t>
      </w:r>
    </w:p>
    <w:p w14:paraId="7C74B413" w14:textId="77777777" w:rsidR="00196C06" w:rsidRDefault="00196C06" w:rsidP="00196C06">
      <w:pPr>
        <w:spacing w:before="120" w:after="120" w:line="240" w:lineRule="auto"/>
        <w:ind w:left="1134" w:right="1134"/>
        <w:jc w:val="both"/>
        <w:rPr>
          <w:i/>
          <w:iCs/>
        </w:rPr>
      </w:pPr>
      <w:r w:rsidRPr="00EF61FC">
        <w:rPr>
          <w:lang w:val="fr-FR"/>
        </w:rPr>
        <w:t>5.2.2.</w:t>
      </w:r>
      <w:r>
        <w:rPr>
          <w:lang w:val="fr-FR"/>
        </w:rPr>
        <w:t>2.</w:t>
      </w:r>
      <w:r w:rsidRPr="00EF61FC">
        <w:rPr>
          <w:lang w:val="fr-FR"/>
        </w:rPr>
        <w:t xml:space="preserve">1.2 </w:t>
      </w:r>
      <w:r>
        <w:rPr>
          <w:lang w:val="fr-FR"/>
        </w:rPr>
        <w:tab/>
        <w:t xml:space="preserve">Dans la première </w:t>
      </w:r>
      <w:proofErr w:type="gramStart"/>
      <w:r>
        <w:rPr>
          <w:lang w:val="fr-FR"/>
        </w:rPr>
        <w:t>phrase ,</w:t>
      </w:r>
      <w:proofErr w:type="gramEnd"/>
      <w:r>
        <w:rPr>
          <w:lang w:val="fr-FR"/>
        </w:rPr>
        <w:t xml:space="preserve"> après «ISO 7225:2005» ajouter «"</w:t>
      </w:r>
      <w:r w:rsidRPr="00BD1145">
        <w:rPr>
          <w:lang w:val="fr-FR"/>
        </w:rPr>
        <w:t>Bouteilles à gaz</w:t>
      </w:r>
      <w:r>
        <w:rPr>
          <w:lang w:val="fr-FR"/>
        </w:rPr>
        <w:t xml:space="preserve"> – </w:t>
      </w:r>
      <w:r w:rsidRPr="00BD1145">
        <w:rPr>
          <w:lang w:val="fr-FR"/>
        </w:rPr>
        <w:t>Étiquettes</w:t>
      </w:r>
      <w:r>
        <w:rPr>
          <w:lang w:val="fr-FR"/>
        </w:rPr>
        <w:t xml:space="preserve"> informative"».  Dans la deuxième phrase, supprimer «</w:t>
      </w:r>
      <w:r w:rsidRPr="00FB6077">
        <w:rPr>
          <w:lang w:val="fr-FR"/>
        </w:rPr>
        <w:t>"Bouteilles à gaz - Étiquettes de risque"</w:t>
      </w:r>
      <w:r>
        <w:rPr>
          <w:lang w:val="fr-FR"/>
        </w:rPr>
        <w:t>» et  remplacer «risque primaire» par «danger primaire».</w:t>
      </w:r>
    </w:p>
    <w:p w14:paraId="74747EA9" w14:textId="77777777" w:rsidR="00196C06" w:rsidRDefault="00196C06" w:rsidP="00196C06">
      <w:pPr>
        <w:spacing w:before="120" w:after="120" w:line="240" w:lineRule="auto"/>
        <w:ind w:left="1134" w:right="1134"/>
        <w:jc w:val="both"/>
        <w:rPr>
          <w:lang w:val="fr-FR"/>
        </w:rPr>
      </w:pPr>
      <w:r>
        <w:rPr>
          <w:lang w:val="fr-FR"/>
        </w:rPr>
        <w:t>5.2.2.2.1.3</w:t>
      </w:r>
      <w:r>
        <w:rPr>
          <w:lang w:val="fr-FR"/>
        </w:rPr>
        <w:tab/>
        <w:t>Remplacer «classe de risque» par «classe de danger».</w:t>
      </w:r>
    </w:p>
    <w:p w14:paraId="1B4EEF5D" w14:textId="77777777" w:rsidR="00196C06" w:rsidRPr="0059443A" w:rsidRDefault="00196C06" w:rsidP="00196C06">
      <w:pPr>
        <w:spacing w:before="120" w:after="120" w:line="240" w:lineRule="auto"/>
        <w:ind w:left="1134" w:right="1134"/>
        <w:jc w:val="both"/>
        <w:rPr>
          <w:lang w:eastAsia="en-GB"/>
        </w:rPr>
      </w:pPr>
      <w:r w:rsidRPr="0059443A">
        <w:rPr>
          <w:lang w:eastAsia="en-GB"/>
        </w:rPr>
        <w:t>5.2.2.2.1.5</w:t>
      </w:r>
      <w:r w:rsidRPr="0059443A">
        <w:rPr>
          <w:lang w:eastAsia="en-GB"/>
        </w:rPr>
        <w:tab/>
        <w:t>Remplacer «risque» par «danger».</w:t>
      </w:r>
    </w:p>
    <w:p w14:paraId="71514F46" w14:textId="77777777" w:rsidR="00196C06" w:rsidRPr="0059443A" w:rsidRDefault="00196C06" w:rsidP="00196C06">
      <w:pPr>
        <w:spacing w:before="120" w:after="120" w:line="240" w:lineRule="auto"/>
        <w:ind w:left="1134" w:right="1134"/>
        <w:jc w:val="both"/>
        <w:rPr>
          <w:lang w:eastAsia="en-GB"/>
        </w:rPr>
      </w:pPr>
      <w:r w:rsidRPr="0059443A">
        <w:rPr>
          <w:lang w:eastAsia="en-GB"/>
        </w:rPr>
        <w:t>5.2.2.2.1.5</w:t>
      </w:r>
      <w:r w:rsidRPr="0059443A">
        <w:rPr>
          <w:lang w:eastAsia="en-GB"/>
        </w:rPr>
        <w:tab/>
        <w:t>Remplacer «risque» par «danger».</w:t>
      </w:r>
    </w:p>
    <w:p w14:paraId="60CFE3BD" w14:textId="77777777" w:rsidR="00196C06" w:rsidRPr="00BE5E79" w:rsidRDefault="00196C06" w:rsidP="00196C06">
      <w:pPr>
        <w:pStyle w:val="SingleTxtG"/>
        <w:rPr>
          <w:iCs/>
          <w:lang w:val="fr-FR"/>
        </w:rPr>
      </w:pPr>
      <w:r>
        <w:rPr>
          <w:iCs/>
          <w:lang w:val="fr-FR"/>
        </w:rPr>
        <w:t>5.2.2.2.2</w:t>
      </w:r>
      <w:r>
        <w:rPr>
          <w:iCs/>
          <w:lang w:val="fr-FR"/>
        </w:rPr>
        <w:tab/>
        <w:t>Modifier pour lire comme suit:</w:t>
      </w:r>
    </w:p>
    <w:p w14:paraId="2260A407" w14:textId="77777777" w:rsidR="00196C06" w:rsidRDefault="00196C06" w:rsidP="00196C06">
      <w:pPr>
        <w:pStyle w:val="SingleTxtG"/>
        <w:rPr>
          <w:lang w:val="fr-FR"/>
        </w:rPr>
      </w:pPr>
      <w:r>
        <w:rPr>
          <w:lang w:val="fr-FR"/>
        </w:rPr>
        <w:t>«</w:t>
      </w:r>
      <w:r w:rsidRPr="007A7CFA">
        <w:rPr>
          <w:lang w:val="fr-FR"/>
        </w:rPr>
        <w:t>5.2.2.2.2</w:t>
      </w:r>
      <w:r w:rsidRPr="007A7CFA">
        <w:rPr>
          <w:lang w:val="fr-FR"/>
        </w:rPr>
        <w:tab/>
        <w:t>Modèles d'étiquettes</w:t>
      </w:r>
    </w:p>
    <w:p w14:paraId="70815644" w14:textId="77777777" w:rsidR="00196C06" w:rsidRDefault="00196C06" w:rsidP="00196C06">
      <w:pPr>
        <w:pStyle w:val="SingleTxtG"/>
        <w:rPr>
          <w:b/>
          <w:lang w:val="fr-FR"/>
        </w:rPr>
        <w:sectPr w:rsidR="00196C06" w:rsidSect="006201FD">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pPr>
    </w:p>
    <w:p w14:paraId="2CD7519C" w14:textId="77777777" w:rsidR="00196C06" w:rsidRPr="0088683A" w:rsidRDefault="00196C06" w:rsidP="00196C06">
      <w:pPr>
        <w:rPr>
          <w:lang w:val="fr-FR"/>
        </w:rPr>
      </w:pPr>
    </w:p>
    <w:p w14:paraId="5B629E85" w14:textId="77777777" w:rsidR="00196C06" w:rsidRDefault="00196C06" w:rsidP="00196C06">
      <w:pPr>
        <w:suppressAutoHyphens w:val="0"/>
        <w:spacing w:line="240" w:lineRule="auto"/>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9"/>
        <w:gridCol w:w="1074"/>
        <w:gridCol w:w="3177"/>
        <w:gridCol w:w="701"/>
        <w:gridCol w:w="1764"/>
        <w:gridCol w:w="1523"/>
        <w:gridCol w:w="3482"/>
      </w:tblGrid>
      <w:tr w:rsidR="00196C06" w:rsidRPr="001F3DF2" w14:paraId="1AD2310E" w14:textId="77777777" w:rsidTr="006201FD">
        <w:trPr>
          <w:cantSplit/>
          <w:trHeight w:val="658"/>
          <w:tblHeader/>
        </w:trPr>
        <w:tc>
          <w:tcPr>
            <w:tcW w:w="0" w:type="auto"/>
            <w:shd w:val="clear" w:color="auto" w:fill="auto"/>
            <w:vAlign w:val="center"/>
          </w:tcPr>
          <w:p w14:paraId="71682DC7"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No du modèle d’étiquette</w:t>
            </w:r>
          </w:p>
        </w:tc>
        <w:tc>
          <w:tcPr>
            <w:tcW w:w="0" w:type="auto"/>
            <w:shd w:val="clear" w:color="auto" w:fill="auto"/>
            <w:vAlign w:val="center"/>
          </w:tcPr>
          <w:p w14:paraId="44B126DA" w14:textId="77777777" w:rsidR="00196C06" w:rsidRPr="001F3DF2" w:rsidRDefault="00196C06" w:rsidP="006201FD">
            <w:pPr>
              <w:spacing w:before="80" w:after="80" w:line="160" w:lineRule="exact"/>
              <w:ind w:right="43"/>
              <w:jc w:val="center"/>
              <w:textDirection w:val="tbLrV"/>
              <w:rPr>
                <w:sz w:val="18"/>
                <w:szCs w:val="18"/>
                <w:lang w:val="fr-FR"/>
              </w:rPr>
            </w:pPr>
            <w:r w:rsidRPr="00D03583">
              <w:rPr>
                <w:sz w:val="18"/>
                <w:szCs w:val="18"/>
                <w:lang w:val="fr-FR"/>
              </w:rPr>
              <w:t>Division ou Catégorie</w:t>
            </w:r>
          </w:p>
        </w:tc>
        <w:tc>
          <w:tcPr>
            <w:tcW w:w="0" w:type="auto"/>
            <w:shd w:val="clear" w:color="auto" w:fill="auto"/>
            <w:vAlign w:val="center"/>
          </w:tcPr>
          <w:p w14:paraId="5B2C40E6"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Signe conventionnel</w:t>
            </w:r>
            <w:r>
              <w:rPr>
                <w:sz w:val="18"/>
                <w:szCs w:val="18"/>
                <w:lang w:val="fr-FR"/>
              </w:rPr>
              <w:t xml:space="preserve"> et</w:t>
            </w:r>
            <w:r w:rsidRPr="001F3DF2">
              <w:rPr>
                <w:sz w:val="18"/>
                <w:szCs w:val="18"/>
                <w:lang w:val="fr-FR"/>
              </w:rPr>
              <w:t xml:space="preserve"> couleur</w:t>
            </w:r>
            <w:r>
              <w:rPr>
                <w:sz w:val="18"/>
                <w:szCs w:val="18"/>
                <w:lang w:val="fr-FR"/>
              </w:rPr>
              <w:t xml:space="preserve"> du signe</w:t>
            </w:r>
          </w:p>
        </w:tc>
        <w:tc>
          <w:tcPr>
            <w:tcW w:w="0" w:type="auto"/>
            <w:shd w:val="clear" w:color="auto" w:fill="auto"/>
            <w:vAlign w:val="center"/>
          </w:tcPr>
          <w:p w14:paraId="4BC2B13D"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Fond</w:t>
            </w:r>
          </w:p>
        </w:tc>
        <w:tc>
          <w:tcPr>
            <w:tcW w:w="0" w:type="auto"/>
            <w:shd w:val="clear" w:color="auto" w:fill="auto"/>
            <w:vAlign w:val="center"/>
          </w:tcPr>
          <w:p w14:paraId="07164A67"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Chiffre figurant dans le coin inférieur (</w:t>
            </w:r>
            <w:r>
              <w:rPr>
                <w:sz w:val="18"/>
                <w:szCs w:val="18"/>
                <w:lang w:val="fr-FR"/>
              </w:rPr>
              <w:t xml:space="preserve">et </w:t>
            </w:r>
            <w:r w:rsidRPr="001F3DF2">
              <w:rPr>
                <w:sz w:val="18"/>
                <w:szCs w:val="18"/>
                <w:lang w:val="fr-FR"/>
              </w:rPr>
              <w:t>couleur du chiffre)</w:t>
            </w:r>
          </w:p>
        </w:tc>
        <w:tc>
          <w:tcPr>
            <w:tcW w:w="0" w:type="auto"/>
            <w:shd w:val="clear" w:color="auto" w:fill="auto"/>
            <w:vAlign w:val="center"/>
          </w:tcPr>
          <w:p w14:paraId="7D3111B4"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Modèles d’étiquettes</w:t>
            </w:r>
          </w:p>
        </w:tc>
        <w:tc>
          <w:tcPr>
            <w:tcW w:w="3482" w:type="dxa"/>
            <w:shd w:val="clear" w:color="auto" w:fill="auto"/>
            <w:vAlign w:val="center"/>
          </w:tcPr>
          <w:p w14:paraId="5E8120BF"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Nota</w:t>
            </w:r>
          </w:p>
        </w:tc>
      </w:tr>
      <w:tr w:rsidR="00196C06" w:rsidRPr="00604799" w14:paraId="7127B6A4" w14:textId="77777777" w:rsidTr="006201FD">
        <w:trPr>
          <w:cantSplit/>
          <w:tblHeader/>
        </w:trPr>
        <w:tc>
          <w:tcPr>
            <w:tcW w:w="12890" w:type="dxa"/>
            <w:gridSpan w:val="7"/>
            <w:shd w:val="clear" w:color="auto" w:fill="auto"/>
            <w:vAlign w:val="center"/>
          </w:tcPr>
          <w:p w14:paraId="0CB0AE9F" w14:textId="25D55371" w:rsidR="00196C06" w:rsidRPr="00604799" w:rsidRDefault="00196C06" w:rsidP="006201FD">
            <w:pPr>
              <w:spacing w:before="40" w:after="80"/>
              <w:jc w:val="center"/>
              <w:textDirection w:val="tbLrV"/>
              <w:rPr>
                <w:b/>
                <w:sz w:val="18"/>
                <w:szCs w:val="18"/>
                <w:lang w:val="fr-FR"/>
              </w:rPr>
            </w:pPr>
            <w:r>
              <w:rPr>
                <w:b/>
                <w:sz w:val="18"/>
                <w:szCs w:val="18"/>
                <w:lang w:val="fr-FR"/>
              </w:rPr>
              <w:t>Classe 1</w:t>
            </w:r>
            <w:r w:rsidR="009956B8">
              <w:rPr>
                <w:b/>
                <w:sz w:val="18"/>
                <w:szCs w:val="18"/>
                <w:lang w:val="fr-FR"/>
              </w:rPr>
              <w:t>:</w:t>
            </w:r>
            <w:r w:rsidRPr="00604799">
              <w:rPr>
                <w:b/>
                <w:sz w:val="18"/>
                <w:szCs w:val="18"/>
                <w:lang w:val="fr-FR"/>
              </w:rPr>
              <w:t xml:space="preserve"> Matières et objets explosibles</w:t>
            </w:r>
          </w:p>
        </w:tc>
      </w:tr>
      <w:tr w:rsidR="00196C06" w:rsidRPr="00604799" w14:paraId="2305835F" w14:textId="77777777" w:rsidTr="006201FD">
        <w:trPr>
          <w:cantSplit/>
        </w:trPr>
        <w:tc>
          <w:tcPr>
            <w:tcW w:w="0" w:type="auto"/>
            <w:shd w:val="clear" w:color="auto" w:fill="auto"/>
          </w:tcPr>
          <w:p w14:paraId="1B96AA37" w14:textId="77777777" w:rsidR="00196C06" w:rsidRPr="00604799" w:rsidRDefault="00196C06" w:rsidP="006201FD">
            <w:pPr>
              <w:spacing w:before="40" w:after="80" w:line="220" w:lineRule="exact"/>
              <w:jc w:val="center"/>
              <w:textDirection w:val="tbLrV"/>
              <w:rPr>
                <w:sz w:val="18"/>
                <w:szCs w:val="18"/>
                <w:lang w:val="fr-FR"/>
              </w:rPr>
            </w:pPr>
            <w:r w:rsidRPr="00604799">
              <w:rPr>
                <w:sz w:val="18"/>
                <w:szCs w:val="18"/>
                <w:lang w:val="fr-FR"/>
              </w:rPr>
              <w:t>1</w:t>
            </w:r>
          </w:p>
        </w:tc>
        <w:tc>
          <w:tcPr>
            <w:tcW w:w="0" w:type="auto"/>
            <w:shd w:val="clear" w:color="auto" w:fill="auto"/>
          </w:tcPr>
          <w:p w14:paraId="7E0CC489" w14:textId="77777777" w:rsidR="00196C06" w:rsidRPr="00604799" w:rsidRDefault="00196C06" w:rsidP="006201FD">
            <w:pPr>
              <w:spacing w:before="40" w:after="80" w:line="220" w:lineRule="exact"/>
              <w:jc w:val="center"/>
              <w:textDirection w:val="tbLrV"/>
              <w:rPr>
                <w:sz w:val="18"/>
                <w:szCs w:val="18"/>
                <w:lang w:val="fr-FR"/>
              </w:rPr>
            </w:pPr>
            <w:r>
              <w:rPr>
                <w:sz w:val="18"/>
                <w:szCs w:val="18"/>
                <w:lang w:val="fr-FR"/>
              </w:rPr>
              <w:t>Divisions 1.1, 1.2 et</w:t>
            </w:r>
            <w:r w:rsidRPr="00604799">
              <w:rPr>
                <w:sz w:val="18"/>
                <w:szCs w:val="18"/>
                <w:lang w:val="fr-FR"/>
              </w:rPr>
              <w:t xml:space="preserve"> 1.3</w:t>
            </w:r>
          </w:p>
        </w:tc>
        <w:tc>
          <w:tcPr>
            <w:tcW w:w="0" w:type="auto"/>
            <w:shd w:val="clear" w:color="auto" w:fill="auto"/>
          </w:tcPr>
          <w:p w14:paraId="4ADCC3B0" w14:textId="77777777" w:rsidR="00196C06" w:rsidRPr="00604799" w:rsidRDefault="00196C06" w:rsidP="006201FD">
            <w:pPr>
              <w:spacing w:before="40" w:after="80" w:line="220" w:lineRule="exact"/>
              <w:jc w:val="center"/>
              <w:textDirection w:val="tbLrV"/>
              <w:rPr>
                <w:sz w:val="18"/>
                <w:szCs w:val="18"/>
                <w:lang w:val="fr-FR"/>
              </w:rPr>
            </w:pPr>
            <w:r w:rsidRPr="00604799">
              <w:rPr>
                <w:sz w:val="18"/>
                <w:szCs w:val="18"/>
                <w:lang w:val="fr-FR"/>
              </w:rPr>
              <w:t>Bombe explosant: noir</w:t>
            </w:r>
          </w:p>
        </w:tc>
        <w:tc>
          <w:tcPr>
            <w:tcW w:w="0" w:type="auto"/>
            <w:shd w:val="clear" w:color="auto" w:fill="auto"/>
          </w:tcPr>
          <w:p w14:paraId="124C23F6" w14:textId="77777777" w:rsidR="00196C06" w:rsidRPr="00604799" w:rsidRDefault="00196C06" w:rsidP="006201FD">
            <w:pPr>
              <w:spacing w:before="40" w:after="80" w:line="220" w:lineRule="exact"/>
              <w:jc w:val="center"/>
              <w:textDirection w:val="tbLrV"/>
              <w:rPr>
                <w:sz w:val="18"/>
                <w:szCs w:val="18"/>
                <w:lang w:val="fr-FR"/>
              </w:rPr>
            </w:pPr>
            <w:r w:rsidRPr="00604799">
              <w:rPr>
                <w:sz w:val="18"/>
                <w:szCs w:val="18"/>
                <w:lang w:val="fr-FR"/>
              </w:rPr>
              <w:t>Orange</w:t>
            </w:r>
          </w:p>
        </w:tc>
        <w:tc>
          <w:tcPr>
            <w:tcW w:w="0" w:type="auto"/>
            <w:shd w:val="clear" w:color="auto" w:fill="auto"/>
          </w:tcPr>
          <w:p w14:paraId="0E0C52DC" w14:textId="77777777" w:rsidR="00196C06" w:rsidRPr="00604799" w:rsidRDefault="00196C06" w:rsidP="006201FD">
            <w:pPr>
              <w:spacing w:before="40" w:after="80" w:line="220" w:lineRule="exact"/>
              <w:jc w:val="center"/>
              <w:textDirection w:val="tbLrV"/>
              <w:rPr>
                <w:sz w:val="18"/>
                <w:szCs w:val="18"/>
                <w:lang w:val="ru-RU" w:eastAsia="ru-RU"/>
              </w:rPr>
            </w:pPr>
            <w:r w:rsidRPr="00604799">
              <w:rPr>
                <w:sz w:val="18"/>
                <w:szCs w:val="18"/>
                <w:lang w:val="fr-FR"/>
              </w:rPr>
              <w:t>1</w:t>
            </w:r>
            <w:r>
              <w:rPr>
                <w:sz w:val="18"/>
                <w:szCs w:val="18"/>
                <w:lang w:val="fr-FR"/>
              </w:rPr>
              <w:t xml:space="preserve"> </w:t>
            </w:r>
            <w:r>
              <w:rPr>
                <w:sz w:val="18"/>
                <w:szCs w:val="18"/>
                <w:lang w:val="fr-FR"/>
              </w:rPr>
              <w:br/>
            </w:r>
            <w:r w:rsidRPr="00604799">
              <w:rPr>
                <w:sz w:val="18"/>
                <w:szCs w:val="18"/>
                <w:lang w:val="fr-FR"/>
              </w:rPr>
              <w:t>(noir)</w:t>
            </w:r>
          </w:p>
        </w:tc>
        <w:tc>
          <w:tcPr>
            <w:tcW w:w="0" w:type="auto"/>
            <w:shd w:val="clear" w:color="auto" w:fill="auto"/>
            <w:vAlign w:val="center"/>
          </w:tcPr>
          <w:p w14:paraId="09D38822" w14:textId="77777777" w:rsidR="00196C06" w:rsidRPr="00604799" w:rsidRDefault="00196C06" w:rsidP="006201FD">
            <w:pPr>
              <w:spacing w:before="40" w:after="80" w:line="240" w:lineRule="auto"/>
              <w:ind w:right="115"/>
              <w:jc w:val="center"/>
              <w:rPr>
                <w:sz w:val="18"/>
                <w:szCs w:val="18"/>
                <w:lang w:val="ru-RU" w:eastAsia="ru-RU"/>
              </w:rPr>
            </w:pPr>
            <w:r>
              <w:rPr>
                <w:rFonts w:eastAsia="SimSun"/>
                <w:noProof/>
                <w:lang w:val="en-GB" w:eastAsia="en-GB"/>
              </w:rPr>
              <w:drawing>
                <wp:inline distT="0" distB="0" distL="0" distR="0" wp14:anchorId="30C4A29E" wp14:editId="029F442B">
                  <wp:extent cx="828675" cy="828675"/>
                  <wp:effectExtent l="0" t="0" r="9525" b="9525"/>
                  <wp:docPr id="50" name="Picture 5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131A3B66" w14:textId="77777777" w:rsidR="00196C06" w:rsidRPr="00604799" w:rsidRDefault="00196C06" w:rsidP="006201FD">
            <w:pPr>
              <w:tabs>
                <w:tab w:val="left" w:pos="368"/>
              </w:tabs>
              <w:spacing w:before="40" w:after="80" w:line="220" w:lineRule="exact"/>
              <w:ind w:left="28"/>
              <w:textDirection w:val="tbLrV"/>
              <w:rPr>
                <w:sz w:val="18"/>
                <w:szCs w:val="18"/>
                <w:lang w:val="fr-FR"/>
              </w:rPr>
            </w:pPr>
            <w:r w:rsidRPr="008D5845">
              <w:rPr>
                <w:sz w:val="18"/>
                <w:szCs w:val="18"/>
                <w:vertAlign w:val="superscript"/>
                <w:lang w:val="en-GB"/>
              </w:rPr>
              <w:sym w:font="Wingdings 2" w:char="F0D6"/>
            </w:r>
            <w:r w:rsidRPr="008D5845">
              <w:rPr>
                <w:sz w:val="18"/>
                <w:szCs w:val="18"/>
                <w:vertAlign w:val="superscript"/>
                <w:lang w:val="en-GB"/>
              </w:rPr>
              <w:sym w:font="Wingdings 2" w:char="F0D6"/>
            </w:r>
            <w:r w:rsidRPr="00604799">
              <w:rPr>
                <w:sz w:val="18"/>
                <w:szCs w:val="18"/>
                <w:lang w:val="fr-FR"/>
              </w:rPr>
              <w:t xml:space="preserve"> </w:t>
            </w:r>
            <w:r>
              <w:rPr>
                <w:lang w:val="fr-FR"/>
              </w:rPr>
              <w:tab/>
            </w:r>
            <w:r w:rsidRPr="00604799">
              <w:rPr>
                <w:sz w:val="18"/>
                <w:szCs w:val="18"/>
                <w:lang w:val="fr-FR"/>
              </w:rPr>
              <w:t xml:space="preserve">Indication de la division </w:t>
            </w:r>
            <w:r>
              <w:rPr>
                <w:sz w:val="18"/>
                <w:szCs w:val="18"/>
                <w:lang w:val="fr-FR"/>
              </w:rPr>
              <w:t>–</w:t>
            </w:r>
            <w:r w:rsidRPr="00604799">
              <w:rPr>
                <w:sz w:val="18"/>
                <w:szCs w:val="18"/>
                <w:lang w:val="fr-FR"/>
              </w:rPr>
              <w:t xml:space="preserve"> à laisser en blanc si les propriétés explosives constituent le </w:t>
            </w:r>
            <w:r>
              <w:rPr>
                <w:sz w:val="18"/>
                <w:szCs w:val="18"/>
                <w:lang w:val="fr-FR"/>
              </w:rPr>
              <w:t>danger</w:t>
            </w:r>
            <w:r w:rsidRPr="00604799">
              <w:rPr>
                <w:sz w:val="18"/>
                <w:szCs w:val="18"/>
                <w:lang w:val="fr-FR"/>
              </w:rPr>
              <w:t xml:space="preserve"> subsidiaire</w:t>
            </w:r>
          </w:p>
          <w:p w14:paraId="7065709F" w14:textId="77777777" w:rsidR="00196C06" w:rsidRPr="00604799" w:rsidRDefault="00196C06" w:rsidP="006201FD">
            <w:pPr>
              <w:tabs>
                <w:tab w:val="left" w:pos="368"/>
              </w:tabs>
              <w:spacing w:before="40" w:after="80" w:line="220" w:lineRule="exact"/>
              <w:ind w:left="28"/>
              <w:textDirection w:val="tbLrV"/>
              <w:rPr>
                <w:sz w:val="18"/>
                <w:szCs w:val="18"/>
                <w:lang w:val="fr-FR"/>
              </w:rPr>
            </w:pPr>
            <w:r w:rsidRPr="00DD060E">
              <w:rPr>
                <w:sz w:val="18"/>
                <w:szCs w:val="18"/>
                <w:vertAlign w:val="superscript"/>
                <w:lang w:val="en-GB"/>
              </w:rPr>
              <w:sym w:font="Wingdings 2" w:char="F0D6"/>
            </w:r>
            <w:r>
              <w:rPr>
                <w:lang w:val="fr-FR"/>
              </w:rPr>
              <w:tab/>
            </w:r>
            <w:r w:rsidRPr="00604799">
              <w:rPr>
                <w:sz w:val="18"/>
                <w:szCs w:val="18"/>
                <w:lang w:val="fr-FR"/>
              </w:rPr>
              <w:t xml:space="preserve">Indication du groupe de compatibilité </w:t>
            </w:r>
            <w:r>
              <w:rPr>
                <w:sz w:val="18"/>
                <w:szCs w:val="18"/>
                <w:lang w:val="fr-FR"/>
              </w:rPr>
              <w:t>–</w:t>
            </w:r>
            <w:r w:rsidRPr="00604799">
              <w:rPr>
                <w:sz w:val="18"/>
                <w:szCs w:val="18"/>
                <w:lang w:val="fr-FR"/>
              </w:rPr>
              <w:t xml:space="preserve"> à laisser en blanc si les propriétés explosives constituent le </w:t>
            </w:r>
            <w:r>
              <w:rPr>
                <w:sz w:val="18"/>
                <w:szCs w:val="18"/>
                <w:lang w:val="fr-FR"/>
              </w:rPr>
              <w:t>danger</w:t>
            </w:r>
            <w:r w:rsidRPr="00604799">
              <w:rPr>
                <w:sz w:val="18"/>
                <w:szCs w:val="18"/>
                <w:lang w:val="fr-FR"/>
              </w:rPr>
              <w:t xml:space="preserve"> subsidiaire</w:t>
            </w:r>
          </w:p>
          <w:p w14:paraId="7E9E8948" w14:textId="77777777" w:rsidR="00196C06" w:rsidRPr="00D6712B" w:rsidRDefault="00196C06" w:rsidP="006201FD">
            <w:pPr>
              <w:spacing w:before="40" w:after="80" w:line="220" w:lineRule="exact"/>
              <w:ind w:hanging="326"/>
              <w:rPr>
                <w:sz w:val="18"/>
                <w:szCs w:val="18"/>
                <w:lang w:eastAsia="ru-RU"/>
              </w:rPr>
            </w:pPr>
          </w:p>
        </w:tc>
      </w:tr>
      <w:tr w:rsidR="00196C06" w:rsidRPr="00604799" w14:paraId="4A71E243" w14:textId="77777777" w:rsidTr="006201FD">
        <w:trPr>
          <w:cantSplit/>
        </w:trPr>
        <w:tc>
          <w:tcPr>
            <w:tcW w:w="0" w:type="auto"/>
            <w:shd w:val="clear" w:color="auto" w:fill="auto"/>
          </w:tcPr>
          <w:p w14:paraId="258DA2DD" w14:textId="77777777" w:rsidR="00196C06" w:rsidRPr="00604799" w:rsidRDefault="00196C06" w:rsidP="006201FD">
            <w:pPr>
              <w:spacing w:before="40" w:after="80" w:line="220" w:lineRule="exact"/>
              <w:jc w:val="center"/>
              <w:textDirection w:val="tbLrV"/>
              <w:rPr>
                <w:sz w:val="18"/>
                <w:szCs w:val="18"/>
                <w:lang w:val="fr-FR"/>
              </w:rPr>
            </w:pPr>
            <w:r w:rsidRPr="00604799">
              <w:rPr>
                <w:sz w:val="18"/>
                <w:szCs w:val="18"/>
                <w:lang w:val="fr-FR"/>
              </w:rPr>
              <w:t>1.4</w:t>
            </w:r>
          </w:p>
        </w:tc>
        <w:tc>
          <w:tcPr>
            <w:tcW w:w="0" w:type="auto"/>
            <w:shd w:val="clear" w:color="auto" w:fill="auto"/>
          </w:tcPr>
          <w:p w14:paraId="45ADB979" w14:textId="77777777" w:rsidR="00196C06" w:rsidRPr="00604799" w:rsidRDefault="00196C06" w:rsidP="006201FD">
            <w:pPr>
              <w:spacing w:before="40" w:after="80" w:line="220" w:lineRule="exact"/>
              <w:jc w:val="center"/>
              <w:textDirection w:val="tbLrV"/>
              <w:rPr>
                <w:sz w:val="18"/>
                <w:szCs w:val="18"/>
                <w:lang w:val="fr-FR"/>
              </w:rPr>
            </w:pPr>
            <w:r w:rsidRPr="00604799">
              <w:rPr>
                <w:sz w:val="18"/>
                <w:szCs w:val="18"/>
                <w:lang w:val="fr-FR"/>
              </w:rPr>
              <w:t>Division 1.4</w:t>
            </w:r>
          </w:p>
        </w:tc>
        <w:tc>
          <w:tcPr>
            <w:tcW w:w="0" w:type="auto"/>
            <w:shd w:val="clear" w:color="auto" w:fill="auto"/>
          </w:tcPr>
          <w:p w14:paraId="34B131D9" w14:textId="77777777" w:rsidR="00196C06" w:rsidRPr="00604799" w:rsidRDefault="00196C06" w:rsidP="006201FD">
            <w:pPr>
              <w:spacing w:before="40" w:after="80" w:line="220" w:lineRule="exact"/>
              <w:jc w:val="center"/>
              <w:textDirection w:val="tbLrV"/>
              <w:rPr>
                <w:sz w:val="18"/>
                <w:szCs w:val="18"/>
                <w:lang w:val="fr-FR"/>
              </w:rPr>
            </w:pPr>
            <w:r w:rsidRPr="00604799">
              <w:rPr>
                <w:sz w:val="18"/>
                <w:szCs w:val="18"/>
                <w:lang w:val="fr-FR"/>
              </w:rPr>
              <w:t>1.4: noir</w:t>
            </w:r>
          </w:p>
          <w:p w14:paraId="0CD211F9" w14:textId="0B61BBC1" w:rsidR="00196C06" w:rsidRPr="00604799" w:rsidRDefault="00196C06" w:rsidP="006201FD">
            <w:pPr>
              <w:spacing w:before="40" w:after="80" w:line="220" w:lineRule="exact"/>
              <w:jc w:val="center"/>
              <w:textDirection w:val="tbLrV"/>
              <w:rPr>
                <w:sz w:val="18"/>
                <w:szCs w:val="18"/>
                <w:lang w:val="fr-FR"/>
              </w:rPr>
            </w:pPr>
            <w:r w:rsidRPr="00604799">
              <w:rPr>
                <w:sz w:val="18"/>
                <w:szCs w:val="18"/>
                <w:lang w:val="fr-FR"/>
              </w:rPr>
              <w:t>Les chiffres doivent mesurer environ 30</w:t>
            </w:r>
            <w:r w:rsidR="005E4486">
              <w:rPr>
                <w:sz w:val="18"/>
                <w:szCs w:val="18"/>
                <w:lang w:val="fr-FR"/>
              </w:rPr>
              <w:t> </w:t>
            </w:r>
            <w:r w:rsidRPr="00604799">
              <w:rPr>
                <w:sz w:val="18"/>
                <w:szCs w:val="18"/>
                <w:lang w:val="fr-FR"/>
              </w:rPr>
              <w:t xml:space="preserve">mm de haut et 5 mm d’épaisseur (pour une étiquette de </w:t>
            </w:r>
            <w:r w:rsidRPr="00321985">
              <w:rPr>
                <w:spacing w:val="-4"/>
                <w:sz w:val="18"/>
                <w:szCs w:val="18"/>
                <w:lang w:val="fr-FR"/>
              </w:rPr>
              <w:t>100 mm x 100 mm)</w:t>
            </w:r>
          </w:p>
        </w:tc>
        <w:tc>
          <w:tcPr>
            <w:tcW w:w="0" w:type="auto"/>
            <w:shd w:val="clear" w:color="auto" w:fill="auto"/>
          </w:tcPr>
          <w:p w14:paraId="72084383" w14:textId="77777777" w:rsidR="00196C06" w:rsidRPr="00604799" w:rsidRDefault="00196C06" w:rsidP="006201FD">
            <w:pPr>
              <w:spacing w:before="40" w:after="80" w:line="220" w:lineRule="exact"/>
              <w:jc w:val="center"/>
              <w:textDirection w:val="tbLrV"/>
              <w:rPr>
                <w:sz w:val="18"/>
                <w:szCs w:val="18"/>
                <w:lang w:val="fr-FR"/>
              </w:rPr>
            </w:pPr>
            <w:r w:rsidRPr="00604799">
              <w:rPr>
                <w:sz w:val="18"/>
                <w:szCs w:val="18"/>
                <w:lang w:val="fr-FR"/>
              </w:rPr>
              <w:t>Orange</w:t>
            </w:r>
          </w:p>
        </w:tc>
        <w:tc>
          <w:tcPr>
            <w:tcW w:w="0" w:type="auto"/>
            <w:shd w:val="clear" w:color="auto" w:fill="auto"/>
          </w:tcPr>
          <w:p w14:paraId="4212F26C" w14:textId="77777777" w:rsidR="00196C06" w:rsidRPr="00604799" w:rsidRDefault="00196C06" w:rsidP="006201FD">
            <w:pPr>
              <w:spacing w:before="40" w:after="80" w:line="220" w:lineRule="exact"/>
              <w:jc w:val="center"/>
              <w:textDirection w:val="tbLrV"/>
              <w:rPr>
                <w:sz w:val="18"/>
                <w:szCs w:val="18"/>
                <w:lang w:val="ru-RU" w:eastAsia="ru-RU"/>
              </w:rPr>
            </w:pPr>
            <w:r w:rsidRPr="00604799">
              <w:rPr>
                <w:sz w:val="18"/>
                <w:szCs w:val="18"/>
                <w:lang w:val="fr-FR"/>
              </w:rPr>
              <w:t>1</w:t>
            </w:r>
            <w:r>
              <w:rPr>
                <w:sz w:val="18"/>
                <w:szCs w:val="18"/>
                <w:lang w:val="fr-FR"/>
              </w:rPr>
              <w:t xml:space="preserve"> </w:t>
            </w:r>
            <w:r>
              <w:rPr>
                <w:sz w:val="18"/>
                <w:szCs w:val="18"/>
                <w:lang w:val="fr-FR"/>
              </w:rPr>
              <w:br/>
            </w:r>
            <w:r w:rsidRPr="00604799">
              <w:rPr>
                <w:sz w:val="18"/>
                <w:szCs w:val="18"/>
                <w:lang w:val="fr-FR"/>
              </w:rPr>
              <w:t>(noir)</w:t>
            </w:r>
          </w:p>
        </w:tc>
        <w:tc>
          <w:tcPr>
            <w:tcW w:w="0" w:type="auto"/>
            <w:shd w:val="clear" w:color="auto" w:fill="auto"/>
            <w:vAlign w:val="center"/>
          </w:tcPr>
          <w:p w14:paraId="6BEB008F" w14:textId="77777777" w:rsidR="00196C06" w:rsidRPr="00604799" w:rsidRDefault="00196C06" w:rsidP="006201FD">
            <w:pPr>
              <w:spacing w:before="40" w:after="80" w:line="240" w:lineRule="auto"/>
              <w:ind w:right="115"/>
              <w:jc w:val="center"/>
              <w:rPr>
                <w:sz w:val="18"/>
                <w:szCs w:val="18"/>
                <w:lang w:val="ru-RU" w:eastAsia="ru-RU"/>
              </w:rPr>
            </w:pPr>
            <w:r>
              <w:rPr>
                <w:rFonts w:eastAsia="SimSun"/>
                <w:noProof/>
                <w:lang w:val="en-GB" w:eastAsia="en-GB"/>
              </w:rPr>
              <w:drawing>
                <wp:inline distT="0" distB="0" distL="0" distR="0" wp14:anchorId="3306E503" wp14:editId="2A8C7132">
                  <wp:extent cx="828675" cy="828675"/>
                  <wp:effectExtent l="0" t="0" r="9525" b="9525"/>
                  <wp:docPr id="49" name="Picture 4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31815A4C" w14:textId="77777777" w:rsidR="00196C06" w:rsidRPr="004858C0" w:rsidRDefault="00196C06" w:rsidP="006201FD">
            <w:pPr>
              <w:tabs>
                <w:tab w:val="left" w:pos="368"/>
              </w:tabs>
              <w:spacing w:before="40" w:after="80" w:line="220" w:lineRule="exact"/>
              <w:ind w:left="28"/>
              <w:textDirection w:val="tbLrV"/>
              <w:rPr>
                <w:sz w:val="18"/>
                <w:szCs w:val="18"/>
                <w:vertAlign w:val="superscript"/>
                <w:lang w:val="fr-FR"/>
              </w:rPr>
            </w:pPr>
            <w:r w:rsidRPr="008D5845">
              <w:rPr>
                <w:sz w:val="18"/>
                <w:szCs w:val="18"/>
                <w:vertAlign w:val="superscript"/>
                <w:lang w:val="en-GB"/>
              </w:rPr>
              <w:sym w:font="Wingdings 2" w:char="F0D6"/>
            </w:r>
            <w:r w:rsidRPr="004858C0">
              <w:rPr>
                <w:sz w:val="18"/>
                <w:szCs w:val="18"/>
                <w:vertAlign w:val="superscript"/>
                <w:lang w:val="fr-FR"/>
              </w:rPr>
              <w:tab/>
            </w:r>
            <w:r w:rsidRPr="004858C0">
              <w:rPr>
                <w:sz w:val="18"/>
                <w:szCs w:val="18"/>
                <w:lang w:val="fr-FR"/>
              </w:rPr>
              <w:t xml:space="preserve">Indication du groupe de compatibilité </w:t>
            </w:r>
          </w:p>
        </w:tc>
      </w:tr>
      <w:tr w:rsidR="00196C06" w:rsidRPr="00146067" w14:paraId="0200F429" w14:textId="77777777" w:rsidTr="006201FD">
        <w:trPr>
          <w:cantSplit/>
        </w:trPr>
        <w:tc>
          <w:tcPr>
            <w:tcW w:w="0" w:type="auto"/>
            <w:shd w:val="clear" w:color="auto" w:fill="auto"/>
          </w:tcPr>
          <w:p w14:paraId="0E01F737" w14:textId="77777777" w:rsidR="00196C06" w:rsidRPr="00146067" w:rsidRDefault="00196C06" w:rsidP="006201FD">
            <w:pPr>
              <w:spacing w:before="40" w:after="80" w:line="220" w:lineRule="exact"/>
              <w:ind w:right="115"/>
              <w:jc w:val="center"/>
              <w:textDirection w:val="tbLrV"/>
              <w:rPr>
                <w:sz w:val="18"/>
                <w:szCs w:val="18"/>
                <w:lang w:val="fr-FR"/>
              </w:rPr>
            </w:pPr>
            <w:r w:rsidRPr="00146067">
              <w:rPr>
                <w:sz w:val="18"/>
                <w:szCs w:val="18"/>
                <w:lang w:val="fr-FR"/>
              </w:rPr>
              <w:t>1.5</w:t>
            </w:r>
          </w:p>
        </w:tc>
        <w:tc>
          <w:tcPr>
            <w:tcW w:w="0" w:type="auto"/>
            <w:shd w:val="clear" w:color="auto" w:fill="auto"/>
          </w:tcPr>
          <w:p w14:paraId="7C75A868" w14:textId="77777777" w:rsidR="00196C06" w:rsidRPr="00146067" w:rsidRDefault="00196C06" w:rsidP="006201FD">
            <w:pPr>
              <w:spacing w:before="40" w:after="80" w:line="220" w:lineRule="exact"/>
              <w:ind w:right="115"/>
              <w:jc w:val="center"/>
              <w:textDirection w:val="tbLrV"/>
              <w:rPr>
                <w:sz w:val="18"/>
                <w:szCs w:val="18"/>
                <w:lang w:val="fr-FR"/>
              </w:rPr>
            </w:pPr>
            <w:r w:rsidRPr="00146067">
              <w:rPr>
                <w:sz w:val="18"/>
                <w:szCs w:val="18"/>
                <w:lang w:val="fr-FR"/>
              </w:rPr>
              <w:t>Division 1.5</w:t>
            </w:r>
          </w:p>
        </w:tc>
        <w:tc>
          <w:tcPr>
            <w:tcW w:w="0" w:type="auto"/>
            <w:shd w:val="clear" w:color="auto" w:fill="auto"/>
          </w:tcPr>
          <w:p w14:paraId="48CA9D29" w14:textId="77777777" w:rsidR="00196C06" w:rsidRPr="00146067" w:rsidRDefault="00196C06" w:rsidP="006201FD">
            <w:pPr>
              <w:spacing w:before="40" w:after="80" w:line="220" w:lineRule="exact"/>
              <w:jc w:val="center"/>
              <w:textDirection w:val="tbLrV"/>
              <w:rPr>
                <w:sz w:val="18"/>
                <w:szCs w:val="18"/>
                <w:lang w:val="fr-FR"/>
              </w:rPr>
            </w:pPr>
            <w:r w:rsidRPr="00146067">
              <w:rPr>
                <w:sz w:val="18"/>
                <w:szCs w:val="18"/>
                <w:lang w:val="fr-FR"/>
              </w:rPr>
              <w:t>1.5: noir</w:t>
            </w:r>
          </w:p>
          <w:p w14:paraId="1FFBFFA5" w14:textId="16DD23C0" w:rsidR="00196C06" w:rsidRPr="00146067" w:rsidRDefault="00196C06" w:rsidP="006201FD">
            <w:pPr>
              <w:spacing w:before="40" w:after="80" w:line="220" w:lineRule="exact"/>
              <w:jc w:val="center"/>
              <w:textDirection w:val="tbLrV"/>
              <w:rPr>
                <w:sz w:val="18"/>
                <w:szCs w:val="18"/>
                <w:lang w:val="fr-FR"/>
              </w:rPr>
            </w:pPr>
            <w:r w:rsidRPr="00146067">
              <w:rPr>
                <w:sz w:val="18"/>
                <w:szCs w:val="18"/>
                <w:lang w:val="fr-FR"/>
              </w:rPr>
              <w:t>Les chiffres doivent mesurer environ 30</w:t>
            </w:r>
            <w:r w:rsidR="005E4486">
              <w:rPr>
                <w:sz w:val="18"/>
                <w:szCs w:val="18"/>
                <w:lang w:val="fr-FR"/>
              </w:rPr>
              <w:t> </w:t>
            </w:r>
            <w:r w:rsidRPr="00146067">
              <w:rPr>
                <w:sz w:val="18"/>
                <w:szCs w:val="18"/>
                <w:lang w:val="fr-FR"/>
              </w:rPr>
              <w:t xml:space="preserve">mm de haut et 5 mm d’épaisseur </w:t>
            </w:r>
            <w:r w:rsidRPr="002F1F95">
              <w:rPr>
                <w:sz w:val="18"/>
                <w:szCs w:val="18"/>
                <w:lang w:val="fr-FR"/>
              </w:rPr>
              <w:t>(pour une étiquette de 100 mm x 100 mm)</w:t>
            </w:r>
          </w:p>
        </w:tc>
        <w:tc>
          <w:tcPr>
            <w:tcW w:w="0" w:type="auto"/>
            <w:shd w:val="clear" w:color="auto" w:fill="auto"/>
          </w:tcPr>
          <w:p w14:paraId="218B16F0" w14:textId="77777777" w:rsidR="00196C06" w:rsidRPr="00146067" w:rsidRDefault="00196C06" w:rsidP="006201FD">
            <w:pPr>
              <w:spacing w:before="40" w:after="80" w:line="220" w:lineRule="exact"/>
              <w:ind w:right="115"/>
              <w:jc w:val="center"/>
              <w:textDirection w:val="tbLrV"/>
              <w:rPr>
                <w:sz w:val="18"/>
                <w:szCs w:val="18"/>
                <w:lang w:val="fr-FR"/>
              </w:rPr>
            </w:pPr>
            <w:r w:rsidRPr="00146067">
              <w:rPr>
                <w:sz w:val="18"/>
                <w:szCs w:val="18"/>
                <w:lang w:val="fr-FR"/>
              </w:rPr>
              <w:t>Orange</w:t>
            </w:r>
          </w:p>
        </w:tc>
        <w:tc>
          <w:tcPr>
            <w:tcW w:w="0" w:type="auto"/>
            <w:shd w:val="clear" w:color="auto" w:fill="auto"/>
          </w:tcPr>
          <w:p w14:paraId="6FFBBF4A" w14:textId="77777777" w:rsidR="00196C06" w:rsidRPr="00146067" w:rsidRDefault="00196C06" w:rsidP="006201FD">
            <w:pPr>
              <w:spacing w:before="40" w:after="80" w:line="220" w:lineRule="exact"/>
              <w:ind w:right="115"/>
              <w:jc w:val="center"/>
              <w:textDirection w:val="tbLrV"/>
              <w:rPr>
                <w:sz w:val="18"/>
                <w:szCs w:val="18"/>
                <w:lang w:val="ru-RU" w:eastAsia="ru-RU"/>
              </w:rPr>
            </w:pPr>
            <w:r w:rsidRPr="00146067">
              <w:rPr>
                <w:sz w:val="18"/>
                <w:szCs w:val="18"/>
                <w:lang w:val="fr-FR"/>
              </w:rPr>
              <w:t>1</w:t>
            </w:r>
            <w:r>
              <w:rPr>
                <w:sz w:val="18"/>
                <w:szCs w:val="18"/>
                <w:lang w:val="fr-FR"/>
              </w:rPr>
              <w:t xml:space="preserve"> </w:t>
            </w:r>
            <w:r>
              <w:rPr>
                <w:sz w:val="18"/>
                <w:szCs w:val="18"/>
                <w:lang w:val="fr-FR"/>
              </w:rPr>
              <w:br/>
            </w:r>
            <w:r w:rsidRPr="00146067">
              <w:rPr>
                <w:sz w:val="18"/>
                <w:szCs w:val="18"/>
                <w:lang w:val="fr-FR"/>
              </w:rPr>
              <w:t>(noir)</w:t>
            </w:r>
          </w:p>
        </w:tc>
        <w:tc>
          <w:tcPr>
            <w:tcW w:w="0" w:type="auto"/>
            <w:shd w:val="clear" w:color="auto" w:fill="auto"/>
            <w:vAlign w:val="center"/>
          </w:tcPr>
          <w:p w14:paraId="27E66C60" w14:textId="77777777" w:rsidR="00196C06" w:rsidRPr="00146067" w:rsidRDefault="00196C06" w:rsidP="006201FD">
            <w:pPr>
              <w:spacing w:before="40" w:after="80" w:line="240" w:lineRule="auto"/>
              <w:ind w:right="115"/>
              <w:jc w:val="center"/>
              <w:rPr>
                <w:sz w:val="18"/>
                <w:szCs w:val="18"/>
                <w:lang w:val="ru-RU" w:eastAsia="ru-RU"/>
              </w:rPr>
            </w:pPr>
            <w:r>
              <w:rPr>
                <w:rFonts w:eastAsia="SimSun"/>
                <w:noProof/>
                <w:lang w:val="en-GB" w:eastAsia="en-GB"/>
              </w:rPr>
              <w:drawing>
                <wp:inline distT="0" distB="0" distL="0" distR="0" wp14:anchorId="68DF521E" wp14:editId="5A5E49A0">
                  <wp:extent cx="828675" cy="828675"/>
                  <wp:effectExtent l="0" t="0" r="9525" b="9525"/>
                  <wp:docPr id="41" name="Picture 4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4DD86755" w14:textId="77777777" w:rsidR="00196C06" w:rsidRPr="004858C0" w:rsidRDefault="00196C06" w:rsidP="006201FD">
            <w:pPr>
              <w:tabs>
                <w:tab w:val="left" w:pos="368"/>
              </w:tabs>
              <w:spacing w:before="40" w:after="80" w:line="220" w:lineRule="exact"/>
              <w:ind w:left="28"/>
              <w:textDirection w:val="tbLrV"/>
              <w:rPr>
                <w:sz w:val="18"/>
                <w:szCs w:val="18"/>
                <w:vertAlign w:val="superscript"/>
                <w:lang w:val="fr-FR"/>
              </w:rPr>
            </w:pPr>
            <w:r w:rsidRPr="008D5845">
              <w:rPr>
                <w:sz w:val="18"/>
                <w:szCs w:val="18"/>
                <w:vertAlign w:val="superscript"/>
                <w:lang w:val="en-GB"/>
              </w:rPr>
              <w:sym w:font="Wingdings 2" w:char="F0D6"/>
            </w:r>
            <w:r w:rsidRPr="004858C0">
              <w:rPr>
                <w:sz w:val="18"/>
                <w:szCs w:val="18"/>
                <w:vertAlign w:val="superscript"/>
                <w:lang w:val="fr-FR"/>
              </w:rPr>
              <w:tab/>
            </w:r>
            <w:r w:rsidRPr="004858C0">
              <w:rPr>
                <w:sz w:val="18"/>
                <w:szCs w:val="18"/>
                <w:lang w:val="fr-FR"/>
              </w:rPr>
              <w:t>Indication du groupe de compatibilité</w:t>
            </w:r>
            <w:r w:rsidRPr="004858C0">
              <w:rPr>
                <w:sz w:val="18"/>
                <w:szCs w:val="18"/>
                <w:vertAlign w:val="superscript"/>
                <w:lang w:val="fr-FR"/>
              </w:rPr>
              <w:t xml:space="preserve"> </w:t>
            </w:r>
          </w:p>
        </w:tc>
      </w:tr>
      <w:tr w:rsidR="00196C06" w:rsidRPr="00146067" w14:paraId="5119090B" w14:textId="77777777" w:rsidTr="006201FD">
        <w:trPr>
          <w:cantSplit/>
          <w:trHeight w:val="1648"/>
        </w:trPr>
        <w:tc>
          <w:tcPr>
            <w:tcW w:w="0" w:type="auto"/>
            <w:shd w:val="clear" w:color="auto" w:fill="auto"/>
          </w:tcPr>
          <w:p w14:paraId="79A378EC" w14:textId="77777777" w:rsidR="00196C06" w:rsidRPr="00146067" w:rsidRDefault="00196C06" w:rsidP="006201FD">
            <w:pPr>
              <w:spacing w:before="40" w:after="80" w:line="220" w:lineRule="exact"/>
              <w:ind w:right="115"/>
              <w:jc w:val="center"/>
              <w:textDirection w:val="tbLrV"/>
              <w:rPr>
                <w:sz w:val="18"/>
                <w:szCs w:val="18"/>
                <w:lang w:val="fr-FR"/>
              </w:rPr>
            </w:pPr>
            <w:r w:rsidRPr="00146067">
              <w:rPr>
                <w:sz w:val="18"/>
                <w:szCs w:val="18"/>
                <w:lang w:val="fr-FR"/>
              </w:rPr>
              <w:t>1.6</w:t>
            </w:r>
          </w:p>
        </w:tc>
        <w:tc>
          <w:tcPr>
            <w:tcW w:w="0" w:type="auto"/>
            <w:shd w:val="clear" w:color="auto" w:fill="auto"/>
          </w:tcPr>
          <w:p w14:paraId="0F62E023" w14:textId="77777777" w:rsidR="00196C06" w:rsidRPr="00146067" w:rsidRDefault="00196C06" w:rsidP="006201FD">
            <w:pPr>
              <w:spacing w:before="40" w:after="80" w:line="220" w:lineRule="exact"/>
              <w:ind w:right="115"/>
              <w:jc w:val="center"/>
              <w:textDirection w:val="tbLrV"/>
              <w:rPr>
                <w:sz w:val="18"/>
                <w:szCs w:val="18"/>
                <w:lang w:val="fr-FR"/>
              </w:rPr>
            </w:pPr>
            <w:r w:rsidRPr="00146067">
              <w:rPr>
                <w:sz w:val="18"/>
                <w:szCs w:val="18"/>
                <w:lang w:val="fr-FR"/>
              </w:rPr>
              <w:t>Division 1.6</w:t>
            </w:r>
          </w:p>
        </w:tc>
        <w:tc>
          <w:tcPr>
            <w:tcW w:w="0" w:type="auto"/>
            <w:shd w:val="clear" w:color="auto" w:fill="auto"/>
          </w:tcPr>
          <w:p w14:paraId="5F3D6692" w14:textId="77777777" w:rsidR="00196C06" w:rsidRPr="00146067" w:rsidRDefault="00196C06" w:rsidP="006201FD">
            <w:pPr>
              <w:spacing w:before="40" w:after="80" w:line="220" w:lineRule="exact"/>
              <w:ind w:right="115"/>
              <w:jc w:val="center"/>
              <w:textDirection w:val="tbLrV"/>
              <w:rPr>
                <w:sz w:val="18"/>
                <w:szCs w:val="18"/>
                <w:lang w:val="fr-FR"/>
              </w:rPr>
            </w:pPr>
            <w:r w:rsidRPr="00146067">
              <w:rPr>
                <w:sz w:val="18"/>
                <w:szCs w:val="18"/>
                <w:lang w:val="fr-FR"/>
              </w:rPr>
              <w:t>1.6: noir</w:t>
            </w:r>
          </w:p>
          <w:p w14:paraId="5194D04C" w14:textId="182FBF40" w:rsidR="00196C06" w:rsidRPr="00146067" w:rsidRDefault="00196C06" w:rsidP="006201FD">
            <w:pPr>
              <w:spacing w:before="40" w:after="80" w:line="220" w:lineRule="exact"/>
              <w:jc w:val="center"/>
              <w:textDirection w:val="tbLrV"/>
              <w:rPr>
                <w:sz w:val="18"/>
                <w:szCs w:val="18"/>
                <w:lang w:val="fr-FR"/>
              </w:rPr>
            </w:pPr>
            <w:r w:rsidRPr="00146067">
              <w:rPr>
                <w:sz w:val="18"/>
                <w:szCs w:val="18"/>
                <w:lang w:val="fr-FR"/>
              </w:rPr>
              <w:t>Les chiffres doivent mesurer environ 30</w:t>
            </w:r>
            <w:r w:rsidR="005E4486">
              <w:rPr>
                <w:sz w:val="18"/>
                <w:szCs w:val="18"/>
                <w:lang w:val="fr-FR"/>
              </w:rPr>
              <w:t> </w:t>
            </w:r>
            <w:r w:rsidRPr="00146067">
              <w:rPr>
                <w:sz w:val="18"/>
                <w:szCs w:val="18"/>
                <w:lang w:val="fr-FR"/>
              </w:rPr>
              <w:t xml:space="preserve">mm de haut et 5 mm d’épaisseur (pour une étiquette de </w:t>
            </w:r>
            <w:r w:rsidRPr="000671A2">
              <w:rPr>
                <w:sz w:val="18"/>
                <w:szCs w:val="18"/>
                <w:lang w:val="fr-FR"/>
              </w:rPr>
              <w:t>100 mm x 100 mm)</w:t>
            </w:r>
          </w:p>
        </w:tc>
        <w:tc>
          <w:tcPr>
            <w:tcW w:w="0" w:type="auto"/>
            <w:shd w:val="clear" w:color="auto" w:fill="auto"/>
          </w:tcPr>
          <w:p w14:paraId="5507C49B" w14:textId="77777777" w:rsidR="00196C06" w:rsidRPr="00146067" w:rsidRDefault="00196C06" w:rsidP="006201FD">
            <w:pPr>
              <w:spacing w:before="40" w:after="80" w:line="220" w:lineRule="exact"/>
              <w:ind w:right="115"/>
              <w:jc w:val="center"/>
              <w:textDirection w:val="tbLrV"/>
              <w:rPr>
                <w:sz w:val="18"/>
                <w:szCs w:val="18"/>
                <w:lang w:val="fr-FR"/>
              </w:rPr>
            </w:pPr>
            <w:r w:rsidRPr="00146067">
              <w:rPr>
                <w:sz w:val="18"/>
                <w:szCs w:val="18"/>
                <w:lang w:val="fr-FR"/>
              </w:rPr>
              <w:t>Orange</w:t>
            </w:r>
          </w:p>
        </w:tc>
        <w:tc>
          <w:tcPr>
            <w:tcW w:w="0" w:type="auto"/>
            <w:shd w:val="clear" w:color="auto" w:fill="auto"/>
          </w:tcPr>
          <w:p w14:paraId="260E55B6" w14:textId="77777777" w:rsidR="00196C06" w:rsidRPr="00146067" w:rsidRDefault="00196C06" w:rsidP="006201FD">
            <w:pPr>
              <w:spacing w:before="40" w:after="80" w:line="220" w:lineRule="exact"/>
              <w:ind w:right="115"/>
              <w:jc w:val="center"/>
              <w:textDirection w:val="tbLrV"/>
              <w:rPr>
                <w:sz w:val="18"/>
                <w:szCs w:val="18"/>
                <w:lang w:val="ru-RU" w:eastAsia="ru-RU"/>
              </w:rPr>
            </w:pPr>
            <w:r w:rsidRPr="00146067">
              <w:rPr>
                <w:sz w:val="18"/>
                <w:szCs w:val="18"/>
                <w:lang w:val="fr-FR"/>
              </w:rPr>
              <w:t>1</w:t>
            </w:r>
            <w:r>
              <w:rPr>
                <w:sz w:val="18"/>
                <w:szCs w:val="18"/>
                <w:lang w:val="fr-FR"/>
              </w:rPr>
              <w:t xml:space="preserve"> </w:t>
            </w:r>
            <w:r>
              <w:rPr>
                <w:sz w:val="18"/>
                <w:szCs w:val="18"/>
                <w:lang w:val="fr-FR"/>
              </w:rPr>
              <w:br/>
            </w:r>
            <w:r w:rsidRPr="00146067">
              <w:rPr>
                <w:sz w:val="18"/>
                <w:szCs w:val="18"/>
                <w:lang w:val="fr-FR"/>
              </w:rPr>
              <w:t>(noir)</w:t>
            </w:r>
          </w:p>
        </w:tc>
        <w:tc>
          <w:tcPr>
            <w:tcW w:w="0" w:type="auto"/>
            <w:shd w:val="clear" w:color="auto" w:fill="auto"/>
            <w:vAlign w:val="center"/>
          </w:tcPr>
          <w:p w14:paraId="0EFAF412" w14:textId="77777777" w:rsidR="00196C06" w:rsidRPr="00146067" w:rsidRDefault="00196C06" w:rsidP="006201FD">
            <w:pPr>
              <w:spacing w:before="40" w:after="80" w:line="240" w:lineRule="auto"/>
              <w:ind w:right="115"/>
              <w:jc w:val="center"/>
              <w:rPr>
                <w:sz w:val="18"/>
                <w:szCs w:val="18"/>
                <w:lang w:val="ru-RU" w:eastAsia="ru-RU"/>
              </w:rPr>
            </w:pPr>
            <w:r>
              <w:rPr>
                <w:rFonts w:eastAsia="SimSun"/>
                <w:noProof/>
                <w:lang w:val="en-GB" w:eastAsia="en-GB"/>
              </w:rPr>
              <w:drawing>
                <wp:inline distT="0" distB="0" distL="0" distR="0" wp14:anchorId="6E3B5B36" wp14:editId="76270985">
                  <wp:extent cx="828675" cy="828675"/>
                  <wp:effectExtent l="0" t="0" r="9525" b="9525"/>
                  <wp:docPr id="40" name="Picture 40"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14:paraId="4C721EEB" w14:textId="77777777" w:rsidR="00196C06" w:rsidRPr="00146067" w:rsidRDefault="00196C06" w:rsidP="006201FD">
            <w:pPr>
              <w:spacing w:before="40" w:after="80" w:line="220" w:lineRule="exact"/>
              <w:ind w:right="115"/>
              <w:textDirection w:val="tbLrV"/>
              <w:rPr>
                <w:sz w:val="18"/>
                <w:szCs w:val="18"/>
                <w:lang w:val="fr-FR"/>
              </w:rPr>
            </w:pPr>
            <w:r w:rsidRPr="00284E2B">
              <w:rPr>
                <w:b/>
                <w:sz w:val="18"/>
                <w:szCs w:val="18"/>
                <w:vertAlign w:val="superscript"/>
                <w:lang w:val="en-GB"/>
              </w:rPr>
              <w:sym w:font="Wingdings 2" w:char="F0D6"/>
            </w:r>
            <w:r>
              <w:rPr>
                <w:lang w:val="fr-FR"/>
              </w:rPr>
              <w:tab/>
            </w:r>
            <w:r w:rsidRPr="00146067">
              <w:rPr>
                <w:sz w:val="18"/>
                <w:szCs w:val="18"/>
                <w:lang w:val="fr-FR"/>
              </w:rPr>
              <w:t xml:space="preserve">Indication du groupe de compatibilité </w:t>
            </w:r>
          </w:p>
        </w:tc>
      </w:tr>
    </w:tbl>
    <w:p w14:paraId="487CC582" w14:textId="77777777" w:rsidR="00196C06" w:rsidRDefault="00196C06" w:rsidP="00196C06">
      <w:pPr>
        <w:pStyle w:val="SingleTxt"/>
      </w:pPr>
    </w:p>
    <w:p w14:paraId="75B1F63F" w14:textId="77777777" w:rsidR="00196C06" w:rsidRDefault="00196C06" w:rsidP="00196C06">
      <w:pPr>
        <w:spacing w:line="240" w:lineRule="auto"/>
      </w:pPr>
      <w: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13"/>
        <w:gridCol w:w="2117"/>
        <w:gridCol w:w="1897"/>
        <w:gridCol w:w="569"/>
        <w:gridCol w:w="1898"/>
        <w:gridCol w:w="2402"/>
        <w:gridCol w:w="1419"/>
        <w:gridCol w:w="1275"/>
      </w:tblGrid>
      <w:tr w:rsidR="00196C06" w:rsidRPr="001F3DF2" w14:paraId="1C7F31C2" w14:textId="77777777" w:rsidTr="006201FD">
        <w:trPr>
          <w:cantSplit/>
        </w:trPr>
        <w:tc>
          <w:tcPr>
            <w:tcW w:w="0" w:type="auto"/>
            <w:shd w:val="clear" w:color="auto" w:fill="auto"/>
            <w:vAlign w:val="center"/>
          </w:tcPr>
          <w:p w14:paraId="4740CFEA"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lastRenderedPageBreak/>
              <w:t>No du modèle d’étiquette</w:t>
            </w:r>
          </w:p>
        </w:tc>
        <w:tc>
          <w:tcPr>
            <w:tcW w:w="0" w:type="auto"/>
            <w:shd w:val="clear" w:color="auto" w:fill="auto"/>
            <w:vAlign w:val="center"/>
          </w:tcPr>
          <w:p w14:paraId="1C7515C2" w14:textId="77777777" w:rsidR="00196C06" w:rsidRPr="001F3DF2" w:rsidRDefault="00196C06" w:rsidP="006201FD">
            <w:pPr>
              <w:spacing w:before="80" w:after="80" w:line="160" w:lineRule="exact"/>
              <w:ind w:right="43"/>
              <w:jc w:val="center"/>
              <w:textDirection w:val="tbLrV"/>
              <w:rPr>
                <w:sz w:val="18"/>
                <w:szCs w:val="18"/>
                <w:lang w:val="fr-FR"/>
              </w:rPr>
            </w:pPr>
            <w:r w:rsidRPr="00D03583">
              <w:rPr>
                <w:sz w:val="18"/>
                <w:szCs w:val="18"/>
                <w:lang w:val="fr-FR"/>
              </w:rPr>
              <w:t>Division ou Catégorie</w:t>
            </w:r>
          </w:p>
        </w:tc>
        <w:tc>
          <w:tcPr>
            <w:tcW w:w="0" w:type="auto"/>
            <w:shd w:val="clear" w:color="auto" w:fill="auto"/>
            <w:vAlign w:val="center"/>
          </w:tcPr>
          <w:p w14:paraId="52D06D78"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Signe conventionnel</w:t>
            </w:r>
            <w:r>
              <w:rPr>
                <w:sz w:val="18"/>
                <w:szCs w:val="18"/>
                <w:lang w:val="fr-FR"/>
              </w:rPr>
              <w:t xml:space="preserve"> et</w:t>
            </w:r>
            <w:r w:rsidRPr="001F3DF2">
              <w:rPr>
                <w:sz w:val="18"/>
                <w:szCs w:val="18"/>
                <w:lang w:val="fr-FR"/>
              </w:rPr>
              <w:t xml:space="preserve"> couleur</w:t>
            </w:r>
            <w:r>
              <w:rPr>
                <w:sz w:val="18"/>
                <w:szCs w:val="18"/>
                <w:lang w:val="fr-FR"/>
              </w:rPr>
              <w:t xml:space="preserve"> du signe</w:t>
            </w:r>
          </w:p>
        </w:tc>
        <w:tc>
          <w:tcPr>
            <w:tcW w:w="0" w:type="auto"/>
            <w:shd w:val="clear" w:color="auto" w:fill="auto"/>
            <w:vAlign w:val="center"/>
          </w:tcPr>
          <w:p w14:paraId="21048510"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Fond</w:t>
            </w:r>
          </w:p>
        </w:tc>
        <w:tc>
          <w:tcPr>
            <w:tcW w:w="1898" w:type="dxa"/>
            <w:shd w:val="clear" w:color="auto" w:fill="auto"/>
            <w:vAlign w:val="center"/>
          </w:tcPr>
          <w:p w14:paraId="457182F1"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Chiffre figurant dans le coin inférieur (</w:t>
            </w:r>
            <w:r>
              <w:rPr>
                <w:sz w:val="18"/>
                <w:szCs w:val="18"/>
                <w:lang w:val="fr-FR"/>
              </w:rPr>
              <w:t xml:space="preserve">et </w:t>
            </w:r>
            <w:r w:rsidRPr="001F3DF2">
              <w:rPr>
                <w:sz w:val="18"/>
                <w:szCs w:val="18"/>
                <w:lang w:val="fr-FR"/>
              </w:rPr>
              <w:t>couleur du chiffre)</w:t>
            </w:r>
          </w:p>
        </w:tc>
        <w:tc>
          <w:tcPr>
            <w:tcW w:w="2977" w:type="dxa"/>
            <w:gridSpan w:val="2"/>
            <w:shd w:val="clear" w:color="auto" w:fill="auto"/>
            <w:vAlign w:val="center"/>
          </w:tcPr>
          <w:p w14:paraId="2EB92002"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Modèles d’étiquettes</w:t>
            </w:r>
          </w:p>
        </w:tc>
        <w:tc>
          <w:tcPr>
            <w:tcW w:w="1275" w:type="dxa"/>
            <w:shd w:val="clear" w:color="auto" w:fill="auto"/>
            <w:vAlign w:val="center"/>
          </w:tcPr>
          <w:p w14:paraId="0F0DB902"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Nota</w:t>
            </w:r>
          </w:p>
        </w:tc>
      </w:tr>
      <w:tr w:rsidR="00196C06" w:rsidRPr="00604F0C" w14:paraId="0521AFBC" w14:textId="77777777" w:rsidTr="006201FD">
        <w:trPr>
          <w:cantSplit/>
        </w:trPr>
        <w:tc>
          <w:tcPr>
            <w:tcW w:w="0" w:type="auto"/>
            <w:gridSpan w:val="8"/>
            <w:shd w:val="clear" w:color="auto" w:fill="auto"/>
            <w:vAlign w:val="center"/>
          </w:tcPr>
          <w:p w14:paraId="56A4A383" w14:textId="11C87137" w:rsidR="00196C06" w:rsidRPr="00604F0C" w:rsidRDefault="009956B8" w:rsidP="006201FD">
            <w:pPr>
              <w:spacing w:before="40" w:after="80"/>
              <w:ind w:right="43"/>
              <w:jc w:val="center"/>
              <w:textDirection w:val="tbLrV"/>
              <w:rPr>
                <w:b/>
                <w:sz w:val="18"/>
                <w:szCs w:val="18"/>
                <w:lang w:val="fr-FR"/>
              </w:rPr>
            </w:pPr>
            <w:r>
              <w:rPr>
                <w:b/>
                <w:sz w:val="18"/>
                <w:szCs w:val="18"/>
                <w:lang w:val="fr-FR"/>
              </w:rPr>
              <w:t>Classe 2:</w:t>
            </w:r>
            <w:r w:rsidR="00196C06" w:rsidRPr="00604F0C">
              <w:rPr>
                <w:b/>
                <w:sz w:val="18"/>
                <w:szCs w:val="18"/>
                <w:lang w:val="fr-FR"/>
              </w:rPr>
              <w:t xml:space="preserve"> Gaz</w:t>
            </w:r>
          </w:p>
        </w:tc>
      </w:tr>
      <w:tr w:rsidR="00196C06" w:rsidRPr="00604F0C" w14:paraId="56142FCE" w14:textId="77777777" w:rsidTr="006201FD">
        <w:trPr>
          <w:cantSplit/>
        </w:trPr>
        <w:tc>
          <w:tcPr>
            <w:tcW w:w="0" w:type="auto"/>
            <w:shd w:val="clear" w:color="auto" w:fill="auto"/>
          </w:tcPr>
          <w:p w14:paraId="785F7C49"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2.1</w:t>
            </w:r>
          </w:p>
        </w:tc>
        <w:tc>
          <w:tcPr>
            <w:tcW w:w="0" w:type="auto"/>
            <w:shd w:val="clear" w:color="auto" w:fill="auto"/>
          </w:tcPr>
          <w:p w14:paraId="022FF72E" w14:textId="77777777" w:rsidR="00196C06" w:rsidRPr="00604F0C" w:rsidRDefault="00196C06" w:rsidP="006201FD">
            <w:pPr>
              <w:spacing w:before="40" w:after="80"/>
              <w:ind w:right="43"/>
              <w:jc w:val="center"/>
              <w:textDirection w:val="tbLrV"/>
              <w:rPr>
                <w:sz w:val="18"/>
                <w:szCs w:val="18"/>
                <w:lang w:val="fr-FR"/>
              </w:rPr>
            </w:pPr>
            <w:r>
              <w:rPr>
                <w:sz w:val="18"/>
                <w:szCs w:val="18"/>
                <w:lang w:val="fr-FR"/>
              </w:rPr>
              <w:t>Division 2.1:</w:t>
            </w:r>
          </w:p>
          <w:p w14:paraId="052A6087"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Gaz inflammables (sauf selon 5.2.2.2.1.6 d))</w:t>
            </w:r>
          </w:p>
        </w:tc>
        <w:tc>
          <w:tcPr>
            <w:tcW w:w="0" w:type="auto"/>
            <w:shd w:val="clear" w:color="auto" w:fill="auto"/>
          </w:tcPr>
          <w:p w14:paraId="45C5D317"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 xml:space="preserve">Flamme: </w:t>
            </w:r>
            <w:r>
              <w:rPr>
                <w:sz w:val="18"/>
                <w:szCs w:val="18"/>
                <w:lang w:val="fr-FR"/>
              </w:rPr>
              <w:br/>
            </w:r>
            <w:r w:rsidRPr="00604F0C">
              <w:rPr>
                <w:sz w:val="18"/>
                <w:szCs w:val="18"/>
                <w:lang w:val="fr-FR"/>
              </w:rPr>
              <w:t>noir ou blanc</w:t>
            </w:r>
          </w:p>
        </w:tc>
        <w:tc>
          <w:tcPr>
            <w:tcW w:w="0" w:type="auto"/>
            <w:shd w:val="clear" w:color="auto" w:fill="auto"/>
          </w:tcPr>
          <w:p w14:paraId="51400518"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Rouge</w:t>
            </w:r>
          </w:p>
        </w:tc>
        <w:tc>
          <w:tcPr>
            <w:tcW w:w="1898" w:type="dxa"/>
            <w:shd w:val="clear" w:color="auto" w:fill="auto"/>
          </w:tcPr>
          <w:p w14:paraId="20103BEB"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2</w:t>
            </w:r>
            <w:r>
              <w:rPr>
                <w:sz w:val="18"/>
                <w:szCs w:val="18"/>
                <w:lang w:val="fr-FR"/>
              </w:rPr>
              <w:t xml:space="preserve"> </w:t>
            </w:r>
            <w:r>
              <w:rPr>
                <w:sz w:val="18"/>
                <w:szCs w:val="18"/>
                <w:lang w:val="fr-FR"/>
              </w:rPr>
              <w:br/>
            </w:r>
            <w:r w:rsidRPr="00604F0C">
              <w:rPr>
                <w:sz w:val="18"/>
                <w:szCs w:val="18"/>
                <w:lang w:val="fr-FR"/>
              </w:rPr>
              <w:t>(noir ou blanc)</w:t>
            </w:r>
          </w:p>
        </w:tc>
        <w:tc>
          <w:tcPr>
            <w:tcW w:w="2402" w:type="dxa"/>
            <w:shd w:val="clear" w:color="auto" w:fill="auto"/>
            <w:vAlign w:val="center"/>
          </w:tcPr>
          <w:p w14:paraId="29D763D0" w14:textId="77777777" w:rsidR="00196C06" w:rsidRPr="00604F0C" w:rsidRDefault="00196C06" w:rsidP="006201FD">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52A52A87" wp14:editId="255D5696">
                  <wp:extent cx="828675" cy="828675"/>
                  <wp:effectExtent l="0" t="0" r="9525" b="9525"/>
                  <wp:docPr id="39" name="Picture 39"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ge2_noi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14:paraId="471CFA4E" w14:textId="77777777" w:rsidR="00196C06" w:rsidRPr="00604F0C" w:rsidRDefault="00196C06" w:rsidP="006201FD">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08CF6E4B" wp14:editId="18C6F6C2">
                  <wp:extent cx="828675" cy="828675"/>
                  <wp:effectExtent l="0" t="0" r="9525" b="9525"/>
                  <wp:docPr id="37" name="Picture 3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ge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14:paraId="3DBB50B6" w14:textId="77777777" w:rsidR="00196C06" w:rsidRPr="00604799" w:rsidRDefault="00196C06" w:rsidP="006201FD">
            <w:pPr>
              <w:spacing w:before="40" w:after="80" w:line="220" w:lineRule="exact"/>
              <w:jc w:val="center"/>
              <w:textDirection w:val="tbLrV"/>
              <w:rPr>
                <w:sz w:val="18"/>
                <w:szCs w:val="18"/>
                <w:lang w:val="fr-FR"/>
              </w:rPr>
            </w:pPr>
            <w:r w:rsidRPr="00604F0C">
              <w:rPr>
                <w:sz w:val="18"/>
                <w:szCs w:val="18"/>
                <w:lang w:val="fr-FR"/>
              </w:rPr>
              <w:t>-</w:t>
            </w:r>
          </w:p>
        </w:tc>
      </w:tr>
      <w:tr w:rsidR="00196C06" w:rsidRPr="00604F0C" w14:paraId="2281D351" w14:textId="77777777" w:rsidTr="006201FD">
        <w:trPr>
          <w:cantSplit/>
        </w:trPr>
        <w:tc>
          <w:tcPr>
            <w:tcW w:w="0" w:type="auto"/>
            <w:shd w:val="clear" w:color="auto" w:fill="auto"/>
          </w:tcPr>
          <w:p w14:paraId="5F7ADBEF"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2.2</w:t>
            </w:r>
          </w:p>
        </w:tc>
        <w:tc>
          <w:tcPr>
            <w:tcW w:w="0" w:type="auto"/>
            <w:shd w:val="clear" w:color="auto" w:fill="auto"/>
          </w:tcPr>
          <w:p w14:paraId="07544176" w14:textId="77777777" w:rsidR="00196C06" w:rsidRPr="00604F0C" w:rsidRDefault="00196C06" w:rsidP="006201FD">
            <w:pPr>
              <w:spacing w:before="40" w:after="80"/>
              <w:ind w:right="43"/>
              <w:jc w:val="center"/>
              <w:textDirection w:val="tbLrV"/>
              <w:rPr>
                <w:sz w:val="18"/>
                <w:szCs w:val="18"/>
                <w:lang w:val="fr-FR"/>
              </w:rPr>
            </w:pPr>
            <w:r>
              <w:rPr>
                <w:sz w:val="18"/>
                <w:szCs w:val="18"/>
                <w:lang w:val="fr-FR"/>
              </w:rPr>
              <w:t>Division 2.2:</w:t>
            </w:r>
          </w:p>
          <w:p w14:paraId="465FF2FB"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Gaz ininflammables, non toxiques</w:t>
            </w:r>
          </w:p>
        </w:tc>
        <w:tc>
          <w:tcPr>
            <w:tcW w:w="0" w:type="auto"/>
            <w:shd w:val="clear" w:color="auto" w:fill="auto"/>
          </w:tcPr>
          <w:p w14:paraId="69F959FA"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Bouteille à gaz: noir ou blanc</w:t>
            </w:r>
          </w:p>
        </w:tc>
        <w:tc>
          <w:tcPr>
            <w:tcW w:w="0" w:type="auto"/>
            <w:shd w:val="clear" w:color="auto" w:fill="auto"/>
          </w:tcPr>
          <w:p w14:paraId="1DFDC103"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Vert</w:t>
            </w:r>
          </w:p>
        </w:tc>
        <w:tc>
          <w:tcPr>
            <w:tcW w:w="1898" w:type="dxa"/>
            <w:shd w:val="clear" w:color="auto" w:fill="auto"/>
          </w:tcPr>
          <w:p w14:paraId="2AE246DD"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2</w:t>
            </w:r>
            <w:r>
              <w:rPr>
                <w:sz w:val="18"/>
                <w:szCs w:val="18"/>
                <w:lang w:val="fr-FR"/>
              </w:rPr>
              <w:t xml:space="preserve"> </w:t>
            </w:r>
            <w:r>
              <w:rPr>
                <w:sz w:val="18"/>
                <w:szCs w:val="18"/>
                <w:lang w:val="fr-FR"/>
              </w:rPr>
              <w:br/>
            </w:r>
            <w:r w:rsidRPr="00604F0C">
              <w:rPr>
                <w:sz w:val="18"/>
                <w:szCs w:val="18"/>
                <w:lang w:val="fr-FR"/>
              </w:rPr>
              <w:t>(noir ou blanc)</w:t>
            </w:r>
          </w:p>
        </w:tc>
        <w:tc>
          <w:tcPr>
            <w:tcW w:w="2402" w:type="dxa"/>
            <w:shd w:val="clear" w:color="auto" w:fill="auto"/>
            <w:vAlign w:val="center"/>
          </w:tcPr>
          <w:p w14:paraId="45C55DA8" w14:textId="77777777" w:rsidR="00196C06" w:rsidRPr="00604F0C" w:rsidRDefault="00196C06" w:rsidP="006201FD">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23F53D35" wp14:editId="1239CDBC">
                  <wp:extent cx="828675" cy="828675"/>
                  <wp:effectExtent l="0" t="0" r="9525" b="9525"/>
                  <wp:docPr id="35" name="Picture 35"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14:paraId="3FA6D9E9" w14:textId="77777777" w:rsidR="00196C06" w:rsidRPr="00604F0C" w:rsidRDefault="00196C06" w:rsidP="006201FD">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4E96509B" wp14:editId="779F23B2">
                  <wp:extent cx="828675" cy="828675"/>
                  <wp:effectExtent l="0" t="0" r="9525" b="9525"/>
                  <wp:docPr id="33" name="Picture 33"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_blan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14:paraId="7F029E5A"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w:t>
            </w:r>
          </w:p>
        </w:tc>
      </w:tr>
      <w:tr w:rsidR="00196C06" w:rsidRPr="00604F0C" w14:paraId="37DC9509" w14:textId="77777777" w:rsidTr="006201FD">
        <w:trPr>
          <w:cantSplit/>
        </w:trPr>
        <w:tc>
          <w:tcPr>
            <w:tcW w:w="0" w:type="auto"/>
            <w:shd w:val="clear" w:color="auto" w:fill="auto"/>
          </w:tcPr>
          <w:p w14:paraId="69947E33"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2.3</w:t>
            </w:r>
          </w:p>
        </w:tc>
        <w:tc>
          <w:tcPr>
            <w:tcW w:w="0" w:type="auto"/>
            <w:shd w:val="clear" w:color="auto" w:fill="auto"/>
          </w:tcPr>
          <w:p w14:paraId="00BA5814" w14:textId="77777777" w:rsidR="00196C06" w:rsidRPr="00604F0C" w:rsidRDefault="00196C06" w:rsidP="006201FD">
            <w:pPr>
              <w:spacing w:before="40" w:after="80"/>
              <w:ind w:right="43"/>
              <w:jc w:val="center"/>
              <w:textDirection w:val="tbLrV"/>
              <w:rPr>
                <w:sz w:val="18"/>
                <w:szCs w:val="18"/>
                <w:lang w:val="fr-FR"/>
              </w:rPr>
            </w:pPr>
            <w:r>
              <w:rPr>
                <w:sz w:val="18"/>
                <w:szCs w:val="18"/>
                <w:lang w:val="fr-FR"/>
              </w:rPr>
              <w:t>Division 2.3:</w:t>
            </w:r>
          </w:p>
          <w:p w14:paraId="07D199D0"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Gaz toxiques</w:t>
            </w:r>
          </w:p>
        </w:tc>
        <w:tc>
          <w:tcPr>
            <w:tcW w:w="0" w:type="auto"/>
            <w:shd w:val="clear" w:color="auto" w:fill="auto"/>
          </w:tcPr>
          <w:p w14:paraId="0F0669ED"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Tête de mort sur deux tibias: noir</w:t>
            </w:r>
          </w:p>
        </w:tc>
        <w:tc>
          <w:tcPr>
            <w:tcW w:w="0" w:type="auto"/>
            <w:shd w:val="clear" w:color="auto" w:fill="auto"/>
          </w:tcPr>
          <w:p w14:paraId="041A7245"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Blanc</w:t>
            </w:r>
          </w:p>
        </w:tc>
        <w:tc>
          <w:tcPr>
            <w:tcW w:w="1898" w:type="dxa"/>
            <w:shd w:val="clear" w:color="auto" w:fill="auto"/>
          </w:tcPr>
          <w:p w14:paraId="059E6FA3"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2</w:t>
            </w:r>
            <w:r>
              <w:rPr>
                <w:sz w:val="18"/>
                <w:szCs w:val="18"/>
                <w:lang w:val="fr-FR"/>
              </w:rPr>
              <w:t xml:space="preserve"> </w:t>
            </w:r>
            <w:r>
              <w:rPr>
                <w:sz w:val="18"/>
                <w:szCs w:val="18"/>
                <w:lang w:val="fr-FR"/>
              </w:rPr>
              <w:br/>
            </w:r>
            <w:r w:rsidRPr="00604F0C">
              <w:rPr>
                <w:sz w:val="18"/>
                <w:szCs w:val="18"/>
                <w:lang w:val="fr-FR"/>
              </w:rPr>
              <w:t>(noir)</w:t>
            </w:r>
          </w:p>
        </w:tc>
        <w:tc>
          <w:tcPr>
            <w:tcW w:w="2977" w:type="dxa"/>
            <w:gridSpan w:val="2"/>
            <w:shd w:val="clear" w:color="auto" w:fill="auto"/>
          </w:tcPr>
          <w:p w14:paraId="2A2D82A4" w14:textId="77777777" w:rsidR="00196C06" w:rsidRPr="002F1F95" w:rsidRDefault="00196C06" w:rsidP="006201FD">
            <w:pPr>
              <w:spacing w:before="40" w:after="80" w:line="240" w:lineRule="auto"/>
              <w:ind w:right="43"/>
              <w:jc w:val="center"/>
            </w:pPr>
            <w:r>
              <w:rPr>
                <w:rFonts w:eastAsia="SimSun"/>
                <w:noProof/>
                <w:lang w:val="en-GB" w:eastAsia="en-GB"/>
              </w:rPr>
              <w:drawing>
                <wp:inline distT="0" distB="0" distL="0" distR="0" wp14:anchorId="2F295841" wp14:editId="602B815D">
                  <wp:extent cx="828675" cy="828675"/>
                  <wp:effectExtent l="0" t="0" r="9525" b="9525"/>
                  <wp:docPr id="32" name="Picture 32"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_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14:paraId="2EF9952C" w14:textId="77777777" w:rsidR="00196C06" w:rsidRPr="00604F0C" w:rsidRDefault="00196C06" w:rsidP="006201FD">
            <w:pPr>
              <w:spacing w:before="40" w:after="80"/>
              <w:ind w:right="43"/>
              <w:jc w:val="center"/>
              <w:textDirection w:val="tbLrV"/>
              <w:rPr>
                <w:sz w:val="18"/>
                <w:szCs w:val="18"/>
                <w:lang w:val="fr-FR"/>
              </w:rPr>
            </w:pPr>
            <w:r w:rsidRPr="00604F0C">
              <w:rPr>
                <w:sz w:val="18"/>
                <w:szCs w:val="18"/>
                <w:lang w:val="fr-FR"/>
              </w:rPr>
              <w:t>-</w:t>
            </w:r>
            <w:r>
              <w:rPr>
                <w:sz w:val="18"/>
                <w:szCs w:val="18"/>
                <w:lang w:val="fr-FR"/>
              </w:rPr>
              <w:t xml:space="preserve"> </w:t>
            </w:r>
          </w:p>
        </w:tc>
      </w:tr>
    </w:tbl>
    <w:p w14:paraId="244E4683" w14:textId="77777777" w:rsidR="00196C06" w:rsidRDefault="00196C06" w:rsidP="00196C06">
      <w:pPr>
        <w:pStyle w:val="SingleTxt"/>
      </w:pPr>
    </w:p>
    <w:p w14:paraId="69F3CF47" w14:textId="77777777" w:rsidR="00196C06" w:rsidRDefault="00196C06" w:rsidP="00196C06">
      <w:pPr>
        <w:spacing w:line="240" w:lineRule="auto"/>
      </w:pPr>
      <w: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1"/>
        <w:gridCol w:w="2809"/>
        <w:gridCol w:w="1457"/>
        <w:gridCol w:w="1333"/>
        <w:gridCol w:w="1418"/>
        <w:gridCol w:w="2100"/>
        <w:gridCol w:w="1579"/>
        <w:gridCol w:w="1133"/>
      </w:tblGrid>
      <w:tr w:rsidR="00196C06" w:rsidRPr="001F3DF2" w14:paraId="0E4764ED" w14:textId="77777777" w:rsidTr="006201FD">
        <w:tc>
          <w:tcPr>
            <w:tcW w:w="0" w:type="auto"/>
            <w:tcBorders>
              <w:bottom w:val="single" w:sz="4" w:space="0" w:color="auto"/>
            </w:tcBorders>
            <w:shd w:val="clear" w:color="auto" w:fill="auto"/>
            <w:vAlign w:val="center"/>
          </w:tcPr>
          <w:p w14:paraId="4963BFC4"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lastRenderedPageBreak/>
              <w:t>No du modèle d’étiquette</w:t>
            </w:r>
          </w:p>
        </w:tc>
        <w:tc>
          <w:tcPr>
            <w:tcW w:w="0" w:type="auto"/>
            <w:tcBorders>
              <w:bottom w:val="single" w:sz="4" w:space="0" w:color="auto"/>
            </w:tcBorders>
            <w:shd w:val="clear" w:color="auto" w:fill="auto"/>
            <w:vAlign w:val="center"/>
          </w:tcPr>
          <w:p w14:paraId="12C0AE67" w14:textId="77777777" w:rsidR="00196C06" w:rsidRPr="001F3DF2" w:rsidRDefault="00196C06" w:rsidP="006201FD">
            <w:pPr>
              <w:spacing w:before="80" w:after="80" w:line="160" w:lineRule="exact"/>
              <w:ind w:right="43"/>
              <w:jc w:val="center"/>
              <w:textDirection w:val="tbLrV"/>
              <w:rPr>
                <w:sz w:val="18"/>
                <w:szCs w:val="18"/>
                <w:lang w:val="fr-FR"/>
              </w:rPr>
            </w:pPr>
            <w:r w:rsidRPr="00D03583">
              <w:rPr>
                <w:sz w:val="18"/>
                <w:szCs w:val="18"/>
                <w:lang w:val="fr-FR"/>
              </w:rPr>
              <w:t>Division ou Catégorie</w:t>
            </w:r>
          </w:p>
        </w:tc>
        <w:tc>
          <w:tcPr>
            <w:tcW w:w="0" w:type="auto"/>
            <w:tcBorders>
              <w:bottom w:val="single" w:sz="4" w:space="0" w:color="auto"/>
            </w:tcBorders>
            <w:shd w:val="clear" w:color="auto" w:fill="auto"/>
            <w:vAlign w:val="center"/>
          </w:tcPr>
          <w:p w14:paraId="04EF63FD"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Signe conventionnel</w:t>
            </w:r>
            <w:r>
              <w:rPr>
                <w:sz w:val="18"/>
                <w:szCs w:val="18"/>
                <w:lang w:val="fr-FR"/>
              </w:rPr>
              <w:t xml:space="preserve"> et</w:t>
            </w:r>
            <w:r w:rsidRPr="001F3DF2">
              <w:rPr>
                <w:sz w:val="18"/>
                <w:szCs w:val="18"/>
                <w:lang w:val="fr-FR"/>
              </w:rPr>
              <w:t xml:space="preserve"> couleur</w:t>
            </w:r>
            <w:r>
              <w:rPr>
                <w:sz w:val="18"/>
                <w:szCs w:val="18"/>
                <w:lang w:val="fr-FR"/>
              </w:rPr>
              <w:t xml:space="preserve"> du signe</w:t>
            </w:r>
          </w:p>
        </w:tc>
        <w:tc>
          <w:tcPr>
            <w:tcW w:w="1333" w:type="dxa"/>
            <w:tcBorders>
              <w:bottom w:val="single" w:sz="4" w:space="0" w:color="auto"/>
            </w:tcBorders>
            <w:shd w:val="clear" w:color="auto" w:fill="auto"/>
            <w:vAlign w:val="center"/>
          </w:tcPr>
          <w:p w14:paraId="6EDB87B8"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Fond</w:t>
            </w:r>
          </w:p>
        </w:tc>
        <w:tc>
          <w:tcPr>
            <w:tcW w:w="1418" w:type="dxa"/>
            <w:tcBorders>
              <w:bottom w:val="single" w:sz="4" w:space="0" w:color="auto"/>
            </w:tcBorders>
            <w:shd w:val="clear" w:color="auto" w:fill="auto"/>
            <w:vAlign w:val="center"/>
          </w:tcPr>
          <w:p w14:paraId="76F2A17D"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Chiffre figurant dans le coin inférieur (</w:t>
            </w:r>
            <w:r>
              <w:rPr>
                <w:sz w:val="18"/>
                <w:szCs w:val="18"/>
                <w:lang w:val="fr-FR"/>
              </w:rPr>
              <w:t xml:space="preserve">et </w:t>
            </w:r>
            <w:r w:rsidRPr="001F3DF2">
              <w:rPr>
                <w:sz w:val="18"/>
                <w:szCs w:val="18"/>
                <w:lang w:val="fr-FR"/>
              </w:rPr>
              <w:t>couleur du chiffre)</w:t>
            </w:r>
          </w:p>
        </w:tc>
        <w:tc>
          <w:tcPr>
            <w:tcW w:w="3236" w:type="dxa"/>
            <w:gridSpan w:val="2"/>
            <w:tcBorders>
              <w:bottom w:val="single" w:sz="4" w:space="0" w:color="auto"/>
            </w:tcBorders>
            <w:shd w:val="clear" w:color="auto" w:fill="auto"/>
            <w:vAlign w:val="center"/>
          </w:tcPr>
          <w:p w14:paraId="552A3E28"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Modèles d’étiquettes</w:t>
            </w:r>
          </w:p>
        </w:tc>
        <w:tc>
          <w:tcPr>
            <w:tcW w:w="1133" w:type="dxa"/>
            <w:tcBorders>
              <w:bottom w:val="single" w:sz="4" w:space="0" w:color="auto"/>
            </w:tcBorders>
            <w:shd w:val="clear" w:color="auto" w:fill="auto"/>
            <w:vAlign w:val="center"/>
          </w:tcPr>
          <w:p w14:paraId="509F6736" w14:textId="77777777" w:rsidR="00196C06" w:rsidRPr="001F3DF2" w:rsidRDefault="00196C06" w:rsidP="006201FD">
            <w:pPr>
              <w:spacing w:before="80" w:after="80" w:line="160" w:lineRule="exact"/>
              <w:ind w:right="43"/>
              <w:jc w:val="center"/>
              <w:textDirection w:val="tbLrV"/>
              <w:rPr>
                <w:sz w:val="18"/>
                <w:szCs w:val="18"/>
                <w:lang w:val="fr-FR"/>
              </w:rPr>
            </w:pPr>
            <w:r w:rsidRPr="001F3DF2">
              <w:rPr>
                <w:sz w:val="18"/>
                <w:szCs w:val="18"/>
                <w:lang w:val="fr-FR"/>
              </w:rPr>
              <w:t>Nota</w:t>
            </w:r>
          </w:p>
        </w:tc>
      </w:tr>
      <w:tr w:rsidR="00196C06" w:rsidRPr="001B79A0" w14:paraId="2C7E4362" w14:textId="77777777" w:rsidTr="006201FD">
        <w:tblPrEx>
          <w:tblCellMar>
            <w:left w:w="108" w:type="dxa"/>
            <w:right w:w="108" w:type="dxa"/>
          </w:tblCellMar>
          <w:tblLook w:val="04A0" w:firstRow="1" w:lastRow="0" w:firstColumn="1" w:lastColumn="0" w:noHBand="0" w:noVBand="1"/>
        </w:tblPrEx>
        <w:tc>
          <w:tcPr>
            <w:tcW w:w="0" w:type="auto"/>
            <w:gridSpan w:val="8"/>
            <w:shd w:val="clear" w:color="auto" w:fill="auto"/>
          </w:tcPr>
          <w:p w14:paraId="63F7978F" w14:textId="7003A097" w:rsidR="00196C06" w:rsidRPr="001B79A0" w:rsidRDefault="009956B8" w:rsidP="006201FD">
            <w:pPr>
              <w:spacing w:before="40" w:after="80"/>
              <w:ind w:right="43"/>
              <w:jc w:val="center"/>
              <w:rPr>
                <w:b/>
                <w:sz w:val="18"/>
                <w:szCs w:val="18"/>
                <w:lang w:val="fr-FR"/>
              </w:rPr>
            </w:pPr>
            <w:r>
              <w:rPr>
                <w:b/>
                <w:sz w:val="18"/>
                <w:szCs w:val="18"/>
                <w:lang w:val="fr-FR"/>
              </w:rPr>
              <w:t>Classe 3:</w:t>
            </w:r>
            <w:r w:rsidR="00196C06" w:rsidRPr="001B79A0">
              <w:rPr>
                <w:b/>
                <w:sz w:val="18"/>
                <w:szCs w:val="18"/>
                <w:lang w:val="fr-FR"/>
              </w:rPr>
              <w:t xml:space="preserve"> Liquide</w:t>
            </w:r>
            <w:r>
              <w:rPr>
                <w:b/>
                <w:sz w:val="18"/>
                <w:szCs w:val="18"/>
                <w:lang w:val="fr-FR"/>
              </w:rPr>
              <w:t>s</w:t>
            </w:r>
            <w:r w:rsidR="00196C06" w:rsidRPr="001B79A0">
              <w:rPr>
                <w:b/>
                <w:sz w:val="18"/>
                <w:szCs w:val="18"/>
                <w:lang w:val="fr-FR"/>
              </w:rPr>
              <w:t xml:space="preserve"> inflammable</w:t>
            </w:r>
            <w:r>
              <w:rPr>
                <w:b/>
                <w:sz w:val="18"/>
                <w:szCs w:val="18"/>
                <w:lang w:val="fr-FR"/>
              </w:rPr>
              <w:t>s</w:t>
            </w:r>
          </w:p>
        </w:tc>
      </w:tr>
      <w:tr w:rsidR="00196C06" w:rsidRPr="001B79A0" w14:paraId="244DA7A2"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02EBD8CD" w14:textId="77777777" w:rsidR="00196C06" w:rsidRPr="001B79A0" w:rsidRDefault="00196C06" w:rsidP="006201FD">
            <w:pPr>
              <w:spacing w:before="40" w:after="80"/>
              <w:ind w:right="43"/>
              <w:rPr>
                <w:sz w:val="18"/>
                <w:szCs w:val="18"/>
                <w:lang w:val="fr-FR"/>
              </w:rPr>
            </w:pPr>
            <w:r w:rsidRPr="001B79A0">
              <w:rPr>
                <w:sz w:val="18"/>
                <w:szCs w:val="18"/>
                <w:lang w:val="fr-FR"/>
              </w:rPr>
              <w:t>3</w:t>
            </w:r>
          </w:p>
        </w:tc>
        <w:tc>
          <w:tcPr>
            <w:tcW w:w="0" w:type="auto"/>
            <w:shd w:val="clear" w:color="auto" w:fill="auto"/>
          </w:tcPr>
          <w:p w14:paraId="2CE8EDEA" w14:textId="77777777" w:rsidR="00196C06" w:rsidRPr="001B79A0" w:rsidRDefault="00196C06" w:rsidP="006201FD">
            <w:pPr>
              <w:spacing w:before="40" w:after="80"/>
              <w:ind w:right="43"/>
              <w:jc w:val="center"/>
              <w:rPr>
                <w:sz w:val="18"/>
                <w:szCs w:val="18"/>
                <w:lang w:val="fr-FR"/>
              </w:rPr>
            </w:pPr>
            <w:r w:rsidRPr="001B79A0">
              <w:rPr>
                <w:sz w:val="18"/>
                <w:szCs w:val="18"/>
                <w:lang w:val="fr-FR"/>
              </w:rPr>
              <w:t>-</w:t>
            </w:r>
          </w:p>
        </w:tc>
        <w:tc>
          <w:tcPr>
            <w:tcW w:w="0" w:type="auto"/>
            <w:shd w:val="clear" w:color="auto" w:fill="auto"/>
          </w:tcPr>
          <w:p w14:paraId="7EFC01BF" w14:textId="77777777" w:rsidR="00196C06" w:rsidRPr="001B79A0" w:rsidRDefault="00196C06" w:rsidP="006201FD">
            <w:pPr>
              <w:spacing w:before="40" w:after="80"/>
              <w:ind w:right="43"/>
              <w:jc w:val="center"/>
              <w:rPr>
                <w:sz w:val="18"/>
                <w:szCs w:val="18"/>
                <w:lang w:val="fr-FR"/>
              </w:rPr>
            </w:pPr>
            <w:r w:rsidRPr="001B79A0">
              <w:rPr>
                <w:sz w:val="18"/>
                <w:szCs w:val="18"/>
                <w:lang w:val="fr-FR"/>
              </w:rPr>
              <w:t xml:space="preserve">Flamme: </w:t>
            </w:r>
            <w:r>
              <w:rPr>
                <w:sz w:val="18"/>
                <w:szCs w:val="18"/>
                <w:lang w:val="fr-FR"/>
              </w:rPr>
              <w:br/>
            </w:r>
            <w:r w:rsidRPr="001B79A0">
              <w:rPr>
                <w:sz w:val="18"/>
                <w:szCs w:val="18"/>
                <w:lang w:val="fr-FR"/>
              </w:rPr>
              <w:t>noir ou blanc</w:t>
            </w:r>
          </w:p>
        </w:tc>
        <w:tc>
          <w:tcPr>
            <w:tcW w:w="1333" w:type="dxa"/>
            <w:shd w:val="clear" w:color="auto" w:fill="auto"/>
          </w:tcPr>
          <w:p w14:paraId="24DC0821" w14:textId="77777777" w:rsidR="00196C06" w:rsidRPr="001B79A0" w:rsidRDefault="00196C06" w:rsidP="006201FD">
            <w:pPr>
              <w:spacing w:before="40" w:after="80"/>
              <w:ind w:right="43"/>
              <w:jc w:val="center"/>
              <w:rPr>
                <w:sz w:val="18"/>
                <w:szCs w:val="18"/>
                <w:lang w:val="fr-FR"/>
              </w:rPr>
            </w:pPr>
            <w:r w:rsidRPr="001B79A0">
              <w:rPr>
                <w:sz w:val="18"/>
                <w:szCs w:val="18"/>
                <w:lang w:val="fr-FR"/>
              </w:rPr>
              <w:t>Rouge</w:t>
            </w:r>
          </w:p>
        </w:tc>
        <w:tc>
          <w:tcPr>
            <w:tcW w:w="1418" w:type="dxa"/>
            <w:shd w:val="clear" w:color="auto" w:fill="auto"/>
          </w:tcPr>
          <w:p w14:paraId="2830AAB0" w14:textId="77777777" w:rsidR="00196C06" w:rsidRPr="001B79A0" w:rsidRDefault="00196C06" w:rsidP="006201FD">
            <w:pPr>
              <w:spacing w:before="40" w:after="80"/>
              <w:ind w:right="43"/>
              <w:jc w:val="center"/>
              <w:rPr>
                <w:sz w:val="18"/>
                <w:szCs w:val="18"/>
                <w:lang w:val="fr-FR"/>
              </w:rPr>
            </w:pPr>
            <w:r w:rsidRPr="001B79A0">
              <w:rPr>
                <w:sz w:val="18"/>
                <w:szCs w:val="18"/>
                <w:lang w:val="fr-FR"/>
              </w:rPr>
              <w:t>3</w:t>
            </w:r>
            <w:r>
              <w:rPr>
                <w:sz w:val="18"/>
                <w:szCs w:val="18"/>
                <w:lang w:val="fr-FR"/>
              </w:rPr>
              <w:t xml:space="preserve"> </w:t>
            </w:r>
            <w:r>
              <w:rPr>
                <w:sz w:val="18"/>
                <w:szCs w:val="18"/>
                <w:lang w:val="fr-FR"/>
              </w:rPr>
              <w:br/>
            </w:r>
            <w:r w:rsidRPr="001B79A0">
              <w:rPr>
                <w:sz w:val="18"/>
                <w:szCs w:val="18"/>
                <w:lang w:val="fr-FR"/>
              </w:rPr>
              <w:t>(noir ou blanc)</w:t>
            </w:r>
          </w:p>
        </w:tc>
        <w:tc>
          <w:tcPr>
            <w:tcW w:w="2100" w:type="dxa"/>
            <w:shd w:val="clear" w:color="auto" w:fill="auto"/>
          </w:tcPr>
          <w:p w14:paraId="6E10ED76" w14:textId="77777777" w:rsidR="00196C06" w:rsidRPr="001B79A0" w:rsidRDefault="00196C06" w:rsidP="006201FD">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000EBF21" wp14:editId="50C70F82">
                  <wp:extent cx="833755" cy="833755"/>
                  <wp:effectExtent l="0" t="0" r="4445" b="4445"/>
                  <wp:docPr id="31" name="Picture 3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ge3_noi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6" w:type="dxa"/>
            <w:shd w:val="clear" w:color="auto" w:fill="auto"/>
          </w:tcPr>
          <w:p w14:paraId="1A72CBAB" w14:textId="77777777" w:rsidR="00196C06" w:rsidRPr="001B79A0" w:rsidRDefault="00196C06" w:rsidP="006201FD">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7FAAC2BE" wp14:editId="54FDFCAA">
                  <wp:extent cx="833755" cy="833755"/>
                  <wp:effectExtent l="0" t="0" r="4445" b="4445"/>
                  <wp:docPr id="24" name="Picture 24"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uge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14:paraId="40FC2614" w14:textId="77777777" w:rsidR="00196C06" w:rsidRPr="00604799" w:rsidRDefault="00196C06" w:rsidP="006201FD">
            <w:pPr>
              <w:spacing w:before="40" w:after="80" w:line="220" w:lineRule="exact"/>
              <w:jc w:val="center"/>
              <w:textDirection w:val="tbLrV"/>
              <w:rPr>
                <w:sz w:val="18"/>
                <w:szCs w:val="18"/>
                <w:lang w:val="fr-FR"/>
              </w:rPr>
            </w:pPr>
            <w:r w:rsidRPr="00604F0C">
              <w:rPr>
                <w:sz w:val="18"/>
                <w:szCs w:val="18"/>
                <w:lang w:val="fr-FR"/>
              </w:rPr>
              <w:t>-</w:t>
            </w:r>
          </w:p>
        </w:tc>
      </w:tr>
      <w:tr w:rsidR="00196C06" w:rsidRPr="001B79A0" w14:paraId="633D954E" w14:textId="77777777" w:rsidTr="006201FD">
        <w:tblPrEx>
          <w:tblCellMar>
            <w:left w:w="108" w:type="dxa"/>
            <w:right w:w="108" w:type="dxa"/>
          </w:tblCellMar>
          <w:tblLook w:val="04A0" w:firstRow="1" w:lastRow="0" w:firstColumn="1" w:lastColumn="0" w:noHBand="0" w:noVBand="1"/>
        </w:tblPrEx>
        <w:tc>
          <w:tcPr>
            <w:tcW w:w="0" w:type="auto"/>
            <w:gridSpan w:val="8"/>
            <w:shd w:val="clear" w:color="auto" w:fill="auto"/>
          </w:tcPr>
          <w:p w14:paraId="5224A793" w14:textId="4C9CD2F7" w:rsidR="00196C06" w:rsidRPr="00341919" w:rsidRDefault="00196C06" w:rsidP="009956B8">
            <w:pPr>
              <w:spacing w:before="40" w:after="80"/>
              <w:ind w:right="43"/>
              <w:jc w:val="center"/>
              <w:rPr>
                <w:b/>
                <w:sz w:val="18"/>
                <w:szCs w:val="18"/>
                <w:lang w:val="fr-FR"/>
              </w:rPr>
            </w:pPr>
            <w:r w:rsidRPr="00341919">
              <w:rPr>
                <w:b/>
                <w:sz w:val="18"/>
                <w:szCs w:val="18"/>
                <w:lang w:val="fr-FR"/>
              </w:rPr>
              <w:t>Classe 4</w:t>
            </w:r>
            <w:r w:rsidR="009956B8">
              <w:rPr>
                <w:b/>
                <w:sz w:val="18"/>
                <w:szCs w:val="18"/>
                <w:lang w:val="fr-FR"/>
              </w:rPr>
              <w:t>: M</w:t>
            </w:r>
            <w:r w:rsidR="009956B8" w:rsidRPr="009956B8">
              <w:rPr>
                <w:b/>
                <w:sz w:val="18"/>
                <w:szCs w:val="18"/>
                <w:lang w:val="fr-FR"/>
              </w:rPr>
              <w:t>atières solides inflammables; matières sujettes</w:t>
            </w:r>
            <w:r w:rsidR="009956B8">
              <w:rPr>
                <w:b/>
                <w:sz w:val="18"/>
                <w:szCs w:val="18"/>
                <w:lang w:val="fr-FR"/>
              </w:rPr>
              <w:t xml:space="preserve"> </w:t>
            </w:r>
            <w:r w:rsidR="009956B8" w:rsidRPr="009956B8">
              <w:rPr>
                <w:b/>
                <w:sz w:val="18"/>
                <w:szCs w:val="18"/>
                <w:lang w:val="fr-FR"/>
              </w:rPr>
              <w:t xml:space="preserve">à l'inflammation spontanée; </w:t>
            </w:r>
            <w:r w:rsidR="005E4486">
              <w:rPr>
                <w:b/>
                <w:sz w:val="18"/>
                <w:szCs w:val="18"/>
                <w:lang w:val="fr-FR"/>
              </w:rPr>
              <w:br/>
            </w:r>
            <w:r w:rsidR="009956B8" w:rsidRPr="009956B8">
              <w:rPr>
                <w:b/>
                <w:sz w:val="18"/>
                <w:szCs w:val="18"/>
                <w:lang w:val="fr-FR"/>
              </w:rPr>
              <w:t>matières qui, au contact de l'eau, dégagent des gaz inflammables</w:t>
            </w:r>
          </w:p>
        </w:tc>
      </w:tr>
      <w:tr w:rsidR="00196C06" w:rsidRPr="001B79A0" w14:paraId="62EF40E8"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4C95C88C" w14:textId="77777777" w:rsidR="00196C06" w:rsidRPr="001B79A0" w:rsidRDefault="00196C06" w:rsidP="006201FD">
            <w:pPr>
              <w:spacing w:before="40" w:after="80"/>
              <w:ind w:right="43"/>
              <w:rPr>
                <w:sz w:val="18"/>
                <w:szCs w:val="18"/>
                <w:lang w:val="fr-FR"/>
              </w:rPr>
            </w:pPr>
            <w:r w:rsidRPr="001B79A0">
              <w:rPr>
                <w:sz w:val="18"/>
                <w:szCs w:val="18"/>
                <w:lang w:val="fr-FR"/>
              </w:rPr>
              <w:t>4.1</w:t>
            </w:r>
          </w:p>
        </w:tc>
        <w:tc>
          <w:tcPr>
            <w:tcW w:w="0" w:type="auto"/>
            <w:shd w:val="clear" w:color="auto" w:fill="auto"/>
          </w:tcPr>
          <w:p w14:paraId="293B7C53" w14:textId="77777777" w:rsidR="00196C06" w:rsidRPr="001B79A0" w:rsidRDefault="00196C06" w:rsidP="006201FD">
            <w:pPr>
              <w:spacing w:before="40" w:after="80"/>
              <w:ind w:right="43"/>
              <w:jc w:val="center"/>
              <w:rPr>
                <w:sz w:val="18"/>
                <w:szCs w:val="18"/>
                <w:lang w:val="fr-FR"/>
              </w:rPr>
            </w:pPr>
            <w:r w:rsidRPr="001B79A0">
              <w:rPr>
                <w:sz w:val="18"/>
                <w:szCs w:val="18"/>
                <w:lang w:val="fr-FR"/>
              </w:rPr>
              <w:t>Division 4.1</w:t>
            </w:r>
            <w:r>
              <w:rPr>
                <w:sz w:val="18"/>
                <w:szCs w:val="18"/>
                <w:lang w:val="fr-FR"/>
              </w:rPr>
              <w:t>:</w:t>
            </w:r>
          </w:p>
          <w:p w14:paraId="6A1D5158" w14:textId="77777777" w:rsidR="00196C06" w:rsidRPr="001B79A0" w:rsidRDefault="00196C06" w:rsidP="006201FD">
            <w:pPr>
              <w:spacing w:before="40" w:after="80"/>
              <w:ind w:right="43"/>
              <w:jc w:val="center"/>
              <w:rPr>
                <w:sz w:val="18"/>
                <w:szCs w:val="18"/>
                <w:lang w:val="fr-FR"/>
              </w:rPr>
            </w:pPr>
            <w:r>
              <w:rPr>
                <w:sz w:val="18"/>
                <w:szCs w:val="18"/>
                <w:lang w:val="fr-FR"/>
              </w:rPr>
              <w:t>M</w:t>
            </w:r>
            <w:r w:rsidRPr="00861B15">
              <w:rPr>
                <w:sz w:val="18"/>
                <w:szCs w:val="18"/>
                <w:lang w:val="fr-FR"/>
              </w:rPr>
              <w:t xml:space="preserve">atières solides inflammables, matières </w:t>
            </w:r>
            <w:proofErr w:type="spellStart"/>
            <w:r w:rsidRPr="00861B15">
              <w:rPr>
                <w:sz w:val="18"/>
                <w:szCs w:val="18"/>
                <w:lang w:val="fr-FR"/>
              </w:rPr>
              <w:t>autoréactives</w:t>
            </w:r>
            <w:proofErr w:type="spellEnd"/>
            <w:r>
              <w:rPr>
                <w:sz w:val="18"/>
                <w:szCs w:val="18"/>
                <w:lang w:val="fr-FR"/>
              </w:rPr>
              <w:t>,</w:t>
            </w:r>
            <w:r w:rsidRPr="00861B15">
              <w:rPr>
                <w:sz w:val="18"/>
                <w:szCs w:val="18"/>
                <w:lang w:val="fr-FR"/>
              </w:rPr>
              <w:t xml:space="preserve"> matières explosibles désensibilisées solides et matières qui polymérisent</w:t>
            </w:r>
          </w:p>
        </w:tc>
        <w:tc>
          <w:tcPr>
            <w:tcW w:w="0" w:type="auto"/>
            <w:shd w:val="clear" w:color="auto" w:fill="auto"/>
          </w:tcPr>
          <w:p w14:paraId="01C68AF8" w14:textId="77777777" w:rsidR="00196C06" w:rsidRPr="001B79A0" w:rsidRDefault="00196C06" w:rsidP="006201FD">
            <w:pPr>
              <w:spacing w:before="40" w:after="80"/>
              <w:ind w:right="43"/>
              <w:jc w:val="center"/>
              <w:rPr>
                <w:sz w:val="18"/>
                <w:szCs w:val="18"/>
                <w:lang w:val="fr-FR"/>
              </w:rPr>
            </w:pPr>
            <w:r w:rsidRPr="001B79A0">
              <w:rPr>
                <w:sz w:val="18"/>
                <w:szCs w:val="18"/>
                <w:lang w:val="fr-FR"/>
              </w:rPr>
              <w:t>Flamme: noir</w:t>
            </w:r>
          </w:p>
        </w:tc>
        <w:tc>
          <w:tcPr>
            <w:tcW w:w="1333" w:type="dxa"/>
            <w:shd w:val="clear" w:color="auto" w:fill="auto"/>
          </w:tcPr>
          <w:p w14:paraId="38CDF215" w14:textId="77777777" w:rsidR="00196C06" w:rsidRPr="00D6712B" w:rsidRDefault="00196C06" w:rsidP="006201FD">
            <w:pPr>
              <w:spacing w:before="40" w:after="80"/>
              <w:ind w:right="43"/>
              <w:jc w:val="center"/>
              <w:rPr>
                <w:sz w:val="18"/>
                <w:szCs w:val="18"/>
                <w:lang w:eastAsia="ru-RU"/>
              </w:rPr>
            </w:pPr>
            <w:r w:rsidRPr="001B79A0">
              <w:rPr>
                <w:sz w:val="18"/>
                <w:szCs w:val="18"/>
                <w:lang w:val="fr-FR"/>
              </w:rPr>
              <w:t>Blanc, barré de sept bandes verticales rouges</w:t>
            </w:r>
          </w:p>
        </w:tc>
        <w:tc>
          <w:tcPr>
            <w:tcW w:w="1418" w:type="dxa"/>
            <w:shd w:val="clear" w:color="auto" w:fill="auto"/>
          </w:tcPr>
          <w:p w14:paraId="4FCCECFE" w14:textId="77777777" w:rsidR="00196C06" w:rsidRPr="001B79A0" w:rsidRDefault="00196C06" w:rsidP="006201FD">
            <w:pPr>
              <w:spacing w:before="40" w:after="80"/>
              <w:ind w:right="43"/>
              <w:jc w:val="center"/>
              <w:rPr>
                <w:sz w:val="18"/>
                <w:szCs w:val="18"/>
                <w:lang w:val="fr-FR"/>
              </w:rPr>
            </w:pPr>
            <w:r w:rsidRPr="001B79A0">
              <w:rPr>
                <w:sz w:val="18"/>
                <w:szCs w:val="18"/>
                <w:lang w:val="fr-FR"/>
              </w:rPr>
              <w:t>4</w:t>
            </w:r>
            <w:r>
              <w:rPr>
                <w:sz w:val="18"/>
                <w:szCs w:val="18"/>
                <w:lang w:val="fr-FR"/>
              </w:rPr>
              <w:t xml:space="preserve"> </w:t>
            </w:r>
            <w:r>
              <w:rPr>
                <w:sz w:val="18"/>
                <w:szCs w:val="18"/>
                <w:lang w:val="fr-FR"/>
              </w:rPr>
              <w:br/>
            </w:r>
            <w:r w:rsidRPr="001B79A0">
              <w:rPr>
                <w:sz w:val="18"/>
                <w:szCs w:val="18"/>
                <w:lang w:val="fr-FR"/>
              </w:rPr>
              <w:t>(noir)</w:t>
            </w:r>
          </w:p>
        </w:tc>
        <w:tc>
          <w:tcPr>
            <w:tcW w:w="3236" w:type="dxa"/>
            <w:gridSpan w:val="2"/>
            <w:shd w:val="clear" w:color="auto" w:fill="auto"/>
          </w:tcPr>
          <w:p w14:paraId="03ACA332" w14:textId="77777777" w:rsidR="00196C06" w:rsidRPr="001B79A0" w:rsidRDefault="00196C06" w:rsidP="006201FD">
            <w:pPr>
              <w:spacing w:before="40" w:after="80" w:line="240" w:lineRule="auto"/>
              <w:ind w:right="43"/>
              <w:jc w:val="center"/>
              <w:rPr>
                <w:sz w:val="18"/>
                <w:szCs w:val="18"/>
                <w:lang w:val="en-US" w:eastAsia="ru-RU"/>
              </w:rPr>
            </w:pPr>
            <w:r>
              <w:rPr>
                <w:rFonts w:eastAsia="SimSun"/>
                <w:noProof/>
                <w:lang w:val="en-GB" w:eastAsia="en-GB"/>
              </w:rPr>
              <w:drawing>
                <wp:inline distT="0" distB="0" distL="0" distR="0" wp14:anchorId="2ED2F986" wp14:editId="6EBB5581">
                  <wp:extent cx="843280" cy="833755"/>
                  <wp:effectExtent l="0" t="0" r="0" b="4445"/>
                  <wp:docPr id="23" name="Picture 2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3280" cy="833755"/>
                          </a:xfrm>
                          <a:prstGeom prst="rect">
                            <a:avLst/>
                          </a:prstGeom>
                          <a:noFill/>
                          <a:ln>
                            <a:noFill/>
                          </a:ln>
                        </pic:spPr>
                      </pic:pic>
                    </a:graphicData>
                  </a:graphic>
                </wp:inline>
              </w:drawing>
            </w:r>
          </w:p>
        </w:tc>
        <w:tc>
          <w:tcPr>
            <w:tcW w:w="1133" w:type="dxa"/>
            <w:shd w:val="clear" w:color="auto" w:fill="auto"/>
          </w:tcPr>
          <w:p w14:paraId="10FD5D41" w14:textId="77777777" w:rsidR="00196C06" w:rsidRPr="001B79A0" w:rsidRDefault="00196C06" w:rsidP="006201FD">
            <w:pPr>
              <w:spacing w:before="40" w:after="80"/>
              <w:ind w:right="43"/>
              <w:jc w:val="center"/>
              <w:rPr>
                <w:sz w:val="18"/>
                <w:szCs w:val="18"/>
                <w:lang w:val="fr-FR"/>
              </w:rPr>
            </w:pPr>
            <w:r w:rsidRPr="001B79A0">
              <w:rPr>
                <w:sz w:val="18"/>
                <w:szCs w:val="18"/>
                <w:lang w:val="fr-FR"/>
              </w:rPr>
              <w:t>-</w:t>
            </w:r>
          </w:p>
        </w:tc>
      </w:tr>
      <w:tr w:rsidR="00196C06" w:rsidRPr="001B79A0" w14:paraId="7916595E"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0F99EA43" w14:textId="77777777" w:rsidR="00196C06" w:rsidRPr="001B79A0" w:rsidRDefault="00196C06" w:rsidP="006201FD">
            <w:pPr>
              <w:spacing w:before="40" w:after="80"/>
              <w:ind w:right="43"/>
              <w:rPr>
                <w:sz w:val="18"/>
                <w:szCs w:val="18"/>
                <w:lang w:val="fr-FR"/>
              </w:rPr>
            </w:pPr>
            <w:r w:rsidRPr="001B79A0">
              <w:rPr>
                <w:sz w:val="18"/>
                <w:szCs w:val="18"/>
                <w:lang w:val="fr-FR"/>
              </w:rPr>
              <w:t>4.2</w:t>
            </w:r>
          </w:p>
        </w:tc>
        <w:tc>
          <w:tcPr>
            <w:tcW w:w="0" w:type="auto"/>
            <w:shd w:val="clear" w:color="auto" w:fill="auto"/>
          </w:tcPr>
          <w:p w14:paraId="1EBCC7FC" w14:textId="77777777" w:rsidR="00196C06" w:rsidRPr="001B79A0" w:rsidRDefault="00196C06" w:rsidP="006201FD">
            <w:pPr>
              <w:spacing w:before="40" w:after="80"/>
              <w:ind w:right="43"/>
              <w:jc w:val="center"/>
              <w:rPr>
                <w:sz w:val="18"/>
                <w:szCs w:val="18"/>
                <w:lang w:val="fr-FR"/>
              </w:rPr>
            </w:pPr>
            <w:r w:rsidRPr="001B79A0">
              <w:rPr>
                <w:sz w:val="18"/>
                <w:szCs w:val="18"/>
                <w:lang w:val="fr-FR"/>
              </w:rPr>
              <w:t>Division 4.2</w:t>
            </w:r>
            <w:r>
              <w:rPr>
                <w:sz w:val="18"/>
                <w:szCs w:val="18"/>
                <w:lang w:val="fr-FR"/>
              </w:rPr>
              <w:t>:</w:t>
            </w:r>
          </w:p>
          <w:p w14:paraId="4B50D880" w14:textId="77777777" w:rsidR="00196C06" w:rsidRPr="001B79A0" w:rsidRDefault="00196C06" w:rsidP="006201FD">
            <w:pPr>
              <w:spacing w:before="40" w:after="80"/>
              <w:ind w:right="43"/>
              <w:jc w:val="center"/>
              <w:rPr>
                <w:sz w:val="18"/>
                <w:szCs w:val="18"/>
                <w:lang w:val="fr-FR"/>
              </w:rPr>
            </w:pPr>
            <w:r w:rsidRPr="001B79A0">
              <w:rPr>
                <w:sz w:val="18"/>
                <w:szCs w:val="18"/>
                <w:lang w:val="fr-FR"/>
              </w:rPr>
              <w:t>Matières sujettes à l</w:t>
            </w:r>
            <w:r>
              <w:rPr>
                <w:sz w:val="18"/>
                <w:szCs w:val="18"/>
                <w:lang w:val="fr-FR"/>
              </w:rPr>
              <w:t>’</w:t>
            </w:r>
            <w:r w:rsidRPr="001B79A0">
              <w:rPr>
                <w:sz w:val="18"/>
                <w:szCs w:val="18"/>
                <w:lang w:val="fr-FR"/>
              </w:rPr>
              <w:t>inflammation spontanée</w:t>
            </w:r>
          </w:p>
        </w:tc>
        <w:tc>
          <w:tcPr>
            <w:tcW w:w="0" w:type="auto"/>
            <w:shd w:val="clear" w:color="auto" w:fill="auto"/>
          </w:tcPr>
          <w:p w14:paraId="778E8B0D" w14:textId="77777777" w:rsidR="00196C06" w:rsidRPr="001B79A0" w:rsidRDefault="00196C06" w:rsidP="006201FD">
            <w:pPr>
              <w:spacing w:before="40" w:after="80"/>
              <w:ind w:right="43"/>
              <w:jc w:val="center"/>
              <w:rPr>
                <w:sz w:val="18"/>
                <w:szCs w:val="18"/>
                <w:lang w:val="fr-FR"/>
              </w:rPr>
            </w:pPr>
            <w:r w:rsidRPr="001B79A0">
              <w:rPr>
                <w:sz w:val="18"/>
                <w:szCs w:val="18"/>
                <w:lang w:val="fr-FR"/>
              </w:rPr>
              <w:t>Flamme: noir</w:t>
            </w:r>
          </w:p>
        </w:tc>
        <w:tc>
          <w:tcPr>
            <w:tcW w:w="1333" w:type="dxa"/>
            <w:shd w:val="clear" w:color="auto" w:fill="auto"/>
          </w:tcPr>
          <w:p w14:paraId="327968C9" w14:textId="4292213D" w:rsidR="00196C06" w:rsidRPr="001B79A0" w:rsidRDefault="0085770B" w:rsidP="0085770B">
            <w:pPr>
              <w:spacing w:before="40" w:after="80"/>
              <w:ind w:right="43"/>
              <w:jc w:val="center"/>
              <w:rPr>
                <w:sz w:val="18"/>
                <w:szCs w:val="18"/>
                <w:lang w:val="fr-FR"/>
              </w:rPr>
            </w:pPr>
            <w:r>
              <w:rPr>
                <w:sz w:val="18"/>
                <w:szCs w:val="18"/>
                <w:lang w:val="fr-FR"/>
              </w:rPr>
              <w:t>Moitié supérieure:</w:t>
            </w:r>
            <w:r w:rsidR="00196C06" w:rsidRPr="001B79A0">
              <w:rPr>
                <w:sz w:val="18"/>
                <w:szCs w:val="18"/>
                <w:lang w:val="fr-FR"/>
              </w:rPr>
              <w:t xml:space="preserve"> </w:t>
            </w:r>
            <w:r>
              <w:rPr>
                <w:sz w:val="18"/>
                <w:szCs w:val="18"/>
                <w:lang w:val="fr-FR"/>
              </w:rPr>
              <w:t>blanc</w:t>
            </w:r>
            <w:r w:rsidR="001E0706">
              <w:rPr>
                <w:sz w:val="18"/>
                <w:szCs w:val="18"/>
                <w:lang w:val="fr-FR"/>
              </w:rPr>
              <w:t>;</w:t>
            </w:r>
            <w:r>
              <w:rPr>
                <w:sz w:val="18"/>
                <w:szCs w:val="18"/>
                <w:lang w:val="fr-FR"/>
              </w:rPr>
              <w:br/>
              <w:t xml:space="preserve">Moitié </w:t>
            </w:r>
            <w:r w:rsidRPr="001B79A0">
              <w:rPr>
                <w:sz w:val="18"/>
                <w:szCs w:val="18"/>
                <w:lang w:val="fr-FR"/>
              </w:rPr>
              <w:t>inférieure</w:t>
            </w:r>
            <w:r>
              <w:rPr>
                <w:sz w:val="18"/>
                <w:szCs w:val="18"/>
                <w:lang w:val="fr-FR"/>
              </w:rPr>
              <w:t>:</w:t>
            </w:r>
            <w:r w:rsidR="00196C06">
              <w:rPr>
                <w:sz w:val="18"/>
                <w:szCs w:val="18"/>
                <w:lang w:val="fr-FR"/>
              </w:rPr>
              <w:br/>
            </w:r>
            <w:r>
              <w:rPr>
                <w:sz w:val="18"/>
                <w:szCs w:val="18"/>
                <w:lang w:val="fr-FR"/>
              </w:rPr>
              <w:t>rouge</w:t>
            </w:r>
          </w:p>
        </w:tc>
        <w:tc>
          <w:tcPr>
            <w:tcW w:w="1418" w:type="dxa"/>
            <w:shd w:val="clear" w:color="auto" w:fill="auto"/>
          </w:tcPr>
          <w:p w14:paraId="76B5B29F" w14:textId="77777777" w:rsidR="00196C06" w:rsidRPr="001B79A0" w:rsidRDefault="00196C06" w:rsidP="006201FD">
            <w:pPr>
              <w:spacing w:before="40" w:after="80"/>
              <w:ind w:right="43"/>
              <w:jc w:val="center"/>
              <w:rPr>
                <w:sz w:val="18"/>
                <w:szCs w:val="18"/>
                <w:lang w:val="fr-FR"/>
              </w:rPr>
            </w:pPr>
            <w:r w:rsidRPr="001B79A0">
              <w:rPr>
                <w:sz w:val="18"/>
                <w:szCs w:val="18"/>
                <w:lang w:val="fr-FR"/>
              </w:rPr>
              <w:t>4</w:t>
            </w:r>
            <w:r>
              <w:rPr>
                <w:sz w:val="18"/>
                <w:szCs w:val="18"/>
                <w:lang w:val="fr-FR"/>
              </w:rPr>
              <w:t xml:space="preserve"> </w:t>
            </w:r>
            <w:r>
              <w:rPr>
                <w:sz w:val="18"/>
                <w:szCs w:val="18"/>
                <w:lang w:val="fr-FR"/>
              </w:rPr>
              <w:br/>
            </w:r>
            <w:r w:rsidRPr="001B79A0">
              <w:rPr>
                <w:sz w:val="18"/>
                <w:szCs w:val="18"/>
                <w:lang w:val="fr-FR"/>
              </w:rPr>
              <w:t>(noir)</w:t>
            </w:r>
          </w:p>
        </w:tc>
        <w:tc>
          <w:tcPr>
            <w:tcW w:w="3236" w:type="dxa"/>
            <w:gridSpan w:val="2"/>
            <w:shd w:val="clear" w:color="auto" w:fill="auto"/>
          </w:tcPr>
          <w:p w14:paraId="3392622B" w14:textId="77777777" w:rsidR="00196C06" w:rsidRPr="001B79A0" w:rsidRDefault="00196C06" w:rsidP="006201FD">
            <w:pPr>
              <w:spacing w:before="40" w:after="80" w:line="240" w:lineRule="auto"/>
              <w:ind w:right="43"/>
              <w:jc w:val="center"/>
              <w:rPr>
                <w:sz w:val="18"/>
                <w:szCs w:val="18"/>
                <w:lang w:val="en-US" w:eastAsia="ru-RU"/>
              </w:rPr>
            </w:pPr>
            <w:r>
              <w:rPr>
                <w:rFonts w:eastAsia="SimSun"/>
                <w:noProof/>
                <w:lang w:val="en-GB" w:eastAsia="en-GB"/>
              </w:rPr>
              <w:drawing>
                <wp:inline distT="0" distB="0" distL="0" distR="0" wp14:anchorId="23CC2F2D" wp14:editId="6B3A87D1">
                  <wp:extent cx="828675" cy="828675"/>
                  <wp:effectExtent l="0" t="0" r="9525" b="9525"/>
                  <wp:docPr id="21" name="Picture 21"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133" w:type="dxa"/>
            <w:shd w:val="clear" w:color="auto" w:fill="auto"/>
          </w:tcPr>
          <w:p w14:paraId="11CCCE63" w14:textId="77777777" w:rsidR="00196C06" w:rsidRPr="001B79A0" w:rsidRDefault="00196C06" w:rsidP="006201FD">
            <w:pPr>
              <w:spacing w:before="40" w:after="80"/>
              <w:ind w:right="43"/>
              <w:jc w:val="center"/>
              <w:rPr>
                <w:sz w:val="18"/>
                <w:szCs w:val="18"/>
                <w:lang w:val="fr-FR"/>
              </w:rPr>
            </w:pPr>
            <w:r w:rsidRPr="001B79A0">
              <w:rPr>
                <w:sz w:val="18"/>
                <w:szCs w:val="18"/>
                <w:lang w:val="fr-FR"/>
              </w:rPr>
              <w:t>-</w:t>
            </w:r>
          </w:p>
        </w:tc>
      </w:tr>
      <w:tr w:rsidR="00196C06" w:rsidRPr="001B79A0" w14:paraId="669E6F7C"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696F6E32" w14:textId="77777777" w:rsidR="00196C06" w:rsidRPr="001B79A0" w:rsidRDefault="00196C06" w:rsidP="006201FD">
            <w:pPr>
              <w:spacing w:before="40" w:after="80"/>
              <w:ind w:right="43"/>
              <w:rPr>
                <w:sz w:val="18"/>
                <w:szCs w:val="18"/>
                <w:lang w:val="fr-FR"/>
              </w:rPr>
            </w:pPr>
            <w:r w:rsidRPr="001B79A0">
              <w:rPr>
                <w:sz w:val="18"/>
                <w:szCs w:val="18"/>
                <w:lang w:val="fr-FR"/>
              </w:rPr>
              <w:t>4.3</w:t>
            </w:r>
          </w:p>
        </w:tc>
        <w:tc>
          <w:tcPr>
            <w:tcW w:w="0" w:type="auto"/>
            <w:shd w:val="clear" w:color="auto" w:fill="auto"/>
          </w:tcPr>
          <w:p w14:paraId="72E36886" w14:textId="77777777" w:rsidR="00196C06" w:rsidRPr="001B79A0" w:rsidRDefault="00196C06" w:rsidP="006201FD">
            <w:pPr>
              <w:spacing w:before="40" w:after="80"/>
              <w:ind w:right="43"/>
              <w:jc w:val="center"/>
              <w:rPr>
                <w:sz w:val="18"/>
                <w:szCs w:val="18"/>
                <w:lang w:val="fr-FR"/>
              </w:rPr>
            </w:pPr>
            <w:r>
              <w:rPr>
                <w:sz w:val="18"/>
                <w:szCs w:val="18"/>
                <w:lang w:val="fr-FR"/>
              </w:rPr>
              <w:t>Division 4.3:</w:t>
            </w:r>
          </w:p>
          <w:p w14:paraId="192DE042" w14:textId="77777777" w:rsidR="00196C06" w:rsidRPr="001B79A0" w:rsidRDefault="00196C06" w:rsidP="006201FD">
            <w:pPr>
              <w:spacing w:before="40" w:after="80"/>
              <w:ind w:right="43"/>
              <w:jc w:val="center"/>
              <w:rPr>
                <w:sz w:val="18"/>
                <w:szCs w:val="18"/>
                <w:lang w:val="fr-FR"/>
              </w:rPr>
            </w:pPr>
            <w:r w:rsidRPr="001B79A0">
              <w:rPr>
                <w:sz w:val="18"/>
                <w:szCs w:val="18"/>
                <w:lang w:val="fr-FR"/>
              </w:rPr>
              <w:t>Matières qui, au contact de l</w:t>
            </w:r>
            <w:r>
              <w:rPr>
                <w:sz w:val="18"/>
                <w:szCs w:val="18"/>
                <w:lang w:val="fr-FR"/>
              </w:rPr>
              <w:t>’</w:t>
            </w:r>
            <w:r w:rsidRPr="001B79A0">
              <w:rPr>
                <w:sz w:val="18"/>
                <w:szCs w:val="18"/>
                <w:lang w:val="fr-FR"/>
              </w:rPr>
              <w:t>eau, dégagent des gaz inflammables</w:t>
            </w:r>
          </w:p>
        </w:tc>
        <w:tc>
          <w:tcPr>
            <w:tcW w:w="0" w:type="auto"/>
            <w:shd w:val="clear" w:color="auto" w:fill="auto"/>
          </w:tcPr>
          <w:p w14:paraId="1000F5F5" w14:textId="77777777" w:rsidR="00196C06" w:rsidRPr="001B79A0" w:rsidRDefault="00196C06" w:rsidP="006201FD">
            <w:pPr>
              <w:spacing w:before="40" w:after="80"/>
              <w:ind w:right="43"/>
              <w:jc w:val="center"/>
              <w:rPr>
                <w:sz w:val="18"/>
                <w:szCs w:val="18"/>
                <w:lang w:val="fr-FR"/>
              </w:rPr>
            </w:pPr>
            <w:r w:rsidRPr="001B79A0">
              <w:rPr>
                <w:sz w:val="18"/>
                <w:szCs w:val="18"/>
                <w:lang w:val="fr-FR"/>
              </w:rPr>
              <w:t xml:space="preserve">Flamme: </w:t>
            </w:r>
            <w:r>
              <w:rPr>
                <w:sz w:val="18"/>
                <w:szCs w:val="18"/>
                <w:lang w:val="fr-FR"/>
              </w:rPr>
              <w:br/>
            </w:r>
            <w:r w:rsidRPr="001B79A0">
              <w:rPr>
                <w:sz w:val="18"/>
                <w:szCs w:val="18"/>
                <w:lang w:val="fr-FR"/>
              </w:rPr>
              <w:t>noir ou blanc</w:t>
            </w:r>
          </w:p>
        </w:tc>
        <w:tc>
          <w:tcPr>
            <w:tcW w:w="1333" w:type="dxa"/>
            <w:shd w:val="clear" w:color="auto" w:fill="auto"/>
          </w:tcPr>
          <w:p w14:paraId="0FE87167" w14:textId="77777777" w:rsidR="00196C06" w:rsidRPr="001B79A0" w:rsidRDefault="00196C06" w:rsidP="006201FD">
            <w:pPr>
              <w:spacing w:before="40" w:after="80"/>
              <w:ind w:right="43"/>
              <w:jc w:val="center"/>
              <w:rPr>
                <w:sz w:val="18"/>
                <w:szCs w:val="18"/>
                <w:lang w:val="fr-FR"/>
              </w:rPr>
            </w:pPr>
            <w:r w:rsidRPr="001B79A0">
              <w:rPr>
                <w:sz w:val="18"/>
                <w:szCs w:val="18"/>
                <w:lang w:val="fr-FR"/>
              </w:rPr>
              <w:t>Bleu</w:t>
            </w:r>
          </w:p>
        </w:tc>
        <w:tc>
          <w:tcPr>
            <w:tcW w:w="1418" w:type="dxa"/>
            <w:shd w:val="clear" w:color="auto" w:fill="auto"/>
          </w:tcPr>
          <w:p w14:paraId="63533523" w14:textId="77777777" w:rsidR="00196C06" w:rsidRPr="001B79A0" w:rsidRDefault="00196C06" w:rsidP="006201FD">
            <w:pPr>
              <w:spacing w:before="40" w:after="80"/>
              <w:ind w:right="43"/>
              <w:jc w:val="center"/>
              <w:rPr>
                <w:sz w:val="18"/>
                <w:szCs w:val="18"/>
                <w:lang w:val="fr-FR"/>
              </w:rPr>
            </w:pPr>
            <w:r w:rsidRPr="001B79A0">
              <w:rPr>
                <w:sz w:val="18"/>
                <w:szCs w:val="18"/>
                <w:lang w:val="fr-FR"/>
              </w:rPr>
              <w:t>4</w:t>
            </w:r>
            <w:r>
              <w:rPr>
                <w:sz w:val="18"/>
                <w:szCs w:val="18"/>
                <w:lang w:val="fr-FR"/>
              </w:rPr>
              <w:t xml:space="preserve"> </w:t>
            </w:r>
            <w:r>
              <w:rPr>
                <w:sz w:val="18"/>
                <w:szCs w:val="18"/>
                <w:lang w:val="fr-FR"/>
              </w:rPr>
              <w:br/>
            </w:r>
            <w:r w:rsidRPr="001B79A0">
              <w:rPr>
                <w:sz w:val="18"/>
                <w:szCs w:val="18"/>
                <w:lang w:val="fr-FR"/>
              </w:rPr>
              <w:t>(noir ou blanc)</w:t>
            </w:r>
          </w:p>
        </w:tc>
        <w:tc>
          <w:tcPr>
            <w:tcW w:w="2100" w:type="dxa"/>
            <w:shd w:val="clear" w:color="auto" w:fill="auto"/>
          </w:tcPr>
          <w:p w14:paraId="0A2A6CD0" w14:textId="77777777" w:rsidR="00196C06" w:rsidRPr="001B79A0" w:rsidRDefault="00196C06" w:rsidP="006201FD">
            <w:pPr>
              <w:spacing w:before="40" w:after="80" w:line="240" w:lineRule="auto"/>
              <w:ind w:right="43"/>
              <w:rPr>
                <w:sz w:val="18"/>
                <w:szCs w:val="18"/>
                <w:lang w:val="en-US" w:eastAsia="ru-RU"/>
              </w:rPr>
            </w:pPr>
            <w:r>
              <w:rPr>
                <w:rFonts w:eastAsia="SimSun"/>
                <w:noProof/>
                <w:lang w:val="en-GB" w:eastAsia="en-GB"/>
              </w:rPr>
              <w:drawing>
                <wp:inline distT="0" distB="0" distL="0" distR="0" wp14:anchorId="3F795F27" wp14:editId="2E442952">
                  <wp:extent cx="833755" cy="833755"/>
                  <wp:effectExtent l="0" t="0" r="4445" b="4445"/>
                  <wp:docPr id="19" name="Picture 19"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6" w:type="dxa"/>
            <w:shd w:val="clear" w:color="auto" w:fill="auto"/>
          </w:tcPr>
          <w:p w14:paraId="189D2D06" w14:textId="77777777" w:rsidR="00196C06" w:rsidRPr="001B79A0" w:rsidRDefault="00196C06" w:rsidP="006201FD">
            <w:pPr>
              <w:spacing w:before="40" w:after="80" w:line="240" w:lineRule="auto"/>
              <w:ind w:right="43"/>
              <w:rPr>
                <w:sz w:val="18"/>
                <w:szCs w:val="18"/>
                <w:lang w:val="en-US" w:eastAsia="ru-RU"/>
              </w:rPr>
            </w:pPr>
            <w:r>
              <w:rPr>
                <w:rFonts w:eastAsia="SimSun"/>
                <w:noProof/>
                <w:lang w:val="en-GB" w:eastAsia="en-GB"/>
              </w:rPr>
              <w:drawing>
                <wp:inline distT="0" distB="0" distL="0" distR="0" wp14:anchorId="07F1F394" wp14:editId="681A1E80">
                  <wp:extent cx="833755" cy="833755"/>
                  <wp:effectExtent l="0" t="0" r="4445" b="4445"/>
                  <wp:docPr id="18" name="Picture 18"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14:paraId="60D50144" w14:textId="77777777" w:rsidR="00196C06" w:rsidRPr="001B79A0" w:rsidRDefault="00196C06" w:rsidP="006201FD">
            <w:pPr>
              <w:spacing w:before="40" w:after="80"/>
              <w:ind w:right="43"/>
              <w:jc w:val="center"/>
              <w:rPr>
                <w:sz w:val="18"/>
                <w:szCs w:val="18"/>
                <w:lang w:val="fr-FR"/>
              </w:rPr>
            </w:pPr>
            <w:r w:rsidRPr="001B79A0">
              <w:rPr>
                <w:sz w:val="18"/>
                <w:szCs w:val="18"/>
                <w:lang w:val="fr-FR"/>
              </w:rPr>
              <w:t>-</w:t>
            </w:r>
          </w:p>
        </w:tc>
      </w:tr>
    </w:tbl>
    <w:p w14:paraId="6727C375" w14:textId="77777777" w:rsidR="00196C06" w:rsidRDefault="00196C06" w:rsidP="00196C06">
      <w:pPr>
        <w:spacing w:line="240" w:lineRule="auto"/>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16"/>
        <w:gridCol w:w="1335"/>
        <w:gridCol w:w="1549"/>
        <w:gridCol w:w="1296"/>
        <w:gridCol w:w="1575"/>
        <w:gridCol w:w="1514"/>
        <w:gridCol w:w="1544"/>
        <w:gridCol w:w="2961"/>
      </w:tblGrid>
      <w:tr w:rsidR="00196C06" w:rsidRPr="001F3DF2" w14:paraId="4EF99BC1" w14:textId="77777777" w:rsidTr="006201FD">
        <w:tc>
          <w:tcPr>
            <w:tcW w:w="0" w:type="auto"/>
            <w:shd w:val="clear" w:color="auto" w:fill="auto"/>
            <w:vAlign w:val="center"/>
          </w:tcPr>
          <w:p w14:paraId="7B82506B" w14:textId="77777777" w:rsidR="00196C06" w:rsidRPr="001F3DF2" w:rsidRDefault="00196C06" w:rsidP="006201FD">
            <w:pPr>
              <w:pageBreakBefore/>
              <w:spacing w:before="80" w:after="80" w:line="160" w:lineRule="exact"/>
              <w:ind w:right="45"/>
              <w:jc w:val="center"/>
              <w:rPr>
                <w:sz w:val="18"/>
                <w:szCs w:val="18"/>
                <w:lang w:val="fr-FR"/>
              </w:rPr>
            </w:pPr>
            <w:r w:rsidRPr="001F3DF2">
              <w:rPr>
                <w:sz w:val="18"/>
                <w:szCs w:val="18"/>
                <w:lang w:val="fr-FR"/>
              </w:rPr>
              <w:lastRenderedPageBreak/>
              <w:t>No du modèle d’étiquette</w:t>
            </w:r>
          </w:p>
        </w:tc>
        <w:tc>
          <w:tcPr>
            <w:tcW w:w="0" w:type="auto"/>
            <w:shd w:val="clear" w:color="auto" w:fill="auto"/>
            <w:vAlign w:val="center"/>
          </w:tcPr>
          <w:p w14:paraId="51540ECF" w14:textId="77777777" w:rsidR="00196C06" w:rsidRPr="001F3DF2" w:rsidRDefault="00196C06" w:rsidP="006201FD">
            <w:pPr>
              <w:spacing w:before="80" w:after="80" w:line="160" w:lineRule="exact"/>
              <w:ind w:right="43"/>
              <w:jc w:val="center"/>
              <w:textDirection w:val="tbLrV"/>
              <w:rPr>
                <w:sz w:val="18"/>
                <w:szCs w:val="18"/>
                <w:lang w:val="fr-FR"/>
              </w:rPr>
            </w:pPr>
            <w:r w:rsidRPr="00D03583">
              <w:rPr>
                <w:sz w:val="18"/>
                <w:szCs w:val="18"/>
                <w:lang w:val="fr-FR"/>
              </w:rPr>
              <w:t>Division ou Catégorie</w:t>
            </w:r>
          </w:p>
        </w:tc>
        <w:tc>
          <w:tcPr>
            <w:tcW w:w="0" w:type="auto"/>
            <w:shd w:val="clear" w:color="auto" w:fill="auto"/>
            <w:vAlign w:val="center"/>
          </w:tcPr>
          <w:p w14:paraId="20C8F172" w14:textId="77777777" w:rsidR="00196C06" w:rsidRPr="001F3DF2" w:rsidRDefault="00196C06" w:rsidP="006201FD">
            <w:pPr>
              <w:spacing w:before="80" w:after="80" w:line="160" w:lineRule="exact"/>
              <w:ind w:right="43"/>
              <w:jc w:val="center"/>
              <w:rPr>
                <w:sz w:val="18"/>
                <w:szCs w:val="18"/>
                <w:lang w:val="fr-FR"/>
              </w:rPr>
            </w:pPr>
            <w:r w:rsidRPr="001F3DF2">
              <w:rPr>
                <w:sz w:val="18"/>
                <w:szCs w:val="18"/>
                <w:lang w:val="fr-FR"/>
              </w:rPr>
              <w:t>Signe conventionnel</w:t>
            </w:r>
            <w:r>
              <w:rPr>
                <w:sz w:val="18"/>
                <w:szCs w:val="18"/>
                <w:lang w:val="fr-FR"/>
              </w:rPr>
              <w:t xml:space="preserve"> et</w:t>
            </w:r>
            <w:r w:rsidRPr="001F3DF2">
              <w:rPr>
                <w:sz w:val="18"/>
                <w:szCs w:val="18"/>
                <w:lang w:val="fr-FR"/>
              </w:rPr>
              <w:t xml:space="preserve"> couleur</w:t>
            </w:r>
            <w:r>
              <w:rPr>
                <w:sz w:val="18"/>
                <w:szCs w:val="18"/>
                <w:lang w:val="fr-FR"/>
              </w:rPr>
              <w:t xml:space="preserve"> du signe</w:t>
            </w:r>
          </w:p>
        </w:tc>
        <w:tc>
          <w:tcPr>
            <w:tcW w:w="0" w:type="auto"/>
            <w:shd w:val="clear" w:color="auto" w:fill="auto"/>
            <w:vAlign w:val="center"/>
          </w:tcPr>
          <w:p w14:paraId="57E35883" w14:textId="77777777" w:rsidR="00196C06" w:rsidRPr="001F3DF2" w:rsidRDefault="00196C06" w:rsidP="006201FD">
            <w:pPr>
              <w:spacing w:before="80" w:after="80" w:line="160" w:lineRule="exact"/>
              <w:ind w:right="43"/>
              <w:jc w:val="center"/>
              <w:rPr>
                <w:sz w:val="18"/>
                <w:szCs w:val="18"/>
                <w:lang w:val="fr-FR"/>
              </w:rPr>
            </w:pPr>
            <w:r w:rsidRPr="001F3DF2">
              <w:rPr>
                <w:sz w:val="18"/>
                <w:szCs w:val="18"/>
                <w:lang w:val="fr-FR"/>
              </w:rPr>
              <w:t>Fond</w:t>
            </w:r>
          </w:p>
        </w:tc>
        <w:tc>
          <w:tcPr>
            <w:tcW w:w="0" w:type="auto"/>
            <w:shd w:val="clear" w:color="auto" w:fill="auto"/>
            <w:vAlign w:val="center"/>
          </w:tcPr>
          <w:p w14:paraId="47C778F9" w14:textId="77777777" w:rsidR="00196C06" w:rsidRPr="001F3DF2" w:rsidRDefault="00196C06" w:rsidP="006201FD">
            <w:pPr>
              <w:spacing w:before="80" w:after="80" w:line="160" w:lineRule="exact"/>
              <w:ind w:right="43"/>
              <w:jc w:val="center"/>
              <w:rPr>
                <w:sz w:val="18"/>
                <w:szCs w:val="18"/>
                <w:lang w:val="fr-FR"/>
              </w:rPr>
            </w:pPr>
            <w:r w:rsidRPr="001F3DF2">
              <w:rPr>
                <w:sz w:val="18"/>
                <w:szCs w:val="18"/>
                <w:lang w:val="fr-FR"/>
              </w:rPr>
              <w:t>Chiffre figurant dans le coin inférieur (</w:t>
            </w:r>
            <w:r>
              <w:rPr>
                <w:sz w:val="18"/>
                <w:szCs w:val="18"/>
                <w:lang w:val="fr-FR"/>
              </w:rPr>
              <w:t xml:space="preserve">et </w:t>
            </w:r>
            <w:r w:rsidRPr="001F3DF2">
              <w:rPr>
                <w:sz w:val="18"/>
                <w:szCs w:val="18"/>
                <w:lang w:val="fr-FR"/>
              </w:rPr>
              <w:t>couleur du chiffre)</w:t>
            </w:r>
          </w:p>
        </w:tc>
        <w:tc>
          <w:tcPr>
            <w:tcW w:w="0" w:type="auto"/>
            <w:gridSpan w:val="2"/>
            <w:shd w:val="clear" w:color="auto" w:fill="auto"/>
            <w:vAlign w:val="center"/>
          </w:tcPr>
          <w:p w14:paraId="4A78CB10" w14:textId="77777777" w:rsidR="00196C06" w:rsidRPr="001F3DF2" w:rsidRDefault="00196C06" w:rsidP="006201FD">
            <w:pPr>
              <w:spacing w:before="80" w:after="80" w:line="160" w:lineRule="exact"/>
              <w:ind w:right="43"/>
              <w:jc w:val="center"/>
              <w:rPr>
                <w:sz w:val="18"/>
                <w:szCs w:val="18"/>
                <w:lang w:val="fr-FR"/>
              </w:rPr>
            </w:pPr>
            <w:r w:rsidRPr="001F3DF2">
              <w:rPr>
                <w:sz w:val="18"/>
                <w:szCs w:val="18"/>
                <w:lang w:val="fr-FR"/>
              </w:rPr>
              <w:t>Modèles d’étiquettes</w:t>
            </w:r>
          </w:p>
        </w:tc>
        <w:tc>
          <w:tcPr>
            <w:tcW w:w="0" w:type="auto"/>
            <w:shd w:val="clear" w:color="auto" w:fill="auto"/>
            <w:vAlign w:val="center"/>
          </w:tcPr>
          <w:p w14:paraId="17130027" w14:textId="77777777" w:rsidR="00196C06" w:rsidRPr="001F3DF2" w:rsidRDefault="00196C06" w:rsidP="006201FD">
            <w:pPr>
              <w:spacing w:before="80" w:after="80" w:line="160" w:lineRule="exact"/>
              <w:ind w:right="43"/>
              <w:jc w:val="center"/>
              <w:rPr>
                <w:sz w:val="18"/>
                <w:szCs w:val="18"/>
                <w:lang w:val="fr-FR"/>
              </w:rPr>
            </w:pPr>
            <w:r w:rsidRPr="001F3DF2">
              <w:rPr>
                <w:sz w:val="18"/>
                <w:szCs w:val="18"/>
                <w:lang w:val="fr-FR"/>
              </w:rPr>
              <w:t>Nota</w:t>
            </w:r>
          </w:p>
        </w:tc>
      </w:tr>
      <w:tr w:rsidR="00196C06" w:rsidRPr="00DC174D" w14:paraId="1A19F0EB" w14:textId="77777777" w:rsidTr="006201FD">
        <w:tblPrEx>
          <w:tblCellMar>
            <w:left w:w="108" w:type="dxa"/>
            <w:right w:w="108" w:type="dxa"/>
          </w:tblCellMar>
          <w:tblLook w:val="04A0" w:firstRow="1" w:lastRow="0" w:firstColumn="1" w:lastColumn="0" w:noHBand="0" w:noVBand="1"/>
        </w:tblPrEx>
        <w:tc>
          <w:tcPr>
            <w:tcW w:w="0" w:type="auto"/>
            <w:gridSpan w:val="8"/>
            <w:shd w:val="clear" w:color="auto" w:fill="auto"/>
          </w:tcPr>
          <w:p w14:paraId="58D90ECF" w14:textId="2FAC8631" w:rsidR="00196C06" w:rsidRPr="00DC174D" w:rsidRDefault="00196C06" w:rsidP="009956B8">
            <w:pPr>
              <w:spacing w:before="40" w:after="80"/>
              <w:ind w:right="43"/>
              <w:jc w:val="center"/>
              <w:rPr>
                <w:b/>
                <w:sz w:val="18"/>
                <w:szCs w:val="18"/>
                <w:lang w:val="fr-FR"/>
              </w:rPr>
            </w:pPr>
            <w:r w:rsidRPr="00DC174D">
              <w:rPr>
                <w:b/>
                <w:sz w:val="18"/>
                <w:szCs w:val="18"/>
                <w:lang w:val="fr-FR"/>
              </w:rPr>
              <w:t>Classe 5</w:t>
            </w:r>
            <w:r w:rsidR="009956B8">
              <w:rPr>
                <w:b/>
                <w:sz w:val="18"/>
                <w:szCs w:val="18"/>
                <w:lang w:val="fr-FR"/>
              </w:rPr>
              <w:t>: M</w:t>
            </w:r>
            <w:r w:rsidR="009956B8" w:rsidRPr="009956B8">
              <w:rPr>
                <w:b/>
                <w:sz w:val="18"/>
                <w:szCs w:val="18"/>
                <w:lang w:val="fr-FR"/>
              </w:rPr>
              <w:t>atières comburantes et peroxydes organiques</w:t>
            </w:r>
          </w:p>
        </w:tc>
      </w:tr>
      <w:tr w:rsidR="00196C06" w:rsidRPr="00DC174D" w14:paraId="21277CB9"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703C396A" w14:textId="77777777" w:rsidR="00196C06" w:rsidRPr="00DC174D" w:rsidRDefault="00196C06" w:rsidP="006201FD">
            <w:pPr>
              <w:spacing w:before="40" w:after="80"/>
              <w:ind w:right="43"/>
              <w:rPr>
                <w:sz w:val="18"/>
                <w:szCs w:val="18"/>
                <w:lang w:val="fr-FR"/>
              </w:rPr>
            </w:pPr>
            <w:r w:rsidRPr="00DC174D">
              <w:rPr>
                <w:sz w:val="18"/>
                <w:szCs w:val="18"/>
                <w:lang w:val="fr-FR"/>
              </w:rPr>
              <w:t>5.1</w:t>
            </w:r>
          </w:p>
        </w:tc>
        <w:tc>
          <w:tcPr>
            <w:tcW w:w="0" w:type="auto"/>
            <w:shd w:val="clear" w:color="auto" w:fill="auto"/>
          </w:tcPr>
          <w:p w14:paraId="517393BD" w14:textId="77777777" w:rsidR="00196C06" w:rsidRPr="00DC174D" w:rsidRDefault="00196C06" w:rsidP="006201FD">
            <w:pPr>
              <w:spacing w:before="40" w:after="80"/>
              <w:ind w:right="43"/>
              <w:jc w:val="center"/>
              <w:rPr>
                <w:sz w:val="18"/>
                <w:szCs w:val="18"/>
                <w:lang w:val="fr-FR"/>
              </w:rPr>
            </w:pPr>
            <w:r w:rsidRPr="00DC174D">
              <w:rPr>
                <w:sz w:val="18"/>
                <w:szCs w:val="18"/>
                <w:lang w:val="fr-FR"/>
              </w:rPr>
              <w:t>Division 5.1</w:t>
            </w:r>
            <w:r>
              <w:rPr>
                <w:sz w:val="18"/>
                <w:szCs w:val="18"/>
                <w:lang w:val="fr-FR"/>
              </w:rPr>
              <w:t>:</w:t>
            </w:r>
          </w:p>
          <w:p w14:paraId="59F799CB" w14:textId="77777777" w:rsidR="00196C06" w:rsidRPr="00DC174D" w:rsidRDefault="00196C06" w:rsidP="006201FD">
            <w:pPr>
              <w:spacing w:before="40" w:after="80"/>
              <w:ind w:right="43"/>
              <w:jc w:val="center"/>
              <w:rPr>
                <w:sz w:val="18"/>
                <w:szCs w:val="18"/>
                <w:lang w:val="fr-FR"/>
              </w:rPr>
            </w:pPr>
            <w:r w:rsidRPr="00DC174D">
              <w:rPr>
                <w:sz w:val="18"/>
                <w:szCs w:val="18"/>
                <w:lang w:val="fr-FR"/>
              </w:rPr>
              <w:t>Matières comburantes</w:t>
            </w:r>
          </w:p>
        </w:tc>
        <w:tc>
          <w:tcPr>
            <w:tcW w:w="0" w:type="auto"/>
            <w:shd w:val="clear" w:color="auto" w:fill="auto"/>
          </w:tcPr>
          <w:p w14:paraId="0AD3DC50" w14:textId="77777777" w:rsidR="00196C06" w:rsidRPr="00DC174D" w:rsidRDefault="00196C06" w:rsidP="006201FD">
            <w:pPr>
              <w:spacing w:before="40" w:after="80"/>
              <w:ind w:right="43"/>
              <w:jc w:val="center"/>
              <w:rPr>
                <w:sz w:val="18"/>
                <w:szCs w:val="18"/>
                <w:lang w:val="fr-FR"/>
              </w:rPr>
            </w:pPr>
            <w:r w:rsidRPr="00DC174D">
              <w:rPr>
                <w:sz w:val="18"/>
                <w:szCs w:val="18"/>
                <w:lang w:val="fr-FR"/>
              </w:rPr>
              <w:t xml:space="preserve">Flamme </w:t>
            </w:r>
            <w:r>
              <w:rPr>
                <w:sz w:val="18"/>
                <w:szCs w:val="18"/>
                <w:lang w:val="fr-FR"/>
              </w:rPr>
              <w:br/>
            </w:r>
            <w:r w:rsidRPr="00DC174D">
              <w:rPr>
                <w:sz w:val="18"/>
                <w:szCs w:val="18"/>
                <w:lang w:val="fr-FR"/>
              </w:rPr>
              <w:t>au-dessus d’un cercle: noir</w:t>
            </w:r>
          </w:p>
        </w:tc>
        <w:tc>
          <w:tcPr>
            <w:tcW w:w="0" w:type="auto"/>
            <w:shd w:val="clear" w:color="auto" w:fill="auto"/>
          </w:tcPr>
          <w:p w14:paraId="7CB79B30" w14:textId="77777777" w:rsidR="00196C06" w:rsidRPr="00DC174D" w:rsidRDefault="00196C06" w:rsidP="006201FD">
            <w:pPr>
              <w:spacing w:before="40" w:after="80"/>
              <w:ind w:right="43"/>
              <w:jc w:val="center"/>
              <w:rPr>
                <w:sz w:val="18"/>
                <w:szCs w:val="18"/>
                <w:lang w:val="fr-FR"/>
              </w:rPr>
            </w:pPr>
            <w:r w:rsidRPr="00DC174D">
              <w:rPr>
                <w:sz w:val="18"/>
                <w:szCs w:val="18"/>
                <w:lang w:val="fr-FR"/>
              </w:rPr>
              <w:t>Jaune</w:t>
            </w:r>
          </w:p>
        </w:tc>
        <w:tc>
          <w:tcPr>
            <w:tcW w:w="0" w:type="auto"/>
            <w:shd w:val="clear" w:color="auto" w:fill="auto"/>
          </w:tcPr>
          <w:p w14:paraId="2AC96E22" w14:textId="77777777" w:rsidR="00196C06" w:rsidRPr="00DC174D" w:rsidRDefault="00196C06" w:rsidP="006201FD">
            <w:pPr>
              <w:spacing w:before="40" w:after="80"/>
              <w:ind w:right="43"/>
              <w:jc w:val="center"/>
              <w:rPr>
                <w:sz w:val="18"/>
                <w:szCs w:val="18"/>
                <w:lang w:val="ru-RU" w:eastAsia="ru-RU"/>
              </w:rPr>
            </w:pPr>
            <w:r w:rsidRPr="00DC174D">
              <w:rPr>
                <w:sz w:val="18"/>
                <w:szCs w:val="18"/>
                <w:lang w:val="fr-FR"/>
              </w:rPr>
              <w:t>5.1</w:t>
            </w:r>
            <w:r>
              <w:rPr>
                <w:sz w:val="18"/>
                <w:szCs w:val="18"/>
                <w:lang w:val="fr-FR"/>
              </w:rPr>
              <w:t xml:space="preserve"> </w:t>
            </w:r>
            <w:r>
              <w:rPr>
                <w:sz w:val="18"/>
                <w:szCs w:val="18"/>
                <w:lang w:val="fr-FR"/>
              </w:rPr>
              <w:br/>
            </w:r>
            <w:r w:rsidRPr="00DC174D">
              <w:rPr>
                <w:sz w:val="18"/>
                <w:szCs w:val="18"/>
                <w:lang w:val="ru-RU" w:eastAsia="ru-RU"/>
              </w:rPr>
              <w:t>(</w:t>
            </w:r>
            <w:r>
              <w:rPr>
                <w:sz w:val="18"/>
                <w:szCs w:val="18"/>
                <w:lang w:val="en-US" w:eastAsia="ru-RU"/>
              </w:rPr>
              <w:t>noir</w:t>
            </w:r>
            <w:r w:rsidRPr="00DC174D">
              <w:rPr>
                <w:sz w:val="18"/>
                <w:szCs w:val="18"/>
                <w:lang w:val="ru-RU" w:eastAsia="ru-RU"/>
              </w:rPr>
              <w:t>)</w:t>
            </w:r>
          </w:p>
        </w:tc>
        <w:tc>
          <w:tcPr>
            <w:tcW w:w="0" w:type="auto"/>
            <w:gridSpan w:val="2"/>
            <w:shd w:val="clear" w:color="auto" w:fill="auto"/>
            <w:vAlign w:val="center"/>
          </w:tcPr>
          <w:p w14:paraId="0C92E532" w14:textId="77777777" w:rsidR="00196C06" w:rsidRPr="00DC174D" w:rsidRDefault="00196C06" w:rsidP="006201FD">
            <w:pPr>
              <w:spacing w:before="40" w:after="80" w:line="240" w:lineRule="auto"/>
              <w:ind w:right="43"/>
              <w:jc w:val="center"/>
              <w:rPr>
                <w:sz w:val="18"/>
                <w:szCs w:val="18"/>
                <w:lang w:val="en-US" w:eastAsia="ru-RU"/>
              </w:rPr>
            </w:pPr>
            <w:r>
              <w:rPr>
                <w:rFonts w:eastAsia="SimSun"/>
                <w:noProof/>
                <w:lang w:val="en-GB" w:eastAsia="en-GB"/>
              </w:rPr>
              <w:drawing>
                <wp:inline distT="0" distB="0" distL="0" distR="0" wp14:anchorId="4D10F502" wp14:editId="1E9425C5">
                  <wp:extent cx="833755" cy="833755"/>
                  <wp:effectExtent l="0" t="0" r="4445" b="4445"/>
                  <wp:docPr id="17" name="Picture 1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une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0" w:type="auto"/>
            <w:shd w:val="clear" w:color="auto" w:fill="auto"/>
          </w:tcPr>
          <w:p w14:paraId="7A6F76A4" w14:textId="77777777" w:rsidR="00196C06" w:rsidRPr="00604799" w:rsidRDefault="00196C06" w:rsidP="006201FD">
            <w:pPr>
              <w:spacing w:before="40" w:after="80" w:line="220" w:lineRule="exact"/>
              <w:jc w:val="center"/>
              <w:textDirection w:val="tbLrV"/>
              <w:rPr>
                <w:sz w:val="18"/>
                <w:szCs w:val="18"/>
                <w:lang w:val="fr-FR"/>
              </w:rPr>
            </w:pPr>
            <w:r w:rsidRPr="00604F0C">
              <w:rPr>
                <w:sz w:val="18"/>
                <w:szCs w:val="18"/>
                <w:lang w:val="fr-FR"/>
              </w:rPr>
              <w:t>-</w:t>
            </w:r>
          </w:p>
        </w:tc>
      </w:tr>
      <w:tr w:rsidR="001E0706" w:rsidRPr="00DC174D" w14:paraId="09E51CF1" w14:textId="77777777" w:rsidTr="006201FD">
        <w:tblPrEx>
          <w:tblCellMar>
            <w:left w:w="108" w:type="dxa"/>
            <w:right w:w="108" w:type="dxa"/>
          </w:tblCellMar>
          <w:tblLook w:val="04A0" w:firstRow="1" w:lastRow="0" w:firstColumn="1" w:lastColumn="0" w:noHBand="0" w:noVBand="1"/>
        </w:tblPrEx>
        <w:tc>
          <w:tcPr>
            <w:tcW w:w="0" w:type="auto"/>
            <w:shd w:val="clear" w:color="auto" w:fill="auto"/>
          </w:tcPr>
          <w:p w14:paraId="02E88487" w14:textId="77777777" w:rsidR="001E0706" w:rsidRPr="00DC174D" w:rsidRDefault="001E0706" w:rsidP="001E0706">
            <w:pPr>
              <w:spacing w:before="40" w:after="80"/>
              <w:ind w:right="43"/>
              <w:rPr>
                <w:sz w:val="18"/>
                <w:szCs w:val="18"/>
                <w:lang w:val="fr-FR"/>
              </w:rPr>
            </w:pPr>
            <w:r w:rsidRPr="00DC174D">
              <w:rPr>
                <w:sz w:val="18"/>
                <w:szCs w:val="18"/>
                <w:lang w:val="fr-FR"/>
              </w:rPr>
              <w:t>5.2</w:t>
            </w:r>
          </w:p>
        </w:tc>
        <w:tc>
          <w:tcPr>
            <w:tcW w:w="0" w:type="auto"/>
            <w:shd w:val="clear" w:color="auto" w:fill="auto"/>
          </w:tcPr>
          <w:p w14:paraId="2D30CED0" w14:textId="77777777" w:rsidR="001E0706" w:rsidRPr="003B0D4E" w:rsidRDefault="001E0706" w:rsidP="001E0706">
            <w:pPr>
              <w:spacing w:before="40" w:after="80"/>
              <w:ind w:right="43"/>
              <w:jc w:val="center"/>
              <w:rPr>
                <w:sz w:val="18"/>
                <w:szCs w:val="18"/>
                <w:lang w:eastAsia="ru-RU"/>
              </w:rPr>
            </w:pPr>
            <w:r w:rsidRPr="00DC174D">
              <w:rPr>
                <w:sz w:val="18"/>
                <w:szCs w:val="18"/>
                <w:lang w:val="en-US" w:eastAsia="ru-RU"/>
              </w:rPr>
              <w:t>Division</w:t>
            </w:r>
            <w:r>
              <w:rPr>
                <w:sz w:val="18"/>
                <w:szCs w:val="18"/>
                <w:lang w:val="ru-RU" w:eastAsia="ru-RU"/>
              </w:rPr>
              <w:t xml:space="preserve"> 5.2</w:t>
            </w:r>
            <w:r>
              <w:rPr>
                <w:sz w:val="18"/>
                <w:szCs w:val="18"/>
                <w:lang w:eastAsia="ru-RU"/>
              </w:rPr>
              <w:t>:</w:t>
            </w:r>
          </w:p>
          <w:p w14:paraId="447ADC01" w14:textId="77777777" w:rsidR="001E0706" w:rsidRPr="00DC174D" w:rsidRDefault="001E0706" w:rsidP="001E0706">
            <w:pPr>
              <w:spacing w:before="40" w:after="80"/>
              <w:ind w:right="43"/>
              <w:jc w:val="center"/>
              <w:rPr>
                <w:sz w:val="18"/>
                <w:szCs w:val="18"/>
                <w:lang w:val="fr-FR"/>
              </w:rPr>
            </w:pPr>
            <w:r w:rsidRPr="00DC174D">
              <w:rPr>
                <w:sz w:val="18"/>
                <w:szCs w:val="18"/>
                <w:lang w:val="fr-FR"/>
              </w:rPr>
              <w:t>Peroxydes organiques</w:t>
            </w:r>
          </w:p>
        </w:tc>
        <w:tc>
          <w:tcPr>
            <w:tcW w:w="0" w:type="auto"/>
            <w:shd w:val="clear" w:color="auto" w:fill="auto"/>
          </w:tcPr>
          <w:p w14:paraId="3856E60F" w14:textId="77777777" w:rsidR="001E0706" w:rsidRPr="00DC174D" w:rsidRDefault="001E0706" w:rsidP="001E0706">
            <w:pPr>
              <w:spacing w:before="40" w:after="80"/>
              <w:ind w:right="43"/>
              <w:jc w:val="center"/>
              <w:rPr>
                <w:sz w:val="18"/>
                <w:szCs w:val="18"/>
                <w:lang w:val="fr-FR"/>
              </w:rPr>
            </w:pPr>
            <w:r w:rsidRPr="00DC174D">
              <w:rPr>
                <w:sz w:val="18"/>
                <w:szCs w:val="18"/>
                <w:lang w:val="fr-FR"/>
              </w:rPr>
              <w:t xml:space="preserve">Flamme: </w:t>
            </w:r>
            <w:r>
              <w:rPr>
                <w:sz w:val="18"/>
                <w:szCs w:val="18"/>
                <w:lang w:val="fr-FR"/>
              </w:rPr>
              <w:br/>
            </w:r>
            <w:r w:rsidRPr="00DC174D">
              <w:rPr>
                <w:sz w:val="18"/>
                <w:szCs w:val="18"/>
                <w:lang w:val="fr-FR"/>
              </w:rPr>
              <w:t>noir ou blanc</w:t>
            </w:r>
          </w:p>
        </w:tc>
        <w:tc>
          <w:tcPr>
            <w:tcW w:w="0" w:type="auto"/>
            <w:shd w:val="clear" w:color="auto" w:fill="auto"/>
          </w:tcPr>
          <w:p w14:paraId="78C4A32A" w14:textId="4DCC756C" w:rsidR="001E0706" w:rsidRPr="00D6712B" w:rsidRDefault="001E0706" w:rsidP="001E0706">
            <w:pPr>
              <w:spacing w:before="40" w:after="80"/>
              <w:ind w:right="43"/>
              <w:jc w:val="center"/>
              <w:rPr>
                <w:sz w:val="18"/>
                <w:szCs w:val="18"/>
                <w:lang w:eastAsia="ru-RU"/>
              </w:rPr>
            </w:pPr>
            <w:r>
              <w:rPr>
                <w:sz w:val="18"/>
                <w:szCs w:val="18"/>
                <w:lang w:val="fr-FR"/>
              </w:rPr>
              <w:t>Moitié supérieure:</w:t>
            </w:r>
            <w:r w:rsidRPr="001B79A0">
              <w:rPr>
                <w:sz w:val="18"/>
                <w:szCs w:val="18"/>
                <w:lang w:val="fr-FR"/>
              </w:rPr>
              <w:t xml:space="preserve"> </w:t>
            </w:r>
            <w:r>
              <w:rPr>
                <w:sz w:val="18"/>
                <w:szCs w:val="18"/>
                <w:lang w:val="fr-FR"/>
              </w:rPr>
              <w:t>rouge;</w:t>
            </w:r>
            <w:r>
              <w:rPr>
                <w:sz w:val="18"/>
                <w:szCs w:val="18"/>
                <w:lang w:val="fr-FR"/>
              </w:rPr>
              <w:br/>
              <w:t xml:space="preserve">Moitié </w:t>
            </w:r>
            <w:r w:rsidRPr="001B79A0">
              <w:rPr>
                <w:sz w:val="18"/>
                <w:szCs w:val="18"/>
                <w:lang w:val="fr-FR"/>
              </w:rPr>
              <w:t>inférieure</w:t>
            </w:r>
            <w:r>
              <w:rPr>
                <w:sz w:val="18"/>
                <w:szCs w:val="18"/>
                <w:lang w:val="fr-FR"/>
              </w:rPr>
              <w:t>:</w:t>
            </w:r>
            <w:r>
              <w:rPr>
                <w:sz w:val="18"/>
                <w:szCs w:val="18"/>
                <w:lang w:val="fr-FR"/>
              </w:rPr>
              <w:br/>
              <w:t>jaune</w:t>
            </w:r>
          </w:p>
        </w:tc>
        <w:tc>
          <w:tcPr>
            <w:tcW w:w="0" w:type="auto"/>
            <w:shd w:val="clear" w:color="auto" w:fill="auto"/>
          </w:tcPr>
          <w:p w14:paraId="2AB47AAB" w14:textId="77777777" w:rsidR="001E0706" w:rsidRPr="00DC174D" w:rsidRDefault="001E0706" w:rsidP="001E0706">
            <w:pPr>
              <w:spacing w:before="40" w:after="80"/>
              <w:ind w:right="43"/>
              <w:jc w:val="center"/>
              <w:rPr>
                <w:sz w:val="18"/>
                <w:szCs w:val="18"/>
                <w:lang w:val="fr-FR"/>
              </w:rPr>
            </w:pPr>
            <w:r w:rsidRPr="00DC174D">
              <w:rPr>
                <w:sz w:val="18"/>
                <w:szCs w:val="18"/>
                <w:lang w:val="fr-FR"/>
              </w:rPr>
              <w:t>5.2</w:t>
            </w:r>
            <w:r>
              <w:rPr>
                <w:sz w:val="18"/>
                <w:szCs w:val="18"/>
                <w:lang w:val="fr-FR"/>
              </w:rPr>
              <w:t xml:space="preserve"> </w:t>
            </w:r>
            <w:r>
              <w:rPr>
                <w:sz w:val="18"/>
                <w:szCs w:val="18"/>
                <w:lang w:val="fr-FR"/>
              </w:rPr>
              <w:br/>
            </w:r>
            <w:r w:rsidRPr="00DC174D">
              <w:rPr>
                <w:sz w:val="18"/>
                <w:szCs w:val="18"/>
                <w:lang w:val="fr-FR"/>
              </w:rPr>
              <w:t>(noir)</w:t>
            </w:r>
          </w:p>
        </w:tc>
        <w:tc>
          <w:tcPr>
            <w:tcW w:w="0" w:type="auto"/>
            <w:shd w:val="clear" w:color="auto" w:fill="auto"/>
            <w:vAlign w:val="center"/>
          </w:tcPr>
          <w:p w14:paraId="68D2C810" w14:textId="77777777" w:rsidR="001E0706" w:rsidRPr="00DC174D" w:rsidRDefault="001E0706" w:rsidP="001E0706">
            <w:pPr>
              <w:spacing w:before="40" w:after="80" w:line="240" w:lineRule="auto"/>
              <w:jc w:val="center"/>
              <w:rPr>
                <w:sz w:val="18"/>
                <w:szCs w:val="18"/>
                <w:lang w:val="ru-RU" w:eastAsia="ru-RU"/>
              </w:rPr>
            </w:pPr>
            <w:r>
              <w:rPr>
                <w:rFonts w:eastAsia="SimSun"/>
                <w:noProof/>
                <w:lang w:val="en-GB" w:eastAsia="en-GB"/>
              </w:rPr>
              <w:drawing>
                <wp:inline distT="0" distB="0" distL="0" distR="0" wp14:anchorId="3479BA74" wp14:editId="3CF2BD59">
                  <wp:extent cx="814705" cy="828675"/>
                  <wp:effectExtent l="0" t="0" r="4445" b="9525"/>
                  <wp:docPr id="16" name="Picture 16"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a:ln>
                            <a:noFill/>
                          </a:ln>
                        </pic:spPr>
                      </pic:pic>
                    </a:graphicData>
                  </a:graphic>
                </wp:inline>
              </w:drawing>
            </w:r>
          </w:p>
        </w:tc>
        <w:tc>
          <w:tcPr>
            <w:tcW w:w="0" w:type="auto"/>
            <w:shd w:val="clear" w:color="auto" w:fill="auto"/>
            <w:vAlign w:val="center"/>
          </w:tcPr>
          <w:p w14:paraId="7951F4C3" w14:textId="77777777" w:rsidR="001E0706" w:rsidRPr="007E3CA2" w:rsidRDefault="001E0706" w:rsidP="001E0706">
            <w:pPr>
              <w:spacing w:before="40" w:after="80" w:line="240" w:lineRule="auto"/>
              <w:rPr>
                <w:sz w:val="16"/>
                <w:szCs w:val="16"/>
                <w:lang w:val="ru-RU" w:eastAsia="ru-RU"/>
              </w:rPr>
            </w:pPr>
            <w:r>
              <w:rPr>
                <w:rFonts w:eastAsia="SimSun"/>
                <w:noProof/>
                <w:lang w:val="en-GB" w:eastAsia="en-GB"/>
              </w:rPr>
              <w:drawing>
                <wp:inline distT="0" distB="0" distL="0" distR="0" wp14:anchorId="4756C491" wp14:editId="66BFC238">
                  <wp:extent cx="828675" cy="828675"/>
                  <wp:effectExtent l="0" t="0" r="9525" b="9525"/>
                  <wp:docPr id="11" name="Picture 11"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5827CCB5" w14:textId="77777777" w:rsidR="001E0706" w:rsidRPr="00DC174D" w:rsidRDefault="001E0706" w:rsidP="001E0706">
            <w:pPr>
              <w:spacing w:before="40" w:after="80"/>
              <w:ind w:right="43"/>
              <w:jc w:val="center"/>
              <w:rPr>
                <w:sz w:val="18"/>
                <w:szCs w:val="18"/>
                <w:lang w:val="fr-FR"/>
              </w:rPr>
            </w:pPr>
            <w:r w:rsidRPr="00DC174D">
              <w:rPr>
                <w:sz w:val="18"/>
                <w:szCs w:val="18"/>
                <w:lang w:val="fr-FR"/>
              </w:rPr>
              <w:t>-</w:t>
            </w:r>
          </w:p>
        </w:tc>
      </w:tr>
      <w:tr w:rsidR="001E0706" w:rsidRPr="00DC174D" w14:paraId="07004282" w14:textId="77777777" w:rsidTr="006201FD">
        <w:tblPrEx>
          <w:tblCellMar>
            <w:left w:w="108" w:type="dxa"/>
            <w:right w:w="108" w:type="dxa"/>
          </w:tblCellMar>
          <w:tblLook w:val="04A0" w:firstRow="1" w:lastRow="0" w:firstColumn="1" w:lastColumn="0" w:noHBand="0" w:noVBand="1"/>
        </w:tblPrEx>
        <w:tc>
          <w:tcPr>
            <w:tcW w:w="0" w:type="auto"/>
            <w:gridSpan w:val="8"/>
            <w:shd w:val="clear" w:color="auto" w:fill="auto"/>
          </w:tcPr>
          <w:p w14:paraId="3593ED38" w14:textId="33F42644" w:rsidR="001E0706" w:rsidRPr="00DC174D" w:rsidRDefault="001E0706" w:rsidP="001E0706">
            <w:pPr>
              <w:spacing w:before="40" w:after="80"/>
              <w:ind w:right="43"/>
              <w:jc w:val="center"/>
              <w:rPr>
                <w:b/>
                <w:sz w:val="18"/>
                <w:szCs w:val="18"/>
                <w:lang w:val="fr-FR"/>
              </w:rPr>
            </w:pPr>
            <w:r w:rsidRPr="00DC174D">
              <w:rPr>
                <w:b/>
                <w:sz w:val="18"/>
                <w:szCs w:val="18"/>
                <w:lang w:val="fr-FR"/>
              </w:rPr>
              <w:t>Classe 6</w:t>
            </w:r>
            <w:r w:rsidR="009956B8">
              <w:rPr>
                <w:b/>
                <w:sz w:val="18"/>
                <w:szCs w:val="18"/>
                <w:lang w:val="fr-FR"/>
              </w:rPr>
              <w:t>:</w:t>
            </w:r>
            <w:r w:rsidR="002A2D9B">
              <w:rPr>
                <w:b/>
                <w:sz w:val="18"/>
                <w:szCs w:val="18"/>
                <w:lang w:val="fr-FR"/>
              </w:rPr>
              <w:t xml:space="preserve"> M</w:t>
            </w:r>
            <w:r w:rsidR="002A2D9B" w:rsidRPr="002A2D9B">
              <w:rPr>
                <w:b/>
                <w:sz w:val="18"/>
                <w:szCs w:val="18"/>
                <w:lang w:val="fr-FR"/>
              </w:rPr>
              <w:t>atières toxiques et matières infectieuses</w:t>
            </w:r>
          </w:p>
        </w:tc>
      </w:tr>
      <w:tr w:rsidR="001E0706" w:rsidRPr="00DC174D" w14:paraId="3D595B6A" w14:textId="77777777" w:rsidTr="001E0706">
        <w:tblPrEx>
          <w:tblCellMar>
            <w:left w:w="108" w:type="dxa"/>
            <w:right w:w="108" w:type="dxa"/>
          </w:tblCellMar>
          <w:tblLook w:val="04A0" w:firstRow="1" w:lastRow="0" w:firstColumn="1" w:lastColumn="0" w:noHBand="0" w:noVBand="1"/>
        </w:tblPrEx>
        <w:trPr>
          <w:trHeight w:val="1783"/>
        </w:trPr>
        <w:tc>
          <w:tcPr>
            <w:tcW w:w="0" w:type="auto"/>
            <w:shd w:val="clear" w:color="auto" w:fill="auto"/>
          </w:tcPr>
          <w:p w14:paraId="30041B71" w14:textId="77777777" w:rsidR="001E0706" w:rsidRPr="00DC174D" w:rsidRDefault="001E0706" w:rsidP="001E0706">
            <w:pPr>
              <w:spacing w:before="40" w:after="80"/>
              <w:ind w:right="43"/>
              <w:rPr>
                <w:sz w:val="18"/>
                <w:szCs w:val="18"/>
                <w:lang w:val="fr-FR"/>
              </w:rPr>
            </w:pPr>
            <w:r w:rsidRPr="00DC174D">
              <w:rPr>
                <w:sz w:val="18"/>
                <w:szCs w:val="18"/>
                <w:lang w:val="fr-FR"/>
              </w:rPr>
              <w:t>6.1</w:t>
            </w:r>
          </w:p>
        </w:tc>
        <w:tc>
          <w:tcPr>
            <w:tcW w:w="0" w:type="auto"/>
            <w:shd w:val="clear" w:color="auto" w:fill="auto"/>
          </w:tcPr>
          <w:p w14:paraId="289D89F4" w14:textId="77777777" w:rsidR="001E0706" w:rsidRPr="00DC174D" w:rsidRDefault="001E0706" w:rsidP="001E0706">
            <w:pPr>
              <w:spacing w:before="40" w:after="80"/>
              <w:ind w:right="43"/>
              <w:jc w:val="center"/>
              <w:rPr>
                <w:sz w:val="18"/>
                <w:szCs w:val="18"/>
                <w:lang w:val="fr-FR"/>
              </w:rPr>
            </w:pPr>
            <w:r w:rsidRPr="00DC174D">
              <w:rPr>
                <w:sz w:val="18"/>
                <w:szCs w:val="18"/>
                <w:lang w:val="fr-FR"/>
              </w:rPr>
              <w:t>Division 6.1</w:t>
            </w:r>
            <w:r>
              <w:rPr>
                <w:sz w:val="18"/>
                <w:szCs w:val="18"/>
                <w:lang w:val="fr-FR"/>
              </w:rPr>
              <w:t>:</w:t>
            </w:r>
          </w:p>
          <w:p w14:paraId="3EC22F8E" w14:textId="77777777" w:rsidR="001E0706" w:rsidRPr="00DC174D" w:rsidRDefault="001E0706" w:rsidP="001E0706">
            <w:pPr>
              <w:spacing w:before="40" w:after="80"/>
              <w:ind w:right="43"/>
              <w:jc w:val="center"/>
              <w:rPr>
                <w:sz w:val="18"/>
                <w:szCs w:val="18"/>
                <w:lang w:val="fr-FR"/>
              </w:rPr>
            </w:pPr>
            <w:r w:rsidRPr="00DC174D">
              <w:rPr>
                <w:sz w:val="18"/>
                <w:szCs w:val="18"/>
                <w:lang w:val="fr-FR"/>
              </w:rPr>
              <w:t>Matières toxiques</w:t>
            </w:r>
          </w:p>
        </w:tc>
        <w:tc>
          <w:tcPr>
            <w:tcW w:w="0" w:type="auto"/>
            <w:shd w:val="clear" w:color="auto" w:fill="auto"/>
          </w:tcPr>
          <w:p w14:paraId="3AA7333A" w14:textId="77777777" w:rsidR="001E0706" w:rsidRPr="00DC174D" w:rsidRDefault="001E0706" w:rsidP="001E0706">
            <w:pPr>
              <w:spacing w:before="40" w:after="80"/>
              <w:ind w:right="43"/>
              <w:jc w:val="center"/>
              <w:rPr>
                <w:sz w:val="18"/>
                <w:szCs w:val="18"/>
                <w:lang w:val="fr-FR"/>
              </w:rPr>
            </w:pPr>
            <w:r w:rsidRPr="00DC174D">
              <w:rPr>
                <w:sz w:val="18"/>
                <w:szCs w:val="18"/>
                <w:lang w:val="fr-FR"/>
              </w:rPr>
              <w:t>Tête de mort sur deux tibias: noir</w:t>
            </w:r>
          </w:p>
        </w:tc>
        <w:tc>
          <w:tcPr>
            <w:tcW w:w="0" w:type="auto"/>
            <w:shd w:val="clear" w:color="auto" w:fill="auto"/>
          </w:tcPr>
          <w:p w14:paraId="3B650D57" w14:textId="77777777" w:rsidR="001E0706" w:rsidRPr="00DC174D" w:rsidRDefault="001E0706" w:rsidP="001E0706">
            <w:pPr>
              <w:spacing w:before="40" w:after="80"/>
              <w:ind w:right="43"/>
              <w:jc w:val="center"/>
              <w:rPr>
                <w:sz w:val="18"/>
                <w:szCs w:val="18"/>
                <w:lang w:val="fr-FR"/>
              </w:rPr>
            </w:pPr>
            <w:r w:rsidRPr="00DC174D">
              <w:rPr>
                <w:sz w:val="18"/>
                <w:szCs w:val="18"/>
                <w:lang w:val="fr-FR"/>
              </w:rPr>
              <w:t>Blanc</w:t>
            </w:r>
          </w:p>
        </w:tc>
        <w:tc>
          <w:tcPr>
            <w:tcW w:w="0" w:type="auto"/>
            <w:shd w:val="clear" w:color="auto" w:fill="auto"/>
          </w:tcPr>
          <w:p w14:paraId="2EBD9135" w14:textId="77777777" w:rsidR="001E0706" w:rsidRPr="00DC174D" w:rsidRDefault="001E0706" w:rsidP="001E0706">
            <w:pPr>
              <w:spacing w:before="40" w:after="80"/>
              <w:ind w:right="43"/>
              <w:jc w:val="center"/>
              <w:rPr>
                <w:sz w:val="18"/>
                <w:szCs w:val="18"/>
                <w:lang w:val="fr-FR"/>
              </w:rPr>
            </w:pPr>
            <w:r w:rsidRPr="00DC174D">
              <w:rPr>
                <w:sz w:val="18"/>
                <w:szCs w:val="18"/>
                <w:lang w:val="fr-FR"/>
              </w:rPr>
              <w:t>6</w:t>
            </w:r>
            <w:r>
              <w:rPr>
                <w:sz w:val="18"/>
                <w:szCs w:val="18"/>
                <w:lang w:val="fr-FR"/>
              </w:rPr>
              <w:t xml:space="preserve"> </w:t>
            </w:r>
            <w:r>
              <w:rPr>
                <w:sz w:val="18"/>
                <w:szCs w:val="18"/>
                <w:lang w:val="fr-FR"/>
              </w:rPr>
              <w:br/>
            </w:r>
            <w:r w:rsidRPr="00DC174D">
              <w:rPr>
                <w:sz w:val="18"/>
                <w:szCs w:val="18"/>
                <w:lang w:val="fr-FR"/>
              </w:rPr>
              <w:t>(noir)</w:t>
            </w:r>
          </w:p>
        </w:tc>
        <w:tc>
          <w:tcPr>
            <w:tcW w:w="3113" w:type="dxa"/>
            <w:gridSpan w:val="2"/>
            <w:shd w:val="clear" w:color="auto" w:fill="auto"/>
            <w:vAlign w:val="center"/>
          </w:tcPr>
          <w:p w14:paraId="3978667C" w14:textId="77777777" w:rsidR="001E0706" w:rsidRPr="00DC174D" w:rsidRDefault="001E0706" w:rsidP="001E0706">
            <w:pPr>
              <w:spacing w:before="40" w:after="80" w:line="240" w:lineRule="auto"/>
              <w:jc w:val="center"/>
              <w:rPr>
                <w:sz w:val="18"/>
                <w:szCs w:val="18"/>
                <w:lang w:val="en-US" w:eastAsia="ru-RU"/>
              </w:rPr>
            </w:pPr>
            <w:r>
              <w:rPr>
                <w:rFonts w:eastAsia="SimSun"/>
                <w:noProof/>
                <w:lang w:val="en-GB" w:eastAsia="en-GB"/>
              </w:rPr>
              <w:drawing>
                <wp:inline distT="0" distB="0" distL="0" distR="0" wp14:anchorId="658ACC7D" wp14:editId="18D3B1B4">
                  <wp:extent cx="828675" cy="828675"/>
                  <wp:effectExtent l="0" t="0" r="9525" b="9525"/>
                  <wp:docPr id="10" name="Picture 1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14:paraId="5B0080C8" w14:textId="77777777" w:rsidR="001E0706" w:rsidRPr="00DC174D" w:rsidRDefault="001E0706" w:rsidP="001E0706">
            <w:pPr>
              <w:spacing w:before="40" w:after="80"/>
              <w:ind w:right="43"/>
              <w:jc w:val="center"/>
              <w:rPr>
                <w:sz w:val="18"/>
                <w:szCs w:val="18"/>
                <w:lang w:val="fr-FR"/>
              </w:rPr>
            </w:pPr>
            <w:r w:rsidRPr="00DC174D">
              <w:rPr>
                <w:sz w:val="18"/>
                <w:szCs w:val="18"/>
                <w:lang w:val="fr-FR"/>
              </w:rPr>
              <w:t>-</w:t>
            </w:r>
          </w:p>
        </w:tc>
      </w:tr>
      <w:tr w:rsidR="001E0706" w:rsidRPr="00DC174D" w14:paraId="505065D3" w14:textId="77777777" w:rsidTr="001E0706">
        <w:tblPrEx>
          <w:tblCellMar>
            <w:left w:w="108" w:type="dxa"/>
            <w:right w:w="108" w:type="dxa"/>
          </w:tblCellMar>
          <w:tblLook w:val="04A0" w:firstRow="1" w:lastRow="0" w:firstColumn="1" w:lastColumn="0" w:noHBand="0" w:noVBand="1"/>
        </w:tblPrEx>
        <w:trPr>
          <w:trHeight w:val="386"/>
        </w:trPr>
        <w:tc>
          <w:tcPr>
            <w:tcW w:w="0" w:type="auto"/>
            <w:shd w:val="clear" w:color="auto" w:fill="auto"/>
          </w:tcPr>
          <w:p w14:paraId="2814B46C" w14:textId="77777777" w:rsidR="001E0706" w:rsidRPr="00DC174D" w:rsidRDefault="001E0706" w:rsidP="001E0706">
            <w:pPr>
              <w:spacing w:before="40" w:after="80"/>
              <w:ind w:right="43"/>
              <w:rPr>
                <w:sz w:val="18"/>
                <w:szCs w:val="18"/>
                <w:lang w:val="fr-FR"/>
              </w:rPr>
            </w:pPr>
            <w:r w:rsidRPr="00DC174D">
              <w:rPr>
                <w:sz w:val="18"/>
                <w:szCs w:val="18"/>
                <w:lang w:val="fr-FR"/>
              </w:rPr>
              <w:t>6.2</w:t>
            </w:r>
          </w:p>
        </w:tc>
        <w:tc>
          <w:tcPr>
            <w:tcW w:w="0" w:type="auto"/>
            <w:shd w:val="clear" w:color="auto" w:fill="auto"/>
          </w:tcPr>
          <w:p w14:paraId="3D5A4E94" w14:textId="77777777" w:rsidR="001E0706" w:rsidRPr="00DC174D" w:rsidRDefault="001E0706" w:rsidP="001E0706">
            <w:pPr>
              <w:spacing w:before="40" w:after="80"/>
              <w:ind w:right="43"/>
              <w:jc w:val="center"/>
              <w:rPr>
                <w:sz w:val="18"/>
                <w:szCs w:val="18"/>
                <w:lang w:val="fr-FR"/>
              </w:rPr>
            </w:pPr>
            <w:r w:rsidRPr="00DC174D">
              <w:rPr>
                <w:sz w:val="18"/>
                <w:szCs w:val="18"/>
                <w:lang w:val="fr-FR"/>
              </w:rPr>
              <w:t>Division 6.2</w:t>
            </w:r>
            <w:r>
              <w:rPr>
                <w:sz w:val="18"/>
                <w:szCs w:val="18"/>
                <w:lang w:val="fr-FR"/>
              </w:rPr>
              <w:t>:</w:t>
            </w:r>
          </w:p>
          <w:p w14:paraId="4C855836" w14:textId="77777777" w:rsidR="001E0706" w:rsidRPr="00DC174D" w:rsidRDefault="001E0706" w:rsidP="001E0706">
            <w:pPr>
              <w:spacing w:before="40" w:after="80"/>
              <w:ind w:right="43"/>
              <w:jc w:val="center"/>
              <w:rPr>
                <w:sz w:val="18"/>
                <w:szCs w:val="18"/>
                <w:lang w:val="fr-FR"/>
              </w:rPr>
            </w:pPr>
            <w:r w:rsidRPr="00DC174D">
              <w:rPr>
                <w:sz w:val="18"/>
                <w:szCs w:val="18"/>
                <w:lang w:val="fr-FR"/>
              </w:rPr>
              <w:t>Matières infectieuses</w:t>
            </w:r>
          </w:p>
        </w:tc>
        <w:tc>
          <w:tcPr>
            <w:tcW w:w="0" w:type="auto"/>
            <w:shd w:val="clear" w:color="auto" w:fill="auto"/>
          </w:tcPr>
          <w:p w14:paraId="3295DE4B" w14:textId="77777777" w:rsidR="001E0706" w:rsidRPr="00DC174D" w:rsidRDefault="001E0706" w:rsidP="001E0706">
            <w:pPr>
              <w:spacing w:before="40" w:after="80"/>
              <w:ind w:right="43"/>
              <w:jc w:val="center"/>
              <w:rPr>
                <w:sz w:val="18"/>
                <w:szCs w:val="18"/>
                <w:lang w:val="fr-FR"/>
              </w:rPr>
            </w:pPr>
            <w:r w:rsidRPr="00DC174D">
              <w:rPr>
                <w:sz w:val="18"/>
                <w:szCs w:val="18"/>
                <w:lang w:val="fr-FR"/>
              </w:rPr>
              <w:t>Trois croissants sur un cercle: noir</w:t>
            </w:r>
          </w:p>
        </w:tc>
        <w:tc>
          <w:tcPr>
            <w:tcW w:w="0" w:type="auto"/>
            <w:shd w:val="clear" w:color="auto" w:fill="auto"/>
          </w:tcPr>
          <w:p w14:paraId="3A7DB272" w14:textId="77777777" w:rsidR="001E0706" w:rsidRPr="00DC174D" w:rsidRDefault="001E0706" w:rsidP="001E0706">
            <w:pPr>
              <w:spacing w:before="40" w:after="80"/>
              <w:ind w:right="43"/>
              <w:jc w:val="center"/>
              <w:rPr>
                <w:sz w:val="18"/>
                <w:szCs w:val="18"/>
                <w:lang w:val="fr-FR"/>
              </w:rPr>
            </w:pPr>
            <w:r w:rsidRPr="00DC174D">
              <w:rPr>
                <w:sz w:val="18"/>
                <w:szCs w:val="18"/>
                <w:lang w:val="fr-FR"/>
              </w:rPr>
              <w:t>Blanc</w:t>
            </w:r>
          </w:p>
        </w:tc>
        <w:tc>
          <w:tcPr>
            <w:tcW w:w="0" w:type="auto"/>
            <w:shd w:val="clear" w:color="auto" w:fill="auto"/>
          </w:tcPr>
          <w:p w14:paraId="03339908" w14:textId="77777777" w:rsidR="001E0706" w:rsidRPr="00DC174D" w:rsidRDefault="001E0706" w:rsidP="001E0706">
            <w:pPr>
              <w:spacing w:before="40" w:after="80"/>
              <w:ind w:right="43"/>
              <w:jc w:val="center"/>
              <w:rPr>
                <w:sz w:val="18"/>
                <w:szCs w:val="18"/>
                <w:lang w:val="fr-FR"/>
              </w:rPr>
            </w:pPr>
            <w:r w:rsidRPr="00DC174D">
              <w:rPr>
                <w:sz w:val="18"/>
                <w:szCs w:val="18"/>
                <w:lang w:val="fr-FR"/>
              </w:rPr>
              <w:t>6</w:t>
            </w:r>
            <w:r>
              <w:rPr>
                <w:sz w:val="18"/>
                <w:szCs w:val="18"/>
                <w:lang w:val="fr-FR"/>
              </w:rPr>
              <w:t xml:space="preserve"> </w:t>
            </w:r>
            <w:r>
              <w:rPr>
                <w:sz w:val="18"/>
                <w:szCs w:val="18"/>
                <w:lang w:val="fr-FR"/>
              </w:rPr>
              <w:br/>
            </w:r>
            <w:r w:rsidRPr="00DC174D">
              <w:rPr>
                <w:sz w:val="18"/>
                <w:szCs w:val="18"/>
                <w:lang w:val="fr-FR"/>
              </w:rPr>
              <w:t>(noir)</w:t>
            </w:r>
          </w:p>
        </w:tc>
        <w:tc>
          <w:tcPr>
            <w:tcW w:w="3113" w:type="dxa"/>
            <w:gridSpan w:val="2"/>
            <w:shd w:val="clear" w:color="auto" w:fill="auto"/>
            <w:vAlign w:val="center"/>
          </w:tcPr>
          <w:p w14:paraId="6D8284AC" w14:textId="77777777" w:rsidR="001E0706" w:rsidRPr="003B0D4E" w:rsidRDefault="001E0706" w:rsidP="001E0706">
            <w:pPr>
              <w:spacing w:before="40" w:after="80" w:line="240" w:lineRule="auto"/>
              <w:jc w:val="center"/>
              <w:rPr>
                <w:sz w:val="18"/>
                <w:szCs w:val="18"/>
                <w:lang w:val="ru-RU" w:eastAsia="ru-RU"/>
              </w:rPr>
            </w:pPr>
            <w:r>
              <w:rPr>
                <w:rFonts w:eastAsia="SimSun"/>
                <w:noProof/>
                <w:lang w:val="en-GB" w:eastAsia="en-GB"/>
              </w:rPr>
              <w:drawing>
                <wp:inline distT="0" distB="0" distL="0" distR="0" wp14:anchorId="0C54F526" wp14:editId="324D7378">
                  <wp:extent cx="828675" cy="828675"/>
                  <wp:effectExtent l="0" t="0" r="9525" b="9525"/>
                  <wp:docPr id="9" name="Picture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14:paraId="4328A03D" w14:textId="77777777" w:rsidR="001E0706" w:rsidRPr="00466525" w:rsidRDefault="001E0706" w:rsidP="001E0706">
            <w:pPr>
              <w:spacing w:before="20" w:after="20" w:line="200" w:lineRule="exact"/>
              <w:rPr>
                <w:sz w:val="18"/>
                <w:szCs w:val="18"/>
                <w:lang w:val="fr-FR"/>
              </w:rPr>
            </w:pPr>
            <w:r w:rsidRPr="00466525">
              <w:rPr>
                <w:sz w:val="18"/>
                <w:szCs w:val="18"/>
                <w:lang w:val="fr-FR"/>
              </w:rPr>
              <w:t>La moitié inférieure de l’éti</w:t>
            </w:r>
            <w:r>
              <w:rPr>
                <w:sz w:val="18"/>
                <w:szCs w:val="18"/>
                <w:lang w:val="fr-FR"/>
              </w:rPr>
              <w:t>quette peut porter les mentions</w:t>
            </w:r>
            <w:r w:rsidRPr="00466525">
              <w:rPr>
                <w:sz w:val="18"/>
                <w:szCs w:val="18"/>
                <w:lang w:val="fr-FR"/>
              </w:rPr>
              <w:t>:</w:t>
            </w:r>
            <w:r w:rsidRPr="00466525">
              <w:rPr>
                <w:sz w:val="18"/>
                <w:szCs w:val="18"/>
                <w:lang w:val="fr-FR"/>
              </w:rPr>
              <w:br/>
            </w:r>
            <w:r>
              <w:rPr>
                <w:sz w:val="18"/>
                <w:szCs w:val="18"/>
                <w:lang w:val="fr-FR"/>
              </w:rPr>
              <w:t>"MATIÈRES INFECTIEUSES"</w:t>
            </w:r>
            <w:r w:rsidRPr="00466525">
              <w:rPr>
                <w:sz w:val="18"/>
                <w:szCs w:val="18"/>
                <w:lang w:val="fr-FR"/>
              </w:rPr>
              <w:t xml:space="preserve"> et</w:t>
            </w:r>
          </w:p>
          <w:p w14:paraId="08982858" w14:textId="77777777" w:rsidR="001E0706" w:rsidRPr="00DC174D" w:rsidRDefault="001E0706" w:rsidP="001E0706">
            <w:pPr>
              <w:spacing w:before="20" w:after="20" w:line="200" w:lineRule="exact"/>
              <w:rPr>
                <w:sz w:val="18"/>
                <w:szCs w:val="18"/>
                <w:lang w:val="fr-FR"/>
              </w:rPr>
            </w:pPr>
            <w:r>
              <w:rPr>
                <w:sz w:val="18"/>
                <w:szCs w:val="18"/>
                <w:lang w:val="fr-FR"/>
              </w:rPr>
              <w:t>"</w:t>
            </w:r>
            <w:r w:rsidRPr="00466525">
              <w:rPr>
                <w:sz w:val="18"/>
                <w:szCs w:val="18"/>
                <w:lang w:val="fr-FR"/>
              </w:rPr>
              <w:t xml:space="preserve">En cas de dommage ou de fuite avertir immédiatement les </w:t>
            </w:r>
            <w:r>
              <w:rPr>
                <w:sz w:val="18"/>
                <w:szCs w:val="18"/>
                <w:lang w:val="fr-FR"/>
              </w:rPr>
              <w:t>autorités de la santé publique" en noir.</w:t>
            </w:r>
          </w:p>
        </w:tc>
      </w:tr>
    </w:tbl>
    <w:p w14:paraId="375F2FC9" w14:textId="77777777" w:rsidR="00196C06" w:rsidRDefault="00196C06" w:rsidP="00196C06">
      <w:pPr>
        <w:spacing w:line="240" w:lineRule="auto"/>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209"/>
        <w:gridCol w:w="1759"/>
        <w:gridCol w:w="2355"/>
        <w:gridCol w:w="1921"/>
        <w:gridCol w:w="1631"/>
        <w:gridCol w:w="2758"/>
      </w:tblGrid>
      <w:tr w:rsidR="00196C06" w:rsidRPr="001F3DF2" w14:paraId="3C81A3A1" w14:textId="77777777" w:rsidTr="006201FD">
        <w:trPr>
          <w:tblHeader/>
        </w:trPr>
        <w:tc>
          <w:tcPr>
            <w:tcW w:w="0" w:type="auto"/>
            <w:shd w:val="clear" w:color="auto" w:fill="auto"/>
            <w:vAlign w:val="center"/>
          </w:tcPr>
          <w:p w14:paraId="59B90D95" w14:textId="77777777" w:rsidR="00196C06" w:rsidRPr="001F3DF2" w:rsidRDefault="00196C06" w:rsidP="006201FD">
            <w:pPr>
              <w:pageBreakBefore/>
              <w:spacing w:before="80" w:after="80" w:line="160" w:lineRule="exact"/>
              <w:ind w:right="45"/>
              <w:jc w:val="center"/>
              <w:rPr>
                <w:sz w:val="18"/>
                <w:szCs w:val="18"/>
                <w:lang w:val="fr-FR"/>
              </w:rPr>
            </w:pPr>
            <w:r w:rsidRPr="001F3DF2">
              <w:rPr>
                <w:sz w:val="18"/>
                <w:szCs w:val="18"/>
                <w:lang w:val="fr-FR"/>
              </w:rPr>
              <w:lastRenderedPageBreak/>
              <w:t>No du modèle d’étiquette</w:t>
            </w:r>
          </w:p>
        </w:tc>
        <w:tc>
          <w:tcPr>
            <w:tcW w:w="0" w:type="auto"/>
            <w:shd w:val="clear" w:color="auto" w:fill="auto"/>
            <w:vAlign w:val="center"/>
          </w:tcPr>
          <w:p w14:paraId="2B4AE59F" w14:textId="77777777" w:rsidR="00196C06" w:rsidRPr="001F3DF2" w:rsidRDefault="00196C06" w:rsidP="006201FD">
            <w:pPr>
              <w:spacing w:before="80" w:after="80" w:line="160" w:lineRule="exact"/>
              <w:ind w:right="43"/>
              <w:jc w:val="center"/>
              <w:textDirection w:val="tbLrV"/>
              <w:rPr>
                <w:sz w:val="18"/>
                <w:szCs w:val="18"/>
                <w:lang w:val="fr-FR"/>
              </w:rPr>
            </w:pPr>
            <w:r w:rsidRPr="00D03583">
              <w:rPr>
                <w:sz w:val="18"/>
                <w:szCs w:val="18"/>
                <w:lang w:val="fr-FR"/>
              </w:rPr>
              <w:t>Division ou Catégorie</w:t>
            </w:r>
          </w:p>
        </w:tc>
        <w:tc>
          <w:tcPr>
            <w:tcW w:w="0" w:type="auto"/>
            <w:shd w:val="clear" w:color="auto" w:fill="auto"/>
            <w:vAlign w:val="center"/>
          </w:tcPr>
          <w:p w14:paraId="7357CC17" w14:textId="77777777" w:rsidR="00196C06" w:rsidRPr="001F3DF2" w:rsidRDefault="00196C06" w:rsidP="006201FD">
            <w:pPr>
              <w:spacing w:before="80" w:after="80" w:line="160" w:lineRule="exact"/>
              <w:jc w:val="center"/>
              <w:rPr>
                <w:sz w:val="18"/>
                <w:szCs w:val="18"/>
                <w:lang w:val="fr-FR"/>
              </w:rPr>
            </w:pPr>
            <w:r w:rsidRPr="001F3DF2">
              <w:rPr>
                <w:sz w:val="18"/>
                <w:szCs w:val="18"/>
                <w:lang w:val="fr-FR"/>
              </w:rPr>
              <w:t>Signe conventionnel</w:t>
            </w:r>
            <w:r>
              <w:rPr>
                <w:sz w:val="18"/>
                <w:szCs w:val="18"/>
                <w:lang w:val="fr-FR"/>
              </w:rPr>
              <w:t xml:space="preserve"> et</w:t>
            </w:r>
            <w:r w:rsidRPr="001F3DF2">
              <w:rPr>
                <w:sz w:val="18"/>
                <w:szCs w:val="18"/>
                <w:lang w:val="fr-FR"/>
              </w:rPr>
              <w:t xml:space="preserve"> couleur</w:t>
            </w:r>
            <w:r>
              <w:rPr>
                <w:sz w:val="18"/>
                <w:szCs w:val="18"/>
                <w:lang w:val="fr-FR"/>
              </w:rPr>
              <w:t xml:space="preserve"> du signe</w:t>
            </w:r>
          </w:p>
        </w:tc>
        <w:tc>
          <w:tcPr>
            <w:tcW w:w="0" w:type="auto"/>
            <w:shd w:val="clear" w:color="auto" w:fill="auto"/>
            <w:vAlign w:val="center"/>
          </w:tcPr>
          <w:p w14:paraId="0A3D8B90" w14:textId="77777777" w:rsidR="00196C06" w:rsidRPr="001F3DF2" w:rsidRDefault="00196C06" w:rsidP="006201FD">
            <w:pPr>
              <w:spacing w:before="80" w:after="80" w:line="160" w:lineRule="exact"/>
              <w:ind w:right="43"/>
              <w:jc w:val="center"/>
              <w:rPr>
                <w:sz w:val="18"/>
                <w:szCs w:val="18"/>
                <w:lang w:val="fr-FR"/>
              </w:rPr>
            </w:pPr>
            <w:r w:rsidRPr="001F3DF2">
              <w:rPr>
                <w:sz w:val="18"/>
                <w:szCs w:val="18"/>
                <w:lang w:val="fr-FR"/>
              </w:rPr>
              <w:t>Fond</w:t>
            </w:r>
          </w:p>
        </w:tc>
        <w:tc>
          <w:tcPr>
            <w:tcW w:w="0" w:type="auto"/>
            <w:shd w:val="clear" w:color="auto" w:fill="auto"/>
            <w:vAlign w:val="center"/>
          </w:tcPr>
          <w:p w14:paraId="761FDADE" w14:textId="77777777" w:rsidR="00196C06" w:rsidRPr="001F3DF2" w:rsidRDefault="00196C06" w:rsidP="006201FD">
            <w:pPr>
              <w:spacing w:before="80" w:after="80" w:line="160" w:lineRule="exact"/>
              <w:ind w:right="43"/>
              <w:jc w:val="center"/>
              <w:rPr>
                <w:sz w:val="18"/>
                <w:szCs w:val="18"/>
                <w:lang w:val="fr-FR"/>
              </w:rPr>
            </w:pPr>
            <w:r w:rsidRPr="001F3DF2">
              <w:rPr>
                <w:sz w:val="18"/>
                <w:szCs w:val="18"/>
                <w:lang w:val="fr-FR"/>
              </w:rPr>
              <w:t>Chiffre figurant dans le coin inférieur (</w:t>
            </w:r>
            <w:r>
              <w:rPr>
                <w:sz w:val="18"/>
                <w:szCs w:val="18"/>
                <w:lang w:val="fr-FR"/>
              </w:rPr>
              <w:t xml:space="preserve">et </w:t>
            </w:r>
            <w:r w:rsidRPr="001F3DF2">
              <w:rPr>
                <w:sz w:val="18"/>
                <w:szCs w:val="18"/>
                <w:lang w:val="fr-FR"/>
              </w:rPr>
              <w:t>couleur du chiffre)</w:t>
            </w:r>
          </w:p>
        </w:tc>
        <w:tc>
          <w:tcPr>
            <w:tcW w:w="0" w:type="auto"/>
            <w:shd w:val="clear" w:color="auto" w:fill="auto"/>
            <w:vAlign w:val="center"/>
          </w:tcPr>
          <w:p w14:paraId="3F1C6265" w14:textId="77777777" w:rsidR="00196C06" w:rsidRPr="001F3DF2" w:rsidRDefault="00196C06" w:rsidP="006201FD">
            <w:pPr>
              <w:spacing w:before="80" w:after="80" w:line="160" w:lineRule="exact"/>
              <w:ind w:right="43"/>
              <w:jc w:val="center"/>
              <w:rPr>
                <w:sz w:val="18"/>
                <w:szCs w:val="18"/>
                <w:lang w:val="ru-RU" w:eastAsia="ru-RU"/>
              </w:rPr>
            </w:pPr>
            <w:r w:rsidRPr="001F3DF2">
              <w:rPr>
                <w:sz w:val="18"/>
                <w:szCs w:val="18"/>
                <w:lang w:val="fr-FR"/>
              </w:rPr>
              <w:t>Modèles d’étiquettes</w:t>
            </w:r>
          </w:p>
        </w:tc>
        <w:tc>
          <w:tcPr>
            <w:tcW w:w="0" w:type="auto"/>
            <w:shd w:val="clear" w:color="auto" w:fill="auto"/>
            <w:vAlign w:val="center"/>
          </w:tcPr>
          <w:p w14:paraId="3EF79E53" w14:textId="77777777" w:rsidR="00196C06" w:rsidRPr="001F3DF2" w:rsidRDefault="00196C06" w:rsidP="006201FD">
            <w:pPr>
              <w:spacing w:before="80" w:after="80" w:line="160" w:lineRule="exact"/>
              <w:ind w:right="43"/>
              <w:jc w:val="center"/>
              <w:rPr>
                <w:sz w:val="18"/>
                <w:szCs w:val="18"/>
                <w:lang w:val="fr-FR"/>
              </w:rPr>
            </w:pPr>
            <w:r w:rsidRPr="001F3DF2">
              <w:rPr>
                <w:sz w:val="18"/>
                <w:szCs w:val="18"/>
                <w:lang w:val="fr-FR"/>
              </w:rPr>
              <w:t>Nota</w:t>
            </w:r>
          </w:p>
        </w:tc>
      </w:tr>
      <w:tr w:rsidR="00196C06" w:rsidRPr="006D5651" w14:paraId="47B60158" w14:textId="77777777" w:rsidTr="006201FD">
        <w:trPr>
          <w:tblHeader/>
        </w:trPr>
        <w:tc>
          <w:tcPr>
            <w:tcW w:w="0" w:type="auto"/>
            <w:gridSpan w:val="7"/>
            <w:shd w:val="clear" w:color="auto" w:fill="auto"/>
          </w:tcPr>
          <w:p w14:paraId="546F2A48" w14:textId="77777777" w:rsidR="00196C06" w:rsidRPr="006D5651" w:rsidRDefault="00196C06" w:rsidP="006201FD">
            <w:pPr>
              <w:spacing w:before="40" w:after="80"/>
              <w:ind w:right="43"/>
              <w:jc w:val="center"/>
              <w:rPr>
                <w:b/>
                <w:sz w:val="18"/>
                <w:szCs w:val="18"/>
                <w:lang w:val="fr-FR"/>
              </w:rPr>
            </w:pPr>
            <w:r>
              <w:rPr>
                <w:b/>
                <w:sz w:val="18"/>
                <w:szCs w:val="18"/>
                <w:lang w:val="fr-FR"/>
              </w:rPr>
              <w:t>Classe 7:</w:t>
            </w:r>
            <w:r w:rsidRPr="006D5651">
              <w:rPr>
                <w:b/>
                <w:sz w:val="18"/>
                <w:szCs w:val="18"/>
                <w:lang w:val="fr-FR"/>
              </w:rPr>
              <w:t xml:space="preserve"> Matières radioactives</w:t>
            </w:r>
          </w:p>
        </w:tc>
      </w:tr>
      <w:tr w:rsidR="00196C06" w:rsidRPr="001B79A0" w14:paraId="7E62E3E9" w14:textId="77777777" w:rsidTr="006201FD">
        <w:tc>
          <w:tcPr>
            <w:tcW w:w="0" w:type="auto"/>
            <w:shd w:val="clear" w:color="auto" w:fill="auto"/>
          </w:tcPr>
          <w:p w14:paraId="2C5E6A1B" w14:textId="77777777" w:rsidR="00196C06" w:rsidRPr="001B5A4B" w:rsidRDefault="00196C06" w:rsidP="006201FD">
            <w:pPr>
              <w:spacing w:before="40" w:after="80"/>
              <w:ind w:right="43"/>
              <w:rPr>
                <w:sz w:val="18"/>
                <w:szCs w:val="18"/>
                <w:lang w:val="fr-FR"/>
              </w:rPr>
            </w:pPr>
            <w:r w:rsidRPr="001B5A4B">
              <w:rPr>
                <w:sz w:val="18"/>
                <w:szCs w:val="18"/>
                <w:lang w:val="fr-FR"/>
              </w:rPr>
              <w:t>7A</w:t>
            </w:r>
          </w:p>
        </w:tc>
        <w:tc>
          <w:tcPr>
            <w:tcW w:w="0" w:type="auto"/>
            <w:shd w:val="clear" w:color="auto" w:fill="auto"/>
          </w:tcPr>
          <w:p w14:paraId="3D195F2E" w14:textId="77777777" w:rsidR="00196C06" w:rsidRPr="001B5A4B" w:rsidRDefault="00196C06" w:rsidP="006201FD">
            <w:pPr>
              <w:spacing w:before="40" w:after="80"/>
              <w:ind w:right="43"/>
              <w:jc w:val="center"/>
              <w:rPr>
                <w:sz w:val="18"/>
                <w:szCs w:val="18"/>
                <w:lang w:val="fr-FR"/>
              </w:rPr>
            </w:pPr>
            <w:r w:rsidRPr="001B5A4B">
              <w:rPr>
                <w:sz w:val="18"/>
                <w:szCs w:val="18"/>
                <w:lang w:val="fr-FR"/>
              </w:rPr>
              <w:t xml:space="preserve">Catégorie I </w:t>
            </w:r>
          </w:p>
        </w:tc>
        <w:tc>
          <w:tcPr>
            <w:tcW w:w="0" w:type="auto"/>
            <w:shd w:val="clear" w:color="auto" w:fill="auto"/>
          </w:tcPr>
          <w:p w14:paraId="11654B98" w14:textId="77777777" w:rsidR="00196C06" w:rsidRPr="001B5A4B" w:rsidRDefault="00196C06" w:rsidP="006201FD">
            <w:pPr>
              <w:spacing w:before="40" w:after="80"/>
              <w:ind w:right="43"/>
              <w:jc w:val="center"/>
              <w:rPr>
                <w:sz w:val="18"/>
                <w:szCs w:val="18"/>
                <w:lang w:val="fr-FR"/>
              </w:rPr>
            </w:pPr>
            <w:r w:rsidRPr="001B5A4B">
              <w:rPr>
                <w:sz w:val="18"/>
                <w:szCs w:val="18"/>
                <w:lang w:val="fr-FR"/>
              </w:rPr>
              <w:t>Trèfle: noir</w:t>
            </w:r>
          </w:p>
        </w:tc>
        <w:tc>
          <w:tcPr>
            <w:tcW w:w="0" w:type="auto"/>
            <w:shd w:val="clear" w:color="auto" w:fill="auto"/>
          </w:tcPr>
          <w:p w14:paraId="7611BE90" w14:textId="77777777" w:rsidR="00196C06" w:rsidRPr="001B5A4B" w:rsidRDefault="00196C06" w:rsidP="006201FD">
            <w:pPr>
              <w:spacing w:before="40" w:after="80"/>
              <w:ind w:right="43"/>
              <w:jc w:val="center"/>
              <w:rPr>
                <w:sz w:val="18"/>
                <w:szCs w:val="18"/>
                <w:lang w:val="fr-FR"/>
              </w:rPr>
            </w:pPr>
            <w:r w:rsidRPr="001B5A4B">
              <w:rPr>
                <w:sz w:val="18"/>
                <w:szCs w:val="18"/>
                <w:lang w:val="fr-FR"/>
              </w:rPr>
              <w:t>Blanc</w:t>
            </w:r>
          </w:p>
        </w:tc>
        <w:tc>
          <w:tcPr>
            <w:tcW w:w="0" w:type="auto"/>
            <w:shd w:val="clear" w:color="auto" w:fill="auto"/>
          </w:tcPr>
          <w:p w14:paraId="21C88AEF" w14:textId="77777777" w:rsidR="00196C06" w:rsidRPr="001B5A4B" w:rsidRDefault="00196C06" w:rsidP="006201FD">
            <w:pPr>
              <w:spacing w:before="40" w:after="80"/>
              <w:ind w:right="43"/>
              <w:jc w:val="center"/>
              <w:rPr>
                <w:sz w:val="18"/>
                <w:szCs w:val="18"/>
                <w:lang w:val="fr-FR"/>
              </w:rPr>
            </w:pPr>
            <w:r w:rsidRPr="001B5A4B">
              <w:rPr>
                <w:sz w:val="18"/>
                <w:szCs w:val="18"/>
                <w:lang w:val="fr-FR"/>
              </w:rPr>
              <w:t>7</w:t>
            </w:r>
            <w:r>
              <w:rPr>
                <w:sz w:val="18"/>
                <w:szCs w:val="18"/>
                <w:lang w:val="fr-FR"/>
              </w:rPr>
              <w:t xml:space="preserve"> </w:t>
            </w:r>
            <w:r>
              <w:rPr>
                <w:sz w:val="18"/>
                <w:szCs w:val="18"/>
                <w:lang w:val="fr-FR"/>
              </w:rPr>
              <w:br/>
            </w:r>
            <w:r w:rsidRPr="001B5A4B">
              <w:rPr>
                <w:sz w:val="18"/>
                <w:szCs w:val="18"/>
                <w:lang w:val="fr-FR"/>
              </w:rPr>
              <w:t>(noir)</w:t>
            </w:r>
          </w:p>
        </w:tc>
        <w:tc>
          <w:tcPr>
            <w:tcW w:w="0" w:type="auto"/>
            <w:shd w:val="clear" w:color="auto" w:fill="auto"/>
            <w:vAlign w:val="center"/>
          </w:tcPr>
          <w:p w14:paraId="2586A69A" w14:textId="77777777" w:rsidR="00196C06" w:rsidRPr="001B5A4B" w:rsidRDefault="00196C06" w:rsidP="006201FD">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60539311" wp14:editId="013DD02A">
                  <wp:extent cx="828675" cy="828675"/>
                  <wp:effectExtent l="0" t="0" r="9525" b="9525"/>
                  <wp:docPr id="8" name="Picture 8"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dioactive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39B22921" w14:textId="77777777" w:rsidR="00196C06" w:rsidRPr="001B5A4B" w:rsidRDefault="00196C06" w:rsidP="006201FD">
            <w:pPr>
              <w:spacing w:before="40" w:after="80" w:line="238" w:lineRule="auto"/>
              <w:ind w:right="45"/>
              <w:rPr>
                <w:sz w:val="18"/>
                <w:szCs w:val="18"/>
                <w:lang w:val="fr-FR"/>
              </w:rPr>
            </w:pPr>
            <w:r w:rsidRPr="001B5A4B">
              <w:rPr>
                <w:sz w:val="18"/>
                <w:szCs w:val="18"/>
                <w:lang w:val="fr-FR"/>
              </w:rPr>
              <w:t>Texte (obligatoire)</w:t>
            </w:r>
            <w:r>
              <w:rPr>
                <w:sz w:val="18"/>
                <w:szCs w:val="18"/>
                <w:lang w:val="fr-FR"/>
              </w:rPr>
              <w:t>,</w:t>
            </w:r>
            <w:r w:rsidRPr="001B5A4B">
              <w:rPr>
                <w:sz w:val="18"/>
                <w:szCs w:val="18"/>
                <w:lang w:val="fr-FR"/>
              </w:rPr>
              <w:t xml:space="preserve"> en noir dans la moitié inférieure de l’étiquette:</w:t>
            </w:r>
            <w:r>
              <w:rPr>
                <w:sz w:val="18"/>
                <w:szCs w:val="18"/>
                <w:lang w:val="fr-FR"/>
              </w:rPr>
              <w:br/>
              <w:t>"</w:t>
            </w:r>
            <w:r w:rsidRPr="001B5A4B">
              <w:rPr>
                <w:sz w:val="18"/>
                <w:szCs w:val="18"/>
                <w:lang w:val="fr-FR"/>
              </w:rPr>
              <w:t>RADIOACTIVE</w:t>
            </w:r>
            <w:r>
              <w:rPr>
                <w:sz w:val="18"/>
                <w:szCs w:val="18"/>
                <w:lang w:val="fr-FR"/>
              </w:rPr>
              <w:t>"</w:t>
            </w:r>
            <w:r>
              <w:rPr>
                <w:sz w:val="18"/>
                <w:szCs w:val="18"/>
                <w:lang w:val="fr-FR"/>
              </w:rPr>
              <w:br/>
              <w:t>"</w:t>
            </w:r>
            <w:r w:rsidRPr="001B5A4B">
              <w:rPr>
                <w:sz w:val="18"/>
                <w:szCs w:val="18"/>
                <w:lang w:val="fr-FR"/>
              </w:rPr>
              <w:t>CONTENTS...</w:t>
            </w:r>
            <w:r>
              <w:rPr>
                <w:sz w:val="18"/>
                <w:szCs w:val="18"/>
                <w:lang w:val="fr-FR"/>
              </w:rPr>
              <w:t xml:space="preserve"> "</w:t>
            </w:r>
            <w:r>
              <w:rPr>
                <w:sz w:val="18"/>
                <w:szCs w:val="18"/>
                <w:lang w:val="fr-FR"/>
              </w:rPr>
              <w:br/>
              <w:t>"</w:t>
            </w:r>
            <w:r w:rsidRPr="001B5A4B">
              <w:rPr>
                <w:sz w:val="18"/>
                <w:szCs w:val="18"/>
                <w:lang w:val="fr-FR"/>
              </w:rPr>
              <w:t>ACTIVITY...</w:t>
            </w:r>
            <w:r>
              <w:rPr>
                <w:sz w:val="18"/>
                <w:szCs w:val="18"/>
                <w:lang w:val="fr-FR"/>
              </w:rPr>
              <w:t xml:space="preserve"> "</w:t>
            </w:r>
          </w:p>
          <w:p w14:paraId="02E09FE6" w14:textId="77777777" w:rsidR="00196C06" w:rsidRPr="001B5A4B" w:rsidRDefault="00196C06" w:rsidP="006201FD">
            <w:pPr>
              <w:spacing w:before="40" w:after="80" w:line="238" w:lineRule="auto"/>
              <w:ind w:right="45"/>
              <w:rPr>
                <w:sz w:val="18"/>
                <w:szCs w:val="18"/>
                <w:lang w:val="fr-FR"/>
              </w:rPr>
            </w:pPr>
            <w:r w:rsidRPr="001B5A4B">
              <w:rPr>
                <w:sz w:val="18"/>
                <w:szCs w:val="18"/>
                <w:lang w:val="fr-FR"/>
              </w:rPr>
              <w:t xml:space="preserve">Le mot </w:t>
            </w:r>
            <w:r>
              <w:rPr>
                <w:sz w:val="18"/>
                <w:szCs w:val="18"/>
                <w:lang w:val="fr-FR"/>
              </w:rPr>
              <w:t>"</w:t>
            </w:r>
            <w:r w:rsidRPr="001B5A4B">
              <w:rPr>
                <w:sz w:val="18"/>
                <w:szCs w:val="18"/>
                <w:lang w:val="fr-FR"/>
              </w:rPr>
              <w:t>RADIOACTIVE</w:t>
            </w:r>
            <w:r>
              <w:rPr>
                <w:sz w:val="18"/>
                <w:szCs w:val="18"/>
                <w:lang w:val="fr-FR"/>
              </w:rPr>
              <w:t>"</w:t>
            </w:r>
            <w:r w:rsidRPr="001B5A4B">
              <w:rPr>
                <w:sz w:val="18"/>
                <w:szCs w:val="18"/>
                <w:lang w:val="fr-FR"/>
              </w:rPr>
              <w:t xml:space="preserve"> doit être suivi d’une barre verticale rouge</w:t>
            </w:r>
            <w:r>
              <w:rPr>
                <w:sz w:val="18"/>
                <w:szCs w:val="18"/>
                <w:lang w:val="fr-FR"/>
              </w:rPr>
              <w:t>.</w:t>
            </w:r>
          </w:p>
        </w:tc>
      </w:tr>
      <w:tr w:rsidR="00196C06" w:rsidRPr="001B79A0" w14:paraId="69E8D504" w14:textId="77777777" w:rsidTr="006201FD">
        <w:tc>
          <w:tcPr>
            <w:tcW w:w="0" w:type="auto"/>
            <w:shd w:val="clear" w:color="auto" w:fill="auto"/>
          </w:tcPr>
          <w:p w14:paraId="32CE6C0A" w14:textId="77777777" w:rsidR="00196C06" w:rsidRPr="001B5A4B" w:rsidRDefault="00196C06" w:rsidP="006201FD">
            <w:pPr>
              <w:spacing w:before="40" w:after="80"/>
              <w:ind w:right="43"/>
              <w:rPr>
                <w:sz w:val="18"/>
                <w:szCs w:val="18"/>
                <w:lang w:val="fr-FR"/>
              </w:rPr>
            </w:pPr>
            <w:r w:rsidRPr="001B5A4B">
              <w:rPr>
                <w:sz w:val="18"/>
                <w:szCs w:val="18"/>
                <w:lang w:val="fr-FR"/>
              </w:rPr>
              <w:t>7B</w:t>
            </w:r>
          </w:p>
        </w:tc>
        <w:tc>
          <w:tcPr>
            <w:tcW w:w="0" w:type="auto"/>
            <w:shd w:val="clear" w:color="auto" w:fill="auto"/>
          </w:tcPr>
          <w:p w14:paraId="341398EB" w14:textId="77777777" w:rsidR="00196C06" w:rsidRPr="001B5A4B" w:rsidRDefault="00196C06" w:rsidP="006201FD">
            <w:pPr>
              <w:spacing w:before="40" w:after="80"/>
              <w:ind w:right="43"/>
              <w:jc w:val="center"/>
              <w:rPr>
                <w:sz w:val="18"/>
                <w:szCs w:val="18"/>
                <w:lang w:val="ru-RU" w:eastAsia="ru-RU"/>
              </w:rPr>
            </w:pPr>
            <w:r w:rsidRPr="001B5A4B">
              <w:rPr>
                <w:sz w:val="18"/>
                <w:szCs w:val="18"/>
                <w:lang w:val="fr-FR"/>
              </w:rPr>
              <w:t>Catégorie II</w:t>
            </w:r>
          </w:p>
        </w:tc>
        <w:tc>
          <w:tcPr>
            <w:tcW w:w="0" w:type="auto"/>
            <w:shd w:val="clear" w:color="auto" w:fill="auto"/>
          </w:tcPr>
          <w:p w14:paraId="6EDE4EAD" w14:textId="77777777" w:rsidR="00196C06" w:rsidRPr="001B5A4B" w:rsidRDefault="00196C06" w:rsidP="006201FD">
            <w:pPr>
              <w:spacing w:before="40" w:after="80"/>
              <w:ind w:right="43"/>
              <w:jc w:val="center"/>
              <w:rPr>
                <w:sz w:val="18"/>
                <w:szCs w:val="18"/>
                <w:lang w:val="fr-FR"/>
              </w:rPr>
            </w:pPr>
            <w:r w:rsidRPr="001B5A4B">
              <w:rPr>
                <w:sz w:val="18"/>
                <w:szCs w:val="18"/>
                <w:lang w:val="fr-FR"/>
              </w:rPr>
              <w:t>Trèfle: noir</w:t>
            </w:r>
          </w:p>
        </w:tc>
        <w:tc>
          <w:tcPr>
            <w:tcW w:w="0" w:type="auto"/>
            <w:shd w:val="clear" w:color="auto" w:fill="auto"/>
          </w:tcPr>
          <w:p w14:paraId="617D44D9" w14:textId="77777777" w:rsidR="00196C06" w:rsidRPr="001B5A4B" w:rsidRDefault="00196C06" w:rsidP="006201FD">
            <w:pPr>
              <w:spacing w:before="40" w:after="80"/>
              <w:ind w:right="43"/>
              <w:jc w:val="center"/>
              <w:rPr>
                <w:sz w:val="18"/>
                <w:szCs w:val="18"/>
                <w:lang w:val="uk-UA" w:eastAsia="ru-RU"/>
              </w:rPr>
            </w:pPr>
            <w:r w:rsidRPr="001B5A4B">
              <w:rPr>
                <w:sz w:val="18"/>
                <w:szCs w:val="18"/>
                <w:lang w:val="fr-FR"/>
              </w:rPr>
              <w:t>Jaune avec bordure blanche (moitié supérieure) et blanc (moitié inférieure)</w:t>
            </w:r>
          </w:p>
        </w:tc>
        <w:tc>
          <w:tcPr>
            <w:tcW w:w="0" w:type="auto"/>
            <w:shd w:val="clear" w:color="auto" w:fill="auto"/>
          </w:tcPr>
          <w:p w14:paraId="1DC7185E" w14:textId="77777777" w:rsidR="00196C06" w:rsidRPr="001B5A4B" w:rsidRDefault="00196C06" w:rsidP="006201FD">
            <w:pPr>
              <w:spacing w:before="40" w:after="80"/>
              <w:ind w:right="43"/>
              <w:jc w:val="center"/>
              <w:rPr>
                <w:sz w:val="18"/>
                <w:szCs w:val="18"/>
                <w:lang w:val="fr-FR"/>
              </w:rPr>
            </w:pPr>
            <w:r w:rsidRPr="001B5A4B">
              <w:rPr>
                <w:sz w:val="18"/>
                <w:szCs w:val="18"/>
                <w:lang w:val="fr-FR"/>
              </w:rPr>
              <w:t>7</w:t>
            </w:r>
            <w:r>
              <w:rPr>
                <w:sz w:val="18"/>
                <w:szCs w:val="18"/>
                <w:lang w:val="fr-FR"/>
              </w:rPr>
              <w:t xml:space="preserve"> </w:t>
            </w:r>
            <w:r>
              <w:rPr>
                <w:sz w:val="18"/>
                <w:szCs w:val="18"/>
                <w:lang w:val="fr-FR"/>
              </w:rPr>
              <w:br/>
            </w:r>
            <w:r w:rsidRPr="001B5A4B">
              <w:rPr>
                <w:sz w:val="18"/>
                <w:szCs w:val="18"/>
                <w:lang w:val="fr-FR"/>
              </w:rPr>
              <w:t>(noir)</w:t>
            </w:r>
          </w:p>
        </w:tc>
        <w:tc>
          <w:tcPr>
            <w:tcW w:w="0" w:type="auto"/>
            <w:shd w:val="clear" w:color="auto" w:fill="auto"/>
            <w:vAlign w:val="center"/>
          </w:tcPr>
          <w:p w14:paraId="79FE9853" w14:textId="77777777" w:rsidR="00196C06" w:rsidRPr="001B5A4B" w:rsidRDefault="00196C06" w:rsidP="006201FD">
            <w:pPr>
              <w:spacing w:before="40" w:after="80" w:line="240" w:lineRule="auto"/>
              <w:ind w:right="43"/>
              <w:jc w:val="center"/>
              <w:rPr>
                <w:sz w:val="18"/>
                <w:szCs w:val="18"/>
                <w:lang w:val="en-US" w:eastAsia="ru-RU"/>
              </w:rPr>
            </w:pPr>
            <w:r>
              <w:rPr>
                <w:rFonts w:eastAsia="SimSun"/>
                <w:noProof/>
                <w:lang w:val="en-GB" w:eastAsia="en-GB"/>
              </w:rPr>
              <w:drawing>
                <wp:inline distT="0" distB="0" distL="0" distR="0" wp14:anchorId="3B679EB2" wp14:editId="113FD86D">
                  <wp:extent cx="828675" cy="828675"/>
                  <wp:effectExtent l="0" t="0" r="9525" b="9525"/>
                  <wp:docPr id="7" name="Picture 7"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dioactive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3726A19D" w14:textId="77777777" w:rsidR="00196C06" w:rsidRPr="001B5A4B" w:rsidRDefault="00196C06" w:rsidP="006201FD">
            <w:pPr>
              <w:spacing w:before="40" w:after="80" w:line="238" w:lineRule="auto"/>
              <w:ind w:right="45"/>
              <w:rPr>
                <w:sz w:val="18"/>
                <w:szCs w:val="18"/>
                <w:lang w:val="fr-FR"/>
              </w:rPr>
            </w:pPr>
            <w:r w:rsidRPr="001B5A4B">
              <w:rPr>
                <w:sz w:val="18"/>
                <w:szCs w:val="18"/>
                <w:lang w:val="fr-FR"/>
              </w:rPr>
              <w:t>Texte (obligatoire)</w:t>
            </w:r>
            <w:r>
              <w:rPr>
                <w:sz w:val="18"/>
                <w:szCs w:val="18"/>
                <w:lang w:val="fr-FR"/>
              </w:rPr>
              <w:t>,</w:t>
            </w:r>
            <w:r w:rsidRPr="001B5A4B">
              <w:rPr>
                <w:sz w:val="18"/>
                <w:szCs w:val="18"/>
                <w:lang w:val="fr-FR"/>
              </w:rPr>
              <w:t xml:space="preserve"> en noir dans la moitié inférieure de l’étiquette:</w:t>
            </w:r>
            <w:r>
              <w:rPr>
                <w:sz w:val="18"/>
                <w:szCs w:val="18"/>
                <w:lang w:val="fr-FR"/>
              </w:rPr>
              <w:br/>
              <w:t>"</w:t>
            </w:r>
            <w:r w:rsidRPr="001B5A4B">
              <w:rPr>
                <w:sz w:val="18"/>
                <w:szCs w:val="18"/>
                <w:lang w:val="fr-FR"/>
              </w:rPr>
              <w:t>RADIOACTIVE</w:t>
            </w:r>
            <w:r>
              <w:rPr>
                <w:sz w:val="18"/>
                <w:szCs w:val="18"/>
                <w:lang w:val="fr-FR"/>
              </w:rPr>
              <w:t>"</w:t>
            </w:r>
            <w:r>
              <w:rPr>
                <w:sz w:val="18"/>
                <w:szCs w:val="18"/>
                <w:lang w:val="fr-FR"/>
              </w:rPr>
              <w:br/>
              <w:t>"</w:t>
            </w:r>
            <w:r w:rsidRPr="001B5A4B">
              <w:rPr>
                <w:sz w:val="18"/>
                <w:szCs w:val="18"/>
                <w:lang w:val="fr-FR"/>
              </w:rPr>
              <w:t>CONTENTS...</w:t>
            </w:r>
            <w:r>
              <w:rPr>
                <w:sz w:val="18"/>
                <w:szCs w:val="18"/>
                <w:lang w:val="fr-FR"/>
              </w:rPr>
              <w:t xml:space="preserve"> "</w:t>
            </w:r>
            <w:r>
              <w:rPr>
                <w:sz w:val="18"/>
                <w:szCs w:val="18"/>
                <w:lang w:val="fr-FR"/>
              </w:rPr>
              <w:br/>
              <w:t>"</w:t>
            </w:r>
            <w:r w:rsidRPr="001B5A4B">
              <w:rPr>
                <w:sz w:val="18"/>
                <w:szCs w:val="18"/>
                <w:lang w:val="fr-FR"/>
              </w:rPr>
              <w:t>ACTIVITY...</w:t>
            </w:r>
            <w:r>
              <w:rPr>
                <w:sz w:val="18"/>
                <w:szCs w:val="18"/>
                <w:lang w:val="fr-FR"/>
              </w:rPr>
              <w:t xml:space="preserve"> "</w:t>
            </w:r>
          </w:p>
          <w:p w14:paraId="6012C871" w14:textId="77777777" w:rsidR="00196C06" w:rsidRPr="001B5A4B" w:rsidRDefault="00196C06" w:rsidP="006201FD">
            <w:pPr>
              <w:spacing w:before="40" w:after="80" w:line="238" w:lineRule="auto"/>
              <w:ind w:right="45"/>
              <w:rPr>
                <w:sz w:val="18"/>
                <w:szCs w:val="18"/>
                <w:lang w:val="fr-FR"/>
              </w:rPr>
            </w:pPr>
            <w:r w:rsidRPr="001B5A4B">
              <w:rPr>
                <w:sz w:val="18"/>
                <w:szCs w:val="18"/>
                <w:lang w:val="fr-FR"/>
              </w:rPr>
              <w:t xml:space="preserve">Dans un encadré à bord noir: </w:t>
            </w:r>
            <w:r>
              <w:rPr>
                <w:sz w:val="18"/>
                <w:szCs w:val="18"/>
                <w:lang w:val="fr-FR"/>
              </w:rPr>
              <w:t>"</w:t>
            </w:r>
            <w:r w:rsidRPr="001B5A4B">
              <w:rPr>
                <w:sz w:val="18"/>
                <w:szCs w:val="18"/>
                <w:lang w:val="fr-FR"/>
              </w:rPr>
              <w:t>TRANSPORT INDEX</w:t>
            </w:r>
            <w:r>
              <w:rPr>
                <w:sz w:val="18"/>
                <w:szCs w:val="18"/>
                <w:lang w:val="fr-FR"/>
              </w:rPr>
              <w:t>".</w:t>
            </w:r>
          </w:p>
          <w:p w14:paraId="4BA09109" w14:textId="77777777" w:rsidR="00196C06" w:rsidRPr="001B5A4B" w:rsidRDefault="00196C06" w:rsidP="006201FD">
            <w:pPr>
              <w:spacing w:before="40" w:after="80" w:line="238" w:lineRule="auto"/>
              <w:ind w:right="45"/>
              <w:rPr>
                <w:sz w:val="18"/>
                <w:szCs w:val="18"/>
                <w:lang w:val="fr-FR"/>
              </w:rPr>
            </w:pPr>
            <w:r w:rsidRPr="001B5A4B">
              <w:rPr>
                <w:sz w:val="18"/>
                <w:szCs w:val="18"/>
                <w:lang w:val="fr-FR"/>
              </w:rPr>
              <w:t xml:space="preserve">Le mot </w:t>
            </w:r>
            <w:r>
              <w:rPr>
                <w:sz w:val="18"/>
                <w:szCs w:val="18"/>
                <w:lang w:val="fr-FR"/>
              </w:rPr>
              <w:t>"</w:t>
            </w:r>
            <w:r w:rsidRPr="001B5A4B">
              <w:rPr>
                <w:sz w:val="18"/>
                <w:szCs w:val="18"/>
                <w:lang w:val="fr-FR"/>
              </w:rPr>
              <w:t>RADIOACTIVE</w:t>
            </w:r>
            <w:r>
              <w:rPr>
                <w:sz w:val="18"/>
                <w:szCs w:val="18"/>
                <w:lang w:val="fr-FR"/>
              </w:rPr>
              <w:t>"</w:t>
            </w:r>
            <w:r w:rsidRPr="001B5A4B">
              <w:rPr>
                <w:sz w:val="18"/>
                <w:szCs w:val="18"/>
                <w:lang w:val="fr-FR"/>
              </w:rPr>
              <w:t xml:space="preserve"> doit être suivi de deux barres verticales rouges</w:t>
            </w:r>
            <w:r>
              <w:rPr>
                <w:sz w:val="18"/>
                <w:szCs w:val="18"/>
                <w:lang w:val="fr-FR"/>
              </w:rPr>
              <w:t>.</w:t>
            </w:r>
          </w:p>
        </w:tc>
      </w:tr>
      <w:tr w:rsidR="00196C06" w:rsidRPr="001B79A0" w14:paraId="4BAC749F" w14:textId="77777777" w:rsidTr="006201FD">
        <w:tc>
          <w:tcPr>
            <w:tcW w:w="0" w:type="auto"/>
            <w:shd w:val="clear" w:color="auto" w:fill="auto"/>
          </w:tcPr>
          <w:p w14:paraId="2440F6FC" w14:textId="77777777" w:rsidR="00196C06" w:rsidRPr="001B5A4B" w:rsidRDefault="00196C06" w:rsidP="006201FD">
            <w:pPr>
              <w:spacing w:before="40" w:after="80"/>
              <w:ind w:right="43"/>
              <w:rPr>
                <w:sz w:val="18"/>
                <w:szCs w:val="18"/>
                <w:lang w:val="fr-FR"/>
              </w:rPr>
            </w:pPr>
            <w:r w:rsidRPr="001B5A4B">
              <w:rPr>
                <w:sz w:val="18"/>
                <w:szCs w:val="18"/>
                <w:lang w:val="fr-FR"/>
              </w:rPr>
              <w:t>7C</w:t>
            </w:r>
          </w:p>
        </w:tc>
        <w:tc>
          <w:tcPr>
            <w:tcW w:w="0" w:type="auto"/>
            <w:shd w:val="clear" w:color="auto" w:fill="auto"/>
          </w:tcPr>
          <w:p w14:paraId="6B4FF70A" w14:textId="77777777" w:rsidR="00196C06" w:rsidRPr="001B5A4B" w:rsidRDefault="00196C06" w:rsidP="006201FD">
            <w:pPr>
              <w:spacing w:before="40" w:after="80"/>
              <w:ind w:right="43"/>
              <w:jc w:val="center"/>
              <w:rPr>
                <w:sz w:val="18"/>
                <w:szCs w:val="18"/>
                <w:lang w:val="en-US" w:eastAsia="ru-RU"/>
              </w:rPr>
            </w:pPr>
            <w:r>
              <w:rPr>
                <w:sz w:val="18"/>
                <w:szCs w:val="18"/>
                <w:lang w:val="fr-FR"/>
              </w:rPr>
              <w:t>Catégorie III</w:t>
            </w:r>
          </w:p>
        </w:tc>
        <w:tc>
          <w:tcPr>
            <w:tcW w:w="0" w:type="auto"/>
            <w:shd w:val="clear" w:color="auto" w:fill="auto"/>
          </w:tcPr>
          <w:p w14:paraId="75C51E22" w14:textId="77777777" w:rsidR="00196C06" w:rsidRPr="001B5A4B" w:rsidRDefault="00196C06" w:rsidP="006201FD">
            <w:pPr>
              <w:spacing w:before="40" w:after="80"/>
              <w:ind w:right="43"/>
              <w:jc w:val="center"/>
              <w:rPr>
                <w:sz w:val="18"/>
                <w:szCs w:val="18"/>
                <w:lang w:val="fr-FR"/>
              </w:rPr>
            </w:pPr>
            <w:r w:rsidRPr="001B5A4B">
              <w:rPr>
                <w:sz w:val="18"/>
                <w:szCs w:val="18"/>
                <w:lang w:val="fr-FR"/>
              </w:rPr>
              <w:t>Trèfle</w:t>
            </w:r>
            <w:r>
              <w:rPr>
                <w:sz w:val="18"/>
                <w:szCs w:val="18"/>
                <w:lang w:val="fr-FR"/>
              </w:rPr>
              <w:t>:</w:t>
            </w:r>
            <w:r w:rsidRPr="001B5A4B">
              <w:rPr>
                <w:sz w:val="18"/>
                <w:szCs w:val="18"/>
                <w:lang w:val="fr-FR"/>
              </w:rPr>
              <w:t xml:space="preserve"> noir</w:t>
            </w:r>
          </w:p>
        </w:tc>
        <w:tc>
          <w:tcPr>
            <w:tcW w:w="0" w:type="auto"/>
            <w:shd w:val="clear" w:color="auto" w:fill="auto"/>
          </w:tcPr>
          <w:p w14:paraId="262206F3" w14:textId="77777777" w:rsidR="00196C06" w:rsidRPr="001B5A4B" w:rsidRDefault="00196C06" w:rsidP="006201FD">
            <w:pPr>
              <w:spacing w:before="40" w:after="80"/>
              <w:ind w:right="43"/>
              <w:jc w:val="center"/>
              <w:rPr>
                <w:sz w:val="18"/>
                <w:szCs w:val="18"/>
                <w:lang w:val="uk-UA" w:eastAsia="ru-RU"/>
              </w:rPr>
            </w:pPr>
            <w:r w:rsidRPr="001B5A4B">
              <w:rPr>
                <w:sz w:val="18"/>
                <w:szCs w:val="18"/>
                <w:lang w:val="fr-FR"/>
              </w:rPr>
              <w:t>Jaune avec bordure blanche (moitié supérieure) et blanc (moitié inférieure)</w:t>
            </w:r>
          </w:p>
        </w:tc>
        <w:tc>
          <w:tcPr>
            <w:tcW w:w="0" w:type="auto"/>
            <w:shd w:val="clear" w:color="auto" w:fill="auto"/>
          </w:tcPr>
          <w:p w14:paraId="027150DA" w14:textId="77777777" w:rsidR="00196C06" w:rsidRPr="001B5A4B" w:rsidRDefault="00196C06" w:rsidP="006201FD">
            <w:pPr>
              <w:spacing w:before="40" w:after="80"/>
              <w:ind w:right="43"/>
              <w:jc w:val="center"/>
              <w:rPr>
                <w:sz w:val="18"/>
                <w:szCs w:val="18"/>
                <w:lang w:val="fr-FR"/>
              </w:rPr>
            </w:pPr>
            <w:r w:rsidRPr="001B5A4B">
              <w:rPr>
                <w:sz w:val="18"/>
                <w:szCs w:val="18"/>
                <w:lang w:val="fr-FR"/>
              </w:rPr>
              <w:t>7</w:t>
            </w:r>
            <w:r>
              <w:rPr>
                <w:sz w:val="18"/>
                <w:szCs w:val="18"/>
                <w:lang w:val="fr-FR"/>
              </w:rPr>
              <w:t xml:space="preserve"> </w:t>
            </w:r>
            <w:r>
              <w:rPr>
                <w:sz w:val="18"/>
                <w:szCs w:val="18"/>
                <w:lang w:val="fr-FR"/>
              </w:rPr>
              <w:br/>
            </w:r>
            <w:r w:rsidRPr="001B5A4B">
              <w:rPr>
                <w:sz w:val="18"/>
                <w:szCs w:val="18"/>
                <w:lang w:val="fr-FR"/>
              </w:rPr>
              <w:t>(noir)</w:t>
            </w:r>
          </w:p>
        </w:tc>
        <w:tc>
          <w:tcPr>
            <w:tcW w:w="0" w:type="auto"/>
            <w:shd w:val="clear" w:color="auto" w:fill="auto"/>
            <w:vAlign w:val="center"/>
          </w:tcPr>
          <w:p w14:paraId="503773FE" w14:textId="77777777" w:rsidR="00196C06" w:rsidRPr="001B5A4B" w:rsidRDefault="00196C06" w:rsidP="006201FD">
            <w:pPr>
              <w:spacing w:before="40" w:after="80" w:line="240" w:lineRule="auto"/>
              <w:ind w:right="43"/>
              <w:jc w:val="center"/>
              <w:rPr>
                <w:sz w:val="18"/>
                <w:szCs w:val="18"/>
                <w:lang w:val="en-US" w:eastAsia="ru-RU"/>
              </w:rPr>
            </w:pPr>
            <w:r>
              <w:rPr>
                <w:rFonts w:eastAsia="SimSun"/>
                <w:noProof/>
                <w:lang w:val="en-GB" w:eastAsia="en-GB"/>
              </w:rPr>
              <w:drawing>
                <wp:inline distT="0" distB="0" distL="0" distR="0" wp14:anchorId="595E90A8" wp14:editId="1BE06CAD">
                  <wp:extent cx="828675" cy="828675"/>
                  <wp:effectExtent l="0" t="0" r="9525" b="9525"/>
                  <wp:docPr id="12" name="Picture 6"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dioactive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7A69A4F9" w14:textId="77777777" w:rsidR="00196C06" w:rsidRPr="001B5A4B" w:rsidRDefault="00196C06" w:rsidP="006201FD">
            <w:pPr>
              <w:spacing w:before="40" w:after="80" w:line="238" w:lineRule="auto"/>
              <w:ind w:right="45"/>
              <w:rPr>
                <w:sz w:val="18"/>
                <w:szCs w:val="18"/>
                <w:lang w:val="fr-FR"/>
              </w:rPr>
            </w:pPr>
            <w:r w:rsidRPr="001B5A4B">
              <w:rPr>
                <w:sz w:val="18"/>
                <w:szCs w:val="18"/>
                <w:lang w:val="fr-FR"/>
              </w:rPr>
              <w:t>Texte (obligatoire)</w:t>
            </w:r>
            <w:r>
              <w:rPr>
                <w:sz w:val="18"/>
                <w:szCs w:val="18"/>
                <w:lang w:val="fr-FR"/>
              </w:rPr>
              <w:t>,</w:t>
            </w:r>
            <w:r w:rsidRPr="001B5A4B">
              <w:rPr>
                <w:sz w:val="18"/>
                <w:szCs w:val="18"/>
                <w:lang w:val="fr-FR"/>
              </w:rPr>
              <w:t xml:space="preserve"> en noir dans la moitié inférieure de l’étiquette:</w:t>
            </w:r>
            <w:r>
              <w:rPr>
                <w:sz w:val="18"/>
                <w:szCs w:val="18"/>
                <w:lang w:val="fr-FR"/>
              </w:rPr>
              <w:br/>
              <w:t>"</w:t>
            </w:r>
            <w:r w:rsidRPr="001B5A4B">
              <w:rPr>
                <w:sz w:val="18"/>
                <w:szCs w:val="18"/>
                <w:lang w:val="fr-FR"/>
              </w:rPr>
              <w:t>RADIOACTIVE</w:t>
            </w:r>
            <w:r>
              <w:rPr>
                <w:sz w:val="18"/>
                <w:szCs w:val="18"/>
                <w:lang w:val="fr-FR"/>
              </w:rPr>
              <w:t>"</w:t>
            </w:r>
            <w:r>
              <w:rPr>
                <w:sz w:val="18"/>
                <w:szCs w:val="18"/>
                <w:lang w:val="fr-FR"/>
              </w:rPr>
              <w:br/>
              <w:t>"</w:t>
            </w:r>
            <w:r w:rsidRPr="001B5A4B">
              <w:rPr>
                <w:sz w:val="18"/>
                <w:szCs w:val="18"/>
                <w:lang w:val="fr-FR"/>
              </w:rPr>
              <w:t>CONTENTS...</w:t>
            </w:r>
            <w:r>
              <w:rPr>
                <w:sz w:val="18"/>
                <w:szCs w:val="18"/>
                <w:lang w:val="fr-FR"/>
              </w:rPr>
              <w:t xml:space="preserve"> "</w:t>
            </w:r>
            <w:r>
              <w:rPr>
                <w:sz w:val="18"/>
                <w:szCs w:val="18"/>
                <w:lang w:val="fr-FR"/>
              </w:rPr>
              <w:br/>
              <w:t>"</w:t>
            </w:r>
            <w:r w:rsidRPr="001B5A4B">
              <w:rPr>
                <w:sz w:val="18"/>
                <w:szCs w:val="18"/>
                <w:lang w:val="fr-FR"/>
              </w:rPr>
              <w:t>ACTIVITY...</w:t>
            </w:r>
            <w:r>
              <w:rPr>
                <w:sz w:val="18"/>
                <w:szCs w:val="18"/>
                <w:lang w:val="fr-FR"/>
              </w:rPr>
              <w:t xml:space="preserve"> "</w:t>
            </w:r>
          </w:p>
          <w:p w14:paraId="41EAE329" w14:textId="77777777" w:rsidR="00196C06" w:rsidRPr="001B5A4B" w:rsidRDefault="00196C06" w:rsidP="006201FD">
            <w:pPr>
              <w:spacing w:before="40" w:after="80" w:line="238" w:lineRule="auto"/>
              <w:ind w:right="45"/>
              <w:rPr>
                <w:sz w:val="18"/>
                <w:szCs w:val="18"/>
                <w:lang w:val="fr-FR"/>
              </w:rPr>
            </w:pPr>
            <w:r w:rsidRPr="001B5A4B">
              <w:rPr>
                <w:sz w:val="18"/>
                <w:szCs w:val="18"/>
                <w:lang w:val="fr-FR"/>
              </w:rPr>
              <w:t xml:space="preserve">Dans un encadré à bord noir: </w:t>
            </w:r>
            <w:r>
              <w:rPr>
                <w:sz w:val="18"/>
                <w:szCs w:val="18"/>
                <w:lang w:val="fr-FR"/>
              </w:rPr>
              <w:br/>
              <w:t>"</w:t>
            </w:r>
            <w:r w:rsidRPr="001B5A4B">
              <w:rPr>
                <w:sz w:val="18"/>
                <w:szCs w:val="18"/>
                <w:lang w:val="fr-FR"/>
              </w:rPr>
              <w:t>TRANSPORT INDEX</w:t>
            </w:r>
            <w:r>
              <w:rPr>
                <w:sz w:val="18"/>
                <w:szCs w:val="18"/>
                <w:lang w:val="fr-FR"/>
              </w:rPr>
              <w:t>".</w:t>
            </w:r>
          </w:p>
          <w:p w14:paraId="6B197BBA" w14:textId="77777777" w:rsidR="00196C06" w:rsidRPr="001B5A4B" w:rsidRDefault="00196C06" w:rsidP="006201FD">
            <w:pPr>
              <w:spacing w:before="40" w:after="80" w:line="238" w:lineRule="auto"/>
              <w:ind w:right="45"/>
              <w:rPr>
                <w:sz w:val="18"/>
                <w:szCs w:val="18"/>
                <w:lang w:val="fr-FR"/>
              </w:rPr>
            </w:pPr>
            <w:r w:rsidRPr="001B5A4B">
              <w:rPr>
                <w:sz w:val="18"/>
                <w:szCs w:val="18"/>
                <w:lang w:val="fr-FR"/>
              </w:rPr>
              <w:t xml:space="preserve">Le mot </w:t>
            </w:r>
            <w:r>
              <w:rPr>
                <w:sz w:val="18"/>
                <w:szCs w:val="18"/>
                <w:lang w:val="fr-FR"/>
              </w:rPr>
              <w:t>"</w:t>
            </w:r>
            <w:r w:rsidRPr="001B5A4B">
              <w:rPr>
                <w:sz w:val="18"/>
                <w:szCs w:val="18"/>
                <w:lang w:val="fr-FR"/>
              </w:rPr>
              <w:t>RADIOACTIVE</w:t>
            </w:r>
            <w:r>
              <w:rPr>
                <w:sz w:val="18"/>
                <w:szCs w:val="18"/>
                <w:lang w:val="fr-FR"/>
              </w:rPr>
              <w:t>"</w:t>
            </w:r>
            <w:r w:rsidRPr="001B5A4B">
              <w:rPr>
                <w:sz w:val="18"/>
                <w:szCs w:val="18"/>
                <w:lang w:val="fr-FR"/>
              </w:rPr>
              <w:t xml:space="preserve"> doit être suivi de trois barres verticales rouges</w:t>
            </w:r>
            <w:r>
              <w:rPr>
                <w:sz w:val="18"/>
                <w:szCs w:val="18"/>
                <w:lang w:val="fr-FR"/>
              </w:rPr>
              <w:t>.</w:t>
            </w:r>
          </w:p>
        </w:tc>
      </w:tr>
    </w:tbl>
    <w:p w14:paraId="3202E0E3" w14:textId="77777777" w:rsidR="00196C06" w:rsidRDefault="00196C06" w:rsidP="00196C06">
      <w:pPr>
        <w:spacing w:line="240" w:lineRule="auto"/>
      </w:pPr>
    </w:p>
    <w:p w14:paraId="337A383C" w14:textId="77777777" w:rsidR="00196C06" w:rsidRDefault="00196C06" w:rsidP="00196C06">
      <w:pPr>
        <w:spacing w:line="240" w:lineRule="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082"/>
        <w:gridCol w:w="3369"/>
        <w:gridCol w:w="2402"/>
        <w:gridCol w:w="1118"/>
        <w:gridCol w:w="1605"/>
        <w:gridCol w:w="2230"/>
      </w:tblGrid>
      <w:tr w:rsidR="00196C06" w:rsidRPr="001F3DF2" w14:paraId="467D77BF" w14:textId="77777777" w:rsidTr="006201F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C327B" w14:textId="77777777" w:rsidR="00196C06" w:rsidRPr="001F3DF2" w:rsidRDefault="00196C06" w:rsidP="006201FD">
            <w:pPr>
              <w:spacing w:before="80" w:after="80" w:line="160" w:lineRule="exact"/>
              <w:ind w:right="43"/>
              <w:jc w:val="center"/>
              <w:rPr>
                <w:sz w:val="18"/>
                <w:szCs w:val="18"/>
                <w:lang w:val="fr-FR"/>
              </w:rPr>
            </w:pPr>
            <w:r w:rsidRPr="001F3DF2">
              <w:rPr>
                <w:sz w:val="18"/>
                <w:szCs w:val="18"/>
                <w:lang w:val="fr-FR"/>
              </w:rPr>
              <w:lastRenderedPageBreak/>
              <w:t>No du modèle d’étiquette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98CFA" w14:textId="77777777" w:rsidR="00196C06" w:rsidRPr="001F3DF2" w:rsidRDefault="00196C06" w:rsidP="006201FD">
            <w:pPr>
              <w:spacing w:before="80" w:after="80" w:line="160" w:lineRule="exact"/>
              <w:ind w:right="43"/>
              <w:jc w:val="center"/>
              <w:textDirection w:val="tbLrV"/>
              <w:rPr>
                <w:sz w:val="18"/>
                <w:szCs w:val="18"/>
                <w:lang w:val="fr-FR"/>
              </w:rPr>
            </w:pPr>
            <w:r w:rsidRPr="00D03583">
              <w:rPr>
                <w:sz w:val="18"/>
                <w:szCs w:val="18"/>
                <w:lang w:val="fr-FR"/>
              </w:rPr>
              <w:t>Division ou Catégorie</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4F6202B3" w14:textId="77777777" w:rsidR="00196C06" w:rsidRPr="001F3DF2" w:rsidRDefault="00196C06" w:rsidP="006201FD">
            <w:pPr>
              <w:spacing w:before="80" w:after="80" w:line="160" w:lineRule="exact"/>
              <w:jc w:val="center"/>
              <w:rPr>
                <w:sz w:val="18"/>
                <w:szCs w:val="18"/>
                <w:lang w:val="fr-FR"/>
              </w:rPr>
            </w:pPr>
            <w:r w:rsidRPr="001F3DF2">
              <w:rPr>
                <w:sz w:val="18"/>
                <w:szCs w:val="18"/>
                <w:lang w:val="fr-FR"/>
              </w:rPr>
              <w:t>Signe conventionnel</w:t>
            </w:r>
            <w:r>
              <w:rPr>
                <w:sz w:val="18"/>
                <w:szCs w:val="18"/>
                <w:lang w:val="fr-FR"/>
              </w:rPr>
              <w:t xml:space="preserve"> et</w:t>
            </w:r>
            <w:r w:rsidRPr="001F3DF2">
              <w:rPr>
                <w:sz w:val="18"/>
                <w:szCs w:val="18"/>
                <w:lang w:val="fr-FR"/>
              </w:rPr>
              <w:t xml:space="preserve"> couleur</w:t>
            </w:r>
            <w:r>
              <w:rPr>
                <w:sz w:val="18"/>
                <w:szCs w:val="18"/>
                <w:lang w:val="fr-FR"/>
              </w:rPr>
              <w:t xml:space="preserve"> du signe</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7E0E697C" w14:textId="77777777" w:rsidR="00196C06" w:rsidRPr="001F3DF2" w:rsidRDefault="00196C06" w:rsidP="006201FD">
            <w:pPr>
              <w:spacing w:before="80" w:after="80" w:line="160" w:lineRule="exact"/>
              <w:ind w:right="43"/>
              <w:jc w:val="center"/>
              <w:rPr>
                <w:sz w:val="18"/>
                <w:szCs w:val="18"/>
                <w:lang w:val="fr-FR"/>
              </w:rPr>
            </w:pPr>
            <w:r w:rsidRPr="001F3DF2">
              <w:rPr>
                <w:sz w:val="18"/>
                <w:szCs w:val="18"/>
                <w:lang w:val="fr-FR"/>
              </w:rPr>
              <w:t>Fond</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9F1BFCC" w14:textId="77777777" w:rsidR="00196C06" w:rsidRPr="001F3DF2" w:rsidRDefault="00196C06" w:rsidP="006201FD">
            <w:pPr>
              <w:spacing w:before="80" w:after="80" w:line="160" w:lineRule="exact"/>
              <w:ind w:right="43"/>
              <w:jc w:val="center"/>
              <w:rPr>
                <w:sz w:val="18"/>
                <w:szCs w:val="18"/>
                <w:lang w:val="fr-FR"/>
              </w:rPr>
            </w:pPr>
            <w:r w:rsidRPr="001F3DF2">
              <w:rPr>
                <w:sz w:val="18"/>
                <w:szCs w:val="18"/>
                <w:lang w:val="fr-FR"/>
              </w:rPr>
              <w:t>Chiffre figurant dans le coin inférieur (</w:t>
            </w:r>
            <w:r>
              <w:rPr>
                <w:sz w:val="18"/>
                <w:szCs w:val="18"/>
                <w:lang w:val="fr-FR"/>
              </w:rPr>
              <w:t xml:space="preserve">et </w:t>
            </w:r>
            <w:r w:rsidRPr="001F3DF2">
              <w:rPr>
                <w:sz w:val="18"/>
                <w:szCs w:val="18"/>
                <w:lang w:val="fr-FR"/>
              </w:rPr>
              <w:t>couleur du chiffre)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7B16E" w14:textId="77777777" w:rsidR="00196C06" w:rsidRPr="001F3DF2" w:rsidRDefault="00196C06" w:rsidP="006201FD">
            <w:pPr>
              <w:spacing w:before="80" w:after="80" w:line="160" w:lineRule="exact"/>
              <w:ind w:right="43"/>
              <w:jc w:val="center"/>
              <w:rPr>
                <w:sz w:val="18"/>
                <w:szCs w:val="18"/>
                <w:lang w:val="ru-RU" w:eastAsia="ru-RU"/>
              </w:rPr>
            </w:pPr>
            <w:r w:rsidRPr="001F3DF2">
              <w:rPr>
                <w:sz w:val="18"/>
                <w:szCs w:val="18"/>
                <w:lang w:val="fr-FR"/>
              </w:rPr>
              <w:t>Modèles d’étiquettes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E84E8" w14:textId="77777777" w:rsidR="00196C06" w:rsidRPr="001F3DF2" w:rsidRDefault="00196C06" w:rsidP="006201FD">
            <w:pPr>
              <w:spacing w:before="80" w:after="80" w:line="160" w:lineRule="exact"/>
              <w:ind w:right="43"/>
              <w:jc w:val="center"/>
              <w:rPr>
                <w:sz w:val="18"/>
                <w:szCs w:val="18"/>
                <w:lang w:val="fr-FR"/>
              </w:rPr>
            </w:pPr>
            <w:r w:rsidRPr="001F3DF2">
              <w:rPr>
                <w:sz w:val="18"/>
                <w:szCs w:val="18"/>
                <w:lang w:val="fr-FR"/>
              </w:rPr>
              <w:t>Note</w:t>
            </w:r>
          </w:p>
        </w:tc>
      </w:tr>
      <w:tr w:rsidR="00196C06" w:rsidRPr="006D5651" w14:paraId="629C90B3" w14:textId="77777777" w:rsidTr="006201FD">
        <w:trPr>
          <w:tblHeader/>
        </w:trPr>
        <w:tc>
          <w:tcPr>
            <w:tcW w:w="0" w:type="auto"/>
            <w:gridSpan w:val="7"/>
            <w:shd w:val="clear" w:color="auto" w:fill="auto"/>
          </w:tcPr>
          <w:p w14:paraId="5667AE75" w14:textId="77777777" w:rsidR="00196C06" w:rsidRPr="006D5651" w:rsidRDefault="00196C06" w:rsidP="006201FD">
            <w:pPr>
              <w:spacing w:before="40" w:after="80"/>
              <w:ind w:right="43"/>
              <w:jc w:val="center"/>
              <w:rPr>
                <w:b/>
                <w:sz w:val="18"/>
                <w:szCs w:val="18"/>
                <w:lang w:val="fr-FR"/>
              </w:rPr>
            </w:pPr>
            <w:r>
              <w:rPr>
                <w:b/>
                <w:sz w:val="18"/>
                <w:szCs w:val="18"/>
                <w:lang w:val="fr-FR"/>
              </w:rPr>
              <w:t>Classe 7:</w:t>
            </w:r>
            <w:r w:rsidRPr="006D5651">
              <w:rPr>
                <w:b/>
                <w:sz w:val="18"/>
                <w:szCs w:val="18"/>
                <w:lang w:val="fr-FR"/>
              </w:rPr>
              <w:t xml:space="preserve"> Matières radioactives</w:t>
            </w:r>
          </w:p>
        </w:tc>
      </w:tr>
      <w:tr w:rsidR="00196C06" w:rsidRPr="001B79A0" w14:paraId="752AA6B9" w14:textId="77777777" w:rsidTr="006201FD">
        <w:tc>
          <w:tcPr>
            <w:tcW w:w="0" w:type="auto"/>
            <w:shd w:val="clear" w:color="auto" w:fill="auto"/>
          </w:tcPr>
          <w:p w14:paraId="2B6806D5" w14:textId="77777777" w:rsidR="00196C06" w:rsidRPr="00682E7C" w:rsidRDefault="00196C06" w:rsidP="006201FD">
            <w:pPr>
              <w:spacing w:before="80" w:after="80"/>
              <w:ind w:right="43"/>
              <w:rPr>
                <w:sz w:val="18"/>
                <w:szCs w:val="18"/>
                <w:lang w:val="fr-FR"/>
              </w:rPr>
            </w:pPr>
            <w:r w:rsidRPr="00682E7C">
              <w:rPr>
                <w:sz w:val="18"/>
                <w:szCs w:val="18"/>
                <w:lang w:val="fr-FR"/>
              </w:rPr>
              <w:t>7E</w:t>
            </w:r>
          </w:p>
        </w:tc>
        <w:tc>
          <w:tcPr>
            <w:tcW w:w="0" w:type="auto"/>
            <w:shd w:val="clear" w:color="auto" w:fill="auto"/>
          </w:tcPr>
          <w:p w14:paraId="50DAF11F" w14:textId="77777777" w:rsidR="00196C06" w:rsidRPr="00682E7C" w:rsidRDefault="00196C06" w:rsidP="006201FD">
            <w:pPr>
              <w:spacing w:before="80" w:after="80"/>
              <w:ind w:right="43"/>
              <w:jc w:val="center"/>
              <w:rPr>
                <w:sz w:val="18"/>
                <w:szCs w:val="18"/>
                <w:lang w:val="fr-FR"/>
              </w:rPr>
            </w:pPr>
            <w:r w:rsidRPr="00682E7C">
              <w:rPr>
                <w:sz w:val="18"/>
                <w:szCs w:val="18"/>
                <w:lang w:val="fr-FR"/>
              </w:rPr>
              <w:t>Matières fissiles</w:t>
            </w:r>
          </w:p>
        </w:tc>
        <w:tc>
          <w:tcPr>
            <w:tcW w:w="3369" w:type="dxa"/>
            <w:shd w:val="clear" w:color="auto" w:fill="auto"/>
          </w:tcPr>
          <w:p w14:paraId="7A6100A2" w14:textId="77777777" w:rsidR="00196C06" w:rsidRPr="00682E7C" w:rsidRDefault="00196C06" w:rsidP="006201FD">
            <w:pPr>
              <w:spacing w:before="80" w:after="80"/>
              <w:ind w:right="43"/>
              <w:jc w:val="center"/>
              <w:rPr>
                <w:sz w:val="18"/>
                <w:szCs w:val="18"/>
                <w:lang w:val="fr-FR"/>
              </w:rPr>
            </w:pPr>
            <w:r w:rsidRPr="00682E7C">
              <w:rPr>
                <w:sz w:val="18"/>
                <w:szCs w:val="18"/>
                <w:lang w:val="fr-FR"/>
              </w:rPr>
              <w:t>-</w:t>
            </w:r>
          </w:p>
        </w:tc>
        <w:tc>
          <w:tcPr>
            <w:tcW w:w="2402" w:type="dxa"/>
            <w:shd w:val="clear" w:color="auto" w:fill="auto"/>
          </w:tcPr>
          <w:p w14:paraId="766246E7" w14:textId="77777777" w:rsidR="00196C06" w:rsidRPr="00682E7C" w:rsidRDefault="00196C06" w:rsidP="006201FD">
            <w:pPr>
              <w:spacing w:before="80" w:after="80"/>
              <w:ind w:right="43"/>
              <w:jc w:val="center"/>
              <w:rPr>
                <w:sz w:val="18"/>
                <w:szCs w:val="18"/>
                <w:lang w:val="fr-FR"/>
              </w:rPr>
            </w:pPr>
            <w:r w:rsidRPr="00682E7C">
              <w:rPr>
                <w:sz w:val="18"/>
                <w:szCs w:val="18"/>
                <w:lang w:val="fr-FR"/>
              </w:rPr>
              <w:t>Blanc</w:t>
            </w:r>
          </w:p>
        </w:tc>
        <w:tc>
          <w:tcPr>
            <w:tcW w:w="1118" w:type="dxa"/>
            <w:shd w:val="clear" w:color="auto" w:fill="auto"/>
          </w:tcPr>
          <w:p w14:paraId="3346F618" w14:textId="77777777" w:rsidR="00196C06" w:rsidRPr="00682E7C" w:rsidRDefault="00196C06" w:rsidP="006201FD">
            <w:pPr>
              <w:spacing w:before="80" w:after="80"/>
              <w:ind w:right="43"/>
              <w:jc w:val="center"/>
              <w:rPr>
                <w:sz w:val="18"/>
                <w:szCs w:val="18"/>
                <w:lang w:val="fr-FR"/>
              </w:rPr>
            </w:pPr>
            <w:r w:rsidRPr="00682E7C">
              <w:rPr>
                <w:sz w:val="18"/>
                <w:szCs w:val="18"/>
                <w:lang w:val="fr-FR"/>
              </w:rPr>
              <w:t>7</w:t>
            </w:r>
            <w:r>
              <w:rPr>
                <w:sz w:val="18"/>
                <w:szCs w:val="18"/>
                <w:lang w:val="fr-FR"/>
              </w:rPr>
              <w:br/>
            </w:r>
            <w:r w:rsidRPr="00682E7C">
              <w:rPr>
                <w:sz w:val="18"/>
                <w:szCs w:val="18"/>
                <w:lang w:val="fr-FR"/>
              </w:rPr>
              <w:t>(noir)</w:t>
            </w:r>
          </w:p>
        </w:tc>
        <w:tc>
          <w:tcPr>
            <w:tcW w:w="0" w:type="auto"/>
            <w:shd w:val="clear" w:color="auto" w:fill="auto"/>
            <w:vAlign w:val="center"/>
          </w:tcPr>
          <w:p w14:paraId="445BB908" w14:textId="77777777" w:rsidR="00196C06" w:rsidRPr="00682E7C" w:rsidRDefault="00196C06" w:rsidP="006201FD">
            <w:pPr>
              <w:spacing w:before="80" w:after="80" w:line="240" w:lineRule="auto"/>
              <w:ind w:right="43"/>
              <w:jc w:val="center"/>
              <w:rPr>
                <w:sz w:val="18"/>
                <w:szCs w:val="18"/>
                <w:lang w:val="ru-RU" w:eastAsia="ru-RU"/>
              </w:rPr>
            </w:pPr>
            <w:r>
              <w:rPr>
                <w:rFonts w:eastAsia="SimSun"/>
                <w:noProof/>
                <w:lang w:val="en-GB" w:eastAsia="en-GB"/>
              </w:rPr>
              <w:drawing>
                <wp:inline distT="0" distB="0" distL="0" distR="0" wp14:anchorId="0BB5F50E" wp14:editId="5E86C325">
                  <wp:extent cx="828675" cy="828675"/>
                  <wp:effectExtent l="0" t="0" r="9525" b="9525"/>
                  <wp:docPr id="14" name="Picture 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ssil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0DD6383C" w14:textId="77777777" w:rsidR="00196C06" w:rsidRPr="00682E7C" w:rsidRDefault="00196C06" w:rsidP="006201FD">
            <w:pPr>
              <w:spacing w:before="80" w:after="80" w:line="238" w:lineRule="auto"/>
              <w:ind w:right="45"/>
              <w:rPr>
                <w:sz w:val="18"/>
                <w:szCs w:val="18"/>
                <w:lang w:val="fr-FR"/>
              </w:rPr>
            </w:pPr>
            <w:r w:rsidRPr="00682E7C">
              <w:rPr>
                <w:sz w:val="18"/>
                <w:szCs w:val="18"/>
                <w:lang w:val="fr-FR"/>
              </w:rPr>
              <w:t>Texte (obligatoire)</w:t>
            </w:r>
            <w:r>
              <w:rPr>
                <w:sz w:val="18"/>
                <w:szCs w:val="18"/>
                <w:lang w:val="fr-FR"/>
              </w:rPr>
              <w:t>:</w:t>
            </w:r>
            <w:r w:rsidRPr="00682E7C">
              <w:rPr>
                <w:sz w:val="18"/>
                <w:szCs w:val="18"/>
                <w:lang w:val="fr-FR"/>
              </w:rPr>
              <w:t xml:space="preserve"> </w:t>
            </w:r>
            <w:r>
              <w:rPr>
                <w:sz w:val="18"/>
                <w:szCs w:val="18"/>
                <w:lang w:val="fr-FR"/>
              </w:rPr>
              <w:t>e</w:t>
            </w:r>
            <w:r w:rsidRPr="00682E7C">
              <w:rPr>
                <w:sz w:val="18"/>
                <w:szCs w:val="18"/>
                <w:lang w:val="fr-FR"/>
              </w:rPr>
              <w:t>n noir dans la moitié supérieure de l’étiquette</w:t>
            </w:r>
            <w:r>
              <w:rPr>
                <w:sz w:val="18"/>
                <w:szCs w:val="18"/>
                <w:lang w:val="fr-FR"/>
              </w:rPr>
              <w:t>: "</w:t>
            </w:r>
            <w:r w:rsidRPr="00682E7C">
              <w:rPr>
                <w:sz w:val="18"/>
                <w:szCs w:val="18"/>
                <w:lang w:val="fr-FR"/>
              </w:rPr>
              <w:t>FISSILE</w:t>
            </w:r>
            <w:r>
              <w:rPr>
                <w:sz w:val="18"/>
                <w:szCs w:val="18"/>
                <w:lang w:val="fr-FR"/>
              </w:rPr>
              <w:t>"</w:t>
            </w:r>
            <w:r w:rsidRPr="00682E7C">
              <w:rPr>
                <w:sz w:val="18"/>
                <w:szCs w:val="18"/>
                <w:lang w:val="fr-FR"/>
              </w:rPr>
              <w:t xml:space="preserve"> </w:t>
            </w:r>
          </w:p>
          <w:p w14:paraId="6E37FE7B" w14:textId="77777777" w:rsidR="00196C06" w:rsidRPr="00682E7C" w:rsidRDefault="00196C06" w:rsidP="006201FD">
            <w:pPr>
              <w:spacing w:before="80" w:after="80" w:line="238" w:lineRule="auto"/>
              <w:ind w:right="45"/>
              <w:rPr>
                <w:sz w:val="18"/>
                <w:szCs w:val="18"/>
                <w:lang w:val="fr-FR"/>
              </w:rPr>
            </w:pPr>
            <w:r w:rsidRPr="00682E7C">
              <w:rPr>
                <w:sz w:val="18"/>
                <w:szCs w:val="18"/>
                <w:lang w:val="fr-FR"/>
              </w:rPr>
              <w:t>Dans un encadré noir à la partie inférieure de l’étiquette</w:t>
            </w:r>
            <w:r>
              <w:rPr>
                <w:sz w:val="18"/>
                <w:szCs w:val="18"/>
                <w:lang w:val="fr-FR"/>
              </w:rPr>
              <w:t>: "</w:t>
            </w:r>
            <w:r w:rsidRPr="00682E7C">
              <w:rPr>
                <w:sz w:val="18"/>
                <w:szCs w:val="18"/>
                <w:lang w:val="fr-FR"/>
              </w:rPr>
              <w:t>CRITICALITY SAFETY INDEX</w:t>
            </w:r>
            <w:r>
              <w:rPr>
                <w:sz w:val="18"/>
                <w:szCs w:val="18"/>
                <w:lang w:val="fr-FR"/>
              </w:rPr>
              <w:t>"</w:t>
            </w:r>
          </w:p>
        </w:tc>
      </w:tr>
      <w:tr w:rsidR="00196C06" w:rsidRPr="00682E7C" w14:paraId="564EBC96" w14:textId="77777777" w:rsidTr="006201FD">
        <w:tc>
          <w:tcPr>
            <w:tcW w:w="0" w:type="auto"/>
            <w:gridSpan w:val="7"/>
            <w:shd w:val="clear" w:color="auto" w:fill="auto"/>
          </w:tcPr>
          <w:p w14:paraId="004AF2BC" w14:textId="77777777" w:rsidR="00196C06" w:rsidRPr="00682E7C" w:rsidRDefault="00196C06" w:rsidP="006201FD">
            <w:pPr>
              <w:spacing w:before="80" w:after="80"/>
              <w:ind w:right="43"/>
              <w:jc w:val="center"/>
              <w:rPr>
                <w:b/>
                <w:sz w:val="18"/>
                <w:szCs w:val="18"/>
                <w:lang w:val="fr-FR"/>
              </w:rPr>
            </w:pPr>
            <w:r>
              <w:rPr>
                <w:b/>
                <w:sz w:val="18"/>
                <w:szCs w:val="18"/>
                <w:lang w:val="fr-FR"/>
              </w:rPr>
              <w:t>Classe 8:</w:t>
            </w:r>
            <w:r w:rsidRPr="00682E7C">
              <w:rPr>
                <w:b/>
                <w:sz w:val="18"/>
                <w:szCs w:val="18"/>
                <w:lang w:val="fr-FR"/>
              </w:rPr>
              <w:t xml:space="preserve"> Matières corrosives</w:t>
            </w:r>
          </w:p>
        </w:tc>
      </w:tr>
      <w:tr w:rsidR="00196C06" w:rsidRPr="00682E7C" w14:paraId="5F5EDB2F" w14:textId="77777777" w:rsidTr="006201FD">
        <w:tc>
          <w:tcPr>
            <w:tcW w:w="0" w:type="auto"/>
            <w:shd w:val="clear" w:color="auto" w:fill="auto"/>
          </w:tcPr>
          <w:p w14:paraId="25A5995E" w14:textId="77777777" w:rsidR="00196C06" w:rsidRPr="00682E7C" w:rsidRDefault="00196C06" w:rsidP="006201FD">
            <w:pPr>
              <w:spacing w:before="80" w:after="80"/>
              <w:ind w:right="43"/>
              <w:rPr>
                <w:sz w:val="18"/>
                <w:szCs w:val="18"/>
                <w:lang w:val="fr-FR"/>
              </w:rPr>
            </w:pPr>
            <w:r w:rsidRPr="00682E7C">
              <w:rPr>
                <w:sz w:val="18"/>
                <w:szCs w:val="18"/>
                <w:lang w:val="fr-FR"/>
              </w:rPr>
              <w:t>8</w:t>
            </w:r>
          </w:p>
        </w:tc>
        <w:tc>
          <w:tcPr>
            <w:tcW w:w="0" w:type="auto"/>
            <w:shd w:val="clear" w:color="auto" w:fill="auto"/>
          </w:tcPr>
          <w:p w14:paraId="5CF968F6" w14:textId="77777777" w:rsidR="00196C06" w:rsidRPr="00682E7C" w:rsidRDefault="00196C06" w:rsidP="006201FD">
            <w:pPr>
              <w:spacing w:before="80" w:after="80"/>
              <w:ind w:right="43"/>
              <w:jc w:val="center"/>
              <w:rPr>
                <w:sz w:val="18"/>
                <w:szCs w:val="18"/>
                <w:lang w:val="fr-FR"/>
              </w:rPr>
            </w:pPr>
            <w:r w:rsidRPr="00682E7C">
              <w:rPr>
                <w:sz w:val="18"/>
                <w:szCs w:val="18"/>
                <w:lang w:val="fr-FR"/>
              </w:rPr>
              <w:t>-</w:t>
            </w:r>
          </w:p>
        </w:tc>
        <w:tc>
          <w:tcPr>
            <w:tcW w:w="3369" w:type="dxa"/>
            <w:shd w:val="clear" w:color="auto" w:fill="auto"/>
          </w:tcPr>
          <w:p w14:paraId="673C9FF3" w14:textId="77777777" w:rsidR="00196C06" w:rsidRPr="00682E7C" w:rsidRDefault="00196C06" w:rsidP="006201FD">
            <w:pPr>
              <w:spacing w:before="80" w:after="80"/>
              <w:ind w:right="43"/>
              <w:jc w:val="center"/>
              <w:rPr>
                <w:sz w:val="18"/>
                <w:szCs w:val="18"/>
                <w:lang w:val="fr-FR"/>
              </w:rPr>
            </w:pPr>
            <w:r w:rsidRPr="00682E7C">
              <w:rPr>
                <w:sz w:val="18"/>
                <w:szCs w:val="18"/>
                <w:lang w:val="fr-FR"/>
              </w:rPr>
              <w:t>Liquides déversés de deux tubes à essai en verre et attaquant une main et un métal</w:t>
            </w:r>
            <w:r>
              <w:rPr>
                <w:sz w:val="18"/>
                <w:szCs w:val="18"/>
                <w:lang w:val="fr-FR"/>
              </w:rPr>
              <w:t>:</w:t>
            </w:r>
            <w:r w:rsidRPr="00682E7C">
              <w:rPr>
                <w:sz w:val="18"/>
                <w:szCs w:val="18"/>
                <w:lang w:val="fr-FR"/>
              </w:rPr>
              <w:t xml:space="preserve"> noir</w:t>
            </w:r>
          </w:p>
        </w:tc>
        <w:tc>
          <w:tcPr>
            <w:tcW w:w="2402" w:type="dxa"/>
            <w:shd w:val="clear" w:color="auto" w:fill="auto"/>
          </w:tcPr>
          <w:p w14:paraId="1BD10D6A" w14:textId="77777777" w:rsidR="00196C06" w:rsidRPr="00D6712B" w:rsidRDefault="00196C06" w:rsidP="006201FD">
            <w:pPr>
              <w:spacing w:before="80" w:after="80"/>
              <w:ind w:right="43"/>
              <w:jc w:val="center"/>
              <w:rPr>
                <w:sz w:val="18"/>
                <w:szCs w:val="18"/>
                <w:lang w:eastAsia="ru-RU"/>
              </w:rPr>
            </w:pPr>
            <w:r w:rsidRPr="00682E7C">
              <w:rPr>
                <w:sz w:val="18"/>
                <w:szCs w:val="18"/>
                <w:lang w:val="fr-FR"/>
              </w:rPr>
              <w:t xml:space="preserve">Blanc (moitié supérieure) </w:t>
            </w:r>
            <w:r>
              <w:rPr>
                <w:sz w:val="18"/>
                <w:szCs w:val="18"/>
                <w:lang w:val="fr-FR"/>
              </w:rPr>
              <w:br/>
            </w:r>
            <w:r w:rsidRPr="00682E7C">
              <w:rPr>
                <w:sz w:val="18"/>
                <w:szCs w:val="18"/>
                <w:lang w:val="fr-FR"/>
              </w:rPr>
              <w:t>et noir avec bordure blanche (moitié inférieure)</w:t>
            </w:r>
          </w:p>
        </w:tc>
        <w:tc>
          <w:tcPr>
            <w:tcW w:w="0" w:type="auto"/>
            <w:shd w:val="clear" w:color="auto" w:fill="auto"/>
          </w:tcPr>
          <w:p w14:paraId="3DFC50B5" w14:textId="77777777" w:rsidR="00196C06" w:rsidRPr="00682E7C" w:rsidRDefault="00196C06" w:rsidP="006201FD">
            <w:pPr>
              <w:spacing w:before="80" w:after="80"/>
              <w:ind w:right="43"/>
              <w:jc w:val="center"/>
              <w:rPr>
                <w:sz w:val="18"/>
                <w:szCs w:val="18"/>
                <w:lang w:val="fr-FR"/>
              </w:rPr>
            </w:pPr>
            <w:r w:rsidRPr="00682E7C">
              <w:rPr>
                <w:sz w:val="18"/>
                <w:szCs w:val="18"/>
                <w:lang w:val="fr-FR"/>
              </w:rPr>
              <w:t>8</w:t>
            </w:r>
            <w:r>
              <w:rPr>
                <w:sz w:val="18"/>
                <w:szCs w:val="18"/>
                <w:lang w:val="fr-FR"/>
              </w:rPr>
              <w:t xml:space="preserve"> </w:t>
            </w:r>
            <w:r>
              <w:rPr>
                <w:sz w:val="18"/>
                <w:szCs w:val="18"/>
                <w:lang w:val="fr-FR"/>
              </w:rPr>
              <w:br/>
            </w:r>
            <w:r w:rsidRPr="00682E7C">
              <w:rPr>
                <w:sz w:val="18"/>
                <w:szCs w:val="18"/>
                <w:lang w:val="fr-FR"/>
              </w:rPr>
              <w:t>(blanc)</w:t>
            </w:r>
          </w:p>
        </w:tc>
        <w:tc>
          <w:tcPr>
            <w:tcW w:w="0" w:type="auto"/>
            <w:shd w:val="clear" w:color="auto" w:fill="auto"/>
            <w:vAlign w:val="center"/>
          </w:tcPr>
          <w:p w14:paraId="13B1083F" w14:textId="77777777" w:rsidR="00196C06" w:rsidRPr="00682E7C" w:rsidRDefault="00196C06" w:rsidP="006201FD">
            <w:pPr>
              <w:spacing w:before="80" w:after="80" w:line="240" w:lineRule="auto"/>
              <w:ind w:right="43"/>
              <w:jc w:val="center"/>
              <w:rPr>
                <w:sz w:val="18"/>
                <w:szCs w:val="18"/>
                <w:lang w:val="ru-RU" w:eastAsia="ru-RU"/>
              </w:rPr>
            </w:pPr>
            <w:r>
              <w:rPr>
                <w:rFonts w:eastAsia="SimSun"/>
                <w:noProof/>
                <w:lang w:val="en-GB" w:eastAsia="en-GB"/>
              </w:rPr>
              <w:drawing>
                <wp:inline distT="0" distB="0" distL="0" distR="0" wp14:anchorId="72F950F5" wp14:editId="61A3C422">
                  <wp:extent cx="828675" cy="828675"/>
                  <wp:effectExtent l="0" t="0" r="9525" b="9525"/>
                  <wp:docPr id="15" name="Picture 4"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14:paraId="09962039" w14:textId="77777777" w:rsidR="00196C06" w:rsidRPr="00682E7C" w:rsidRDefault="00196C06" w:rsidP="006201FD">
            <w:pPr>
              <w:spacing w:before="80" w:after="80"/>
              <w:ind w:right="43"/>
              <w:jc w:val="center"/>
              <w:rPr>
                <w:sz w:val="18"/>
                <w:szCs w:val="18"/>
                <w:lang w:val="fr-FR"/>
              </w:rPr>
            </w:pPr>
            <w:r w:rsidRPr="00682E7C">
              <w:rPr>
                <w:sz w:val="18"/>
                <w:szCs w:val="18"/>
                <w:lang w:val="fr-FR"/>
              </w:rPr>
              <w:t>-</w:t>
            </w:r>
          </w:p>
        </w:tc>
      </w:tr>
      <w:tr w:rsidR="00196C06" w:rsidRPr="00E36812" w14:paraId="366A2727" w14:textId="77777777" w:rsidTr="006201FD">
        <w:tc>
          <w:tcPr>
            <w:tcW w:w="0" w:type="auto"/>
            <w:gridSpan w:val="7"/>
            <w:shd w:val="clear" w:color="auto" w:fill="auto"/>
          </w:tcPr>
          <w:p w14:paraId="550B87EB" w14:textId="77777777" w:rsidR="00196C06" w:rsidRPr="00E36812" w:rsidRDefault="00196C06" w:rsidP="006201FD">
            <w:pPr>
              <w:spacing w:before="40" w:after="80"/>
              <w:ind w:right="43"/>
              <w:jc w:val="center"/>
              <w:rPr>
                <w:b/>
                <w:sz w:val="18"/>
                <w:szCs w:val="18"/>
                <w:lang w:val="fr-FR"/>
              </w:rPr>
            </w:pPr>
            <w:r w:rsidRPr="00E36812">
              <w:rPr>
                <w:b/>
                <w:sz w:val="18"/>
                <w:szCs w:val="18"/>
                <w:lang w:val="fr-FR"/>
              </w:rPr>
              <w:t>C</w:t>
            </w:r>
            <w:r>
              <w:rPr>
                <w:b/>
                <w:sz w:val="18"/>
                <w:szCs w:val="18"/>
                <w:lang w:val="fr-FR"/>
              </w:rPr>
              <w:t>lasse 9:</w:t>
            </w:r>
            <w:r w:rsidRPr="00E36812">
              <w:rPr>
                <w:b/>
                <w:sz w:val="18"/>
                <w:szCs w:val="18"/>
                <w:lang w:val="fr-FR"/>
              </w:rPr>
              <w:t xml:space="preserve"> Matières et objets dangereux divers, y compris les matières dangereuses pour l</w:t>
            </w:r>
            <w:r>
              <w:rPr>
                <w:b/>
                <w:sz w:val="18"/>
                <w:szCs w:val="18"/>
                <w:lang w:val="fr-FR"/>
              </w:rPr>
              <w:t>’</w:t>
            </w:r>
            <w:r w:rsidRPr="00E36812">
              <w:rPr>
                <w:b/>
                <w:sz w:val="18"/>
                <w:szCs w:val="18"/>
                <w:lang w:val="fr-FR"/>
              </w:rPr>
              <w:t>environnement</w:t>
            </w:r>
          </w:p>
        </w:tc>
      </w:tr>
      <w:tr w:rsidR="00196C06" w:rsidRPr="00E36812" w14:paraId="6FA17112" w14:textId="77777777" w:rsidTr="006201FD">
        <w:tc>
          <w:tcPr>
            <w:tcW w:w="0" w:type="auto"/>
            <w:shd w:val="clear" w:color="auto" w:fill="auto"/>
          </w:tcPr>
          <w:p w14:paraId="216CC269" w14:textId="77777777" w:rsidR="00196C06" w:rsidRPr="00E36812" w:rsidRDefault="00196C06" w:rsidP="006201FD">
            <w:pPr>
              <w:spacing w:before="40" w:after="80"/>
              <w:ind w:right="43"/>
              <w:rPr>
                <w:sz w:val="18"/>
                <w:szCs w:val="18"/>
                <w:lang w:val="fr-FR"/>
              </w:rPr>
            </w:pPr>
            <w:r w:rsidRPr="00E36812">
              <w:rPr>
                <w:sz w:val="18"/>
                <w:szCs w:val="18"/>
                <w:lang w:val="fr-FR"/>
              </w:rPr>
              <w:t>9</w:t>
            </w:r>
          </w:p>
        </w:tc>
        <w:tc>
          <w:tcPr>
            <w:tcW w:w="0" w:type="auto"/>
            <w:shd w:val="clear" w:color="auto" w:fill="auto"/>
          </w:tcPr>
          <w:p w14:paraId="646AF54F" w14:textId="77777777" w:rsidR="00196C06" w:rsidRPr="00E36812" w:rsidRDefault="00196C06" w:rsidP="006201FD">
            <w:pPr>
              <w:spacing w:before="40" w:after="80"/>
              <w:ind w:right="43"/>
              <w:jc w:val="center"/>
              <w:rPr>
                <w:sz w:val="18"/>
                <w:szCs w:val="18"/>
                <w:lang w:val="fr-FR"/>
              </w:rPr>
            </w:pPr>
            <w:r w:rsidRPr="00E36812">
              <w:rPr>
                <w:sz w:val="18"/>
                <w:szCs w:val="18"/>
                <w:lang w:val="fr-FR"/>
              </w:rPr>
              <w:t>-</w:t>
            </w:r>
          </w:p>
        </w:tc>
        <w:tc>
          <w:tcPr>
            <w:tcW w:w="3369" w:type="dxa"/>
            <w:shd w:val="clear" w:color="auto" w:fill="auto"/>
          </w:tcPr>
          <w:p w14:paraId="7651B641" w14:textId="77777777" w:rsidR="00196C06" w:rsidRPr="00E36812" w:rsidRDefault="00196C06" w:rsidP="006201FD">
            <w:pPr>
              <w:spacing w:before="40" w:after="80"/>
              <w:ind w:right="43"/>
              <w:jc w:val="center"/>
              <w:rPr>
                <w:sz w:val="18"/>
                <w:szCs w:val="18"/>
                <w:lang w:val="fr-FR"/>
              </w:rPr>
            </w:pPr>
            <w:r w:rsidRPr="00E36812">
              <w:rPr>
                <w:sz w:val="18"/>
                <w:szCs w:val="18"/>
                <w:lang w:val="fr-FR"/>
              </w:rPr>
              <w:t>7 lignes verticales dans la moitié supérieure</w:t>
            </w:r>
            <w:r>
              <w:rPr>
                <w:sz w:val="18"/>
                <w:szCs w:val="18"/>
                <w:lang w:val="fr-FR"/>
              </w:rPr>
              <w:t>:</w:t>
            </w:r>
            <w:r w:rsidRPr="00E36812">
              <w:rPr>
                <w:sz w:val="18"/>
                <w:szCs w:val="18"/>
                <w:lang w:val="fr-FR"/>
              </w:rPr>
              <w:t xml:space="preserve"> noir</w:t>
            </w:r>
          </w:p>
        </w:tc>
        <w:tc>
          <w:tcPr>
            <w:tcW w:w="2402" w:type="dxa"/>
            <w:shd w:val="clear" w:color="auto" w:fill="auto"/>
          </w:tcPr>
          <w:p w14:paraId="37C9E4A8" w14:textId="77777777" w:rsidR="00196C06" w:rsidRPr="00E36812" w:rsidRDefault="00196C06" w:rsidP="006201FD">
            <w:pPr>
              <w:spacing w:before="40" w:after="80"/>
              <w:ind w:right="43"/>
              <w:jc w:val="center"/>
              <w:rPr>
                <w:sz w:val="18"/>
                <w:szCs w:val="18"/>
                <w:lang w:val="fr-FR"/>
              </w:rPr>
            </w:pPr>
            <w:r w:rsidRPr="00E36812">
              <w:rPr>
                <w:sz w:val="18"/>
                <w:szCs w:val="18"/>
                <w:lang w:val="fr-FR"/>
              </w:rPr>
              <w:t>Blanc</w:t>
            </w:r>
          </w:p>
        </w:tc>
        <w:tc>
          <w:tcPr>
            <w:tcW w:w="0" w:type="auto"/>
            <w:shd w:val="clear" w:color="auto" w:fill="auto"/>
          </w:tcPr>
          <w:p w14:paraId="5755E369" w14:textId="77777777" w:rsidR="00196C06" w:rsidRPr="00E36812" w:rsidRDefault="00196C06" w:rsidP="006201FD">
            <w:pPr>
              <w:spacing w:before="40" w:after="80"/>
              <w:ind w:right="43"/>
              <w:jc w:val="center"/>
              <w:rPr>
                <w:sz w:val="18"/>
                <w:szCs w:val="18"/>
                <w:lang w:val="fr-FR"/>
              </w:rPr>
            </w:pPr>
            <w:r w:rsidRPr="00E36812">
              <w:rPr>
                <w:sz w:val="18"/>
                <w:szCs w:val="18"/>
                <w:lang w:val="fr-FR"/>
              </w:rPr>
              <w:t>9 souligné</w:t>
            </w:r>
            <w:r>
              <w:rPr>
                <w:sz w:val="18"/>
                <w:szCs w:val="18"/>
                <w:lang w:val="fr-FR"/>
              </w:rPr>
              <w:t xml:space="preserve"> </w:t>
            </w:r>
            <w:r>
              <w:rPr>
                <w:sz w:val="18"/>
                <w:szCs w:val="18"/>
                <w:lang w:val="fr-FR"/>
              </w:rPr>
              <w:br/>
            </w:r>
            <w:r w:rsidRPr="00E36812">
              <w:rPr>
                <w:sz w:val="18"/>
                <w:szCs w:val="18"/>
                <w:lang w:val="fr-FR"/>
              </w:rPr>
              <w:t>(noir)</w:t>
            </w:r>
          </w:p>
        </w:tc>
        <w:tc>
          <w:tcPr>
            <w:tcW w:w="0" w:type="auto"/>
            <w:shd w:val="clear" w:color="auto" w:fill="auto"/>
            <w:vAlign w:val="center"/>
          </w:tcPr>
          <w:p w14:paraId="15021FF1" w14:textId="77777777" w:rsidR="00196C06" w:rsidRPr="00E36812" w:rsidRDefault="00196C06" w:rsidP="006201FD">
            <w:pPr>
              <w:spacing w:before="40" w:after="80" w:line="240" w:lineRule="auto"/>
              <w:ind w:right="43"/>
              <w:jc w:val="center"/>
              <w:rPr>
                <w:sz w:val="18"/>
                <w:szCs w:val="18"/>
                <w:lang w:val="en-US" w:eastAsia="ru-RU"/>
              </w:rPr>
            </w:pPr>
            <w:r>
              <w:rPr>
                <w:rFonts w:eastAsia="SimSun"/>
                <w:noProof/>
                <w:lang w:val="en-GB" w:eastAsia="en-GB"/>
              </w:rPr>
              <w:drawing>
                <wp:inline distT="0" distB="0" distL="0" distR="0" wp14:anchorId="62A83360" wp14:editId="69C7E0B6">
                  <wp:extent cx="828675" cy="833755"/>
                  <wp:effectExtent l="0" t="0" r="9525" b="4445"/>
                  <wp:docPr id="20" name="Picture 3"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28675" cy="833755"/>
                          </a:xfrm>
                          <a:prstGeom prst="rect">
                            <a:avLst/>
                          </a:prstGeom>
                          <a:noFill/>
                          <a:ln>
                            <a:noFill/>
                          </a:ln>
                        </pic:spPr>
                      </pic:pic>
                    </a:graphicData>
                  </a:graphic>
                </wp:inline>
              </w:drawing>
            </w:r>
          </w:p>
        </w:tc>
        <w:tc>
          <w:tcPr>
            <w:tcW w:w="0" w:type="auto"/>
            <w:shd w:val="clear" w:color="auto" w:fill="auto"/>
          </w:tcPr>
          <w:p w14:paraId="0D903081" w14:textId="77777777" w:rsidR="00196C06" w:rsidRPr="00E36812" w:rsidRDefault="00196C06" w:rsidP="006201FD">
            <w:pPr>
              <w:spacing w:before="40" w:after="80"/>
              <w:ind w:right="43"/>
              <w:jc w:val="center"/>
              <w:rPr>
                <w:sz w:val="18"/>
                <w:szCs w:val="18"/>
                <w:lang w:val="fr-FR"/>
              </w:rPr>
            </w:pPr>
            <w:r w:rsidRPr="00E36812">
              <w:rPr>
                <w:sz w:val="18"/>
                <w:szCs w:val="18"/>
                <w:lang w:val="fr-FR"/>
              </w:rPr>
              <w:t>-</w:t>
            </w:r>
          </w:p>
        </w:tc>
      </w:tr>
      <w:tr w:rsidR="00196C06" w:rsidRPr="00E36812" w14:paraId="7F4188E7" w14:textId="77777777" w:rsidTr="006201FD">
        <w:tc>
          <w:tcPr>
            <w:tcW w:w="0" w:type="auto"/>
            <w:tcBorders>
              <w:top w:val="single" w:sz="4" w:space="0" w:color="auto"/>
              <w:left w:val="single" w:sz="4" w:space="0" w:color="auto"/>
              <w:bottom w:val="single" w:sz="4" w:space="0" w:color="auto"/>
              <w:right w:val="single" w:sz="4" w:space="0" w:color="auto"/>
            </w:tcBorders>
            <w:shd w:val="clear" w:color="auto" w:fill="auto"/>
          </w:tcPr>
          <w:p w14:paraId="1F7B9FD3" w14:textId="77777777" w:rsidR="00196C06" w:rsidRPr="00E36812" w:rsidRDefault="00196C06" w:rsidP="006201FD">
            <w:pPr>
              <w:spacing w:before="40" w:after="80"/>
              <w:ind w:right="43"/>
              <w:rPr>
                <w:sz w:val="18"/>
                <w:szCs w:val="18"/>
                <w:lang w:val="fr-FR"/>
              </w:rPr>
            </w:pPr>
            <w:r w:rsidRPr="00E36812">
              <w:rPr>
                <w:sz w:val="18"/>
                <w:szCs w:val="18"/>
                <w:lang w:val="fr-FR"/>
              </w:rPr>
              <w:t>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F24DC" w14:textId="77777777" w:rsidR="00196C06" w:rsidRPr="00E36812" w:rsidRDefault="00196C06" w:rsidP="006201FD">
            <w:pPr>
              <w:spacing w:before="40" w:after="80"/>
              <w:ind w:right="43"/>
              <w:jc w:val="center"/>
              <w:rPr>
                <w:sz w:val="18"/>
                <w:szCs w:val="18"/>
                <w:lang w:val="en-US" w:eastAsia="ru-RU"/>
              </w:rPr>
            </w:pPr>
            <w:r w:rsidRPr="00E36812">
              <w:rPr>
                <w:sz w:val="18"/>
                <w:szCs w:val="18"/>
                <w:lang w:val="fr-FR"/>
              </w:rPr>
              <w:t>-</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2E260981" w14:textId="77777777" w:rsidR="00196C06" w:rsidRPr="00E36812" w:rsidRDefault="00196C06" w:rsidP="006201FD">
            <w:pPr>
              <w:spacing w:before="40" w:after="80"/>
              <w:ind w:right="43"/>
              <w:jc w:val="center"/>
              <w:rPr>
                <w:sz w:val="18"/>
                <w:szCs w:val="18"/>
                <w:lang w:val="fr-FR"/>
              </w:rPr>
            </w:pPr>
            <w:r w:rsidRPr="00E36812">
              <w:rPr>
                <w:sz w:val="18"/>
                <w:szCs w:val="18"/>
                <w:lang w:val="fr-FR"/>
              </w:rPr>
              <w:t>7 lignes verticales dans la moitié supérieure</w:t>
            </w:r>
            <w:r>
              <w:rPr>
                <w:sz w:val="18"/>
                <w:szCs w:val="18"/>
                <w:lang w:val="fr-FR"/>
              </w:rPr>
              <w:t xml:space="preserve">: </w:t>
            </w:r>
            <w:r w:rsidRPr="00E36812">
              <w:rPr>
                <w:sz w:val="18"/>
                <w:szCs w:val="18"/>
                <w:lang w:val="fr-FR"/>
              </w:rPr>
              <w:t>noir;</w:t>
            </w:r>
            <w:r>
              <w:rPr>
                <w:sz w:val="18"/>
                <w:szCs w:val="18"/>
                <w:lang w:val="fr-FR"/>
              </w:rPr>
              <w:t xml:space="preserve"> </w:t>
            </w:r>
            <w:r>
              <w:rPr>
                <w:sz w:val="18"/>
                <w:szCs w:val="18"/>
                <w:lang w:val="fr-FR"/>
              </w:rPr>
              <w:br/>
            </w:r>
            <w:r w:rsidRPr="00E36812">
              <w:rPr>
                <w:sz w:val="18"/>
                <w:szCs w:val="18"/>
                <w:lang w:val="fr-FR"/>
              </w:rPr>
              <w:t>Dans la moitié inférieure un groupe de piles et batteries, l’une endommagée, avec une flamme</w:t>
            </w:r>
            <w:r>
              <w:rPr>
                <w:sz w:val="18"/>
                <w:szCs w:val="18"/>
                <w:lang w:val="fr-FR"/>
              </w:rPr>
              <w:t>:</w:t>
            </w:r>
            <w:r w:rsidRPr="00E36812">
              <w:rPr>
                <w:sz w:val="18"/>
                <w:szCs w:val="18"/>
                <w:lang w:val="fr-FR"/>
              </w:rPr>
              <w:t xml:space="preserve"> noir</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4475DD4" w14:textId="77777777" w:rsidR="00196C06" w:rsidRPr="00E36812" w:rsidRDefault="00196C06" w:rsidP="006201FD">
            <w:pPr>
              <w:spacing w:before="40" w:after="80"/>
              <w:ind w:right="43"/>
              <w:jc w:val="center"/>
              <w:rPr>
                <w:sz w:val="18"/>
                <w:szCs w:val="18"/>
                <w:lang w:val="fr-FR"/>
              </w:rPr>
            </w:pPr>
            <w:r w:rsidRPr="00E36812">
              <w:rPr>
                <w:sz w:val="18"/>
                <w:szCs w:val="18"/>
                <w:lang w:val="fr-FR"/>
              </w:rPr>
              <w:t>Blanc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37D3" w14:textId="77777777" w:rsidR="00196C06" w:rsidRPr="00E36812" w:rsidRDefault="00196C06" w:rsidP="006201FD">
            <w:pPr>
              <w:spacing w:before="40" w:after="80"/>
              <w:ind w:right="43"/>
              <w:jc w:val="center"/>
              <w:rPr>
                <w:sz w:val="18"/>
                <w:szCs w:val="18"/>
                <w:lang w:val="fr-FR"/>
              </w:rPr>
            </w:pPr>
            <w:r w:rsidRPr="00E36812">
              <w:rPr>
                <w:sz w:val="18"/>
                <w:szCs w:val="18"/>
                <w:lang w:val="fr-FR"/>
              </w:rPr>
              <w:t>9 souligné</w:t>
            </w:r>
            <w:r>
              <w:rPr>
                <w:sz w:val="18"/>
                <w:szCs w:val="18"/>
                <w:lang w:val="fr-FR"/>
              </w:rPr>
              <w:t xml:space="preserve"> </w:t>
            </w:r>
            <w:r>
              <w:rPr>
                <w:sz w:val="18"/>
                <w:szCs w:val="18"/>
                <w:lang w:val="fr-FR"/>
              </w:rPr>
              <w:br/>
            </w:r>
            <w:r w:rsidRPr="00E36812">
              <w:rPr>
                <w:sz w:val="18"/>
                <w:szCs w:val="18"/>
                <w:lang w:val="fr-FR"/>
              </w:rPr>
              <w:t>(noir)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558122" w14:textId="77777777" w:rsidR="00196C06" w:rsidRPr="00E36812" w:rsidRDefault="00196C06" w:rsidP="006201FD">
            <w:pPr>
              <w:spacing w:before="40" w:after="80" w:line="240" w:lineRule="auto"/>
              <w:ind w:right="43"/>
              <w:jc w:val="center"/>
              <w:rPr>
                <w:noProof/>
                <w:sz w:val="18"/>
                <w:szCs w:val="18"/>
                <w:lang w:val="en-GB" w:eastAsia="en-GB"/>
              </w:rPr>
            </w:pPr>
            <w:r>
              <w:rPr>
                <w:rFonts w:eastAsia="SimSun"/>
                <w:noProof/>
                <w:lang w:val="en-GB" w:eastAsia="en-GB"/>
              </w:rPr>
              <w:drawing>
                <wp:inline distT="0" distB="0" distL="0" distR="0" wp14:anchorId="3404831B" wp14:editId="2C26663F">
                  <wp:extent cx="828675" cy="828675"/>
                  <wp:effectExtent l="0" t="0" r="9525" b="9525"/>
                  <wp:docPr id="22" name="Picture 1"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7A2E8" w14:textId="77777777" w:rsidR="00196C06" w:rsidRPr="00E36812" w:rsidRDefault="00196C06" w:rsidP="006201FD">
            <w:pPr>
              <w:spacing w:before="40" w:after="80"/>
              <w:ind w:right="43"/>
              <w:jc w:val="center"/>
              <w:rPr>
                <w:sz w:val="18"/>
                <w:szCs w:val="18"/>
                <w:lang w:val="fr-FR"/>
              </w:rPr>
            </w:pPr>
            <w:r w:rsidRPr="00E36812">
              <w:rPr>
                <w:sz w:val="18"/>
                <w:szCs w:val="18"/>
                <w:lang w:val="fr-FR"/>
              </w:rPr>
              <w:t>-</w:t>
            </w:r>
          </w:p>
        </w:tc>
      </w:tr>
    </w:tbl>
    <w:p w14:paraId="102DFD6F" w14:textId="77777777" w:rsidR="00196C06" w:rsidRDefault="00196C06" w:rsidP="00196C06">
      <w:pPr>
        <w:suppressAutoHyphens w:val="0"/>
        <w:spacing w:line="240" w:lineRule="auto"/>
      </w:pPr>
    </w:p>
    <w:p w14:paraId="4F603402" w14:textId="77777777" w:rsidR="00196C06" w:rsidRDefault="00196C06" w:rsidP="00196C06">
      <w:pPr>
        <w:sectPr w:rsidR="00196C06" w:rsidSect="006201FD">
          <w:headerReference w:type="even" r:id="rId43"/>
          <w:headerReference w:type="default" r:id="rId44"/>
          <w:footerReference w:type="even" r:id="rId45"/>
          <w:footerReference w:type="default" r:id="rId46"/>
          <w:headerReference w:type="first" r:id="rId47"/>
          <w:endnotePr>
            <w:numFmt w:val="decimal"/>
          </w:endnotePr>
          <w:pgSz w:w="16840" w:h="11907" w:orient="landscape" w:code="9"/>
          <w:pgMar w:top="1134" w:right="1701" w:bottom="1134" w:left="2268" w:header="567" w:footer="567" w:gutter="0"/>
          <w:cols w:space="720"/>
          <w:docGrid w:linePitch="272"/>
        </w:sectPr>
      </w:pPr>
      <w:r w:rsidRPr="0059443A">
        <w:rPr>
          <w:iCs/>
          <w:lang w:val="fr-FR"/>
        </w:rPr>
        <w:t>».</w:t>
      </w:r>
    </w:p>
    <w:p w14:paraId="38B822C5" w14:textId="77777777" w:rsidR="00196C06" w:rsidRPr="000A278B" w:rsidRDefault="00196C06" w:rsidP="00196C06">
      <w:pPr>
        <w:pStyle w:val="H1G"/>
        <w:spacing w:before="0"/>
      </w:pPr>
      <w:r w:rsidRPr="000A278B">
        <w:lastRenderedPageBreak/>
        <w:tab/>
      </w:r>
      <w:r w:rsidRPr="000A278B">
        <w:tab/>
        <w:t>Chapitre 5.3</w:t>
      </w:r>
    </w:p>
    <w:p w14:paraId="0B1AA494" w14:textId="77777777" w:rsidR="00196C06" w:rsidRPr="0059443A" w:rsidRDefault="00196C06" w:rsidP="00196C06">
      <w:pPr>
        <w:pStyle w:val="SingleTxtG"/>
        <w:rPr>
          <w:iCs/>
          <w:lang w:val="fr-FR"/>
        </w:rPr>
      </w:pPr>
      <w:r>
        <w:rPr>
          <w:iCs/>
          <w:lang w:val="fr-FR"/>
        </w:rPr>
        <w:t>Modifier le</w:t>
      </w:r>
      <w:r w:rsidRPr="0059443A">
        <w:rPr>
          <w:iCs/>
          <w:lang w:val="fr-FR"/>
        </w:rPr>
        <w:t xml:space="preserve"> titre du chapitre 5.3</w:t>
      </w:r>
      <w:r>
        <w:rPr>
          <w:iCs/>
          <w:lang w:val="fr-FR"/>
        </w:rPr>
        <w:t xml:space="preserve"> pour lire</w:t>
      </w:r>
      <w:r w:rsidRPr="0059443A">
        <w:rPr>
          <w:iCs/>
          <w:lang w:val="fr-FR"/>
        </w:rPr>
        <w:t xml:space="preserve"> «</w:t>
      </w:r>
      <w:r w:rsidRPr="00C14455">
        <w:rPr>
          <w:iCs/>
          <w:lang w:val="fr-FR"/>
        </w:rPr>
        <w:t xml:space="preserve">PLACARDAGE ET MARQUAGE DES ENGINS DE TRANSPORT </w:t>
      </w:r>
      <w:r w:rsidRPr="0059443A">
        <w:rPr>
          <w:iCs/>
          <w:lang w:val="fr-FR"/>
        </w:rPr>
        <w:t xml:space="preserve">ET DES CONTENEURS POUR VRAC». </w:t>
      </w:r>
    </w:p>
    <w:p w14:paraId="64D2E9EC" w14:textId="77777777" w:rsidR="00196C06" w:rsidRPr="0059443A" w:rsidRDefault="00196C06" w:rsidP="00196C06">
      <w:pPr>
        <w:pStyle w:val="SingleTxtG"/>
        <w:rPr>
          <w:iCs/>
          <w:lang w:val="fr-FR"/>
        </w:rPr>
      </w:pPr>
      <w:r w:rsidRPr="0059443A">
        <w:rPr>
          <w:lang w:eastAsia="en-GB"/>
        </w:rPr>
        <w:t>5.3.1.1.2</w:t>
      </w:r>
      <w:r w:rsidRPr="0059443A">
        <w:rPr>
          <w:lang w:eastAsia="en-GB"/>
        </w:rPr>
        <w:tab/>
        <w:t xml:space="preserve">Dans la première phrase, remplacer «risques» par «dangers» et </w:t>
      </w:r>
      <w:r w:rsidRPr="0059443A">
        <w:rPr>
          <w:iCs/>
        </w:rPr>
        <w:t>après «</w:t>
      </w:r>
      <w:r w:rsidRPr="0059443A">
        <w:t>des engins de transport</w:t>
      </w:r>
      <w:r w:rsidRPr="0059443A">
        <w:rPr>
          <w:iCs/>
        </w:rPr>
        <w:t>» ajouter «</w:t>
      </w:r>
      <w:r w:rsidRPr="0059443A">
        <w:t>et des conteneurs pour vrac</w:t>
      </w:r>
      <w:r w:rsidRPr="0059443A">
        <w:rPr>
          <w:iCs/>
        </w:rPr>
        <w:t>»</w:t>
      </w:r>
      <w:r w:rsidRPr="0059443A">
        <w:rPr>
          <w:lang w:eastAsia="en-GB"/>
        </w:rPr>
        <w:t>. Dans la deuxième phrase et à l’alinéa b), remplacer «risque» par «danger»</w:t>
      </w:r>
      <w:r w:rsidRPr="0059443A">
        <w:rPr>
          <w:iCs/>
        </w:rPr>
        <w:t xml:space="preserve"> et après «</w:t>
      </w:r>
      <w:r w:rsidRPr="0059443A">
        <w:t>dans l’engin de transport</w:t>
      </w:r>
      <w:r w:rsidRPr="0059443A">
        <w:rPr>
          <w:iCs/>
        </w:rPr>
        <w:t>» ajouter «</w:t>
      </w:r>
      <w:r w:rsidRPr="0059443A">
        <w:t>ou le conteneur pour vrac</w:t>
      </w:r>
      <w:r w:rsidRPr="0059443A">
        <w:rPr>
          <w:iCs/>
        </w:rPr>
        <w:t>»</w:t>
      </w:r>
      <w:r w:rsidRPr="0059443A">
        <w:rPr>
          <w:lang w:eastAsia="en-GB"/>
        </w:rPr>
        <w:t>.</w:t>
      </w:r>
    </w:p>
    <w:p w14:paraId="6014A406" w14:textId="77777777" w:rsidR="00196C06" w:rsidRPr="0059443A" w:rsidRDefault="00196C06" w:rsidP="00196C06">
      <w:pPr>
        <w:pStyle w:val="SingleTxtG"/>
        <w:rPr>
          <w:iCs/>
          <w:lang w:val="fr-FR"/>
        </w:rPr>
      </w:pPr>
      <w:r w:rsidRPr="0059443A">
        <w:rPr>
          <w:lang w:eastAsia="en-GB"/>
        </w:rPr>
        <w:t>5.3.1.1.3</w:t>
      </w:r>
      <w:r w:rsidRPr="0059443A">
        <w:rPr>
          <w:lang w:eastAsia="en-GB"/>
        </w:rPr>
        <w:tab/>
        <w:t>Au début, remplacer «risques» par «dangers». Remplacer «risque» par «danger» (quatre fois).</w:t>
      </w:r>
    </w:p>
    <w:p w14:paraId="0292F878" w14:textId="77777777" w:rsidR="00196C06" w:rsidRPr="0059443A" w:rsidRDefault="00196C06" w:rsidP="00196C06">
      <w:pPr>
        <w:spacing w:before="120" w:after="120" w:line="240" w:lineRule="auto"/>
        <w:ind w:left="1134" w:right="1134"/>
        <w:jc w:val="both"/>
        <w:rPr>
          <w:iCs/>
        </w:rPr>
      </w:pPr>
      <w:r w:rsidRPr="0059443A">
        <w:rPr>
          <w:iCs/>
        </w:rPr>
        <w:t>5.3.2.3.1</w:t>
      </w:r>
      <w:r w:rsidRPr="0059443A">
        <w:rPr>
          <w:iCs/>
        </w:rPr>
        <w:tab/>
        <w:t>Après «Un engin de transport» ajouter «ou conteneur pour vrac». Après «de l’engin» ajouter «de transport ou du conteneur pour vrac».</w:t>
      </w:r>
    </w:p>
    <w:p w14:paraId="0E8F930A" w14:textId="77777777" w:rsidR="00196C06" w:rsidRPr="0059443A" w:rsidRDefault="00196C06" w:rsidP="00196C06">
      <w:pPr>
        <w:spacing w:before="120" w:after="120" w:line="240" w:lineRule="auto"/>
        <w:ind w:left="1134" w:right="1134"/>
        <w:jc w:val="both"/>
        <w:rPr>
          <w:iCs/>
        </w:rPr>
      </w:pPr>
      <w:r w:rsidRPr="0059443A">
        <w:rPr>
          <w:iCs/>
        </w:rPr>
        <w:t>5.3.2.3.2</w:t>
      </w:r>
      <w:r w:rsidRPr="0059443A">
        <w:rPr>
          <w:iCs/>
        </w:rPr>
        <w:tab/>
        <w:t>Après «l</w:t>
      </w:r>
      <w:r w:rsidRPr="0059443A">
        <w:t>es engins de transport</w:t>
      </w:r>
      <w:r w:rsidRPr="0059443A">
        <w:rPr>
          <w:iCs/>
        </w:rPr>
        <w:t>» ajouter «</w:t>
      </w:r>
      <w:r w:rsidRPr="0059443A">
        <w:t>et les conteneurs pour vrac</w:t>
      </w:r>
      <w:r w:rsidRPr="0059443A">
        <w:rPr>
          <w:iCs/>
        </w:rPr>
        <w:t>».</w:t>
      </w:r>
    </w:p>
    <w:p w14:paraId="2806DF16" w14:textId="77777777" w:rsidR="00196C06" w:rsidRPr="0059443A" w:rsidRDefault="00196C06" w:rsidP="00196C06">
      <w:pPr>
        <w:pStyle w:val="H1G"/>
      </w:pPr>
      <w:r w:rsidRPr="0059443A">
        <w:tab/>
      </w:r>
      <w:r w:rsidRPr="0059443A">
        <w:tab/>
        <w:t>Chapitre 5.4</w:t>
      </w:r>
    </w:p>
    <w:p w14:paraId="2AA9059E" w14:textId="77777777" w:rsidR="00196C06" w:rsidRDefault="00196C06" w:rsidP="00196C06">
      <w:pPr>
        <w:pStyle w:val="SingleTxtG"/>
        <w:rPr>
          <w:i/>
          <w:iCs/>
        </w:rPr>
      </w:pPr>
      <w:r>
        <w:rPr>
          <w:lang w:val="fr-FR"/>
        </w:rPr>
        <w:t>5.4.1.4.1 c)</w:t>
      </w:r>
      <w:r>
        <w:rPr>
          <w:lang w:val="fr-FR"/>
        </w:rPr>
        <w:tab/>
        <w:t>Remplacer «risque» par «danger» (deux fois).</w:t>
      </w:r>
    </w:p>
    <w:p w14:paraId="626F7480" w14:textId="77777777" w:rsidR="00196C06" w:rsidRPr="0059443A" w:rsidRDefault="00196C06" w:rsidP="00196C06">
      <w:pPr>
        <w:pStyle w:val="SingleTxtG"/>
        <w:rPr>
          <w:iCs/>
          <w:lang w:val="fr-FR"/>
        </w:rPr>
      </w:pPr>
      <w:r w:rsidRPr="0059443A">
        <w:rPr>
          <w:lang w:eastAsia="en-GB"/>
        </w:rPr>
        <w:t>5.4.1.4.1 d)</w:t>
      </w:r>
      <w:r w:rsidRPr="0059443A">
        <w:rPr>
          <w:lang w:eastAsia="en-GB"/>
        </w:rPr>
        <w:tab/>
        <w:t>Remplacer «risque» par «danger» (quatre fois).</w:t>
      </w:r>
    </w:p>
    <w:p w14:paraId="55B0F02A" w14:textId="5BAA97FB" w:rsidR="008935F5" w:rsidRDefault="008935F5" w:rsidP="008935F5">
      <w:pPr>
        <w:pStyle w:val="SingleTxtG"/>
        <w:rPr>
          <w:lang w:val="fr-FR"/>
        </w:rPr>
      </w:pPr>
      <w:r>
        <w:rPr>
          <w:lang w:val="fr-FR"/>
        </w:rPr>
        <w:t>5.4.1.5.3</w:t>
      </w:r>
      <w:r>
        <w:rPr>
          <w:lang w:val="fr-FR"/>
        </w:rPr>
        <w:tab/>
      </w:r>
      <w:r w:rsidR="00EC70C8">
        <w:rPr>
          <w:lang w:val="fr-FR"/>
        </w:rPr>
        <w:t>Dans le titre et dans le texte suivant le titre, a</w:t>
      </w:r>
      <w:r>
        <w:rPr>
          <w:lang w:val="fr-FR"/>
        </w:rPr>
        <w:t>près «dans un emballage de secours» ajouter «, y compris dans un grand emballage de secours,».</w:t>
      </w:r>
    </w:p>
    <w:p w14:paraId="42154C74" w14:textId="708E8744" w:rsidR="00196C06" w:rsidRDefault="00196C06" w:rsidP="00196C06">
      <w:pPr>
        <w:pStyle w:val="SingleTxtG"/>
        <w:spacing w:before="120"/>
      </w:pPr>
      <w:r w:rsidRPr="008D2721">
        <w:t xml:space="preserve">5.4.1.5.5 </w:t>
      </w:r>
      <w:r>
        <w:tab/>
        <w:t xml:space="preserve">Dans le titre, après «Matières </w:t>
      </w:r>
      <w:proofErr w:type="spellStart"/>
      <w:r>
        <w:t>autoréactives</w:t>
      </w:r>
      <w:proofErr w:type="spellEnd"/>
      <w:r>
        <w:t xml:space="preserve">», insérer </w:t>
      </w:r>
      <w:r w:rsidRPr="007B5E4B">
        <w:t>«, matières qui polymérisent</w:t>
      </w:r>
      <w:r w:rsidRPr="00FC00AB">
        <w:t>».</w:t>
      </w:r>
      <w:r>
        <w:t xml:space="preserve"> </w:t>
      </w:r>
      <w:r w:rsidR="00C04392" w:rsidRPr="001C36CB">
        <w:rPr>
          <w:bCs/>
          <w:lang w:val="fr-FR"/>
        </w:rPr>
        <w:t xml:space="preserve">Dans le texte, remplacer </w:t>
      </w:r>
      <w:r w:rsidR="00C04392">
        <w:rPr>
          <w:bCs/>
          <w:lang w:val="fr-FR"/>
        </w:rPr>
        <w:t>«</w:t>
      </w:r>
      <w:r w:rsidR="00C04392" w:rsidRPr="001C36CB">
        <w:rPr>
          <w:bCs/>
          <w:lang w:val="fr-FR"/>
        </w:rPr>
        <w:t>et pour les peroxydes organiques</w:t>
      </w:r>
      <w:r w:rsidR="00C04392">
        <w:rPr>
          <w:bCs/>
          <w:lang w:val="fr-FR"/>
        </w:rPr>
        <w:t>»</w:t>
      </w:r>
      <w:r w:rsidR="00C04392" w:rsidRPr="001C36CB">
        <w:rPr>
          <w:bCs/>
          <w:lang w:val="fr-FR"/>
        </w:rPr>
        <w:t xml:space="preserve"> par </w:t>
      </w:r>
      <w:r w:rsidR="00C04392">
        <w:rPr>
          <w:bCs/>
          <w:lang w:val="fr-FR"/>
        </w:rPr>
        <w:t>«</w:t>
      </w:r>
      <w:r w:rsidR="00C04392" w:rsidRPr="001C36CB">
        <w:rPr>
          <w:bCs/>
          <w:lang w:val="fr-FR"/>
        </w:rPr>
        <w:t>, pour les peroxydes organiques et les matières qui polymérisent</w:t>
      </w:r>
      <w:r w:rsidR="00C04392">
        <w:rPr>
          <w:bCs/>
          <w:lang w:val="fr-FR"/>
        </w:rPr>
        <w:t>» et remplacer «7.1.5.3.1» par «7.1.5.3»</w:t>
      </w:r>
      <w:r w:rsidR="00C04392" w:rsidRPr="001C36CB">
        <w:rPr>
          <w:bCs/>
          <w:lang w:val="fr-FR"/>
        </w:rPr>
        <w:t>.</w:t>
      </w:r>
    </w:p>
    <w:p w14:paraId="7A462083" w14:textId="77777777" w:rsidR="00196C06" w:rsidRPr="0059443A" w:rsidRDefault="00196C06" w:rsidP="00196C06">
      <w:pPr>
        <w:pStyle w:val="SingleTxtG"/>
        <w:tabs>
          <w:tab w:val="left" w:pos="1854"/>
        </w:tabs>
        <w:rPr>
          <w:lang w:val="fr-FR"/>
        </w:rPr>
      </w:pPr>
      <w:r w:rsidRPr="0059443A">
        <w:rPr>
          <w:lang w:val="fr-FR"/>
        </w:rPr>
        <w:t>5.4.1.5.5.1</w:t>
      </w:r>
      <w:r w:rsidRPr="0059443A">
        <w:rPr>
          <w:lang w:val="fr-FR"/>
        </w:rPr>
        <w:tab/>
      </w:r>
      <w:r w:rsidRPr="0059443A">
        <w:rPr>
          <w:lang w:eastAsia="en-GB"/>
        </w:rPr>
        <w:t>Remplacer «risque» par «danger».</w:t>
      </w:r>
    </w:p>
    <w:p w14:paraId="7524D448" w14:textId="77777777" w:rsidR="00196C06" w:rsidRPr="0059443A" w:rsidRDefault="00196C06" w:rsidP="00196C06">
      <w:pPr>
        <w:pStyle w:val="SingleTxtG"/>
        <w:tabs>
          <w:tab w:val="left" w:pos="1854"/>
        </w:tabs>
        <w:rPr>
          <w:lang w:val="fr-FR"/>
        </w:rPr>
      </w:pPr>
      <w:r w:rsidRPr="0059443A">
        <w:rPr>
          <w:lang w:val="fr-FR"/>
        </w:rPr>
        <w:t>5.4.1.5.10</w:t>
      </w:r>
      <w:r w:rsidRPr="0059443A">
        <w:rPr>
          <w:lang w:val="fr-FR"/>
        </w:rPr>
        <w:tab/>
        <w:t>Dans le deuxième paragraphe, remplacer «le signe distinctif prévu pour les véhicules dans le trafic international» par «le signe distinctif utilisé sur les véhicules en circulation routière internationale</w:t>
      </w:r>
      <w:r w:rsidRPr="0059443A">
        <w:rPr>
          <w:b/>
          <w:vertAlign w:val="superscript"/>
          <w:lang w:val="fr-FR"/>
        </w:rPr>
        <w:t xml:space="preserve"> 3</w:t>
      </w:r>
      <w:r w:rsidRPr="0059443A">
        <w:rPr>
          <w:lang w:val="fr-FR"/>
        </w:rPr>
        <w:t>».</w:t>
      </w:r>
    </w:p>
    <w:p w14:paraId="20F0CEF6" w14:textId="77777777" w:rsidR="00196C06" w:rsidRPr="0059443A" w:rsidRDefault="00196C06" w:rsidP="00196C06">
      <w:pPr>
        <w:pStyle w:val="SingleTxtG"/>
        <w:tabs>
          <w:tab w:val="left" w:pos="1854"/>
        </w:tabs>
        <w:rPr>
          <w:lang w:val="fr-FR"/>
        </w:rPr>
      </w:pPr>
      <w:r w:rsidRPr="0059443A">
        <w:rPr>
          <w:lang w:val="fr-FR"/>
        </w:rPr>
        <w:t xml:space="preserve">La note de bas de page </w:t>
      </w:r>
      <w:r w:rsidRPr="0059443A">
        <w:rPr>
          <w:b/>
          <w:vertAlign w:val="superscript"/>
          <w:lang w:val="fr-FR"/>
        </w:rPr>
        <w:t>3</w:t>
      </w:r>
      <w:r w:rsidRPr="0059443A">
        <w:rPr>
          <w:lang w:val="fr-FR"/>
        </w:rPr>
        <w:t xml:space="preserve"> se lit comme suit:</w:t>
      </w:r>
    </w:p>
    <w:p w14:paraId="51407022" w14:textId="77777777" w:rsidR="00196C06" w:rsidRPr="0059443A" w:rsidRDefault="00196C06" w:rsidP="00196C06">
      <w:pPr>
        <w:pStyle w:val="SingleTxtG"/>
        <w:tabs>
          <w:tab w:val="left" w:pos="1854"/>
        </w:tabs>
        <w:rPr>
          <w:lang w:val="fr-FR"/>
        </w:rPr>
      </w:pPr>
      <w:r w:rsidRPr="0059443A">
        <w:rPr>
          <w:lang w:val="fr-FR"/>
        </w:rPr>
        <w:t>«</w:t>
      </w:r>
      <w:r w:rsidRPr="0059443A">
        <w:rPr>
          <w:b/>
          <w:vertAlign w:val="superscript"/>
          <w:lang w:val="fr-FR"/>
        </w:rPr>
        <w:t>3</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w:t>
      </w:r>
    </w:p>
    <w:p w14:paraId="301AAE1B" w14:textId="77777777" w:rsidR="00196C06" w:rsidRPr="0059443A" w:rsidRDefault="00196C06" w:rsidP="00196C06">
      <w:pPr>
        <w:pStyle w:val="SingleTxtG"/>
        <w:tabs>
          <w:tab w:val="left" w:pos="1854"/>
        </w:tabs>
        <w:rPr>
          <w:lang w:val="fr-FR"/>
        </w:rPr>
      </w:pPr>
      <w:r w:rsidRPr="0059443A">
        <w:rPr>
          <w:lang w:val="fr-FR"/>
        </w:rPr>
        <w:t>Dans le chapitre 5.4, renuméroter les notes de bas de page suivantes en conséquence.</w:t>
      </w:r>
    </w:p>
    <w:p w14:paraId="39C6D6F6" w14:textId="77777777" w:rsidR="00196C06" w:rsidRPr="0059443A" w:rsidRDefault="00196C06" w:rsidP="00196C06">
      <w:pPr>
        <w:pStyle w:val="H1G"/>
      </w:pPr>
      <w:r w:rsidRPr="0059443A">
        <w:tab/>
      </w:r>
      <w:r w:rsidRPr="0059443A">
        <w:tab/>
        <w:t>Chapitre 6.1</w:t>
      </w:r>
    </w:p>
    <w:p w14:paraId="1C317ECD" w14:textId="77777777" w:rsidR="00196C06" w:rsidRPr="00E36427" w:rsidRDefault="00196C06" w:rsidP="00196C06">
      <w:pPr>
        <w:pStyle w:val="SingleTxtG"/>
      </w:pPr>
      <w:r w:rsidRPr="00E36427">
        <w:t xml:space="preserve">Dans le titre du chapitre 6.1 supprimer </w:t>
      </w:r>
      <w:proofErr w:type="gramStart"/>
      <w:r>
        <w:t>«</w:t>
      </w:r>
      <w:r w:rsidRPr="00E36427">
        <w:t>(</w:t>
      </w:r>
      <w:proofErr w:type="gramEnd"/>
      <w:r w:rsidRPr="00E36427">
        <w:t>AUTRES QUE LES EMBALLAGES POUR L</w:t>
      </w:r>
      <w:r>
        <w:t>ES MATIÈRES DE LA DIVISION 6.2)</w:t>
      </w:r>
      <w:r w:rsidRPr="00E36427">
        <w:t>».</w:t>
      </w:r>
    </w:p>
    <w:p w14:paraId="1AF1A67F" w14:textId="77777777" w:rsidR="00196C06" w:rsidRPr="0059443A" w:rsidRDefault="00196C06" w:rsidP="00196C06">
      <w:pPr>
        <w:pStyle w:val="SingleTxtG"/>
        <w:tabs>
          <w:tab w:val="left" w:pos="1854"/>
        </w:tabs>
        <w:rPr>
          <w:lang w:val="fr-FR"/>
        </w:rPr>
      </w:pPr>
      <w:r w:rsidRPr="0059443A">
        <w:rPr>
          <w:lang w:val="fr-FR"/>
        </w:rPr>
        <w:t>6.1.1.1 a) i)</w:t>
      </w:r>
      <w:r w:rsidRPr="0059443A">
        <w:rPr>
          <w:lang w:val="fr-FR"/>
        </w:rPr>
        <w:tab/>
      </w:r>
      <w:r w:rsidRPr="0059443A">
        <w:rPr>
          <w:lang w:eastAsia="en-GB"/>
        </w:rPr>
        <w:t>Remplacer «risques» par «dangers».</w:t>
      </w:r>
    </w:p>
    <w:p w14:paraId="14690134" w14:textId="77777777" w:rsidR="00196C06" w:rsidRPr="00E36427" w:rsidRDefault="00196C06" w:rsidP="00196C06">
      <w:pPr>
        <w:pStyle w:val="SingleTxtG"/>
      </w:pPr>
      <w:r w:rsidRPr="00E36427">
        <w:t>6.1.1.1</w:t>
      </w:r>
      <w:r w:rsidRPr="00E36427">
        <w:tab/>
      </w:r>
      <w:r>
        <w:tab/>
      </w:r>
      <w:r w:rsidRPr="00E36427">
        <w:t>Ajouter un nouvel alinéa</w:t>
      </w:r>
      <w:r>
        <w:t> </w:t>
      </w:r>
      <w:r w:rsidRPr="00E36427">
        <w:t>e) ainsi conçu:</w:t>
      </w:r>
    </w:p>
    <w:p w14:paraId="1B5FD719" w14:textId="77777777" w:rsidR="00196C06" w:rsidRPr="00E36427" w:rsidRDefault="00196C06" w:rsidP="00196C06">
      <w:pPr>
        <w:pStyle w:val="SingleTxtG"/>
      </w:pPr>
      <w:r>
        <w:t>«</w:t>
      </w:r>
      <w:proofErr w:type="gramStart"/>
      <w:r w:rsidRPr="00E36427">
        <w:t>e</w:t>
      </w:r>
      <w:proofErr w:type="gramEnd"/>
      <w:r w:rsidRPr="00E36427">
        <w:t>)</w:t>
      </w:r>
      <w:r w:rsidRPr="00E36427">
        <w:tab/>
        <w:t xml:space="preserve">aux emballages pour les matières infectieuses </w:t>
      </w:r>
      <w:r>
        <w:t>de la division 6.2 catégorie A.</w:t>
      </w:r>
      <w:r w:rsidRPr="00E36427">
        <w:t>».</w:t>
      </w:r>
    </w:p>
    <w:p w14:paraId="0C809BEA" w14:textId="77777777" w:rsidR="00196C06" w:rsidRDefault="00196C06" w:rsidP="00196C06">
      <w:pPr>
        <w:pStyle w:val="SingleTxtG"/>
        <w:tabs>
          <w:tab w:val="left" w:pos="1854"/>
        </w:tabs>
        <w:rPr>
          <w:lang w:val="fr-FR"/>
        </w:rPr>
      </w:pPr>
      <w:r w:rsidRPr="00EF61FC">
        <w:rPr>
          <w:lang w:val="fr-FR"/>
        </w:rPr>
        <w:t>6.1.3 Nota 3</w:t>
      </w:r>
      <w:r>
        <w:rPr>
          <w:lang w:val="fr-FR"/>
        </w:rPr>
        <w:tab/>
      </w:r>
      <w:r>
        <w:rPr>
          <w:lang w:val="fr-FR"/>
        </w:rPr>
        <w:tab/>
        <w:t>Remplacer «risque» par «danger».</w:t>
      </w:r>
    </w:p>
    <w:p w14:paraId="7BC94467" w14:textId="77777777" w:rsidR="00196C06" w:rsidRDefault="00196C06" w:rsidP="00196C06">
      <w:pPr>
        <w:pStyle w:val="SingleTxtG"/>
        <w:tabs>
          <w:tab w:val="left" w:pos="1854"/>
        </w:tabs>
        <w:rPr>
          <w:lang w:val="fr-FR"/>
        </w:rPr>
      </w:pPr>
      <w:r w:rsidRPr="0059443A">
        <w:rPr>
          <w:lang w:val="fr-FR"/>
        </w:rPr>
        <w:lastRenderedPageBreak/>
        <w:t>6.1.3.1 f)</w:t>
      </w:r>
      <w:r w:rsidRPr="0059443A">
        <w:rPr>
          <w:lang w:val="fr-FR"/>
        </w:rPr>
        <w:tab/>
        <w:t>Remplacer «le signe distinctif prévu pour les véhicules dans le trafic international» par «le signe distinctif utilisé sur les véhicules en circulation routière internationale</w:t>
      </w:r>
      <w:r w:rsidRPr="0059443A">
        <w:rPr>
          <w:b/>
          <w:vertAlign w:val="superscript"/>
          <w:lang w:val="fr-FR"/>
        </w:rPr>
        <w:t>2</w:t>
      </w:r>
      <w:r w:rsidRPr="0059443A">
        <w:rPr>
          <w:lang w:val="fr-FR"/>
        </w:rPr>
        <w:t>».</w:t>
      </w:r>
    </w:p>
    <w:p w14:paraId="73522D5C" w14:textId="77777777" w:rsidR="00196C06" w:rsidRPr="0059443A" w:rsidRDefault="00196C06" w:rsidP="00196C06">
      <w:pPr>
        <w:pStyle w:val="SingleTxtG"/>
        <w:tabs>
          <w:tab w:val="left" w:pos="1854"/>
        </w:tabs>
        <w:rPr>
          <w:lang w:val="fr-FR"/>
        </w:rPr>
      </w:pPr>
      <w:r w:rsidRPr="0059443A">
        <w:rPr>
          <w:lang w:val="fr-FR"/>
        </w:rPr>
        <w:t>6.1.3.8 h)</w:t>
      </w:r>
      <w:r w:rsidRPr="0059443A">
        <w:rPr>
          <w:lang w:val="fr-FR"/>
        </w:rPr>
        <w:tab/>
        <w:t>Remplacer «le signe distinctif prévu pour les véhicules dans le trafic international» par «le signe distinctif utilisé sur les véhicules en circulation routière internationale</w:t>
      </w:r>
      <w:r w:rsidRPr="0059443A">
        <w:rPr>
          <w:b/>
          <w:vertAlign w:val="superscript"/>
          <w:lang w:val="fr-FR"/>
        </w:rPr>
        <w:t>2</w:t>
      </w:r>
      <w:r w:rsidRPr="0059443A">
        <w:rPr>
          <w:lang w:val="fr-FR"/>
        </w:rPr>
        <w:t>».</w:t>
      </w:r>
    </w:p>
    <w:p w14:paraId="32A30BB3" w14:textId="77777777" w:rsidR="00196C06" w:rsidRPr="0059443A" w:rsidRDefault="00196C06" w:rsidP="00196C06">
      <w:pPr>
        <w:pStyle w:val="SingleTxtG"/>
        <w:tabs>
          <w:tab w:val="left" w:pos="1854"/>
        </w:tabs>
        <w:rPr>
          <w:lang w:val="fr-FR"/>
        </w:rPr>
      </w:pPr>
      <w:r w:rsidRPr="0059443A">
        <w:rPr>
          <w:lang w:val="fr-FR"/>
        </w:rPr>
        <w:t xml:space="preserve">La note de bas de page </w:t>
      </w:r>
      <w:r w:rsidRPr="0059443A">
        <w:rPr>
          <w:b/>
          <w:vertAlign w:val="superscript"/>
          <w:lang w:val="fr-FR"/>
        </w:rPr>
        <w:t>2</w:t>
      </w:r>
      <w:r w:rsidRPr="0059443A">
        <w:rPr>
          <w:lang w:val="fr-FR"/>
        </w:rPr>
        <w:t xml:space="preserve"> se lit comme suit:</w:t>
      </w:r>
    </w:p>
    <w:p w14:paraId="34048D72" w14:textId="77777777" w:rsidR="00196C06" w:rsidRPr="0059443A" w:rsidRDefault="00196C06" w:rsidP="00196C06">
      <w:pPr>
        <w:pStyle w:val="SingleTxtG"/>
        <w:tabs>
          <w:tab w:val="left" w:pos="1854"/>
        </w:tabs>
        <w:rPr>
          <w:lang w:val="fr-FR"/>
        </w:rPr>
      </w:pPr>
      <w:r w:rsidRPr="0059443A" w:rsidDel="00DD246D">
        <w:rPr>
          <w:lang w:val="fr-FR"/>
        </w:rPr>
        <w:t xml:space="preserve"> </w:t>
      </w:r>
      <w:r w:rsidRPr="0059443A">
        <w:rPr>
          <w:lang w:val="fr-FR"/>
        </w:rPr>
        <w:t>«</w:t>
      </w:r>
      <w:r w:rsidRPr="0059443A">
        <w:rPr>
          <w:b/>
          <w:vertAlign w:val="superscript"/>
          <w:lang w:val="fr-FR"/>
        </w:rPr>
        <w:t>2</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w:t>
      </w:r>
    </w:p>
    <w:p w14:paraId="4D587492" w14:textId="77777777" w:rsidR="00196C06" w:rsidRPr="0059443A" w:rsidRDefault="00196C06" w:rsidP="00196C06">
      <w:pPr>
        <w:pStyle w:val="SingleTxtG"/>
        <w:rPr>
          <w:iCs/>
          <w:lang w:val="fr-FR"/>
        </w:rPr>
      </w:pPr>
      <w:r w:rsidRPr="0059443A">
        <w:rPr>
          <w:iCs/>
          <w:lang w:val="fr-FR"/>
        </w:rPr>
        <w:t>6.1.5.7</w:t>
      </w:r>
      <w:r w:rsidRPr="0059443A">
        <w:rPr>
          <w:iCs/>
          <w:lang w:val="fr-FR"/>
        </w:rPr>
        <w:tab/>
      </w:r>
      <w:r w:rsidRPr="0059443A">
        <w:rPr>
          <w:iCs/>
          <w:lang w:val="fr-FR"/>
        </w:rPr>
        <w:tab/>
        <w:t xml:space="preserve">Ajouter la phrase suivante à la fin du point </w:t>
      </w:r>
      <w:proofErr w:type="gramStart"/>
      <w:r w:rsidRPr="0059443A">
        <w:rPr>
          <w:iCs/>
          <w:lang w:val="fr-FR"/>
        </w:rPr>
        <w:t>8.:</w:t>
      </w:r>
      <w:proofErr w:type="gramEnd"/>
      <w:r w:rsidRPr="0059443A">
        <w:rPr>
          <w:iCs/>
          <w:lang w:val="fr-FR"/>
        </w:rPr>
        <w:t xml:space="preserve"> «Pour les emballages en plastique soumis à l’épreuve de pression interne du 6.1.5.5, la température de l’eau utilisée.».</w:t>
      </w:r>
    </w:p>
    <w:p w14:paraId="30F56121" w14:textId="77777777" w:rsidR="00196C06" w:rsidRPr="0059443A" w:rsidRDefault="00196C06" w:rsidP="00196C06">
      <w:pPr>
        <w:pStyle w:val="H1G"/>
      </w:pPr>
      <w:r w:rsidRPr="0059443A">
        <w:tab/>
      </w:r>
      <w:r w:rsidRPr="0059443A">
        <w:tab/>
        <w:t>Chapitre 6.2</w:t>
      </w:r>
    </w:p>
    <w:p w14:paraId="509BFD83" w14:textId="77777777" w:rsidR="00196C06" w:rsidRDefault="00196C06" w:rsidP="00196C06">
      <w:pPr>
        <w:pStyle w:val="SingleTxtG"/>
        <w:tabs>
          <w:tab w:val="left" w:pos="2268"/>
        </w:tabs>
        <w:spacing w:before="120"/>
      </w:pPr>
      <w:r w:rsidRPr="0059443A">
        <w:t>6.2.1.6.1 d)</w:t>
      </w:r>
      <w:r w:rsidRPr="0059443A">
        <w:tab/>
        <w:t xml:space="preserve">Modifier le Nota 2 pour lire comme suit: </w:t>
      </w:r>
    </w:p>
    <w:p w14:paraId="0B597238" w14:textId="77777777" w:rsidR="00196C06" w:rsidRPr="0059443A" w:rsidRDefault="00196C06" w:rsidP="00196C06">
      <w:pPr>
        <w:pStyle w:val="SingleTxtG"/>
        <w:tabs>
          <w:tab w:val="left" w:pos="2268"/>
        </w:tabs>
        <w:spacing w:before="120"/>
      </w:pPr>
      <w:r w:rsidRPr="0059443A">
        <w:t>«</w:t>
      </w:r>
      <w:r w:rsidRPr="0059443A">
        <w:rPr>
          <w:b/>
          <w:i/>
        </w:rPr>
        <w:t>NOTA 2:</w:t>
      </w:r>
      <w:r w:rsidRPr="0059443A">
        <w:rPr>
          <w:i/>
        </w:rPr>
        <w:t xml:space="preserve"> Pour les bouteilles et tubes en acier sans soudure, le contrôle du 6.2.1.6.1 b) et l’épreuve de pression hydraulique du 6.2.1.6.1 d) peuvent être remplacés par une procédure conforme à la norme ISO 16148:2016 "Bouteilles à gaz – Bouteilles à gaz rechargeables en acier sans soudure et tubes – Essais d'émission acoustique et examen ultrasonique complémentaire pour l'inspection périodique et l'essai".</w:t>
      </w:r>
      <w:r w:rsidRPr="0059443A">
        <w:t>».</w:t>
      </w:r>
    </w:p>
    <w:p w14:paraId="14D7B920" w14:textId="77777777" w:rsidR="00196C06" w:rsidRPr="0059443A" w:rsidRDefault="00196C06" w:rsidP="00196C06">
      <w:pPr>
        <w:pStyle w:val="SingleTxtG"/>
        <w:tabs>
          <w:tab w:val="left" w:pos="2268"/>
        </w:tabs>
        <w:spacing w:before="120"/>
      </w:pPr>
      <w:r w:rsidRPr="0059443A">
        <w:t>6.2.1.6.1 d)</w:t>
      </w:r>
      <w:r w:rsidRPr="0059443A">
        <w:tab/>
        <w:t xml:space="preserve">Dans le Nota 3, </w:t>
      </w:r>
      <w:proofErr w:type="gramStart"/>
      <w:r w:rsidRPr="0059443A">
        <w:t>remplacer</w:t>
      </w:r>
      <w:proofErr w:type="gramEnd"/>
      <w:r w:rsidRPr="0059443A">
        <w:t xml:space="preserve"> «</w:t>
      </w:r>
      <w:r w:rsidRPr="0059443A">
        <w:rPr>
          <w:i/>
          <w:iCs/>
        </w:rPr>
        <w:t>L’épreuve de pression hydraulique peut être remplacée</w:t>
      </w:r>
      <w:r w:rsidRPr="0059443A">
        <w:t>» ajouter «</w:t>
      </w:r>
      <w:r w:rsidRPr="0059443A">
        <w:rPr>
          <w:i/>
        </w:rPr>
        <w:t>Le contrôle du 6.2.1.6.1 b) et l</w:t>
      </w:r>
      <w:r w:rsidRPr="0059443A">
        <w:rPr>
          <w:i/>
          <w:iCs/>
        </w:rPr>
        <w:t>’épreuve de pression hydraulique</w:t>
      </w:r>
      <w:r w:rsidRPr="0059443A">
        <w:rPr>
          <w:i/>
        </w:rPr>
        <w:t xml:space="preserve"> du 6.2.1.6.1 d) peuvent être remplacés</w:t>
      </w:r>
      <w:r w:rsidRPr="0059443A">
        <w:t>».</w:t>
      </w:r>
    </w:p>
    <w:p w14:paraId="341265E6" w14:textId="77777777" w:rsidR="00196C06" w:rsidRPr="00B24042" w:rsidRDefault="00196C06" w:rsidP="00196C06">
      <w:pPr>
        <w:pStyle w:val="SingleTxtG"/>
        <w:spacing w:before="120"/>
        <w:rPr>
          <w:lang w:val="fr-FR"/>
        </w:rPr>
      </w:pPr>
      <w:r w:rsidRPr="00B24042">
        <w:rPr>
          <w:lang w:val="fr-FR"/>
        </w:rPr>
        <w:t>6.2.2.1.1</w:t>
      </w:r>
      <w:r w:rsidRPr="00B24042">
        <w:rPr>
          <w:lang w:val="fr-FR"/>
        </w:rPr>
        <w:tab/>
      </w:r>
      <w:r>
        <w:rPr>
          <w:lang w:val="fr-FR"/>
        </w:rPr>
        <w:t>Dans le tableau, p</w:t>
      </w:r>
      <w:r w:rsidRPr="00B24042">
        <w:rPr>
          <w:lang w:val="fr-FR"/>
        </w:rPr>
        <w:t xml:space="preserve">our la norme «ISO </w:t>
      </w:r>
      <w:r>
        <w:t>11118</w:t>
      </w:r>
      <w:r w:rsidRPr="00B24042">
        <w:t>:1999</w:t>
      </w:r>
      <w:r w:rsidRPr="00B24042">
        <w:rPr>
          <w:lang w:val="fr-FR"/>
        </w:rPr>
        <w:t>», dans la colonne «Applicable à la fabrication», remplacer «Jusqu’à nouvel ordre» par «Jusqu’au 31 décembre 2020».</w:t>
      </w:r>
    </w:p>
    <w:p w14:paraId="40DC09C6" w14:textId="77777777" w:rsidR="00196C06" w:rsidRPr="00B24042" w:rsidRDefault="00196C06" w:rsidP="00196C06">
      <w:pPr>
        <w:pStyle w:val="SingleTxtG"/>
        <w:spacing w:before="120"/>
        <w:rPr>
          <w:lang w:val="fr-FR"/>
        </w:rPr>
      </w:pPr>
      <w:r w:rsidRPr="00B24042">
        <w:rPr>
          <w:lang w:val="fr-FR"/>
        </w:rPr>
        <w:t>6.2.2.1.1</w:t>
      </w:r>
      <w:r w:rsidRPr="00B24042">
        <w:rPr>
          <w:lang w:val="fr-FR"/>
        </w:rPr>
        <w:tab/>
      </w:r>
      <w:r>
        <w:rPr>
          <w:lang w:val="fr-FR"/>
        </w:rPr>
        <w:t>Dans le tableau, a</w:t>
      </w:r>
      <w:r w:rsidRPr="00B24042">
        <w:rPr>
          <w:lang w:val="fr-FR"/>
        </w:rPr>
        <w:t xml:space="preserve">près la norme «ISO </w:t>
      </w:r>
      <w:r>
        <w:t>11118</w:t>
      </w:r>
      <w:r w:rsidRPr="00B24042">
        <w:t>:1999</w:t>
      </w:r>
      <w:r w:rsidRPr="00B24042">
        <w:rPr>
          <w:lang w:val="fr-FR"/>
        </w:rPr>
        <w:t>»</w:t>
      </w:r>
      <w:r>
        <w:rPr>
          <w:lang w:val="fr-FR"/>
        </w:rPr>
        <w:t>,</w:t>
      </w:r>
      <w:r w:rsidRPr="00B24042">
        <w:rPr>
          <w:lang w:val="fr-FR"/>
        </w:rPr>
        <w:t xml:space="preserve"> ajouter la nouvelle ligne suivante:</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196C06" w:rsidRPr="00B24042" w14:paraId="5D713EE5" w14:textId="77777777" w:rsidTr="006201FD">
        <w:trPr>
          <w:cantSplit/>
        </w:trPr>
        <w:tc>
          <w:tcPr>
            <w:tcW w:w="1814" w:type="dxa"/>
            <w:shd w:val="clear" w:color="auto" w:fill="auto"/>
          </w:tcPr>
          <w:p w14:paraId="546FD1A0" w14:textId="77777777" w:rsidR="00196C06" w:rsidRPr="00B24042" w:rsidRDefault="00196C06" w:rsidP="006201FD">
            <w:pPr>
              <w:suppressAutoHyphens w:val="0"/>
              <w:spacing w:before="60" w:after="60" w:line="240" w:lineRule="auto"/>
              <w:ind w:right="113"/>
              <w:rPr>
                <w:lang w:val="fr-FR"/>
              </w:rPr>
            </w:pPr>
            <w:r w:rsidRPr="00B24042">
              <w:rPr>
                <w:lang w:val="fr-FR"/>
              </w:rPr>
              <w:t xml:space="preserve">ISO </w:t>
            </w:r>
            <w:r>
              <w:t>11118</w:t>
            </w:r>
            <w:r w:rsidRPr="00B24042">
              <w:t>:</w:t>
            </w:r>
            <w:r>
              <w:t>2015</w:t>
            </w:r>
          </w:p>
        </w:tc>
        <w:tc>
          <w:tcPr>
            <w:tcW w:w="4763" w:type="dxa"/>
            <w:shd w:val="clear" w:color="auto" w:fill="auto"/>
          </w:tcPr>
          <w:p w14:paraId="60C9BD71" w14:textId="77777777" w:rsidR="00196C06" w:rsidRPr="00B24042" w:rsidRDefault="00196C06" w:rsidP="006201FD">
            <w:pPr>
              <w:suppressAutoHyphens w:val="0"/>
              <w:spacing w:before="60" w:after="60" w:line="240" w:lineRule="auto"/>
              <w:ind w:right="113"/>
              <w:rPr>
                <w:lang w:val="fr-FR"/>
              </w:rPr>
            </w:pPr>
            <w:r w:rsidRPr="00B24042">
              <w:t xml:space="preserve">Bouteilles à gaz − Bouteilles à gaz </w:t>
            </w:r>
            <w:r>
              <w:t>métalliques non rechargeables – Spécifications et méthodes d’essai</w:t>
            </w:r>
          </w:p>
          <w:p w14:paraId="36757B7B" w14:textId="77777777" w:rsidR="00196C06" w:rsidRPr="00B24042" w:rsidRDefault="00196C06" w:rsidP="006201FD">
            <w:pPr>
              <w:suppressAutoHyphens w:val="0"/>
              <w:spacing w:before="60" w:after="60" w:line="240" w:lineRule="auto"/>
              <w:ind w:right="113"/>
              <w:rPr>
                <w:lang w:val="fr-FR"/>
              </w:rPr>
            </w:pPr>
          </w:p>
        </w:tc>
        <w:tc>
          <w:tcPr>
            <w:tcW w:w="1985" w:type="dxa"/>
            <w:shd w:val="clear" w:color="auto" w:fill="auto"/>
          </w:tcPr>
          <w:p w14:paraId="540EF8F2" w14:textId="77777777" w:rsidR="00196C06" w:rsidRPr="00B24042" w:rsidRDefault="00196C06" w:rsidP="006201FD">
            <w:pPr>
              <w:suppressAutoHyphens w:val="0"/>
              <w:spacing w:before="60" w:after="60" w:line="240" w:lineRule="auto"/>
              <w:ind w:right="113"/>
              <w:rPr>
                <w:lang w:val="fr-FR"/>
              </w:rPr>
            </w:pPr>
            <w:r w:rsidRPr="00B24042">
              <w:rPr>
                <w:lang w:val="fr-FR"/>
              </w:rPr>
              <w:t>Jusqu’à nouvel ordre</w:t>
            </w:r>
          </w:p>
        </w:tc>
      </w:tr>
    </w:tbl>
    <w:p w14:paraId="35F4B512" w14:textId="77777777" w:rsidR="00196C06" w:rsidRPr="00B24042" w:rsidRDefault="00196C06" w:rsidP="00196C06">
      <w:pPr>
        <w:pStyle w:val="SingleTxtG"/>
        <w:spacing w:before="120"/>
        <w:rPr>
          <w:lang w:val="fr-FR"/>
        </w:rPr>
      </w:pPr>
      <w:r>
        <w:rPr>
          <w:lang w:val="fr-FR"/>
        </w:rPr>
        <w:t>6.2.2.1.2</w:t>
      </w:r>
      <w:r>
        <w:rPr>
          <w:lang w:val="fr-FR"/>
        </w:rPr>
        <w:tab/>
        <w:t>Dans le tableau, p</w:t>
      </w:r>
      <w:r w:rsidRPr="00B24042">
        <w:rPr>
          <w:lang w:val="fr-FR"/>
        </w:rPr>
        <w:t xml:space="preserve">our la norme «ISO </w:t>
      </w:r>
      <w:r>
        <w:t>11120</w:t>
      </w:r>
      <w:r w:rsidRPr="00B24042">
        <w:t>:1999</w:t>
      </w:r>
      <w:r w:rsidRPr="00B24042">
        <w:rPr>
          <w:lang w:val="fr-FR"/>
        </w:rPr>
        <w:t>», dans la colonne «Applicable à la fabrication», remplacer «Jusqu’à nouvel ordre» par «Jusqu’au 31 décembre 202</w:t>
      </w:r>
      <w:r>
        <w:rPr>
          <w:lang w:val="fr-FR"/>
        </w:rPr>
        <w:t>2</w:t>
      </w:r>
      <w:r w:rsidRPr="00B24042">
        <w:rPr>
          <w:lang w:val="fr-FR"/>
        </w:rPr>
        <w:t>».</w:t>
      </w:r>
    </w:p>
    <w:p w14:paraId="07D3491C" w14:textId="77777777" w:rsidR="00196C06" w:rsidRPr="00B24042" w:rsidRDefault="00196C06" w:rsidP="00196C06">
      <w:pPr>
        <w:pStyle w:val="SingleTxtG"/>
        <w:spacing w:before="120"/>
        <w:rPr>
          <w:lang w:val="fr-FR"/>
        </w:rPr>
      </w:pPr>
      <w:r>
        <w:rPr>
          <w:lang w:val="fr-FR"/>
        </w:rPr>
        <w:t>6.2.2.1.2</w:t>
      </w:r>
      <w:r w:rsidRPr="00B24042">
        <w:rPr>
          <w:lang w:val="fr-FR"/>
        </w:rPr>
        <w:tab/>
      </w:r>
      <w:r>
        <w:rPr>
          <w:lang w:val="fr-FR"/>
        </w:rPr>
        <w:t>Dans le tableau, a</w:t>
      </w:r>
      <w:r w:rsidRPr="00B24042">
        <w:rPr>
          <w:lang w:val="fr-FR"/>
        </w:rPr>
        <w:t xml:space="preserve">près la norme «ISO </w:t>
      </w:r>
      <w:r>
        <w:t>11120</w:t>
      </w:r>
      <w:r w:rsidRPr="00B24042">
        <w:t>:1999</w:t>
      </w:r>
      <w:r w:rsidRPr="00B24042">
        <w:rPr>
          <w:lang w:val="fr-FR"/>
        </w:rPr>
        <w:t>»</w:t>
      </w:r>
      <w:r>
        <w:rPr>
          <w:lang w:val="fr-FR"/>
        </w:rPr>
        <w:t>,</w:t>
      </w:r>
      <w:r w:rsidRPr="00B24042">
        <w:rPr>
          <w:lang w:val="fr-FR"/>
        </w:rPr>
        <w:t xml:space="preserve"> ajouter la nouvelle ligne suivante:</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196C06" w:rsidRPr="00B24042" w14:paraId="62F6EE23" w14:textId="77777777" w:rsidTr="006201FD">
        <w:trPr>
          <w:cantSplit/>
        </w:trPr>
        <w:tc>
          <w:tcPr>
            <w:tcW w:w="1814" w:type="dxa"/>
            <w:shd w:val="clear" w:color="auto" w:fill="auto"/>
          </w:tcPr>
          <w:p w14:paraId="4FA87B48" w14:textId="77777777" w:rsidR="00196C06" w:rsidRPr="00B24042" w:rsidRDefault="00196C06" w:rsidP="006201FD">
            <w:pPr>
              <w:suppressAutoHyphens w:val="0"/>
              <w:spacing w:before="60" w:after="60" w:line="240" w:lineRule="auto"/>
              <w:ind w:right="113"/>
              <w:rPr>
                <w:lang w:val="fr-FR"/>
              </w:rPr>
            </w:pPr>
            <w:r w:rsidRPr="00B24042">
              <w:rPr>
                <w:lang w:val="fr-FR"/>
              </w:rPr>
              <w:t xml:space="preserve">ISO </w:t>
            </w:r>
            <w:r>
              <w:t>11120</w:t>
            </w:r>
            <w:r w:rsidRPr="00B24042">
              <w:t>:</w:t>
            </w:r>
            <w:r>
              <w:t>2015</w:t>
            </w:r>
          </w:p>
        </w:tc>
        <w:tc>
          <w:tcPr>
            <w:tcW w:w="4763" w:type="dxa"/>
            <w:shd w:val="clear" w:color="auto" w:fill="auto"/>
          </w:tcPr>
          <w:p w14:paraId="0D8E5745" w14:textId="77777777" w:rsidR="00196C06" w:rsidRPr="00B24042" w:rsidRDefault="00196C06" w:rsidP="006201FD">
            <w:pPr>
              <w:suppressAutoHyphens w:val="0"/>
              <w:spacing w:before="60" w:after="60" w:line="240" w:lineRule="auto"/>
              <w:ind w:right="113"/>
              <w:rPr>
                <w:lang w:val="fr-FR"/>
              </w:rPr>
            </w:pPr>
            <w:r w:rsidRPr="00B24042">
              <w:t xml:space="preserve">Bouteilles à gaz </w:t>
            </w:r>
            <w:r>
              <w:t>–</w:t>
            </w:r>
            <w:r w:rsidRPr="00B24042">
              <w:t> </w:t>
            </w:r>
            <w:r>
              <w:t xml:space="preserve">Tubes en acier sans soudure rechargeables d’une contenance en eau de 150 </w:t>
            </w:r>
            <w:r w:rsidRPr="00791025">
              <w:rPr>
                <w:i/>
              </w:rPr>
              <w:t xml:space="preserve">l </w:t>
            </w:r>
            <w:r>
              <w:t xml:space="preserve">à 3000 </w:t>
            </w:r>
            <w:r w:rsidRPr="00791025">
              <w:rPr>
                <w:i/>
              </w:rPr>
              <w:t xml:space="preserve">l </w:t>
            </w:r>
            <w:r>
              <w:t>– Conception, construction et essais</w:t>
            </w:r>
          </w:p>
          <w:p w14:paraId="28B6AAF0" w14:textId="77777777" w:rsidR="00196C06" w:rsidRPr="00B24042" w:rsidRDefault="00196C06" w:rsidP="006201FD">
            <w:pPr>
              <w:suppressAutoHyphens w:val="0"/>
              <w:spacing w:before="60" w:after="60" w:line="240" w:lineRule="auto"/>
              <w:ind w:right="113"/>
              <w:rPr>
                <w:lang w:val="fr-FR"/>
              </w:rPr>
            </w:pPr>
          </w:p>
        </w:tc>
        <w:tc>
          <w:tcPr>
            <w:tcW w:w="1985" w:type="dxa"/>
            <w:shd w:val="clear" w:color="auto" w:fill="auto"/>
          </w:tcPr>
          <w:p w14:paraId="02C88DDC" w14:textId="77777777" w:rsidR="00196C06" w:rsidRPr="00B24042" w:rsidRDefault="00196C06" w:rsidP="006201FD">
            <w:pPr>
              <w:suppressAutoHyphens w:val="0"/>
              <w:spacing w:before="60" w:after="60" w:line="240" w:lineRule="auto"/>
              <w:ind w:right="113"/>
              <w:rPr>
                <w:lang w:val="fr-FR"/>
              </w:rPr>
            </w:pPr>
            <w:r w:rsidRPr="00B24042">
              <w:rPr>
                <w:lang w:val="fr-FR"/>
              </w:rPr>
              <w:t>Jusqu’à nouvel ordre</w:t>
            </w:r>
          </w:p>
        </w:tc>
      </w:tr>
    </w:tbl>
    <w:p w14:paraId="36290BC0" w14:textId="77777777" w:rsidR="00196C06" w:rsidRDefault="00196C06" w:rsidP="00196C06">
      <w:pPr>
        <w:pStyle w:val="SingleTxtG"/>
        <w:tabs>
          <w:tab w:val="left" w:pos="2268"/>
        </w:tabs>
        <w:spacing w:before="120"/>
        <w:rPr>
          <w:lang w:val="fr-FR"/>
        </w:rPr>
      </w:pPr>
      <w:r>
        <w:rPr>
          <w:lang w:val="fr-FR"/>
        </w:rPr>
        <w:t>6.2.2.1</w:t>
      </w:r>
      <w:r>
        <w:rPr>
          <w:lang w:val="fr-FR"/>
        </w:rPr>
        <w:tab/>
        <w:t>Ajouter le nouveau paragraphe 6.2.2.1.8 suivant:</w:t>
      </w:r>
    </w:p>
    <w:p w14:paraId="5FB4943F" w14:textId="77777777" w:rsidR="00196C06" w:rsidRDefault="00196C06" w:rsidP="00196C06">
      <w:pPr>
        <w:pStyle w:val="SingleTxtG"/>
        <w:spacing w:before="120"/>
        <w:rPr>
          <w:lang w:val="fr-FR"/>
        </w:rPr>
      </w:pPr>
      <w:r>
        <w:rPr>
          <w:lang w:val="fr-FR"/>
        </w:rPr>
        <w:lastRenderedPageBreak/>
        <w:t>«</w:t>
      </w:r>
      <w:r w:rsidRPr="00650B2E">
        <w:rPr>
          <w:lang w:val="fr-FR"/>
        </w:rPr>
        <w:t>6.2.2.1.8</w:t>
      </w:r>
      <w:r w:rsidRPr="00650B2E">
        <w:rPr>
          <w:lang w:val="fr-FR"/>
        </w:rPr>
        <w:tab/>
      </w:r>
      <w:r>
        <w:rPr>
          <w:lang w:val="fr-FR"/>
        </w:rPr>
        <w:t xml:space="preserve">Les </w:t>
      </w:r>
      <w:r w:rsidRPr="0059443A">
        <w:t>normes ci-après s’appliquent</w:t>
      </w:r>
      <w:r w:rsidRPr="00650B2E">
        <w:rPr>
          <w:lang w:val="fr-FR"/>
        </w:rPr>
        <w:t xml:space="preserve"> à la conception, à la construction ainsi qu</w:t>
      </w:r>
      <w:r>
        <w:rPr>
          <w:lang w:val="fr-FR"/>
        </w:rPr>
        <w:t>’</w:t>
      </w:r>
      <w:r w:rsidRPr="00650B2E">
        <w:rPr>
          <w:lang w:val="fr-FR"/>
        </w:rPr>
        <w:t xml:space="preserve">aux contrôles et aux épreuves initiaux des fûts à pression </w:t>
      </w:r>
      <w:r>
        <w:rPr>
          <w:lang w:val="fr-FR"/>
        </w:rPr>
        <w:t>“</w:t>
      </w:r>
      <w:r w:rsidRPr="00650B2E">
        <w:rPr>
          <w:lang w:val="fr-FR"/>
        </w:rPr>
        <w:t>UN</w:t>
      </w:r>
      <w:r>
        <w:rPr>
          <w:lang w:val="fr-FR"/>
        </w:rPr>
        <w:t>”</w:t>
      </w:r>
      <w:r w:rsidRPr="00650B2E">
        <w:rPr>
          <w:lang w:val="fr-FR"/>
        </w:rPr>
        <w:t>, si ce n</w:t>
      </w:r>
      <w:r>
        <w:rPr>
          <w:lang w:val="fr-FR"/>
        </w:rPr>
        <w:t>’</w:t>
      </w:r>
      <w:r w:rsidRPr="00650B2E">
        <w:rPr>
          <w:lang w:val="fr-FR"/>
        </w:rPr>
        <w:t>est que les prescriptions de contrôle relatives au système d</w:t>
      </w:r>
      <w:r>
        <w:rPr>
          <w:lang w:val="fr-FR"/>
        </w:rPr>
        <w:t>’</w:t>
      </w:r>
      <w:r w:rsidRPr="00650B2E">
        <w:rPr>
          <w:lang w:val="fr-FR"/>
        </w:rPr>
        <w:t>évaluation de conformité et à l</w:t>
      </w:r>
      <w:r>
        <w:rPr>
          <w:lang w:val="fr-FR"/>
        </w:rPr>
        <w:t>’</w:t>
      </w:r>
      <w:r w:rsidRPr="00650B2E">
        <w:rPr>
          <w:lang w:val="fr-FR"/>
        </w:rPr>
        <w:t>agrément doivent être conformes au 6.2.2.5:</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196C06" w:rsidRPr="00B24042" w14:paraId="2244700E" w14:textId="77777777" w:rsidTr="006201FD">
        <w:trPr>
          <w:cantSplit/>
        </w:trPr>
        <w:tc>
          <w:tcPr>
            <w:tcW w:w="1814" w:type="dxa"/>
            <w:shd w:val="clear" w:color="auto" w:fill="auto"/>
            <w:vAlign w:val="center"/>
          </w:tcPr>
          <w:p w14:paraId="2DA82A60" w14:textId="77777777" w:rsidR="00196C06" w:rsidRPr="00650B2E" w:rsidRDefault="00196C06" w:rsidP="006201FD">
            <w:pPr>
              <w:jc w:val="center"/>
              <w:rPr>
                <w:b/>
                <w:lang w:val="fr-FR"/>
              </w:rPr>
            </w:pPr>
            <w:r w:rsidRPr="00650B2E">
              <w:rPr>
                <w:b/>
                <w:lang w:val="fr-FR"/>
              </w:rPr>
              <w:t>Référence</w:t>
            </w:r>
          </w:p>
        </w:tc>
        <w:tc>
          <w:tcPr>
            <w:tcW w:w="4763" w:type="dxa"/>
            <w:shd w:val="clear" w:color="auto" w:fill="auto"/>
            <w:vAlign w:val="center"/>
          </w:tcPr>
          <w:p w14:paraId="276E7786" w14:textId="77777777" w:rsidR="00196C06" w:rsidRPr="00650B2E" w:rsidRDefault="00196C06" w:rsidP="006201FD">
            <w:pPr>
              <w:jc w:val="center"/>
              <w:rPr>
                <w:b/>
                <w:lang w:val="fr-FR"/>
              </w:rPr>
            </w:pPr>
            <w:r w:rsidRPr="00650B2E">
              <w:rPr>
                <w:b/>
                <w:lang w:val="fr-FR"/>
              </w:rPr>
              <w:t>Titre</w:t>
            </w:r>
          </w:p>
        </w:tc>
        <w:tc>
          <w:tcPr>
            <w:tcW w:w="1985" w:type="dxa"/>
            <w:shd w:val="clear" w:color="auto" w:fill="auto"/>
            <w:vAlign w:val="center"/>
          </w:tcPr>
          <w:p w14:paraId="53EC1091" w14:textId="77777777" w:rsidR="00196C06" w:rsidRPr="00650B2E" w:rsidRDefault="00196C06" w:rsidP="006201FD">
            <w:pPr>
              <w:jc w:val="center"/>
              <w:rPr>
                <w:b/>
                <w:lang w:val="fr-FR"/>
              </w:rPr>
            </w:pPr>
            <w:r w:rsidRPr="00650B2E">
              <w:rPr>
                <w:b/>
                <w:lang w:val="fr-FR"/>
              </w:rPr>
              <w:t>Applicable à la fabrication</w:t>
            </w:r>
          </w:p>
        </w:tc>
      </w:tr>
      <w:tr w:rsidR="00196C06" w:rsidRPr="00B24042" w14:paraId="33BA32E0" w14:textId="77777777" w:rsidTr="006201FD">
        <w:trPr>
          <w:cantSplit/>
        </w:trPr>
        <w:tc>
          <w:tcPr>
            <w:tcW w:w="1814" w:type="dxa"/>
            <w:shd w:val="clear" w:color="auto" w:fill="auto"/>
          </w:tcPr>
          <w:p w14:paraId="368B99B6" w14:textId="61BB1CBE" w:rsidR="00196C06" w:rsidRPr="00650B2E" w:rsidRDefault="00C506B1" w:rsidP="006201FD">
            <w:pPr>
              <w:rPr>
                <w:lang w:val="fr-FR"/>
              </w:rPr>
            </w:pPr>
            <w:r>
              <w:rPr>
                <w:lang w:val="fr-FR"/>
              </w:rPr>
              <w:t>ISO 21172-1:</w:t>
            </w:r>
            <w:r w:rsidR="00196C06" w:rsidRPr="00650B2E">
              <w:rPr>
                <w:lang w:val="fr-FR"/>
              </w:rPr>
              <w:t>2015</w:t>
            </w:r>
          </w:p>
        </w:tc>
        <w:tc>
          <w:tcPr>
            <w:tcW w:w="4763" w:type="dxa"/>
            <w:shd w:val="clear" w:color="auto" w:fill="auto"/>
          </w:tcPr>
          <w:p w14:paraId="24949FAE" w14:textId="77777777" w:rsidR="00196C06" w:rsidRDefault="00196C06" w:rsidP="006201FD">
            <w:pPr>
              <w:jc w:val="both"/>
              <w:rPr>
                <w:lang w:val="fr-FR"/>
              </w:rPr>
            </w:pPr>
            <w:r w:rsidRPr="00650B2E">
              <w:rPr>
                <w:lang w:val="fr-FR"/>
              </w:rPr>
              <w:t>Bouteilles à gaz – Fûts soudés de capacité inférieure ou égale à 3</w:t>
            </w:r>
            <w:r>
              <w:rPr>
                <w:lang w:val="fr-FR"/>
              </w:rPr>
              <w:t> </w:t>
            </w:r>
            <w:r w:rsidRPr="00650B2E">
              <w:rPr>
                <w:lang w:val="fr-FR"/>
              </w:rPr>
              <w:t>000 litres destinés au transport des gaz</w:t>
            </w:r>
            <w:r>
              <w:rPr>
                <w:lang w:val="fr-FR"/>
              </w:rPr>
              <w:t xml:space="preserve"> – Partie 1</w:t>
            </w:r>
            <w:r w:rsidRPr="00650B2E">
              <w:rPr>
                <w:lang w:val="fr-FR"/>
              </w:rPr>
              <w:t>: Capacité jusqu</w:t>
            </w:r>
            <w:r>
              <w:rPr>
                <w:lang w:val="fr-FR"/>
              </w:rPr>
              <w:t>’</w:t>
            </w:r>
            <w:r w:rsidRPr="00650B2E">
              <w:rPr>
                <w:lang w:val="fr-FR"/>
              </w:rPr>
              <w:t>à 1</w:t>
            </w:r>
            <w:r>
              <w:rPr>
                <w:lang w:val="fr-FR"/>
              </w:rPr>
              <w:t> </w:t>
            </w:r>
            <w:r w:rsidRPr="00650B2E">
              <w:rPr>
                <w:lang w:val="fr-FR"/>
              </w:rPr>
              <w:t xml:space="preserve">000 litres </w:t>
            </w:r>
          </w:p>
          <w:p w14:paraId="74BE9167" w14:textId="77777777" w:rsidR="00196C06" w:rsidRPr="00650B2E" w:rsidRDefault="00196C06" w:rsidP="006201FD">
            <w:pPr>
              <w:jc w:val="both"/>
              <w:rPr>
                <w:lang w:val="fr-FR"/>
              </w:rPr>
            </w:pPr>
            <w:r w:rsidRPr="0059443A">
              <w:rPr>
                <w:b/>
                <w:i/>
              </w:rPr>
              <w:t>NOTA:</w:t>
            </w:r>
            <w:r w:rsidRPr="0059443A">
              <w:t xml:space="preserve"> </w:t>
            </w:r>
            <w:r w:rsidRPr="0059443A">
              <w:rPr>
                <w:i/>
                <w:lang w:val="fr-CA"/>
              </w:rPr>
              <w:t>Indépendamment de la section 6.3.3.4 de la présente norme, les fûts à pression en acier soudés à fonds bombés convexes à la pression peuvent être utilisés aux fins de transport de matières corrosives, à condition de satisfaire à toutes les prescriptions applicables du présent Règlement</w:t>
            </w:r>
            <w:r>
              <w:rPr>
                <w:i/>
                <w:lang w:val="fr-CA"/>
              </w:rPr>
              <w:t>.</w:t>
            </w:r>
          </w:p>
        </w:tc>
        <w:tc>
          <w:tcPr>
            <w:tcW w:w="1985" w:type="dxa"/>
            <w:shd w:val="clear" w:color="auto" w:fill="auto"/>
          </w:tcPr>
          <w:p w14:paraId="4DDD094A" w14:textId="77777777" w:rsidR="00196C06" w:rsidRPr="00650B2E" w:rsidRDefault="00196C06" w:rsidP="006201FD">
            <w:pPr>
              <w:jc w:val="both"/>
              <w:rPr>
                <w:lang w:val="fr-FR"/>
              </w:rPr>
            </w:pPr>
            <w:r w:rsidRPr="00650B2E">
              <w:rPr>
                <w:lang w:val="fr-FR"/>
              </w:rPr>
              <w:t>Jusqu</w:t>
            </w:r>
            <w:r>
              <w:rPr>
                <w:lang w:val="fr-FR"/>
              </w:rPr>
              <w:t>’</w:t>
            </w:r>
            <w:r w:rsidRPr="00650B2E">
              <w:rPr>
                <w:lang w:val="fr-FR"/>
              </w:rPr>
              <w:t>à nouvel ordre</w:t>
            </w:r>
          </w:p>
        </w:tc>
      </w:tr>
      <w:tr w:rsidR="00196C06" w:rsidRPr="005E39AB" w14:paraId="36B7A1B6" w14:textId="77777777" w:rsidTr="006201FD">
        <w:trPr>
          <w:cantSplit/>
        </w:trPr>
        <w:tc>
          <w:tcPr>
            <w:tcW w:w="1814" w:type="dxa"/>
            <w:shd w:val="clear" w:color="auto" w:fill="auto"/>
          </w:tcPr>
          <w:p w14:paraId="093E90CC" w14:textId="77777777" w:rsidR="00196C06" w:rsidRPr="005E39AB" w:rsidRDefault="00196C06" w:rsidP="006201FD">
            <w:pPr>
              <w:rPr>
                <w:lang w:val="fr-FR"/>
              </w:rPr>
            </w:pPr>
            <w:r w:rsidRPr="005E39AB">
              <w:t>ISO 4706:2008</w:t>
            </w:r>
          </w:p>
        </w:tc>
        <w:tc>
          <w:tcPr>
            <w:tcW w:w="4763" w:type="dxa"/>
            <w:shd w:val="clear" w:color="auto" w:fill="auto"/>
          </w:tcPr>
          <w:p w14:paraId="40459848" w14:textId="77777777" w:rsidR="00196C06" w:rsidRPr="005E39AB" w:rsidRDefault="00196C06" w:rsidP="006201FD">
            <w:pPr>
              <w:jc w:val="both"/>
              <w:rPr>
                <w:lang w:val="fr-FR"/>
              </w:rPr>
            </w:pPr>
            <w:r w:rsidRPr="005E39AB">
              <w:t>Bouteilles à gaz − Bouteilles en acier soudées rechargeables − Pression d’essai de 60 </w:t>
            </w:r>
            <w:proofErr w:type="gramStart"/>
            <w:r w:rsidRPr="005E39AB">
              <w:t>bar</w:t>
            </w:r>
            <w:proofErr w:type="gramEnd"/>
            <w:r w:rsidRPr="005E39AB">
              <w:t xml:space="preserve"> et moins</w:t>
            </w:r>
          </w:p>
        </w:tc>
        <w:tc>
          <w:tcPr>
            <w:tcW w:w="1985" w:type="dxa"/>
            <w:shd w:val="clear" w:color="auto" w:fill="auto"/>
          </w:tcPr>
          <w:p w14:paraId="48EFE882" w14:textId="77777777" w:rsidR="00196C06" w:rsidRPr="005E39AB" w:rsidRDefault="00196C06" w:rsidP="006201FD">
            <w:pPr>
              <w:jc w:val="both"/>
              <w:rPr>
                <w:lang w:val="fr-FR"/>
              </w:rPr>
            </w:pPr>
            <w:r w:rsidRPr="005E39AB">
              <w:t>Jusqu’à nouvel ordre</w:t>
            </w:r>
          </w:p>
        </w:tc>
      </w:tr>
      <w:tr w:rsidR="00196C06" w:rsidRPr="005E39AB" w14:paraId="0A018975" w14:textId="77777777" w:rsidTr="006201FD">
        <w:trPr>
          <w:cantSplit/>
        </w:trPr>
        <w:tc>
          <w:tcPr>
            <w:tcW w:w="1814" w:type="dxa"/>
            <w:shd w:val="clear" w:color="auto" w:fill="auto"/>
          </w:tcPr>
          <w:p w14:paraId="3DC39ED4" w14:textId="77777777" w:rsidR="00196C06" w:rsidRPr="005E39AB" w:rsidRDefault="00196C06" w:rsidP="006201FD">
            <w:pPr>
              <w:rPr>
                <w:lang w:val="fr-FR"/>
              </w:rPr>
            </w:pPr>
            <w:r w:rsidRPr="005E39AB">
              <w:rPr>
                <w:spacing w:val="-2"/>
              </w:rPr>
              <w:t>ISO 18172-1:2007</w:t>
            </w:r>
          </w:p>
        </w:tc>
        <w:tc>
          <w:tcPr>
            <w:tcW w:w="4763" w:type="dxa"/>
            <w:shd w:val="clear" w:color="auto" w:fill="auto"/>
          </w:tcPr>
          <w:p w14:paraId="14B11172" w14:textId="77777777" w:rsidR="00196C06" w:rsidRPr="005E39AB" w:rsidRDefault="00196C06" w:rsidP="006201FD">
            <w:pPr>
              <w:jc w:val="both"/>
              <w:rPr>
                <w:lang w:val="fr-FR"/>
              </w:rPr>
            </w:pPr>
            <w:r w:rsidRPr="005E39AB">
              <w:t>Bouteilles à gaz − Bouteilles soudées en acier inoxydable rechargeables − Partie 1: Pression d’épreuve de 6 </w:t>
            </w:r>
            <w:proofErr w:type="spellStart"/>
            <w:r w:rsidRPr="005E39AB">
              <w:t>MPa</w:t>
            </w:r>
            <w:proofErr w:type="spellEnd"/>
            <w:r w:rsidRPr="005E39AB">
              <w:t xml:space="preserve"> et inférieure</w:t>
            </w:r>
          </w:p>
        </w:tc>
        <w:tc>
          <w:tcPr>
            <w:tcW w:w="1985" w:type="dxa"/>
            <w:shd w:val="clear" w:color="auto" w:fill="auto"/>
          </w:tcPr>
          <w:p w14:paraId="67F70180" w14:textId="77777777" w:rsidR="00196C06" w:rsidRPr="005E39AB" w:rsidRDefault="00196C06" w:rsidP="006201FD">
            <w:pPr>
              <w:jc w:val="both"/>
              <w:rPr>
                <w:lang w:val="fr-FR"/>
              </w:rPr>
            </w:pPr>
            <w:r w:rsidRPr="005E39AB">
              <w:t xml:space="preserve">Jusqu’à nouvel ordre </w:t>
            </w:r>
          </w:p>
        </w:tc>
      </w:tr>
    </w:tbl>
    <w:p w14:paraId="283AB87C" w14:textId="77777777" w:rsidR="00196C06" w:rsidRPr="00E16DCF" w:rsidRDefault="00196C06" w:rsidP="00196C06">
      <w:pPr>
        <w:pStyle w:val="SingleTxtG"/>
        <w:tabs>
          <w:tab w:val="left" w:pos="2268"/>
        </w:tabs>
        <w:spacing w:before="120"/>
        <w:rPr>
          <w:lang w:val="fr-FR"/>
        </w:rPr>
      </w:pPr>
      <w:r w:rsidRPr="00E16DCF">
        <w:rPr>
          <w:lang w:val="fr-FR"/>
        </w:rPr>
        <w:t>6.2.2.3</w:t>
      </w:r>
      <w:r w:rsidRPr="00E16DCF">
        <w:rPr>
          <w:lang w:val="fr-FR"/>
        </w:rPr>
        <w:tab/>
      </w:r>
      <w:r w:rsidRPr="00E16DCF">
        <w:rPr>
          <w:lang w:val="fr-FR"/>
        </w:rPr>
        <w:tab/>
      </w:r>
      <w:r>
        <w:rPr>
          <w:lang w:val="fr-FR"/>
        </w:rPr>
        <w:t>Dans le premier tableau</w:t>
      </w:r>
      <w:r w:rsidRPr="00E16DCF">
        <w:rPr>
          <w:lang w:val="fr-FR"/>
        </w:rPr>
        <w:t xml:space="preserve">, </w:t>
      </w:r>
      <w:r>
        <w:rPr>
          <w:lang w:val="fr-FR"/>
        </w:rPr>
        <w:t>pour la norme</w:t>
      </w:r>
      <w:r w:rsidRPr="00E16DCF">
        <w:rPr>
          <w:lang w:val="fr-FR"/>
        </w:rPr>
        <w:t xml:space="preserve"> ISO </w:t>
      </w:r>
      <w:r>
        <w:rPr>
          <w:lang w:val="fr-FR"/>
        </w:rPr>
        <w:t>13340:2001</w:t>
      </w:r>
      <w:r w:rsidRPr="00E16DCF">
        <w:rPr>
          <w:lang w:val="fr-FR"/>
        </w:rPr>
        <w:t xml:space="preserve">, </w:t>
      </w:r>
      <w:r>
        <w:rPr>
          <w:lang w:val="fr-FR"/>
        </w:rPr>
        <w:t>dans la colonne «Applicable à la fabrication»</w:t>
      </w:r>
      <w:r w:rsidRPr="00E16DCF">
        <w:rPr>
          <w:lang w:val="fr-FR"/>
        </w:rPr>
        <w:t xml:space="preserve">, </w:t>
      </w:r>
      <w:r>
        <w:rPr>
          <w:lang w:val="fr-FR"/>
        </w:rPr>
        <w:t>remplacer</w:t>
      </w:r>
      <w:r w:rsidRPr="00E16DCF">
        <w:rPr>
          <w:lang w:val="fr-FR"/>
        </w:rPr>
        <w:t xml:space="preserve"> </w:t>
      </w:r>
      <w:r>
        <w:rPr>
          <w:lang w:val="fr-FR"/>
        </w:rPr>
        <w:t>«Jusqu’à nouvel ordre» par «Jusqu’au 31 décembre 2020».</w:t>
      </w:r>
    </w:p>
    <w:p w14:paraId="54766B73" w14:textId="7207F22B" w:rsidR="00196C06" w:rsidRDefault="00196C06" w:rsidP="00196C06">
      <w:pPr>
        <w:pStyle w:val="SingleTxtG"/>
        <w:tabs>
          <w:tab w:val="left" w:pos="2268"/>
        </w:tabs>
        <w:spacing w:before="120"/>
      </w:pPr>
      <w:r w:rsidRPr="0059443A">
        <w:t>6.2.2.3</w:t>
      </w:r>
      <w:r w:rsidRPr="0059443A">
        <w:tab/>
      </w:r>
      <w:r w:rsidRPr="0059443A">
        <w:tab/>
        <w:t xml:space="preserve">Dans le </w:t>
      </w:r>
      <w:r>
        <w:t xml:space="preserve">premier </w:t>
      </w:r>
      <w:r w:rsidR="00DD36E6">
        <w:t>tableau, ajouter les</w:t>
      </w:r>
      <w:r w:rsidRPr="0059443A">
        <w:t xml:space="preserve"> nouvelle</w:t>
      </w:r>
      <w:r w:rsidR="00DD36E6">
        <w:t>s</w:t>
      </w:r>
      <w:r w:rsidRPr="0059443A">
        <w:t xml:space="preserve"> ligne</w:t>
      </w:r>
      <w:r w:rsidR="00DD36E6">
        <w:t>s</w:t>
      </w:r>
      <w:r w:rsidRPr="0059443A">
        <w:t xml:space="preserve"> suivante</w:t>
      </w:r>
      <w:r w:rsidR="00DD36E6">
        <w:t>s</w:t>
      </w:r>
      <w:r>
        <w:t xml:space="preserve"> à la fin</w:t>
      </w:r>
      <w:r w:rsidRPr="0059443A">
        <w:t>:</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9"/>
        <w:gridCol w:w="4320"/>
        <w:gridCol w:w="1579"/>
      </w:tblGrid>
      <w:tr w:rsidR="00DD36E6" w:rsidRPr="006B7817" w14:paraId="35AD0085" w14:textId="77777777" w:rsidTr="00FA4265">
        <w:tc>
          <w:tcPr>
            <w:tcW w:w="1589" w:type="dxa"/>
            <w:shd w:val="clear" w:color="auto" w:fill="auto"/>
          </w:tcPr>
          <w:p w14:paraId="66170FDF" w14:textId="77777777" w:rsidR="00DD36E6" w:rsidRPr="006B7817" w:rsidRDefault="00DD36E6" w:rsidP="00FA4265">
            <w:pPr>
              <w:spacing w:before="40" w:after="80"/>
              <w:ind w:left="43" w:right="43"/>
            </w:pPr>
            <w:r>
              <w:t>ISO 14246:2014</w:t>
            </w:r>
          </w:p>
        </w:tc>
        <w:tc>
          <w:tcPr>
            <w:tcW w:w="4320" w:type="dxa"/>
            <w:shd w:val="clear" w:color="auto" w:fill="auto"/>
          </w:tcPr>
          <w:p w14:paraId="1DC8D0E1" w14:textId="77777777" w:rsidR="00DD36E6" w:rsidRPr="006B7817" w:rsidRDefault="00DD36E6" w:rsidP="00FA4265">
            <w:pPr>
              <w:spacing w:before="40" w:after="80"/>
              <w:ind w:left="43" w:right="43"/>
            </w:pPr>
            <w:r>
              <w:t>Bouteilles à gaz – Robinets de bouteille à gaz – Essais de fabrication et contrôles</w:t>
            </w:r>
          </w:p>
        </w:tc>
        <w:tc>
          <w:tcPr>
            <w:tcW w:w="1579" w:type="dxa"/>
            <w:shd w:val="clear" w:color="auto" w:fill="auto"/>
          </w:tcPr>
          <w:p w14:paraId="3C020CAC" w14:textId="77777777" w:rsidR="00DD36E6" w:rsidRPr="006B7817" w:rsidRDefault="00DD36E6" w:rsidP="00FA4265">
            <w:pPr>
              <w:spacing w:before="40" w:after="80"/>
              <w:ind w:left="43" w:right="43"/>
            </w:pPr>
            <w:r>
              <w:t>Jusqu’à nouvel ordre</w:t>
            </w:r>
          </w:p>
        </w:tc>
      </w:tr>
      <w:tr w:rsidR="00DD36E6" w:rsidRPr="006B7817" w14:paraId="04554ED6" w14:textId="77777777" w:rsidTr="00FA4265">
        <w:tc>
          <w:tcPr>
            <w:tcW w:w="1589" w:type="dxa"/>
            <w:shd w:val="clear" w:color="auto" w:fill="auto"/>
          </w:tcPr>
          <w:p w14:paraId="77B851D3" w14:textId="19A913F7" w:rsidR="00DD36E6" w:rsidRDefault="00DD36E6" w:rsidP="00DD36E6">
            <w:pPr>
              <w:spacing w:before="40" w:after="80"/>
              <w:ind w:left="43" w:right="43"/>
            </w:pPr>
            <w:r w:rsidRPr="004A0206">
              <w:rPr>
                <w:bCs/>
              </w:rPr>
              <w:t>ISO 17871:2015</w:t>
            </w:r>
          </w:p>
        </w:tc>
        <w:tc>
          <w:tcPr>
            <w:tcW w:w="4320" w:type="dxa"/>
            <w:shd w:val="clear" w:color="auto" w:fill="auto"/>
          </w:tcPr>
          <w:p w14:paraId="75280E8D" w14:textId="066FAC99" w:rsidR="00DD36E6" w:rsidRDefault="00DD36E6" w:rsidP="00DD36E6">
            <w:pPr>
              <w:spacing w:before="40" w:after="80"/>
              <w:ind w:left="43" w:right="43"/>
            </w:pPr>
            <w:r w:rsidRPr="004A0206">
              <w:rPr>
                <w:bCs/>
              </w:rPr>
              <w:t>Bouteilles à gaz transportables − Robinets de bouteilles à ouverture rapide − Spécifications et essais de type</w:t>
            </w:r>
          </w:p>
        </w:tc>
        <w:tc>
          <w:tcPr>
            <w:tcW w:w="1579" w:type="dxa"/>
            <w:shd w:val="clear" w:color="auto" w:fill="auto"/>
          </w:tcPr>
          <w:p w14:paraId="1CC31DA7" w14:textId="053D1019" w:rsidR="00DD36E6" w:rsidRDefault="00DD36E6" w:rsidP="00DD36E6">
            <w:pPr>
              <w:spacing w:before="40" w:after="80"/>
              <w:ind w:left="43" w:right="43"/>
            </w:pPr>
            <w:r w:rsidRPr="004A0206">
              <w:rPr>
                <w:bCs/>
              </w:rPr>
              <w:t>Jusqu’à nouvel ordre</w:t>
            </w:r>
          </w:p>
        </w:tc>
      </w:tr>
    </w:tbl>
    <w:p w14:paraId="550E9062" w14:textId="77777777" w:rsidR="00196C06" w:rsidRPr="008333CF" w:rsidRDefault="00196C06" w:rsidP="00E15059">
      <w:pPr>
        <w:pStyle w:val="SingleTxtG"/>
        <w:spacing w:before="120"/>
      </w:pPr>
      <w:r w:rsidRPr="008333CF">
        <w:t>6.2.2.4</w:t>
      </w:r>
      <w:r w:rsidRPr="008333CF">
        <w:tab/>
      </w:r>
      <w:r>
        <w:tab/>
      </w:r>
      <w:r w:rsidRPr="008333CF">
        <w:t xml:space="preserve">Modifier la fin de la première phrase comme suit: </w:t>
      </w:r>
      <w:r>
        <w:t>«</w:t>
      </w:r>
      <w:r w:rsidRPr="008333CF">
        <w:t>…</w:t>
      </w:r>
      <w:r>
        <w:t xml:space="preserve"> </w:t>
      </w:r>
      <w:r w:rsidRPr="008333CF">
        <w:t>les bout</w:t>
      </w:r>
      <w:r>
        <w:t>eilles “UN” et leurs fermetures</w:t>
      </w:r>
      <w:r w:rsidRPr="008333CF">
        <w:t>».</w:t>
      </w:r>
    </w:p>
    <w:p w14:paraId="2AC5E548" w14:textId="77777777" w:rsidR="00196C06" w:rsidRPr="008333CF" w:rsidRDefault="00196C06" w:rsidP="00196C06">
      <w:pPr>
        <w:pStyle w:val="SingleTxtG"/>
      </w:pPr>
      <w:r w:rsidRPr="008333CF">
        <w:t xml:space="preserve">Transférer la dernière ligne du tableau dans un nouveau tableau avec les mêmes titres et avec la nouvelle phrase d’introduction suivante: </w:t>
      </w:r>
      <w:r>
        <w:t>«</w:t>
      </w:r>
      <w:r w:rsidRPr="008333CF">
        <w:t>La norme ci-après s’applique aux contrôles et épreuves périodiques que doivent subir les dispositifs de sto</w:t>
      </w:r>
      <w:r>
        <w:t>ckage à hydrure métallique “UN”</w:t>
      </w:r>
      <w:r w:rsidRPr="008333CF">
        <w:t>».</w:t>
      </w:r>
    </w:p>
    <w:p w14:paraId="7C790E51" w14:textId="77777777" w:rsidR="00196C06" w:rsidRPr="0059443A" w:rsidRDefault="00196C06" w:rsidP="00196C06">
      <w:pPr>
        <w:pStyle w:val="SingleTxtG"/>
        <w:tabs>
          <w:tab w:val="left" w:pos="2268"/>
        </w:tabs>
        <w:spacing w:before="120"/>
      </w:pPr>
      <w:r w:rsidRPr="0059443A">
        <w:t>6.2.2.4</w:t>
      </w:r>
      <w:r w:rsidRPr="0059443A">
        <w:tab/>
      </w:r>
      <w:r w:rsidRPr="0059443A">
        <w:tab/>
        <w:t>Dans le tableau, pour la norme ISO 11623:2002, dans la colonne «Applicable», remplacer «Jusqu’à nouvel ordre» par «Jusqu’au 31 décembre 2020».</w:t>
      </w:r>
    </w:p>
    <w:p w14:paraId="4B2742D8" w14:textId="77777777" w:rsidR="00196C06" w:rsidRPr="0059443A" w:rsidRDefault="00196C06" w:rsidP="00196C06">
      <w:pPr>
        <w:pStyle w:val="SingleTxtG"/>
      </w:pPr>
      <w:r w:rsidRPr="0059443A">
        <w:t>Après la ligne pour la norme «ISO 11623:2002» ajouter la nouvelle ligne suivante:</w:t>
      </w:r>
    </w:p>
    <w:tbl>
      <w:tblPr>
        <w:tblW w:w="74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4275"/>
        <w:gridCol w:w="1440"/>
      </w:tblGrid>
      <w:tr w:rsidR="00196C06" w:rsidRPr="0059443A" w14:paraId="160A3D02" w14:textId="77777777" w:rsidTr="006201FD">
        <w:tc>
          <w:tcPr>
            <w:tcW w:w="1706" w:type="dxa"/>
            <w:tcBorders>
              <w:top w:val="single" w:sz="4" w:space="0" w:color="auto"/>
              <w:left w:val="single" w:sz="4" w:space="0" w:color="auto"/>
              <w:bottom w:val="single" w:sz="4" w:space="0" w:color="auto"/>
              <w:right w:val="single" w:sz="4" w:space="0" w:color="auto"/>
            </w:tcBorders>
            <w:hideMark/>
          </w:tcPr>
          <w:p w14:paraId="3C3C3767" w14:textId="77777777" w:rsidR="00196C06" w:rsidRPr="0059443A" w:rsidRDefault="00196C06" w:rsidP="006201FD">
            <w:pPr>
              <w:spacing w:before="60" w:after="60" w:line="220" w:lineRule="atLeast"/>
              <w:ind w:left="113" w:right="113"/>
              <w:jc w:val="both"/>
              <w:rPr>
                <w:bCs/>
                <w:sz w:val="18"/>
                <w:szCs w:val="18"/>
              </w:rPr>
            </w:pPr>
            <w:r w:rsidRPr="0059443A">
              <w:rPr>
                <w:bCs/>
                <w:sz w:val="18"/>
                <w:szCs w:val="18"/>
              </w:rPr>
              <w:t>ISO 11623:2015</w:t>
            </w:r>
          </w:p>
        </w:tc>
        <w:tc>
          <w:tcPr>
            <w:tcW w:w="4275" w:type="dxa"/>
            <w:tcBorders>
              <w:top w:val="single" w:sz="4" w:space="0" w:color="auto"/>
              <w:left w:val="single" w:sz="4" w:space="0" w:color="auto"/>
              <w:bottom w:val="single" w:sz="4" w:space="0" w:color="auto"/>
              <w:right w:val="single" w:sz="4" w:space="0" w:color="auto"/>
            </w:tcBorders>
            <w:hideMark/>
          </w:tcPr>
          <w:p w14:paraId="6D264993" w14:textId="77777777" w:rsidR="00196C06" w:rsidRPr="0059443A" w:rsidRDefault="00196C06" w:rsidP="006201FD">
            <w:pPr>
              <w:spacing w:before="60" w:after="60" w:line="220" w:lineRule="atLeast"/>
              <w:ind w:left="113" w:right="113"/>
              <w:rPr>
                <w:bCs/>
                <w:sz w:val="18"/>
                <w:szCs w:val="18"/>
              </w:rPr>
            </w:pPr>
            <w:r w:rsidRPr="0059443A">
              <w:rPr>
                <w:bCs/>
                <w:sz w:val="18"/>
                <w:szCs w:val="18"/>
              </w:rPr>
              <w:t>Bouteilles à gaz – Construction composite − Contrôle et essais périodiques</w:t>
            </w:r>
          </w:p>
        </w:tc>
        <w:tc>
          <w:tcPr>
            <w:tcW w:w="1440" w:type="dxa"/>
            <w:tcBorders>
              <w:top w:val="single" w:sz="4" w:space="0" w:color="auto"/>
              <w:left w:val="single" w:sz="4" w:space="0" w:color="auto"/>
              <w:bottom w:val="single" w:sz="4" w:space="0" w:color="auto"/>
              <w:right w:val="single" w:sz="4" w:space="0" w:color="auto"/>
            </w:tcBorders>
            <w:hideMark/>
          </w:tcPr>
          <w:p w14:paraId="70E18077" w14:textId="77777777" w:rsidR="00196C06" w:rsidRPr="0059443A" w:rsidRDefault="00196C06" w:rsidP="006201FD">
            <w:pPr>
              <w:spacing w:before="60" w:after="60" w:line="220" w:lineRule="atLeast"/>
              <w:ind w:left="113" w:right="113"/>
              <w:rPr>
                <w:bCs/>
                <w:sz w:val="18"/>
                <w:szCs w:val="18"/>
              </w:rPr>
            </w:pPr>
            <w:r w:rsidRPr="0059443A">
              <w:rPr>
                <w:bCs/>
                <w:sz w:val="18"/>
                <w:szCs w:val="18"/>
              </w:rPr>
              <w:t>Jusqu’à nouvel ordre</w:t>
            </w:r>
          </w:p>
        </w:tc>
      </w:tr>
    </w:tbl>
    <w:p w14:paraId="402D9B8A" w14:textId="77777777" w:rsidR="00196C06" w:rsidRDefault="00196C06" w:rsidP="003B47D4">
      <w:pPr>
        <w:pStyle w:val="SingleTxtG"/>
        <w:spacing w:before="120"/>
      </w:pPr>
      <w:r w:rsidRPr="008333CF">
        <w:t>6.2.2.4</w:t>
      </w:r>
      <w:r w:rsidRPr="008333CF">
        <w:tab/>
      </w:r>
      <w:r>
        <w:tab/>
      </w:r>
      <w:r w:rsidRPr="008333CF">
        <w:t>À la fin du premier tableau ajouter une nouvelle ligne ainsi conçue:</w:t>
      </w:r>
    </w:p>
    <w:p w14:paraId="30B4E68F" w14:textId="77777777" w:rsidR="00196C06" w:rsidRPr="008333CF" w:rsidRDefault="00196C06" w:rsidP="00196C06">
      <w:pPr>
        <w:pStyle w:val="SingleTxt"/>
        <w:spacing w:after="0" w:line="120" w:lineRule="exact"/>
        <w:rPr>
          <w:sz w:val="10"/>
          <w:lang w:val="fr-CH"/>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9"/>
        <w:gridCol w:w="4320"/>
        <w:gridCol w:w="1584"/>
      </w:tblGrid>
      <w:tr w:rsidR="00196C06" w:rsidRPr="000065AB" w14:paraId="6BFA3210" w14:textId="77777777" w:rsidTr="006201FD">
        <w:tc>
          <w:tcPr>
            <w:tcW w:w="1589" w:type="dxa"/>
            <w:shd w:val="clear" w:color="auto" w:fill="auto"/>
          </w:tcPr>
          <w:p w14:paraId="26FDC53B" w14:textId="77777777" w:rsidR="00196C06" w:rsidRPr="000065AB" w:rsidRDefault="00196C06" w:rsidP="006201FD">
            <w:pPr>
              <w:spacing w:before="40" w:after="80"/>
              <w:ind w:left="43" w:right="43"/>
            </w:pPr>
            <w:r>
              <w:t>ISO 22434:2006</w:t>
            </w:r>
          </w:p>
        </w:tc>
        <w:tc>
          <w:tcPr>
            <w:tcW w:w="4320" w:type="dxa"/>
            <w:shd w:val="clear" w:color="auto" w:fill="auto"/>
          </w:tcPr>
          <w:p w14:paraId="708434A2" w14:textId="77777777" w:rsidR="00196C06" w:rsidRPr="000065AB" w:rsidRDefault="00196C06" w:rsidP="006201FD">
            <w:pPr>
              <w:spacing w:before="40" w:after="80"/>
              <w:ind w:left="43" w:right="43"/>
            </w:pPr>
            <w:r>
              <w:t xml:space="preserve">Bouteilles à gaz transportables – </w:t>
            </w:r>
            <w:r w:rsidRPr="000065AB">
              <w:t xml:space="preserve">Contrôle et </w:t>
            </w:r>
            <w:r w:rsidRPr="0031542B">
              <w:t>maintenance</w:t>
            </w:r>
            <w:r w:rsidRPr="000065AB">
              <w:t xml:space="preserve"> des robinets de</w:t>
            </w:r>
            <w:r>
              <w:t xml:space="preserve"> </w:t>
            </w:r>
            <w:r w:rsidRPr="000065AB">
              <w:t>bouteilles</w:t>
            </w:r>
          </w:p>
          <w:p w14:paraId="1AE420A4" w14:textId="05F773A2" w:rsidR="00196C06" w:rsidRPr="000065AB" w:rsidRDefault="00196C06" w:rsidP="006201FD">
            <w:pPr>
              <w:spacing w:before="40" w:after="80"/>
              <w:ind w:left="43" w:right="43"/>
            </w:pPr>
            <w:r w:rsidRPr="002A75A6">
              <w:rPr>
                <w:b/>
                <w:i/>
              </w:rPr>
              <w:t>NOTA</w:t>
            </w:r>
            <w:r w:rsidRPr="000065AB">
              <w:t xml:space="preserve">: </w:t>
            </w:r>
            <w:r w:rsidRPr="00B40C3F">
              <w:rPr>
                <w:i/>
              </w:rPr>
              <w:t xml:space="preserve">Il peut être satisfait à ces prescriptions à d’autres moments que lors des contrôles et </w:t>
            </w:r>
            <w:r w:rsidRPr="00B40C3F">
              <w:rPr>
                <w:i/>
              </w:rPr>
              <w:lastRenderedPageBreak/>
              <w:t xml:space="preserve">épreuves périodiques des bouteilles </w:t>
            </w:r>
            <w:r w:rsidR="00B40C3F">
              <w:rPr>
                <w:i/>
              </w:rPr>
              <w:t>"</w:t>
            </w:r>
            <w:r w:rsidRPr="00B40C3F">
              <w:rPr>
                <w:i/>
              </w:rPr>
              <w:t>UN</w:t>
            </w:r>
            <w:r w:rsidR="00B40C3F">
              <w:rPr>
                <w:i/>
              </w:rPr>
              <w:t>"</w:t>
            </w:r>
            <w:r w:rsidRPr="00B40C3F">
              <w:rPr>
                <w:i/>
              </w:rPr>
              <w:t>.</w:t>
            </w:r>
          </w:p>
        </w:tc>
        <w:tc>
          <w:tcPr>
            <w:tcW w:w="1584" w:type="dxa"/>
            <w:shd w:val="clear" w:color="auto" w:fill="auto"/>
          </w:tcPr>
          <w:p w14:paraId="3CC4FBBC" w14:textId="77777777" w:rsidR="00196C06" w:rsidRPr="000065AB" w:rsidRDefault="00196C06" w:rsidP="006201FD">
            <w:pPr>
              <w:spacing w:before="40" w:after="80"/>
              <w:ind w:left="43" w:right="43"/>
            </w:pPr>
            <w:r>
              <w:lastRenderedPageBreak/>
              <w:t>Jusqu’à nouvel ordre</w:t>
            </w:r>
          </w:p>
        </w:tc>
      </w:tr>
    </w:tbl>
    <w:p w14:paraId="015926EB" w14:textId="77777777" w:rsidR="00196C06" w:rsidRPr="0059443A" w:rsidRDefault="00196C06" w:rsidP="003B47D4">
      <w:pPr>
        <w:pStyle w:val="SingleTxtG"/>
        <w:tabs>
          <w:tab w:val="left" w:pos="1854"/>
        </w:tabs>
        <w:spacing w:before="120"/>
        <w:rPr>
          <w:lang w:val="fr-FR"/>
        </w:rPr>
      </w:pPr>
      <w:r w:rsidRPr="0059443A">
        <w:rPr>
          <w:lang w:val="fr-FR"/>
        </w:rPr>
        <w:lastRenderedPageBreak/>
        <w:t>6.2.2.7.2 c)</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r>
        <w:rPr>
          <w:lang w:val="fr-FR"/>
        </w:rPr>
        <w:t>.</w:t>
      </w:r>
    </w:p>
    <w:p w14:paraId="5436A4EA" w14:textId="77777777" w:rsidR="00196C06" w:rsidRPr="000065AB" w:rsidRDefault="00196C06" w:rsidP="00196C06">
      <w:pPr>
        <w:pStyle w:val="SingleTxtG"/>
      </w:pPr>
      <w:r w:rsidRPr="000065AB">
        <w:t>6.2.2.7.4</w:t>
      </w:r>
      <w:r w:rsidRPr="000065AB">
        <w:tab/>
        <w:t>Ajouter le ajouter le nouveau N</w:t>
      </w:r>
      <w:r>
        <w:t>OTA</w:t>
      </w:r>
      <w:r w:rsidRPr="000065AB">
        <w:t xml:space="preserve"> suivant sous l’alinéa</w:t>
      </w:r>
      <w:r>
        <w:t> </w:t>
      </w:r>
      <w:r w:rsidRPr="000065AB">
        <w:t>m)</w:t>
      </w:r>
      <w:r>
        <w:t>:</w:t>
      </w:r>
    </w:p>
    <w:p w14:paraId="4F6190E8" w14:textId="77777777" w:rsidR="00196C06" w:rsidRPr="000065AB" w:rsidRDefault="00196C06" w:rsidP="00196C06">
      <w:pPr>
        <w:pStyle w:val="SingleTxtG"/>
        <w:rPr>
          <w:i/>
        </w:rPr>
      </w:pPr>
      <w:r>
        <w:t>«</w:t>
      </w:r>
      <w:r w:rsidRPr="000065AB">
        <w:rPr>
          <w:b/>
          <w:i/>
        </w:rPr>
        <w:t>NOTA</w:t>
      </w:r>
      <w:r w:rsidRPr="00E55162">
        <w:rPr>
          <w:i/>
        </w:rPr>
        <w:t xml:space="preserve">: </w:t>
      </w:r>
      <w:r w:rsidRPr="00E55162">
        <w:rPr>
          <w:i/>
        </w:rPr>
        <w:tab/>
      </w:r>
      <w:r w:rsidRPr="000065AB">
        <w:rPr>
          <w:i/>
        </w:rPr>
        <w:t xml:space="preserve">Des informations sur les marques qui peuvent être utilisées pour identifier les filetages des bouteilles figurent dans le rapport ISO/TR 11364, Bouteilles à gaz </w:t>
      </w:r>
      <w:r>
        <w:rPr>
          <w:i/>
        </w:rPr>
        <w:t>–</w:t>
      </w:r>
      <w:r w:rsidRPr="000065AB">
        <w:rPr>
          <w:i/>
        </w:rPr>
        <w:t xml:space="preserve"> Compilation des filetages nationaux et internationaux des queues de robinets/goulots de bouteilles et leur système d’identification et de marquage.</w:t>
      </w:r>
      <w:r w:rsidRPr="00E55162">
        <w:t>».</w:t>
      </w:r>
    </w:p>
    <w:p w14:paraId="50EFDDB3" w14:textId="77777777" w:rsidR="00196C06" w:rsidRDefault="00196C06" w:rsidP="00196C06">
      <w:pPr>
        <w:pStyle w:val="SingleTxtG"/>
        <w:tabs>
          <w:tab w:val="left" w:pos="1854"/>
        </w:tabs>
        <w:rPr>
          <w:lang w:val="fr-FR"/>
        </w:rPr>
      </w:pPr>
      <w:r w:rsidRPr="0059443A">
        <w:rPr>
          <w:lang w:val="fr-FR"/>
        </w:rPr>
        <w:t>6.2.2.7.4 n)</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r>
        <w:rPr>
          <w:lang w:val="fr-FR"/>
        </w:rPr>
        <w:t>.</w:t>
      </w:r>
    </w:p>
    <w:p w14:paraId="6060E58B" w14:textId="77777777" w:rsidR="00196C06" w:rsidRDefault="00196C06" w:rsidP="00196C06">
      <w:pPr>
        <w:pStyle w:val="SingleTxtG"/>
        <w:tabs>
          <w:tab w:val="left" w:pos="1854"/>
        </w:tabs>
        <w:rPr>
          <w:lang w:val="fr-FR"/>
        </w:rPr>
      </w:pPr>
      <w:r w:rsidRPr="0059443A">
        <w:rPr>
          <w:lang w:val="fr-FR"/>
        </w:rPr>
        <w:t>6.2.2.7.7 a)</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r>
        <w:rPr>
          <w:lang w:val="fr-FR"/>
        </w:rPr>
        <w:t>.</w:t>
      </w:r>
    </w:p>
    <w:p w14:paraId="0AEF02A3" w14:textId="77777777" w:rsidR="00196C06" w:rsidRDefault="00196C06" w:rsidP="00196C06">
      <w:pPr>
        <w:pStyle w:val="SingleTxtG"/>
        <w:tabs>
          <w:tab w:val="left" w:pos="1854"/>
        </w:tabs>
        <w:rPr>
          <w:lang w:val="fr-FR"/>
        </w:rPr>
      </w:pPr>
      <w:proofErr w:type="gramStart"/>
      <w:r w:rsidRPr="0059443A">
        <w:rPr>
          <w:lang w:val="fr-FR"/>
        </w:rPr>
        <w:t>6.2.2.9.2 c</w:t>
      </w:r>
      <w:proofErr w:type="gramEnd"/>
      <w:r w:rsidRPr="0059443A">
        <w:rPr>
          <w:lang w:val="fr-FR"/>
        </w:rPr>
        <w:t>) et h)</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r>
        <w:rPr>
          <w:lang w:val="fr-FR"/>
        </w:rPr>
        <w:t>.</w:t>
      </w:r>
    </w:p>
    <w:p w14:paraId="00F9EA33" w14:textId="77777777" w:rsidR="00196C06" w:rsidRPr="0059443A" w:rsidRDefault="00196C06" w:rsidP="00196C06">
      <w:pPr>
        <w:pStyle w:val="SingleTxtG"/>
        <w:tabs>
          <w:tab w:val="left" w:pos="1854"/>
        </w:tabs>
        <w:rPr>
          <w:lang w:val="fr-FR"/>
        </w:rPr>
      </w:pPr>
      <w:r w:rsidRPr="0059443A">
        <w:rPr>
          <w:lang w:val="fr-FR"/>
        </w:rPr>
        <w:t>6.2.2.9.4 a)</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p>
    <w:p w14:paraId="0E9A6522" w14:textId="77777777" w:rsidR="00196C06" w:rsidRPr="0059443A" w:rsidRDefault="00196C06" w:rsidP="00196C06">
      <w:pPr>
        <w:pStyle w:val="SingleTxtG"/>
        <w:tabs>
          <w:tab w:val="left" w:pos="1854"/>
        </w:tabs>
        <w:rPr>
          <w:lang w:val="fr-FR"/>
        </w:rPr>
      </w:pPr>
      <w:r w:rsidRPr="0059443A">
        <w:rPr>
          <w:lang w:val="fr-FR"/>
        </w:rPr>
        <w:t xml:space="preserve">La note de bas de page </w:t>
      </w:r>
      <w:r w:rsidRPr="0059443A">
        <w:rPr>
          <w:b/>
          <w:vertAlign w:val="superscript"/>
          <w:lang w:val="fr-FR"/>
        </w:rPr>
        <w:t>2</w:t>
      </w:r>
      <w:r w:rsidRPr="0059443A">
        <w:rPr>
          <w:lang w:val="fr-FR"/>
        </w:rPr>
        <w:t xml:space="preserve"> se lit comme suit:</w:t>
      </w:r>
    </w:p>
    <w:p w14:paraId="542686D5" w14:textId="77777777" w:rsidR="00196C06" w:rsidRDefault="00196C06" w:rsidP="00196C06">
      <w:pPr>
        <w:pStyle w:val="SingleTxtG"/>
        <w:rPr>
          <w:lang w:val="fr-FR"/>
        </w:rPr>
      </w:pPr>
      <w:r w:rsidRPr="0059443A" w:rsidDel="00C54EF2">
        <w:rPr>
          <w:lang w:val="fr-FR"/>
        </w:rPr>
        <w:t xml:space="preserve"> </w:t>
      </w:r>
      <w:r w:rsidRPr="0059443A">
        <w:rPr>
          <w:lang w:val="fr-FR"/>
        </w:rPr>
        <w:t>«</w:t>
      </w:r>
      <w:r w:rsidRPr="0059443A">
        <w:rPr>
          <w:b/>
          <w:vertAlign w:val="superscript"/>
          <w:lang w:val="fr-FR"/>
        </w:rPr>
        <w:t>2</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w:t>
      </w:r>
    </w:p>
    <w:p w14:paraId="1BD287E2" w14:textId="77777777" w:rsidR="00196C06" w:rsidRPr="0059443A" w:rsidRDefault="00196C06" w:rsidP="00196C06">
      <w:pPr>
        <w:pStyle w:val="SingleTxtG"/>
        <w:rPr>
          <w:lang w:val="fr-FR"/>
        </w:rPr>
      </w:pPr>
      <w:r w:rsidRPr="0059443A">
        <w:rPr>
          <w:lang w:val="fr-FR"/>
        </w:rPr>
        <w:t>6.2.4.3</w:t>
      </w:r>
      <w:r w:rsidRPr="0059443A">
        <w:rPr>
          <w:lang w:val="fr-FR"/>
        </w:rPr>
        <w:tab/>
      </w:r>
      <w:r w:rsidRPr="0059443A">
        <w:rPr>
          <w:lang w:val="fr-FR"/>
        </w:rPr>
        <w:tab/>
        <w:t>Renuméroter la note de bas de page 2 en tant que note de bas de page 3.</w:t>
      </w:r>
    </w:p>
    <w:p w14:paraId="639BEAA9" w14:textId="77777777" w:rsidR="00196C06" w:rsidRPr="0059443A" w:rsidRDefault="00196C06" w:rsidP="00196C06">
      <w:pPr>
        <w:pStyle w:val="H1G"/>
      </w:pPr>
      <w:r w:rsidRPr="0059443A">
        <w:tab/>
      </w:r>
      <w:r w:rsidRPr="0059443A">
        <w:tab/>
        <w:t>Chapitre 6.3</w:t>
      </w:r>
    </w:p>
    <w:p w14:paraId="6F863C6B" w14:textId="77777777" w:rsidR="00196C06" w:rsidRPr="0059443A" w:rsidRDefault="00196C06" w:rsidP="00196C06">
      <w:pPr>
        <w:pStyle w:val="SingleTxtG"/>
        <w:tabs>
          <w:tab w:val="left" w:pos="1854"/>
        </w:tabs>
        <w:rPr>
          <w:lang w:val="fr-FR"/>
        </w:rPr>
      </w:pPr>
      <w:r w:rsidRPr="0059443A">
        <w:rPr>
          <w:lang w:val="fr-FR"/>
        </w:rPr>
        <w:t>6.3.4.2 e)</w:t>
      </w:r>
      <w:r w:rsidRPr="0059443A">
        <w:rPr>
          <w:lang w:val="fr-FR"/>
        </w:rPr>
        <w:tab/>
        <w:t>Remplacer «le signe distinctif prévu pour les automobiles dans le trafic international» par «le signe distinctif utilisé sur les véhicules en circulation routière internationale</w:t>
      </w:r>
      <w:r w:rsidRPr="0059443A">
        <w:rPr>
          <w:b/>
          <w:vertAlign w:val="superscript"/>
          <w:lang w:val="fr-FR"/>
        </w:rPr>
        <w:t>1</w:t>
      </w:r>
      <w:r w:rsidRPr="0059443A">
        <w:rPr>
          <w:lang w:val="fr-FR"/>
        </w:rPr>
        <w:t>».</w:t>
      </w:r>
    </w:p>
    <w:p w14:paraId="0BC8CBB6" w14:textId="77777777" w:rsidR="00196C06" w:rsidRPr="0059443A" w:rsidRDefault="00196C06" w:rsidP="00196C06">
      <w:pPr>
        <w:pStyle w:val="SingleTxtG"/>
        <w:tabs>
          <w:tab w:val="left" w:pos="1854"/>
        </w:tabs>
        <w:rPr>
          <w:lang w:val="fr-FR"/>
        </w:rPr>
      </w:pPr>
      <w:r w:rsidRPr="0059443A">
        <w:rPr>
          <w:lang w:val="fr-FR"/>
        </w:rPr>
        <w:t xml:space="preserve">La note de bas de page </w:t>
      </w:r>
      <w:r w:rsidRPr="0059443A">
        <w:rPr>
          <w:b/>
          <w:vertAlign w:val="superscript"/>
          <w:lang w:val="fr-FR"/>
        </w:rPr>
        <w:t>1</w:t>
      </w:r>
      <w:r w:rsidRPr="0059443A">
        <w:rPr>
          <w:lang w:val="fr-FR"/>
        </w:rPr>
        <w:t xml:space="preserve"> se lit comme suit:</w:t>
      </w:r>
    </w:p>
    <w:p w14:paraId="313BBBE4" w14:textId="77777777" w:rsidR="00196C06" w:rsidRPr="0059443A" w:rsidRDefault="00196C06" w:rsidP="00196C06">
      <w:pPr>
        <w:pStyle w:val="SingleTxtG"/>
        <w:tabs>
          <w:tab w:val="left" w:pos="1854"/>
        </w:tabs>
        <w:rPr>
          <w:lang w:val="fr-FR"/>
        </w:rPr>
      </w:pPr>
      <w:r w:rsidRPr="0059443A">
        <w:rPr>
          <w:lang w:val="fr-FR"/>
        </w:rPr>
        <w:t>«</w:t>
      </w:r>
      <w:r w:rsidRPr="0059443A">
        <w:rPr>
          <w:b/>
          <w:vertAlign w:val="superscript"/>
          <w:lang w:val="fr-FR"/>
        </w:rPr>
        <w:t>1</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14:paraId="3A82E768" w14:textId="77777777" w:rsidR="00196C06" w:rsidRPr="0059443A" w:rsidRDefault="00196C06" w:rsidP="00196C06">
      <w:pPr>
        <w:pStyle w:val="H1G"/>
      </w:pPr>
      <w:r w:rsidRPr="0059443A">
        <w:tab/>
      </w:r>
      <w:r w:rsidRPr="0059443A">
        <w:tab/>
        <w:t>Chapitre 6.4</w:t>
      </w:r>
    </w:p>
    <w:p w14:paraId="4AF45F7E" w14:textId="77777777" w:rsidR="00196C06" w:rsidRPr="0059443A" w:rsidRDefault="00196C06" w:rsidP="00196C06">
      <w:pPr>
        <w:pStyle w:val="SingleTxtG"/>
        <w:tabs>
          <w:tab w:val="left" w:pos="1854"/>
        </w:tabs>
        <w:rPr>
          <w:lang w:val="fr-FR"/>
        </w:rPr>
      </w:pPr>
      <w:r w:rsidRPr="0059443A">
        <w:rPr>
          <w:lang w:val="fr-FR"/>
        </w:rPr>
        <w:t>6.4.23.11 a)</w:t>
      </w:r>
      <w:r w:rsidRPr="0059443A">
        <w:rPr>
          <w:lang w:val="fr-FR"/>
        </w:rPr>
        <w:tab/>
        <w:t xml:space="preserve">Modifier pour lire comme suit: </w:t>
      </w:r>
    </w:p>
    <w:p w14:paraId="1C002F08" w14:textId="77777777" w:rsidR="00196C06" w:rsidRPr="0059443A" w:rsidRDefault="00196C06" w:rsidP="00196C06">
      <w:pPr>
        <w:pStyle w:val="SingleTxtG"/>
        <w:tabs>
          <w:tab w:val="left" w:pos="1854"/>
        </w:tabs>
        <w:rPr>
          <w:lang w:val="fr-FR"/>
        </w:rPr>
      </w:pPr>
      <w:r w:rsidRPr="0059443A">
        <w:rPr>
          <w:lang w:val="fr-FR"/>
        </w:rPr>
        <w:t>«a)</w:t>
      </w:r>
      <w:r w:rsidRPr="0059443A">
        <w:rPr>
          <w:lang w:val="fr-FR"/>
        </w:rPr>
        <w:tab/>
        <w:t>Sous réserve des prescriptions du 6.4.23.12 b), l'indicatif de pays est le signe distinctif utilisé sur les véhicules en circulation routière internationale</w:t>
      </w:r>
      <w:r w:rsidRPr="0059443A">
        <w:rPr>
          <w:b/>
          <w:vertAlign w:val="superscript"/>
          <w:lang w:val="fr-FR"/>
        </w:rPr>
        <w:t>1</w:t>
      </w:r>
      <w:r w:rsidRPr="0059443A">
        <w:rPr>
          <w:lang w:val="fr-FR"/>
        </w:rPr>
        <w:t xml:space="preserve"> pour le pays qui délivre le certificat;».</w:t>
      </w:r>
    </w:p>
    <w:p w14:paraId="4E18F99B" w14:textId="77777777" w:rsidR="00196C06" w:rsidRPr="0059443A" w:rsidRDefault="00196C06" w:rsidP="00196C06">
      <w:pPr>
        <w:pStyle w:val="SingleTxtG"/>
        <w:tabs>
          <w:tab w:val="left" w:pos="1854"/>
        </w:tabs>
        <w:rPr>
          <w:lang w:val="fr-FR"/>
        </w:rPr>
      </w:pPr>
      <w:r w:rsidRPr="0059443A">
        <w:rPr>
          <w:lang w:val="fr-FR"/>
        </w:rPr>
        <w:lastRenderedPageBreak/>
        <w:t>Modifier la note de bas de page 1 pour lire:</w:t>
      </w:r>
    </w:p>
    <w:p w14:paraId="2F2C95E3" w14:textId="77777777" w:rsidR="00196C06" w:rsidRPr="0059443A" w:rsidRDefault="00196C06" w:rsidP="00196C06">
      <w:pPr>
        <w:pStyle w:val="SingleTxtG"/>
        <w:tabs>
          <w:tab w:val="left" w:pos="1854"/>
        </w:tabs>
        <w:rPr>
          <w:lang w:val="fr-FR"/>
        </w:rPr>
      </w:pPr>
      <w:r w:rsidRPr="0059443A">
        <w:rPr>
          <w:lang w:val="fr-FR"/>
        </w:rPr>
        <w:t>«</w:t>
      </w:r>
      <w:r w:rsidRPr="0059443A">
        <w:rPr>
          <w:b/>
          <w:vertAlign w:val="superscript"/>
          <w:lang w:val="fr-FR"/>
        </w:rPr>
        <w:t>1</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14:paraId="0D299B20" w14:textId="77777777" w:rsidR="00196C06" w:rsidRPr="0059443A" w:rsidRDefault="00196C06" w:rsidP="00196C06">
      <w:pPr>
        <w:pStyle w:val="H1G"/>
      </w:pPr>
      <w:r w:rsidRPr="0059443A">
        <w:tab/>
      </w:r>
      <w:r w:rsidRPr="0059443A">
        <w:tab/>
        <w:t>Chapitre 6.5</w:t>
      </w:r>
    </w:p>
    <w:p w14:paraId="1030DBD1" w14:textId="77777777" w:rsidR="00196C06" w:rsidRPr="0059443A" w:rsidRDefault="00196C06" w:rsidP="00196C06">
      <w:pPr>
        <w:pStyle w:val="SingleTxtG"/>
        <w:tabs>
          <w:tab w:val="left" w:pos="1854"/>
        </w:tabs>
        <w:rPr>
          <w:lang w:val="fr-FR"/>
        </w:rPr>
      </w:pPr>
      <w:r w:rsidRPr="0059443A">
        <w:rPr>
          <w:lang w:val="fr-FR"/>
        </w:rPr>
        <w:t>6.5.2.1.1 e)</w:t>
      </w:r>
      <w:r w:rsidRPr="0059443A">
        <w:rPr>
          <w:lang w:val="fr-FR"/>
        </w:rPr>
        <w:tab/>
        <w:t>Remplacer «du signe distinctif utilisé pour les véhicules automobiles en circulation routière internationale» par «du signe distinctif utilisé sur les véhicules en circulation routière internationale</w:t>
      </w:r>
      <w:r w:rsidRPr="0059443A">
        <w:rPr>
          <w:b/>
          <w:vertAlign w:val="superscript"/>
          <w:lang w:val="fr-FR"/>
        </w:rPr>
        <w:t>1</w:t>
      </w:r>
      <w:r w:rsidRPr="0059443A">
        <w:rPr>
          <w:lang w:val="fr-FR"/>
        </w:rPr>
        <w:t>».</w:t>
      </w:r>
    </w:p>
    <w:p w14:paraId="3D6D9573" w14:textId="77777777" w:rsidR="00196C06" w:rsidRPr="0059443A" w:rsidRDefault="00196C06" w:rsidP="00196C06">
      <w:pPr>
        <w:pStyle w:val="SingleTxtG"/>
        <w:tabs>
          <w:tab w:val="left" w:pos="1854"/>
        </w:tabs>
        <w:rPr>
          <w:lang w:val="fr-FR"/>
        </w:rPr>
      </w:pPr>
      <w:r w:rsidRPr="0059443A">
        <w:rPr>
          <w:lang w:val="fr-FR"/>
        </w:rPr>
        <w:t xml:space="preserve">La note de bas de page </w:t>
      </w:r>
      <w:r w:rsidRPr="0059443A">
        <w:rPr>
          <w:b/>
          <w:vertAlign w:val="superscript"/>
          <w:lang w:val="fr-FR"/>
        </w:rPr>
        <w:t>1</w:t>
      </w:r>
      <w:r w:rsidRPr="0059443A">
        <w:rPr>
          <w:lang w:val="fr-FR"/>
        </w:rPr>
        <w:t xml:space="preserve"> se lit comme suit:</w:t>
      </w:r>
    </w:p>
    <w:p w14:paraId="300B4348" w14:textId="77777777" w:rsidR="00196C06" w:rsidRPr="0059443A" w:rsidRDefault="00196C06" w:rsidP="00196C06">
      <w:pPr>
        <w:pStyle w:val="SingleTxtG"/>
        <w:tabs>
          <w:tab w:val="left" w:pos="1854"/>
        </w:tabs>
        <w:rPr>
          <w:lang w:val="fr-FR"/>
        </w:rPr>
      </w:pPr>
      <w:r w:rsidRPr="0059443A">
        <w:rPr>
          <w:lang w:val="fr-FR"/>
        </w:rPr>
        <w:t>«</w:t>
      </w:r>
      <w:r w:rsidRPr="0059443A">
        <w:rPr>
          <w:b/>
          <w:vertAlign w:val="superscript"/>
          <w:lang w:val="fr-FR"/>
        </w:rPr>
        <w:t>1</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14:paraId="7852FC73" w14:textId="77777777" w:rsidR="00196C06" w:rsidRPr="0059443A" w:rsidRDefault="00196C06" w:rsidP="00196C06">
      <w:pPr>
        <w:pStyle w:val="SingleTxtG"/>
        <w:rPr>
          <w:iCs/>
          <w:lang w:val="fr-FR"/>
        </w:rPr>
      </w:pPr>
      <w:r w:rsidRPr="0059443A">
        <w:rPr>
          <w:iCs/>
          <w:lang w:val="fr-FR"/>
        </w:rPr>
        <w:t>6.5.6.9.3</w:t>
      </w:r>
      <w:r w:rsidRPr="0059443A">
        <w:rPr>
          <w:iCs/>
          <w:lang w:val="fr-FR"/>
        </w:rPr>
        <w:tab/>
        <w:t>Modifier le dernier paragraphe pour lire comme suit:</w:t>
      </w:r>
    </w:p>
    <w:p w14:paraId="22ABAEF5" w14:textId="0D5B4832" w:rsidR="00196C06" w:rsidRPr="0059443A" w:rsidRDefault="00196C06" w:rsidP="00196C06">
      <w:pPr>
        <w:pStyle w:val="SingleTxtG"/>
        <w:rPr>
          <w:iCs/>
          <w:lang w:val="fr-FR"/>
        </w:rPr>
      </w:pPr>
      <w:r w:rsidRPr="0059443A">
        <w:rPr>
          <w:iCs/>
          <w:lang w:val="fr-FR"/>
        </w:rPr>
        <w:t>«On peut utiliser le même GRV pour tous les essais ou un autre GRV du même modèle type pour chaque essai.»</w:t>
      </w:r>
      <w:r w:rsidR="00CE5D3F">
        <w:rPr>
          <w:iCs/>
          <w:lang w:val="fr-FR"/>
        </w:rPr>
        <w:t>.</w:t>
      </w:r>
    </w:p>
    <w:p w14:paraId="1CC29857" w14:textId="77777777" w:rsidR="00196C06" w:rsidRPr="0059443A" w:rsidRDefault="00196C06" w:rsidP="00196C06">
      <w:pPr>
        <w:pStyle w:val="SingleTxtG"/>
        <w:rPr>
          <w:iCs/>
          <w:lang w:val="fr-FR"/>
        </w:rPr>
      </w:pPr>
      <w:r w:rsidRPr="0059443A">
        <w:rPr>
          <w:iCs/>
          <w:lang w:val="fr-FR"/>
        </w:rPr>
        <w:t>6.5.6.14.1</w:t>
      </w:r>
      <w:r w:rsidRPr="0059443A">
        <w:rPr>
          <w:iCs/>
          <w:lang w:val="fr-FR"/>
        </w:rPr>
        <w:tab/>
      </w:r>
      <w:r w:rsidRPr="0059443A">
        <w:rPr>
          <w:iCs/>
          <w:lang w:val="fr-FR"/>
        </w:rPr>
        <w:tab/>
        <w:t xml:space="preserve"> Ajouter la phrase suivante à la fin du point </w:t>
      </w:r>
      <w:proofErr w:type="gramStart"/>
      <w:r w:rsidRPr="0059443A">
        <w:rPr>
          <w:iCs/>
          <w:lang w:val="fr-FR"/>
        </w:rPr>
        <w:t>8.:</w:t>
      </w:r>
      <w:proofErr w:type="gramEnd"/>
      <w:r w:rsidRPr="0059443A">
        <w:rPr>
          <w:iCs/>
          <w:lang w:val="fr-FR"/>
        </w:rPr>
        <w:t xml:space="preserve"> «Pour les GRV en plastique rigide et les GRV composites soumis à l’épreuve de pression interne du 6.5.6.8, la température de l’eau utilisée.».</w:t>
      </w:r>
    </w:p>
    <w:p w14:paraId="6E5BE292" w14:textId="77777777" w:rsidR="00196C06" w:rsidRPr="0059443A" w:rsidRDefault="00196C06" w:rsidP="00196C06">
      <w:pPr>
        <w:pStyle w:val="H1G"/>
      </w:pPr>
      <w:r w:rsidRPr="0059443A">
        <w:tab/>
      </w:r>
      <w:r w:rsidRPr="0059443A">
        <w:tab/>
        <w:t>Chapitre 6.6</w:t>
      </w:r>
    </w:p>
    <w:p w14:paraId="560FF924" w14:textId="77777777" w:rsidR="00196C06" w:rsidRPr="0059443A" w:rsidRDefault="00196C06" w:rsidP="00196C06">
      <w:pPr>
        <w:pStyle w:val="SingleTxtG"/>
        <w:tabs>
          <w:tab w:val="left" w:pos="1854"/>
        </w:tabs>
        <w:rPr>
          <w:lang w:val="fr-FR"/>
        </w:rPr>
      </w:pPr>
      <w:r w:rsidRPr="0059443A">
        <w:rPr>
          <w:lang w:val="fr-FR"/>
        </w:rPr>
        <w:t>6.6.3.1 e)</w:t>
      </w:r>
      <w:r w:rsidRPr="0059443A">
        <w:rPr>
          <w:lang w:val="fr-FR"/>
        </w:rPr>
        <w:tab/>
        <w:t>Remplacer «du signe distinctif utilisé pour les véhicules routiers en circulation internationale» par «du signe distinctif utilisé sur les véhicules en circulation routière internationale</w:t>
      </w:r>
      <w:r w:rsidRPr="0059443A">
        <w:rPr>
          <w:b/>
          <w:vertAlign w:val="superscript"/>
          <w:lang w:val="fr-FR"/>
        </w:rPr>
        <w:t>1</w:t>
      </w:r>
      <w:r w:rsidRPr="0059443A">
        <w:rPr>
          <w:lang w:val="fr-FR"/>
        </w:rPr>
        <w:t xml:space="preserve">». </w:t>
      </w:r>
    </w:p>
    <w:p w14:paraId="3DD5CEE4" w14:textId="77777777" w:rsidR="00196C06" w:rsidRPr="0059443A" w:rsidRDefault="00196C06" w:rsidP="00196C06">
      <w:pPr>
        <w:pStyle w:val="SingleTxtG"/>
        <w:tabs>
          <w:tab w:val="left" w:pos="1854"/>
        </w:tabs>
        <w:rPr>
          <w:lang w:val="fr-FR"/>
        </w:rPr>
      </w:pPr>
      <w:r w:rsidRPr="0059443A">
        <w:rPr>
          <w:lang w:val="fr-FR"/>
        </w:rPr>
        <w:t xml:space="preserve">La note de bas de page </w:t>
      </w:r>
      <w:r w:rsidRPr="0059443A">
        <w:rPr>
          <w:b/>
          <w:vertAlign w:val="superscript"/>
          <w:lang w:val="fr-FR"/>
        </w:rPr>
        <w:t>1</w:t>
      </w:r>
      <w:r w:rsidRPr="0059443A">
        <w:rPr>
          <w:lang w:val="fr-FR"/>
        </w:rPr>
        <w:t xml:space="preserve"> se lit comme suit:</w:t>
      </w:r>
    </w:p>
    <w:p w14:paraId="4E6EE17C" w14:textId="77777777" w:rsidR="00196C06" w:rsidRPr="0059443A" w:rsidRDefault="00196C06" w:rsidP="00196C06">
      <w:pPr>
        <w:pStyle w:val="SingleTxtG"/>
        <w:tabs>
          <w:tab w:val="left" w:pos="1854"/>
        </w:tabs>
        <w:rPr>
          <w:lang w:val="fr-FR"/>
        </w:rPr>
      </w:pPr>
      <w:r w:rsidRPr="0059443A">
        <w:rPr>
          <w:lang w:val="fr-FR"/>
        </w:rPr>
        <w:t>«</w:t>
      </w:r>
      <w:r w:rsidRPr="0059443A">
        <w:rPr>
          <w:b/>
          <w:vertAlign w:val="superscript"/>
          <w:lang w:val="fr-FR"/>
        </w:rPr>
        <w:t>1</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14:paraId="71EB202F" w14:textId="77777777" w:rsidR="00196C06" w:rsidRPr="0059443A" w:rsidRDefault="00196C06" w:rsidP="00196C06">
      <w:pPr>
        <w:pStyle w:val="H1G"/>
      </w:pPr>
      <w:r w:rsidRPr="0059443A">
        <w:tab/>
      </w:r>
      <w:r w:rsidRPr="0059443A">
        <w:tab/>
        <w:t>Chapitre 6.7</w:t>
      </w:r>
    </w:p>
    <w:p w14:paraId="643E9B64" w14:textId="77777777" w:rsidR="00196C06" w:rsidRDefault="00196C06" w:rsidP="00196C06">
      <w:pPr>
        <w:spacing w:before="120" w:after="120" w:line="240" w:lineRule="auto"/>
        <w:ind w:left="1134" w:right="1134"/>
        <w:jc w:val="both"/>
        <w:rPr>
          <w:i/>
          <w:iCs/>
        </w:rPr>
      </w:pPr>
      <w:r>
        <w:rPr>
          <w:lang w:val="fr-FR"/>
        </w:rPr>
        <w:t>6.7.2.2.16</w:t>
      </w:r>
      <w:r>
        <w:rPr>
          <w:lang w:val="fr-FR"/>
        </w:rPr>
        <w:tab/>
        <w:t>Remplacer «</w:t>
      </w:r>
      <w:r w:rsidRPr="00A46ADF">
        <w:rPr>
          <w:lang w:val="fr-FR"/>
        </w:rPr>
        <w:t>des risques inhérents aux matières transportées</w:t>
      </w:r>
      <w:r>
        <w:rPr>
          <w:lang w:val="fr-FR"/>
        </w:rPr>
        <w:t xml:space="preserve">» par «des risques </w:t>
      </w:r>
      <w:r w:rsidRPr="00A46ADF">
        <w:rPr>
          <w:lang w:val="fr-FR"/>
        </w:rPr>
        <w:t xml:space="preserve">inhérents </w:t>
      </w:r>
      <w:r>
        <w:rPr>
          <w:lang w:val="fr-FR"/>
        </w:rPr>
        <w:t>au transport des</w:t>
      </w:r>
      <w:r w:rsidRPr="00A46ADF">
        <w:rPr>
          <w:lang w:val="fr-FR"/>
        </w:rPr>
        <w:t xml:space="preserve"> matières </w:t>
      </w:r>
      <w:r>
        <w:rPr>
          <w:lang w:val="fr-FR"/>
        </w:rPr>
        <w:t>concernées».</w:t>
      </w:r>
    </w:p>
    <w:p w14:paraId="2A28A1AC" w14:textId="04DBF680" w:rsidR="00196C06" w:rsidRPr="0059443A" w:rsidRDefault="00196C06" w:rsidP="00196C06">
      <w:pPr>
        <w:pStyle w:val="SingleTxtG"/>
        <w:tabs>
          <w:tab w:val="left" w:pos="1854"/>
        </w:tabs>
        <w:rPr>
          <w:lang w:val="fr-FR"/>
        </w:rPr>
      </w:pPr>
      <w:r w:rsidRPr="0059443A">
        <w:rPr>
          <w:lang w:val="fr-FR"/>
        </w:rPr>
        <w:t>6.7.2.18.1</w:t>
      </w:r>
      <w:r w:rsidRPr="0059443A">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sidRPr="0059443A">
        <w:rPr>
          <w:b/>
          <w:vertAlign w:val="superscript"/>
          <w:lang w:val="fr-FR"/>
        </w:rPr>
        <w:t>2</w:t>
      </w:r>
      <w:r w:rsidRPr="0059443A">
        <w:rPr>
          <w:lang w:val="fr-FR"/>
        </w:rPr>
        <w:t>»</w:t>
      </w:r>
      <w:r w:rsidR="003B47D4">
        <w:rPr>
          <w:lang w:val="fr-FR"/>
        </w:rPr>
        <w:t>.</w:t>
      </w:r>
    </w:p>
    <w:p w14:paraId="73CF0AE3" w14:textId="4F80DB67" w:rsidR="00196C06" w:rsidRPr="0059443A" w:rsidRDefault="00196C06" w:rsidP="00196C06">
      <w:pPr>
        <w:pStyle w:val="SingleTxtG"/>
        <w:tabs>
          <w:tab w:val="left" w:pos="1854"/>
        </w:tabs>
        <w:rPr>
          <w:lang w:val="fr-FR"/>
        </w:rPr>
      </w:pPr>
      <w:r w:rsidRPr="0059443A">
        <w:rPr>
          <w:lang w:val="fr-FR"/>
        </w:rPr>
        <w:t>6.7.3.14.1</w:t>
      </w:r>
      <w:r w:rsidRPr="0059443A">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sidRPr="0059443A">
        <w:rPr>
          <w:b/>
          <w:vertAlign w:val="superscript"/>
          <w:lang w:val="fr-FR"/>
        </w:rPr>
        <w:t>2</w:t>
      </w:r>
      <w:r w:rsidRPr="0059443A">
        <w:rPr>
          <w:lang w:val="fr-FR"/>
        </w:rPr>
        <w:t>»</w:t>
      </w:r>
      <w:r w:rsidR="003B47D4">
        <w:rPr>
          <w:lang w:val="fr-FR"/>
        </w:rPr>
        <w:t>.</w:t>
      </w:r>
    </w:p>
    <w:p w14:paraId="68E1AAA3" w14:textId="6B43673A" w:rsidR="00196C06" w:rsidRPr="0059443A" w:rsidRDefault="00196C06" w:rsidP="00196C06">
      <w:pPr>
        <w:pStyle w:val="SingleTxtG"/>
        <w:tabs>
          <w:tab w:val="left" w:pos="1854"/>
        </w:tabs>
        <w:rPr>
          <w:lang w:val="fr-FR"/>
        </w:rPr>
      </w:pPr>
      <w:r w:rsidRPr="0059443A">
        <w:rPr>
          <w:lang w:val="fr-FR"/>
        </w:rPr>
        <w:lastRenderedPageBreak/>
        <w:t>6.7.4.13.1</w:t>
      </w:r>
      <w:r w:rsidRPr="0059443A">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sidRPr="0059443A">
        <w:rPr>
          <w:b/>
          <w:vertAlign w:val="superscript"/>
          <w:lang w:val="fr-FR"/>
        </w:rPr>
        <w:t>2</w:t>
      </w:r>
      <w:r w:rsidRPr="0059443A">
        <w:rPr>
          <w:lang w:val="fr-FR"/>
        </w:rPr>
        <w:t>»</w:t>
      </w:r>
      <w:r w:rsidR="003B47D4">
        <w:rPr>
          <w:lang w:val="fr-FR"/>
        </w:rPr>
        <w:t>.</w:t>
      </w:r>
    </w:p>
    <w:p w14:paraId="345C18F1" w14:textId="51432A6F" w:rsidR="00196C06" w:rsidRPr="0059443A" w:rsidRDefault="00196C06" w:rsidP="00196C06">
      <w:pPr>
        <w:pStyle w:val="SingleTxtG"/>
        <w:tabs>
          <w:tab w:val="left" w:pos="1854"/>
        </w:tabs>
        <w:rPr>
          <w:lang w:val="fr-FR"/>
        </w:rPr>
      </w:pPr>
      <w:r w:rsidRPr="0059443A">
        <w:rPr>
          <w:lang w:val="fr-FR"/>
        </w:rPr>
        <w:t>6.7.5.11.1</w:t>
      </w:r>
      <w:r w:rsidRPr="0059443A">
        <w:rPr>
          <w:lang w:val="fr-FR"/>
        </w:rPr>
        <w:tab/>
        <w:t>Dans la cinquième phrase, remplacer «c’est-à-dire du symbole des véhicules en circulation routière internationale prévu par la Convention de Vienne sur la circulation routière (Vienne 1968)» par «indiqué par le signe distinctif utilisé sur les véhicules en circulation routière internationale</w:t>
      </w:r>
      <w:r w:rsidRPr="0059443A">
        <w:rPr>
          <w:b/>
          <w:vertAlign w:val="superscript"/>
          <w:lang w:val="fr-FR"/>
        </w:rPr>
        <w:t>2</w:t>
      </w:r>
      <w:r w:rsidRPr="0059443A">
        <w:rPr>
          <w:lang w:val="fr-FR"/>
        </w:rPr>
        <w:t>»</w:t>
      </w:r>
      <w:r w:rsidR="003B47D4">
        <w:rPr>
          <w:lang w:val="fr-FR"/>
        </w:rPr>
        <w:t>.</w:t>
      </w:r>
    </w:p>
    <w:p w14:paraId="4C359457" w14:textId="77777777" w:rsidR="00196C06" w:rsidRPr="0059443A" w:rsidRDefault="00196C06" w:rsidP="00196C06">
      <w:pPr>
        <w:pStyle w:val="SingleTxtG"/>
        <w:tabs>
          <w:tab w:val="left" w:pos="1854"/>
        </w:tabs>
        <w:rPr>
          <w:lang w:val="fr-FR"/>
        </w:rPr>
      </w:pPr>
      <w:r w:rsidRPr="0059443A">
        <w:rPr>
          <w:lang w:val="fr-FR"/>
        </w:rPr>
        <w:t>La note de bas de page 2 se lit comme suit:</w:t>
      </w:r>
    </w:p>
    <w:p w14:paraId="3E88AFB0" w14:textId="77777777" w:rsidR="00196C06" w:rsidRPr="0059443A" w:rsidRDefault="00196C06" w:rsidP="00196C06">
      <w:pPr>
        <w:pStyle w:val="SingleTxtG"/>
        <w:tabs>
          <w:tab w:val="left" w:pos="1854"/>
        </w:tabs>
        <w:rPr>
          <w:lang w:val="fr-FR"/>
        </w:rPr>
      </w:pPr>
      <w:r w:rsidRPr="0059443A">
        <w:rPr>
          <w:lang w:val="fr-FR"/>
        </w:rPr>
        <w:t>«</w:t>
      </w:r>
      <w:r w:rsidRPr="0059443A">
        <w:rPr>
          <w:b/>
          <w:vertAlign w:val="superscript"/>
          <w:lang w:val="fr-FR"/>
        </w:rPr>
        <w:t>2</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 xml:space="preserve"> </w:t>
      </w:r>
    </w:p>
    <w:p w14:paraId="1CC8C3DD" w14:textId="77777777" w:rsidR="00196C06" w:rsidRPr="0059443A" w:rsidRDefault="00196C06" w:rsidP="00196C06">
      <w:pPr>
        <w:pStyle w:val="SingleTxtG"/>
        <w:tabs>
          <w:tab w:val="left" w:pos="1854"/>
        </w:tabs>
        <w:rPr>
          <w:lang w:val="fr-FR"/>
        </w:rPr>
      </w:pPr>
      <w:r w:rsidRPr="0059443A">
        <w:rPr>
          <w:lang w:val="fr-FR"/>
        </w:rPr>
        <w:t>Dans le chapitre 7.2, renuméroter les notes de bas de page suivantes en conséquence.</w:t>
      </w:r>
    </w:p>
    <w:p w14:paraId="176A0722" w14:textId="77777777" w:rsidR="00196C06" w:rsidRPr="0059443A" w:rsidRDefault="00196C06" w:rsidP="00196C06">
      <w:pPr>
        <w:pStyle w:val="H1G"/>
      </w:pPr>
      <w:r w:rsidRPr="0059443A">
        <w:tab/>
      </w:r>
      <w:r w:rsidRPr="0059443A">
        <w:tab/>
        <w:t>Chapitre 6.8</w:t>
      </w:r>
    </w:p>
    <w:p w14:paraId="59A06B5B" w14:textId="77777777" w:rsidR="00196C06" w:rsidRPr="0059443A" w:rsidRDefault="00196C06" w:rsidP="00196C06">
      <w:pPr>
        <w:pStyle w:val="SingleTxtG"/>
        <w:tabs>
          <w:tab w:val="left" w:pos="1854"/>
        </w:tabs>
        <w:rPr>
          <w:lang w:val="fr-FR"/>
        </w:rPr>
      </w:pPr>
      <w:r w:rsidRPr="0059443A">
        <w:t>6.8.5.5.1 e)</w:t>
      </w:r>
      <w:r w:rsidRPr="0059443A">
        <w:tab/>
      </w:r>
      <w:r w:rsidRPr="0059443A">
        <w:rPr>
          <w:lang w:val="fr-FR"/>
        </w:rPr>
        <w:t>Remplacer «aux signes distinctifs utilisés pour les véhicules automobiles en circulation routière internationale» par «du signe distinctif utilisé sur les véhicules en circulation routière internationale</w:t>
      </w:r>
      <w:r w:rsidRPr="0059443A">
        <w:rPr>
          <w:b/>
          <w:vertAlign w:val="superscript"/>
          <w:lang w:val="fr-FR"/>
        </w:rPr>
        <w:t>2</w:t>
      </w:r>
      <w:r w:rsidRPr="0059443A">
        <w:rPr>
          <w:lang w:val="fr-FR"/>
        </w:rPr>
        <w:t xml:space="preserve">». </w:t>
      </w:r>
    </w:p>
    <w:p w14:paraId="7A437140" w14:textId="77777777" w:rsidR="00196C06" w:rsidRDefault="00196C06" w:rsidP="00196C06">
      <w:pPr>
        <w:pStyle w:val="SingleTxtG"/>
        <w:tabs>
          <w:tab w:val="left" w:pos="1854"/>
        </w:tabs>
        <w:rPr>
          <w:lang w:val="fr-FR"/>
        </w:rPr>
      </w:pPr>
      <w:r w:rsidRPr="0059443A">
        <w:rPr>
          <w:lang w:val="fr-FR"/>
        </w:rPr>
        <w:t xml:space="preserve">La note de bas de page </w:t>
      </w:r>
      <w:r w:rsidRPr="0059443A">
        <w:rPr>
          <w:b/>
          <w:vertAlign w:val="superscript"/>
          <w:lang w:val="fr-FR"/>
        </w:rPr>
        <w:t>2</w:t>
      </w:r>
      <w:r w:rsidRPr="0059443A">
        <w:rPr>
          <w:lang w:val="fr-FR"/>
        </w:rPr>
        <w:t xml:space="preserve"> se lit comme suit:</w:t>
      </w:r>
      <w:r>
        <w:rPr>
          <w:lang w:val="fr-FR"/>
        </w:rPr>
        <w:t xml:space="preserve"> </w:t>
      </w:r>
    </w:p>
    <w:p w14:paraId="085C935F" w14:textId="77777777" w:rsidR="00196C06" w:rsidRPr="0059443A" w:rsidRDefault="00196C06" w:rsidP="00196C06">
      <w:pPr>
        <w:pStyle w:val="SingleTxtG"/>
        <w:tabs>
          <w:tab w:val="left" w:pos="1854"/>
        </w:tabs>
        <w:rPr>
          <w:lang w:val="fr-FR"/>
        </w:rPr>
      </w:pPr>
      <w:r w:rsidRPr="0059443A">
        <w:rPr>
          <w:lang w:val="fr-FR"/>
        </w:rPr>
        <w:t>«</w:t>
      </w:r>
      <w:r w:rsidRPr="0059443A">
        <w:rPr>
          <w:b/>
          <w:vertAlign w:val="superscript"/>
          <w:lang w:val="fr-FR"/>
        </w:rPr>
        <w:t>2</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14:paraId="0BD3E0C1" w14:textId="77777777" w:rsidR="00196C06" w:rsidRPr="0059443A" w:rsidRDefault="00196C06" w:rsidP="00196C06">
      <w:pPr>
        <w:pStyle w:val="H1G"/>
      </w:pPr>
      <w:r w:rsidRPr="0059443A">
        <w:tab/>
      </w:r>
      <w:r w:rsidRPr="0059443A">
        <w:tab/>
        <w:t>Chapitre 7.1</w:t>
      </w:r>
    </w:p>
    <w:p w14:paraId="5A620D86" w14:textId="77777777" w:rsidR="00196C06" w:rsidRPr="0059443A" w:rsidRDefault="00196C06" w:rsidP="00196C06">
      <w:pPr>
        <w:pStyle w:val="SingleTxtG"/>
        <w:tabs>
          <w:tab w:val="left" w:pos="1854"/>
        </w:tabs>
        <w:rPr>
          <w:lang w:val="fr-FR"/>
        </w:rPr>
      </w:pPr>
      <w:r w:rsidRPr="0059443A">
        <w:rPr>
          <w:lang w:eastAsia="en-GB"/>
        </w:rPr>
        <w:t>7.1.2.3 c)</w:t>
      </w:r>
      <w:r w:rsidRPr="0059443A">
        <w:rPr>
          <w:lang w:val="fr-FR"/>
        </w:rPr>
        <w:tab/>
      </w:r>
      <w:r w:rsidRPr="0059443A">
        <w:rPr>
          <w:lang w:eastAsia="en-GB"/>
        </w:rPr>
        <w:t>Remplacer «risque» par «danger» (trois fois).</w:t>
      </w:r>
    </w:p>
    <w:p w14:paraId="6A4AA518" w14:textId="28C542A1" w:rsidR="00A5193B" w:rsidRDefault="00A5193B" w:rsidP="00196C06">
      <w:pPr>
        <w:spacing w:before="120" w:after="120" w:line="240" w:lineRule="auto"/>
        <w:ind w:left="1134" w:right="1134"/>
        <w:jc w:val="both"/>
        <w:rPr>
          <w:lang w:val="fr-FR"/>
        </w:rPr>
      </w:pPr>
      <w:r>
        <w:rPr>
          <w:lang w:val="fr-FR"/>
        </w:rPr>
        <w:t>7.1.5</w:t>
      </w:r>
      <w:r w:rsidR="001A24A2">
        <w:rPr>
          <w:lang w:val="fr-FR"/>
        </w:rPr>
        <w:t xml:space="preserve"> </w:t>
      </w:r>
      <w:proofErr w:type="gramStart"/>
      <w:r w:rsidR="001A24A2">
        <w:rPr>
          <w:lang w:val="fr-FR"/>
        </w:rPr>
        <w:t>et</w:t>
      </w:r>
      <w:proofErr w:type="gramEnd"/>
      <w:r w:rsidR="001A24A2">
        <w:rPr>
          <w:lang w:val="fr-FR"/>
        </w:rPr>
        <w:t xml:space="preserve"> 7.1.6</w:t>
      </w:r>
      <w:r>
        <w:rPr>
          <w:lang w:val="fr-FR"/>
        </w:rPr>
        <w:tab/>
      </w:r>
      <w:r w:rsidR="001A24A2">
        <w:rPr>
          <w:lang w:val="fr-FR"/>
        </w:rPr>
        <w:t xml:space="preserve">Modifier </w:t>
      </w:r>
      <w:r w:rsidR="00771312">
        <w:rPr>
          <w:lang w:val="fr-FR"/>
        </w:rPr>
        <w:t>pour lire comme suit</w:t>
      </w:r>
      <w:r>
        <w:rPr>
          <w:lang w:val="fr-FR"/>
        </w:rPr>
        <w:t>:</w:t>
      </w:r>
    </w:p>
    <w:p w14:paraId="4CAC7757" w14:textId="6F2BB834" w:rsidR="00A5193B" w:rsidRPr="00E841C6" w:rsidRDefault="00A5193B" w:rsidP="00A5193B">
      <w:pPr>
        <w:pStyle w:val="SingleTxtG"/>
        <w:rPr>
          <w:b/>
        </w:rPr>
      </w:pPr>
      <w:r w:rsidRPr="00F37893">
        <w:rPr>
          <w:lang w:val="fr-FR"/>
        </w:rPr>
        <w:t>«</w:t>
      </w:r>
      <w:r w:rsidRPr="00E841C6">
        <w:rPr>
          <w:b/>
          <w:lang w:val="fr-FR"/>
        </w:rPr>
        <w:t>7.1.5</w:t>
      </w:r>
      <w:r>
        <w:rPr>
          <w:b/>
          <w:lang w:val="fr-FR"/>
        </w:rPr>
        <w:tab/>
      </w:r>
      <w:r w:rsidRPr="00E841C6">
        <w:rPr>
          <w:b/>
          <w:lang w:val="fr-FR"/>
        </w:rPr>
        <w:tab/>
        <w:t xml:space="preserve">Dispositions particulières applicables au transport des matières </w:t>
      </w:r>
      <w:proofErr w:type="spellStart"/>
      <w:r w:rsidRPr="00E841C6">
        <w:rPr>
          <w:b/>
          <w:lang w:val="fr-FR"/>
        </w:rPr>
        <w:t>aut</w:t>
      </w:r>
      <w:r>
        <w:rPr>
          <w:b/>
          <w:lang w:val="fr-FR"/>
        </w:rPr>
        <w:t>oréactives</w:t>
      </w:r>
      <w:proofErr w:type="spellEnd"/>
      <w:r>
        <w:rPr>
          <w:b/>
          <w:lang w:val="fr-FR"/>
        </w:rPr>
        <w:t xml:space="preserve"> de la division 4.1, </w:t>
      </w:r>
      <w:r w:rsidRPr="00E841C6">
        <w:rPr>
          <w:b/>
          <w:lang w:val="fr-FR"/>
        </w:rPr>
        <w:t>des peroxydes or</w:t>
      </w:r>
      <w:r>
        <w:rPr>
          <w:b/>
          <w:lang w:val="fr-FR"/>
        </w:rPr>
        <w:t xml:space="preserve">ganiques de la division 5.2 et </w:t>
      </w:r>
      <w:r w:rsidRPr="00E841C6">
        <w:rPr>
          <w:b/>
          <w:lang w:val="fr-FR"/>
        </w:rPr>
        <w:t xml:space="preserve">des matières stabilisées par régulation de température (autres que les matières </w:t>
      </w:r>
      <w:proofErr w:type="spellStart"/>
      <w:r w:rsidRPr="00E841C6">
        <w:rPr>
          <w:b/>
          <w:lang w:val="fr-FR"/>
        </w:rPr>
        <w:t>autoréactives</w:t>
      </w:r>
      <w:proofErr w:type="spellEnd"/>
      <w:r w:rsidRPr="00E841C6">
        <w:rPr>
          <w:b/>
          <w:lang w:val="fr-FR"/>
        </w:rPr>
        <w:t xml:space="preserve"> ou les peroxydes organiques)</w:t>
      </w:r>
    </w:p>
    <w:p w14:paraId="0F6B147B" w14:textId="77777777" w:rsidR="00A5193B" w:rsidRPr="00E841C6" w:rsidRDefault="00A5193B" w:rsidP="00A5193B">
      <w:pPr>
        <w:pStyle w:val="SingleTxtG"/>
      </w:pPr>
      <w:r w:rsidRPr="00E841C6">
        <w:rPr>
          <w:lang w:val="fr-FR"/>
        </w:rPr>
        <w:t>7.1.5.1</w:t>
      </w:r>
      <w:r>
        <w:rPr>
          <w:lang w:val="fr-FR"/>
        </w:rPr>
        <w:tab/>
      </w:r>
      <w:r w:rsidRPr="00E841C6">
        <w:rPr>
          <w:lang w:val="fr-FR"/>
        </w:rPr>
        <w:tab/>
        <w:t xml:space="preserve">Les matières </w:t>
      </w:r>
      <w:proofErr w:type="spellStart"/>
      <w:r w:rsidRPr="00E841C6">
        <w:rPr>
          <w:lang w:val="fr-FR"/>
        </w:rPr>
        <w:t>autoréactives</w:t>
      </w:r>
      <w:proofErr w:type="spellEnd"/>
      <w:r w:rsidRPr="00E841C6">
        <w:rPr>
          <w:lang w:val="fr-FR"/>
        </w:rPr>
        <w:t>, les peroxydes organiques et les matières qui polymérisent doivent être tenus à l’ombre, maintenus à l’écart de toute source de chaleur et placés dans des endroits bien aérés.</w:t>
      </w:r>
    </w:p>
    <w:p w14:paraId="19FD7E4A" w14:textId="5265D590" w:rsidR="00A5193B" w:rsidRPr="00771312" w:rsidRDefault="00A5193B" w:rsidP="00A5193B">
      <w:pPr>
        <w:pStyle w:val="SingleTxtG"/>
        <w:rPr>
          <w:i/>
        </w:rPr>
      </w:pPr>
      <w:r w:rsidRPr="00771312">
        <w:rPr>
          <w:b/>
          <w:i/>
          <w:lang w:val="fr-FR"/>
        </w:rPr>
        <w:t>NOTA</w:t>
      </w:r>
      <w:r w:rsidRPr="00BD149D">
        <w:rPr>
          <w:b/>
          <w:i/>
          <w:lang w:val="fr-FR"/>
        </w:rPr>
        <w:t>:</w:t>
      </w:r>
      <w:r w:rsidRPr="00771312">
        <w:rPr>
          <w:i/>
          <w:lang w:val="fr-FR"/>
        </w:rPr>
        <w:t xml:space="preserve"> </w:t>
      </w:r>
      <w:r w:rsidR="00BD149D">
        <w:rPr>
          <w:i/>
          <w:lang w:val="fr-FR"/>
        </w:rPr>
        <w:tab/>
      </w:r>
      <w:r w:rsidRPr="00771312">
        <w:rPr>
          <w:i/>
          <w:lang w:val="fr-FR"/>
        </w:rPr>
        <w:t>Certaines matières qui doivent être transportées sous régulation de température sont interdites au transport sous certains modes de transport.</w:t>
      </w:r>
    </w:p>
    <w:p w14:paraId="2CE29AED" w14:textId="77777777" w:rsidR="002A4B9C" w:rsidRPr="00E841C6" w:rsidRDefault="002A4B9C" w:rsidP="002A4B9C">
      <w:pPr>
        <w:pStyle w:val="SingleTxtG"/>
      </w:pPr>
      <w:r w:rsidRPr="00E841C6">
        <w:rPr>
          <w:lang w:val="fr-FR"/>
        </w:rPr>
        <w:t>7.1.5.</w:t>
      </w:r>
      <w:r>
        <w:rPr>
          <w:lang w:val="fr-FR"/>
        </w:rPr>
        <w:t>2</w:t>
      </w:r>
      <w:r>
        <w:rPr>
          <w:lang w:val="fr-FR"/>
        </w:rPr>
        <w:tab/>
      </w:r>
      <w:r w:rsidRPr="00E841C6">
        <w:rPr>
          <w:lang w:val="fr-FR"/>
        </w:rPr>
        <w:tab/>
        <w:t>Si plusieurs colis sont groupés dans un conteneur, un véhicule routier fermé ou une unité de charge, la quantité totale de matière, le type et le nombre de colis, ainsi que leur ordre d’arrimage, ne doivent pas être tels qu’il en résulte un risque d’explosion.</w:t>
      </w:r>
      <w:r>
        <w:rPr>
          <w:lang w:val="fr-FR"/>
        </w:rPr>
        <w:t> »</w:t>
      </w:r>
      <w:r w:rsidRPr="00E841C6">
        <w:rPr>
          <w:lang w:val="fr-FR"/>
        </w:rPr>
        <w:t>.</w:t>
      </w:r>
    </w:p>
    <w:p w14:paraId="15B823B2" w14:textId="77777777" w:rsidR="00A5193B" w:rsidRPr="00414A63" w:rsidRDefault="00A5193B" w:rsidP="002A4B9C">
      <w:pPr>
        <w:pStyle w:val="SingleTxtG"/>
        <w:rPr>
          <w:b/>
        </w:rPr>
      </w:pPr>
      <w:r w:rsidRPr="00414A63">
        <w:rPr>
          <w:b/>
          <w:lang w:val="fr-FR"/>
        </w:rPr>
        <w:t>7.1.5.</w:t>
      </w:r>
      <w:r w:rsidR="002A4B9C" w:rsidRPr="00414A63">
        <w:rPr>
          <w:b/>
          <w:lang w:val="fr-FR"/>
        </w:rPr>
        <w:t>3</w:t>
      </w:r>
      <w:r w:rsidRPr="00414A63">
        <w:rPr>
          <w:b/>
          <w:lang w:val="fr-FR"/>
        </w:rPr>
        <w:tab/>
      </w:r>
      <w:r w:rsidRPr="00414A63">
        <w:rPr>
          <w:b/>
          <w:lang w:val="fr-FR"/>
        </w:rPr>
        <w:tab/>
      </w:r>
      <w:r w:rsidRPr="00414A63">
        <w:rPr>
          <w:b/>
          <w:i/>
          <w:iCs/>
          <w:lang w:val="fr-FR"/>
        </w:rPr>
        <w:t>Dispositions relatives à la régulation de température</w:t>
      </w:r>
    </w:p>
    <w:p w14:paraId="543E19FC" w14:textId="6CB3099B" w:rsidR="00A5193B" w:rsidRPr="00E841C6" w:rsidRDefault="002A4B9C" w:rsidP="00D111D2">
      <w:pPr>
        <w:pStyle w:val="SingleTxtG"/>
        <w:rPr>
          <w:lang w:val="fr-FR"/>
        </w:rPr>
      </w:pPr>
      <w:r>
        <w:rPr>
          <w:lang w:val="fr-FR"/>
        </w:rPr>
        <w:t>7.1.5.3</w:t>
      </w:r>
      <w:r w:rsidR="00A5193B" w:rsidRPr="00E841C6">
        <w:rPr>
          <w:lang w:val="fr-FR"/>
        </w:rPr>
        <w:t>.1</w:t>
      </w:r>
      <w:r w:rsidR="00A5193B" w:rsidRPr="00E841C6">
        <w:rPr>
          <w:lang w:val="fr-FR"/>
        </w:rPr>
        <w:tab/>
      </w:r>
      <w:r w:rsidR="00D111D2">
        <w:rPr>
          <w:lang w:val="fr-FR"/>
        </w:rPr>
        <w:t xml:space="preserve">Les présentes dispositions ne s’appliquent à certaines </w:t>
      </w:r>
      <w:r w:rsidR="00D111D2" w:rsidRPr="00E841C6">
        <w:rPr>
          <w:lang w:val="fr-FR"/>
        </w:rPr>
        <w:t xml:space="preserve">matières </w:t>
      </w:r>
      <w:proofErr w:type="spellStart"/>
      <w:r w:rsidR="00D111D2" w:rsidRPr="00E841C6">
        <w:rPr>
          <w:lang w:val="fr-FR"/>
        </w:rPr>
        <w:t>autoréactives</w:t>
      </w:r>
      <w:proofErr w:type="spellEnd"/>
      <w:r w:rsidR="00D111D2">
        <w:rPr>
          <w:lang w:val="fr-FR"/>
        </w:rPr>
        <w:t xml:space="preserve">, certains </w:t>
      </w:r>
      <w:r w:rsidR="00D111D2" w:rsidRPr="00E841C6">
        <w:rPr>
          <w:lang w:val="fr-FR"/>
        </w:rPr>
        <w:t>peroxydes organiques</w:t>
      </w:r>
      <w:r w:rsidR="00D111D2">
        <w:rPr>
          <w:lang w:val="fr-FR"/>
        </w:rPr>
        <w:t xml:space="preserve"> et certaines </w:t>
      </w:r>
      <w:r w:rsidR="00D111D2" w:rsidRPr="00E841C6">
        <w:rPr>
          <w:lang w:val="fr-FR"/>
        </w:rPr>
        <w:t>matières qui polymérisent</w:t>
      </w:r>
      <w:r w:rsidR="00D111D2">
        <w:rPr>
          <w:lang w:val="fr-FR"/>
        </w:rPr>
        <w:t xml:space="preserve"> que lorsque le </w:t>
      </w:r>
      <w:r w:rsidR="00D111D2">
        <w:rPr>
          <w:lang w:val="fr-FR"/>
        </w:rPr>
        <w:lastRenderedPageBreak/>
        <w:t xml:space="preserve">transport de ces matières est soumis à régulation de température au titre du 2.4.2.3.4, </w:t>
      </w:r>
      <w:r w:rsidR="00D111D2" w:rsidRPr="00E841C6">
        <w:rPr>
          <w:lang w:val="fr-FR"/>
        </w:rPr>
        <w:t>2.5.3.4.1</w:t>
      </w:r>
      <w:r w:rsidR="00D111D2">
        <w:rPr>
          <w:lang w:val="fr-FR"/>
        </w:rPr>
        <w:t xml:space="preserve"> ou </w:t>
      </w:r>
      <w:r w:rsidR="00D111D2" w:rsidRPr="00E841C6">
        <w:rPr>
          <w:lang w:val="fr-FR"/>
        </w:rPr>
        <w:t>2.4.2.5.2 ou de la disposition spéciale 386</w:t>
      </w:r>
      <w:r w:rsidR="00D111D2">
        <w:rPr>
          <w:lang w:val="fr-FR"/>
        </w:rPr>
        <w:t xml:space="preserve"> du chapitre 3.3 suivant le cas.</w:t>
      </w:r>
    </w:p>
    <w:p w14:paraId="6D77CCD5" w14:textId="465EBD9A" w:rsidR="00A5193B" w:rsidRPr="00E841C6" w:rsidRDefault="00A5193B" w:rsidP="002A4B9C">
      <w:pPr>
        <w:pStyle w:val="SingleTxtG"/>
      </w:pPr>
      <w:r w:rsidRPr="00E841C6">
        <w:rPr>
          <w:lang w:val="fr-FR"/>
        </w:rPr>
        <w:t>7.1.5.</w:t>
      </w:r>
      <w:r w:rsidR="002A4B9C">
        <w:rPr>
          <w:lang w:val="fr-FR"/>
        </w:rPr>
        <w:t>3</w:t>
      </w:r>
      <w:r w:rsidRPr="00E841C6">
        <w:rPr>
          <w:lang w:val="fr-FR"/>
        </w:rPr>
        <w:t>.2</w:t>
      </w:r>
      <w:r w:rsidRPr="00E841C6">
        <w:rPr>
          <w:lang w:val="fr-FR"/>
        </w:rPr>
        <w:tab/>
        <w:t>Ces dispositions s’appliquent également au transport:</w:t>
      </w:r>
    </w:p>
    <w:p w14:paraId="27FA03FD" w14:textId="094DC2F2" w:rsidR="00A5193B" w:rsidRPr="00E841C6" w:rsidRDefault="00A5193B" w:rsidP="00A5193B">
      <w:pPr>
        <w:pStyle w:val="SingleTxtG"/>
        <w:ind w:left="2268"/>
      </w:pPr>
      <w:r w:rsidRPr="00E841C6">
        <w:rPr>
          <w:lang w:val="fr-FR"/>
        </w:rPr>
        <w:t>a)</w:t>
      </w:r>
      <w:r w:rsidRPr="00E841C6">
        <w:rPr>
          <w:lang w:val="fr-FR"/>
        </w:rPr>
        <w:tab/>
        <w:t>De matières dont la désignation officielle de transport, telle qu’elle figure dans la colonne 2 de la Liste des marchandises dangereuses du chapitre</w:t>
      </w:r>
      <w:r>
        <w:rPr>
          <w:lang w:val="fr-FR"/>
        </w:rPr>
        <w:t> </w:t>
      </w:r>
      <w:r w:rsidRPr="00E841C6">
        <w:rPr>
          <w:lang w:val="fr-FR"/>
        </w:rPr>
        <w:t xml:space="preserve">3.2 ou </w:t>
      </w:r>
      <w:r w:rsidR="0098254C">
        <w:rPr>
          <w:lang w:val="fr-FR"/>
        </w:rPr>
        <w:t>selon le</w:t>
      </w:r>
      <w:r w:rsidRPr="00E841C6">
        <w:rPr>
          <w:lang w:val="fr-FR"/>
        </w:rPr>
        <w:t xml:space="preserve"> 3.1.2.6, contient la mention</w:t>
      </w:r>
      <w:r>
        <w:rPr>
          <w:lang w:val="fr-FR"/>
        </w:rPr>
        <w:t xml:space="preserve"> “</w:t>
      </w:r>
      <w:r w:rsidRPr="00E841C6">
        <w:rPr>
          <w:lang w:val="fr-FR"/>
        </w:rPr>
        <w:t>STABILISÉ</w:t>
      </w:r>
      <w:r>
        <w:rPr>
          <w:lang w:val="fr-FR"/>
        </w:rPr>
        <w:t>”</w:t>
      </w:r>
      <w:r w:rsidRPr="00E841C6">
        <w:rPr>
          <w:lang w:val="fr-FR"/>
        </w:rPr>
        <w:t>;</w:t>
      </w:r>
      <w:r w:rsidR="0098254C">
        <w:rPr>
          <w:lang w:val="fr-FR"/>
        </w:rPr>
        <w:t xml:space="preserve"> et</w:t>
      </w:r>
    </w:p>
    <w:p w14:paraId="3D77B715" w14:textId="3567D527" w:rsidR="00A5193B" w:rsidRPr="00E841C6" w:rsidRDefault="00A5193B" w:rsidP="00A5193B">
      <w:pPr>
        <w:pStyle w:val="SingleTxtG"/>
        <w:ind w:left="2268"/>
        <w:rPr>
          <w:b/>
          <w:bCs/>
          <w:lang w:val="fr-FR"/>
        </w:rPr>
      </w:pPr>
      <w:r w:rsidRPr="00E841C6">
        <w:rPr>
          <w:lang w:val="fr-FR"/>
        </w:rPr>
        <w:t>b)</w:t>
      </w:r>
      <w:r w:rsidRPr="00E841C6">
        <w:rPr>
          <w:lang w:val="fr-FR"/>
        </w:rPr>
        <w:tab/>
      </w:r>
      <w:r w:rsidRPr="00E841C6">
        <w:rPr>
          <w:bCs/>
          <w:lang w:val="fr-FR"/>
        </w:rPr>
        <w:t>De matières</w:t>
      </w:r>
      <w:r w:rsidR="001B0F1C">
        <w:rPr>
          <w:bCs/>
          <w:lang w:val="fr-FR"/>
        </w:rPr>
        <w:t xml:space="preserve"> pour lesquelles la température de décomposition accélérée (TDAA) ou la température de </w:t>
      </w:r>
      <w:r w:rsidR="001B0F1C" w:rsidRPr="001B0F1C">
        <w:rPr>
          <w:bCs/>
          <w:lang w:val="fr-FR"/>
        </w:rPr>
        <w:t>polymérisation auto-accélérée</w:t>
      </w:r>
      <w:r w:rsidR="001B0F1C">
        <w:rPr>
          <w:bCs/>
          <w:lang w:val="fr-FR"/>
        </w:rPr>
        <w:t xml:space="preserve"> </w:t>
      </w:r>
      <w:r w:rsidR="00BD149D">
        <w:rPr>
          <w:bCs/>
          <w:lang w:val="fr-FR"/>
        </w:rPr>
        <w:t>(</w:t>
      </w:r>
      <w:r w:rsidR="001B0F1C">
        <w:rPr>
          <w:bCs/>
          <w:lang w:val="fr-FR"/>
        </w:rPr>
        <w:t>TPAA</w:t>
      </w:r>
      <w:r w:rsidR="00BD149D">
        <w:rPr>
          <w:bCs/>
          <w:lang w:val="fr-FR"/>
        </w:rPr>
        <w:t>)</w:t>
      </w:r>
      <w:r>
        <w:rPr>
          <w:rStyle w:val="FootnoteReference"/>
          <w:bCs/>
        </w:rPr>
        <w:footnoteReference w:id="7"/>
      </w:r>
      <w:r w:rsidRPr="00E841C6">
        <w:rPr>
          <w:bCs/>
          <w:lang w:val="fr-FR"/>
        </w:rPr>
        <w:t xml:space="preserve"> </w:t>
      </w:r>
      <w:r w:rsidR="001B0F1C">
        <w:rPr>
          <w:bCs/>
          <w:lang w:val="fr-FR"/>
        </w:rPr>
        <w:t xml:space="preserve">déterminée pour ces matières telles que présentées au transport </w:t>
      </w:r>
      <w:r w:rsidRPr="00E841C6">
        <w:rPr>
          <w:bCs/>
          <w:lang w:val="fr-FR"/>
        </w:rPr>
        <w:t>(avec ou sans stabilisation chimique) est:</w:t>
      </w:r>
    </w:p>
    <w:p w14:paraId="34B786FB" w14:textId="690752DC" w:rsidR="00A5193B" w:rsidRPr="00E841C6" w:rsidRDefault="00A5193B" w:rsidP="00A5193B">
      <w:pPr>
        <w:pStyle w:val="SingleTxtG"/>
        <w:ind w:left="2835"/>
      </w:pPr>
      <w:r w:rsidRPr="00E841C6">
        <w:rPr>
          <w:lang w:val="fr-FR"/>
        </w:rPr>
        <w:t>i)</w:t>
      </w:r>
      <w:r w:rsidRPr="00E841C6">
        <w:rPr>
          <w:lang w:val="fr-FR"/>
        </w:rPr>
        <w:tab/>
      </w:r>
      <w:r>
        <w:rPr>
          <w:lang w:val="fr-FR"/>
        </w:rPr>
        <w:t>A</w:t>
      </w:r>
      <w:r w:rsidRPr="00E841C6">
        <w:rPr>
          <w:lang w:val="fr-FR"/>
        </w:rPr>
        <w:t>u maximum de 50</w:t>
      </w:r>
      <w:r>
        <w:rPr>
          <w:lang w:val="fr-FR"/>
        </w:rPr>
        <w:t> </w:t>
      </w:r>
      <w:r w:rsidRPr="00E841C6">
        <w:rPr>
          <w:lang w:val="fr-FR"/>
        </w:rPr>
        <w:t xml:space="preserve">°C pour les emballages </w:t>
      </w:r>
      <w:r w:rsidR="001B0F1C">
        <w:rPr>
          <w:lang w:val="fr-FR"/>
        </w:rPr>
        <w:t xml:space="preserve">individuels </w:t>
      </w:r>
      <w:r w:rsidRPr="00E841C6">
        <w:rPr>
          <w:lang w:val="fr-FR"/>
        </w:rPr>
        <w:t xml:space="preserve">et les GRV; ou </w:t>
      </w:r>
    </w:p>
    <w:p w14:paraId="7FC229AA" w14:textId="77777777" w:rsidR="00A5193B" w:rsidRPr="00E841C6" w:rsidRDefault="00A5193B" w:rsidP="00A5193B">
      <w:pPr>
        <w:pStyle w:val="SingleTxtG"/>
        <w:ind w:left="2835"/>
      </w:pPr>
      <w:r w:rsidRPr="00E841C6">
        <w:rPr>
          <w:lang w:val="fr-FR"/>
        </w:rPr>
        <w:t>ii)</w:t>
      </w:r>
      <w:r w:rsidRPr="00E841C6">
        <w:rPr>
          <w:lang w:val="fr-FR"/>
        </w:rPr>
        <w:tab/>
      </w:r>
      <w:r>
        <w:rPr>
          <w:lang w:val="fr-FR"/>
        </w:rPr>
        <w:t>A</w:t>
      </w:r>
      <w:r w:rsidRPr="00E841C6">
        <w:rPr>
          <w:lang w:val="fr-FR"/>
        </w:rPr>
        <w:t>u maximum de 45</w:t>
      </w:r>
      <w:r>
        <w:rPr>
          <w:lang w:val="fr-FR"/>
        </w:rPr>
        <w:t> </w:t>
      </w:r>
      <w:r w:rsidRPr="00E841C6">
        <w:rPr>
          <w:lang w:val="fr-FR"/>
        </w:rPr>
        <w:t>°C pour les citernes mobiles.</w:t>
      </w:r>
    </w:p>
    <w:p w14:paraId="56C560D5" w14:textId="35D9909F" w:rsidR="00A5193B" w:rsidRPr="00E841C6" w:rsidRDefault="00A5193B" w:rsidP="00A5193B">
      <w:pPr>
        <w:pStyle w:val="SingleTxtG"/>
        <w:spacing w:line="234" w:lineRule="atLeast"/>
      </w:pPr>
      <w:r w:rsidRPr="00E841C6">
        <w:rPr>
          <w:lang w:val="fr-FR"/>
        </w:rPr>
        <w:t xml:space="preserve">Lorsqu’il n’est pas recouru à l’inhibition chimique pour stabiliser une matière réactive susceptible de générer des quantités dangereuses de chaleur et de gaz ou de vapeur dans des conditions normales de transport, </w:t>
      </w:r>
      <w:r w:rsidR="0098254C">
        <w:rPr>
          <w:lang w:val="fr-FR"/>
        </w:rPr>
        <w:t>cette matière doit être transportée</w:t>
      </w:r>
      <w:r w:rsidRPr="00E841C6">
        <w:rPr>
          <w:lang w:val="fr-FR"/>
        </w:rPr>
        <w:t xml:space="preserve"> sous régulation de température. Ces dispositions ne s’appliquent pas aux matières qui sont stabilisées par adjonction d’inhibiteurs chimiques de sorte que la TDAA ou la TPAA soit supérieure à ce qui est prescrit aux </w:t>
      </w:r>
      <w:r w:rsidR="0052372C">
        <w:rPr>
          <w:lang w:val="fr-FR"/>
        </w:rPr>
        <w:t>alinéas</w:t>
      </w:r>
      <w:r w:rsidRPr="00E841C6">
        <w:rPr>
          <w:lang w:val="fr-FR"/>
        </w:rPr>
        <w:t xml:space="preserve"> b) i) et</w:t>
      </w:r>
      <w:r>
        <w:rPr>
          <w:lang w:val="fr-FR"/>
        </w:rPr>
        <w:t xml:space="preserve"> </w:t>
      </w:r>
      <w:r w:rsidRPr="00E841C6">
        <w:rPr>
          <w:lang w:val="fr-FR"/>
        </w:rPr>
        <w:t>ii) ci-dessus.</w:t>
      </w:r>
    </w:p>
    <w:p w14:paraId="6D20B1CE" w14:textId="77777777" w:rsidR="00A5193B" w:rsidRPr="00E841C6" w:rsidRDefault="00A5193B" w:rsidP="002A4B9C">
      <w:pPr>
        <w:pStyle w:val="SingleTxtG"/>
        <w:spacing w:line="234" w:lineRule="atLeast"/>
      </w:pPr>
      <w:r w:rsidRPr="00E841C6">
        <w:rPr>
          <w:lang w:val="fr-FR"/>
        </w:rPr>
        <w:t>7.1.5.</w:t>
      </w:r>
      <w:r w:rsidR="002A4B9C">
        <w:rPr>
          <w:lang w:val="fr-FR"/>
        </w:rPr>
        <w:t>3</w:t>
      </w:r>
      <w:r w:rsidRPr="00E841C6">
        <w:rPr>
          <w:lang w:val="fr-FR"/>
        </w:rPr>
        <w:t>.3</w:t>
      </w:r>
      <w:r w:rsidRPr="00E841C6">
        <w:rPr>
          <w:lang w:val="fr-FR"/>
        </w:rPr>
        <w:tab/>
        <w:t xml:space="preserve">En outre, si une matière </w:t>
      </w:r>
      <w:proofErr w:type="spellStart"/>
      <w:r w:rsidRPr="00E841C6">
        <w:rPr>
          <w:lang w:val="fr-FR"/>
        </w:rPr>
        <w:t>autoréactive</w:t>
      </w:r>
      <w:proofErr w:type="spellEnd"/>
      <w:r w:rsidRPr="00E841C6">
        <w:rPr>
          <w:lang w:val="fr-FR"/>
        </w:rPr>
        <w:t xml:space="preserve">, un peroxyde organique ou une matière dont la désignation officielle de transport comporte la mention </w:t>
      </w:r>
      <w:r>
        <w:rPr>
          <w:lang w:val="fr-FR"/>
        </w:rPr>
        <w:t>“</w:t>
      </w:r>
      <w:r w:rsidRPr="00E841C6">
        <w:rPr>
          <w:lang w:val="fr-FR"/>
        </w:rPr>
        <w:t>STABILISÉ</w:t>
      </w:r>
      <w:r>
        <w:rPr>
          <w:lang w:val="fr-FR"/>
        </w:rPr>
        <w:t>”</w:t>
      </w:r>
      <w:r w:rsidRPr="00E841C6">
        <w:rPr>
          <w:lang w:val="fr-FR"/>
        </w:rPr>
        <w:t xml:space="preserve"> et pour laquelle le transport avec régulation de température n’est pas normalement prescrit est transporté dans des conditions telles que la température risque de dépasser 55</w:t>
      </w:r>
      <w:r>
        <w:rPr>
          <w:lang w:val="fr-FR"/>
        </w:rPr>
        <w:t> </w:t>
      </w:r>
      <w:r w:rsidRPr="00E841C6">
        <w:rPr>
          <w:lang w:val="fr-FR"/>
        </w:rPr>
        <w:t xml:space="preserve">°C, la régulation de température peut s’imposer. </w:t>
      </w:r>
    </w:p>
    <w:p w14:paraId="1A52114B" w14:textId="77777777" w:rsidR="00A5193B" w:rsidRPr="00E841C6" w:rsidRDefault="00A5193B" w:rsidP="002A4B9C">
      <w:pPr>
        <w:pStyle w:val="SingleTxtG"/>
        <w:spacing w:line="234" w:lineRule="atLeast"/>
      </w:pPr>
      <w:r w:rsidRPr="00E841C6">
        <w:rPr>
          <w:lang w:val="fr-FR"/>
        </w:rPr>
        <w:t>7.1.5.</w:t>
      </w:r>
      <w:r w:rsidR="002A4B9C">
        <w:rPr>
          <w:lang w:val="fr-FR"/>
        </w:rPr>
        <w:t>3</w:t>
      </w:r>
      <w:r w:rsidRPr="00E841C6">
        <w:rPr>
          <w:lang w:val="fr-FR"/>
        </w:rPr>
        <w:t>.4</w:t>
      </w:r>
      <w:r w:rsidRPr="00E841C6">
        <w:rPr>
          <w:lang w:val="fr-FR"/>
        </w:rPr>
        <w:tab/>
        <w:t xml:space="preserve">La </w:t>
      </w:r>
      <w:r>
        <w:rPr>
          <w:lang w:val="fr-FR"/>
        </w:rPr>
        <w:t>“</w:t>
      </w:r>
      <w:r w:rsidRPr="00E841C6">
        <w:rPr>
          <w:lang w:val="fr-FR"/>
        </w:rPr>
        <w:t>température de régulation</w:t>
      </w:r>
      <w:r>
        <w:rPr>
          <w:lang w:val="fr-FR"/>
        </w:rPr>
        <w:t>”</w:t>
      </w:r>
      <w:r w:rsidRPr="00E841C6">
        <w:rPr>
          <w:lang w:val="fr-FR"/>
        </w:rPr>
        <w:t xml:space="preserve"> est la température maximale à laquelle une matière peut être transportée en sécurité. Les présentes dispositions sont basées sur l’hypothèse d’une température ne dépassant pas 55</w:t>
      </w:r>
      <w:r>
        <w:rPr>
          <w:lang w:val="fr-FR"/>
        </w:rPr>
        <w:t> </w:t>
      </w:r>
      <w:r w:rsidRPr="00E841C6">
        <w:rPr>
          <w:lang w:val="fr-FR"/>
        </w:rPr>
        <w:t xml:space="preserve">°C au voisinage immédiat du colis pendant le transport et n’atteignant cette valeur que pendant une durée relativement courte par période de 24 heures. En cas de défaillance du système de régulation, il pourra être nécessaire d’appliquer les mesures d’urgence. La </w:t>
      </w:r>
      <w:r>
        <w:rPr>
          <w:lang w:val="fr-FR"/>
        </w:rPr>
        <w:t>“</w:t>
      </w:r>
      <w:r w:rsidRPr="00E841C6">
        <w:rPr>
          <w:lang w:val="fr-FR"/>
        </w:rPr>
        <w:t>température critique</w:t>
      </w:r>
      <w:r>
        <w:rPr>
          <w:lang w:val="fr-FR"/>
        </w:rPr>
        <w:t>”</w:t>
      </w:r>
      <w:r w:rsidRPr="00E841C6">
        <w:rPr>
          <w:lang w:val="fr-FR"/>
        </w:rPr>
        <w:t xml:space="preserve"> est la température à laquelle ces procédure</w:t>
      </w:r>
      <w:r>
        <w:rPr>
          <w:lang w:val="fr-FR"/>
        </w:rPr>
        <w:t>s doivent être mises en œuvre.</w:t>
      </w:r>
    </w:p>
    <w:p w14:paraId="596E1B9F" w14:textId="77777777" w:rsidR="00A5193B" w:rsidRPr="00E841C6" w:rsidRDefault="00A5193B" w:rsidP="005E4486">
      <w:pPr>
        <w:pStyle w:val="SingleTxtG"/>
        <w:keepNext/>
        <w:keepLines/>
      </w:pPr>
      <w:r w:rsidRPr="00E841C6">
        <w:rPr>
          <w:lang w:val="fr-FR"/>
        </w:rPr>
        <w:lastRenderedPageBreak/>
        <w:t>7.1.5.</w:t>
      </w:r>
      <w:r w:rsidR="002A4B9C">
        <w:rPr>
          <w:lang w:val="fr-FR"/>
        </w:rPr>
        <w:t>3</w:t>
      </w:r>
      <w:r w:rsidRPr="00E841C6">
        <w:rPr>
          <w:lang w:val="fr-FR"/>
        </w:rPr>
        <w:t>.5</w:t>
      </w:r>
      <w:r w:rsidRPr="00E841C6">
        <w:rPr>
          <w:lang w:val="fr-FR"/>
        </w:rPr>
        <w:tab/>
        <w:t>Détermination de la température de régulation et de la température critique</w:t>
      </w:r>
    </w:p>
    <w:tbl>
      <w:tblPr>
        <w:tblStyle w:val="Tabellenraster2"/>
        <w:tblW w:w="7371" w:type="dxa"/>
        <w:tblInd w:w="1129" w:type="dxa"/>
        <w:tblBorders>
          <w:insideH w:val="none" w:sz="0" w:space="0" w:color="auto"/>
        </w:tblBorders>
        <w:tblLayout w:type="fixed"/>
        <w:tblCellMar>
          <w:left w:w="0" w:type="dxa"/>
          <w:right w:w="0" w:type="dxa"/>
        </w:tblCellMar>
        <w:tblLook w:val="04A0" w:firstRow="1" w:lastRow="0" w:firstColumn="1" w:lastColumn="0" w:noHBand="0" w:noVBand="1"/>
      </w:tblPr>
      <w:tblGrid>
        <w:gridCol w:w="1170"/>
        <w:gridCol w:w="1685"/>
        <w:gridCol w:w="2167"/>
        <w:gridCol w:w="2349"/>
      </w:tblGrid>
      <w:tr w:rsidR="00A5193B" w:rsidRPr="005E4486" w14:paraId="35F66DC9" w14:textId="77777777" w:rsidTr="00EF4D90">
        <w:tc>
          <w:tcPr>
            <w:tcW w:w="1170" w:type="dxa"/>
            <w:tcBorders>
              <w:bottom w:val="single" w:sz="4" w:space="0" w:color="auto"/>
            </w:tcBorders>
            <w:shd w:val="clear" w:color="auto" w:fill="auto"/>
            <w:tcMar>
              <w:left w:w="113" w:type="dxa"/>
            </w:tcMar>
          </w:tcPr>
          <w:p w14:paraId="7026977F" w14:textId="77777777" w:rsidR="00A5193B" w:rsidRPr="005E4486" w:rsidRDefault="00A5193B" w:rsidP="005E4486">
            <w:pPr>
              <w:keepNext/>
              <w:keepLines/>
              <w:spacing w:line="240" w:lineRule="auto"/>
              <w:rPr>
                <w:lang w:val="fr-FR"/>
              </w:rPr>
            </w:pPr>
            <w:r w:rsidRPr="005E4486">
              <w:rPr>
                <w:lang w:val="fr-FR"/>
              </w:rPr>
              <w:t>Type de récipient</w:t>
            </w:r>
          </w:p>
        </w:tc>
        <w:tc>
          <w:tcPr>
            <w:tcW w:w="1685" w:type="dxa"/>
            <w:tcBorders>
              <w:bottom w:val="single" w:sz="4" w:space="0" w:color="auto"/>
            </w:tcBorders>
            <w:shd w:val="clear" w:color="auto" w:fill="auto"/>
            <w:tcMar>
              <w:left w:w="113" w:type="dxa"/>
            </w:tcMar>
          </w:tcPr>
          <w:p w14:paraId="138EE331" w14:textId="77777777" w:rsidR="00A5193B" w:rsidRPr="005E4486" w:rsidRDefault="00A5193B" w:rsidP="005E4486">
            <w:pPr>
              <w:keepNext/>
              <w:keepLines/>
              <w:spacing w:line="240" w:lineRule="auto"/>
              <w:rPr>
                <w:lang w:val="fr-FR"/>
              </w:rPr>
            </w:pPr>
            <w:proofErr w:type="spellStart"/>
            <w:r w:rsidRPr="005E4486">
              <w:rPr>
                <w:lang w:val="fr-FR"/>
              </w:rPr>
              <w:t>TDAA</w:t>
            </w:r>
            <w:r w:rsidRPr="005E4486">
              <w:rPr>
                <w:b/>
                <w:vertAlign w:val="superscript"/>
                <w:lang w:val="fr-FR"/>
              </w:rPr>
              <w:t>a</w:t>
            </w:r>
            <w:proofErr w:type="spellEnd"/>
            <w:r w:rsidRPr="005E4486">
              <w:rPr>
                <w:lang w:val="fr-FR"/>
              </w:rPr>
              <w:t>/</w:t>
            </w:r>
            <w:proofErr w:type="spellStart"/>
            <w:r w:rsidRPr="005E4486">
              <w:rPr>
                <w:lang w:val="fr-FR"/>
              </w:rPr>
              <w:t>TPAA</w:t>
            </w:r>
            <w:r w:rsidRPr="005E4486">
              <w:rPr>
                <w:b/>
                <w:vertAlign w:val="superscript"/>
                <w:lang w:val="fr-FR"/>
              </w:rPr>
              <w:t>a</w:t>
            </w:r>
            <w:proofErr w:type="spellEnd"/>
          </w:p>
        </w:tc>
        <w:tc>
          <w:tcPr>
            <w:tcW w:w="2167" w:type="dxa"/>
            <w:tcBorders>
              <w:bottom w:val="single" w:sz="4" w:space="0" w:color="auto"/>
            </w:tcBorders>
            <w:shd w:val="clear" w:color="auto" w:fill="auto"/>
            <w:tcMar>
              <w:left w:w="113" w:type="dxa"/>
            </w:tcMar>
          </w:tcPr>
          <w:p w14:paraId="6BAE929C" w14:textId="77777777" w:rsidR="00A5193B" w:rsidRPr="005E4486" w:rsidRDefault="00A5193B" w:rsidP="005E4486">
            <w:pPr>
              <w:keepNext/>
              <w:keepLines/>
              <w:spacing w:line="240" w:lineRule="auto"/>
              <w:rPr>
                <w:lang w:val="fr-FR"/>
              </w:rPr>
            </w:pPr>
            <w:r w:rsidRPr="005E4486">
              <w:rPr>
                <w:lang w:val="fr-FR"/>
              </w:rPr>
              <w:t xml:space="preserve">Température de régulation </w:t>
            </w:r>
          </w:p>
        </w:tc>
        <w:tc>
          <w:tcPr>
            <w:tcW w:w="2349" w:type="dxa"/>
            <w:tcBorders>
              <w:bottom w:val="single" w:sz="4" w:space="0" w:color="auto"/>
            </w:tcBorders>
            <w:shd w:val="clear" w:color="auto" w:fill="auto"/>
            <w:tcMar>
              <w:left w:w="113" w:type="dxa"/>
            </w:tcMar>
          </w:tcPr>
          <w:p w14:paraId="233B5346" w14:textId="77777777" w:rsidR="00A5193B" w:rsidRPr="005E4486" w:rsidRDefault="00A5193B" w:rsidP="005E4486">
            <w:pPr>
              <w:keepNext/>
              <w:keepLines/>
              <w:spacing w:line="240" w:lineRule="auto"/>
              <w:rPr>
                <w:lang w:val="fr-FR"/>
              </w:rPr>
            </w:pPr>
            <w:r w:rsidRPr="005E4486">
              <w:rPr>
                <w:lang w:val="fr-FR"/>
              </w:rPr>
              <w:t>Température critique</w:t>
            </w:r>
          </w:p>
        </w:tc>
      </w:tr>
      <w:tr w:rsidR="00E324C0" w:rsidRPr="005E4486" w14:paraId="774E078A" w14:textId="77777777" w:rsidTr="00657D7C">
        <w:tc>
          <w:tcPr>
            <w:tcW w:w="1170" w:type="dxa"/>
            <w:vMerge w:val="restart"/>
            <w:shd w:val="clear" w:color="auto" w:fill="auto"/>
            <w:tcMar>
              <w:left w:w="113" w:type="dxa"/>
            </w:tcMar>
          </w:tcPr>
          <w:p w14:paraId="49DE8B31" w14:textId="77777777" w:rsidR="00E324C0" w:rsidRPr="005E4486" w:rsidRDefault="00E324C0" w:rsidP="005E4486">
            <w:pPr>
              <w:keepNext/>
              <w:keepLines/>
              <w:spacing w:after="60" w:line="240" w:lineRule="auto"/>
              <w:rPr>
                <w:lang w:val="fr-FR"/>
              </w:rPr>
            </w:pPr>
            <w:r w:rsidRPr="005E4486">
              <w:rPr>
                <w:lang w:val="fr-FR"/>
              </w:rPr>
              <w:t>Emballages simples et GRV</w:t>
            </w:r>
          </w:p>
        </w:tc>
        <w:tc>
          <w:tcPr>
            <w:tcW w:w="1685" w:type="dxa"/>
            <w:tcBorders>
              <w:bottom w:val="nil"/>
            </w:tcBorders>
            <w:shd w:val="clear" w:color="auto" w:fill="auto"/>
            <w:tcMar>
              <w:left w:w="113" w:type="dxa"/>
            </w:tcMar>
          </w:tcPr>
          <w:p w14:paraId="798EA21A" w14:textId="6F065D58" w:rsidR="00E324C0" w:rsidRPr="005E4486" w:rsidRDefault="00E324C0" w:rsidP="005E4486">
            <w:pPr>
              <w:keepNext/>
              <w:keepLines/>
              <w:spacing w:after="60" w:line="240" w:lineRule="auto"/>
              <w:rPr>
                <w:lang w:val="fr-FR"/>
              </w:rPr>
            </w:pPr>
            <w:r w:rsidRPr="005E4486">
              <w:rPr>
                <w:lang w:val="fr-FR"/>
              </w:rPr>
              <w:t>≤ 20 °C</w:t>
            </w:r>
          </w:p>
        </w:tc>
        <w:tc>
          <w:tcPr>
            <w:tcW w:w="2167" w:type="dxa"/>
            <w:tcBorders>
              <w:bottom w:val="nil"/>
            </w:tcBorders>
            <w:shd w:val="clear" w:color="auto" w:fill="auto"/>
            <w:tcMar>
              <w:left w:w="113" w:type="dxa"/>
            </w:tcMar>
          </w:tcPr>
          <w:p w14:paraId="6FEDAE56" w14:textId="77777777" w:rsidR="00E324C0" w:rsidRPr="005E4486" w:rsidRDefault="00E324C0" w:rsidP="005E4486">
            <w:pPr>
              <w:keepNext/>
              <w:keepLines/>
              <w:spacing w:after="60" w:line="240" w:lineRule="auto"/>
              <w:rPr>
                <w:lang w:val="fr-FR"/>
              </w:rPr>
            </w:pPr>
            <w:r w:rsidRPr="005E4486">
              <w:rPr>
                <w:lang w:val="fr-FR"/>
              </w:rPr>
              <w:t xml:space="preserve">20 °C au-dessous </w:t>
            </w:r>
            <w:r w:rsidRPr="005E4486">
              <w:rPr>
                <w:lang w:val="fr-FR"/>
              </w:rPr>
              <w:br/>
              <w:t>de la TDAA/TPAA</w:t>
            </w:r>
          </w:p>
        </w:tc>
        <w:tc>
          <w:tcPr>
            <w:tcW w:w="2349" w:type="dxa"/>
            <w:tcBorders>
              <w:bottom w:val="nil"/>
            </w:tcBorders>
            <w:shd w:val="clear" w:color="auto" w:fill="auto"/>
            <w:tcMar>
              <w:left w:w="113" w:type="dxa"/>
            </w:tcMar>
          </w:tcPr>
          <w:p w14:paraId="0C4612DB" w14:textId="77777777" w:rsidR="00E324C0" w:rsidRPr="005E4486" w:rsidRDefault="00E324C0" w:rsidP="005E4486">
            <w:pPr>
              <w:keepNext/>
              <w:keepLines/>
              <w:spacing w:after="60" w:line="240" w:lineRule="auto"/>
              <w:rPr>
                <w:lang w:val="fr-FR"/>
              </w:rPr>
            </w:pPr>
            <w:r w:rsidRPr="005E4486">
              <w:rPr>
                <w:lang w:val="fr-FR"/>
              </w:rPr>
              <w:t xml:space="preserve">10 °C au-dessous </w:t>
            </w:r>
            <w:r w:rsidRPr="005E4486">
              <w:rPr>
                <w:lang w:val="fr-FR"/>
              </w:rPr>
              <w:br/>
              <w:t>de la TDAA/TPAA</w:t>
            </w:r>
          </w:p>
        </w:tc>
      </w:tr>
      <w:tr w:rsidR="00E324C0" w:rsidRPr="005E4486" w14:paraId="6374B9D6" w14:textId="77777777" w:rsidTr="00657D7C">
        <w:tc>
          <w:tcPr>
            <w:tcW w:w="1170" w:type="dxa"/>
            <w:vMerge/>
            <w:shd w:val="clear" w:color="auto" w:fill="auto"/>
            <w:tcMar>
              <w:left w:w="113" w:type="dxa"/>
            </w:tcMar>
          </w:tcPr>
          <w:p w14:paraId="07842AE1" w14:textId="77777777" w:rsidR="00E324C0" w:rsidRPr="005E4486" w:rsidRDefault="00E324C0" w:rsidP="005E4486">
            <w:pPr>
              <w:keepNext/>
              <w:keepLines/>
              <w:spacing w:after="60" w:line="240" w:lineRule="auto"/>
              <w:rPr>
                <w:lang w:val="fr-FR"/>
              </w:rPr>
            </w:pPr>
          </w:p>
        </w:tc>
        <w:tc>
          <w:tcPr>
            <w:tcW w:w="1685" w:type="dxa"/>
            <w:tcBorders>
              <w:top w:val="nil"/>
              <w:bottom w:val="nil"/>
            </w:tcBorders>
            <w:shd w:val="clear" w:color="auto" w:fill="auto"/>
            <w:tcMar>
              <w:left w:w="113" w:type="dxa"/>
            </w:tcMar>
          </w:tcPr>
          <w:p w14:paraId="746DA305" w14:textId="24DEA522" w:rsidR="00E324C0" w:rsidRPr="005E4486" w:rsidRDefault="00E324C0" w:rsidP="005E4486">
            <w:pPr>
              <w:keepNext/>
              <w:keepLines/>
              <w:spacing w:after="60" w:line="240" w:lineRule="auto"/>
              <w:rPr>
                <w:lang w:val="fr-FR"/>
              </w:rPr>
            </w:pPr>
            <w:r w:rsidRPr="005E4486">
              <w:rPr>
                <w:lang w:val="fr-FR"/>
              </w:rPr>
              <w:t>&gt; 20 °C et ≤ 35 °C</w:t>
            </w:r>
          </w:p>
        </w:tc>
        <w:tc>
          <w:tcPr>
            <w:tcW w:w="2167" w:type="dxa"/>
            <w:tcBorders>
              <w:top w:val="nil"/>
              <w:bottom w:val="nil"/>
            </w:tcBorders>
            <w:shd w:val="clear" w:color="auto" w:fill="auto"/>
            <w:tcMar>
              <w:left w:w="113" w:type="dxa"/>
            </w:tcMar>
          </w:tcPr>
          <w:p w14:paraId="2D13FA3E" w14:textId="77777777" w:rsidR="00E324C0" w:rsidRPr="005E4486" w:rsidRDefault="00E324C0" w:rsidP="005E4486">
            <w:pPr>
              <w:keepNext/>
              <w:keepLines/>
              <w:spacing w:after="60" w:line="240" w:lineRule="auto"/>
              <w:rPr>
                <w:lang w:val="fr-FR"/>
              </w:rPr>
            </w:pPr>
            <w:r w:rsidRPr="005E4486">
              <w:rPr>
                <w:lang w:val="fr-FR"/>
              </w:rPr>
              <w:t xml:space="preserve">15 °C au-dessous </w:t>
            </w:r>
            <w:r w:rsidRPr="005E4486">
              <w:rPr>
                <w:lang w:val="fr-FR"/>
              </w:rPr>
              <w:br/>
              <w:t>de la TDAA/TPAA</w:t>
            </w:r>
          </w:p>
        </w:tc>
        <w:tc>
          <w:tcPr>
            <w:tcW w:w="2349" w:type="dxa"/>
            <w:tcBorders>
              <w:top w:val="nil"/>
              <w:bottom w:val="nil"/>
            </w:tcBorders>
            <w:shd w:val="clear" w:color="auto" w:fill="auto"/>
            <w:tcMar>
              <w:left w:w="113" w:type="dxa"/>
            </w:tcMar>
          </w:tcPr>
          <w:p w14:paraId="7273E713" w14:textId="77777777" w:rsidR="00E324C0" w:rsidRPr="005E4486" w:rsidRDefault="00E324C0" w:rsidP="005E4486">
            <w:pPr>
              <w:keepNext/>
              <w:keepLines/>
              <w:spacing w:after="60" w:line="240" w:lineRule="auto"/>
              <w:rPr>
                <w:lang w:val="fr-FR"/>
              </w:rPr>
            </w:pPr>
            <w:r w:rsidRPr="005E4486">
              <w:rPr>
                <w:lang w:val="fr-FR"/>
              </w:rPr>
              <w:t xml:space="preserve">10 °C au-dessous </w:t>
            </w:r>
            <w:r w:rsidRPr="005E4486">
              <w:rPr>
                <w:lang w:val="fr-FR"/>
              </w:rPr>
              <w:br/>
              <w:t>de la TDAA/TPAA</w:t>
            </w:r>
          </w:p>
        </w:tc>
      </w:tr>
      <w:tr w:rsidR="00E324C0" w:rsidRPr="005E4486" w14:paraId="245E1681" w14:textId="77777777" w:rsidTr="00657D7C">
        <w:tc>
          <w:tcPr>
            <w:tcW w:w="1170" w:type="dxa"/>
            <w:vMerge/>
            <w:tcBorders>
              <w:bottom w:val="single" w:sz="4" w:space="0" w:color="auto"/>
            </w:tcBorders>
            <w:shd w:val="clear" w:color="auto" w:fill="auto"/>
            <w:tcMar>
              <w:left w:w="113" w:type="dxa"/>
            </w:tcMar>
            <w:hideMark/>
          </w:tcPr>
          <w:p w14:paraId="100A435A" w14:textId="77777777" w:rsidR="00E324C0" w:rsidRPr="005E4486" w:rsidRDefault="00E324C0" w:rsidP="005E4486">
            <w:pPr>
              <w:keepNext/>
              <w:keepLines/>
              <w:spacing w:after="60" w:line="240" w:lineRule="auto"/>
              <w:rPr>
                <w:rFonts w:eastAsiaTheme="minorHAnsi"/>
                <w:lang w:eastAsia="de-DE"/>
              </w:rPr>
            </w:pPr>
          </w:p>
        </w:tc>
        <w:tc>
          <w:tcPr>
            <w:tcW w:w="1685" w:type="dxa"/>
            <w:tcBorders>
              <w:top w:val="nil"/>
              <w:bottom w:val="single" w:sz="4" w:space="0" w:color="auto"/>
            </w:tcBorders>
            <w:shd w:val="clear" w:color="auto" w:fill="auto"/>
            <w:tcMar>
              <w:left w:w="113" w:type="dxa"/>
            </w:tcMar>
            <w:hideMark/>
          </w:tcPr>
          <w:p w14:paraId="74C689CA" w14:textId="2FD98B5B" w:rsidR="00E324C0" w:rsidRPr="005E4486" w:rsidRDefault="00E324C0" w:rsidP="005E4486">
            <w:pPr>
              <w:keepNext/>
              <w:keepLines/>
              <w:spacing w:after="60" w:line="240" w:lineRule="auto"/>
              <w:rPr>
                <w:rFonts w:eastAsiaTheme="minorHAnsi"/>
                <w:lang w:eastAsia="de-DE"/>
              </w:rPr>
            </w:pPr>
            <w:r w:rsidRPr="005E4486">
              <w:rPr>
                <w:lang w:val="fr-FR"/>
              </w:rPr>
              <w:t>&gt; 35 °C</w:t>
            </w:r>
          </w:p>
        </w:tc>
        <w:tc>
          <w:tcPr>
            <w:tcW w:w="2167" w:type="dxa"/>
            <w:tcBorders>
              <w:top w:val="nil"/>
              <w:bottom w:val="single" w:sz="4" w:space="0" w:color="auto"/>
            </w:tcBorders>
            <w:shd w:val="clear" w:color="auto" w:fill="auto"/>
            <w:tcMar>
              <w:left w:w="113" w:type="dxa"/>
            </w:tcMar>
            <w:hideMark/>
          </w:tcPr>
          <w:p w14:paraId="7FA11020" w14:textId="77777777" w:rsidR="00E324C0" w:rsidRPr="005E4486" w:rsidRDefault="00E324C0" w:rsidP="005E4486">
            <w:pPr>
              <w:keepNext/>
              <w:keepLines/>
              <w:spacing w:after="60" w:line="240" w:lineRule="auto"/>
              <w:rPr>
                <w:rFonts w:eastAsiaTheme="minorHAnsi"/>
                <w:lang w:eastAsia="de-DE"/>
              </w:rPr>
            </w:pPr>
            <w:r w:rsidRPr="005E4486">
              <w:rPr>
                <w:lang w:val="fr-FR"/>
              </w:rPr>
              <w:t xml:space="preserve">10 °C au-dessous </w:t>
            </w:r>
            <w:r w:rsidRPr="005E4486">
              <w:rPr>
                <w:lang w:val="fr-FR"/>
              </w:rPr>
              <w:br/>
              <w:t>de la TDAA/TPAA</w:t>
            </w:r>
          </w:p>
        </w:tc>
        <w:tc>
          <w:tcPr>
            <w:tcW w:w="2349" w:type="dxa"/>
            <w:tcBorders>
              <w:top w:val="nil"/>
              <w:bottom w:val="single" w:sz="4" w:space="0" w:color="auto"/>
            </w:tcBorders>
            <w:shd w:val="clear" w:color="auto" w:fill="auto"/>
            <w:tcMar>
              <w:left w:w="113" w:type="dxa"/>
            </w:tcMar>
            <w:hideMark/>
          </w:tcPr>
          <w:p w14:paraId="60F4A4AB" w14:textId="77777777" w:rsidR="00E324C0" w:rsidRPr="005E4486" w:rsidRDefault="00E324C0" w:rsidP="005E4486">
            <w:pPr>
              <w:keepNext/>
              <w:keepLines/>
              <w:spacing w:after="60" w:line="240" w:lineRule="auto"/>
              <w:rPr>
                <w:rFonts w:eastAsiaTheme="minorHAnsi"/>
                <w:lang w:eastAsia="de-DE"/>
              </w:rPr>
            </w:pPr>
            <w:r w:rsidRPr="005E4486">
              <w:rPr>
                <w:lang w:val="fr-FR"/>
              </w:rPr>
              <w:t xml:space="preserve">5 °C au-dessous </w:t>
            </w:r>
            <w:r w:rsidRPr="005E4486">
              <w:rPr>
                <w:lang w:val="fr-FR"/>
              </w:rPr>
              <w:br/>
              <w:t>de la TDAA/TPAA</w:t>
            </w:r>
          </w:p>
        </w:tc>
      </w:tr>
      <w:tr w:rsidR="00A5193B" w:rsidRPr="005E4486" w14:paraId="4B6D5515" w14:textId="77777777" w:rsidTr="00EF4D90">
        <w:tc>
          <w:tcPr>
            <w:tcW w:w="1170" w:type="dxa"/>
            <w:tcBorders>
              <w:top w:val="single" w:sz="4" w:space="0" w:color="auto"/>
            </w:tcBorders>
            <w:shd w:val="clear" w:color="auto" w:fill="auto"/>
            <w:tcMar>
              <w:left w:w="113" w:type="dxa"/>
            </w:tcMar>
            <w:hideMark/>
          </w:tcPr>
          <w:p w14:paraId="4892194C" w14:textId="77777777" w:rsidR="00A5193B" w:rsidRPr="005E4486" w:rsidRDefault="00A5193B" w:rsidP="005E4486">
            <w:pPr>
              <w:keepNext/>
              <w:keepLines/>
              <w:spacing w:line="240" w:lineRule="auto"/>
              <w:rPr>
                <w:rFonts w:eastAsiaTheme="minorHAnsi"/>
                <w:lang w:eastAsia="de-DE"/>
              </w:rPr>
            </w:pPr>
            <w:r w:rsidRPr="005E4486">
              <w:rPr>
                <w:lang w:val="fr-FR"/>
              </w:rPr>
              <w:t>Citernes mobiles</w:t>
            </w:r>
          </w:p>
        </w:tc>
        <w:tc>
          <w:tcPr>
            <w:tcW w:w="1685" w:type="dxa"/>
            <w:tcBorders>
              <w:top w:val="single" w:sz="4" w:space="0" w:color="auto"/>
            </w:tcBorders>
            <w:shd w:val="clear" w:color="auto" w:fill="auto"/>
            <w:tcMar>
              <w:left w:w="113" w:type="dxa"/>
            </w:tcMar>
            <w:hideMark/>
          </w:tcPr>
          <w:p w14:paraId="27E1488F" w14:textId="7A240971" w:rsidR="00A5193B" w:rsidRPr="005E4486" w:rsidRDefault="00A5193B" w:rsidP="005E4486">
            <w:pPr>
              <w:keepNext/>
              <w:keepLines/>
              <w:spacing w:line="240" w:lineRule="auto"/>
              <w:rPr>
                <w:rFonts w:eastAsiaTheme="minorHAnsi"/>
                <w:lang w:eastAsia="de-DE"/>
              </w:rPr>
            </w:pPr>
            <w:r w:rsidRPr="005E4486">
              <w:rPr>
                <w:lang w:val="fr-FR"/>
              </w:rPr>
              <w:t>&lt;</w:t>
            </w:r>
            <w:r w:rsidR="00EF4D90" w:rsidRPr="005E4486">
              <w:rPr>
                <w:lang w:val="fr-FR"/>
              </w:rPr>
              <w:t xml:space="preserve"> </w:t>
            </w:r>
            <w:r w:rsidRPr="005E4486">
              <w:rPr>
                <w:lang w:val="fr-FR"/>
              </w:rPr>
              <w:t>50 °C</w:t>
            </w:r>
          </w:p>
        </w:tc>
        <w:tc>
          <w:tcPr>
            <w:tcW w:w="2167" w:type="dxa"/>
            <w:tcBorders>
              <w:top w:val="single" w:sz="4" w:space="0" w:color="auto"/>
            </w:tcBorders>
            <w:shd w:val="clear" w:color="auto" w:fill="auto"/>
            <w:tcMar>
              <w:left w:w="113" w:type="dxa"/>
            </w:tcMar>
            <w:hideMark/>
          </w:tcPr>
          <w:p w14:paraId="08A96886" w14:textId="77777777" w:rsidR="00A5193B" w:rsidRPr="005E4486" w:rsidRDefault="00A5193B" w:rsidP="005E4486">
            <w:pPr>
              <w:keepNext/>
              <w:keepLines/>
              <w:spacing w:line="240" w:lineRule="auto"/>
              <w:rPr>
                <w:rFonts w:eastAsiaTheme="minorHAnsi"/>
                <w:lang w:eastAsia="de-DE"/>
              </w:rPr>
            </w:pPr>
            <w:r w:rsidRPr="005E4486">
              <w:rPr>
                <w:lang w:val="fr-FR"/>
              </w:rPr>
              <w:t xml:space="preserve">10 °C au-dessous </w:t>
            </w:r>
            <w:r w:rsidRPr="005E4486">
              <w:rPr>
                <w:lang w:val="fr-FR"/>
              </w:rPr>
              <w:br/>
              <w:t>de la TDAA/TPAA</w:t>
            </w:r>
          </w:p>
        </w:tc>
        <w:tc>
          <w:tcPr>
            <w:tcW w:w="2349" w:type="dxa"/>
            <w:tcBorders>
              <w:top w:val="single" w:sz="4" w:space="0" w:color="auto"/>
            </w:tcBorders>
            <w:shd w:val="clear" w:color="auto" w:fill="auto"/>
            <w:tcMar>
              <w:left w:w="113" w:type="dxa"/>
            </w:tcMar>
            <w:hideMark/>
          </w:tcPr>
          <w:p w14:paraId="661B9699" w14:textId="77777777" w:rsidR="00A5193B" w:rsidRPr="005E4486" w:rsidRDefault="00A5193B" w:rsidP="005E4486">
            <w:pPr>
              <w:keepNext/>
              <w:keepLines/>
              <w:spacing w:line="240" w:lineRule="auto"/>
              <w:rPr>
                <w:rFonts w:eastAsiaTheme="minorHAnsi"/>
                <w:lang w:eastAsia="de-DE"/>
              </w:rPr>
            </w:pPr>
            <w:r w:rsidRPr="005E4486">
              <w:rPr>
                <w:lang w:val="fr-FR"/>
              </w:rPr>
              <w:t xml:space="preserve">5 °C au-dessous </w:t>
            </w:r>
            <w:r w:rsidRPr="005E4486">
              <w:rPr>
                <w:lang w:val="fr-FR"/>
              </w:rPr>
              <w:br/>
              <w:t>de la TDAA/TPAA</w:t>
            </w:r>
          </w:p>
        </w:tc>
      </w:tr>
    </w:tbl>
    <w:p w14:paraId="3C65D6E1" w14:textId="6B623783" w:rsidR="00A5193B" w:rsidRPr="005E4486" w:rsidRDefault="00A5193B" w:rsidP="005E4486">
      <w:pPr>
        <w:pStyle w:val="SingleTxtG"/>
        <w:keepNext/>
        <w:keepLines/>
        <w:ind w:left="1701"/>
        <w:rPr>
          <w:i/>
        </w:rPr>
      </w:pPr>
      <w:proofErr w:type="gramStart"/>
      <w:r w:rsidRPr="005E4486">
        <w:rPr>
          <w:b/>
          <w:vertAlign w:val="superscript"/>
        </w:rPr>
        <w:t>a</w:t>
      </w:r>
      <w:proofErr w:type="gramEnd"/>
      <w:r w:rsidR="00EF4D90" w:rsidRPr="005E4486">
        <w:rPr>
          <w:i/>
        </w:rPr>
        <w:tab/>
      </w:r>
      <w:r w:rsidRPr="005E4486">
        <w:rPr>
          <w:i/>
        </w:rPr>
        <w:t xml:space="preserve">On entend par là la température de décomposition auto-accélérée </w:t>
      </w:r>
      <w:r w:rsidR="00EF4D90" w:rsidRPr="005E4486">
        <w:rPr>
          <w:i/>
        </w:rPr>
        <w:t xml:space="preserve">ou la température de polymérisation auto-accélérée </w:t>
      </w:r>
      <w:r w:rsidRPr="005E4486">
        <w:rPr>
          <w:i/>
        </w:rPr>
        <w:t>de la matière telle qu’emballée pour le transport.</w:t>
      </w:r>
    </w:p>
    <w:p w14:paraId="29F13DD2" w14:textId="202C8575" w:rsidR="00A5193B" w:rsidRPr="00E841C6" w:rsidRDefault="00A5193B" w:rsidP="002A4B9C">
      <w:pPr>
        <w:pStyle w:val="SingleTxtG"/>
      </w:pPr>
      <w:r w:rsidRPr="00E841C6">
        <w:rPr>
          <w:lang w:val="fr-FR"/>
        </w:rPr>
        <w:t>7.1.5.</w:t>
      </w:r>
      <w:r w:rsidR="002A4B9C">
        <w:rPr>
          <w:lang w:val="fr-FR"/>
        </w:rPr>
        <w:t>3</w:t>
      </w:r>
      <w:r w:rsidRPr="00E841C6">
        <w:rPr>
          <w:lang w:val="fr-FR"/>
        </w:rPr>
        <w:t>.6</w:t>
      </w:r>
      <w:r w:rsidRPr="00E841C6">
        <w:rPr>
          <w:lang w:val="fr-FR"/>
        </w:rPr>
        <w:tab/>
        <w:t xml:space="preserve">La température de régulation et la température critique sont calculées à l’aide du tableau sous </w:t>
      </w:r>
      <w:r w:rsidR="00FC0A4E">
        <w:rPr>
          <w:lang w:val="fr-FR"/>
        </w:rPr>
        <w:t>7.1.5.3.5</w:t>
      </w:r>
      <w:r w:rsidRPr="00E841C6">
        <w:rPr>
          <w:lang w:val="fr-FR"/>
        </w:rPr>
        <w:t xml:space="preserve"> à partir de la </w:t>
      </w:r>
      <w:r w:rsidR="00A9724C">
        <w:rPr>
          <w:lang w:val="fr-FR"/>
        </w:rPr>
        <w:t>TDAA</w:t>
      </w:r>
      <w:r w:rsidRPr="00E841C6">
        <w:rPr>
          <w:lang w:val="fr-FR"/>
        </w:rPr>
        <w:t xml:space="preserve"> ou de la </w:t>
      </w:r>
      <w:r w:rsidR="00A9724C">
        <w:rPr>
          <w:lang w:val="fr-FR"/>
        </w:rPr>
        <w:t>TPAA</w:t>
      </w:r>
      <w:r w:rsidRPr="00E841C6">
        <w:rPr>
          <w:lang w:val="fr-FR"/>
        </w:rPr>
        <w:t xml:space="preserve">, qui sont </w:t>
      </w:r>
      <w:r w:rsidR="00771312">
        <w:rPr>
          <w:lang w:val="fr-FR"/>
        </w:rPr>
        <w:t xml:space="preserve">définies comme </w:t>
      </w:r>
      <w:r w:rsidRPr="00E841C6">
        <w:rPr>
          <w:lang w:val="fr-FR"/>
        </w:rPr>
        <w:t xml:space="preserve">les plus basses températures auxquelles une telle décomposition ou une telle polymérisation peut se produire dans l’emballage, le GRV ou la citerne mobile utilisé pour le transport. On doit déterminer la TDAA ou la TPAA pour savoir si une matière doit faire l’objet d’une régulation de température pendant le transport. Les dispositions concernant </w:t>
      </w:r>
      <w:r w:rsidR="002A4B9C">
        <w:t>la détermination de la TDAA et de la TPAA</w:t>
      </w:r>
      <w:r w:rsidRPr="00E841C6">
        <w:rPr>
          <w:lang w:val="fr-FR"/>
        </w:rPr>
        <w:t xml:space="preserve"> sont énoncées au 2.4.2.3.4, au 2.5.3.4.2 et au 2.4.2.5.2 pour les matières </w:t>
      </w:r>
      <w:proofErr w:type="spellStart"/>
      <w:r w:rsidRPr="00E841C6">
        <w:rPr>
          <w:lang w:val="fr-FR"/>
        </w:rPr>
        <w:t>autoréactives</w:t>
      </w:r>
      <w:proofErr w:type="spellEnd"/>
      <w:r w:rsidRPr="00E841C6">
        <w:rPr>
          <w:lang w:val="fr-FR"/>
        </w:rPr>
        <w:t xml:space="preserve">, les peroxydes organiques et les matières et mélanges </w:t>
      </w:r>
      <w:r w:rsidR="00771312">
        <w:rPr>
          <w:lang w:val="fr-FR"/>
        </w:rPr>
        <w:t xml:space="preserve">qui </w:t>
      </w:r>
      <w:r w:rsidR="00771312">
        <w:rPr>
          <w:bCs/>
          <w:lang w:val="fr-FR"/>
        </w:rPr>
        <w:t>polymérisent</w:t>
      </w:r>
      <w:r w:rsidRPr="00E841C6">
        <w:rPr>
          <w:lang w:val="fr-FR"/>
        </w:rPr>
        <w:t>, respectivement.</w:t>
      </w:r>
    </w:p>
    <w:p w14:paraId="26DD7117" w14:textId="77777777" w:rsidR="00A5193B" w:rsidRPr="00E841C6" w:rsidRDefault="00A5193B" w:rsidP="002A4B9C">
      <w:pPr>
        <w:pStyle w:val="SingleTxtG"/>
      </w:pPr>
      <w:r w:rsidRPr="00E841C6">
        <w:rPr>
          <w:lang w:val="fr-FR"/>
        </w:rPr>
        <w:t>7.1.5.</w:t>
      </w:r>
      <w:r w:rsidR="002A4B9C">
        <w:rPr>
          <w:lang w:val="fr-FR"/>
        </w:rPr>
        <w:t>3</w:t>
      </w:r>
      <w:r w:rsidRPr="00E841C6">
        <w:rPr>
          <w:lang w:val="fr-FR"/>
        </w:rPr>
        <w:t>.7</w:t>
      </w:r>
      <w:r w:rsidRPr="00E841C6">
        <w:rPr>
          <w:lang w:val="fr-FR"/>
        </w:rPr>
        <w:tab/>
        <w:t xml:space="preserve">La température de régulation et la température critique pour les matières </w:t>
      </w:r>
      <w:proofErr w:type="spellStart"/>
      <w:r w:rsidRPr="00E841C6">
        <w:rPr>
          <w:lang w:val="fr-FR"/>
        </w:rPr>
        <w:t>autoréactives</w:t>
      </w:r>
      <w:proofErr w:type="spellEnd"/>
      <w:r w:rsidRPr="00E841C6">
        <w:rPr>
          <w:lang w:val="fr-FR"/>
        </w:rPr>
        <w:t xml:space="preserve"> et pour les préparations de peroxydes organiques déjà classées sont indiquées aux 2.4.2.3.2.3 et 2.5.3.2.4, respectivement.</w:t>
      </w:r>
    </w:p>
    <w:p w14:paraId="184843FE" w14:textId="4D23D293" w:rsidR="00A5193B" w:rsidRPr="00E841C6" w:rsidRDefault="00A5193B" w:rsidP="002A4B9C">
      <w:pPr>
        <w:pStyle w:val="SingleTxtG"/>
      </w:pPr>
      <w:r w:rsidRPr="00E841C6">
        <w:rPr>
          <w:lang w:val="fr-FR"/>
        </w:rPr>
        <w:t>7.1.5.</w:t>
      </w:r>
      <w:r w:rsidR="002A4B9C">
        <w:rPr>
          <w:lang w:val="fr-FR"/>
        </w:rPr>
        <w:t>3</w:t>
      </w:r>
      <w:r w:rsidRPr="00E841C6">
        <w:rPr>
          <w:lang w:val="fr-FR"/>
        </w:rPr>
        <w:t>.8</w:t>
      </w:r>
      <w:r w:rsidRPr="00E841C6">
        <w:rPr>
          <w:lang w:val="fr-FR"/>
        </w:rPr>
        <w:tab/>
        <w:t xml:space="preserve">La température réelle de transport pourra être inférieure à la température de régulation, mais elle devra être </w:t>
      </w:r>
      <w:r w:rsidR="00165CD1">
        <w:rPr>
          <w:lang w:val="fr-FR"/>
        </w:rPr>
        <w:t>choisie de manière à éviter</w:t>
      </w:r>
      <w:r w:rsidRPr="00E841C6">
        <w:rPr>
          <w:lang w:val="fr-FR"/>
        </w:rPr>
        <w:t xml:space="preserve"> une séparation dangereuse des phases.</w:t>
      </w:r>
    </w:p>
    <w:p w14:paraId="27652970" w14:textId="77777777" w:rsidR="00A5193B" w:rsidRPr="00414A63" w:rsidRDefault="00A5193B" w:rsidP="002A4B9C">
      <w:pPr>
        <w:pStyle w:val="SingleTxtG"/>
        <w:rPr>
          <w:b/>
        </w:rPr>
      </w:pPr>
      <w:r w:rsidRPr="00414A63">
        <w:rPr>
          <w:b/>
          <w:lang w:val="fr-FR"/>
        </w:rPr>
        <w:t>7.1.5.</w:t>
      </w:r>
      <w:r w:rsidR="002A4B9C" w:rsidRPr="00414A63">
        <w:rPr>
          <w:b/>
          <w:lang w:val="fr-FR"/>
        </w:rPr>
        <w:t>4</w:t>
      </w:r>
      <w:r w:rsidRPr="00414A63">
        <w:rPr>
          <w:b/>
          <w:lang w:val="fr-FR"/>
        </w:rPr>
        <w:tab/>
      </w:r>
      <w:r w:rsidRPr="00414A63">
        <w:rPr>
          <w:b/>
          <w:lang w:val="fr-FR"/>
        </w:rPr>
        <w:tab/>
      </w:r>
      <w:r w:rsidRPr="00414A63">
        <w:rPr>
          <w:b/>
          <w:i/>
          <w:lang w:val="fr-FR"/>
        </w:rPr>
        <w:t>Transport avec régulation de température</w:t>
      </w:r>
    </w:p>
    <w:p w14:paraId="6EF37012" w14:textId="711B3343" w:rsidR="00A5193B" w:rsidRPr="00EF4D90" w:rsidRDefault="00A5193B" w:rsidP="00A5193B">
      <w:pPr>
        <w:pStyle w:val="SingleTxtG"/>
        <w:rPr>
          <w:i/>
        </w:rPr>
      </w:pPr>
      <w:r w:rsidRPr="00EF4D90">
        <w:rPr>
          <w:b/>
          <w:i/>
          <w:lang w:val="fr-FR"/>
        </w:rPr>
        <w:t>NOTA:</w:t>
      </w:r>
      <w:r w:rsidRPr="00EF4D90">
        <w:rPr>
          <w:i/>
          <w:lang w:val="fr-FR"/>
        </w:rPr>
        <w:tab/>
        <w:t>Étant donné la variation des conditions entre les divers modes de transport, les paragraphes ci-après n’énoncent que des dispositions de caractère général.</w:t>
      </w:r>
    </w:p>
    <w:p w14:paraId="0C1F6033" w14:textId="70BFBA8A" w:rsidR="00A5193B" w:rsidRPr="00E841C6" w:rsidRDefault="002A4B9C" w:rsidP="00A5193B">
      <w:pPr>
        <w:pStyle w:val="SingleTxtG"/>
      </w:pPr>
      <w:r>
        <w:rPr>
          <w:lang w:val="fr-FR"/>
        </w:rPr>
        <w:t>7.1.5.4</w:t>
      </w:r>
      <w:r w:rsidR="00A5193B" w:rsidRPr="00E841C6">
        <w:rPr>
          <w:lang w:val="fr-FR"/>
        </w:rPr>
        <w:t>.1</w:t>
      </w:r>
      <w:r w:rsidR="00A5193B" w:rsidRPr="00E841C6">
        <w:rPr>
          <w:lang w:val="fr-FR"/>
        </w:rPr>
        <w:tab/>
        <w:t xml:space="preserve">Le maintien de la température prescrite est une condition indispensable pour la sécurité du transport des matières stabilisées par régulation de température. </w:t>
      </w:r>
      <w:r w:rsidR="004979FC" w:rsidRPr="004979FC">
        <w:rPr>
          <w:lang w:val="fr-FR"/>
        </w:rPr>
        <w:t>En général il doit y avoir:</w:t>
      </w:r>
    </w:p>
    <w:p w14:paraId="2ABA292B" w14:textId="270CA41B" w:rsidR="00A5193B" w:rsidRPr="002652E2" w:rsidRDefault="00A5193B" w:rsidP="00A5193B">
      <w:pPr>
        <w:pStyle w:val="SingleTxtG"/>
        <w:ind w:left="2268"/>
        <w:rPr>
          <w:spacing w:val="-2"/>
        </w:rPr>
      </w:pPr>
      <w:r w:rsidRPr="00E841C6">
        <w:rPr>
          <w:lang w:val="fr-FR"/>
        </w:rPr>
        <w:t>a)</w:t>
      </w:r>
      <w:r w:rsidRPr="00E841C6">
        <w:rPr>
          <w:lang w:val="fr-FR"/>
        </w:rPr>
        <w:tab/>
      </w:r>
      <w:r w:rsidR="004979FC">
        <w:rPr>
          <w:spacing w:val="-2"/>
          <w:lang w:val="fr-FR"/>
        </w:rPr>
        <w:t>Une i</w:t>
      </w:r>
      <w:r w:rsidR="004979FC" w:rsidRPr="004979FC">
        <w:rPr>
          <w:spacing w:val="-2"/>
          <w:lang w:val="fr-FR"/>
        </w:rPr>
        <w:t xml:space="preserve">nspection minutieuse de </w:t>
      </w:r>
      <w:r w:rsidR="004979FC">
        <w:rPr>
          <w:spacing w:val="-2"/>
          <w:lang w:val="fr-FR"/>
        </w:rPr>
        <w:t>l’engin</w:t>
      </w:r>
      <w:r w:rsidR="004979FC" w:rsidRPr="004979FC">
        <w:rPr>
          <w:spacing w:val="-2"/>
          <w:lang w:val="fr-FR"/>
        </w:rPr>
        <w:t xml:space="preserve"> de transport avant le chargement</w:t>
      </w:r>
      <w:r w:rsidRPr="002652E2">
        <w:rPr>
          <w:spacing w:val="-2"/>
          <w:lang w:val="fr-FR"/>
        </w:rPr>
        <w:t>;</w:t>
      </w:r>
    </w:p>
    <w:p w14:paraId="42CA29A4" w14:textId="44371E15" w:rsidR="00A5193B" w:rsidRPr="00E841C6" w:rsidRDefault="00A5193B" w:rsidP="00A5193B">
      <w:pPr>
        <w:pStyle w:val="SingleTxtG"/>
        <w:ind w:left="2268"/>
      </w:pPr>
      <w:r w:rsidRPr="00E841C6">
        <w:rPr>
          <w:lang w:val="fr-FR"/>
        </w:rPr>
        <w:t>b)</w:t>
      </w:r>
      <w:r w:rsidRPr="00E841C6">
        <w:rPr>
          <w:lang w:val="fr-FR"/>
        </w:rPr>
        <w:tab/>
      </w:r>
      <w:r w:rsidR="004979FC">
        <w:rPr>
          <w:lang w:val="fr-FR"/>
        </w:rPr>
        <w:t>Des c</w:t>
      </w:r>
      <w:r w:rsidR="004979FC" w:rsidRPr="004979FC">
        <w:rPr>
          <w:lang w:val="fr-FR"/>
        </w:rPr>
        <w:t>onsignes pour le transporteur sur le fonctionnement du système de réfrigération</w:t>
      </w:r>
      <w:r w:rsidRPr="00E841C6">
        <w:rPr>
          <w:lang w:val="fr-FR"/>
        </w:rPr>
        <w:t>;</w:t>
      </w:r>
    </w:p>
    <w:p w14:paraId="60AC5C4E" w14:textId="7D35FBC3" w:rsidR="00A5193B" w:rsidRPr="00E841C6" w:rsidRDefault="00A5193B" w:rsidP="00A5193B">
      <w:pPr>
        <w:pStyle w:val="SingleTxtG"/>
        <w:ind w:left="2268"/>
      </w:pPr>
      <w:r w:rsidRPr="00E841C6">
        <w:rPr>
          <w:lang w:val="fr-FR"/>
        </w:rPr>
        <w:t>c)</w:t>
      </w:r>
      <w:r w:rsidRPr="00E841C6">
        <w:rPr>
          <w:lang w:val="fr-FR"/>
        </w:rPr>
        <w:tab/>
      </w:r>
      <w:r w:rsidR="004979FC">
        <w:rPr>
          <w:lang w:val="fr-FR"/>
        </w:rPr>
        <w:t>Des p</w:t>
      </w:r>
      <w:r w:rsidR="004979FC" w:rsidRPr="004979FC">
        <w:rPr>
          <w:lang w:val="fr-FR"/>
        </w:rPr>
        <w:t>rocédures à suivre en cas de défaillance de la régulation</w:t>
      </w:r>
      <w:r w:rsidRPr="00E841C6">
        <w:rPr>
          <w:lang w:val="fr-FR"/>
        </w:rPr>
        <w:t>;</w:t>
      </w:r>
    </w:p>
    <w:p w14:paraId="4F5E1379" w14:textId="50ACD26E" w:rsidR="00A5193B" w:rsidRPr="002652E2" w:rsidRDefault="00A5193B" w:rsidP="00A5193B">
      <w:pPr>
        <w:pStyle w:val="SingleTxtG"/>
        <w:ind w:left="2268"/>
        <w:rPr>
          <w:spacing w:val="-2"/>
        </w:rPr>
      </w:pPr>
      <w:r w:rsidRPr="00E841C6">
        <w:rPr>
          <w:lang w:val="fr-FR"/>
        </w:rPr>
        <w:t>d)</w:t>
      </w:r>
      <w:r w:rsidRPr="00E841C6">
        <w:rPr>
          <w:lang w:val="fr-FR"/>
        </w:rPr>
        <w:tab/>
      </w:r>
      <w:r w:rsidR="004979FC">
        <w:rPr>
          <w:lang w:val="fr-FR"/>
        </w:rPr>
        <w:t xml:space="preserve">Une </w:t>
      </w:r>
      <w:r w:rsidR="004979FC" w:rsidRPr="004979FC">
        <w:rPr>
          <w:spacing w:val="-2"/>
          <w:lang w:val="fr-FR"/>
        </w:rPr>
        <w:t>surveillance régulière des températures de service; et</w:t>
      </w:r>
      <w:r w:rsidRPr="002652E2">
        <w:rPr>
          <w:spacing w:val="-2"/>
          <w:lang w:val="fr-FR"/>
        </w:rPr>
        <w:t xml:space="preserve"> </w:t>
      </w:r>
    </w:p>
    <w:p w14:paraId="671DDB73" w14:textId="05284936" w:rsidR="00A5193B" w:rsidRPr="00E841C6" w:rsidRDefault="00A5193B" w:rsidP="00A5193B">
      <w:pPr>
        <w:pStyle w:val="SingleTxtG"/>
        <w:ind w:left="2268"/>
        <w:rPr>
          <w:lang w:val="fr-FR"/>
        </w:rPr>
      </w:pPr>
      <w:r w:rsidRPr="00E841C6">
        <w:rPr>
          <w:lang w:val="fr-FR"/>
        </w:rPr>
        <w:t>e)</w:t>
      </w:r>
      <w:r w:rsidRPr="00E841C6">
        <w:rPr>
          <w:lang w:val="fr-FR"/>
        </w:rPr>
        <w:tab/>
      </w:r>
      <w:r w:rsidR="004979FC">
        <w:rPr>
          <w:lang w:val="fr-FR"/>
        </w:rPr>
        <w:t xml:space="preserve">La fourniture </w:t>
      </w:r>
      <w:r w:rsidR="004979FC" w:rsidRPr="004979FC">
        <w:rPr>
          <w:lang w:val="fr-FR"/>
        </w:rPr>
        <w:t>d'un système de réfrigération de secours ou de pièces de rechange</w:t>
      </w:r>
      <w:r w:rsidR="004979FC">
        <w:rPr>
          <w:lang w:val="fr-FR"/>
        </w:rPr>
        <w:t>.</w:t>
      </w:r>
    </w:p>
    <w:p w14:paraId="7F78CA74" w14:textId="68154717" w:rsidR="00A5193B" w:rsidRPr="00E841C6" w:rsidRDefault="00A5193B" w:rsidP="002A4B9C">
      <w:pPr>
        <w:pStyle w:val="SingleTxtG"/>
      </w:pPr>
      <w:r w:rsidRPr="00E841C6">
        <w:rPr>
          <w:lang w:val="fr-FR"/>
        </w:rPr>
        <w:t>7.1.5.</w:t>
      </w:r>
      <w:r w:rsidR="002A4B9C">
        <w:rPr>
          <w:lang w:val="fr-FR"/>
        </w:rPr>
        <w:t>4</w:t>
      </w:r>
      <w:r w:rsidRPr="00E841C6">
        <w:rPr>
          <w:lang w:val="fr-FR"/>
        </w:rPr>
        <w:t>.2</w:t>
      </w:r>
      <w:r w:rsidRPr="00E841C6">
        <w:rPr>
          <w:lang w:val="fr-FR"/>
        </w:rPr>
        <w:tab/>
      </w:r>
      <w:r w:rsidR="004979FC">
        <w:rPr>
          <w:lang w:val="fr-FR"/>
        </w:rPr>
        <w:t>Tous les</w:t>
      </w:r>
      <w:r w:rsidR="004979FC" w:rsidRPr="004979FC">
        <w:rPr>
          <w:lang w:val="fr-FR"/>
        </w:rPr>
        <w:t xml:space="preserve"> dispositifs de commande et capteurs de température dans le système de réfrigération doivent être facilement accessibles, et toutes les connexions électriques doivent être protégées contre les intempéries.</w:t>
      </w:r>
      <w:r w:rsidRPr="00E841C6">
        <w:rPr>
          <w:lang w:val="fr-FR"/>
        </w:rPr>
        <w:t xml:space="preserve"> La température de l’</w:t>
      </w:r>
      <w:r w:rsidR="004979FC">
        <w:rPr>
          <w:lang w:val="fr-FR"/>
        </w:rPr>
        <w:t>espace d’</w:t>
      </w:r>
      <w:r w:rsidRPr="00E841C6">
        <w:rPr>
          <w:lang w:val="fr-FR"/>
        </w:rPr>
        <w:t xml:space="preserve">air à l’intérieur de l’engin de transport </w:t>
      </w:r>
      <w:r w:rsidR="004979FC" w:rsidRPr="004979FC">
        <w:rPr>
          <w:lang w:val="fr-FR"/>
        </w:rPr>
        <w:t xml:space="preserve">doit être mesurée par deux capteurs indépendants et les données </w:t>
      </w:r>
      <w:r w:rsidR="004979FC" w:rsidRPr="004979FC">
        <w:rPr>
          <w:lang w:val="fr-FR"/>
        </w:rPr>
        <w:lastRenderedPageBreak/>
        <w:t>doivent être enregistrées de manière à ce que tout changement de température soit facilement discernable.</w:t>
      </w:r>
      <w:r w:rsidRPr="00E841C6">
        <w:rPr>
          <w:lang w:val="fr-FR"/>
        </w:rPr>
        <w:t xml:space="preserve"> </w:t>
      </w:r>
      <w:r w:rsidR="00B0583F" w:rsidRPr="00B0583F">
        <w:rPr>
          <w:lang w:val="fr-FR"/>
        </w:rPr>
        <w:t>La température doit être contrôlée à intervalles de quatre à six heures et consignée.</w:t>
      </w:r>
      <w:r w:rsidRPr="00E841C6">
        <w:rPr>
          <w:lang w:val="fr-FR"/>
        </w:rPr>
        <w:t xml:space="preserve"> </w:t>
      </w:r>
      <w:r w:rsidR="00B0583F" w:rsidRPr="00B0583F">
        <w:rPr>
          <w:lang w:val="fr-FR"/>
        </w:rPr>
        <w:t>Lors du transport de matières ayant une températu</w:t>
      </w:r>
      <w:r w:rsidR="00F8202D">
        <w:rPr>
          <w:lang w:val="fr-FR"/>
        </w:rPr>
        <w:t>re de régulation inférieure à + 25 </w:t>
      </w:r>
      <w:r w:rsidR="00B0583F" w:rsidRPr="00B0583F">
        <w:rPr>
          <w:lang w:val="fr-FR"/>
        </w:rPr>
        <w:t xml:space="preserve">°C, </w:t>
      </w:r>
      <w:r w:rsidR="00B0583F">
        <w:rPr>
          <w:lang w:val="fr-FR"/>
        </w:rPr>
        <w:t>l’engin de transport doit être équipé</w:t>
      </w:r>
      <w:r w:rsidR="00B0583F" w:rsidRPr="00B0583F">
        <w:rPr>
          <w:lang w:val="fr-FR"/>
        </w:rPr>
        <w:t xml:space="preserve"> de dispositifs d'alarme optique et sonore, alimentés indépendamment du système de réfrigération</w:t>
      </w:r>
      <w:r w:rsidR="00B0583F">
        <w:rPr>
          <w:lang w:val="fr-FR"/>
        </w:rPr>
        <w:t>,</w:t>
      </w:r>
      <w:r w:rsidR="00B0583F" w:rsidRPr="00B0583F">
        <w:rPr>
          <w:lang w:val="fr-FR"/>
        </w:rPr>
        <w:t xml:space="preserve"> réglés pour fonctionner à une température égale ou inférieure à la température de régulation</w:t>
      </w:r>
      <w:r>
        <w:rPr>
          <w:lang w:val="fr-FR"/>
        </w:rPr>
        <w:t>.</w:t>
      </w:r>
    </w:p>
    <w:p w14:paraId="57FBB1C2" w14:textId="7BCAFFBF" w:rsidR="00A5193B" w:rsidRPr="00E841C6" w:rsidRDefault="00A5193B" w:rsidP="002A4B9C">
      <w:pPr>
        <w:pStyle w:val="SingleTxtG"/>
      </w:pPr>
      <w:r w:rsidRPr="00E841C6">
        <w:rPr>
          <w:lang w:val="fr-FR"/>
        </w:rPr>
        <w:t>7.1.5.</w:t>
      </w:r>
      <w:r w:rsidR="002A4B9C">
        <w:rPr>
          <w:lang w:val="fr-FR"/>
        </w:rPr>
        <w:t>4</w:t>
      </w:r>
      <w:r w:rsidRPr="00E841C6">
        <w:rPr>
          <w:lang w:val="fr-FR"/>
        </w:rPr>
        <w:t>.3</w:t>
      </w:r>
      <w:r w:rsidRPr="00E841C6">
        <w:rPr>
          <w:lang w:val="fr-FR"/>
        </w:rPr>
        <w:tab/>
      </w:r>
      <w:r w:rsidR="00087DC7">
        <w:rPr>
          <w:lang w:val="fr-FR"/>
        </w:rPr>
        <w:t>Si la</w:t>
      </w:r>
      <w:r w:rsidR="00087DC7" w:rsidRPr="00087DC7">
        <w:rPr>
          <w:lang w:val="fr-FR"/>
        </w:rPr>
        <w:t xml:space="preserve"> température de régulation </w:t>
      </w:r>
      <w:r w:rsidR="00087DC7">
        <w:rPr>
          <w:lang w:val="fr-FR"/>
        </w:rPr>
        <w:t xml:space="preserve">est dépassée </w:t>
      </w:r>
      <w:r w:rsidR="00087DC7" w:rsidRPr="00087DC7">
        <w:rPr>
          <w:lang w:val="fr-FR"/>
        </w:rPr>
        <w:t>au cours du transport</w:t>
      </w:r>
      <w:r w:rsidR="00087DC7">
        <w:rPr>
          <w:lang w:val="fr-FR"/>
        </w:rPr>
        <w:t>,</w:t>
      </w:r>
      <w:r w:rsidR="00087DC7" w:rsidRPr="00087DC7">
        <w:rPr>
          <w:lang w:val="fr-FR"/>
        </w:rPr>
        <w:t xml:space="preserve"> une procédure d'alerte, comprenant la réparation éventuelle du dispositif frigorifique ou le renforcement de la capacité de refroi</w:t>
      </w:r>
      <w:r w:rsidR="00087DC7">
        <w:rPr>
          <w:lang w:val="fr-FR"/>
        </w:rPr>
        <w:t xml:space="preserve">dissement (par exemple par </w:t>
      </w:r>
      <w:r w:rsidR="00087DC7" w:rsidRPr="00087DC7">
        <w:rPr>
          <w:lang w:val="fr-FR"/>
        </w:rPr>
        <w:t>adjonction de matières réfrigérantes liquides ou solides)</w:t>
      </w:r>
      <w:r w:rsidR="00087DC7">
        <w:rPr>
          <w:lang w:val="fr-FR"/>
        </w:rPr>
        <w:t>, doit être déclenchée</w:t>
      </w:r>
      <w:r w:rsidR="00087DC7" w:rsidRPr="00087DC7">
        <w:rPr>
          <w:lang w:val="fr-FR"/>
        </w:rPr>
        <w:t>.</w:t>
      </w:r>
      <w:r w:rsidRPr="00E841C6">
        <w:rPr>
          <w:lang w:val="fr-FR"/>
        </w:rPr>
        <w:t xml:space="preserve"> On doit en outre contrôler fréquemment la température et se préparer à prendre des mesures d’urgence. </w:t>
      </w:r>
      <w:r w:rsidR="00087DC7" w:rsidRPr="00087DC7">
        <w:rPr>
          <w:lang w:val="fr-FR"/>
        </w:rPr>
        <w:t xml:space="preserve">Si la température critique est atteinte, les mesures d'urgence doivent </w:t>
      </w:r>
      <w:r w:rsidR="00087DC7">
        <w:rPr>
          <w:lang w:val="fr-FR"/>
        </w:rPr>
        <w:t>être engagées</w:t>
      </w:r>
      <w:r w:rsidR="00087DC7" w:rsidRPr="00087DC7">
        <w:rPr>
          <w:lang w:val="fr-FR"/>
        </w:rPr>
        <w:t>.</w:t>
      </w:r>
    </w:p>
    <w:p w14:paraId="6DDF55C9" w14:textId="6D103BA9" w:rsidR="00A5193B" w:rsidRPr="00E841C6" w:rsidRDefault="00A5193B" w:rsidP="002A4B9C">
      <w:pPr>
        <w:pStyle w:val="SingleTxtG"/>
      </w:pPr>
      <w:r>
        <w:rPr>
          <w:lang w:val="fr-FR"/>
        </w:rPr>
        <w:t>7.1.5.</w:t>
      </w:r>
      <w:r w:rsidR="002A4B9C">
        <w:rPr>
          <w:lang w:val="fr-FR"/>
        </w:rPr>
        <w:t>4</w:t>
      </w:r>
      <w:r>
        <w:rPr>
          <w:lang w:val="fr-FR"/>
        </w:rPr>
        <w:t>.4</w:t>
      </w:r>
      <w:r w:rsidRPr="00E841C6">
        <w:rPr>
          <w:lang w:val="fr-FR"/>
        </w:rPr>
        <w:tab/>
        <w:t>Le moyen de régulation de température choisi pour le transport dépend d’un cert</w:t>
      </w:r>
      <w:r w:rsidR="00771312">
        <w:rPr>
          <w:lang w:val="fr-FR"/>
        </w:rPr>
        <w:t>ain nombre de facteurs, tels que</w:t>
      </w:r>
      <w:r w:rsidRPr="00E841C6">
        <w:rPr>
          <w:lang w:val="fr-FR"/>
        </w:rPr>
        <w:t xml:space="preserve">: </w:t>
      </w:r>
    </w:p>
    <w:p w14:paraId="2BEAF8F5" w14:textId="585CC70F" w:rsidR="00A5193B" w:rsidRPr="00E841C6" w:rsidRDefault="00A5193B" w:rsidP="00A5193B">
      <w:pPr>
        <w:pStyle w:val="SingleTxtG"/>
        <w:ind w:left="2268"/>
        <w:rPr>
          <w:lang w:val="fr-FR"/>
        </w:rPr>
      </w:pPr>
      <w:r w:rsidRPr="00E841C6">
        <w:rPr>
          <w:lang w:val="fr-FR"/>
        </w:rPr>
        <w:t>a)</w:t>
      </w:r>
      <w:r w:rsidRPr="00E841C6">
        <w:rPr>
          <w:lang w:val="fr-FR"/>
        </w:rPr>
        <w:tab/>
      </w:r>
      <w:r>
        <w:rPr>
          <w:lang w:val="fr-FR"/>
        </w:rPr>
        <w:t>L</w:t>
      </w:r>
      <w:r w:rsidRPr="00E841C6">
        <w:rPr>
          <w:lang w:val="fr-FR"/>
        </w:rPr>
        <w:t>a ou les températures de régulation de la ou des matières à transporter;</w:t>
      </w:r>
    </w:p>
    <w:p w14:paraId="705D8912" w14:textId="3086C8CA" w:rsidR="00A5193B" w:rsidRPr="00E841C6" w:rsidRDefault="00A5193B" w:rsidP="00771312">
      <w:pPr>
        <w:pStyle w:val="SingleTxtG"/>
        <w:ind w:left="2268"/>
        <w:rPr>
          <w:lang w:val="fr-FR"/>
        </w:rPr>
      </w:pPr>
      <w:r w:rsidRPr="00E841C6">
        <w:rPr>
          <w:lang w:val="fr-FR"/>
        </w:rPr>
        <w:t>b)</w:t>
      </w:r>
      <w:r w:rsidRPr="00E841C6">
        <w:rPr>
          <w:lang w:val="fr-FR"/>
        </w:rPr>
        <w:tab/>
      </w:r>
      <w:r>
        <w:rPr>
          <w:lang w:val="fr-FR"/>
        </w:rPr>
        <w:t>L</w:t>
      </w:r>
      <w:r w:rsidRPr="00E841C6">
        <w:rPr>
          <w:lang w:val="fr-FR"/>
        </w:rPr>
        <w:t xml:space="preserve">’écart entre la température de régulation et les </w:t>
      </w:r>
      <w:r w:rsidR="00765AC9">
        <w:rPr>
          <w:lang w:val="fr-FR"/>
        </w:rPr>
        <w:t xml:space="preserve">conditions de </w:t>
      </w:r>
      <w:r w:rsidRPr="00E841C6">
        <w:rPr>
          <w:lang w:val="fr-FR"/>
        </w:rPr>
        <w:t>températures ambiantes prévues;</w:t>
      </w:r>
    </w:p>
    <w:p w14:paraId="4F606EF9" w14:textId="2A4280EF" w:rsidR="00A5193B" w:rsidRPr="00E841C6" w:rsidRDefault="00A5193B" w:rsidP="00A5193B">
      <w:pPr>
        <w:pStyle w:val="SingleTxtG"/>
        <w:ind w:left="2268"/>
        <w:rPr>
          <w:lang w:val="fr-FR"/>
        </w:rPr>
      </w:pPr>
      <w:r w:rsidRPr="00E841C6">
        <w:rPr>
          <w:lang w:val="fr-FR"/>
        </w:rPr>
        <w:t>c)</w:t>
      </w:r>
      <w:r w:rsidRPr="00E841C6">
        <w:rPr>
          <w:lang w:val="fr-FR"/>
        </w:rPr>
        <w:tab/>
      </w:r>
      <w:r>
        <w:rPr>
          <w:lang w:val="fr-FR"/>
        </w:rPr>
        <w:t>L</w:t>
      </w:r>
      <w:r w:rsidRPr="00E841C6">
        <w:rPr>
          <w:lang w:val="fr-FR"/>
        </w:rPr>
        <w:t>’efficacité de l’isolation thermique;</w:t>
      </w:r>
    </w:p>
    <w:p w14:paraId="418E34FA" w14:textId="20D434A5" w:rsidR="00A5193B" w:rsidRPr="00E841C6" w:rsidRDefault="00A5193B" w:rsidP="00A5193B">
      <w:pPr>
        <w:pStyle w:val="SingleTxtG"/>
        <w:ind w:left="2268"/>
        <w:rPr>
          <w:lang w:val="fr-FR"/>
        </w:rPr>
      </w:pPr>
      <w:r w:rsidRPr="00E841C6">
        <w:rPr>
          <w:lang w:val="fr-FR"/>
        </w:rPr>
        <w:t>d)</w:t>
      </w:r>
      <w:r w:rsidRPr="00E841C6">
        <w:rPr>
          <w:lang w:val="fr-FR"/>
        </w:rPr>
        <w:tab/>
      </w:r>
      <w:r>
        <w:rPr>
          <w:lang w:val="fr-FR"/>
        </w:rPr>
        <w:t>L</w:t>
      </w:r>
      <w:r w:rsidRPr="00E841C6">
        <w:rPr>
          <w:lang w:val="fr-FR"/>
        </w:rPr>
        <w:t>a durée du transport</w:t>
      </w:r>
      <w:r>
        <w:rPr>
          <w:lang w:val="fr-FR"/>
        </w:rPr>
        <w:t>;</w:t>
      </w:r>
      <w:r w:rsidR="00765AC9">
        <w:rPr>
          <w:lang w:val="fr-FR"/>
        </w:rPr>
        <w:t xml:space="preserve"> et</w:t>
      </w:r>
    </w:p>
    <w:p w14:paraId="07933197" w14:textId="3A4A30A0" w:rsidR="00A5193B" w:rsidRPr="00E841C6" w:rsidRDefault="00A5193B" w:rsidP="00A5193B">
      <w:pPr>
        <w:pStyle w:val="SingleTxtG"/>
        <w:ind w:left="2268"/>
        <w:rPr>
          <w:lang w:val="fr-FR"/>
        </w:rPr>
      </w:pPr>
      <w:r w:rsidRPr="00E841C6">
        <w:rPr>
          <w:lang w:val="fr-FR"/>
        </w:rPr>
        <w:t>e)</w:t>
      </w:r>
      <w:r w:rsidRPr="00E841C6">
        <w:rPr>
          <w:lang w:val="fr-FR"/>
        </w:rPr>
        <w:tab/>
      </w:r>
      <w:r>
        <w:rPr>
          <w:lang w:val="fr-FR"/>
        </w:rPr>
        <w:t>L</w:t>
      </w:r>
      <w:r w:rsidRPr="00E841C6">
        <w:rPr>
          <w:lang w:val="fr-FR"/>
        </w:rPr>
        <w:t>a marge de sécurité prévue pour les retards</w:t>
      </w:r>
      <w:r>
        <w:rPr>
          <w:lang w:val="fr-FR"/>
        </w:rPr>
        <w:t>.</w:t>
      </w:r>
    </w:p>
    <w:p w14:paraId="34E22E5F" w14:textId="15C9F348" w:rsidR="00A5193B" w:rsidRPr="00765AC9" w:rsidRDefault="00A5193B" w:rsidP="002A4B9C">
      <w:pPr>
        <w:pStyle w:val="SingleTxtG"/>
        <w:rPr>
          <w:lang w:val="fr-FR"/>
        </w:rPr>
      </w:pPr>
      <w:r>
        <w:rPr>
          <w:lang w:val="fr-FR"/>
        </w:rPr>
        <w:t>7.1.5.</w:t>
      </w:r>
      <w:r w:rsidR="002A4B9C">
        <w:rPr>
          <w:lang w:val="fr-FR"/>
        </w:rPr>
        <w:t>4</w:t>
      </w:r>
      <w:r>
        <w:rPr>
          <w:lang w:val="fr-FR"/>
        </w:rPr>
        <w:t>.5</w:t>
      </w:r>
      <w:r w:rsidRPr="00E841C6">
        <w:rPr>
          <w:lang w:val="fr-FR"/>
        </w:rPr>
        <w:tab/>
      </w:r>
      <w:r w:rsidR="00765AC9" w:rsidRPr="00765AC9">
        <w:rPr>
          <w:lang w:val="fr-FR"/>
        </w:rPr>
        <w:t>Des méthodes appropriées pour empêcher le dépassement de la température de</w:t>
      </w:r>
      <w:r w:rsidR="00765AC9" w:rsidRPr="004979FC">
        <w:rPr>
          <w:color w:val="00B0F0"/>
        </w:rPr>
        <w:t xml:space="preserve"> </w:t>
      </w:r>
      <w:r w:rsidR="00765AC9" w:rsidRPr="00765AC9">
        <w:rPr>
          <w:lang w:val="fr-FR"/>
        </w:rPr>
        <w:t>régulation sont, par ordre croissant d'efficacité:</w:t>
      </w:r>
    </w:p>
    <w:p w14:paraId="6419B50C" w14:textId="3456D5C9" w:rsidR="00A5193B" w:rsidRPr="00E841C6" w:rsidRDefault="00A5193B" w:rsidP="00A5193B">
      <w:pPr>
        <w:pStyle w:val="SingleTxtG"/>
        <w:ind w:left="2268"/>
      </w:pPr>
      <w:r w:rsidRPr="00E841C6">
        <w:rPr>
          <w:lang w:val="fr-FR"/>
        </w:rPr>
        <w:t>a)</w:t>
      </w:r>
      <w:r w:rsidRPr="00E841C6">
        <w:rPr>
          <w:lang w:val="fr-FR"/>
        </w:rPr>
        <w:tab/>
      </w:r>
      <w:r w:rsidR="00765AC9" w:rsidRPr="00765AC9">
        <w:rPr>
          <w:lang w:val="fr-FR"/>
        </w:rPr>
        <w:t xml:space="preserve">Isolation thermique, à condition que la température initiale de la ou des matières </w:t>
      </w:r>
      <w:r w:rsidR="00765AC9">
        <w:rPr>
          <w:lang w:val="fr-FR"/>
        </w:rPr>
        <w:t xml:space="preserve">à transporter </w:t>
      </w:r>
      <w:r w:rsidR="00765AC9" w:rsidRPr="00765AC9">
        <w:rPr>
          <w:lang w:val="fr-FR"/>
        </w:rPr>
        <w:t>soit suffisamment basse par rapport à la température de régulation</w:t>
      </w:r>
      <w:r>
        <w:rPr>
          <w:lang w:val="fr-FR"/>
        </w:rPr>
        <w:t>;</w:t>
      </w:r>
    </w:p>
    <w:p w14:paraId="49437296" w14:textId="17A6830E" w:rsidR="00A5193B" w:rsidRPr="00E841C6" w:rsidRDefault="00A5193B" w:rsidP="00A5193B">
      <w:pPr>
        <w:pStyle w:val="SingleTxtG"/>
        <w:ind w:left="2268"/>
      </w:pPr>
      <w:r w:rsidRPr="00E841C6">
        <w:rPr>
          <w:lang w:val="fr-FR"/>
        </w:rPr>
        <w:t>b)</w:t>
      </w:r>
      <w:r w:rsidRPr="00E841C6">
        <w:rPr>
          <w:lang w:val="fr-FR"/>
        </w:rPr>
        <w:tab/>
      </w:r>
      <w:r w:rsidR="00765AC9" w:rsidRPr="00765AC9">
        <w:rPr>
          <w:lang w:val="fr-FR"/>
        </w:rPr>
        <w:t>Isolation thermique avec système de refroidissement, à condition que:</w:t>
      </w:r>
      <w:r w:rsidRPr="00E841C6">
        <w:rPr>
          <w:lang w:val="fr-FR"/>
        </w:rPr>
        <w:t xml:space="preserve"> </w:t>
      </w:r>
    </w:p>
    <w:p w14:paraId="3B8FCD8B" w14:textId="5C21628C" w:rsidR="00A5193B" w:rsidRPr="00E841C6" w:rsidRDefault="00A5193B" w:rsidP="00A5193B">
      <w:pPr>
        <w:pStyle w:val="SingleTxtG"/>
        <w:ind w:left="2835"/>
      </w:pPr>
      <w:r w:rsidRPr="00E841C6">
        <w:rPr>
          <w:lang w:val="fr-FR"/>
        </w:rPr>
        <w:t>i)</w:t>
      </w:r>
      <w:r w:rsidRPr="00E841C6">
        <w:rPr>
          <w:lang w:val="fr-FR"/>
        </w:rPr>
        <w:tab/>
      </w:r>
      <w:r w:rsidR="00765AC9" w:rsidRPr="00765AC9">
        <w:rPr>
          <w:lang w:val="fr-FR"/>
        </w:rPr>
        <w:t>une quantité suffisante de réfrigérant (par exemple azo</w:t>
      </w:r>
      <w:r w:rsidR="00765AC9">
        <w:rPr>
          <w:lang w:val="fr-FR"/>
        </w:rPr>
        <w:t>te liquide ou neige carbonique)</w:t>
      </w:r>
      <w:r w:rsidR="00765AC9" w:rsidRPr="00765AC9">
        <w:rPr>
          <w:lang w:val="fr-FR"/>
        </w:rPr>
        <w:t xml:space="preserve"> soit transportée</w:t>
      </w:r>
      <w:r w:rsidR="00765AC9">
        <w:rPr>
          <w:lang w:val="fr-FR"/>
        </w:rPr>
        <w:t>, en tenant compte d’une</w:t>
      </w:r>
      <w:r w:rsidR="00765AC9" w:rsidRPr="00765AC9">
        <w:rPr>
          <w:lang w:val="fr-FR"/>
        </w:rPr>
        <w:t xml:space="preserve"> marge raisonnable pour les retards</w:t>
      </w:r>
      <w:r w:rsidRPr="00E841C6">
        <w:rPr>
          <w:lang w:val="fr-FR"/>
        </w:rPr>
        <w:t>;</w:t>
      </w:r>
    </w:p>
    <w:p w14:paraId="16CD1A4D" w14:textId="73D58CFE" w:rsidR="00A5193B" w:rsidRPr="00E841C6" w:rsidRDefault="00A5193B" w:rsidP="00A5193B">
      <w:pPr>
        <w:pStyle w:val="SingleTxtG"/>
        <w:ind w:left="2835"/>
      </w:pPr>
      <w:r w:rsidRPr="00E841C6">
        <w:rPr>
          <w:lang w:val="fr-FR"/>
        </w:rPr>
        <w:t>ii)</w:t>
      </w:r>
      <w:r w:rsidRPr="00E841C6">
        <w:rPr>
          <w:lang w:val="fr-FR"/>
        </w:rPr>
        <w:tab/>
      </w:r>
      <w:r w:rsidR="00765AC9" w:rsidRPr="00765AC9">
        <w:rPr>
          <w:lang w:val="fr-FR"/>
        </w:rPr>
        <w:t>ni l'oxygène liquide ni l'air liquide ne soient utilisés comme réfrigérants;</w:t>
      </w:r>
    </w:p>
    <w:p w14:paraId="5576B66A" w14:textId="4F20798D" w:rsidR="00A5193B" w:rsidRPr="00E841C6" w:rsidRDefault="00A5193B" w:rsidP="00A5193B">
      <w:pPr>
        <w:pStyle w:val="SingleTxtG"/>
        <w:ind w:left="2835"/>
      </w:pPr>
      <w:r w:rsidRPr="00E841C6">
        <w:rPr>
          <w:lang w:val="fr-FR"/>
        </w:rPr>
        <w:t>iii)</w:t>
      </w:r>
      <w:r w:rsidRPr="00E841C6">
        <w:rPr>
          <w:lang w:val="fr-FR"/>
        </w:rPr>
        <w:tab/>
      </w:r>
      <w:r w:rsidR="00765AC9" w:rsidRPr="00765AC9">
        <w:rPr>
          <w:lang w:val="fr-FR"/>
        </w:rPr>
        <w:t>le système de refroidissement ait un effet uniforme, même lorsque la plupart du réfrigérant est épuisée; et</w:t>
      </w:r>
    </w:p>
    <w:p w14:paraId="4640F46C" w14:textId="1F1DD275" w:rsidR="00A5193B" w:rsidRPr="00E841C6" w:rsidRDefault="00A5193B" w:rsidP="00A5193B">
      <w:pPr>
        <w:pStyle w:val="SingleTxtG"/>
        <w:ind w:left="2835"/>
      </w:pPr>
      <w:r w:rsidRPr="00E841C6">
        <w:rPr>
          <w:lang w:val="fr-FR"/>
        </w:rPr>
        <w:t>iv)</w:t>
      </w:r>
      <w:r w:rsidRPr="00E841C6">
        <w:rPr>
          <w:lang w:val="fr-FR"/>
        </w:rPr>
        <w:tab/>
      </w:r>
      <w:r w:rsidR="00765AC9" w:rsidRPr="00765AC9">
        <w:rPr>
          <w:lang w:val="fr-FR"/>
        </w:rPr>
        <w:t xml:space="preserve">la nécessité de ventiler </w:t>
      </w:r>
      <w:r w:rsidR="00765AC9">
        <w:rPr>
          <w:lang w:val="fr-FR"/>
        </w:rPr>
        <w:t>l’engin</w:t>
      </w:r>
      <w:r w:rsidR="00765AC9" w:rsidRPr="00765AC9">
        <w:rPr>
          <w:lang w:val="fr-FR"/>
        </w:rPr>
        <w:t xml:space="preserve"> de transport avant d'entrer soit clairement indiquée par un avis inscrit sur la ou les portes</w:t>
      </w:r>
      <w:r w:rsidR="00765AC9">
        <w:rPr>
          <w:lang w:val="fr-FR"/>
        </w:rPr>
        <w:t xml:space="preserve"> de l’engin</w:t>
      </w:r>
      <w:r w:rsidRPr="00E841C6">
        <w:rPr>
          <w:lang w:val="fr-FR"/>
        </w:rPr>
        <w:t>;</w:t>
      </w:r>
    </w:p>
    <w:p w14:paraId="44EDAD00" w14:textId="6D1E0C21" w:rsidR="00A5193B" w:rsidRPr="00E841C6" w:rsidRDefault="00A5193B" w:rsidP="00A5193B">
      <w:pPr>
        <w:pStyle w:val="SingleTxtG"/>
        <w:ind w:left="2268"/>
      </w:pPr>
      <w:r w:rsidRPr="00E841C6">
        <w:rPr>
          <w:lang w:val="fr-FR"/>
        </w:rPr>
        <w:t>c)</w:t>
      </w:r>
      <w:r w:rsidRPr="00E841C6">
        <w:rPr>
          <w:lang w:val="fr-FR"/>
        </w:rPr>
        <w:tab/>
      </w:r>
      <w:r w:rsidR="000F0288">
        <w:rPr>
          <w:lang w:val="fr-FR"/>
        </w:rPr>
        <w:t>R</w:t>
      </w:r>
      <w:r w:rsidR="000F0288" w:rsidRPr="000F0288">
        <w:rPr>
          <w:lang w:val="fr-FR"/>
        </w:rPr>
        <w:t xml:space="preserve">éfrigération mécanique simple, à condition que, pour les matières </w:t>
      </w:r>
      <w:r w:rsidR="00C936FB">
        <w:rPr>
          <w:lang w:val="fr-FR"/>
        </w:rPr>
        <w:t xml:space="preserve">à transporter </w:t>
      </w:r>
      <w:r w:rsidR="000F0288" w:rsidRPr="000F0288">
        <w:rPr>
          <w:lang w:val="fr-FR"/>
        </w:rPr>
        <w:t>ayant un point d'éclair inférieur à la température critique</w:t>
      </w:r>
      <w:r w:rsidR="00F8202D">
        <w:rPr>
          <w:lang w:val="fr-FR"/>
        </w:rPr>
        <w:t xml:space="preserve"> augmentée de 5 </w:t>
      </w:r>
      <w:r w:rsidR="000F0288" w:rsidRPr="000F0288">
        <w:rPr>
          <w:lang w:val="fr-FR"/>
        </w:rPr>
        <w:t>°C, des raccords électriques à protection contre l'explosion soient utilisés dans le compartiment de réfrigération pour éviter le risque d'inflammation des vapeurs</w:t>
      </w:r>
      <w:r w:rsidRPr="00E841C6">
        <w:rPr>
          <w:lang w:val="fr-FR"/>
        </w:rPr>
        <w:t xml:space="preserve">; </w:t>
      </w:r>
    </w:p>
    <w:p w14:paraId="6D12A3B3" w14:textId="72A8E701" w:rsidR="00A5193B" w:rsidRPr="00E841C6" w:rsidRDefault="00A5193B" w:rsidP="00A5193B">
      <w:pPr>
        <w:pStyle w:val="SingleTxtG"/>
        <w:ind w:left="2268"/>
      </w:pPr>
      <w:r w:rsidRPr="00E841C6">
        <w:rPr>
          <w:lang w:val="fr-FR"/>
        </w:rPr>
        <w:t>d)</w:t>
      </w:r>
      <w:r w:rsidRPr="00E841C6">
        <w:rPr>
          <w:lang w:val="fr-FR"/>
        </w:rPr>
        <w:tab/>
      </w:r>
      <w:r w:rsidR="00C936FB">
        <w:rPr>
          <w:lang w:val="fr-FR"/>
        </w:rPr>
        <w:t>S</w:t>
      </w:r>
      <w:r w:rsidR="00C936FB" w:rsidRPr="00C936FB">
        <w:rPr>
          <w:lang w:val="fr-FR"/>
        </w:rPr>
        <w:t>ystème de réfrigération mécanique combiné avec système de refroidissement, à condition que:</w:t>
      </w:r>
      <w:r w:rsidRPr="00E841C6">
        <w:rPr>
          <w:lang w:val="fr-FR"/>
        </w:rPr>
        <w:t xml:space="preserve"> </w:t>
      </w:r>
    </w:p>
    <w:p w14:paraId="7F1F0DE6" w14:textId="0D185E45" w:rsidR="00A5193B" w:rsidRPr="00E841C6" w:rsidRDefault="00A5193B" w:rsidP="00A5193B">
      <w:pPr>
        <w:pStyle w:val="SingleTxtG"/>
        <w:ind w:left="2835"/>
      </w:pPr>
      <w:r w:rsidRPr="00E841C6">
        <w:rPr>
          <w:lang w:val="fr-FR"/>
        </w:rPr>
        <w:t>i)</w:t>
      </w:r>
      <w:r w:rsidRPr="00E841C6">
        <w:rPr>
          <w:lang w:val="fr-FR"/>
        </w:rPr>
        <w:tab/>
      </w:r>
      <w:r w:rsidR="00C936FB" w:rsidRPr="00C936FB">
        <w:rPr>
          <w:lang w:val="fr-FR"/>
        </w:rPr>
        <w:t>les deux systèmes soient indépendants l'un de l'autre; et</w:t>
      </w:r>
    </w:p>
    <w:p w14:paraId="656524C4" w14:textId="7D150280" w:rsidR="00A5193B" w:rsidRPr="00E841C6" w:rsidRDefault="00A5193B" w:rsidP="00A5193B">
      <w:pPr>
        <w:pStyle w:val="SingleTxtG"/>
        <w:ind w:left="2835"/>
      </w:pPr>
      <w:r w:rsidRPr="00E841C6">
        <w:rPr>
          <w:lang w:val="fr-FR"/>
        </w:rPr>
        <w:lastRenderedPageBreak/>
        <w:t>ii)</w:t>
      </w:r>
      <w:r w:rsidRPr="00E841C6">
        <w:rPr>
          <w:lang w:val="fr-FR"/>
        </w:rPr>
        <w:tab/>
      </w:r>
      <w:r w:rsidR="00C936FB">
        <w:rPr>
          <w:lang w:val="fr-FR"/>
        </w:rPr>
        <w:t>les dispositions des alinéas</w:t>
      </w:r>
      <w:r w:rsidRPr="00E841C6">
        <w:rPr>
          <w:lang w:val="fr-FR"/>
        </w:rPr>
        <w:t xml:space="preserve"> b) et c)</w:t>
      </w:r>
      <w:r w:rsidR="00C936FB">
        <w:rPr>
          <w:lang w:val="fr-FR"/>
        </w:rPr>
        <w:t xml:space="preserve"> soient satisfaites</w:t>
      </w:r>
      <w:r w:rsidRPr="00E841C6">
        <w:rPr>
          <w:lang w:val="fr-FR"/>
        </w:rPr>
        <w:t>;</w:t>
      </w:r>
    </w:p>
    <w:p w14:paraId="744068EA" w14:textId="3DD34AB3" w:rsidR="00A5193B" w:rsidRPr="00E841C6" w:rsidRDefault="00A5193B" w:rsidP="00A5193B">
      <w:pPr>
        <w:pStyle w:val="SingleTxtG"/>
        <w:ind w:left="2268"/>
      </w:pPr>
      <w:r w:rsidRPr="00E841C6">
        <w:rPr>
          <w:lang w:val="fr-FR"/>
        </w:rPr>
        <w:t>e)</w:t>
      </w:r>
      <w:r w:rsidRPr="00E841C6">
        <w:rPr>
          <w:lang w:val="fr-FR"/>
        </w:rPr>
        <w:tab/>
      </w:r>
      <w:r w:rsidR="00C936FB">
        <w:rPr>
          <w:lang w:val="fr-FR"/>
        </w:rPr>
        <w:t>S</w:t>
      </w:r>
      <w:r w:rsidR="00C936FB" w:rsidRPr="00C936FB">
        <w:rPr>
          <w:lang w:val="fr-FR"/>
        </w:rPr>
        <w:t>ystème de réfrigération mécanique double, à condition que:</w:t>
      </w:r>
      <w:r w:rsidRPr="00E841C6">
        <w:rPr>
          <w:lang w:val="fr-FR"/>
        </w:rPr>
        <w:t xml:space="preserve"> </w:t>
      </w:r>
    </w:p>
    <w:p w14:paraId="6605C08F" w14:textId="5F931E5B" w:rsidR="00A5193B" w:rsidRPr="00E841C6" w:rsidRDefault="00A5193B" w:rsidP="00A5193B">
      <w:pPr>
        <w:pStyle w:val="SingleTxtG"/>
        <w:ind w:left="2835"/>
      </w:pPr>
      <w:r w:rsidRPr="00E841C6">
        <w:rPr>
          <w:lang w:val="fr-FR"/>
        </w:rPr>
        <w:t>i)</w:t>
      </w:r>
      <w:r w:rsidRPr="00E841C6">
        <w:rPr>
          <w:lang w:val="fr-FR"/>
        </w:rPr>
        <w:tab/>
      </w:r>
      <w:r w:rsidR="00C936FB">
        <w:rPr>
          <w:lang w:val="fr-FR"/>
        </w:rPr>
        <w:t>e</w:t>
      </w:r>
      <w:r w:rsidR="00C936FB" w:rsidRPr="00C936FB">
        <w:rPr>
          <w:lang w:val="fr-FR"/>
        </w:rPr>
        <w:t>n dehors du dispositif général d'alimentation, les deux systèmes soient indépendants l'un de l'autre</w:t>
      </w:r>
      <w:r w:rsidRPr="00E841C6">
        <w:rPr>
          <w:lang w:val="fr-FR"/>
        </w:rPr>
        <w:t>;</w:t>
      </w:r>
    </w:p>
    <w:p w14:paraId="05B908FE" w14:textId="073FCF97" w:rsidR="00A5193B" w:rsidRPr="00E841C6" w:rsidRDefault="00A5193B" w:rsidP="00A5193B">
      <w:pPr>
        <w:pStyle w:val="SingleTxtG"/>
        <w:ind w:left="2835"/>
        <w:rPr>
          <w:lang w:val="fr-FR"/>
        </w:rPr>
      </w:pPr>
      <w:r w:rsidRPr="00E841C6">
        <w:rPr>
          <w:lang w:val="fr-FR"/>
        </w:rPr>
        <w:t>ii)</w:t>
      </w:r>
      <w:r w:rsidRPr="00E841C6">
        <w:rPr>
          <w:lang w:val="fr-FR"/>
        </w:rPr>
        <w:tab/>
      </w:r>
      <w:r w:rsidR="00C936FB" w:rsidRPr="00C936FB">
        <w:rPr>
          <w:lang w:val="fr-FR"/>
        </w:rPr>
        <w:t>chaque système puisse à lui seul maintenir une régulation suffisante de la température; et</w:t>
      </w:r>
    </w:p>
    <w:p w14:paraId="269A9FFD" w14:textId="44883E2D" w:rsidR="00A5193B" w:rsidRDefault="00A5193B" w:rsidP="00A5193B">
      <w:pPr>
        <w:pStyle w:val="SingleTxtG"/>
        <w:ind w:left="2835"/>
        <w:rPr>
          <w:bCs/>
          <w:lang w:val="fr-FR"/>
        </w:rPr>
      </w:pPr>
      <w:r w:rsidRPr="00E841C6">
        <w:rPr>
          <w:lang w:val="fr-FR"/>
        </w:rPr>
        <w:t>iii)</w:t>
      </w:r>
      <w:r w:rsidRPr="00E841C6">
        <w:rPr>
          <w:lang w:val="fr-FR"/>
        </w:rPr>
        <w:tab/>
      </w:r>
      <w:r w:rsidR="00C936FB" w:rsidRPr="00C936FB">
        <w:rPr>
          <w:bCs/>
          <w:lang w:val="fr-FR"/>
        </w:rPr>
        <w:t>pour les matières</w:t>
      </w:r>
      <w:r w:rsidR="00C936FB">
        <w:rPr>
          <w:bCs/>
          <w:lang w:val="fr-FR"/>
        </w:rPr>
        <w:t xml:space="preserve"> à transporter</w:t>
      </w:r>
      <w:r w:rsidR="00C936FB" w:rsidRPr="00C936FB">
        <w:rPr>
          <w:bCs/>
          <w:lang w:val="fr-FR"/>
        </w:rPr>
        <w:t xml:space="preserve"> ayant un point d'éclair inférieur à la température critique augm</w:t>
      </w:r>
      <w:r w:rsidR="00F8202D">
        <w:rPr>
          <w:bCs/>
          <w:lang w:val="fr-FR"/>
        </w:rPr>
        <w:t>entée de 5 </w:t>
      </w:r>
      <w:r w:rsidR="00C936FB" w:rsidRPr="00C936FB">
        <w:rPr>
          <w:bCs/>
          <w:lang w:val="fr-FR"/>
        </w:rPr>
        <w:t>°C des raccords électriques à protection contre l'explosion soient utilisés dans le compartiment de réfrigération pour éviter le risque d'inflammation des vapeurs</w:t>
      </w:r>
      <w:r w:rsidRPr="00E841C6">
        <w:rPr>
          <w:bCs/>
          <w:lang w:val="fr-FR"/>
        </w:rPr>
        <w:t>.</w:t>
      </w:r>
    </w:p>
    <w:p w14:paraId="1ED017A8" w14:textId="49D0564F" w:rsidR="001A24A2" w:rsidRDefault="001A24A2" w:rsidP="001A24A2">
      <w:pPr>
        <w:pStyle w:val="SingleTxtG"/>
      </w:pPr>
      <w:r>
        <w:t>7.1.6</w:t>
      </w:r>
      <w:r>
        <w:tab/>
      </w:r>
      <w:r>
        <w:rPr>
          <w:i/>
        </w:rPr>
        <w:t>(Réservé).</w:t>
      </w:r>
      <w:r>
        <w:t>».</w:t>
      </w:r>
    </w:p>
    <w:p w14:paraId="5B85B57C" w14:textId="77777777" w:rsidR="00196C06" w:rsidRPr="00333AEC" w:rsidRDefault="00196C06" w:rsidP="00196C06">
      <w:pPr>
        <w:spacing w:before="240"/>
        <w:ind w:left="1134" w:right="1134"/>
        <w:jc w:val="center"/>
        <w:rPr>
          <w:i/>
          <w:iCs/>
          <w:u w:val="single"/>
        </w:rPr>
      </w:pPr>
      <w:r>
        <w:rPr>
          <w:i/>
          <w:iCs/>
          <w:u w:val="single"/>
        </w:rPr>
        <w:tab/>
      </w:r>
      <w:r>
        <w:rPr>
          <w:i/>
          <w:iCs/>
          <w:u w:val="single"/>
        </w:rPr>
        <w:tab/>
      </w:r>
      <w:r>
        <w:rPr>
          <w:i/>
          <w:iCs/>
          <w:u w:val="single"/>
        </w:rPr>
        <w:tab/>
      </w:r>
    </w:p>
    <w:p w14:paraId="33904B03" w14:textId="77777777" w:rsidR="00CA0680" w:rsidRPr="00FF35B7" w:rsidRDefault="00CA0680" w:rsidP="00FF35B7">
      <w:pPr>
        <w:suppressAutoHyphens w:val="0"/>
        <w:spacing w:line="240" w:lineRule="auto"/>
      </w:pPr>
    </w:p>
    <w:sectPr w:rsidR="00CA0680" w:rsidRPr="00FF35B7" w:rsidSect="00FF35B7">
      <w:headerReference w:type="even" r:id="rId48"/>
      <w:headerReference w:type="default" r:id="rId49"/>
      <w:footerReference w:type="even" r:id="rId50"/>
      <w:footerReference w:type="default" r:id="rId51"/>
      <w:headerReference w:type="first" r:id="rId52"/>
      <w:footerReference w:type="first" r:id="rId5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EB0E0" w14:textId="77777777" w:rsidR="00E01BCD" w:rsidRDefault="00E01BCD"/>
  </w:endnote>
  <w:endnote w:type="continuationSeparator" w:id="0">
    <w:p w14:paraId="659C90A0" w14:textId="77777777" w:rsidR="00E01BCD" w:rsidRDefault="00E01BCD"/>
  </w:endnote>
  <w:endnote w:type="continuationNotice" w:id="1">
    <w:p w14:paraId="426B6F7D" w14:textId="77777777" w:rsidR="00E01BCD" w:rsidRDefault="00E01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739E0" w14:textId="13D2A4A1" w:rsidR="001218B6" w:rsidRPr="0088683A" w:rsidRDefault="001218B6" w:rsidP="006201FD">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EA151B">
      <w:rPr>
        <w:b/>
        <w:noProof/>
        <w:sz w:val="18"/>
      </w:rPr>
      <w:t>12</w:t>
    </w:r>
    <w:r w:rsidRPr="0088683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C350" w14:textId="79C5C0D9" w:rsidR="001218B6" w:rsidRPr="0088683A" w:rsidRDefault="001218B6"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EA151B">
      <w:rPr>
        <w:b/>
        <w:noProof/>
        <w:sz w:val="18"/>
      </w:rPr>
      <w:t>39</w:t>
    </w:r>
    <w:r w:rsidRPr="008868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5DE4" w14:textId="77777777" w:rsidR="001218B6" w:rsidRPr="0088683A" w:rsidRDefault="001218B6" w:rsidP="006201FD">
    <w:pPr>
      <w:pStyle w:val="Footer"/>
      <w:tabs>
        <w:tab w:val="right" w:pos="9638"/>
      </w:tabs>
      <w:rPr>
        <w:sz w:val="18"/>
      </w:rPr>
    </w:pP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81749" w14:textId="77777777" w:rsidR="001218B6" w:rsidRPr="0088683A" w:rsidRDefault="001218B6" w:rsidP="006201FD">
    <w:pPr>
      <w:pStyle w:val="Footer"/>
    </w:pPr>
    <w:r>
      <w:rPr>
        <w:noProof/>
        <w:lang w:val="en-GB" w:eastAsia="en-GB"/>
      </w:rPr>
      <mc:AlternateContent>
        <mc:Choice Requires="wps">
          <w:drawing>
            <wp:anchor distT="0" distB="0" distL="114300" distR="114300" simplePos="0" relativeHeight="251661824" behindDoc="0" locked="0" layoutInCell="1" allowOverlap="1" wp14:anchorId="3BA5D7C2" wp14:editId="64530A76">
              <wp:simplePos x="0" y="0"/>
              <wp:positionH relativeFrom="margin">
                <wp:posOffset>-431800</wp:posOffset>
              </wp:positionH>
              <wp:positionV relativeFrom="margin">
                <wp:posOffset>0</wp:posOffset>
              </wp:positionV>
              <wp:extent cx="219075" cy="6124575"/>
              <wp:effectExtent l="0" t="0" r="9525"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995FF94" w14:textId="1AEC84D0" w:rsidR="001218B6" w:rsidRPr="0088683A" w:rsidRDefault="001218B6"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EA151B">
                            <w:rPr>
                              <w:b/>
                              <w:noProof/>
                              <w:sz w:val="18"/>
                            </w:rPr>
                            <w:t>45</w:t>
                          </w:r>
                          <w:r w:rsidRPr="0088683A">
                            <w:rPr>
                              <w:b/>
                              <w:sz w:val="18"/>
                            </w:rPr>
                            <w:fldChar w:fldCharType="end"/>
                          </w:r>
                        </w:p>
                        <w:p w14:paraId="4A7AAFA0" w14:textId="77777777" w:rsidR="001218B6" w:rsidRDefault="001218B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56" type="#_x0000_t202" style="position:absolute;margin-left:-34pt;margin-top:0;width:17.25pt;height:482.25pt;z-index:2516618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XvP7z8oCAAAP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14:paraId="3995FF94" w14:textId="1AEC84D0" w:rsidR="001218B6" w:rsidRPr="0088683A" w:rsidRDefault="001218B6"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EA151B">
                      <w:rPr>
                        <w:b/>
                        <w:noProof/>
                        <w:sz w:val="18"/>
                      </w:rPr>
                      <w:t>45</w:t>
                    </w:r>
                    <w:r w:rsidRPr="0088683A">
                      <w:rPr>
                        <w:b/>
                        <w:sz w:val="18"/>
                      </w:rPr>
                      <w:fldChar w:fldCharType="end"/>
                    </w:r>
                  </w:p>
                  <w:p w14:paraId="4A7AAFA0" w14:textId="77777777" w:rsidR="001218B6" w:rsidRDefault="001218B6"/>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F5785" w14:textId="7491126C" w:rsidR="001218B6" w:rsidRPr="00FF35B7" w:rsidRDefault="001218B6" w:rsidP="00FF35B7">
    <w:pPr>
      <w:pStyle w:val="Footer"/>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sidR="00EA151B">
      <w:rPr>
        <w:b/>
        <w:noProof/>
        <w:sz w:val="18"/>
      </w:rPr>
      <w:t>54</w:t>
    </w:r>
    <w:r w:rsidRPr="00FF35B7">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E6AF4" w14:textId="53D7FDFE" w:rsidR="001218B6" w:rsidRPr="00FF35B7" w:rsidRDefault="001218B6" w:rsidP="00FF35B7">
    <w:pPr>
      <w:pStyle w:val="Footer"/>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EA151B">
      <w:rPr>
        <w:b/>
        <w:noProof/>
        <w:sz w:val="18"/>
      </w:rPr>
      <w:t>55</w:t>
    </w:r>
    <w:r w:rsidRPr="00FF35B7">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5581" w14:textId="3AD291B6" w:rsidR="001218B6" w:rsidRPr="00290141" w:rsidRDefault="001218B6" w:rsidP="005E4486">
    <w:pPr>
      <w:pStyle w:val="Footer"/>
      <w:jc w:val="both"/>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EA151B">
      <w:rPr>
        <w:b/>
        <w:noProof/>
        <w:sz w:val="18"/>
      </w:rPr>
      <w:t>46</w:t>
    </w:r>
    <w:r w:rsidRPr="00FF35B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EB32B" w14:textId="77777777" w:rsidR="00E01BCD" w:rsidRPr="00D27D5E" w:rsidRDefault="00E01BCD" w:rsidP="00D27D5E">
      <w:pPr>
        <w:tabs>
          <w:tab w:val="right" w:pos="2155"/>
        </w:tabs>
        <w:spacing w:after="80"/>
        <w:ind w:left="680"/>
        <w:rPr>
          <w:u w:val="single"/>
        </w:rPr>
      </w:pPr>
      <w:r>
        <w:rPr>
          <w:u w:val="single"/>
        </w:rPr>
        <w:tab/>
      </w:r>
    </w:p>
  </w:footnote>
  <w:footnote w:type="continuationSeparator" w:id="0">
    <w:p w14:paraId="363B53E8" w14:textId="77777777" w:rsidR="00E01BCD" w:rsidRPr="00A40B11" w:rsidRDefault="00E01BCD" w:rsidP="00A40B11">
      <w:pPr>
        <w:tabs>
          <w:tab w:val="right" w:pos="2155"/>
        </w:tabs>
        <w:spacing w:after="80"/>
        <w:ind w:left="680"/>
        <w:rPr>
          <w:u w:val="single"/>
        </w:rPr>
      </w:pPr>
      <w:r w:rsidRPr="00A40B11">
        <w:rPr>
          <w:u w:val="single"/>
        </w:rPr>
        <w:tab/>
      </w:r>
    </w:p>
  </w:footnote>
  <w:footnote w:type="continuationNotice" w:id="1">
    <w:p w14:paraId="5BC3DB63" w14:textId="77777777" w:rsidR="00E01BCD" w:rsidRDefault="00E01BCD"/>
  </w:footnote>
  <w:footnote w:id="2">
    <w:p w14:paraId="1B6A99AD" w14:textId="051E5E03" w:rsidR="001218B6" w:rsidRPr="00653D77" w:rsidRDefault="001218B6" w:rsidP="00D17B51">
      <w:pPr>
        <w:pStyle w:val="FootnoteText"/>
        <w:rPr>
          <w:lang w:val="fr-FR"/>
        </w:rPr>
      </w:pPr>
      <w:r>
        <w:rPr>
          <w:rStyle w:val="FootnoteReference"/>
        </w:rPr>
        <w:tab/>
      </w:r>
      <w:r w:rsidRPr="00410B90">
        <w:rPr>
          <w:rStyle w:val="FootnoteReference"/>
          <w:sz w:val="20"/>
        </w:rPr>
        <w:t>*</w:t>
      </w:r>
      <w:r w:rsidRPr="00410B90">
        <w:rPr>
          <w:rStyle w:val="FootnoteReference"/>
          <w:sz w:val="20"/>
        </w:rPr>
        <w:tab/>
      </w:r>
      <w:r w:rsidRPr="00410B90">
        <w:rPr>
          <w:lang w:val="fr-FR"/>
        </w:rPr>
        <w:t xml:space="preserve">Pour des raisons techniques, la version papier du présent document est imprimée en noir et blanc. Pour les pages 40 à 45 qui comportent des couleurs, la version électronique devrait être consultée. </w:t>
      </w:r>
    </w:p>
  </w:footnote>
  <w:footnote w:id="3">
    <w:p w14:paraId="07CBD0B4" w14:textId="33AB1D6F" w:rsidR="001218B6" w:rsidRPr="008E517B" w:rsidRDefault="001218B6" w:rsidP="001A0EB0">
      <w:pPr>
        <w:pStyle w:val="FootnoteText"/>
        <w:tabs>
          <w:tab w:val="left" w:pos="851"/>
        </w:tabs>
        <w:rPr>
          <w:i/>
          <w:szCs w:val="22"/>
        </w:rPr>
      </w:pPr>
      <w:r w:rsidRPr="0041707C">
        <w:rPr>
          <w:i/>
          <w:szCs w:val="22"/>
        </w:rPr>
        <w:tab/>
      </w:r>
      <w:r w:rsidRPr="008E3896">
        <w:rPr>
          <w:rStyle w:val="FootnoteReference"/>
          <w:szCs w:val="22"/>
        </w:rPr>
        <w:t>1</w:t>
      </w:r>
      <w:r w:rsidRPr="008E3896">
        <w:tab/>
      </w:r>
      <w:r w:rsidRPr="008E517B">
        <w:rPr>
          <w:i/>
          <w:szCs w:val="22"/>
        </w:rPr>
        <w:tab/>
        <w:t xml:space="preserve">Ligne directrice de l’OCDE pour les essais de produits chimiques </w:t>
      </w:r>
      <w:r w:rsidRPr="008E517B">
        <w:rPr>
          <w:rFonts w:eastAsia="MS Mincho"/>
          <w:i/>
          <w:szCs w:val="22"/>
        </w:rPr>
        <w:t>No </w:t>
      </w:r>
      <w:r w:rsidRPr="008E517B">
        <w:rPr>
          <w:i/>
          <w:szCs w:val="22"/>
        </w:rPr>
        <w:t xml:space="preserve">404 "Effet irritant/corrosif aigu sur la peau ", </w:t>
      </w:r>
      <w:r>
        <w:rPr>
          <w:i/>
          <w:szCs w:val="22"/>
        </w:rPr>
        <w:t>2015</w:t>
      </w:r>
      <w:r w:rsidRPr="008E517B">
        <w:rPr>
          <w:i/>
          <w:szCs w:val="22"/>
        </w:rPr>
        <w:t>.</w:t>
      </w:r>
    </w:p>
  </w:footnote>
  <w:footnote w:id="4">
    <w:p w14:paraId="31123453" w14:textId="28627DB9" w:rsidR="001218B6" w:rsidRPr="008E517B" w:rsidRDefault="001218B6" w:rsidP="001A0EB0">
      <w:pPr>
        <w:pStyle w:val="FootnoteText"/>
        <w:tabs>
          <w:tab w:val="left" w:pos="851"/>
        </w:tabs>
        <w:rPr>
          <w:i/>
          <w:szCs w:val="22"/>
        </w:rPr>
      </w:pPr>
      <w:r w:rsidRPr="008E517B">
        <w:rPr>
          <w:i/>
          <w:szCs w:val="22"/>
        </w:rPr>
        <w:tab/>
      </w:r>
      <w:r w:rsidRPr="008E3896">
        <w:rPr>
          <w:rStyle w:val="FootnoteReference"/>
          <w:szCs w:val="22"/>
        </w:rPr>
        <w:t>2</w:t>
      </w:r>
      <w:r w:rsidRPr="008E517B">
        <w:rPr>
          <w:i/>
          <w:szCs w:val="22"/>
        </w:rPr>
        <w:tab/>
      </w:r>
      <w:r w:rsidRPr="008E517B">
        <w:rPr>
          <w:i/>
          <w:szCs w:val="22"/>
        </w:rPr>
        <w:tab/>
        <w:t xml:space="preserve">Ligne directrice de l’OCDE pour les essais de produits chimiques </w:t>
      </w:r>
      <w:r w:rsidRPr="008E517B">
        <w:rPr>
          <w:rFonts w:eastAsia="MS Mincho"/>
          <w:i/>
          <w:szCs w:val="22"/>
        </w:rPr>
        <w:t>No </w:t>
      </w:r>
      <w:r w:rsidRPr="008E517B">
        <w:rPr>
          <w:i/>
          <w:szCs w:val="22"/>
        </w:rPr>
        <w:t xml:space="preserve">435 "Méthode d’essai in vitro sur membrane d’étanchéité pour la corrosion cutanée", </w:t>
      </w:r>
      <w:r>
        <w:rPr>
          <w:i/>
          <w:szCs w:val="22"/>
        </w:rPr>
        <w:t>2015</w:t>
      </w:r>
      <w:r w:rsidRPr="008E517B">
        <w:rPr>
          <w:i/>
          <w:szCs w:val="22"/>
        </w:rPr>
        <w:t>.</w:t>
      </w:r>
    </w:p>
  </w:footnote>
  <w:footnote w:id="5">
    <w:p w14:paraId="226E3111" w14:textId="0C53CBA1" w:rsidR="001218B6" w:rsidRPr="008E517B" w:rsidRDefault="001218B6" w:rsidP="001A0EB0">
      <w:pPr>
        <w:pStyle w:val="FootnoteText"/>
        <w:tabs>
          <w:tab w:val="left" w:pos="851"/>
        </w:tabs>
        <w:rPr>
          <w:i/>
          <w:szCs w:val="22"/>
        </w:rPr>
      </w:pPr>
      <w:r w:rsidRPr="008E517B">
        <w:rPr>
          <w:i/>
          <w:szCs w:val="22"/>
        </w:rPr>
        <w:tab/>
      </w:r>
      <w:r w:rsidRPr="008E3896">
        <w:rPr>
          <w:rStyle w:val="FootnoteReference"/>
          <w:szCs w:val="22"/>
        </w:rPr>
        <w:t>3</w:t>
      </w:r>
      <w:r w:rsidRPr="008E517B">
        <w:rPr>
          <w:i/>
          <w:szCs w:val="22"/>
        </w:rPr>
        <w:tab/>
      </w:r>
      <w:r w:rsidRPr="008E517B">
        <w:rPr>
          <w:i/>
          <w:szCs w:val="22"/>
        </w:rPr>
        <w:tab/>
        <w:t>Ligne directrice de l’OCDE pour les essais de produits chimiques</w:t>
      </w:r>
      <w:r w:rsidRPr="008E517B">
        <w:rPr>
          <w:rFonts w:eastAsia="MS Mincho"/>
          <w:i/>
          <w:szCs w:val="22"/>
        </w:rPr>
        <w:t xml:space="preserve"> No </w:t>
      </w:r>
      <w:r w:rsidRPr="008E517B">
        <w:rPr>
          <w:i/>
          <w:szCs w:val="22"/>
        </w:rPr>
        <w:t xml:space="preserve">430 "Corrosion cutanée in vitro: Essai de résistance électrique transcutanée (RET)", </w:t>
      </w:r>
      <w:r>
        <w:rPr>
          <w:i/>
          <w:szCs w:val="22"/>
        </w:rPr>
        <w:t>2015</w:t>
      </w:r>
      <w:r w:rsidRPr="008E517B">
        <w:rPr>
          <w:i/>
          <w:szCs w:val="22"/>
        </w:rPr>
        <w:t>.</w:t>
      </w:r>
    </w:p>
  </w:footnote>
  <w:footnote w:id="6">
    <w:p w14:paraId="785D15A4" w14:textId="2308FA71" w:rsidR="001218B6" w:rsidRPr="0041707C" w:rsidRDefault="001218B6" w:rsidP="001A0EB0">
      <w:pPr>
        <w:pStyle w:val="FootnoteText"/>
        <w:tabs>
          <w:tab w:val="left" w:pos="851"/>
        </w:tabs>
        <w:rPr>
          <w:rFonts w:eastAsia="Batang"/>
          <w:i/>
        </w:rPr>
      </w:pPr>
      <w:r w:rsidRPr="008E517B">
        <w:rPr>
          <w:i/>
        </w:rPr>
        <w:tab/>
      </w:r>
      <w:r w:rsidRPr="008E3896">
        <w:rPr>
          <w:rStyle w:val="FootnoteReference"/>
        </w:rPr>
        <w:t>4</w:t>
      </w:r>
      <w:r w:rsidRPr="008E517B">
        <w:rPr>
          <w:i/>
          <w:vertAlign w:val="superscript"/>
        </w:rPr>
        <w:tab/>
      </w:r>
      <w:r w:rsidRPr="008E517B">
        <w:rPr>
          <w:i/>
          <w:vertAlign w:val="superscript"/>
        </w:rPr>
        <w:tab/>
      </w:r>
      <w:r w:rsidRPr="008E517B">
        <w:rPr>
          <w:i/>
        </w:rPr>
        <w:t xml:space="preserve">Ligne directrice de l’OCDE pour les essais de produits chimiques </w:t>
      </w:r>
      <w:r w:rsidRPr="008E517B">
        <w:rPr>
          <w:rFonts w:eastAsia="MS Mincho"/>
          <w:i/>
          <w:szCs w:val="22"/>
        </w:rPr>
        <w:t xml:space="preserve">No </w:t>
      </w:r>
      <w:r w:rsidRPr="008E517B">
        <w:rPr>
          <w:i/>
        </w:rPr>
        <w:t xml:space="preserve">431 "Corrosion cutanée in vitro: Essai sur modèle de peau humaine", </w:t>
      </w:r>
      <w:r>
        <w:rPr>
          <w:rFonts w:eastAsia="Batang"/>
          <w:i/>
        </w:rPr>
        <w:t>2015</w:t>
      </w:r>
      <w:r w:rsidRPr="008E517B">
        <w:rPr>
          <w:rFonts w:eastAsia="Batang"/>
          <w:i/>
        </w:rPr>
        <w:t>.</w:t>
      </w:r>
    </w:p>
  </w:footnote>
  <w:footnote w:id="7">
    <w:p w14:paraId="1F867632" w14:textId="581CD8C4" w:rsidR="001218B6" w:rsidRDefault="001218B6" w:rsidP="001B0F1C">
      <w:pPr>
        <w:pStyle w:val="FootnoteText"/>
      </w:pPr>
      <w:r>
        <w:tab/>
      </w:r>
      <w:r>
        <w:rPr>
          <w:rStyle w:val="FootnoteReference"/>
        </w:rPr>
        <w:footnoteRef/>
      </w:r>
      <w:r>
        <w:tab/>
      </w:r>
      <w:r w:rsidRPr="007A616E">
        <w:rPr>
          <w:i/>
        </w:rPr>
        <w:t>L</w:t>
      </w:r>
      <w:r w:rsidRPr="003B47D4">
        <w:rPr>
          <w:i/>
        </w:rPr>
        <w:t xml:space="preserve">a </w:t>
      </w:r>
      <w:r>
        <w:rPr>
          <w:i/>
        </w:rPr>
        <w:t>TPAA</w:t>
      </w:r>
      <w:r w:rsidRPr="003B47D4">
        <w:rPr>
          <w:i/>
        </w:rPr>
        <w:t xml:space="preserve"> </w:t>
      </w:r>
      <w:r w:rsidRPr="001B0F1C">
        <w:rPr>
          <w:i/>
        </w:rPr>
        <w:t xml:space="preserve">s’obtient en appliquant les mêmes procédures d’épreuve que pour déterminer la </w:t>
      </w:r>
      <w:r>
        <w:rPr>
          <w:i/>
        </w:rPr>
        <w:t>TDAA</w:t>
      </w:r>
      <w:r w:rsidRPr="001B0F1C">
        <w:rPr>
          <w:i/>
        </w:rPr>
        <w:t xml:space="preserve"> des matières </w:t>
      </w:r>
      <w:proofErr w:type="spellStart"/>
      <w:r w:rsidRPr="001B0F1C">
        <w:rPr>
          <w:i/>
        </w:rPr>
        <w:t>autoréactives</w:t>
      </w:r>
      <w:proofErr w:type="spellEnd"/>
      <w:r w:rsidRPr="001B0F1C">
        <w:rPr>
          <w:i/>
        </w:rPr>
        <w:t>, conformément à la section 28 de la deuxième</w:t>
      </w:r>
      <w:r>
        <w:rPr>
          <w:i/>
        </w:rPr>
        <w:t xml:space="preserve"> </w:t>
      </w:r>
      <w:r w:rsidRPr="001B0F1C">
        <w:rPr>
          <w:i/>
        </w:rPr>
        <w:t>partie du Manuel d’épreuves et de critères</w:t>
      </w:r>
      <w:r>
        <w:rPr>
          <w:i/>
        </w:rPr>
        <w:t>.</w:t>
      </w:r>
    </w:p>
    <w:p w14:paraId="261424D3" w14:textId="7BE34040" w:rsidR="001218B6" w:rsidRDefault="001218B6" w:rsidP="00A5193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AA5F9" w14:textId="77777777" w:rsidR="001218B6" w:rsidRPr="00737A39" w:rsidRDefault="001218B6" w:rsidP="00737A39">
    <w:pPr>
      <w:pStyle w:val="Header"/>
    </w:pPr>
    <w:r>
      <w:rPr>
        <w:lang w:val="fr-FR"/>
      </w:rPr>
      <w:t>ST/SG/AC.10/44/Add.1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E7ECD" w14:textId="77777777" w:rsidR="001218B6" w:rsidRPr="004858C0" w:rsidRDefault="001218B6" w:rsidP="00737A39">
    <w:pPr>
      <w:pStyle w:val="Header"/>
      <w:jc w:val="right"/>
      <w:rPr>
        <w:lang w:val="en-GB"/>
      </w:rPr>
    </w:pPr>
    <w:r>
      <w:rPr>
        <w:lang w:val="en-GB"/>
      </w:rPr>
      <w:t>ST/SG/AC.10/</w:t>
    </w:r>
    <w:r w:rsidRPr="004858C0">
      <w:rPr>
        <w:lang w:val="en-GB"/>
      </w:rPr>
      <w:t>44/Add.1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EDE59" w14:textId="77777777" w:rsidR="001218B6" w:rsidRPr="0088683A" w:rsidRDefault="001218B6" w:rsidP="006201FD">
    <w:r>
      <w:rPr>
        <w:noProof/>
        <w:lang w:val="en-GB" w:eastAsia="en-GB"/>
      </w:rPr>
      <mc:AlternateContent>
        <mc:Choice Requires="wps">
          <w:drawing>
            <wp:anchor distT="0" distB="0" distL="114300" distR="114300" simplePos="0" relativeHeight="251662848" behindDoc="0" locked="0" layoutInCell="1" allowOverlap="1" wp14:anchorId="5F7072AC" wp14:editId="77EC10EA">
              <wp:simplePos x="0" y="0"/>
              <wp:positionH relativeFrom="margin">
                <wp:posOffset>-279400</wp:posOffset>
              </wp:positionH>
              <wp:positionV relativeFrom="margin">
                <wp:posOffset>152400</wp:posOffset>
              </wp:positionV>
              <wp:extent cx="219075" cy="6124575"/>
              <wp:effectExtent l="0" t="0" r="9525"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3FC4A61" w14:textId="3DF10502" w:rsidR="001218B6" w:rsidRPr="000B5B54" w:rsidRDefault="001218B6" w:rsidP="006201FD">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EA151B">
                            <w:rPr>
                              <w:b/>
                              <w:noProof/>
                              <w:sz w:val="18"/>
                            </w:rPr>
                            <w:t>44</w:t>
                          </w:r>
                          <w:r w:rsidRPr="000B5B54">
                            <w:rPr>
                              <w:b/>
                              <w:sz w:val="18"/>
                            </w:rPr>
                            <w:fldChar w:fldCharType="end"/>
                          </w:r>
                          <w:r>
                            <w:rPr>
                              <w:sz w:val="18"/>
                            </w:rPr>
                            <w:tab/>
                          </w:r>
                        </w:p>
                        <w:p w14:paraId="00BE30ED" w14:textId="77777777" w:rsidR="001218B6" w:rsidRDefault="001218B6" w:rsidP="006201F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53" type="#_x0000_t202" style="position:absolute;margin-left:-22pt;margin-top:12pt;width:17.25pt;height:482.25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" filled="f" stroked="f">
              <v:stroke joinstyle="round"/>
              <v:path arrowok="t"/>
              <v:textbox style="layout-flow:vertical" inset="0,0,0,0">
                <w:txbxContent>
                  <w:p w14:paraId="03FC4A61" w14:textId="3DF10502" w:rsidR="001218B6" w:rsidRPr="000B5B54" w:rsidRDefault="001218B6" w:rsidP="006201FD">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EA151B">
                      <w:rPr>
                        <w:b/>
                        <w:noProof/>
                        <w:sz w:val="18"/>
                      </w:rPr>
                      <w:t>44</w:t>
                    </w:r>
                    <w:r w:rsidRPr="000B5B54">
                      <w:rPr>
                        <w:b/>
                        <w:sz w:val="18"/>
                      </w:rPr>
                      <w:fldChar w:fldCharType="end"/>
                    </w:r>
                    <w:r>
                      <w:rPr>
                        <w:sz w:val="18"/>
                      </w:rPr>
                      <w:tab/>
                    </w:r>
                  </w:p>
                  <w:p w14:paraId="00BE30ED" w14:textId="77777777" w:rsidR="001218B6" w:rsidRDefault="001218B6" w:rsidP="006201FD"/>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3651D872" wp14:editId="7CE95591">
              <wp:simplePos x="0" y="0"/>
              <wp:positionH relativeFrom="page">
                <wp:posOffset>9791700</wp:posOffset>
              </wp:positionH>
              <wp:positionV relativeFrom="margin">
                <wp:posOffset>0</wp:posOffset>
              </wp:positionV>
              <wp:extent cx="219075" cy="6124575"/>
              <wp:effectExtent l="0" t="0" r="9525"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22748FD" w14:textId="77777777" w:rsidR="001218B6" w:rsidRPr="0088683A" w:rsidRDefault="001218B6" w:rsidP="006201FD">
                          <w:pPr>
                            <w:pStyle w:val="Header"/>
                          </w:pPr>
                          <w:r>
                            <w:t>ST/SG/AC.10/44/Add.1</w:t>
                          </w:r>
                        </w:p>
                        <w:p w14:paraId="6827F9F2" w14:textId="77777777" w:rsidR="001218B6" w:rsidRDefault="001218B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shape w14:anchorId="3651D872" id="Zone de texte 3" o:spid="_x0000_s1054" type="#_x0000_t202" style="position:absolute;margin-left:771pt;margin-top:0;width:17.25pt;height:482.25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YA5nsMkCAAAP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14:paraId="722748FD" w14:textId="77777777" w:rsidR="001218B6" w:rsidRPr="0088683A" w:rsidRDefault="001218B6" w:rsidP="006201FD">
                    <w:pPr>
                      <w:pStyle w:val="En-tte"/>
                    </w:pPr>
                    <w:r>
                      <w:t>ST/SG/AC.10/44/Add.1</w:t>
                    </w:r>
                  </w:p>
                  <w:p w14:paraId="6827F9F2" w14:textId="77777777" w:rsidR="001218B6" w:rsidRDefault="001218B6"/>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6EFAC" w14:textId="77777777" w:rsidR="001218B6" w:rsidRPr="0088683A" w:rsidRDefault="001218B6" w:rsidP="006201FD">
    <w:r>
      <w:rPr>
        <w:noProof/>
        <w:lang w:val="en-GB" w:eastAsia="en-GB"/>
      </w:rPr>
      <mc:AlternateContent>
        <mc:Choice Requires="wps">
          <w:drawing>
            <wp:anchor distT="0" distB="0" distL="114300" distR="114300" simplePos="0" relativeHeight="251660800" behindDoc="0" locked="0" layoutInCell="1" allowOverlap="1" wp14:anchorId="1E8498CF" wp14:editId="5FE6FDDC">
              <wp:simplePos x="0" y="0"/>
              <wp:positionH relativeFrom="page">
                <wp:posOffset>9791700</wp:posOffset>
              </wp:positionH>
              <wp:positionV relativeFrom="margin">
                <wp:posOffset>0</wp:posOffset>
              </wp:positionV>
              <wp:extent cx="219075" cy="6124575"/>
              <wp:effectExtent l="0" t="0" r="9525"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B9D18B6" w14:textId="77777777" w:rsidR="001218B6" w:rsidRPr="0088683A" w:rsidRDefault="001218B6" w:rsidP="006201FD">
                          <w:pPr>
                            <w:pStyle w:val="Header"/>
                            <w:jc w:val="right"/>
                          </w:pPr>
                          <w:r>
                            <w:t>ST/SG/AC.10/44/Add.1</w:t>
                          </w:r>
                        </w:p>
                        <w:p w14:paraId="34C9D39D" w14:textId="77777777" w:rsidR="001218B6" w:rsidRDefault="001218B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shapetype w14:anchorId="1E8498CF" id="_x0000_t202" coordsize="21600,21600" o:spt="202" path="m,l,21600r21600,l21600,xe">
              <v:stroke joinstyle="miter"/>
              <v:path gradientshapeok="t" o:connecttype="rect"/>
            </v:shapetype>
            <v:shape id="Zone de texte 4" o:spid="_x0000_s1055" type="#_x0000_t202" style="position:absolute;margin-left:771pt;margin-top:0;width:17.25pt;height:482.25pt;z-index:251660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" filled="f" stroked="f">
              <v:stroke joinstyle="round"/>
              <v:path arrowok="t"/>
              <v:textbox style="layout-flow:vertical" inset="0,0,0,0">
                <w:txbxContent>
                  <w:p w14:paraId="5B9D18B6" w14:textId="77777777" w:rsidR="001218B6" w:rsidRPr="0088683A" w:rsidRDefault="001218B6" w:rsidP="006201FD">
                    <w:pPr>
                      <w:pStyle w:val="En-tte"/>
                      <w:jc w:val="right"/>
                    </w:pPr>
                    <w:r>
                      <w:t>ST/SG/AC.10/44/Add.1</w:t>
                    </w:r>
                  </w:p>
                  <w:p w14:paraId="34C9D39D" w14:textId="77777777" w:rsidR="001218B6" w:rsidRDefault="001218B6"/>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1230" w14:textId="77777777" w:rsidR="001218B6" w:rsidRDefault="001218B6" w:rsidP="00290141">
    <w:pPr>
      <w:pStyle w:val="Header"/>
      <w:jc w:val="right"/>
    </w:pPr>
    <w:r>
      <w:t>ST/SG/AC.10/44/Add.1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24EF" w14:textId="513582F9" w:rsidR="001218B6" w:rsidRPr="00FF35B7" w:rsidRDefault="001218B6">
    <w:pPr>
      <w:pStyle w:val="Header"/>
    </w:pPr>
    <w:r>
      <w:t>ST/SG/AC.10/44/Add.1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842F" w14:textId="77777777" w:rsidR="001218B6" w:rsidRPr="00FF35B7" w:rsidRDefault="001218B6" w:rsidP="00FF35B7">
    <w:pPr>
      <w:pStyle w:val="Header"/>
      <w:jc w:val="right"/>
    </w:pPr>
    <w:r>
      <w:t>ST/SG/AC.10/44/Add.1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0913" w14:textId="77777777" w:rsidR="005E4486" w:rsidRDefault="005E4486" w:rsidP="005E4486">
    <w:pPr>
      <w:pStyle w:val="Header"/>
    </w:pPr>
    <w:r>
      <w:t>ST/SG/AC.10/44/Add.1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B7"/>
    <w:rsid w:val="00004AA3"/>
    <w:rsid w:val="00016AC5"/>
    <w:rsid w:val="000243E2"/>
    <w:rsid w:val="00072E7B"/>
    <w:rsid w:val="00073282"/>
    <w:rsid w:val="00076867"/>
    <w:rsid w:val="00086498"/>
    <w:rsid w:val="00087DC7"/>
    <w:rsid w:val="00091FA8"/>
    <w:rsid w:val="000B3711"/>
    <w:rsid w:val="000D04D4"/>
    <w:rsid w:val="000D1C38"/>
    <w:rsid w:val="000F0288"/>
    <w:rsid w:val="000F41F2"/>
    <w:rsid w:val="001058C2"/>
    <w:rsid w:val="00116131"/>
    <w:rsid w:val="00116C5D"/>
    <w:rsid w:val="001218B6"/>
    <w:rsid w:val="00136752"/>
    <w:rsid w:val="00137D2E"/>
    <w:rsid w:val="00143989"/>
    <w:rsid w:val="00145488"/>
    <w:rsid w:val="00154C17"/>
    <w:rsid w:val="00154CB9"/>
    <w:rsid w:val="00160540"/>
    <w:rsid w:val="00165CD1"/>
    <w:rsid w:val="00186FAC"/>
    <w:rsid w:val="00187094"/>
    <w:rsid w:val="00192EEB"/>
    <w:rsid w:val="00196C06"/>
    <w:rsid w:val="001A0EB0"/>
    <w:rsid w:val="001A20FB"/>
    <w:rsid w:val="001A24A2"/>
    <w:rsid w:val="001A3B50"/>
    <w:rsid w:val="001A6331"/>
    <w:rsid w:val="001B0F1C"/>
    <w:rsid w:val="001C6399"/>
    <w:rsid w:val="001D44B7"/>
    <w:rsid w:val="001D7F8A"/>
    <w:rsid w:val="001E0706"/>
    <w:rsid w:val="001E3FEB"/>
    <w:rsid w:val="001E4A02"/>
    <w:rsid w:val="001E68C9"/>
    <w:rsid w:val="001F0E00"/>
    <w:rsid w:val="001F5C8B"/>
    <w:rsid w:val="001F7C97"/>
    <w:rsid w:val="002156CB"/>
    <w:rsid w:val="002162B0"/>
    <w:rsid w:val="00220B3D"/>
    <w:rsid w:val="0022565D"/>
    <w:rsid w:val="00225A8C"/>
    <w:rsid w:val="002324D3"/>
    <w:rsid w:val="002342EA"/>
    <w:rsid w:val="00240009"/>
    <w:rsid w:val="002603FC"/>
    <w:rsid w:val="002606C3"/>
    <w:rsid w:val="00265514"/>
    <w:rsid w:val="002659F1"/>
    <w:rsid w:val="0027239F"/>
    <w:rsid w:val="0028695B"/>
    <w:rsid w:val="0028758A"/>
    <w:rsid w:val="00287E79"/>
    <w:rsid w:val="00290141"/>
    <w:rsid w:val="002928F9"/>
    <w:rsid w:val="002A2D9B"/>
    <w:rsid w:val="002A4B9C"/>
    <w:rsid w:val="002A5D07"/>
    <w:rsid w:val="002D1EAC"/>
    <w:rsid w:val="002D378C"/>
    <w:rsid w:val="002D5CD0"/>
    <w:rsid w:val="002F28AA"/>
    <w:rsid w:val="002F77A8"/>
    <w:rsid w:val="003016B7"/>
    <w:rsid w:val="0032624D"/>
    <w:rsid w:val="00327F6F"/>
    <w:rsid w:val="00335CBD"/>
    <w:rsid w:val="0034591A"/>
    <w:rsid w:val="003515AA"/>
    <w:rsid w:val="003521CF"/>
    <w:rsid w:val="00353080"/>
    <w:rsid w:val="00374106"/>
    <w:rsid w:val="00375009"/>
    <w:rsid w:val="003976D5"/>
    <w:rsid w:val="003B47D4"/>
    <w:rsid w:val="003B6D8B"/>
    <w:rsid w:val="003B798C"/>
    <w:rsid w:val="003C1F8C"/>
    <w:rsid w:val="003C542F"/>
    <w:rsid w:val="003D3BED"/>
    <w:rsid w:val="003D6AA4"/>
    <w:rsid w:val="003D6C68"/>
    <w:rsid w:val="003E0086"/>
    <w:rsid w:val="003E6028"/>
    <w:rsid w:val="003F0288"/>
    <w:rsid w:val="003F59CB"/>
    <w:rsid w:val="003F5B56"/>
    <w:rsid w:val="00410B90"/>
    <w:rsid w:val="00414A63"/>
    <w:rsid w:val="00414B06"/>
    <w:rsid w:val="004159D0"/>
    <w:rsid w:val="004215B9"/>
    <w:rsid w:val="00421B88"/>
    <w:rsid w:val="00421F7A"/>
    <w:rsid w:val="004254FA"/>
    <w:rsid w:val="004337F4"/>
    <w:rsid w:val="0046126F"/>
    <w:rsid w:val="00462D41"/>
    <w:rsid w:val="00470FED"/>
    <w:rsid w:val="00482AF2"/>
    <w:rsid w:val="004858C0"/>
    <w:rsid w:val="004979FC"/>
    <w:rsid w:val="004A0F69"/>
    <w:rsid w:val="004B41A4"/>
    <w:rsid w:val="004C1C06"/>
    <w:rsid w:val="004C70B6"/>
    <w:rsid w:val="004D7A27"/>
    <w:rsid w:val="00500D1F"/>
    <w:rsid w:val="005064DA"/>
    <w:rsid w:val="0052372C"/>
    <w:rsid w:val="00524945"/>
    <w:rsid w:val="00543D5E"/>
    <w:rsid w:val="00553856"/>
    <w:rsid w:val="00554392"/>
    <w:rsid w:val="00555DEB"/>
    <w:rsid w:val="00560063"/>
    <w:rsid w:val="00565907"/>
    <w:rsid w:val="00571F41"/>
    <w:rsid w:val="0058132F"/>
    <w:rsid w:val="00583629"/>
    <w:rsid w:val="00585B3C"/>
    <w:rsid w:val="00597A79"/>
    <w:rsid w:val="005B478B"/>
    <w:rsid w:val="005C7EDD"/>
    <w:rsid w:val="005D14A8"/>
    <w:rsid w:val="005D366E"/>
    <w:rsid w:val="005E4486"/>
    <w:rsid w:val="005E5D1F"/>
    <w:rsid w:val="005E7BD3"/>
    <w:rsid w:val="005F13AB"/>
    <w:rsid w:val="005F7655"/>
    <w:rsid w:val="00603122"/>
    <w:rsid w:val="00610FC4"/>
    <w:rsid w:val="00611D43"/>
    <w:rsid w:val="00612D48"/>
    <w:rsid w:val="00616B45"/>
    <w:rsid w:val="006201FD"/>
    <w:rsid w:val="0062689F"/>
    <w:rsid w:val="00630D9B"/>
    <w:rsid w:val="00631953"/>
    <w:rsid w:val="006439EC"/>
    <w:rsid w:val="00657D7C"/>
    <w:rsid w:val="006646BC"/>
    <w:rsid w:val="006679FB"/>
    <w:rsid w:val="00676CB4"/>
    <w:rsid w:val="00684D16"/>
    <w:rsid w:val="006924C3"/>
    <w:rsid w:val="006A1BE3"/>
    <w:rsid w:val="006A1C0A"/>
    <w:rsid w:val="006B4590"/>
    <w:rsid w:val="006C340C"/>
    <w:rsid w:val="006D2CE6"/>
    <w:rsid w:val="00700FED"/>
    <w:rsid w:val="0070347C"/>
    <w:rsid w:val="00703DCC"/>
    <w:rsid w:val="00706B12"/>
    <w:rsid w:val="007075CD"/>
    <w:rsid w:val="007113E4"/>
    <w:rsid w:val="007176C1"/>
    <w:rsid w:val="00722738"/>
    <w:rsid w:val="0073448C"/>
    <w:rsid w:val="00737A39"/>
    <w:rsid w:val="0074245A"/>
    <w:rsid w:val="00746154"/>
    <w:rsid w:val="00753744"/>
    <w:rsid w:val="00754218"/>
    <w:rsid w:val="00765AC9"/>
    <w:rsid w:val="00771312"/>
    <w:rsid w:val="00775B3B"/>
    <w:rsid w:val="0077663B"/>
    <w:rsid w:val="00791025"/>
    <w:rsid w:val="007A0606"/>
    <w:rsid w:val="007A616E"/>
    <w:rsid w:val="007B22B9"/>
    <w:rsid w:val="007B62F4"/>
    <w:rsid w:val="007D0603"/>
    <w:rsid w:val="007D4BBF"/>
    <w:rsid w:val="007D65C2"/>
    <w:rsid w:val="007E0744"/>
    <w:rsid w:val="007E3EEB"/>
    <w:rsid w:val="007F55CB"/>
    <w:rsid w:val="00803EFF"/>
    <w:rsid w:val="00806818"/>
    <w:rsid w:val="008148F4"/>
    <w:rsid w:val="00830168"/>
    <w:rsid w:val="00844750"/>
    <w:rsid w:val="00846692"/>
    <w:rsid w:val="00850A60"/>
    <w:rsid w:val="00851BA3"/>
    <w:rsid w:val="008521AB"/>
    <w:rsid w:val="00856BF5"/>
    <w:rsid w:val="0085770B"/>
    <w:rsid w:val="008577B0"/>
    <w:rsid w:val="00857DAA"/>
    <w:rsid w:val="0086151F"/>
    <w:rsid w:val="0086254F"/>
    <w:rsid w:val="00866D64"/>
    <w:rsid w:val="008851A3"/>
    <w:rsid w:val="008935F5"/>
    <w:rsid w:val="008961E6"/>
    <w:rsid w:val="008978F4"/>
    <w:rsid w:val="00897E85"/>
    <w:rsid w:val="008A56E7"/>
    <w:rsid w:val="008B16A2"/>
    <w:rsid w:val="008B44C4"/>
    <w:rsid w:val="008B7736"/>
    <w:rsid w:val="008C05E8"/>
    <w:rsid w:val="008C5E17"/>
    <w:rsid w:val="008D1DE1"/>
    <w:rsid w:val="008D7987"/>
    <w:rsid w:val="008E1085"/>
    <w:rsid w:val="008E12DE"/>
    <w:rsid w:val="008E3896"/>
    <w:rsid w:val="008E517B"/>
    <w:rsid w:val="008E7FAE"/>
    <w:rsid w:val="00901775"/>
    <w:rsid w:val="00902691"/>
    <w:rsid w:val="00911BF7"/>
    <w:rsid w:val="009158FA"/>
    <w:rsid w:val="00920F10"/>
    <w:rsid w:val="00931BEB"/>
    <w:rsid w:val="00933E22"/>
    <w:rsid w:val="009367B7"/>
    <w:rsid w:val="009434EC"/>
    <w:rsid w:val="0094723C"/>
    <w:rsid w:val="00951BBA"/>
    <w:rsid w:val="00957766"/>
    <w:rsid w:val="0095797A"/>
    <w:rsid w:val="0096688F"/>
    <w:rsid w:val="009716FC"/>
    <w:rsid w:val="00972698"/>
    <w:rsid w:val="00977EC8"/>
    <w:rsid w:val="00980BCB"/>
    <w:rsid w:val="0098254C"/>
    <w:rsid w:val="009956B8"/>
    <w:rsid w:val="009B614C"/>
    <w:rsid w:val="009C023B"/>
    <w:rsid w:val="009C74D5"/>
    <w:rsid w:val="009D0AF1"/>
    <w:rsid w:val="009D3A8C"/>
    <w:rsid w:val="009E2DAC"/>
    <w:rsid w:val="009E38EF"/>
    <w:rsid w:val="009E7956"/>
    <w:rsid w:val="009E79B0"/>
    <w:rsid w:val="009F1284"/>
    <w:rsid w:val="00A0278B"/>
    <w:rsid w:val="00A041B2"/>
    <w:rsid w:val="00A07845"/>
    <w:rsid w:val="00A1534D"/>
    <w:rsid w:val="00A2492E"/>
    <w:rsid w:val="00A3533E"/>
    <w:rsid w:val="00A40B11"/>
    <w:rsid w:val="00A40F0E"/>
    <w:rsid w:val="00A425B4"/>
    <w:rsid w:val="00A43682"/>
    <w:rsid w:val="00A46E9F"/>
    <w:rsid w:val="00A5193B"/>
    <w:rsid w:val="00A53AD4"/>
    <w:rsid w:val="00A7254B"/>
    <w:rsid w:val="00A75024"/>
    <w:rsid w:val="00A815F3"/>
    <w:rsid w:val="00A91546"/>
    <w:rsid w:val="00A9724C"/>
    <w:rsid w:val="00A97522"/>
    <w:rsid w:val="00AB547F"/>
    <w:rsid w:val="00AC67A1"/>
    <w:rsid w:val="00AC7977"/>
    <w:rsid w:val="00AD051F"/>
    <w:rsid w:val="00AE352C"/>
    <w:rsid w:val="00AF7202"/>
    <w:rsid w:val="00B0583F"/>
    <w:rsid w:val="00B07702"/>
    <w:rsid w:val="00B10104"/>
    <w:rsid w:val="00B15353"/>
    <w:rsid w:val="00B32E2D"/>
    <w:rsid w:val="00B40C3F"/>
    <w:rsid w:val="00B550D2"/>
    <w:rsid w:val="00B61990"/>
    <w:rsid w:val="00B65E66"/>
    <w:rsid w:val="00B66988"/>
    <w:rsid w:val="00B7080F"/>
    <w:rsid w:val="00B95B90"/>
    <w:rsid w:val="00BA3214"/>
    <w:rsid w:val="00BB5049"/>
    <w:rsid w:val="00BD056C"/>
    <w:rsid w:val="00BD149D"/>
    <w:rsid w:val="00BD454A"/>
    <w:rsid w:val="00BE6A49"/>
    <w:rsid w:val="00BF0556"/>
    <w:rsid w:val="00BF1492"/>
    <w:rsid w:val="00BF6723"/>
    <w:rsid w:val="00C00F54"/>
    <w:rsid w:val="00C04392"/>
    <w:rsid w:val="00C052E4"/>
    <w:rsid w:val="00C056B2"/>
    <w:rsid w:val="00C261F8"/>
    <w:rsid w:val="00C32229"/>
    <w:rsid w:val="00C33100"/>
    <w:rsid w:val="00C333AE"/>
    <w:rsid w:val="00C447E6"/>
    <w:rsid w:val="00C506B1"/>
    <w:rsid w:val="00C64110"/>
    <w:rsid w:val="00C8061B"/>
    <w:rsid w:val="00C81FB2"/>
    <w:rsid w:val="00C936FB"/>
    <w:rsid w:val="00CA0680"/>
    <w:rsid w:val="00CA761A"/>
    <w:rsid w:val="00CB7CDD"/>
    <w:rsid w:val="00CC4C6E"/>
    <w:rsid w:val="00CD1A71"/>
    <w:rsid w:val="00CD1FBB"/>
    <w:rsid w:val="00CD2641"/>
    <w:rsid w:val="00CE1820"/>
    <w:rsid w:val="00CE423F"/>
    <w:rsid w:val="00CE4E90"/>
    <w:rsid w:val="00CE5D3F"/>
    <w:rsid w:val="00D016B5"/>
    <w:rsid w:val="00D034F1"/>
    <w:rsid w:val="00D111D2"/>
    <w:rsid w:val="00D17B51"/>
    <w:rsid w:val="00D21E76"/>
    <w:rsid w:val="00D27D5E"/>
    <w:rsid w:val="00D60F02"/>
    <w:rsid w:val="00D6244B"/>
    <w:rsid w:val="00D6735F"/>
    <w:rsid w:val="00D85D80"/>
    <w:rsid w:val="00DA6CFE"/>
    <w:rsid w:val="00DA77EF"/>
    <w:rsid w:val="00DB4351"/>
    <w:rsid w:val="00DB7B5E"/>
    <w:rsid w:val="00DD1250"/>
    <w:rsid w:val="00DD2442"/>
    <w:rsid w:val="00DD3001"/>
    <w:rsid w:val="00DD36E6"/>
    <w:rsid w:val="00DE1D7B"/>
    <w:rsid w:val="00DE6D90"/>
    <w:rsid w:val="00DF002F"/>
    <w:rsid w:val="00DF2BC7"/>
    <w:rsid w:val="00E01BCD"/>
    <w:rsid w:val="00E0244D"/>
    <w:rsid w:val="00E103B7"/>
    <w:rsid w:val="00E14FBA"/>
    <w:rsid w:val="00E15059"/>
    <w:rsid w:val="00E1563C"/>
    <w:rsid w:val="00E2037A"/>
    <w:rsid w:val="00E3149C"/>
    <w:rsid w:val="00E324C0"/>
    <w:rsid w:val="00E3532A"/>
    <w:rsid w:val="00E443A7"/>
    <w:rsid w:val="00E81E94"/>
    <w:rsid w:val="00E82607"/>
    <w:rsid w:val="00E84D05"/>
    <w:rsid w:val="00E93B06"/>
    <w:rsid w:val="00EA0411"/>
    <w:rsid w:val="00EA151B"/>
    <w:rsid w:val="00EC3C7A"/>
    <w:rsid w:val="00EC5AFA"/>
    <w:rsid w:val="00EC70C8"/>
    <w:rsid w:val="00EE09DD"/>
    <w:rsid w:val="00EF486A"/>
    <w:rsid w:val="00EF4D90"/>
    <w:rsid w:val="00F12C72"/>
    <w:rsid w:val="00F224AF"/>
    <w:rsid w:val="00F26011"/>
    <w:rsid w:val="00F27C60"/>
    <w:rsid w:val="00F443E1"/>
    <w:rsid w:val="00F50C27"/>
    <w:rsid w:val="00F53F4D"/>
    <w:rsid w:val="00F67E8B"/>
    <w:rsid w:val="00F711FD"/>
    <w:rsid w:val="00F8202D"/>
    <w:rsid w:val="00F8604F"/>
    <w:rsid w:val="00FA4265"/>
    <w:rsid w:val="00FA5A79"/>
    <w:rsid w:val="00FB04F3"/>
    <w:rsid w:val="00FB0BFE"/>
    <w:rsid w:val="00FB4C51"/>
    <w:rsid w:val="00FB54EF"/>
    <w:rsid w:val="00FC0A4E"/>
    <w:rsid w:val="00FD4586"/>
    <w:rsid w:val="00FF1DBD"/>
    <w:rsid w:val="00FF35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E16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header" w:uiPriority="99"/>
    <w:lsdException w:name="footer" w:uiPriority="99"/>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CD2641"/>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CD2641"/>
    <w:pPr>
      <w:outlineLvl w:val="1"/>
    </w:pPr>
  </w:style>
  <w:style w:type="paragraph" w:styleId="Heading3">
    <w:name w:val="heading 3"/>
    <w:basedOn w:val="Normal"/>
    <w:next w:val="Normal"/>
    <w:link w:val="Heading3Char"/>
    <w:uiPriority w:val="9"/>
    <w:qFormat/>
    <w:rsid w:val="00CD2641"/>
    <w:pPr>
      <w:outlineLvl w:val="2"/>
    </w:pPr>
  </w:style>
  <w:style w:type="paragraph" w:styleId="Heading4">
    <w:name w:val="heading 4"/>
    <w:basedOn w:val="Normal"/>
    <w:next w:val="Normal"/>
    <w:link w:val="Heading4Char"/>
    <w:uiPriority w:val="9"/>
    <w:qFormat/>
    <w:rsid w:val="00CD2641"/>
    <w:pPr>
      <w:outlineLvl w:val="3"/>
    </w:pPr>
  </w:style>
  <w:style w:type="paragraph" w:styleId="Heading5">
    <w:name w:val="heading 5"/>
    <w:basedOn w:val="Normal"/>
    <w:next w:val="Normal"/>
    <w:link w:val="Heading5Char"/>
    <w:uiPriority w:val="9"/>
    <w:qFormat/>
    <w:rsid w:val="00CD2641"/>
    <w:pPr>
      <w:outlineLvl w:val="4"/>
    </w:pPr>
  </w:style>
  <w:style w:type="paragraph" w:styleId="Heading6">
    <w:name w:val="heading 6"/>
    <w:basedOn w:val="Normal"/>
    <w:next w:val="Normal"/>
    <w:link w:val="Heading6Char"/>
    <w:uiPriority w:val="9"/>
    <w:qFormat/>
    <w:rsid w:val="00CD2641"/>
    <w:pPr>
      <w:outlineLvl w:val="5"/>
    </w:pPr>
  </w:style>
  <w:style w:type="paragraph" w:styleId="Heading7">
    <w:name w:val="heading 7"/>
    <w:basedOn w:val="Normal"/>
    <w:next w:val="Normal"/>
    <w:link w:val="Heading7Char"/>
    <w:uiPriority w:val="9"/>
    <w:qFormat/>
    <w:rsid w:val="00CD2641"/>
    <w:pPr>
      <w:outlineLvl w:val="6"/>
    </w:pPr>
  </w:style>
  <w:style w:type="paragraph" w:styleId="Heading8">
    <w:name w:val="heading 8"/>
    <w:basedOn w:val="Normal"/>
    <w:next w:val="Normal"/>
    <w:link w:val="Heading8Char"/>
    <w:uiPriority w:val="9"/>
    <w:qFormat/>
    <w:rsid w:val="00CD2641"/>
    <w:pPr>
      <w:outlineLvl w:val="7"/>
    </w:pPr>
  </w:style>
  <w:style w:type="paragraph" w:styleId="Heading9">
    <w:name w:val="heading 9"/>
    <w:basedOn w:val="Normal"/>
    <w:next w:val="Normal"/>
    <w:link w:val="Heading9Char"/>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uiPriority w:val="9"/>
    <w:rsid w:val="00196C06"/>
    <w:rPr>
      <w:lang w:val="fr-CH" w:eastAsia="en-US"/>
    </w:rPr>
  </w:style>
  <w:style w:type="character" w:customStyle="1" w:styleId="Heading2Char">
    <w:name w:val="Heading 2 Char"/>
    <w:basedOn w:val="DefaultParagraphFont"/>
    <w:link w:val="Heading2"/>
    <w:uiPriority w:val="9"/>
    <w:rsid w:val="00196C06"/>
    <w:rPr>
      <w:lang w:val="fr-CH" w:eastAsia="en-US"/>
    </w:rPr>
  </w:style>
  <w:style w:type="character" w:customStyle="1" w:styleId="Heading3Char">
    <w:name w:val="Heading 3 Char"/>
    <w:basedOn w:val="DefaultParagraphFont"/>
    <w:link w:val="Heading3"/>
    <w:uiPriority w:val="9"/>
    <w:rsid w:val="00196C06"/>
    <w:rPr>
      <w:lang w:val="fr-CH" w:eastAsia="en-US"/>
    </w:rPr>
  </w:style>
  <w:style w:type="character" w:customStyle="1" w:styleId="Heading4Char">
    <w:name w:val="Heading 4 Char"/>
    <w:basedOn w:val="DefaultParagraphFont"/>
    <w:link w:val="Heading4"/>
    <w:uiPriority w:val="9"/>
    <w:rsid w:val="00196C06"/>
    <w:rPr>
      <w:lang w:val="fr-CH" w:eastAsia="en-US"/>
    </w:rPr>
  </w:style>
  <w:style w:type="character" w:customStyle="1" w:styleId="Heading5Char">
    <w:name w:val="Heading 5 Char"/>
    <w:basedOn w:val="DefaultParagraphFont"/>
    <w:link w:val="Heading5"/>
    <w:uiPriority w:val="9"/>
    <w:rsid w:val="00196C06"/>
    <w:rPr>
      <w:lang w:val="fr-CH" w:eastAsia="en-US"/>
    </w:rPr>
  </w:style>
  <w:style w:type="character" w:customStyle="1" w:styleId="Heading6Char">
    <w:name w:val="Heading 6 Char"/>
    <w:basedOn w:val="DefaultParagraphFont"/>
    <w:link w:val="Heading6"/>
    <w:uiPriority w:val="9"/>
    <w:rsid w:val="00196C06"/>
    <w:rPr>
      <w:lang w:val="fr-CH" w:eastAsia="en-US"/>
    </w:rPr>
  </w:style>
  <w:style w:type="character" w:customStyle="1" w:styleId="Heading7Char">
    <w:name w:val="Heading 7 Char"/>
    <w:basedOn w:val="DefaultParagraphFont"/>
    <w:link w:val="Heading7"/>
    <w:uiPriority w:val="9"/>
    <w:rsid w:val="00196C06"/>
    <w:rPr>
      <w:lang w:val="fr-CH" w:eastAsia="en-US"/>
    </w:rPr>
  </w:style>
  <w:style w:type="character" w:customStyle="1" w:styleId="Heading8Char">
    <w:name w:val="Heading 8 Char"/>
    <w:basedOn w:val="DefaultParagraphFont"/>
    <w:link w:val="Heading8"/>
    <w:uiPriority w:val="9"/>
    <w:rsid w:val="00196C06"/>
    <w:rPr>
      <w:lang w:val="fr-CH" w:eastAsia="en-US"/>
    </w:rPr>
  </w:style>
  <w:style w:type="character" w:customStyle="1" w:styleId="Heading9Char">
    <w:name w:val="Heading 9 Char"/>
    <w:basedOn w:val="DefaultParagraphFont"/>
    <w:link w:val="Heading9"/>
    <w:uiPriority w:val="9"/>
    <w:rsid w:val="00196C06"/>
    <w:rPr>
      <w:lang w:val="fr-CH" w:eastAsia="en-US"/>
    </w:rPr>
  </w:style>
  <w:style w:type="character" w:customStyle="1" w:styleId="HeaderChar">
    <w:name w:val="Header Char"/>
    <w:aliases w:val="6_G Char"/>
    <w:basedOn w:val="DefaultParagraphFont"/>
    <w:link w:val="Header"/>
    <w:uiPriority w:val="99"/>
    <w:rsid w:val="00196C06"/>
    <w:rPr>
      <w:b/>
      <w:sz w:val="18"/>
      <w:lang w:val="fr-CH" w:eastAsia="en-US"/>
    </w:rPr>
  </w:style>
  <w:style w:type="character" w:customStyle="1" w:styleId="FootnoteTextChar">
    <w:name w:val="Footnote Text Char"/>
    <w:aliases w:val="5_G Char"/>
    <w:basedOn w:val="DefaultParagraphFont"/>
    <w:link w:val="FootnoteText"/>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uiPriority w:val="99"/>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rsid w:val="00196C06"/>
  </w:style>
  <w:style w:type="character" w:customStyle="1" w:styleId="CommentTextChar">
    <w:name w:val="Comment Text Char"/>
    <w:basedOn w:val="DefaultParagraphFont"/>
    <w:link w:val="CommentText"/>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header" w:uiPriority="99"/>
    <w:lsdException w:name="footer" w:uiPriority="99"/>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CD2641"/>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CD2641"/>
    <w:pPr>
      <w:outlineLvl w:val="1"/>
    </w:pPr>
  </w:style>
  <w:style w:type="paragraph" w:styleId="Heading3">
    <w:name w:val="heading 3"/>
    <w:basedOn w:val="Normal"/>
    <w:next w:val="Normal"/>
    <w:link w:val="Heading3Char"/>
    <w:uiPriority w:val="9"/>
    <w:qFormat/>
    <w:rsid w:val="00CD2641"/>
    <w:pPr>
      <w:outlineLvl w:val="2"/>
    </w:pPr>
  </w:style>
  <w:style w:type="paragraph" w:styleId="Heading4">
    <w:name w:val="heading 4"/>
    <w:basedOn w:val="Normal"/>
    <w:next w:val="Normal"/>
    <w:link w:val="Heading4Char"/>
    <w:uiPriority w:val="9"/>
    <w:qFormat/>
    <w:rsid w:val="00CD2641"/>
    <w:pPr>
      <w:outlineLvl w:val="3"/>
    </w:pPr>
  </w:style>
  <w:style w:type="paragraph" w:styleId="Heading5">
    <w:name w:val="heading 5"/>
    <w:basedOn w:val="Normal"/>
    <w:next w:val="Normal"/>
    <w:link w:val="Heading5Char"/>
    <w:uiPriority w:val="9"/>
    <w:qFormat/>
    <w:rsid w:val="00CD2641"/>
    <w:pPr>
      <w:outlineLvl w:val="4"/>
    </w:pPr>
  </w:style>
  <w:style w:type="paragraph" w:styleId="Heading6">
    <w:name w:val="heading 6"/>
    <w:basedOn w:val="Normal"/>
    <w:next w:val="Normal"/>
    <w:link w:val="Heading6Char"/>
    <w:uiPriority w:val="9"/>
    <w:qFormat/>
    <w:rsid w:val="00CD2641"/>
    <w:pPr>
      <w:outlineLvl w:val="5"/>
    </w:pPr>
  </w:style>
  <w:style w:type="paragraph" w:styleId="Heading7">
    <w:name w:val="heading 7"/>
    <w:basedOn w:val="Normal"/>
    <w:next w:val="Normal"/>
    <w:link w:val="Heading7Char"/>
    <w:uiPriority w:val="9"/>
    <w:qFormat/>
    <w:rsid w:val="00CD2641"/>
    <w:pPr>
      <w:outlineLvl w:val="6"/>
    </w:pPr>
  </w:style>
  <w:style w:type="paragraph" w:styleId="Heading8">
    <w:name w:val="heading 8"/>
    <w:basedOn w:val="Normal"/>
    <w:next w:val="Normal"/>
    <w:link w:val="Heading8Char"/>
    <w:uiPriority w:val="9"/>
    <w:qFormat/>
    <w:rsid w:val="00CD2641"/>
    <w:pPr>
      <w:outlineLvl w:val="7"/>
    </w:pPr>
  </w:style>
  <w:style w:type="paragraph" w:styleId="Heading9">
    <w:name w:val="heading 9"/>
    <w:basedOn w:val="Normal"/>
    <w:next w:val="Normal"/>
    <w:link w:val="Heading9Char"/>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uiPriority w:val="9"/>
    <w:rsid w:val="00196C06"/>
    <w:rPr>
      <w:lang w:val="fr-CH" w:eastAsia="en-US"/>
    </w:rPr>
  </w:style>
  <w:style w:type="character" w:customStyle="1" w:styleId="Heading2Char">
    <w:name w:val="Heading 2 Char"/>
    <w:basedOn w:val="DefaultParagraphFont"/>
    <w:link w:val="Heading2"/>
    <w:uiPriority w:val="9"/>
    <w:rsid w:val="00196C06"/>
    <w:rPr>
      <w:lang w:val="fr-CH" w:eastAsia="en-US"/>
    </w:rPr>
  </w:style>
  <w:style w:type="character" w:customStyle="1" w:styleId="Heading3Char">
    <w:name w:val="Heading 3 Char"/>
    <w:basedOn w:val="DefaultParagraphFont"/>
    <w:link w:val="Heading3"/>
    <w:uiPriority w:val="9"/>
    <w:rsid w:val="00196C06"/>
    <w:rPr>
      <w:lang w:val="fr-CH" w:eastAsia="en-US"/>
    </w:rPr>
  </w:style>
  <w:style w:type="character" w:customStyle="1" w:styleId="Heading4Char">
    <w:name w:val="Heading 4 Char"/>
    <w:basedOn w:val="DefaultParagraphFont"/>
    <w:link w:val="Heading4"/>
    <w:uiPriority w:val="9"/>
    <w:rsid w:val="00196C06"/>
    <w:rPr>
      <w:lang w:val="fr-CH" w:eastAsia="en-US"/>
    </w:rPr>
  </w:style>
  <w:style w:type="character" w:customStyle="1" w:styleId="Heading5Char">
    <w:name w:val="Heading 5 Char"/>
    <w:basedOn w:val="DefaultParagraphFont"/>
    <w:link w:val="Heading5"/>
    <w:uiPriority w:val="9"/>
    <w:rsid w:val="00196C06"/>
    <w:rPr>
      <w:lang w:val="fr-CH" w:eastAsia="en-US"/>
    </w:rPr>
  </w:style>
  <w:style w:type="character" w:customStyle="1" w:styleId="Heading6Char">
    <w:name w:val="Heading 6 Char"/>
    <w:basedOn w:val="DefaultParagraphFont"/>
    <w:link w:val="Heading6"/>
    <w:uiPriority w:val="9"/>
    <w:rsid w:val="00196C06"/>
    <w:rPr>
      <w:lang w:val="fr-CH" w:eastAsia="en-US"/>
    </w:rPr>
  </w:style>
  <w:style w:type="character" w:customStyle="1" w:styleId="Heading7Char">
    <w:name w:val="Heading 7 Char"/>
    <w:basedOn w:val="DefaultParagraphFont"/>
    <w:link w:val="Heading7"/>
    <w:uiPriority w:val="9"/>
    <w:rsid w:val="00196C06"/>
    <w:rPr>
      <w:lang w:val="fr-CH" w:eastAsia="en-US"/>
    </w:rPr>
  </w:style>
  <w:style w:type="character" w:customStyle="1" w:styleId="Heading8Char">
    <w:name w:val="Heading 8 Char"/>
    <w:basedOn w:val="DefaultParagraphFont"/>
    <w:link w:val="Heading8"/>
    <w:uiPriority w:val="9"/>
    <w:rsid w:val="00196C06"/>
    <w:rPr>
      <w:lang w:val="fr-CH" w:eastAsia="en-US"/>
    </w:rPr>
  </w:style>
  <w:style w:type="character" w:customStyle="1" w:styleId="Heading9Char">
    <w:name w:val="Heading 9 Char"/>
    <w:basedOn w:val="DefaultParagraphFont"/>
    <w:link w:val="Heading9"/>
    <w:uiPriority w:val="9"/>
    <w:rsid w:val="00196C06"/>
    <w:rPr>
      <w:lang w:val="fr-CH" w:eastAsia="en-US"/>
    </w:rPr>
  </w:style>
  <w:style w:type="character" w:customStyle="1" w:styleId="HeaderChar">
    <w:name w:val="Header Char"/>
    <w:aliases w:val="6_G Char"/>
    <w:basedOn w:val="DefaultParagraphFont"/>
    <w:link w:val="Header"/>
    <w:uiPriority w:val="99"/>
    <w:rsid w:val="00196C06"/>
    <w:rPr>
      <w:b/>
      <w:sz w:val="18"/>
      <w:lang w:val="fr-CH" w:eastAsia="en-US"/>
    </w:rPr>
  </w:style>
  <w:style w:type="character" w:customStyle="1" w:styleId="FootnoteTextChar">
    <w:name w:val="Footnote Text Char"/>
    <w:aliases w:val="5_G Char"/>
    <w:basedOn w:val="DefaultParagraphFont"/>
    <w:link w:val="FootnoteText"/>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uiPriority w:val="99"/>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rsid w:val="00196C06"/>
  </w:style>
  <w:style w:type="character" w:customStyle="1" w:styleId="CommentTextChar">
    <w:name w:val="Comment Text Char"/>
    <w:basedOn w:val="DefaultParagraphFont"/>
    <w:link w:val="CommentText"/>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jpeg"/><Relationship Id="rId47" Type="http://schemas.openxmlformats.org/officeDocument/2006/relationships/header" Target="header5.xml"/><Relationship Id="rId50" Type="http://schemas.openxmlformats.org/officeDocument/2006/relationships/footer" Target="footer5.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package" Target="embeddings/Microsoft_Visio_Drawing1.vsdx"/><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footer" Target="footer3.xml"/><Relationship Id="rId53" Type="http://schemas.openxmlformats.org/officeDocument/2006/relationships/footer" Target="footer7.xml"/><Relationship Id="rId5" Type="http://schemas.openxmlformats.org/officeDocument/2006/relationships/settings" Target="settings.xml"/><Relationship Id="rId10" Type="http://schemas.openxmlformats.org/officeDocument/2006/relationships/image" Target="media/image2.emf"/><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header" Target="header4.xml"/><Relationship Id="rId52"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eader" Target="header3.xml"/><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footer" Target="footer4.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A2C0-8F97-44CC-99D6-2F43B1B2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AC10_C3_F.dotm</Template>
  <TotalTime>3</TotalTime>
  <Pages>55</Pages>
  <Words>19890</Words>
  <Characters>112656</Characters>
  <Application>Microsoft Office Word</Application>
  <DocSecurity>0</DocSecurity>
  <Lines>2874</Lines>
  <Paragraphs>1402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131590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Laurence Berthet</cp:lastModifiedBy>
  <cp:revision>3</cp:revision>
  <cp:lastPrinted>2017-02-16T08:43:00Z</cp:lastPrinted>
  <dcterms:created xsi:type="dcterms:W3CDTF">2017-02-15T15:31:00Z</dcterms:created>
  <dcterms:modified xsi:type="dcterms:W3CDTF">2017-02-16T08:43:00Z</dcterms:modified>
</cp:coreProperties>
</file>