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82084">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82084" w:rsidP="00D82084">
            <w:pPr>
              <w:jc w:val="right"/>
            </w:pPr>
            <w:r w:rsidRPr="00D82084">
              <w:rPr>
                <w:sz w:val="40"/>
              </w:rPr>
              <w:t>ECE</w:t>
            </w:r>
            <w:r>
              <w:t>/TRANS/WP.29/GRSP/2016/13</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82084" w:rsidP="00892A2F">
            <w:pPr>
              <w:spacing w:before="240"/>
            </w:pPr>
            <w:r>
              <w:t>Distr. générale</w:t>
            </w:r>
          </w:p>
          <w:p w:rsidR="00D82084" w:rsidRDefault="00D82084" w:rsidP="00D82084">
            <w:pPr>
              <w:spacing w:line="240" w:lineRule="exact"/>
            </w:pPr>
            <w:r>
              <w:t>26 février 2016</w:t>
            </w:r>
          </w:p>
          <w:p w:rsidR="00D82084" w:rsidRDefault="00D82084" w:rsidP="00D82084">
            <w:pPr>
              <w:spacing w:line="240" w:lineRule="exact"/>
            </w:pPr>
            <w:r>
              <w:t>Français</w:t>
            </w:r>
          </w:p>
          <w:p w:rsidR="00D82084" w:rsidRPr="00DB58B5" w:rsidRDefault="00D82084" w:rsidP="00D8208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82084" w:rsidRDefault="00D82084" w:rsidP="00AF0CB5">
      <w:pPr>
        <w:spacing w:before="120"/>
        <w:rPr>
          <w:b/>
          <w:sz w:val="24"/>
          <w:szCs w:val="24"/>
        </w:rPr>
      </w:pPr>
      <w:r w:rsidRPr="00685843">
        <w:rPr>
          <w:b/>
          <w:sz w:val="24"/>
          <w:szCs w:val="24"/>
        </w:rPr>
        <w:t>Forum mondial de l’harmonisation</w:t>
      </w:r>
      <w:r w:rsidR="005342F7">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82084" w:rsidRDefault="00D82084" w:rsidP="00257168">
      <w:pPr>
        <w:spacing w:before="120" w:after="120" w:line="240" w:lineRule="exact"/>
        <w:rPr>
          <w:b/>
        </w:rPr>
      </w:pPr>
      <w:r>
        <w:rPr>
          <w:b/>
        </w:rPr>
        <w:t>Groupe de travail de la sécurité passive</w:t>
      </w:r>
    </w:p>
    <w:p w:rsidR="00D82084" w:rsidRDefault="00AB11E6" w:rsidP="00257168">
      <w:pPr>
        <w:spacing w:before="120" w:line="240" w:lineRule="exact"/>
        <w:rPr>
          <w:b/>
        </w:rPr>
      </w:pPr>
      <w:r w:rsidRPr="00D82084">
        <w:rPr>
          <w:b/>
        </w:rPr>
        <w:t>Cinquante-neuvième</w:t>
      </w:r>
      <w:r w:rsidR="00D82084">
        <w:rPr>
          <w:b/>
        </w:rPr>
        <w:t xml:space="preserve"> session</w:t>
      </w:r>
    </w:p>
    <w:p w:rsidR="00D82084" w:rsidRDefault="00D82084" w:rsidP="00257168">
      <w:pPr>
        <w:spacing w:line="240" w:lineRule="exact"/>
      </w:pPr>
      <w:r>
        <w:t xml:space="preserve">Genève, </w:t>
      </w:r>
      <w:r w:rsidR="00AB11E6" w:rsidRPr="00D82084">
        <w:t>9-13 mai 2016</w:t>
      </w:r>
    </w:p>
    <w:p w:rsidR="00F9573C" w:rsidRDefault="00AB11E6" w:rsidP="00AF0CB5">
      <w:pPr>
        <w:rPr>
          <w:bCs/>
        </w:rPr>
      </w:pPr>
      <w:r w:rsidRPr="00D82084">
        <w:rPr>
          <w:bCs/>
        </w:rPr>
        <w:t>Point 9 de l’ordre du jour provisoire</w:t>
      </w:r>
    </w:p>
    <w:p w:rsidR="00D82084" w:rsidRDefault="00AB11E6" w:rsidP="00D82084">
      <w:pPr>
        <w:rPr>
          <w:b/>
        </w:rPr>
      </w:pPr>
      <w:r w:rsidRPr="00D82084">
        <w:rPr>
          <w:b/>
        </w:rPr>
        <w:t xml:space="preserve">Règlement </w:t>
      </w:r>
      <w:r w:rsidR="005342F7" w:rsidRPr="005342F7">
        <w:rPr>
          <w:b/>
        </w:rPr>
        <w:t>n</w:t>
      </w:r>
      <w:r w:rsidR="005342F7" w:rsidRPr="005342F7">
        <w:rPr>
          <w:b/>
          <w:vertAlign w:val="superscript"/>
        </w:rPr>
        <w:t>o</w:t>
      </w:r>
      <w:r w:rsidR="005342F7" w:rsidRPr="005342F7">
        <w:rPr>
          <w:b/>
        </w:rPr>
        <w:t> </w:t>
      </w:r>
      <w:r w:rsidRPr="00D82084">
        <w:rPr>
          <w:b/>
        </w:rPr>
        <w:t>16 (Ceintures de sécurité)</w:t>
      </w:r>
    </w:p>
    <w:p w:rsidR="00937A3D" w:rsidRPr="00D82084" w:rsidRDefault="00AB11E6" w:rsidP="00D82084">
      <w:pPr>
        <w:pStyle w:val="HChG"/>
      </w:pPr>
      <w:r w:rsidRPr="00D82084">
        <w:tab/>
      </w:r>
      <w:r w:rsidRPr="00D82084">
        <w:tab/>
        <w:t xml:space="preserve">Proposition de série 07 d’amendements au Règlement </w:t>
      </w:r>
      <w:r w:rsidR="005342F7" w:rsidRPr="005342F7">
        <w:t>n</w:t>
      </w:r>
      <w:r w:rsidR="005342F7" w:rsidRPr="005342F7">
        <w:rPr>
          <w:vertAlign w:val="superscript"/>
        </w:rPr>
        <w:t>o</w:t>
      </w:r>
      <w:r w:rsidR="005342F7" w:rsidRPr="005342F7">
        <w:t> </w:t>
      </w:r>
      <w:r w:rsidRPr="00D82084">
        <w:t>16 (Ceintures de sécurité)</w:t>
      </w:r>
    </w:p>
    <w:p w:rsidR="00937A3D" w:rsidRPr="00D82084" w:rsidRDefault="00AB11E6" w:rsidP="00D82084">
      <w:pPr>
        <w:pStyle w:val="H1G"/>
      </w:pPr>
      <w:r w:rsidRPr="00D82084">
        <w:tab/>
      </w:r>
      <w:r w:rsidRPr="00D82084">
        <w:tab/>
        <w:t>Communication de l’expert de l’Australie</w:t>
      </w:r>
      <w:r w:rsidRPr="007363F5">
        <w:rPr>
          <w:b w:val="0"/>
          <w:sz w:val="20"/>
        </w:rPr>
        <w:footnoteReference w:customMarkFollows="1" w:id="2"/>
        <w:t>*</w:t>
      </w:r>
    </w:p>
    <w:p w:rsidR="00937A3D" w:rsidRPr="005342F7" w:rsidRDefault="00AB11E6" w:rsidP="00D82084">
      <w:pPr>
        <w:pStyle w:val="SingleTxtG"/>
        <w:ind w:firstLine="567"/>
        <w:rPr>
          <w:spacing w:val="-1"/>
        </w:rPr>
      </w:pPr>
      <w:r w:rsidRPr="005342F7">
        <w:rPr>
          <w:spacing w:val="-1"/>
        </w:rPr>
        <w:t xml:space="preserve">Le texte reproduit ci-dessous, établi par l’expert de l’Australie, vise à introduire des dispositions relatives aux dispositifs de désactivation des coussins gonflables (lorsqu’ils sont présents). Il est fondé sur le document informel GRSP-58-14 distribué lors de la cinquante-huitième session du Groupe de travail de la sécurité passive (GRSP). Les modifications qu’il est proposé d’apporter au texte actuel du Règlement </w:t>
      </w:r>
      <w:r w:rsidR="005342F7" w:rsidRPr="005342F7">
        <w:rPr>
          <w:rFonts w:eastAsia="MS Mincho"/>
          <w:spacing w:val="-1"/>
          <w:szCs w:val="22"/>
        </w:rPr>
        <w:t>n</w:t>
      </w:r>
      <w:r w:rsidR="005342F7" w:rsidRPr="005342F7">
        <w:rPr>
          <w:rFonts w:eastAsia="MS Mincho"/>
          <w:spacing w:val="-1"/>
          <w:szCs w:val="22"/>
          <w:vertAlign w:val="superscript"/>
        </w:rPr>
        <w:t>o</w:t>
      </w:r>
      <w:r w:rsidR="005342F7" w:rsidRPr="005342F7">
        <w:rPr>
          <w:spacing w:val="-1"/>
        </w:rPr>
        <w:t> </w:t>
      </w:r>
      <w:r w:rsidRPr="005342F7">
        <w:rPr>
          <w:spacing w:val="-1"/>
        </w:rPr>
        <w:t>16, y compris au projet de complément 7 à la série 06 d’amendements (ECE/TRANS/WP.29/GRSP/2015/25), sont indiquées en caractères gras pour les ajouts ou biffés pour les suppressions.</w:t>
      </w:r>
    </w:p>
    <w:p w:rsidR="00602BEF" w:rsidRPr="00602BEF" w:rsidRDefault="00AB11E6" w:rsidP="00602BEF">
      <w:pPr>
        <w:pStyle w:val="HChG"/>
        <w:rPr>
          <w:snapToGrid w:val="0"/>
          <w:lang w:eastAsia="ja-JP"/>
        </w:rPr>
      </w:pPr>
      <w:r w:rsidRPr="00D82084">
        <w:br w:type="page"/>
      </w:r>
      <w:r w:rsidR="00602BEF" w:rsidRPr="00602BEF">
        <w:lastRenderedPageBreak/>
        <w:tab/>
      </w:r>
      <w:r w:rsidR="00602BEF" w:rsidRPr="00602BEF">
        <w:rPr>
          <w:snapToGrid w:val="0"/>
          <w:lang w:eastAsia="ja-JP"/>
        </w:rPr>
        <w:t>I.</w:t>
      </w:r>
      <w:r w:rsidR="00602BEF" w:rsidRPr="00602BEF">
        <w:rPr>
          <w:snapToGrid w:val="0"/>
          <w:lang w:eastAsia="ja-JP"/>
        </w:rPr>
        <w:tab/>
        <w:t>Proposition</w:t>
      </w:r>
    </w:p>
    <w:p w:rsidR="00602BEF" w:rsidRPr="00602BEF" w:rsidRDefault="00602BEF" w:rsidP="007363F5">
      <w:pPr>
        <w:pStyle w:val="SingleTxtG"/>
        <w:spacing w:after="100"/>
      </w:pPr>
      <w:r w:rsidRPr="00602BEF">
        <w:rPr>
          <w:i/>
        </w:rPr>
        <w:t>Liste des annexes</w:t>
      </w:r>
      <w:r w:rsidRPr="00602BEF">
        <w:t>,</w:t>
      </w:r>
    </w:p>
    <w:p w:rsidR="00602BEF" w:rsidRPr="007363F5" w:rsidRDefault="00602BEF" w:rsidP="007363F5">
      <w:pPr>
        <w:pStyle w:val="SingleTxtG"/>
        <w:spacing w:after="100"/>
      </w:pPr>
      <w:r w:rsidRPr="00602BEF">
        <w:rPr>
          <w:i/>
        </w:rPr>
        <w:t>Ajouter une nouvelle annexe 19</w:t>
      </w:r>
      <w:r w:rsidRPr="00602BEF">
        <w:t>, ainsi conçue</w:t>
      </w:r>
      <w:r w:rsidR="005342F7">
        <w:t> :</w:t>
      </w:r>
    </w:p>
    <w:p w:rsidR="00602BEF" w:rsidRPr="007363F5" w:rsidRDefault="00C73BF0" w:rsidP="007363F5">
      <w:pPr>
        <w:pStyle w:val="SingleTxtG"/>
        <w:tabs>
          <w:tab w:val="left" w:leader="dot" w:pos="8505"/>
        </w:tabs>
        <w:spacing w:after="100"/>
        <w:ind w:left="2268" w:hanging="1134"/>
      </w:pPr>
      <w:r>
        <w:t>« </w:t>
      </w:r>
      <w:r w:rsidR="00602BEF" w:rsidRPr="00602BEF">
        <w:rPr>
          <w:b/>
        </w:rPr>
        <w:t>Annexe 19</w:t>
      </w:r>
      <w:r w:rsidR="00DD446A">
        <w:rPr>
          <w:b/>
        </w:rPr>
        <w:tab/>
      </w:r>
      <w:r w:rsidR="00602BEF" w:rsidRPr="00602BEF">
        <w:rPr>
          <w:b/>
        </w:rPr>
        <w:t>Essais du système témoin de coussin gonflable</w:t>
      </w:r>
      <w:r w:rsidR="00602BEF" w:rsidRPr="00602BEF">
        <w:rPr>
          <w:b/>
        </w:rPr>
        <w:tab/>
      </w:r>
      <w:r>
        <w:t> »</w:t>
      </w:r>
      <w:r w:rsidR="005342F7">
        <w:t>.</w:t>
      </w:r>
    </w:p>
    <w:p w:rsidR="00602BEF" w:rsidRPr="00602BEF" w:rsidRDefault="00602BEF" w:rsidP="007363F5">
      <w:pPr>
        <w:pStyle w:val="SingleTxtG"/>
        <w:spacing w:after="100"/>
        <w:rPr>
          <w:i/>
        </w:rPr>
      </w:pPr>
      <w:r w:rsidRPr="00602BEF">
        <w:rPr>
          <w:i/>
        </w:rPr>
        <w:t>Texte du Règlement</w:t>
      </w:r>
    </w:p>
    <w:p w:rsidR="00602BEF" w:rsidRPr="007363F5" w:rsidRDefault="00602BEF" w:rsidP="007363F5">
      <w:pPr>
        <w:pStyle w:val="SingleTxtG"/>
        <w:spacing w:after="100"/>
      </w:pPr>
      <w:r w:rsidRPr="00602BEF">
        <w:rPr>
          <w:i/>
        </w:rPr>
        <w:t>Ajouter un nouveau paragraphe 1.5</w:t>
      </w:r>
      <w:r w:rsidRPr="007363F5">
        <w:t>, ainsi conçu</w:t>
      </w:r>
      <w:r w:rsidR="005342F7" w:rsidRPr="007363F5">
        <w:t> :</w:t>
      </w:r>
    </w:p>
    <w:p w:rsidR="00602BEF" w:rsidRPr="007363F5" w:rsidRDefault="00C73BF0" w:rsidP="007363F5">
      <w:pPr>
        <w:pStyle w:val="SingleTxtG"/>
        <w:spacing w:after="100"/>
        <w:ind w:left="2268" w:hanging="1134"/>
        <w:rPr>
          <w:b/>
          <w:iCs/>
        </w:rPr>
      </w:pPr>
      <w:r w:rsidRPr="00C73BF0">
        <w:rPr>
          <w:iCs/>
        </w:rPr>
        <w:t>«</w:t>
      </w:r>
      <w:r w:rsidRPr="007363F5">
        <w:rPr>
          <w:iCs/>
        </w:rPr>
        <w:t> </w:t>
      </w:r>
      <w:r w:rsidR="00602BEF" w:rsidRPr="00602BEF">
        <w:rPr>
          <w:b/>
        </w:rPr>
        <w:t>1.5</w:t>
      </w:r>
      <w:r w:rsidR="00602BEF" w:rsidRPr="007363F5">
        <w:rPr>
          <w:b/>
          <w:iCs/>
        </w:rPr>
        <w:tab/>
      </w:r>
      <w:r w:rsidR="00602BEF" w:rsidRPr="00602BEF">
        <w:rPr>
          <w:b/>
        </w:rPr>
        <w:t>Véhicules des catégories M</w:t>
      </w:r>
      <w:r w:rsidR="007363F5" w:rsidRPr="007363F5">
        <w:rPr>
          <w:b/>
          <w:vertAlign w:val="subscript"/>
        </w:rPr>
        <w:t>1</w:t>
      </w:r>
      <w:r w:rsidR="00602BEF" w:rsidRPr="00602BEF">
        <w:rPr>
          <w:b/>
        </w:rPr>
        <w:t xml:space="preserve"> et N</w:t>
      </w:r>
      <w:r w:rsidR="007363F5" w:rsidRPr="007363F5">
        <w:rPr>
          <w:b/>
          <w:vertAlign w:val="subscript"/>
        </w:rPr>
        <w:t>1</w:t>
      </w:r>
      <w:r w:rsidR="00602BEF" w:rsidRPr="00602BEF">
        <w:rPr>
          <w:b/>
        </w:rPr>
        <w:t xml:space="preserve"> en ce qui concerne les dispositifs de désactivation</w:t>
      </w:r>
      <w:r w:rsidR="005342F7">
        <w:rPr>
          <w:b/>
        </w:rPr>
        <w:t xml:space="preserve"> </w:t>
      </w:r>
      <w:r w:rsidR="00602BEF" w:rsidRPr="00602BEF">
        <w:rPr>
          <w:b/>
        </w:rPr>
        <w:t>des coussins gonflables pour passager.</w:t>
      </w:r>
      <w:r>
        <w:rPr>
          <w:iCs/>
        </w:rPr>
        <w:t> »</w:t>
      </w:r>
      <w:r w:rsidR="00602BEF" w:rsidRPr="007363F5">
        <w:rPr>
          <w:iCs/>
        </w:rPr>
        <w:t>.</w:t>
      </w:r>
    </w:p>
    <w:p w:rsidR="00602BEF" w:rsidRPr="00602BEF" w:rsidRDefault="00602BEF" w:rsidP="007363F5">
      <w:pPr>
        <w:pStyle w:val="SingleTxtG"/>
        <w:spacing w:after="100"/>
        <w:rPr>
          <w:iCs/>
        </w:rPr>
      </w:pPr>
      <w:r w:rsidRPr="00602BEF">
        <w:rPr>
          <w:i/>
          <w:iCs/>
        </w:rPr>
        <w:t xml:space="preserve">Les paragraphes 1.5 à 1.7 </w:t>
      </w:r>
      <w:r w:rsidRPr="00602BEF">
        <w:rPr>
          <w:iCs/>
        </w:rPr>
        <w:t>deviennent les paragraphes 1.6 à 1.8.</w:t>
      </w:r>
    </w:p>
    <w:p w:rsidR="00602BEF" w:rsidRPr="00602BEF" w:rsidRDefault="00602BEF" w:rsidP="007363F5">
      <w:pPr>
        <w:pStyle w:val="SingleTxtG"/>
        <w:spacing w:after="100"/>
        <w:rPr>
          <w:iCs/>
        </w:rPr>
      </w:pPr>
      <w:r w:rsidRPr="00602BEF">
        <w:rPr>
          <w:i/>
          <w:iCs/>
        </w:rPr>
        <w:t>Paragraphe 2.9</w:t>
      </w:r>
      <w:r w:rsidRPr="009708A9">
        <w:rPr>
          <w:iCs/>
        </w:rPr>
        <w:t>,</w:t>
      </w:r>
      <w:r w:rsidRPr="007363F5">
        <w:rPr>
          <w:iCs/>
        </w:rPr>
        <w:t xml:space="preserve"> </w:t>
      </w:r>
      <w:r w:rsidRPr="00602BEF">
        <w:rPr>
          <w:iCs/>
        </w:rPr>
        <w:t>modifier comme suit</w:t>
      </w:r>
      <w:r w:rsidR="005342F7">
        <w:rPr>
          <w:iCs/>
        </w:rPr>
        <w:t> :</w:t>
      </w:r>
    </w:p>
    <w:p w:rsidR="00602BEF" w:rsidRPr="00602BEF" w:rsidRDefault="00C73BF0" w:rsidP="007363F5">
      <w:pPr>
        <w:pStyle w:val="SingleTxtG"/>
        <w:spacing w:after="100"/>
        <w:ind w:left="2268" w:hanging="1134"/>
      </w:pPr>
      <w:r w:rsidRPr="00C73BF0">
        <w:rPr>
          <w:iCs/>
        </w:rPr>
        <w:t>«</w:t>
      </w:r>
      <w:r w:rsidRPr="007363F5">
        <w:rPr>
          <w:iCs/>
        </w:rPr>
        <w:t> </w:t>
      </w:r>
      <w:r w:rsidR="00602BEF" w:rsidRPr="00602BEF">
        <w:t>2.9</w:t>
      </w:r>
      <w:r w:rsidR="00602BEF" w:rsidRPr="00602BEF">
        <w:tab/>
      </w:r>
      <w:r>
        <w:t>“</w:t>
      </w:r>
      <w:r w:rsidR="00602BEF" w:rsidRPr="007363F5">
        <w:rPr>
          <w:b/>
        </w:rPr>
        <w:t>Coussin gonflable de protection frontale pour passager</w:t>
      </w:r>
      <w:r w:rsidR="00602BEF" w:rsidRPr="00602BEF">
        <w:t xml:space="preserve"> </w:t>
      </w:r>
      <w:r w:rsidR="00602BEF" w:rsidRPr="007363F5">
        <w:rPr>
          <w:b/>
        </w:rPr>
        <w:t xml:space="preserve">(ou </w:t>
      </w:r>
      <w:r w:rsidR="00602BEF" w:rsidRPr="007363F5">
        <w:rPr>
          <w:strike/>
        </w:rPr>
        <w:t>C</w:t>
      </w:r>
      <w:r w:rsidR="00602BEF" w:rsidRPr="007363F5">
        <w:rPr>
          <w:b/>
        </w:rPr>
        <w:t>c</w:t>
      </w:r>
      <w:r w:rsidR="00602BEF" w:rsidRPr="007363F5">
        <w:t>oussin gonflable pour passager</w:t>
      </w:r>
      <w:r w:rsidRPr="007363F5">
        <w:t>”</w:t>
      </w:r>
      <w:r w:rsidR="00602BEF" w:rsidRPr="009708A9">
        <w:t>,</w:t>
      </w:r>
      <w:r w:rsidR="00602BEF" w:rsidRPr="007363F5">
        <w:t xml:space="preserve"> </w:t>
      </w:r>
      <w:r w:rsidR="00602BEF" w:rsidRPr="00602BEF">
        <w:t xml:space="preserve">une installation de coussin gonflable conçue pour protéger un ou plusieurs </w:t>
      </w:r>
      <w:r w:rsidR="00602BEF" w:rsidRPr="00602BEF">
        <w:rPr>
          <w:strike/>
        </w:rPr>
        <w:t>l’</w:t>
      </w:r>
      <w:r w:rsidR="00602BEF" w:rsidRPr="00602BEF">
        <w:t>occupant</w:t>
      </w:r>
      <w:r w:rsidR="00602BEF" w:rsidRPr="00602BEF">
        <w:rPr>
          <w:b/>
        </w:rPr>
        <w:t>(s)</w:t>
      </w:r>
      <w:r w:rsidR="00602BEF" w:rsidRPr="00602BEF">
        <w:t xml:space="preserve"> </w:t>
      </w:r>
      <w:r w:rsidR="00602BEF" w:rsidRPr="00602BEF">
        <w:rPr>
          <w:strike/>
        </w:rPr>
        <w:t>(les occupants)</w:t>
      </w:r>
      <w:r w:rsidR="00602BEF" w:rsidRPr="00602BEF">
        <w:t xml:space="preserve"> </w:t>
      </w:r>
      <w:r w:rsidR="00602BEF" w:rsidRPr="00602BEF">
        <w:rPr>
          <w:strike/>
        </w:rPr>
        <w:t>du(des)</w:t>
      </w:r>
      <w:r w:rsidR="00602BEF" w:rsidRPr="00602BEF">
        <w:t xml:space="preserve"> </w:t>
      </w:r>
      <w:r w:rsidR="00602BEF" w:rsidRPr="00602BEF">
        <w:rPr>
          <w:b/>
        </w:rPr>
        <w:t>d’un</w:t>
      </w:r>
      <w:r w:rsidR="00602BEF" w:rsidRPr="00602BEF">
        <w:t xml:space="preserve"> siège (</w:t>
      </w:r>
      <w:r w:rsidR="00602BEF" w:rsidRPr="00602BEF">
        <w:rPr>
          <w:b/>
        </w:rPr>
        <w:t>ou de sièges</w:t>
      </w:r>
      <w:r w:rsidR="00602BEF" w:rsidRPr="00602BEF">
        <w:t>) autre(s) que celui du conducteur en cas de choc frontal.</w:t>
      </w:r>
      <w:r>
        <w:rPr>
          <w:iCs/>
        </w:rPr>
        <w:t> »</w:t>
      </w:r>
      <w:r w:rsidR="00602BEF" w:rsidRPr="00602BEF">
        <w:rPr>
          <w:iCs/>
        </w:rPr>
        <w:t>.</w:t>
      </w:r>
    </w:p>
    <w:p w:rsidR="00602BEF" w:rsidRPr="007363F5" w:rsidRDefault="00602BEF" w:rsidP="007363F5">
      <w:pPr>
        <w:pStyle w:val="SingleTxtG"/>
        <w:spacing w:after="100"/>
        <w:rPr>
          <w:iCs/>
        </w:rPr>
      </w:pPr>
      <w:r w:rsidRPr="00602BEF">
        <w:rPr>
          <w:i/>
          <w:iCs/>
        </w:rPr>
        <w:t>Ajouter de nouveaux paragraphes 2.48 à 2.50</w:t>
      </w:r>
      <w:r w:rsidRPr="009708A9">
        <w:rPr>
          <w:iCs/>
        </w:rPr>
        <w:t>,</w:t>
      </w:r>
      <w:r w:rsidRPr="007363F5">
        <w:rPr>
          <w:iCs/>
        </w:rPr>
        <w:t xml:space="preserve"> </w:t>
      </w:r>
      <w:r w:rsidRPr="00602BEF">
        <w:rPr>
          <w:iCs/>
        </w:rPr>
        <w:t>ainsi conçus</w:t>
      </w:r>
      <w:r w:rsidR="005342F7">
        <w:rPr>
          <w:iCs/>
        </w:rPr>
        <w:t> :</w:t>
      </w:r>
    </w:p>
    <w:p w:rsidR="00602BEF" w:rsidRPr="00602BEF" w:rsidRDefault="00C73BF0" w:rsidP="007363F5">
      <w:pPr>
        <w:pStyle w:val="SingleTxtG"/>
        <w:spacing w:after="100"/>
        <w:ind w:left="2268" w:hanging="1134"/>
        <w:rPr>
          <w:b/>
        </w:rPr>
      </w:pPr>
      <w:r w:rsidRPr="00C73BF0">
        <w:rPr>
          <w:iCs/>
        </w:rPr>
        <w:t>«</w:t>
      </w:r>
      <w:r w:rsidRPr="007363F5">
        <w:rPr>
          <w:iCs/>
        </w:rPr>
        <w:t> </w:t>
      </w:r>
      <w:r w:rsidR="00602BEF" w:rsidRPr="00602BEF">
        <w:rPr>
          <w:b/>
          <w:iCs/>
        </w:rPr>
        <w:t>2.48</w:t>
      </w:r>
      <w:r w:rsidR="00602BEF" w:rsidRPr="00602BEF">
        <w:rPr>
          <w:b/>
        </w:rPr>
        <w:t xml:space="preserve"> </w:t>
      </w:r>
      <w:r w:rsidR="00602BEF" w:rsidRPr="00602BEF">
        <w:rPr>
          <w:b/>
        </w:rPr>
        <w:tab/>
      </w:r>
      <w:r>
        <w:rPr>
          <w:b/>
          <w:color w:val="000000"/>
        </w:rPr>
        <w:t>“</w:t>
      </w:r>
      <w:r w:rsidR="00602BEF" w:rsidRPr="007363F5">
        <w:rPr>
          <w:b/>
          <w:iCs/>
          <w:color w:val="000000"/>
        </w:rPr>
        <w:t>Dispositif de désactivation (pour un coussin gonflable)</w:t>
      </w:r>
      <w:r>
        <w:rPr>
          <w:b/>
          <w:color w:val="000000"/>
        </w:rPr>
        <w:t>”</w:t>
      </w:r>
      <w:r w:rsidR="00602BEF" w:rsidRPr="00602BEF">
        <w:rPr>
          <w:b/>
          <w:color w:val="000000"/>
        </w:rPr>
        <w:t xml:space="preserve"> désigne un élément ou un ensemble d’éléments servant à désactiver un coussin gonflable.</w:t>
      </w:r>
    </w:p>
    <w:p w:rsidR="00602BEF" w:rsidRPr="00602BEF" w:rsidRDefault="00602BEF" w:rsidP="007363F5">
      <w:pPr>
        <w:pStyle w:val="SingleTxtG"/>
        <w:spacing w:after="100"/>
        <w:ind w:left="2268" w:hanging="1134"/>
        <w:rPr>
          <w:b/>
          <w:iCs/>
        </w:rPr>
      </w:pPr>
      <w:r w:rsidRPr="00602BEF">
        <w:rPr>
          <w:b/>
          <w:iCs/>
        </w:rPr>
        <w:t>2.49</w:t>
      </w:r>
      <w:r w:rsidRPr="00602BEF">
        <w:rPr>
          <w:b/>
          <w:iCs/>
        </w:rPr>
        <w:tab/>
      </w:r>
      <w:r w:rsidR="00C73BF0">
        <w:rPr>
          <w:b/>
          <w:iCs/>
        </w:rPr>
        <w:t>“</w:t>
      </w:r>
      <w:r w:rsidRPr="007363F5">
        <w:rPr>
          <w:b/>
          <w:iCs/>
        </w:rPr>
        <w:t>Témoin</w:t>
      </w:r>
      <w:r w:rsidR="00C73BF0">
        <w:rPr>
          <w:b/>
          <w:iCs/>
        </w:rPr>
        <w:t>”</w:t>
      </w:r>
      <w:r w:rsidRPr="00602BEF">
        <w:rPr>
          <w:b/>
          <w:iCs/>
        </w:rPr>
        <w:t xml:space="preserve"> désigne un signal optique qui, lorsqu’il est allumé, sert à indiquer qu’un dispositif est en fonction ou désactivé, que son fonctionnement ou son état est correct ou défectueux ou qu’il ne fonctionne pas.</w:t>
      </w:r>
    </w:p>
    <w:p w:rsidR="00602BEF" w:rsidRPr="007363F5" w:rsidRDefault="00602BEF" w:rsidP="007363F5">
      <w:pPr>
        <w:pStyle w:val="SingleTxtG"/>
        <w:spacing w:after="100"/>
        <w:ind w:left="2268" w:hanging="1134"/>
        <w:rPr>
          <w:iCs/>
        </w:rPr>
      </w:pPr>
      <w:r w:rsidRPr="00602BEF">
        <w:rPr>
          <w:b/>
          <w:iCs/>
        </w:rPr>
        <w:t>2.50</w:t>
      </w:r>
      <w:r w:rsidRPr="00602BEF">
        <w:rPr>
          <w:b/>
          <w:iCs/>
        </w:rPr>
        <w:tab/>
      </w:r>
      <w:r w:rsidR="00C73BF0">
        <w:rPr>
          <w:b/>
          <w:iCs/>
        </w:rPr>
        <w:t>“</w:t>
      </w:r>
      <w:r w:rsidRPr="007363F5">
        <w:rPr>
          <w:b/>
          <w:iCs/>
        </w:rPr>
        <w:t>Commutateur de contact du véhicule</w:t>
      </w:r>
      <w:r w:rsidR="00C73BF0">
        <w:rPr>
          <w:b/>
          <w:iCs/>
        </w:rPr>
        <w:t>”</w:t>
      </w:r>
      <w:r w:rsidRPr="00602BEF">
        <w:rPr>
          <w:b/>
          <w:iCs/>
        </w:rPr>
        <w:t>, désigne le dispositif permettant de faire passer le système électronique du véhicule de sa position désactivée, lorsque le véhicule est stationné et en l’absence du conducteur, à sa position normale de fonctionnement</w:t>
      </w:r>
      <w:r w:rsidRPr="00602BEF">
        <w:rPr>
          <w:b/>
        </w:rPr>
        <w:t>.</w:t>
      </w:r>
      <w:r w:rsidR="00C73BF0">
        <w:rPr>
          <w:iCs/>
        </w:rPr>
        <w:t> »</w:t>
      </w:r>
      <w:r w:rsidRPr="00602BEF">
        <w:rPr>
          <w:iCs/>
        </w:rPr>
        <w:t>.</w:t>
      </w:r>
    </w:p>
    <w:p w:rsidR="00602BEF" w:rsidRPr="00602BEF" w:rsidRDefault="00602BEF" w:rsidP="007363F5">
      <w:pPr>
        <w:pStyle w:val="SingleTxtG"/>
        <w:spacing w:after="100"/>
      </w:pPr>
      <w:r w:rsidRPr="00602BEF">
        <w:rPr>
          <w:i/>
          <w:iCs/>
        </w:rPr>
        <w:t>Paragraphe 5.2.2</w:t>
      </w:r>
      <w:r w:rsidRPr="009708A9">
        <w:rPr>
          <w:iCs/>
        </w:rPr>
        <w:t>,</w:t>
      </w:r>
      <w:r w:rsidRPr="007363F5">
        <w:rPr>
          <w:iCs/>
        </w:rPr>
        <w:t xml:space="preserve"> </w:t>
      </w:r>
      <w:r w:rsidRPr="00602BEF">
        <w:rPr>
          <w:iCs/>
        </w:rPr>
        <w:t>modifier comme suit</w:t>
      </w:r>
      <w:r w:rsidR="005342F7">
        <w:rPr>
          <w:iCs/>
        </w:rPr>
        <w:t> :</w:t>
      </w:r>
    </w:p>
    <w:p w:rsidR="00602BEF" w:rsidRPr="00602BEF" w:rsidRDefault="00C73BF0" w:rsidP="007363F5">
      <w:pPr>
        <w:pStyle w:val="SingleTxtG"/>
        <w:spacing w:after="100"/>
        <w:ind w:left="2268" w:hanging="1134"/>
      </w:pPr>
      <w:r w:rsidRPr="00C73BF0">
        <w:rPr>
          <w:iCs/>
        </w:rPr>
        <w:t>«</w:t>
      </w:r>
      <w:r w:rsidRPr="007363F5">
        <w:rPr>
          <w:iCs/>
        </w:rPr>
        <w:t> </w:t>
      </w:r>
      <w:r w:rsidR="00602BEF" w:rsidRPr="00602BEF">
        <w:t>5.2.2</w:t>
      </w:r>
      <w:r w:rsidR="00602BEF" w:rsidRPr="00602BEF">
        <w:tab/>
        <w:t xml:space="preserve">Chaque homologation doit comporter l’attribution d’un numéro d’homologation, dont les deux premiers chiffres (actuellement </w:t>
      </w:r>
      <w:r w:rsidR="00602BEF" w:rsidRPr="00602BEF">
        <w:rPr>
          <w:strike/>
        </w:rPr>
        <w:t>06</w:t>
      </w:r>
      <w:r w:rsidR="00602BEF" w:rsidRPr="00602BEF">
        <w:rPr>
          <w:b/>
        </w:rPr>
        <w:t>07</w:t>
      </w:r>
      <w:r w:rsidR="00602BEF" w:rsidRPr="00602BEF">
        <w:t xml:space="preserve"> correspondant à la série d’amendements </w:t>
      </w:r>
      <w:r w:rsidR="00602BEF" w:rsidRPr="00602BEF">
        <w:rPr>
          <w:strike/>
        </w:rPr>
        <w:t>06</w:t>
      </w:r>
      <w:r w:rsidR="00602BEF" w:rsidRPr="00602BEF">
        <w:rPr>
          <w:b/>
        </w:rPr>
        <w:t>07</w:t>
      </w:r>
      <w:r w:rsidR="00602BEF" w:rsidRPr="00602BEF">
        <w:t>) indiquent la série d’amendements contenant les modifications techniques majeures les plus récentes apportées au Règlement à la date de délivrance de l’homologation. Une même Partie contractante ne peut pas attribuer ce même numéro à un autre type de véhicule, comme indiqué au paragraphe 2.16 ci-dessus.</w:t>
      </w:r>
      <w:r>
        <w:rPr>
          <w:iCs/>
        </w:rPr>
        <w:t> »</w:t>
      </w:r>
      <w:r w:rsidR="00602BEF" w:rsidRPr="00602BEF">
        <w:rPr>
          <w:iCs/>
        </w:rPr>
        <w:t>.</w:t>
      </w:r>
    </w:p>
    <w:p w:rsidR="00602BEF" w:rsidRPr="00602BEF" w:rsidRDefault="00602BEF" w:rsidP="007363F5">
      <w:pPr>
        <w:pStyle w:val="SingleTxtG"/>
        <w:spacing w:after="100"/>
      </w:pPr>
      <w:r w:rsidRPr="00602BEF">
        <w:rPr>
          <w:i/>
          <w:iCs/>
        </w:rPr>
        <w:t>Paragraphe 8.1.1</w:t>
      </w:r>
      <w:r w:rsidRPr="009708A9">
        <w:rPr>
          <w:iCs/>
        </w:rPr>
        <w:t>,</w:t>
      </w:r>
      <w:r w:rsidRPr="007363F5">
        <w:rPr>
          <w:iCs/>
        </w:rPr>
        <w:t xml:space="preserve"> </w:t>
      </w:r>
      <w:r w:rsidRPr="00602BEF">
        <w:rPr>
          <w:iCs/>
        </w:rPr>
        <w:t>modifier comme suit</w:t>
      </w:r>
      <w:r w:rsidR="005342F7">
        <w:rPr>
          <w:iCs/>
        </w:rPr>
        <w:t> :</w:t>
      </w:r>
    </w:p>
    <w:p w:rsidR="007363F5" w:rsidRPr="007363F5" w:rsidRDefault="00C73BF0" w:rsidP="007363F5">
      <w:pPr>
        <w:pStyle w:val="SingleTxtG"/>
        <w:spacing w:after="100"/>
        <w:ind w:left="2268" w:hanging="1134"/>
        <w:rPr>
          <w:spacing w:val="-3"/>
        </w:rPr>
      </w:pPr>
      <w:r w:rsidRPr="007363F5">
        <w:rPr>
          <w:iCs/>
          <w:spacing w:val="-3"/>
        </w:rPr>
        <w:t>« </w:t>
      </w:r>
      <w:r w:rsidR="00602BEF" w:rsidRPr="007363F5">
        <w:rPr>
          <w:spacing w:val="-3"/>
        </w:rPr>
        <w:t>8.1.1</w:t>
      </w:r>
      <w:r w:rsidR="00602BEF" w:rsidRPr="007363F5">
        <w:rPr>
          <w:spacing w:val="-3"/>
        </w:rPr>
        <w:tab/>
        <w:t>À l’exception des places assises destinées à n’être utilisées que lorsque le véhicule est à l’arrêt, les sièges des véhicules des catégories M</w:t>
      </w:r>
      <w:r w:rsidR="00602BEF" w:rsidRPr="007363F5">
        <w:rPr>
          <w:spacing w:val="-3"/>
          <w:vertAlign w:val="subscript"/>
        </w:rPr>
        <w:t>1</w:t>
      </w:r>
      <w:r w:rsidR="00602BEF" w:rsidRPr="007363F5">
        <w:rPr>
          <w:spacing w:val="-3"/>
        </w:rPr>
        <w:t xml:space="preserve"> et M</w:t>
      </w:r>
      <w:r w:rsidR="00602BEF" w:rsidRPr="007363F5">
        <w:rPr>
          <w:spacing w:val="-3"/>
          <w:vertAlign w:val="subscript"/>
        </w:rPr>
        <w:t>2</w:t>
      </w:r>
      <w:r w:rsidR="00602BEF" w:rsidRPr="007363F5">
        <w:rPr>
          <w:spacing w:val="-3"/>
        </w:rPr>
        <w:t xml:space="preserve"> (classe III ou B</w:t>
      </w:r>
      <w:r w:rsidR="00602BEF" w:rsidRPr="007363F5">
        <w:rPr>
          <w:spacing w:val="-3"/>
          <w:vertAlign w:val="superscript"/>
          <w:lang w:val="en-GB"/>
        </w:rPr>
        <w:footnoteReference w:id="3"/>
      </w:r>
      <w:r w:rsidR="00602BEF" w:rsidRPr="007363F5">
        <w:rPr>
          <w:spacing w:val="-3"/>
        </w:rPr>
        <w:t>), M</w:t>
      </w:r>
      <w:r w:rsidR="00602BEF" w:rsidRPr="007363F5">
        <w:rPr>
          <w:spacing w:val="-3"/>
          <w:vertAlign w:val="subscript"/>
        </w:rPr>
        <w:t>3</w:t>
      </w:r>
      <w:r w:rsidR="00602BEF" w:rsidRPr="007363F5">
        <w:rPr>
          <w:spacing w:val="-3"/>
        </w:rPr>
        <w:t xml:space="preserve"> (classe III ou B</w:t>
      </w:r>
      <w:r w:rsidR="00602BEF" w:rsidRPr="007363F5">
        <w:rPr>
          <w:spacing w:val="-3"/>
          <w:vertAlign w:val="superscript"/>
        </w:rPr>
        <w:t>9</w:t>
      </w:r>
      <w:r w:rsidR="00602BEF" w:rsidRPr="007363F5">
        <w:rPr>
          <w:spacing w:val="-3"/>
        </w:rPr>
        <w:t xml:space="preserve">) et N doivent être équipés de ceintures de sécurité ou de systèmes de retenue satisfaisant aux prescriptions du présent Règlement. </w:t>
      </w:r>
    </w:p>
    <w:p w:rsidR="00602BEF" w:rsidRPr="00602BEF" w:rsidRDefault="00602BEF" w:rsidP="007363F5">
      <w:pPr>
        <w:pStyle w:val="SingleTxtG"/>
        <w:ind w:left="2268"/>
      </w:pPr>
      <w:r w:rsidRPr="00602BEF">
        <w:lastRenderedPageBreak/>
        <w:t>Les Parties contractantes appliquant le présent Règlement peuvent exiger l’installation de ceintures de sécurité sur les véhicules des catégories M</w:t>
      </w:r>
      <w:r w:rsidRPr="00602BEF">
        <w:rPr>
          <w:vertAlign w:val="subscript"/>
        </w:rPr>
        <w:t>2</w:t>
      </w:r>
      <w:r w:rsidRPr="00602BEF">
        <w:t xml:space="preserve"> et M</w:t>
      </w:r>
      <w:r w:rsidRPr="00602BEF">
        <w:rPr>
          <w:vertAlign w:val="subscript"/>
        </w:rPr>
        <w:t>3</w:t>
      </w:r>
      <w:r w:rsidRPr="00602BEF">
        <w:t>, classe II.</w:t>
      </w:r>
    </w:p>
    <w:p w:rsidR="00602BEF" w:rsidRPr="00602BEF" w:rsidRDefault="00602BEF" w:rsidP="00DD446A">
      <w:pPr>
        <w:pStyle w:val="SingleTxtG"/>
        <w:ind w:left="2268"/>
      </w:pPr>
      <w:r w:rsidRPr="009708A9">
        <w:t>Les</w:t>
      </w:r>
      <w:r w:rsidRPr="00602BEF">
        <w:t xml:space="preserve"> ceintures de sécurité et/ou les systèmes de retenue montés sur des véhicules des catégories M</w:t>
      </w:r>
      <w:r w:rsidRPr="00602BEF">
        <w:rPr>
          <w:vertAlign w:val="subscript"/>
        </w:rPr>
        <w:t>2</w:t>
      </w:r>
      <w:r w:rsidRPr="00602BEF">
        <w:t xml:space="preserve"> ou M</w:t>
      </w:r>
      <w:r w:rsidRPr="00602BEF">
        <w:rPr>
          <w:vertAlign w:val="subscript"/>
        </w:rPr>
        <w:t>3</w:t>
      </w:r>
      <w:r w:rsidRPr="00602BEF">
        <w:t>, classe I, II ou A, doivent être conformes aux prescriptions du présent Règlement.</w:t>
      </w:r>
    </w:p>
    <w:p w:rsidR="00602BEF" w:rsidRPr="00602BEF" w:rsidRDefault="00602BEF" w:rsidP="00DD446A">
      <w:pPr>
        <w:pStyle w:val="SingleTxtG"/>
        <w:ind w:left="2268"/>
        <w:rPr>
          <w:bCs/>
          <w:strike/>
        </w:rPr>
      </w:pPr>
      <w:r w:rsidRPr="00602BEF">
        <w:rPr>
          <w:bCs/>
          <w:strike/>
        </w:rPr>
        <w:t>Les Parties contractantes peuvent, en vertu de leur législation nationale, permettre l’installation de ceintures de sécurité ou de systèmes de retenue autres que ceux visés par le présent Règlement à condition qu’ils soient destinés à des personnes handicapées.</w:t>
      </w:r>
    </w:p>
    <w:p w:rsidR="00602BEF" w:rsidRPr="00602BEF" w:rsidRDefault="00602BEF" w:rsidP="00DD446A">
      <w:pPr>
        <w:pStyle w:val="SingleTxtG"/>
        <w:ind w:left="2268"/>
        <w:rPr>
          <w:bCs/>
        </w:rPr>
      </w:pPr>
      <w:r w:rsidRPr="00DD446A">
        <w:t>Les</w:t>
      </w:r>
      <w:r w:rsidRPr="00602BEF">
        <w:rPr>
          <w:bCs/>
        </w:rPr>
        <w:t xml:space="preserve"> systèmes de retenue satisfaisant aux prescriptions de l’annexe 8 du Règlement </w:t>
      </w:r>
      <w:r w:rsidR="005342F7" w:rsidRPr="002D76F4">
        <w:rPr>
          <w:rFonts w:eastAsia="MS Mincho"/>
          <w:szCs w:val="22"/>
        </w:rPr>
        <w:t>n</w:t>
      </w:r>
      <w:r w:rsidR="005342F7" w:rsidRPr="002D76F4">
        <w:rPr>
          <w:rFonts w:eastAsia="MS Mincho"/>
          <w:szCs w:val="22"/>
          <w:vertAlign w:val="superscript"/>
        </w:rPr>
        <w:t>o</w:t>
      </w:r>
      <w:r w:rsidR="005342F7">
        <w:t> </w:t>
      </w:r>
      <w:r w:rsidRPr="00602BEF">
        <w:rPr>
          <w:bCs/>
        </w:rPr>
        <w:t>107, série 02 d’amendements, ne sont pas soumis aux dispositions du présent Règlement.</w:t>
      </w:r>
    </w:p>
    <w:p w:rsidR="00602BEF" w:rsidRPr="00602BEF" w:rsidRDefault="00602BEF" w:rsidP="00DD446A">
      <w:pPr>
        <w:pStyle w:val="SingleTxtG"/>
        <w:ind w:left="2268"/>
        <w:rPr>
          <w:bCs/>
        </w:rPr>
      </w:pPr>
      <w:r w:rsidRPr="00602BEF">
        <w:rPr>
          <w:bCs/>
        </w:rPr>
        <w:tab/>
        <w:t>Les véhicules des catégories M</w:t>
      </w:r>
      <w:r w:rsidRPr="00602BEF">
        <w:rPr>
          <w:bCs/>
          <w:vertAlign w:val="subscript"/>
        </w:rPr>
        <w:t>2</w:t>
      </w:r>
      <w:r w:rsidRPr="00602BEF">
        <w:rPr>
          <w:bCs/>
        </w:rPr>
        <w:t xml:space="preserve"> ou M</w:t>
      </w:r>
      <w:r w:rsidRPr="00602BEF">
        <w:rPr>
          <w:bCs/>
          <w:vertAlign w:val="subscript"/>
        </w:rPr>
        <w:t>3</w:t>
      </w:r>
      <w:r w:rsidRPr="00602BEF">
        <w:rPr>
          <w:bCs/>
        </w:rPr>
        <w:t>, classe I ou A, peuvent être équipés de ceintures de sécurité et/ou de systèmes de retenue conformes aux prescriptions du présent Règlement.</w:t>
      </w:r>
    </w:p>
    <w:p w:rsidR="00602BEF" w:rsidRPr="00602BEF" w:rsidRDefault="00602BEF" w:rsidP="00DD446A">
      <w:pPr>
        <w:pStyle w:val="SingleTxtG"/>
        <w:ind w:left="2268"/>
        <w:rPr>
          <w:rFonts w:eastAsia="Batang"/>
          <w:bCs/>
          <w:lang w:eastAsia="ko-KR" w:bidi="gu-IN"/>
        </w:rPr>
      </w:pPr>
      <w:r w:rsidRPr="00602BEF">
        <w:rPr>
          <w:b/>
        </w:rPr>
        <w:tab/>
      </w:r>
      <w:r w:rsidRPr="00602BEF">
        <w:t>Seuls les véhicules des catégories M</w:t>
      </w:r>
      <w:r w:rsidRPr="00602BEF">
        <w:rPr>
          <w:vertAlign w:val="subscript"/>
        </w:rPr>
        <w:t>2</w:t>
      </w:r>
      <w:r w:rsidRPr="00602BEF">
        <w:t xml:space="preserve"> ou M</w:t>
      </w:r>
      <w:r w:rsidRPr="00602BEF">
        <w:rPr>
          <w:vertAlign w:val="subscript"/>
        </w:rPr>
        <w:t>3</w:t>
      </w:r>
      <w:r w:rsidRPr="00602BEF">
        <w:t xml:space="preserve"> peuvent être équipés de systèmes de retenue comprenant un dispositif souple d’adaptation en hauteur de la ceinture (</w:t>
      </w:r>
      <w:r w:rsidR="005342F7">
        <w:t>par. </w:t>
      </w:r>
      <w:r w:rsidRPr="00602BEF">
        <w:t>2.14.7).</w:t>
      </w:r>
      <w:r w:rsidR="00C73BF0">
        <w:rPr>
          <w:iCs/>
        </w:rPr>
        <w:t> »</w:t>
      </w:r>
      <w:r w:rsidRPr="00602BEF">
        <w:rPr>
          <w:iCs/>
        </w:rPr>
        <w:t>.</w:t>
      </w:r>
    </w:p>
    <w:p w:rsidR="00602BEF" w:rsidRPr="007363F5" w:rsidRDefault="00602BEF" w:rsidP="00602BEF">
      <w:pPr>
        <w:pStyle w:val="SingleTxtG"/>
        <w:rPr>
          <w:iCs/>
        </w:rPr>
      </w:pPr>
      <w:r w:rsidRPr="00602BEF">
        <w:rPr>
          <w:i/>
          <w:iCs/>
        </w:rPr>
        <w:t>Ajouter un nouveau paragraphe 8.1.3</w:t>
      </w:r>
      <w:r w:rsidRPr="009708A9">
        <w:rPr>
          <w:iCs/>
        </w:rPr>
        <w:t>,</w:t>
      </w:r>
      <w:r w:rsidRPr="007363F5">
        <w:rPr>
          <w:iCs/>
        </w:rPr>
        <w:t xml:space="preserve"> </w:t>
      </w:r>
      <w:r w:rsidRPr="00602BEF">
        <w:rPr>
          <w:iCs/>
        </w:rPr>
        <w:t>ainsi conçu</w:t>
      </w:r>
      <w:r w:rsidR="005342F7">
        <w:rPr>
          <w:iCs/>
        </w:rPr>
        <w:t> :</w:t>
      </w:r>
    </w:p>
    <w:p w:rsidR="00602BEF" w:rsidRPr="00602BEF" w:rsidRDefault="00C73BF0" w:rsidP="00DD446A">
      <w:pPr>
        <w:pStyle w:val="SingleTxtG"/>
        <w:ind w:left="2268" w:hanging="1134"/>
      </w:pPr>
      <w:r w:rsidRPr="00C73BF0">
        <w:rPr>
          <w:iCs/>
        </w:rPr>
        <w:t>«</w:t>
      </w:r>
      <w:r w:rsidRPr="007363F5">
        <w:rPr>
          <w:iCs/>
        </w:rPr>
        <w:t> </w:t>
      </w:r>
      <w:r w:rsidR="00602BEF" w:rsidRPr="00602BEF">
        <w:rPr>
          <w:b/>
          <w:lang w:eastAsia="en-GB"/>
        </w:rPr>
        <w:t>8.1.3</w:t>
      </w:r>
      <w:r w:rsidR="00602BEF" w:rsidRPr="00602BEF">
        <w:rPr>
          <w:b/>
          <w:lang w:eastAsia="en-GB"/>
        </w:rPr>
        <w:tab/>
        <w:t xml:space="preserve">Dans le </w:t>
      </w:r>
      <w:r w:rsidR="00602BEF" w:rsidRPr="00602BEF">
        <w:rPr>
          <w:b/>
        </w:rPr>
        <w:t xml:space="preserve">cas de sièges qui ne sont pas seulement </w:t>
      </w:r>
      <w:r w:rsidR="007363F5">
        <w:rPr>
          <w:b/>
        </w:rPr>
        <w:t>destiné</w:t>
      </w:r>
      <w:r w:rsidR="00602BEF" w:rsidRPr="00602BEF">
        <w:rPr>
          <w:b/>
        </w:rPr>
        <w:t>s à être utilisés lorsque le véhicule est à l’arrêt mais qui peuvent être tournés ou placés dans plus d’une orientation, les prescriptions des paragraphes 8.1.1 à 8.1.2 ne doivent</w:t>
      </w:r>
      <w:r w:rsidR="005342F7">
        <w:rPr>
          <w:b/>
        </w:rPr>
        <w:t xml:space="preserve"> </w:t>
      </w:r>
      <w:r w:rsidR="00602BEF" w:rsidRPr="00602BEF">
        <w:rPr>
          <w:b/>
        </w:rPr>
        <w:t>s’appliquer qu’aux orientations destinées à un usage normal</w:t>
      </w:r>
      <w:r w:rsidR="005342F7">
        <w:rPr>
          <w:b/>
        </w:rPr>
        <w:t xml:space="preserve"> </w:t>
      </w:r>
      <w:r w:rsidR="00602BEF" w:rsidRPr="00602BEF">
        <w:rPr>
          <w:b/>
        </w:rPr>
        <w:t>lorsque le véhicule circule sur route.</w:t>
      </w:r>
      <w:r>
        <w:rPr>
          <w:iCs/>
        </w:rPr>
        <w:t> »</w:t>
      </w:r>
      <w:r w:rsidR="00602BEF" w:rsidRPr="00602BEF">
        <w:rPr>
          <w:iCs/>
        </w:rPr>
        <w:t>.</w:t>
      </w:r>
      <w:r w:rsidR="00602BEF" w:rsidRPr="00602BEF">
        <w:t xml:space="preserve"> </w:t>
      </w:r>
    </w:p>
    <w:p w:rsidR="00602BEF" w:rsidRPr="007363F5" w:rsidRDefault="00602BEF" w:rsidP="00602BEF">
      <w:pPr>
        <w:pStyle w:val="SingleTxtG"/>
        <w:rPr>
          <w:iCs/>
        </w:rPr>
      </w:pPr>
      <w:r w:rsidRPr="00602BEF">
        <w:rPr>
          <w:i/>
          <w:iCs/>
        </w:rPr>
        <w:t xml:space="preserve">Les paragraphes 8.1.3 (ancien) à 8.1.10 </w:t>
      </w:r>
      <w:r w:rsidRPr="00602BEF">
        <w:rPr>
          <w:iCs/>
        </w:rPr>
        <w:t>deviennent les paragraphes 8.1.4 à 8.1.11.</w:t>
      </w:r>
    </w:p>
    <w:p w:rsidR="00602BEF" w:rsidRPr="007363F5" w:rsidRDefault="00602BEF" w:rsidP="00602BEF">
      <w:pPr>
        <w:pStyle w:val="SingleTxtG"/>
        <w:rPr>
          <w:iCs/>
        </w:rPr>
      </w:pPr>
      <w:r w:rsidRPr="00602BEF">
        <w:rPr>
          <w:i/>
          <w:iCs/>
        </w:rPr>
        <w:t>Paragraphe 8.1.11 (ancien)</w:t>
      </w:r>
      <w:r w:rsidRPr="009708A9">
        <w:rPr>
          <w:iCs/>
        </w:rPr>
        <w:t>,</w:t>
      </w:r>
      <w:r w:rsidRPr="007363F5">
        <w:rPr>
          <w:iCs/>
        </w:rPr>
        <w:t xml:space="preserve"> </w:t>
      </w:r>
      <w:r w:rsidRPr="00602BEF">
        <w:rPr>
          <w:iCs/>
        </w:rPr>
        <w:t>supprimer</w:t>
      </w:r>
      <w:r w:rsidRPr="007363F5">
        <w:rPr>
          <w:iCs/>
        </w:rPr>
        <w:t>.</w:t>
      </w:r>
    </w:p>
    <w:p w:rsidR="00602BEF" w:rsidRPr="007363F5" w:rsidRDefault="00602BEF" w:rsidP="00602BEF">
      <w:pPr>
        <w:pStyle w:val="SingleTxtG"/>
        <w:rPr>
          <w:iCs/>
        </w:rPr>
      </w:pPr>
      <w:r w:rsidRPr="00602BEF">
        <w:rPr>
          <w:i/>
          <w:iCs/>
        </w:rPr>
        <w:t>Ajouter de nouveaux paragraphes 8.1.12 à 8.1.15</w:t>
      </w:r>
      <w:r w:rsidRPr="009708A9">
        <w:rPr>
          <w:iCs/>
        </w:rPr>
        <w:t>,</w:t>
      </w:r>
      <w:r w:rsidRPr="007363F5">
        <w:rPr>
          <w:iCs/>
        </w:rPr>
        <w:t xml:space="preserve"> </w:t>
      </w:r>
      <w:r w:rsidRPr="00602BEF">
        <w:rPr>
          <w:iCs/>
        </w:rPr>
        <w:t>ainsi conçus</w:t>
      </w:r>
      <w:r w:rsidR="005342F7">
        <w:rPr>
          <w:iCs/>
        </w:rPr>
        <w:t> :</w:t>
      </w:r>
    </w:p>
    <w:p w:rsidR="00602BEF" w:rsidRPr="00602BEF" w:rsidRDefault="00C73BF0" w:rsidP="00DD446A">
      <w:pPr>
        <w:pStyle w:val="SingleTxtG"/>
        <w:ind w:left="2268" w:hanging="1134"/>
        <w:rPr>
          <w:b/>
        </w:rPr>
      </w:pPr>
      <w:r w:rsidRPr="00C73BF0">
        <w:rPr>
          <w:iCs/>
        </w:rPr>
        <w:t>«</w:t>
      </w:r>
      <w:r w:rsidRPr="007363F5">
        <w:rPr>
          <w:iCs/>
        </w:rPr>
        <w:t> </w:t>
      </w:r>
      <w:r w:rsidR="00602BEF" w:rsidRPr="00602BEF">
        <w:rPr>
          <w:b/>
        </w:rPr>
        <w:t>8.1.12</w:t>
      </w:r>
      <w:r w:rsidR="00602BEF" w:rsidRPr="00602BEF">
        <w:rPr>
          <w:b/>
        </w:rPr>
        <w:tab/>
        <w:t xml:space="preserve">Un témoin distinct </w:t>
      </w:r>
      <w:r w:rsidR="009708A9">
        <w:rPr>
          <w:b/>
        </w:rPr>
        <w:t>“</w:t>
      </w:r>
      <w:r w:rsidR="00602BEF" w:rsidRPr="00602BEF">
        <w:rPr>
          <w:b/>
        </w:rPr>
        <w:t>coussin gonflable passager désactivé</w:t>
      </w:r>
      <w:r w:rsidR="009708A9">
        <w:rPr>
          <w:b/>
        </w:rPr>
        <w:t>”</w:t>
      </w:r>
      <w:r w:rsidR="00602BEF" w:rsidRPr="00602BEF">
        <w:rPr>
          <w:b/>
        </w:rPr>
        <w:t xml:space="preserve"> conforme aux prescriptions du Règlement </w:t>
      </w:r>
      <w:r w:rsidR="005342F7" w:rsidRPr="005342F7">
        <w:rPr>
          <w:b/>
        </w:rPr>
        <w:t>n</w:t>
      </w:r>
      <w:r w:rsidR="005342F7" w:rsidRPr="005342F7">
        <w:rPr>
          <w:b/>
          <w:vertAlign w:val="superscript"/>
        </w:rPr>
        <w:t>o</w:t>
      </w:r>
      <w:r w:rsidR="005342F7" w:rsidRPr="005342F7">
        <w:rPr>
          <w:b/>
        </w:rPr>
        <w:t> </w:t>
      </w:r>
      <w:r w:rsidR="00602BEF" w:rsidRPr="00602BEF">
        <w:rPr>
          <w:b/>
        </w:rPr>
        <w:t>121 doit être prévu pour le(s) coussin(s) gonflable(s) de protection frontale des passagers dans les véhicules des catégories M</w:t>
      </w:r>
      <w:r w:rsidR="00602BEF" w:rsidRPr="00602BEF">
        <w:rPr>
          <w:b/>
          <w:vertAlign w:val="subscript"/>
        </w:rPr>
        <w:t>1</w:t>
      </w:r>
      <w:r w:rsidR="00602BEF" w:rsidRPr="00602BEF">
        <w:rPr>
          <w:b/>
        </w:rPr>
        <w:t xml:space="preserve"> et N</w:t>
      </w:r>
      <w:r w:rsidR="00602BEF" w:rsidRPr="00602BEF">
        <w:rPr>
          <w:b/>
          <w:vertAlign w:val="subscript"/>
        </w:rPr>
        <w:t>1</w:t>
      </w:r>
      <w:r w:rsidR="00602BEF" w:rsidRPr="00602BEF">
        <w:rPr>
          <w:b/>
        </w:rPr>
        <w:t xml:space="preserve"> équipés d’un dispositif de désactivation (manuel ou automatique). [Le témoin doit comporter les mots suivants </w:t>
      </w:r>
      <w:r w:rsidR="009708A9">
        <w:rPr>
          <w:b/>
        </w:rPr>
        <w:t>“</w:t>
      </w:r>
      <w:r w:rsidR="00602BEF" w:rsidRPr="00602BEF">
        <w:rPr>
          <w:b/>
        </w:rPr>
        <w:t>COUSSIN GONFLABLE passager DESACTIVE</w:t>
      </w:r>
      <w:r w:rsidR="009708A9">
        <w:rPr>
          <w:b/>
        </w:rPr>
        <w:t>”</w:t>
      </w:r>
      <w:r w:rsidR="00602BEF" w:rsidRPr="00602BEF">
        <w:rPr>
          <w:b/>
        </w:rPr>
        <w:t xml:space="preserve"> à 25 mm (au-dessus ou au-dessous) du témoin]</w:t>
      </w:r>
      <w:r w:rsidR="00602BEF" w:rsidRPr="00602BEF">
        <w:rPr>
          <w:b/>
          <w:vertAlign w:val="superscript"/>
          <w:lang w:val="en-GB"/>
        </w:rPr>
        <w:footnoteReference w:id="4"/>
      </w:r>
      <w:r w:rsidR="007363F5">
        <w:rPr>
          <w:b/>
        </w:rPr>
        <w:t>.</w:t>
      </w:r>
    </w:p>
    <w:p w:rsidR="00602BEF" w:rsidRPr="00602BEF" w:rsidRDefault="00602BEF" w:rsidP="00DD446A">
      <w:pPr>
        <w:pStyle w:val="SingleTxtG"/>
        <w:ind w:left="2268" w:hanging="1134"/>
        <w:rPr>
          <w:b/>
        </w:rPr>
      </w:pPr>
      <w:r w:rsidRPr="00602BEF">
        <w:rPr>
          <w:b/>
        </w:rPr>
        <w:t>8.1.13</w:t>
      </w:r>
      <w:r w:rsidRPr="00602BEF">
        <w:rPr>
          <w:b/>
        </w:rPr>
        <w:tab/>
        <w:t xml:space="preserve">Chaque fois que le </w:t>
      </w:r>
      <w:r w:rsidR="009708A9">
        <w:rPr>
          <w:b/>
        </w:rPr>
        <w:t>“</w:t>
      </w:r>
      <w:r w:rsidRPr="00602BEF">
        <w:rPr>
          <w:b/>
        </w:rPr>
        <w:t>commutateur de contact du véhicule</w:t>
      </w:r>
      <w:r w:rsidR="009708A9">
        <w:rPr>
          <w:b/>
        </w:rPr>
        <w:t>”</w:t>
      </w:r>
      <w:r w:rsidRPr="00602BEF">
        <w:rPr>
          <w:b/>
        </w:rPr>
        <w:t xml:space="preserve"> est sur la position </w:t>
      </w:r>
      <w:r w:rsidR="00C73BF0">
        <w:rPr>
          <w:b/>
        </w:rPr>
        <w:t>“</w:t>
      </w:r>
      <w:r w:rsidRPr="00602BEF">
        <w:rPr>
          <w:b/>
        </w:rPr>
        <w:t>ACTIVE</w:t>
      </w:r>
      <w:r w:rsidR="00C73BF0">
        <w:rPr>
          <w:b/>
        </w:rPr>
        <w:t>”</w:t>
      </w:r>
      <w:r w:rsidRPr="00602BEF">
        <w:rPr>
          <w:b/>
        </w:rPr>
        <w:t xml:space="preserve">, chaque témoin de </w:t>
      </w:r>
      <w:r w:rsidR="009708A9">
        <w:rPr>
          <w:b/>
        </w:rPr>
        <w:t>“</w:t>
      </w:r>
      <w:r w:rsidRPr="00602BEF">
        <w:rPr>
          <w:b/>
        </w:rPr>
        <w:t>coussin gonflable passager désactivé</w:t>
      </w:r>
      <w:r w:rsidR="009708A9">
        <w:rPr>
          <w:b/>
        </w:rPr>
        <w:t>”</w:t>
      </w:r>
      <w:r w:rsidRPr="00602BEF">
        <w:rPr>
          <w:b/>
        </w:rPr>
        <w:t xml:space="preserve"> conforme au paragraphe 8.1.12 doit (permettant que soient effectués les nécessaires diagnostic du véhicule et contrôle du système)</w:t>
      </w:r>
      <w:r w:rsidR="005342F7">
        <w:rPr>
          <w:b/>
        </w:rPr>
        <w:t> :</w:t>
      </w:r>
    </w:p>
    <w:p w:rsidR="00602BEF" w:rsidRPr="00DD446A" w:rsidRDefault="00602BEF" w:rsidP="00DD446A">
      <w:pPr>
        <w:pStyle w:val="SingleTxtG"/>
        <w:ind w:left="2835" w:hanging="567"/>
        <w:rPr>
          <w:b/>
        </w:rPr>
      </w:pPr>
      <w:r w:rsidRPr="00DD446A">
        <w:rPr>
          <w:b/>
        </w:rPr>
        <w:t>a)</w:t>
      </w:r>
      <w:r w:rsidRPr="00DD446A">
        <w:rPr>
          <w:b/>
        </w:rPr>
        <w:tab/>
        <w:t>[</w:t>
      </w:r>
      <w:r w:rsidR="007363F5" w:rsidRPr="00DD446A">
        <w:rPr>
          <w:b/>
        </w:rPr>
        <w:t xml:space="preserve">Ne </w:t>
      </w:r>
      <w:r w:rsidRPr="00DD446A">
        <w:rPr>
          <w:b/>
        </w:rPr>
        <w:t>pas s’allumer lorsque le coussin gonflable de protection frontale du passager auquel il s’applique est activé (ACTIVE]</w:t>
      </w:r>
      <w:r w:rsidR="005342F7">
        <w:rPr>
          <w:b/>
        </w:rPr>
        <w:t> ;</w:t>
      </w:r>
      <w:r w:rsidRPr="00DD446A">
        <w:rPr>
          <w:b/>
        </w:rPr>
        <w:t xml:space="preserve"> et</w:t>
      </w:r>
    </w:p>
    <w:p w:rsidR="00602BEF" w:rsidRPr="00602BEF" w:rsidRDefault="00602BEF" w:rsidP="00DD446A">
      <w:pPr>
        <w:pStyle w:val="SingleTxtG"/>
        <w:ind w:left="2835" w:hanging="567"/>
        <w:rPr>
          <w:b/>
        </w:rPr>
      </w:pPr>
      <w:r w:rsidRPr="00602BEF">
        <w:rPr>
          <w:b/>
        </w:rPr>
        <w:lastRenderedPageBreak/>
        <w:t>b)</w:t>
      </w:r>
      <w:r w:rsidRPr="00602BEF">
        <w:rPr>
          <w:b/>
        </w:rPr>
        <w:tab/>
      </w:r>
      <w:r w:rsidR="007363F5" w:rsidRPr="00602BEF">
        <w:rPr>
          <w:b/>
        </w:rPr>
        <w:t xml:space="preserve">S’allumer </w:t>
      </w:r>
      <w:r w:rsidRPr="00602BEF">
        <w:rPr>
          <w:b/>
        </w:rPr>
        <w:t>et (sauf exigence contraire du paragraphe 8.5 du présent Règlement) rester allumé chaque fois que le(s) coussin(s) gonflable(s) de protection frontale du passager auquel il(s) s’applique(nt) est/sont désactivé(s) (DESACTIVE).</w:t>
      </w:r>
    </w:p>
    <w:p w:rsidR="00602BEF" w:rsidRPr="00602BEF" w:rsidRDefault="00602BEF" w:rsidP="00DD446A">
      <w:pPr>
        <w:pStyle w:val="SingleTxtG"/>
        <w:ind w:left="2268" w:hanging="1134"/>
        <w:rPr>
          <w:b/>
        </w:rPr>
      </w:pPr>
      <w:r w:rsidRPr="00602BEF">
        <w:rPr>
          <w:b/>
        </w:rPr>
        <w:t>8.1.14</w:t>
      </w:r>
      <w:r w:rsidRPr="00602BEF">
        <w:rPr>
          <w:b/>
        </w:rPr>
        <w:tab/>
        <w:t>Lorsqu’un ou plusieurs coussin(s) gonflable(s) de protection frontale des passagers présent</w:t>
      </w:r>
      <w:r w:rsidR="007363F5">
        <w:rPr>
          <w:b/>
        </w:rPr>
        <w:t>(s)</w:t>
      </w:r>
      <w:r w:rsidRPr="00602BEF">
        <w:rPr>
          <w:b/>
        </w:rPr>
        <w:t xml:space="preserve"> sur un véhicule de catégorie M</w:t>
      </w:r>
      <w:r w:rsidRPr="00602BEF">
        <w:rPr>
          <w:b/>
          <w:vertAlign w:val="subscript"/>
        </w:rPr>
        <w:t>1</w:t>
      </w:r>
      <w:r w:rsidRPr="00602BEF">
        <w:rPr>
          <w:b/>
        </w:rPr>
        <w:t xml:space="preserve"> ou N</w:t>
      </w:r>
      <w:r w:rsidRPr="00602BEF">
        <w:rPr>
          <w:b/>
          <w:vertAlign w:val="subscript"/>
        </w:rPr>
        <w:t>1</w:t>
      </w:r>
      <w:r w:rsidRPr="00602BEF">
        <w:rPr>
          <w:b/>
        </w:rPr>
        <w:t xml:space="preserve"> est/sont équipé(s) d’un dispositif de désactivation manuelle</w:t>
      </w:r>
      <w:r w:rsidR="005342F7">
        <w:rPr>
          <w:b/>
        </w:rPr>
        <w:t> :</w:t>
      </w:r>
    </w:p>
    <w:p w:rsidR="00602BEF" w:rsidRPr="00602BEF" w:rsidRDefault="00602BEF" w:rsidP="00DD446A">
      <w:pPr>
        <w:pStyle w:val="SingleTxtG"/>
        <w:ind w:left="2268" w:hanging="1134"/>
        <w:rPr>
          <w:b/>
        </w:rPr>
      </w:pPr>
      <w:r w:rsidRPr="00602BEF">
        <w:rPr>
          <w:b/>
        </w:rPr>
        <w:t>8.1.14.1</w:t>
      </w:r>
      <w:r w:rsidRPr="00602BEF">
        <w:rPr>
          <w:b/>
        </w:rPr>
        <w:tab/>
        <w:t>Chacun de ces dispositifs matériels (par exemple un interrupteur manuel) doit</w:t>
      </w:r>
      <w:r w:rsidR="005342F7">
        <w:rPr>
          <w:b/>
        </w:rPr>
        <w:t> :</w:t>
      </w:r>
    </w:p>
    <w:p w:rsidR="00602BEF" w:rsidRPr="00602BEF" w:rsidRDefault="00602BEF" w:rsidP="00DD446A">
      <w:pPr>
        <w:pStyle w:val="SingleTxtG"/>
        <w:ind w:left="2835" w:hanging="567"/>
        <w:rPr>
          <w:b/>
        </w:rPr>
      </w:pPr>
      <w:r w:rsidRPr="00602BEF">
        <w:rPr>
          <w:b/>
        </w:rPr>
        <w:t>a)</w:t>
      </w:r>
      <w:r w:rsidRPr="00602BEF">
        <w:rPr>
          <w:b/>
        </w:rPr>
        <w:tab/>
        <w:t>Se trouver du côté passage</w:t>
      </w:r>
      <w:r w:rsidR="00E951A9">
        <w:rPr>
          <w:b/>
        </w:rPr>
        <w:t>r</w:t>
      </w:r>
      <w:r w:rsidRPr="00602BEF">
        <w:rPr>
          <w:b/>
        </w:rPr>
        <w:t xml:space="preserve"> du véhicule et être clairement identifié par les mots </w:t>
      </w:r>
      <w:r w:rsidR="009708A9">
        <w:rPr>
          <w:b/>
        </w:rPr>
        <w:t>“</w:t>
      </w:r>
      <w:r w:rsidRPr="00602BEF">
        <w:rPr>
          <w:b/>
        </w:rPr>
        <w:t>COUSSIN GONFLABLE passager DESACTIVE/ACTIVE</w:t>
      </w:r>
      <w:r w:rsidR="009708A9">
        <w:rPr>
          <w:b/>
        </w:rPr>
        <w:t>”</w:t>
      </w:r>
      <w:r w:rsidRPr="00602BEF">
        <w:rPr>
          <w:b/>
        </w:rPr>
        <w:t xml:space="preserve"> ou </w:t>
      </w:r>
      <w:r w:rsidR="009708A9">
        <w:rPr>
          <w:b/>
        </w:rPr>
        <w:t>“</w:t>
      </w:r>
      <w:r w:rsidRPr="00602BEF">
        <w:rPr>
          <w:b/>
        </w:rPr>
        <w:t>COUSSIN GONFLABLE passager ACTIVE/DESACTIVE</w:t>
      </w:r>
      <w:r w:rsidR="009708A9">
        <w:rPr>
          <w:b/>
        </w:rPr>
        <w:t>”</w:t>
      </w:r>
      <w:r w:rsidRPr="00602BEF">
        <w:rPr>
          <w:b/>
        </w:rPr>
        <w:t xml:space="preserve"> (selon le cas)</w:t>
      </w:r>
      <w:r w:rsidR="00E951A9">
        <w:rPr>
          <w:b/>
        </w:rPr>
        <w:t> ;</w:t>
      </w:r>
      <w:r w:rsidRPr="00602BEF">
        <w:rPr>
          <w:b/>
        </w:rPr>
        <w:t xml:space="preserve"> </w:t>
      </w:r>
    </w:p>
    <w:p w:rsidR="00602BEF" w:rsidRPr="00602BEF" w:rsidRDefault="00602BEF" w:rsidP="00681011">
      <w:pPr>
        <w:pStyle w:val="SingleTxtG"/>
        <w:ind w:left="2835" w:hanging="567"/>
        <w:rPr>
          <w:b/>
        </w:rPr>
      </w:pPr>
      <w:r w:rsidRPr="00602BEF">
        <w:rPr>
          <w:b/>
        </w:rPr>
        <w:t>b)</w:t>
      </w:r>
      <w:r w:rsidRPr="00602BEF">
        <w:rPr>
          <w:b/>
        </w:rPr>
        <w:tab/>
        <w:t xml:space="preserve">Inclure une position d’activation du coussin gonflable passager durablement marquée [du mot </w:t>
      </w:r>
      <w:r w:rsidR="009708A9">
        <w:rPr>
          <w:b/>
        </w:rPr>
        <w:t>“</w:t>
      </w:r>
      <w:r w:rsidRPr="00602BEF">
        <w:rPr>
          <w:b/>
        </w:rPr>
        <w:t>ACTIVE</w:t>
      </w:r>
      <w:r w:rsidR="009708A9">
        <w:rPr>
          <w:b/>
        </w:rPr>
        <w:t>”</w:t>
      </w:r>
      <w:r w:rsidRPr="00602BEF">
        <w:rPr>
          <w:b/>
        </w:rPr>
        <w:t xml:space="preserve">] avec le pictogramme </w:t>
      </w:r>
      <w:r w:rsidR="009708A9">
        <w:rPr>
          <w:b/>
        </w:rPr>
        <w:t>“</w:t>
      </w:r>
      <w:r w:rsidRPr="00602BEF">
        <w:rPr>
          <w:b/>
        </w:rPr>
        <w:t>coussin gonflable passager activé</w:t>
      </w:r>
      <w:r w:rsidR="009708A9">
        <w:rPr>
          <w:b/>
        </w:rPr>
        <w:t>”</w:t>
      </w:r>
      <w:r w:rsidRPr="00602BEF">
        <w:rPr>
          <w:b/>
          <w:vertAlign w:val="superscript"/>
          <w:lang w:val="en-GB"/>
        </w:rPr>
        <w:footnoteReference w:id="5"/>
      </w:r>
      <w:r w:rsidRPr="00602BEF">
        <w:rPr>
          <w:b/>
        </w:rPr>
        <w:t xml:space="preserve"> ci-dessous</w:t>
      </w:r>
      <w:r w:rsidR="005342F7">
        <w:rPr>
          <w:b/>
        </w:rPr>
        <w:t> :</w:t>
      </w:r>
    </w:p>
    <w:p w:rsidR="00602BEF" w:rsidRPr="00602BEF" w:rsidRDefault="00602BEF" w:rsidP="00681011">
      <w:pPr>
        <w:spacing w:after="120"/>
        <w:jc w:val="center"/>
        <w:rPr>
          <w:b/>
          <w:lang w:val="en-GB"/>
        </w:rPr>
      </w:pPr>
      <w:r w:rsidRPr="00602BEF">
        <w:rPr>
          <w:b/>
          <w:noProof/>
          <w:lang w:val="fr-FR" w:eastAsia="fr-FR"/>
        </w:rPr>
        <w:drawing>
          <wp:inline distT="0" distB="0" distL="0" distR="0" wp14:anchorId="4A5194B5" wp14:editId="36C2AFA8">
            <wp:extent cx="1258570" cy="1230630"/>
            <wp:effectExtent l="0" t="0" r="0" b="7620"/>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570" cy="1230630"/>
                    </a:xfrm>
                    <a:prstGeom prst="rect">
                      <a:avLst/>
                    </a:prstGeom>
                    <a:noFill/>
                    <a:ln>
                      <a:noFill/>
                    </a:ln>
                  </pic:spPr>
                </pic:pic>
              </a:graphicData>
            </a:graphic>
          </wp:inline>
        </w:drawing>
      </w:r>
    </w:p>
    <w:p w:rsidR="00602BEF" w:rsidRPr="00602BEF" w:rsidRDefault="00602BEF" w:rsidP="00681011">
      <w:pPr>
        <w:pStyle w:val="SingleTxtG"/>
        <w:ind w:left="2835" w:hanging="567"/>
        <w:rPr>
          <w:b/>
        </w:rPr>
      </w:pPr>
      <w:r w:rsidRPr="00602BEF">
        <w:rPr>
          <w:b/>
        </w:rPr>
        <w:t>c)</w:t>
      </w:r>
      <w:r w:rsidRPr="00602BEF">
        <w:rPr>
          <w:b/>
        </w:rPr>
        <w:tab/>
        <w:t xml:space="preserve">Inclure une position d’activation du coussin gonflable passager durablement marquée [du mot </w:t>
      </w:r>
      <w:r w:rsidR="009708A9">
        <w:rPr>
          <w:b/>
        </w:rPr>
        <w:t>“</w:t>
      </w:r>
      <w:r w:rsidRPr="00602BEF">
        <w:rPr>
          <w:b/>
        </w:rPr>
        <w:t>DESACTIVE</w:t>
      </w:r>
      <w:r w:rsidR="009708A9">
        <w:rPr>
          <w:b/>
        </w:rPr>
        <w:t>”</w:t>
      </w:r>
      <w:r w:rsidRPr="00602BEF">
        <w:rPr>
          <w:b/>
        </w:rPr>
        <w:t xml:space="preserve">] avec le pictogramme </w:t>
      </w:r>
      <w:r w:rsidR="009708A9">
        <w:rPr>
          <w:b/>
        </w:rPr>
        <w:t>“</w:t>
      </w:r>
      <w:r w:rsidRPr="00602BEF">
        <w:rPr>
          <w:b/>
        </w:rPr>
        <w:t>coussin gonflable passager désactivé</w:t>
      </w:r>
      <w:r w:rsidR="009708A9">
        <w:rPr>
          <w:b/>
        </w:rPr>
        <w:t>”</w:t>
      </w:r>
      <w:r w:rsidRPr="00602BEF">
        <w:rPr>
          <w:b/>
          <w:vertAlign w:val="superscript"/>
        </w:rPr>
        <w:t>11</w:t>
      </w:r>
      <w:r w:rsidRPr="00602BEF">
        <w:rPr>
          <w:b/>
        </w:rPr>
        <w:t xml:space="preserve"> ci-dessous</w:t>
      </w:r>
      <w:r w:rsidR="005342F7">
        <w:rPr>
          <w:b/>
        </w:rPr>
        <w:t> :</w:t>
      </w:r>
    </w:p>
    <w:p w:rsidR="00602BEF" w:rsidRPr="00602BEF" w:rsidRDefault="00602BEF" w:rsidP="00681011">
      <w:pPr>
        <w:jc w:val="center"/>
        <w:rPr>
          <w:b/>
          <w:lang w:val="en-GB"/>
        </w:rPr>
      </w:pPr>
      <w:r w:rsidRPr="00602BEF">
        <w:rPr>
          <w:b/>
          <w:noProof/>
          <w:lang w:val="fr-FR" w:eastAsia="fr-FR"/>
        </w:rPr>
        <w:drawing>
          <wp:inline distT="0" distB="0" distL="0" distR="0" wp14:anchorId="65D999F1" wp14:editId="67F3B18D">
            <wp:extent cx="1260000" cy="1248243"/>
            <wp:effectExtent l="0" t="0" r="0" b="9525"/>
            <wp:docPr id="1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0000" cy="1248243"/>
                    </a:xfrm>
                    <a:prstGeom prst="rect">
                      <a:avLst/>
                    </a:prstGeom>
                    <a:noFill/>
                    <a:ln>
                      <a:noFill/>
                    </a:ln>
                  </pic:spPr>
                </pic:pic>
              </a:graphicData>
            </a:graphic>
          </wp:inline>
        </w:drawing>
      </w:r>
    </w:p>
    <w:p w:rsidR="00602BEF" w:rsidRPr="00602BEF" w:rsidRDefault="00602BEF" w:rsidP="00681011">
      <w:pPr>
        <w:pStyle w:val="SingleTxtG"/>
        <w:spacing w:before="120"/>
        <w:ind w:left="2268" w:hanging="1134"/>
        <w:rPr>
          <w:b/>
        </w:rPr>
      </w:pPr>
      <w:r w:rsidRPr="00602BEF">
        <w:rPr>
          <w:b/>
        </w:rPr>
        <w:t>8.1.14.2</w:t>
      </w:r>
      <w:r w:rsidRPr="00602BEF">
        <w:rPr>
          <w:b/>
        </w:rPr>
        <w:tab/>
        <w:t>Chacun de ces dispositifs logiciels</w:t>
      </w:r>
      <w:r w:rsidR="005342F7">
        <w:rPr>
          <w:b/>
        </w:rPr>
        <w:t xml:space="preserve"> </w:t>
      </w:r>
      <w:r w:rsidRPr="00602BEF">
        <w:rPr>
          <w:b/>
        </w:rPr>
        <w:t>(par exemple un menu électronique option/sous</w:t>
      </w:r>
      <w:r w:rsidRPr="00602BEF">
        <w:rPr>
          <w:b/>
        </w:rPr>
        <w:noBreakHyphen/>
        <w:t>option) doit</w:t>
      </w:r>
      <w:r w:rsidR="005342F7">
        <w:rPr>
          <w:b/>
        </w:rPr>
        <w:t> :</w:t>
      </w:r>
    </w:p>
    <w:p w:rsidR="00602BEF" w:rsidRPr="00602BEF" w:rsidRDefault="00602BEF" w:rsidP="00DD446A">
      <w:pPr>
        <w:pStyle w:val="SingleTxtG"/>
        <w:ind w:left="2835" w:hanging="567"/>
        <w:rPr>
          <w:b/>
        </w:rPr>
      </w:pPr>
      <w:r w:rsidRPr="00602BEF">
        <w:rPr>
          <w:b/>
        </w:rPr>
        <w:t>a)</w:t>
      </w:r>
      <w:r w:rsidRPr="00602BEF">
        <w:rPr>
          <w:b/>
        </w:rPr>
        <w:tab/>
        <w:t xml:space="preserve">Afficher/contenir [les mots </w:t>
      </w:r>
      <w:r w:rsidR="009708A9">
        <w:rPr>
          <w:b/>
        </w:rPr>
        <w:t>“</w:t>
      </w:r>
      <w:r w:rsidRPr="00602BEF">
        <w:rPr>
          <w:b/>
        </w:rPr>
        <w:t>COUSSIN GONFLABLE passager ACTIVE</w:t>
      </w:r>
      <w:r w:rsidR="009708A9">
        <w:rPr>
          <w:b/>
        </w:rPr>
        <w:t>”</w:t>
      </w:r>
      <w:r w:rsidRPr="00602BEF">
        <w:rPr>
          <w:b/>
        </w:rPr>
        <w:t>] avec (c’est</w:t>
      </w:r>
      <w:r w:rsidR="009708A9">
        <w:rPr>
          <w:b/>
        </w:rPr>
        <w:t>-</w:t>
      </w:r>
      <w:r w:rsidRPr="00602BEF">
        <w:rPr>
          <w:b/>
        </w:rPr>
        <w:t>à</w:t>
      </w:r>
      <w:r w:rsidR="009708A9">
        <w:rPr>
          <w:b/>
        </w:rPr>
        <w:t>-</w:t>
      </w:r>
      <w:r w:rsidRPr="00602BEF">
        <w:rPr>
          <w:b/>
        </w:rPr>
        <w:t xml:space="preserve">dire en même temps que) le pictogramme </w:t>
      </w:r>
      <w:r w:rsidR="009708A9">
        <w:rPr>
          <w:b/>
        </w:rPr>
        <w:t>“</w:t>
      </w:r>
      <w:r w:rsidRPr="00602BEF">
        <w:rPr>
          <w:b/>
        </w:rPr>
        <w:t>coussin gonflable passager activé</w:t>
      </w:r>
      <w:r w:rsidR="009708A9">
        <w:rPr>
          <w:b/>
        </w:rPr>
        <w:t>”</w:t>
      </w:r>
      <w:r w:rsidRPr="00602BEF">
        <w:rPr>
          <w:b/>
          <w:vertAlign w:val="superscript"/>
        </w:rPr>
        <w:t>11</w:t>
      </w:r>
      <w:r w:rsidRPr="00602BEF">
        <w:rPr>
          <w:b/>
        </w:rPr>
        <w:t xml:space="preserve"> représenté au paragraphe 8.1.14.1 b) ci-dessus</w:t>
      </w:r>
      <w:r w:rsidR="00E951A9">
        <w:rPr>
          <w:b/>
        </w:rPr>
        <w:t> ;</w:t>
      </w:r>
    </w:p>
    <w:p w:rsidR="00602BEF" w:rsidRPr="00602BEF" w:rsidRDefault="00602BEF" w:rsidP="00DD446A">
      <w:pPr>
        <w:pStyle w:val="SingleTxtG"/>
        <w:ind w:left="2835" w:hanging="567"/>
        <w:rPr>
          <w:b/>
        </w:rPr>
      </w:pPr>
      <w:r w:rsidRPr="00602BEF">
        <w:rPr>
          <w:b/>
        </w:rPr>
        <w:t>b)</w:t>
      </w:r>
      <w:r w:rsidRPr="00602BEF">
        <w:rPr>
          <w:b/>
        </w:rPr>
        <w:tab/>
        <w:t xml:space="preserve">Afficher/contenir [les mots </w:t>
      </w:r>
      <w:r w:rsidR="009708A9">
        <w:rPr>
          <w:b/>
        </w:rPr>
        <w:t>“</w:t>
      </w:r>
      <w:r w:rsidRPr="00602BEF">
        <w:rPr>
          <w:b/>
        </w:rPr>
        <w:t>COUSSIN GONFLABLE passager DESACTIVE</w:t>
      </w:r>
      <w:r w:rsidR="009708A9">
        <w:rPr>
          <w:b/>
        </w:rPr>
        <w:t>”</w:t>
      </w:r>
      <w:r w:rsidRPr="00602BEF">
        <w:rPr>
          <w:b/>
        </w:rPr>
        <w:t>] avec (c’est</w:t>
      </w:r>
      <w:r w:rsidR="009708A9">
        <w:rPr>
          <w:b/>
        </w:rPr>
        <w:t>-</w:t>
      </w:r>
      <w:r w:rsidRPr="00602BEF">
        <w:rPr>
          <w:b/>
        </w:rPr>
        <w:t>à</w:t>
      </w:r>
      <w:r w:rsidR="009708A9">
        <w:rPr>
          <w:b/>
        </w:rPr>
        <w:t>-</w:t>
      </w:r>
      <w:r w:rsidRPr="00602BEF">
        <w:rPr>
          <w:b/>
        </w:rPr>
        <w:t xml:space="preserve">dire en même temps que) </w:t>
      </w:r>
      <w:r w:rsidR="00E951A9">
        <w:rPr>
          <w:b/>
        </w:rPr>
        <w:t xml:space="preserve">le </w:t>
      </w:r>
      <w:r w:rsidRPr="00602BEF">
        <w:rPr>
          <w:b/>
        </w:rPr>
        <w:t xml:space="preserve">pictogramme </w:t>
      </w:r>
      <w:r w:rsidR="009708A9">
        <w:rPr>
          <w:b/>
        </w:rPr>
        <w:t>“</w:t>
      </w:r>
      <w:r w:rsidRPr="00602BEF">
        <w:rPr>
          <w:b/>
        </w:rPr>
        <w:t>coussin gonflable passager désactivé</w:t>
      </w:r>
      <w:r w:rsidR="009708A9">
        <w:rPr>
          <w:b/>
        </w:rPr>
        <w:t>”</w:t>
      </w:r>
      <w:r w:rsidRPr="00602BEF">
        <w:rPr>
          <w:b/>
          <w:vertAlign w:val="superscript"/>
        </w:rPr>
        <w:t>11</w:t>
      </w:r>
      <w:r w:rsidRPr="00602BEF">
        <w:rPr>
          <w:b/>
        </w:rPr>
        <w:t xml:space="preserve"> représenté au paragraphe 8.1.14.1 c) ci-dessus.</w:t>
      </w:r>
    </w:p>
    <w:p w:rsidR="00602BEF" w:rsidRPr="00602BEF" w:rsidRDefault="00602BEF" w:rsidP="00DD446A">
      <w:pPr>
        <w:pStyle w:val="SingleTxtG"/>
        <w:ind w:left="2268" w:hanging="1134"/>
        <w:rPr>
          <w:b/>
        </w:rPr>
      </w:pPr>
      <w:r w:rsidRPr="00602BEF">
        <w:rPr>
          <w:b/>
        </w:rPr>
        <w:lastRenderedPageBreak/>
        <w:t>8.1.14.3</w:t>
      </w:r>
      <w:r w:rsidRPr="00602BEF">
        <w:rPr>
          <w:b/>
        </w:rPr>
        <w:tab/>
        <w:t>Le manuel d’utilisation du véhicule doit au moins contenir, dans toutes les langues officielles de la ou des Partie(s) contractante(s) (par exemple sur le territoire de l’Union européenne, au Japon, dans la Fédération de Russie ou en Nouvelle-Zélande) avec lesquelles le constructeur est susceptible de rechercher la reconnaissance mutuelle des homologations</w:t>
      </w:r>
      <w:r w:rsidR="005342F7">
        <w:rPr>
          <w:b/>
        </w:rPr>
        <w:t xml:space="preserve"> : </w:t>
      </w:r>
    </w:p>
    <w:p w:rsidR="00602BEF" w:rsidRPr="00602BEF" w:rsidRDefault="00602BEF" w:rsidP="00DD446A">
      <w:pPr>
        <w:pStyle w:val="SingleTxtG"/>
        <w:ind w:left="2835" w:hanging="567"/>
        <w:rPr>
          <w:b/>
        </w:rPr>
      </w:pPr>
      <w:r w:rsidRPr="00602BEF">
        <w:rPr>
          <w:b/>
        </w:rPr>
        <w:t>a)</w:t>
      </w:r>
      <w:r w:rsidRPr="00602BEF">
        <w:rPr>
          <w:b/>
        </w:rPr>
        <w:tab/>
        <w:t>Des instructions complètes sur le fonctionnement de chaque dispositif manuel de désactivation des coussins gonflables</w:t>
      </w:r>
      <w:r w:rsidR="00E951A9">
        <w:rPr>
          <w:b/>
        </w:rPr>
        <w:t> ;</w:t>
      </w:r>
    </w:p>
    <w:p w:rsidR="00602BEF" w:rsidRPr="00602BEF" w:rsidRDefault="00602BEF" w:rsidP="00DD446A">
      <w:pPr>
        <w:pStyle w:val="SingleTxtG"/>
        <w:ind w:left="2835" w:hanging="567"/>
        <w:rPr>
          <w:b/>
        </w:rPr>
      </w:pPr>
      <w:r w:rsidRPr="00602BEF">
        <w:rPr>
          <w:b/>
        </w:rPr>
        <w:t>b)</w:t>
      </w:r>
      <w:r w:rsidRPr="00602BEF">
        <w:rPr>
          <w:b/>
        </w:rPr>
        <w:tab/>
        <w:t>Une déclaration expliquant que la principale raison d’être d’un interrupteur de coussin gonflable du passager (ou dispositif de désactivation) est de permettre l’utilisation (le coussin gonflable étant désactivé) d’un dispositif de retenue pour enfants faisant face vers l’arrière sur une place assise équipée d’un coussin gonflable frontal.</w:t>
      </w:r>
      <w:r w:rsidR="005342F7">
        <w:rPr>
          <w:b/>
        </w:rPr>
        <w:t xml:space="preserve"> </w:t>
      </w:r>
    </w:p>
    <w:p w:rsidR="00602BEF" w:rsidRPr="00DD446A" w:rsidRDefault="00602BEF" w:rsidP="00DD446A">
      <w:pPr>
        <w:pStyle w:val="SingleTxtG"/>
        <w:ind w:left="2268"/>
        <w:rPr>
          <w:b/>
          <w:lang w:eastAsia="en-GB"/>
        </w:rPr>
      </w:pPr>
      <w:r w:rsidRPr="00DD446A">
        <w:rPr>
          <w:b/>
          <w:lang w:eastAsia="en-GB"/>
        </w:rPr>
        <w:t>Il doit être possible de trouver l’information facilement dans le manuel d’utilisation du véhicule (au moyen d’une mention claire sur la première page, d’un onglet marque-page, d’un livret séparé, etc.).</w:t>
      </w:r>
    </w:p>
    <w:p w:rsidR="00602BEF" w:rsidRPr="00602BEF" w:rsidRDefault="00602BEF" w:rsidP="00DD446A">
      <w:pPr>
        <w:pStyle w:val="SingleTxtG"/>
        <w:ind w:left="2268" w:hanging="1134"/>
        <w:rPr>
          <w:b/>
        </w:rPr>
      </w:pPr>
      <w:r w:rsidRPr="00602BEF">
        <w:rPr>
          <w:b/>
        </w:rPr>
        <w:t>8.1.15</w:t>
      </w:r>
      <w:r w:rsidRPr="00602BEF">
        <w:rPr>
          <w:b/>
        </w:rPr>
        <w:tab/>
        <w:t>Lorsqu’un coussin gonflable de protection frontale destiné au siège du passager avant d’un véhicule de la catégorie M</w:t>
      </w:r>
      <w:r w:rsidRPr="00602BEF">
        <w:rPr>
          <w:b/>
          <w:vertAlign w:val="subscript"/>
        </w:rPr>
        <w:t>1</w:t>
      </w:r>
      <w:r w:rsidRPr="00602BEF">
        <w:rPr>
          <w:b/>
        </w:rPr>
        <w:t xml:space="preserve"> est équipé d’un dispositif de désactivation manuelle</w:t>
      </w:r>
      <w:r w:rsidR="005342F7">
        <w:rPr>
          <w:b/>
        </w:rPr>
        <w:t> :</w:t>
      </w:r>
    </w:p>
    <w:p w:rsidR="00602BEF" w:rsidRPr="00602BEF" w:rsidRDefault="00602BEF" w:rsidP="00DD446A">
      <w:pPr>
        <w:pStyle w:val="SingleTxtG"/>
        <w:ind w:left="2268" w:hanging="1134"/>
        <w:rPr>
          <w:b/>
        </w:rPr>
      </w:pPr>
      <w:r w:rsidRPr="00602BEF">
        <w:rPr>
          <w:b/>
        </w:rPr>
        <w:t>[8.1.15.1</w:t>
      </w:r>
      <w:r w:rsidRPr="00602BEF">
        <w:rPr>
          <w:b/>
        </w:rPr>
        <w:tab/>
        <w:t xml:space="preserve">Le véhicule doit être conforme aux critères de performance relatifs au mannequin du type Hybrid III femme du </w:t>
      </w:r>
      <w:r w:rsidR="00E951A9">
        <w:rPr>
          <w:b/>
        </w:rPr>
        <w:t>5</w:t>
      </w:r>
      <w:r w:rsidR="00E951A9" w:rsidRPr="00E951A9">
        <w:rPr>
          <w:b/>
          <w:vertAlign w:val="superscript"/>
        </w:rPr>
        <w:t>e</w:t>
      </w:r>
      <w:r w:rsidR="00E951A9">
        <w:rPr>
          <w:b/>
        </w:rPr>
        <w:t> </w:t>
      </w:r>
      <w:r w:rsidRPr="00602BEF">
        <w:rPr>
          <w:b/>
        </w:rPr>
        <w:t xml:space="preserve">centile du Règlement </w:t>
      </w:r>
      <w:r w:rsidR="00E951A9" w:rsidRPr="00E951A9">
        <w:rPr>
          <w:rFonts w:eastAsia="MS Mincho"/>
          <w:b/>
          <w:szCs w:val="22"/>
        </w:rPr>
        <w:t>n</w:t>
      </w:r>
      <w:r w:rsidR="00E951A9" w:rsidRPr="00E951A9">
        <w:rPr>
          <w:rFonts w:eastAsia="MS Mincho"/>
          <w:b/>
          <w:szCs w:val="22"/>
          <w:vertAlign w:val="superscript"/>
        </w:rPr>
        <w:t>o</w:t>
      </w:r>
      <w:r w:rsidR="00E951A9">
        <w:rPr>
          <w:b/>
        </w:rPr>
        <w:t> </w:t>
      </w:r>
      <w:r w:rsidRPr="00602BEF">
        <w:rPr>
          <w:b/>
        </w:rPr>
        <w:t>[137] dans sa forme originale, quand le coussin gonflable de protection frontale pour le siège du passager avant est désactivé avant l’essai conformément à l’annexe 3 (procédure d’essai) ou à l’annexe 7 (procédure d’essai avec chariot) de ce Règlement</w:t>
      </w:r>
      <w:r w:rsidR="005342F7">
        <w:rPr>
          <w:b/>
        </w:rPr>
        <w:t> ;</w:t>
      </w:r>
      <w:r w:rsidRPr="00602BEF">
        <w:rPr>
          <w:b/>
        </w:rPr>
        <w:t xml:space="preserve"> ou</w:t>
      </w:r>
      <w:r w:rsidR="005342F7">
        <w:rPr>
          <w:b/>
        </w:rPr>
        <w:t xml:space="preserve"> </w:t>
      </w:r>
    </w:p>
    <w:p w:rsidR="00602BEF" w:rsidRPr="007363F5" w:rsidRDefault="00602BEF" w:rsidP="00DD446A">
      <w:pPr>
        <w:pStyle w:val="SingleTxtG"/>
        <w:ind w:left="2268" w:hanging="1134"/>
        <w:rPr>
          <w:iCs/>
        </w:rPr>
      </w:pPr>
      <w:r w:rsidRPr="00602BEF">
        <w:rPr>
          <w:b/>
        </w:rPr>
        <w:t>8.1.15.2</w:t>
      </w:r>
      <w:r w:rsidRPr="00602BEF">
        <w:rPr>
          <w:b/>
        </w:rPr>
        <w:tab/>
        <w:t>Le siège du passager avant doit être muni d’un témoin de coussin gonflable conforme aux prescriptions du paragraphe 8.5 du présent Règlement.</w:t>
      </w:r>
      <w:r w:rsidR="00C73BF0" w:rsidRPr="007363F5">
        <w:rPr>
          <w:iCs/>
        </w:rPr>
        <w:t> </w:t>
      </w:r>
      <w:r w:rsidR="00C73BF0" w:rsidRPr="00C73BF0">
        <w:rPr>
          <w:iCs/>
        </w:rPr>
        <w:t>»</w:t>
      </w:r>
      <w:r w:rsidRPr="00602BEF">
        <w:rPr>
          <w:iCs/>
        </w:rPr>
        <w:t>].</w:t>
      </w:r>
    </w:p>
    <w:p w:rsidR="00602BEF" w:rsidRPr="00602BEF" w:rsidRDefault="00602BEF" w:rsidP="00602BEF">
      <w:pPr>
        <w:pStyle w:val="SingleTxtG"/>
      </w:pPr>
      <w:r w:rsidRPr="00602BEF">
        <w:rPr>
          <w:i/>
        </w:rPr>
        <w:t>Ajouter de nouveaux paragraphes 8.5 à 8.5.2</w:t>
      </w:r>
      <w:r w:rsidRPr="00602BEF">
        <w:t>, ainsi conçu</w:t>
      </w:r>
      <w:r w:rsidR="00E951A9">
        <w:t>s</w:t>
      </w:r>
      <w:r w:rsidR="005342F7">
        <w:t> :</w:t>
      </w:r>
    </w:p>
    <w:p w:rsidR="00602BEF" w:rsidRPr="00602BEF" w:rsidRDefault="00602BEF" w:rsidP="00DD446A">
      <w:pPr>
        <w:pStyle w:val="SingleTxtG"/>
        <w:ind w:left="2268" w:hanging="1134"/>
        <w:rPr>
          <w:b/>
        </w:rPr>
      </w:pPr>
      <w:r w:rsidRPr="00602BEF">
        <w:rPr>
          <w:b/>
          <w:iCs/>
        </w:rPr>
        <w:t>[</w:t>
      </w:r>
      <w:r w:rsidR="00C73BF0" w:rsidRPr="00C73BF0">
        <w:rPr>
          <w:iCs/>
        </w:rPr>
        <w:t>«</w:t>
      </w:r>
      <w:r w:rsidR="00C73BF0" w:rsidRPr="007363F5">
        <w:rPr>
          <w:iCs/>
        </w:rPr>
        <w:t> </w:t>
      </w:r>
      <w:r w:rsidRPr="00602BEF">
        <w:rPr>
          <w:b/>
        </w:rPr>
        <w:t>8.5</w:t>
      </w:r>
      <w:r w:rsidRPr="00602BEF">
        <w:rPr>
          <w:b/>
        </w:rPr>
        <w:tab/>
        <w:t xml:space="preserve">Équipement de système témoin de coussin gonflable </w:t>
      </w:r>
    </w:p>
    <w:p w:rsidR="00602BEF" w:rsidRPr="00602BEF" w:rsidRDefault="00602BEF" w:rsidP="00DD446A">
      <w:pPr>
        <w:pStyle w:val="SingleTxtG"/>
        <w:ind w:left="2268" w:hanging="1134"/>
        <w:rPr>
          <w:b/>
        </w:rPr>
      </w:pPr>
      <w:r w:rsidRPr="00602BEF">
        <w:rPr>
          <w:b/>
        </w:rPr>
        <w:t>8.5.1</w:t>
      </w:r>
      <w:r w:rsidRPr="00602BEF">
        <w:rPr>
          <w:b/>
        </w:rPr>
        <w:tab/>
        <w:t>Tout système témoin de coussin gonflable fourni conformément au paragraphe 8.1.15.2 du présent Règlement doit, lors d’essais effectués conformément à l’annexe 19, satisfaire aux exigences suivantes</w:t>
      </w:r>
      <w:r w:rsidR="005342F7">
        <w:rPr>
          <w:b/>
        </w:rPr>
        <w:t> :</w:t>
      </w:r>
      <w:r w:rsidRPr="00602BEF">
        <w:rPr>
          <w:b/>
        </w:rPr>
        <w:t xml:space="preserve"> </w:t>
      </w:r>
    </w:p>
    <w:p w:rsidR="00602BEF" w:rsidRPr="00602BEF" w:rsidRDefault="00602BEF" w:rsidP="00DD446A">
      <w:pPr>
        <w:pStyle w:val="SingleTxtG"/>
        <w:ind w:left="2268" w:hanging="1134"/>
        <w:rPr>
          <w:b/>
        </w:rPr>
      </w:pPr>
      <w:r w:rsidRPr="00602BEF">
        <w:rPr>
          <w:b/>
        </w:rPr>
        <w:t>8.5.1.1</w:t>
      </w:r>
      <w:r w:rsidRPr="00602BEF">
        <w:rPr>
          <w:b/>
        </w:rPr>
        <w:tab/>
        <w:t xml:space="preserve">L’alerte visuelle doit consister en un allumage intermittent mais à intervalles rapprochés (clignotant) du témoin </w:t>
      </w:r>
      <w:r w:rsidR="00C73BF0">
        <w:rPr>
          <w:b/>
        </w:rPr>
        <w:t>“</w:t>
      </w:r>
      <w:r w:rsidRPr="00602BEF">
        <w:rPr>
          <w:b/>
        </w:rPr>
        <w:t>coussin gonflable du passager désactivé</w:t>
      </w:r>
      <w:r w:rsidR="00C73BF0">
        <w:rPr>
          <w:b/>
        </w:rPr>
        <w:t>”</w:t>
      </w:r>
      <w:r w:rsidRPr="00602BEF">
        <w:rPr>
          <w:b/>
        </w:rPr>
        <w:t xml:space="preserve"> correspondant.</w:t>
      </w:r>
      <w:r w:rsidR="005342F7">
        <w:rPr>
          <w:b/>
        </w:rPr>
        <w:t xml:space="preserve"> </w:t>
      </w:r>
    </w:p>
    <w:p w:rsidR="00602BEF" w:rsidRPr="00602BEF" w:rsidRDefault="00602BEF" w:rsidP="00DD446A">
      <w:pPr>
        <w:pStyle w:val="SingleTxtG"/>
        <w:ind w:left="2268" w:hanging="1134"/>
        <w:rPr>
          <w:b/>
        </w:rPr>
      </w:pPr>
      <w:r w:rsidRPr="00602BEF">
        <w:rPr>
          <w:b/>
        </w:rPr>
        <w:t>8.5.1.2</w:t>
      </w:r>
      <w:r w:rsidRPr="00602BEF">
        <w:rPr>
          <w:b/>
        </w:rPr>
        <w:tab/>
        <w:t>L’alerte sonore doit consister en un signal sonore continu ou intermittent mais à intervalles rapprochés ou en un message vocal. S’il s’agit d’un message vocal, le constructeur</w:t>
      </w:r>
      <w:r w:rsidR="005342F7">
        <w:rPr>
          <w:b/>
        </w:rPr>
        <w:t xml:space="preserve"> </w:t>
      </w:r>
      <w:r w:rsidRPr="00602BEF">
        <w:rPr>
          <w:b/>
        </w:rPr>
        <w:t>doit veiller à ce que les langues dans lesquelles il est formulé soient celles du marché sur lequel le véhicule est commercialisé. L’alerte sonore peut comporter plusieurs phases.</w:t>
      </w:r>
    </w:p>
    <w:p w:rsidR="00602BEF" w:rsidRPr="00602BEF" w:rsidRDefault="00602BEF" w:rsidP="00DD446A">
      <w:pPr>
        <w:pStyle w:val="SingleTxtG"/>
        <w:ind w:left="2268" w:hanging="1134"/>
        <w:rPr>
          <w:b/>
        </w:rPr>
      </w:pPr>
      <w:r w:rsidRPr="00602BEF">
        <w:rPr>
          <w:b/>
        </w:rPr>
        <w:t>8.5.1.3</w:t>
      </w:r>
      <w:r w:rsidRPr="00602BEF">
        <w:rPr>
          <w:b/>
        </w:rPr>
        <w:tab/>
        <w:t>L’alerte visuelle et l’alerte sonore doivent fonctionner pendant une durée cumulée d’au moins [X] secondes pendant les [Y] secondes qui suivent au moins un (ou plusieurs) des événements suivants</w:t>
      </w:r>
      <w:r w:rsidR="005342F7">
        <w:rPr>
          <w:b/>
        </w:rPr>
        <w:t> :</w:t>
      </w:r>
    </w:p>
    <w:p w:rsidR="00602BEF" w:rsidRPr="00602BEF" w:rsidRDefault="00602BEF" w:rsidP="00DD446A">
      <w:pPr>
        <w:pStyle w:val="SingleTxtG"/>
        <w:ind w:left="2268" w:hanging="1134"/>
        <w:rPr>
          <w:b/>
        </w:rPr>
      </w:pPr>
      <w:r w:rsidRPr="00602BEF">
        <w:rPr>
          <w:b/>
        </w:rPr>
        <w:t>8.5.1.3.1</w:t>
      </w:r>
      <w:r w:rsidRPr="00602BEF">
        <w:rPr>
          <w:b/>
        </w:rPr>
        <w:tab/>
        <w:t>La distance parcourue est supérieure à la valeur seuil de déclenchement</w:t>
      </w:r>
      <w:r w:rsidR="00E951A9">
        <w:rPr>
          <w:b/>
        </w:rPr>
        <w:t>.</w:t>
      </w:r>
    </w:p>
    <w:p w:rsidR="00602BEF" w:rsidRPr="00DD446A" w:rsidRDefault="00602BEF" w:rsidP="00DD446A">
      <w:pPr>
        <w:pStyle w:val="SingleTxtG"/>
        <w:ind w:left="2268"/>
        <w:rPr>
          <w:b/>
        </w:rPr>
      </w:pPr>
      <w:r w:rsidRPr="00DD446A">
        <w:rPr>
          <w:b/>
        </w:rPr>
        <w:lastRenderedPageBreak/>
        <w:t>La valeur seuil ne doit pas être supérieure à 500 m (à l’exclusion de la distance pendant laquelle le véhicule n’est pas en utilisation normale).</w:t>
      </w:r>
    </w:p>
    <w:p w:rsidR="00602BEF" w:rsidRPr="00602BEF" w:rsidRDefault="00602BEF" w:rsidP="00DD446A">
      <w:pPr>
        <w:pStyle w:val="SingleTxtG"/>
        <w:ind w:left="2268" w:hanging="1134"/>
        <w:rPr>
          <w:b/>
        </w:rPr>
      </w:pPr>
      <w:r w:rsidRPr="00602BEF">
        <w:rPr>
          <w:b/>
        </w:rPr>
        <w:t>8.5.1.3.2</w:t>
      </w:r>
      <w:r w:rsidRPr="00602BEF">
        <w:rPr>
          <w:b/>
        </w:rPr>
        <w:tab/>
        <w:t xml:space="preserve">La vitesse du véhicule est supérieure à la valeur seuil de </w:t>
      </w:r>
      <w:r w:rsidRPr="00602BEF">
        <w:rPr>
          <w:b/>
        </w:rPr>
        <w:tab/>
        <w:t>déclenchement</w:t>
      </w:r>
      <w:r w:rsidR="00E951A9">
        <w:rPr>
          <w:b/>
        </w:rPr>
        <w:t>.</w:t>
      </w:r>
    </w:p>
    <w:p w:rsidR="00602BEF" w:rsidRPr="00602BEF" w:rsidRDefault="00602BEF" w:rsidP="00DD446A">
      <w:pPr>
        <w:pStyle w:val="SingleTxtG"/>
        <w:ind w:left="2268"/>
        <w:rPr>
          <w:b/>
        </w:rPr>
      </w:pPr>
      <w:r w:rsidRPr="00602BEF">
        <w:rPr>
          <w:b/>
        </w:rPr>
        <w:t>La valeur seuil ne doit pas être supérieure à 25 km/h.</w:t>
      </w:r>
    </w:p>
    <w:p w:rsidR="00602BEF" w:rsidRPr="00602BEF" w:rsidRDefault="00602BEF" w:rsidP="00DD446A">
      <w:pPr>
        <w:pStyle w:val="SingleTxtG"/>
        <w:ind w:left="2268" w:hanging="1134"/>
        <w:rPr>
          <w:b/>
        </w:rPr>
      </w:pPr>
      <w:r w:rsidRPr="00602BEF">
        <w:rPr>
          <w:b/>
        </w:rPr>
        <w:t>8.5.1.3.3</w:t>
      </w:r>
      <w:r w:rsidRPr="00602BEF">
        <w:rPr>
          <w:b/>
        </w:rPr>
        <w:tab/>
        <w:t>La durée pendant laquelle le véhicule est en utilisation normale est supérieure à la valeur seuil de déclenchement</w:t>
      </w:r>
      <w:r w:rsidR="00E951A9">
        <w:rPr>
          <w:b/>
        </w:rPr>
        <w:t>.</w:t>
      </w:r>
    </w:p>
    <w:p w:rsidR="00602BEF" w:rsidRPr="00602BEF" w:rsidRDefault="00602BEF" w:rsidP="00DD446A">
      <w:pPr>
        <w:pStyle w:val="SingleTxtG"/>
        <w:ind w:left="2268"/>
        <w:rPr>
          <w:b/>
        </w:rPr>
      </w:pPr>
      <w:r w:rsidRPr="00602BEF">
        <w:rPr>
          <w:b/>
        </w:rPr>
        <w:tab/>
        <w:t>La valeur seuil ne doit pas être supérieure à 60 s (à l’exclusion de la distance pendant laquelle le véhicule n’est pas en utilisation normale).</w:t>
      </w:r>
    </w:p>
    <w:p w:rsidR="00602BEF" w:rsidRPr="00602BEF" w:rsidRDefault="00602BEF" w:rsidP="00DD446A">
      <w:pPr>
        <w:pStyle w:val="SingleTxtG"/>
        <w:ind w:left="2268" w:hanging="1134"/>
        <w:rPr>
          <w:b/>
        </w:rPr>
      </w:pPr>
      <w:r w:rsidRPr="00602BEF">
        <w:rPr>
          <w:b/>
        </w:rPr>
        <w:t>8.5.2</w:t>
      </w:r>
      <w:r w:rsidRPr="00602BEF">
        <w:rPr>
          <w:b/>
        </w:rPr>
        <w:tab/>
        <w:t>L’alerte sonore de tout système témoin de coussin gonflable pour passager fourni conformément au paragraphe 8.1.15.2 du présent Règlement ne peut être conçu</w:t>
      </w:r>
      <w:r w:rsidR="00E951A9">
        <w:rPr>
          <w:b/>
        </w:rPr>
        <w:t>e</w:t>
      </w:r>
      <w:r w:rsidRPr="00602BEF">
        <w:rPr>
          <w:b/>
        </w:rPr>
        <w:t xml:space="preserve"> que pour </w:t>
      </w:r>
      <w:r w:rsidR="00E951A9">
        <w:rPr>
          <w:b/>
        </w:rPr>
        <w:t>permettre la désactivation lors</w:t>
      </w:r>
      <w:r w:rsidRPr="00602BEF">
        <w:rPr>
          <w:b/>
        </w:rPr>
        <w:t>qu’une séquence d’opérations qui ne sont pas détaillées dans les instructions fournies avec le véhicule et/ou qui nécessitent l’utilisation d’outils (mécaniques, électriques, numériques, etc.) qui ne sont pas fournis avec le véhicule est nécessaire pour désactiver l’alerte sonore du système témoin de coussin gonflable.]</w:t>
      </w:r>
      <w:r w:rsidR="00C73BF0" w:rsidRPr="007363F5">
        <w:rPr>
          <w:iCs/>
        </w:rPr>
        <w:t> </w:t>
      </w:r>
      <w:r w:rsidR="00C73BF0" w:rsidRPr="00C73BF0">
        <w:rPr>
          <w:iCs/>
        </w:rPr>
        <w:t>»</w:t>
      </w:r>
      <w:r w:rsidRPr="007363F5">
        <w:rPr>
          <w:iCs/>
        </w:rPr>
        <w:t>.</w:t>
      </w:r>
    </w:p>
    <w:p w:rsidR="00602BEF" w:rsidRPr="00602BEF" w:rsidRDefault="00602BEF" w:rsidP="00DD446A">
      <w:pPr>
        <w:pStyle w:val="SingleTxtG"/>
      </w:pPr>
      <w:r w:rsidRPr="00681011">
        <w:rPr>
          <w:i/>
        </w:rPr>
        <w:t>Ajouter de nouveaux paragraphes 15.4 à 15.</w:t>
      </w:r>
      <w:r w:rsidRPr="00681011">
        <w:rPr>
          <w:i/>
          <w:lang w:eastAsia="ja-JP"/>
        </w:rPr>
        <w:t>4</w:t>
      </w:r>
      <w:r w:rsidRPr="00681011">
        <w:rPr>
          <w:i/>
        </w:rPr>
        <w:t>.4</w:t>
      </w:r>
      <w:r w:rsidRPr="00602BEF">
        <w:t>, ainsi conçus</w:t>
      </w:r>
      <w:r w:rsidR="005342F7">
        <w:t> :</w:t>
      </w:r>
    </w:p>
    <w:p w:rsidR="00602BEF" w:rsidRPr="00602BEF" w:rsidRDefault="00C73BF0" w:rsidP="00DD446A">
      <w:pPr>
        <w:pStyle w:val="SingleTxtG"/>
        <w:ind w:left="2268" w:hanging="1134"/>
        <w:rPr>
          <w:b/>
          <w:lang w:eastAsia="en-GB"/>
        </w:rPr>
      </w:pPr>
      <w:r>
        <w:rPr>
          <w:lang w:eastAsia="en-GB"/>
        </w:rPr>
        <w:t>« </w:t>
      </w:r>
      <w:r w:rsidR="00602BEF" w:rsidRPr="00602BEF">
        <w:rPr>
          <w:b/>
          <w:lang w:eastAsia="en-GB"/>
        </w:rPr>
        <w:t>15.4</w:t>
      </w:r>
      <w:r w:rsidR="00602BEF" w:rsidRPr="00602BEF">
        <w:rPr>
          <w:b/>
          <w:lang w:eastAsia="en-GB"/>
        </w:rPr>
        <w:tab/>
        <w:t>À compter de la date officielle d’entrée en vigueur de la série 07 d’amendements, aucune Partie contractante appliquant le présent Règlement ne peut refuser d’accorder ou d’accepter une homologation en vertu du présent Règlement tel qu’il a été amendé par la série 07 d’amendements.</w:t>
      </w:r>
    </w:p>
    <w:p w:rsidR="00602BEF" w:rsidRPr="00602BEF" w:rsidRDefault="00602BEF" w:rsidP="00DD446A">
      <w:pPr>
        <w:pStyle w:val="SingleTxtG"/>
        <w:ind w:left="2268" w:hanging="1134"/>
        <w:rPr>
          <w:b/>
          <w:lang w:eastAsia="en-GB"/>
        </w:rPr>
      </w:pPr>
      <w:r w:rsidRPr="00602BEF">
        <w:rPr>
          <w:b/>
          <w:lang w:eastAsia="en-GB"/>
        </w:rPr>
        <w:t>15.4.1</w:t>
      </w:r>
      <w:r w:rsidRPr="00602BEF">
        <w:rPr>
          <w:b/>
          <w:lang w:eastAsia="en-GB"/>
        </w:rPr>
        <w:tab/>
        <w:t>À compter du 1</w:t>
      </w:r>
      <w:r w:rsidRPr="00602BEF">
        <w:rPr>
          <w:b/>
          <w:vertAlign w:val="superscript"/>
          <w:lang w:eastAsia="en-GB"/>
        </w:rPr>
        <w:t>er</w:t>
      </w:r>
      <w:r w:rsidR="005342F7">
        <w:rPr>
          <w:b/>
          <w:lang w:eastAsia="en-GB"/>
        </w:rPr>
        <w:t> </w:t>
      </w:r>
      <w:r w:rsidRPr="00602BEF">
        <w:rPr>
          <w:b/>
          <w:lang w:eastAsia="en-GB"/>
        </w:rPr>
        <w:t>septembre [2018], les Parties contractantes appliquant le présent Règlement ne doivent accorder des homologations que si le type de véhicule à homologuer satisfait aux prescriptions du présent Règlement tel qu’il a été amendé par la série 07 d’amendements.</w:t>
      </w:r>
    </w:p>
    <w:p w:rsidR="00602BEF" w:rsidRPr="00602BEF" w:rsidRDefault="00602BEF" w:rsidP="00DD446A">
      <w:pPr>
        <w:pStyle w:val="SingleTxtG"/>
        <w:ind w:left="2268" w:hanging="1134"/>
        <w:rPr>
          <w:b/>
          <w:lang w:eastAsia="en-GB"/>
        </w:rPr>
      </w:pPr>
      <w:r w:rsidRPr="00602BEF">
        <w:rPr>
          <w:b/>
          <w:lang w:eastAsia="en-GB"/>
        </w:rPr>
        <w:t>15.4.2</w:t>
      </w:r>
      <w:r w:rsidRPr="00602BEF">
        <w:rPr>
          <w:lang w:eastAsia="en-GB"/>
        </w:rPr>
        <w:tab/>
      </w:r>
      <w:r w:rsidRPr="00602BEF">
        <w:rPr>
          <w:b/>
          <w:lang w:eastAsia="en-GB"/>
        </w:rPr>
        <w:t>Jusqu’au 1</w:t>
      </w:r>
      <w:r w:rsidRPr="00602BEF">
        <w:rPr>
          <w:b/>
          <w:vertAlign w:val="superscript"/>
          <w:lang w:eastAsia="en-GB"/>
        </w:rPr>
        <w:t>er</w:t>
      </w:r>
      <w:r w:rsidR="005342F7" w:rsidRPr="005342F7">
        <w:rPr>
          <w:b/>
          <w:lang w:eastAsia="en-GB"/>
        </w:rPr>
        <w:t> </w:t>
      </w:r>
      <w:r w:rsidRPr="00602BEF">
        <w:rPr>
          <w:b/>
          <w:lang w:eastAsia="en-GB"/>
        </w:rPr>
        <w:t xml:space="preserve">septembre </w:t>
      </w:r>
      <w:r w:rsidRPr="00602BEF">
        <w:rPr>
          <w:b/>
        </w:rPr>
        <w:t>[2020], aucune Partie contractante appliquant le présent Règlement ne pourra refuser de délivrer une homologation de type sur le plan régional et/ou national à un véhicule homologué en vertu du présent Règlement tel qu’il a été amendé par la série 06 d’amendements.</w:t>
      </w:r>
    </w:p>
    <w:p w:rsidR="00602BEF" w:rsidRPr="00602BEF" w:rsidRDefault="00602BEF" w:rsidP="00DD446A">
      <w:pPr>
        <w:pStyle w:val="SingleTxtG"/>
        <w:ind w:left="2268" w:hanging="1134"/>
        <w:rPr>
          <w:b/>
        </w:rPr>
      </w:pPr>
      <w:r w:rsidRPr="00602BEF">
        <w:rPr>
          <w:b/>
        </w:rPr>
        <w:t>15.4.3</w:t>
      </w:r>
      <w:r w:rsidRPr="00602BEF">
        <w:rPr>
          <w:b/>
        </w:rPr>
        <w:tab/>
        <w:t>À compter du 1</w:t>
      </w:r>
      <w:r w:rsidRPr="005342F7">
        <w:rPr>
          <w:b/>
          <w:vertAlign w:val="superscript"/>
        </w:rPr>
        <w:t>er</w:t>
      </w:r>
      <w:r w:rsidR="005342F7">
        <w:rPr>
          <w:b/>
        </w:rPr>
        <w:t> </w:t>
      </w:r>
      <w:r w:rsidRPr="00602BEF">
        <w:rPr>
          <w:b/>
        </w:rPr>
        <w:t xml:space="preserve">septembre </w:t>
      </w:r>
      <w:r w:rsidR="00E951A9">
        <w:rPr>
          <w:b/>
        </w:rPr>
        <w:t>[</w:t>
      </w:r>
      <w:r w:rsidRPr="00602BEF">
        <w:rPr>
          <w:b/>
        </w:rPr>
        <w:t>2020</w:t>
      </w:r>
      <w:r w:rsidR="00E951A9">
        <w:rPr>
          <w:b/>
        </w:rPr>
        <w:t>]</w:t>
      </w:r>
      <w:r w:rsidRPr="00602BEF">
        <w:rPr>
          <w:b/>
        </w:rPr>
        <w:t>, les Parties contractantes appliquant le présent Règlement ne seront plus tenues d’accepter, aux fins d’homologation sur le plan régional et/ou national, des véhicules qui n’ont pas reçu d’homologation de type en vertu de ce Règlement tel qu’il a été amendé par la série 07 d’amendements.</w:t>
      </w:r>
    </w:p>
    <w:p w:rsidR="00602BEF" w:rsidRPr="00602BEF" w:rsidRDefault="00602BEF" w:rsidP="00DD446A">
      <w:pPr>
        <w:pStyle w:val="SingleTxtG"/>
        <w:ind w:left="2268" w:hanging="1134"/>
        <w:rPr>
          <w:b/>
          <w:lang w:eastAsia="en-GB"/>
        </w:rPr>
      </w:pPr>
      <w:r w:rsidRPr="00602BEF">
        <w:rPr>
          <w:b/>
          <w:lang w:eastAsia="en-GB"/>
        </w:rPr>
        <w:t>15.4.4</w:t>
      </w:r>
      <w:r w:rsidRPr="00602BEF">
        <w:rPr>
          <w:b/>
          <w:lang w:eastAsia="en-GB"/>
        </w:rPr>
        <w:tab/>
      </w:r>
      <w:r w:rsidRPr="00602BEF">
        <w:rPr>
          <w:b/>
        </w:rPr>
        <w:t>Même après la date d’entrée en vigueur de la série 07 d’amendements, les Parties contractantes appliquant le présent Règlement devront continuer à accepter les homologations d’éléments ou d’unités techniques distinctes (ceintures de sécurité et systèmes de retenue) accordées en vertu de la série précédente d’amendements et à leur délivrer des extensions.</w:t>
      </w:r>
      <w:r w:rsidR="00C73BF0">
        <w:t> »</w:t>
      </w:r>
      <w:r w:rsidRPr="00602BEF">
        <w:t>.</w:t>
      </w:r>
    </w:p>
    <w:p w:rsidR="00681011" w:rsidRPr="007363F5" w:rsidRDefault="00681011" w:rsidP="00602BEF">
      <w:pPr>
        <w:pStyle w:val="SingleTxtG"/>
        <w:rPr>
          <w:lang w:eastAsia="ja-JP"/>
        </w:rPr>
        <w:sectPr w:rsidR="00681011" w:rsidRPr="007363F5" w:rsidSect="00D82084">
          <w:headerReference w:type="even" r:id="rId11"/>
          <w:headerReference w:type="default" r:id="rId12"/>
          <w:footerReference w:type="even" r:id="rId13"/>
          <w:footerReference w:type="default" r:id="rId14"/>
          <w:footerReference w:type="first" r:id="rId15"/>
          <w:footnotePr>
            <w:numStart w:val="9"/>
          </w:footnotePr>
          <w:endnotePr>
            <w:numFmt w:val="decimal"/>
          </w:endnotePr>
          <w:pgSz w:w="11906" w:h="16838" w:code="9"/>
          <w:pgMar w:top="1701" w:right="1134" w:bottom="2268" w:left="1134" w:header="1134" w:footer="1701" w:gutter="0"/>
          <w:cols w:space="708"/>
          <w:titlePg/>
          <w:docGrid w:linePitch="360"/>
        </w:sectPr>
      </w:pPr>
    </w:p>
    <w:p w:rsidR="00602BEF" w:rsidRPr="00602BEF" w:rsidRDefault="00602BEF" w:rsidP="00602BEF">
      <w:pPr>
        <w:pStyle w:val="SingleTxtG"/>
        <w:rPr>
          <w:lang w:eastAsia="ja-JP"/>
        </w:rPr>
      </w:pPr>
      <w:r w:rsidRPr="00602BEF">
        <w:rPr>
          <w:i/>
          <w:lang w:eastAsia="ja-JP"/>
        </w:rPr>
        <w:t>Annexe 2</w:t>
      </w:r>
      <w:r w:rsidRPr="00602BEF">
        <w:rPr>
          <w:lang w:eastAsia="ja-JP"/>
        </w:rPr>
        <w:t>, modifier comme suit</w:t>
      </w:r>
      <w:r w:rsidR="005342F7">
        <w:rPr>
          <w:lang w:eastAsia="ja-JP"/>
        </w:rPr>
        <w:t> :</w:t>
      </w:r>
    </w:p>
    <w:p w:rsidR="00602BEF" w:rsidRPr="00602BEF" w:rsidRDefault="00C73BF0" w:rsidP="00DD446A">
      <w:pPr>
        <w:pStyle w:val="HChG"/>
      </w:pPr>
      <w:bookmarkStart w:id="1" w:name="_Toc406663770"/>
      <w:r w:rsidRPr="00C73BF0">
        <w:rPr>
          <w:b w:val="0"/>
          <w:sz w:val="20"/>
        </w:rPr>
        <w:t>«</w:t>
      </w:r>
      <w:r>
        <w:rPr>
          <w:sz w:val="20"/>
        </w:rPr>
        <w:t> </w:t>
      </w:r>
      <w:r w:rsidR="00602BEF" w:rsidRPr="00602BEF">
        <w:t>Annexe 2</w:t>
      </w:r>
      <w:bookmarkEnd w:id="1"/>
    </w:p>
    <w:p w:rsidR="00602BEF" w:rsidRPr="00DD446A" w:rsidRDefault="00DD446A" w:rsidP="00DD446A">
      <w:pPr>
        <w:pStyle w:val="H1G"/>
      </w:pPr>
      <w:bookmarkStart w:id="2" w:name="_Toc406663771"/>
      <w:r>
        <w:tab/>
      </w:r>
      <w:r>
        <w:tab/>
      </w:r>
      <w:r w:rsidR="00602BEF" w:rsidRPr="00DD446A">
        <w:t xml:space="preserve">Exemples de marques d’homologation </w:t>
      </w:r>
      <w:bookmarkEnd w:id="2"/>
    </w:p>
    <w:p w:rsidR="00602BEF" w:rsidRPr="00602BEF" w:rsidRDefault="00602BEF" w:rsidP="00E951A9">
      <w:pPr>
        <w:pStyle w:val="SingleTxtG"/>
        <w:ind w:left="1701" w:hanging="567"/>
      </w:pPr>
      <w:r w:rsidRPr="00602BEF">
        <w:rPr>
          <w:lang w:eastAsia="ja-JP"/>
        </w:rPr>
        <w:t>1.</w:t>
      </w:r>
      <w:r w:rsidRPr="00602BEF">
        <w:rPr>
          <w:lang w:eastAsia="ja-JP"/>
        </w:rPr>
        <w:tab/>
        <w:t>Exemples de marques d’homologation du véhicule pour ce qui est des ceintures de sécurité</w:t>
      </w:r>
    </w:p>
    <w:p w:rsidR="00602BEF" w:rsidRPr="00602BEF" w:rsidRDefault="00602BEF" w:rsidP="00681011">
      <w:pPr>
        <w:pStyle w:val="SingleTxtG"/>
        <w:spacing w:after="0"/>
      </w:pPr>
      <w:r w:rsidRPr="00602BEF">
        <w:t>Modèle A</w:t>
      </w:r>
    </w:p>
    <w:p w:rsidR="00602BEF" w:rsidRPr="00602BEF" w:rsidRDefault="00602BEF" w:rsidP="003263CB">
      <w:pPr>
        <w:pStyle w:val="SingleTxtG"/>
      </w:pPr>
      <w:r w:rsidRPr="00602BEF">
        <w:t xml:space="preserve">(Voir </w:t>
      </w:r>
      <w:r w:rsidR="005342F7">
        <w:t>par. </w:t>
      </w:r>
      <w:r w:rsidRPr="00602BEF">
        <w:t>5.2.4 du présent Règlement)</w:t>
      </w:r>
    </w:p>
    <w:p w:rsidR="00602BEF" w:rsidRPr="00602BEF" w:rsidRDefault="00602BEF" w:rsidP="00681011">
      <w:pPr>
        <w:spacing w:after="120"/>
        <w:ind w:left="1134"/>
        <w:rPr>
          <w:lang w:val="en-GB"/>
        </w:rPr>
      </w:pPr>
      <w:r w:rsidRPr="00602BEF">
        <w:rPr>
          <w:noProof/>
          <w:lang w:val="fr-FR" w:eastAsia="fr-FR"/>
        </w:rPr>
        <w:drawing>
          <wp:inline distT="0" distB="0" distL="0" distR="0" wp14:anchorId="6EF7C5A6" wp14:editId="32665E67">
            <wp:extent cx="3465830" cy="143383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5830" cy="1433830"/>
                    </a:xfrm>
                    <a:prstGeom prst="rect">
                      <a:avLst/>
                    </a:prstGeom>
                    <a:noFill/>
                    <a:ln>
                      <a:noFill/>
                    </a:ln>
                  </pic:spPr>
                </pic:pic>
              </a:graphicData>
            </a:graphic>
          </wp:inline>
        </w:drawing>
      </w:r>
    </w:p>
    <w:p w:rsidR="00602BEF" w:rsidRPr="00602BEF" w:rsidRDefault="00602BEF" w:rsidP="003263CB">
      <w:pPr>
        <w:pStyle w:val="SingleTxtG"/>
        <w:ind w:firstLine="567"/>
      </w:pPr>
      <w:r w:rsidRPr="00602BEF">
        <w:t xml:space="preserve">La marque d’homologation ci-dessus, apposée sur un véhicule, indique que ce type de véhicule a été homologué aux Pays-Bas (E 4), pour ce qui est des ceintures de sécurité, en application du Règlement </w:t>
      </w:r>
      <w:r w:rsidR="005342F7" w:rsidRPr="002D76F4">
        <w:rPr>
          <w:rFonts w:eastAsia="MS Mincho"/>
          <w:szCs w:val="22"/>
        </w:rPr>
        <w:t>n</w:t>
      </w:r>
      <w:r w:rsidR="005342F7" w:rsidRPr="002D76F4">
        <w:rPr>
          <w:rFonts w:eastAsia="MS Mincho"/>
          <w:szCs w:val="22"/>
          <w:vertAlign w:val="superscript"/>
        </w:rPr>
        <w:t>o</w:t>
      </w:r>
      <w:r w:rsidR="005342F7">
        <w:t> </w:t>
      </w:r>
      <w:r w:rsidRPr="00602BEF">
        <w:t xml:space="preserve">16. Le numéro d’homologation indique que l’homologation a été délivrée au titre du Règlement </w:t>
      </w:r>
      <w:r w:rsidR="005342F7" w:rsidRPr="002D76F4">
        <w:rPr>
          <w:rFonts w:eastAsia="MS Mincho"/>
          <w:szCs w:val="22"/>
        </w:rPr>
        <w:t>n</w:t>
      </w:r>
      <w:r w:rsidR="005342F7" w:rsidRPr="002D76F4">
        <w:rPr>
          <w:rFonts w:eastAsia="MS Mincho"/>
          <w:szCs w:val="22"/>
          <w:vertAlign w:val="superscript"/>
        </w:rPr>
        <w:t>o</w:t>
      </w:r>
      <w:r w:rsidR="005342F7">
        <w:t> </w:t>
      </w:r>
      <w:r w:rsidRPr="00602BEF">
        <w:t xml:space="preserve">16 tel qu’il a été modifié par la série </w:t>
      </w:r>
      <w:r w:rsidRPr="00602BEF">
        <w:rPr>
          <w:b/>
        </w:rPr>
        <w:t>07</w:t>
      </w:r>
      <w:r w:rsidRPr="00602BEF">
        <w:t xml:space="preserve"> d’amendements.</w:t>
      </w:r>
    </w:p>
    <w:p w:rsidR="00602BEF" w:rsidRPr="00602BEF" w:rsidRDefault="00602BEF" w:rsidP="00681011">
      <w:pPr>
        <w:pStyle w:val="SingleTxtG"/>
        <w:spacing w:after="0"/>
        <w:rPr>
          <w:lang w:eastAsia="ja-JP"/>
        </w:rPr>
      </w:pPr>
      <w:r w:rsidRPr="00602BEF">
        <w:t>Modèle B</w:t>
      </w:r>
    </w:p>
    <w:p w:rsidR="00602BEF" w:rsidRPr="00602BEF" w:rsidRDefault="00602BEF" w:rsidP="003263CB">
      <w:pPr>
        <w:pStyle w:val="SingleTxtG"/>
        <w:rPr>
          <w:b/>
          <w:lang w:eastAsia="ja-JP"/>
        </w:rPr>
      </w:pPr>
      <w:r w:rsidRPr="00602BEF">
        <w:t xml:space="preserve">(Voir </w:t>
      </w:r>
      <w:r w:rsidR="005342F7">
        <w:t>par. </w:t>
      </w:r>
      <w:r w:rsidRPr="00602BEF">
        <w:t>5.2.5 du présent Règlement)</w:t>
      </w:r>
    </w:p>
    <w:p w:rsidR="00602BEF" w:rsidRPr="00602BEF" w:rsidRDefault="00602BEF" w:rsidP="00681011">
      <w:pPr>
        <w:spacing w:after="120"/>
        <w:ind w:left="1134"/>
        <w:rPr>
          <w:b/>
          <w:lang w:val="en-GB" w:eastAsia="ja-JP"/>
        </w:rPr>
      </w:pPr>
      <w:r w:rsidRPr="00602BEF">
        <w:rPr>
          <w:b/>
          <w:noProof/>
          <w:lang w:val="fr-FR" w:eastAsia="fr-FR"/>
        </w:rPr>
        <w:drawing>
          <wp:inline distT="0" distB="0" distL="0" distR="0" wp14:anchorId="1C405AE1" wp14:editId="6BEB2BD3">
            <wp:extent cx="3691255" cy="756285"/>
            <wp:effectExtent l="0" t="0" r="4445" b="571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91255" cy="756285"/>
                    </a:xfrm>
                    <a:prstGeom prst="rect">
                      <a:avLst/>
                    </a:prstGeom>
                    <a:noFill/>
                    <a:ln>
                      <a:noFill/>
                    </a:ln>
                  </pic:spPr>
                </pic:pic>
              </a:graphicData>
            </a:graphic>
          </wp:inline>
        </w:drawing>
      </w:r>
    </w:p>
    <w:p w:rsidR="00602BEF" w:rsidRPr="00602BEF" w:rsidRDefault="00602BEF" w:rsidP="003263CB">
      <w:pPr>
        <w:pStyle w:val="SingleTxtG"/>
        <w:ind w:firstLine="567"/>
      </w:pPr>
      <w:r w:rsidRPr="00602BEF">
        <w:t xml:space="preserve">La marque d’homologation ci-dessus, apposée sur un véhicule, indique que ce type de véhicule a été homologué aux Pays-Bas (E 4), en application des Règlements </w:t>
      </w:r>
      <w:r w:rsidR="005342F7" w:rsidRPr="002D76F4">
        <w:rPr>
          <w:rFonts w:eastAsia="MS Mincho"/>
          <w:szCs w:val="22"/>
        </w:rPr>
        <w:t>n</w:t>
      </w:r>
      <w:r w:rsidR="005342F7" w:rsidRPr="002D76F4">
        <w:rPr>
          <w:rFonts w:eastAsia="MS Mincho"/>
          <w:szCs w:val="22"/>
          <w:vertAlign w:val="superscript"/>
        </w:rPr>
        <w:t>o</w:t>
      </w:r>
      <w:r w:rsidR="005342F7">
        <w:t> </w:t>
      </w:r>
      <w:r w:rsidRPr="00602BEF">
        <w:t>16 et 52</w:t>
      </w:r>
      <w:r w:rsidRPr="00602BEF">
        <w:rPr>
          <w:vertAlign w:val="superscript"/>
          <w:lang w:val="en-GB"/>
        </w:rPr>
        <w:footnoteReference w:id="6"/>
      </w:r>
      <w:r w:rsidRPr="00602BEF">
        <w:t xml:space="preserve">. Les numéros d’homologation indiquent qu’aux dates respectives où les homologations ont été délivrées, le Règlement </w:t>
      </w:r>
      <w:r w:rsidR="005342F7" w:rsidRPr="002D76F4">
        <w:rPr>
          <w:rFonts w:eastAsia="MS Mincho"/>
          <w:szCs w:val="22"/>
        </w:rPr>
        <w:t>n</w:t>
      </w:r>
      <w:r w:rsidR="005342F7" w:rsidRPr="002D76F4">
        <w:rPr>
          <w:rFonts w:eastAsia="MS Mincho"/>
          <w:szCs w:val="22"/>
          <w:vertAlign w:val="superscript"/>
        </w:rPr>
        <w:t>o</w:t>
      </w:r>
      <w:r w:rsidR="005342F7">
        <w:t> </w:t>
      </w:r>
      <w:r w:rsidRPr="00602BEF">
        <w:t xml:space="preserve">16 comprenait la série </w:t>
      </w:r>
      <w:r w:rsidRPr="00602BEF">
        <w:rPr>
          <w:b/>
        </w:rPr>
        <w:t>07</w:t>
      </w:r>
      <w:r w:rsidRPr="00602BEF">
        <w:t xml:space="preserve"> d’amendements, et le Règlement </w:t>
      </w:r>
      <w:r w:rsidR="005342F7" w:rsidRPr="002D76F4">
        <w:rPr>
          <w:rFonts w:eastAsia="MS Mincho"/>
          <w:szCs w:val="22"/>
        </w:rPr>
        <w:t>n</w:t>
      </w:r>
      <w:r w:rsidR="005342F7" w:rsidRPr="002D76F4">
        <w:rPr>
          <w:rFonts w:eastAsia="MS Mincho"/>
          <w:szCs w:val="22"/>
          <w:vertAlign w:val="superscript"/>
        </w:rPr>
        <w:t>o</w:t>
      </w:r>
      <w:r w:rsidR="005342F7">
        <w:t> </w:t>
      </w:r>
      <w:r w:rsidRPr="00602BEF">
        <w:t>52 la série 01 d’amendements.</w:t>
      </w:r>
    </w:p>
    <w:p w:rsidR="00602BEF" w:rsidRPr="00602BEF" w:rsidRDefault="00602BEF" w:rsidP="003263CB">
      <w:pPr>
        <w:pStyle w:val="SingleTxtG"/>
        <w:rPr>
          <w:b/>
          <w:lang w:eastAsia="ja-JP"/>
        </w:rPr>
      </w:pPr>
      <w:r w:rsidRPr="00602BEF">
        <w:t>…</w:t>
      </w:r>
      <w:r w:rsidR="00C73BF0">
        <w:t> »</w:t>
      </w:r>
      <w:r w:rsidRPr="00602BEF">
        <w:t>.</w:t>
      </w:r>
    </w:p>
    <w:p w:rsidR="00602BEF" w:rsidRPr="00602BEF" w:rsidRDefault="009708A9" w:rsidP="00602BEF">
      <w:pPr>
        <w:pStyle w:val="SingleTxtG"/>
        <w:rPr>
          <w:iCs/>
        </w:rPr>
      </w:pPr>
      <w:r>
        <w:rPr>
          <w:i/>
          <w:iCs/>
        </w:rPr>
        <w:br w:type="page"/>
      </w:r>
      <w:r w:rsidR="00602BEF" w:rsidRPr="00602BEF">
        <w:rPr>
          <w:i/>
          <w:iCs/>
        </w:rPr>
        <w:t>Ajouter une nouvelle annexe 19</w:t>
      </w:r>
      <w:r w:rsidR="00602BEF" w:rsidRPr="009708A9">
        <w:rPr>
          <w:iCs/>
        </w:rPr>
        <w:t>,</w:t>
      </w:r>
      <w:r w:rsidR="00602BEF" w:rsidRPr="00602BEF">
        <w:rPr>
          <w:iCs/>
        </w:rPr>
        <w:t xml:space="preserve"> ainsi conçue</w:t>
      </w:r>
      <w:r w:rsidR="005342F7">
        <w:rPr>
          <w:iCs/>
        </w:rPr>
        <w:t> :</w:t>
      </w:r>
    </w:p>
    <w:p w:rsidR="00602BEF" w:rsidRPr="00602BEF" w:rsidRDefault="00C73BF0" w:rsidP="003263CB">
      <w:pPr>
        <w:pStyle w:val="HChG"/>
      </w:pPr>
      <w:r w:rsidRPr="00C73BF0">
        <w:rPr>
          <w:b w:val="0"/>
          <w:iCs/>
          <w:sz w:val="20"/>
        </w:rPr>
        <w:t>«</w:t>
      </w:r>
      <w:r w:rsidRPr="007363F5">
        <w:rPr>
          <w:iCs/>
        </w:rPr>
        <w:t> </w:t>
      </w:r>
      <w:r w:rsidR="00602BEF" w:rsidRPr="00602BEF">
        <w:t>Annexe 19</w:t>
      </w:r>
    </w:p>
    <w:p w:rsidR="009708A9" w:rsidRDefault="00602BEF" w:rsidP="003263CB">
      <w:pPr>
        <w:pStyle w:val="H1G"/>
      </w:pPr>
      <w:r w:rsidRPr="00602BEF">
        <w:tab/>
      </w:r>
      <w:r w:rsidRPr="00602BEF">
        <w:tab/>
        <w:t>[Essais</w:t>
      </w:r>
      <w:r w:rsidR="005342F7">
        <w:t xml:space="preserve"> </w:t>
      </w:r>
      <w:r w:rsidRPr="00602BEF">
        <w:t>du système de témoin de coussin gonflable pour passager</w:t>
      </w:r>
    </w:p>
    <w:p w:rsidR="009708A9" w:rsidRDefault="00602BEF" w:rsidP="003263CB">
      <w:pPr>
        <w:pStyle w:val="SingleTxtG"/>
        <w:ind w:left="2268" w:hanging="1134"/>
        <w:rPr>
          <w:b/>
          <w:bCs/>
        </w:rPr>
      </w:pPr>
      <w:r w:rsidRPr="00602BEF">
        <w:rPr>
          <w:b/>
          <w:bCs/>
        </w:rPr>
        <w:t>1.</w:t>
      </w:r>
      <w:r w:rsidRPr="00602BEF">
        <w:rPr>
          <w:b/>
          <w:bCs/>
        </w:rPr>
        <w:tab/>
        <w:t>Configuration du véhicule d’essai</w:t>
      </w:r>
    </w:p>
    <w:p w:rsidR="009708A9" w:rsidRDefault="00602BEF" w:rsidP="003263CB">
      <w:pPr>
        <w:pStyle w:val="SingleTxtG"/>
        <w:ind w:left="2268" w:hanging="1134"/>
        <w:rPr>
          <w:b/>
          <w:bCs/>
        </w:rPr>
      </w:pPr>
      <w:r w:rsidRPr="00602BEF">
        <w:rPr>
          <w:b/>
          <w:bCs/>
        </w:rPr>
        <w:t>1.1</w:t>
      </w:r>
      <w:r w:rsidRPr="00602BEF">
        <w:rPr>
          <w:b/>
          <w:bCs/>
        </w:rPr>
        <w:tab/>
        <w:t xml:space="preserve">Le coussin gonflable de protection frontale pour passager est désactivé à l’aide du dispositif/moyen </w:t>
      </w:r>
      <w:r w:rsidR="00E951A9">
        <w:rPr>
          <w:b/>
          <w:bCs/>
        </w:rPr>
        <w:t xml:space="preserve">de </w:t>
      </w:r>
      <w:r w:rsidRPr="00602BEF">
        <w:rPr>
          <w:b/>
          <w:bCs/>
        </w:rPr>
        <w:t>désactivation manuelle approprié.</w:t>
      </w:r>
    </w:p>
    <w:p w:rsidR="00602BEF" w:rsidRPr="00602BEF" w:rsidRDefault="00602BEF" w:rsidP="003263CB">
      <w:pPr>
        <w:pStyle w:val="SingleTxtG"/>
        <w:ind w:left="2268" w:hanging="1134"/>
        <w:rPr>
          <w:b/>
          <w:bCs/>
        </w:rPr>
      </w:pPr>
      <w:r w:rsidRPr="00602BEF">
        <w:rPr>
          <w:b/>
          <w:bCs/>
        </w:rPr>
        <w:t>1.2</w:t>
      </w:r>
      <w:r w:rsidRPr="00602BEF">
        <w:rPr>
          <w:b/>
          <w:bCs/>
        </w:rPr>
        <w:tab/>
        <w:t>Simuler l’occupation du siège du passager avant en utilisant (au choix du constructeur)</w:t>
      </w:r>
      <w:r w:rsidR="005342F7">
        <w:rPr>
          <w:b/>
          <w:bCs/>
        </w:rPr>
        <w:t> :</w:t>
      </w:r>
    </w:p>
    <w:p w:rsidR="00602BEF" w:rsidRPr="00602BEF" w:rsidRDefault="00602BEF" w:rsidP="003263CB">
      <w:pPr>
        <w:pStyle w:val="SingleTxtG"/>
        <w:ind w:left="2835" w:hanging="567"/>
        <w:rPr>
          <w:b/>
        </w:rPr>
      </w:pPr>
      <w:r w:rsidRPr="00602BEF">
        <w:rPr>
          <w:b/>
        </w:rPr>
        <w:t>a)</w:t>
      </w:r>
      <w:r w:rsidRPr="00602BEF">
        <w:rPr>
          <w:b/>
        </w:rPr>
        <w:tab/>
        <w:t xml:space="preserve">[40] kg </w:t>
      </w:r>
      <w:r w:rsidR="007A7AED" w:rsidRPr="007A7AED">
        <w:rPr>
          <w:b/>
          <w:lang w:val="fr-CA"/>
        </w:rPr>
        <w:sym w:font="Symbol" w:char="F0B1"/>
      </w:r>
      <w:r w:rsidRPr="00602BEF">
        <w:rPr>
          <w:b/>
        </w:rPr>
        <w:t xml:space="preserve"> [X] kg de masse totale placée au centre sur le coussin du siège</w:t>
      </w:r>
      <w:r w:rsidR="005342F7">
        <w:rPr>
          <w:b/>
        </w:rPr>
        <w:t> ;</w:t>
      </w:r>
      <w:r w:rsidRPr="00602BEF">
        <w:rPr>
          <w:b/>
        </w:rPr>
        <w:t xml:space="preserve"> ou</w:t>
      </w:r>
    </w:p>
    <w:p w:rsidR="00602BEF" w:rsidRPr="00602BEF" w:rsidRDefault="00602BEF" w:rsidP="003263CB">
      <w:pPr>
        <w:pStyle w:val="SingleTxtG"/>
        <w:ind w:left="2835" w:hanging="567"/>
        <w:rPr>
          <w:b/>
        </w:rPr>
      </w:pPr>
      <w:r w:rsidRPr="00602BEF">
        <w:rPr>
          <w:b/>
        </w:rPr>
        <w:t xml:space="preserve">b) </w:t>
      </w:r>
      <w:r w:rsidRPr="00602BEF">
        <w:rPr>
          <w:b/>
        </w:rPr>
        <w:tab/>
        <w:t>[Un mannequin Hybrid III de sexe féminin du 5</w:t>
      </w:r>
      <w:r w:rsidRPr="00602BEF">
        <w:rPr>
          <w:b/>
          <w:vertAlign w:val="superscript"/>
        </w:rPr>
        <w:t>e</w:t>
      </w:r>
      <w:r w:rsidR="007A7AED">
        <w:rPr>
          <w:b/>
        </w:rPr>
        <w:t> </w:t>
      </w:r>
      <w:r w:rsidRPr="00602BEF">
        <w:rPr>
          <w:b/>
        </w:rPr>
        <w:t>centile]</w:t>
      </w:r>
      <w:r w:rsidR="005342F7">
        <w:rPr>
          <w:b/>
        </w:rPr>
        <w:t> ;</w:t>
      </w:r>
      <w:r w:rsidRPr="00602BEF">
        <w:rPr>
          <w:b/>
        </w:rPr>
        <w:t xml:space="preserve"> ou</w:t>
      </w:r>
    </w:p>
    <w:p w:rsidR="009708A9" w:rsidRDefault="00602BEF" w:rsidP="003263CB">
      <w:pPr>
        <w:pStyle w:val="SingleTxtG"/>
        <w:ind w:left="2835" w:hanging="567"/>
        <w:rPr>
          <w:b/>
        </w:rPr>
      </w:pPr>
      <w:r w:rsidRPr="00602BEF">
        <w:rPr>
          <w:b/>
        </w:rPr>
        <w:t>c)</w:t>
      </w:r>
      <w:r w:rsidRPr="00602BEF">
        <w:rPr>
          <w:b/>
        </w:rPr>
        <w:tab/>
        <w:t>[L’état dans lequel se trouve à bord du véhicule l’occupant d’un siège de passager avant latéral pas plus large que le mannequin Hybrid III de sexe féminin du 5</w:t>
      </w:r>
      <w:r w:rsidRPr="007A7AED">
        <w:rPr>
          <w:b/>
          <w:vertAlign w:val="superscript"/>
        </w:rPr>
        <w:t>e</w:t>
      </w:r>
      <w:r w:rsidR="007A7AED">
        <w:rPr>
          <w:b/>
        </w:rPr>
        <w:t> </w:t>
      </w:r>
      <w:r w:rsidRPr="00602BEF">
        <w:rPr>
          <w:b/>
        </w:rPr>
        <w:t>centile est simulé à l’aide d’une méthode précisée par le constructeur et acceptée par l’autorité d’homologation].</w:t>
      </w:r>
    </w:p>
    <w:p w:rsidR="009708A9" w:rsidRDefault="00602BEF" w:rsidP="003263CB">
      <w:pPr>
        <w:pStyle w:val="SingleTxtG"/>
        <w:ind w:left="2268" w:hanging="1134"/>
        <w:rPr>
          <w:b/>
          <w:bCs/>
        </w:rPr>
      </w:pPr>
      <w:r w:rsidRPr="00602BEF">
        <w:rPr>
          <w:b/>
          <w:bCs/>
        </w:rPr>
        <w:t>1.3</w:t>
      </w:r>
      <w:r w:rsidRPr="00602BEF">
        <w:rPr>
          <w:b/>
          <w:bCs/>
        </w:rPr>
        <w:tab/>
        <w:t>Les ceintures du siège du conducteur et de celui du passager avant doivent être bouclées.</w:t>
      </w:r>
    </w:p>
    <w:p w:rsidR="009708A9" w:rsidRDefault="00602BEF" w:rsidP="003263CB">
      <w:pPr>
        <w:pStyle w:val="SingleTxtG"/>
        <w:ind w:left="2268" w:hanging="1134"/>
        <w:rPr>
          <w:b/>
          <w:bCs/>
        </w:rPr>
      </w:pPr>
      <w:r w:rsidRPr="00602BEF">
        <w:rPr>
          <w:b/>
          <w:bCs/>
        </w:rPr>
        <w:t>1.4</w:t>
      </w:r>
      <w:r w:rsidRPr="00602BEF">
        <w:rPr>
          <w:b/>
          <w:bCs/>
        </w:rPr>
        <w:tab/>
        <w:t>[Pour tout essai dans lequel l’occupation du siège du passager avant est simulée conformément au paragraphe 1.2 b) ou c) de la présente annexe, ce siège doit être réglé comme suit</w:t>
      </w:r>
      <w:r w:rsidR="005342F7">
        <w:rPr>
          <w:b/>
          <w:bCs/>
        </w:rPr>
        <w:t> :</w:t>
      </w:r>
    </w:p>
    <w:p w:rsidR="00602BEF" w:rsidRPr="00602BEF" w:rsidRDefault="00602BEF" w:rsidP="003263CB">
      <w:pPr>
        <w:pStyle w:val="SingleTxtG"/>
        <w:ind w:left="2268" w:hanging="1134"/>
        <w:rPr>
          <w:b/>
          <w:bCs/>
        </w:rPr>
      </w:pPr>
      <w:r w:rsidRPr="00602BEF">
        <w:rPr>
          <w:b/>
          <w:bCs/>
        </w:rPr>
        <w:t>1.4.1</w:t>
      </w:r>
      <w:r w:rsidRPr="00602BEF">
        <w:rPr>
          <w:b/>
          <w:bCs/>
        </w:rPr>
        <w:tab/>
        <w:t>Position longitudinale du siège</w:t>
      </w:r>
    </w:p>
    <w:p w:rsidR="00602BEF" w:rsidRPr="009708A9" w:rsidRDefault="00602BEF" w:rsidP="003263CB">
      <w:pPr>
        <w:pStyle w:val="SingleTxtG"/>
        <w:ind w:left="2268"/>
        <w:rPr>
          <w:b/>
          <w:bCs/>
        </w:rPr>
      </w:pPr>
      <w:r w:rsidRPr="009708A9">
        <w:rPr>
          <w:b/>
          <w:bCs/>
        </w:rPr>
        <w:t xml:space="preserve">S’il est réglable </w:t>
      </w:r>
      <w:r w:rsidRPr="009708A9">
        <w:rPr>
          <w:rFonts w:ascii="Times New Roman Gras" w:hAnsi="Times New Roman Gras"/>
          <w:b/>
          <w:bCs/>
        </w:rPr>
        <w:t>dans</w:t>
      </w:r>
      <w:r w:rsidRPr="009708A9">
        <w:rPr>
          <w:b/>
          <w:bCs/>
        </w:rPr>
        <w:t xml:space="preserve"> le </w:t>
      </w:r>
      <w:r w:rsidRPr="009708A9">
        <w:rPr>
          <w:b/>
        </w:rPr>
        <w:t>sens</w:t>
      </w:r>
      <w:r w:rsidRPr="009708A9">
        <w:rPr>
          <w:b/>
          <w:bCs/>
        </w:rPr>
        <w:t xml:space="preserve"> longitudinal, le siège doit être placé de telle sorte que son point H, déterminé par la méthode indiquée à l’annexe 15, soit</w:t>
      </w:r>
      <w:r w:rsidR="005342F7" w:rsidRPr="009708A9">
        <w:rPr>
          <w:b/>
          <w:bCs/>
        </w:rPr>
        <w:t> :</w:t>
      </w:r>
    </w:p>
    <w:p w:rsidR="00602BEF" w:rsidRPr="00602BEF" w:rsidRDefault="00602BEF" w:rsidP="003263CB">
      <w:pPr>
        <w:pStyle w:val="SingleTxtG"/>
        <w:ind w:left="2835" w:hanging="567"/>
        <w:rPr>
          <w:b/>
          <w:bCs/>
        </w:rPr>
      </w:pPr>
      <w:r w:rsidRPr="00602BEF">
        <w:rPr>
          <w:b/>
          <w:bCs/>
        </w:rPr>
        <w:t xml:space="preserve">a) </w:t>
      </w:r>
      <w:r w:rsidRPr="00602BEF">
        <w:rPr>
          <w:b/>
          <w:bCs/>
        </w:rPr>
        <w:tab/>
      </w:r>
      <w:r w:rsidR="009708A9" w:rsidRPr="00602BEF">
        <w:rPr>
          <w:b/>
          <w:bCs/>
        </w:rPr>
        <w:t xml:space="preserve">Dans </w:t>
      </w:r>
      <w:r w:rsidRPr="00602BEF">
        <w:rPr>
          <w:b/>
          <w:bCs/>
        </w:rPr>
        <w:t>la position indiquée par le constructeur, qui doit être située à l’avant de la position de réglage médiane</w:t>
      </w:r>
      <w:r w:rsidR="005342F7">
        <w:rPr>
          <w:b/>
          <w:bCs/>
        </w:rPr>
        <w:t> ;</w:t>
      </w:r>
      <w:r w:rsidRPr="00602BEF">
        <w:rPr>
          <w:b/>
          <w:bCs/>
        </w:rPr>
        <w:t xml:space="preserve"> ou</w:t>
      </w:r>
    </w:p>
    <w:p w:rsidR="009708A9" w:rsidRDefault="00602BEF" w:rsidP="003263CB">
      <w:pPr>
        <w:pStyle w:val="SingleTxtG"/>
        <w:ind w:left="2835" w:hanging="567"/>
        <w:rPr>
          <w:b/>
          <w:bCs/>
        </w:rPr>
      </w:pPr>
      <w:r w:rsidRPr="00602BEF">
        <w:rPr>
          <w:b/>
          <w:bCs/>
        </w:rPr>
        <w:t xml:space="preserve">b) </w:t>
      </w:r>
      <w:r w:rsidRPr="00602BEF">
        <w:rPr>
          <w:b/>
          <w:bCs/>
        </w:rPr>
        <w:tab/>
      </w:r>
      <w:r w:rsidR="009708A9" w:rsidRPr="00602BEF">
        <w:rPr>
          <w:b/>
          <w:bCs/>
        </w:rPr>
        <w:t xml:space="preserve">En </w:t>
      </w:r>
      <w:r w:rsidRPr="003263CB">
        <w:rPr>
          <w:b/>
        </w:rPr>
        <w:t>l’absence</w:t>
      </w:r>
      <w:r w:rsidRPr="00602BEF">
        <w:rPr>
          <w:b/>
          <w:bCs/>
        </w:rPr>
        <w:t xml:space="preserve"> de recommandation particulière du constructeur, aussi proche que possible d’une position médiane entre la position la plus en avant du siège et la position centrale de son réglage.</w:t>
      </w:r>
    </w:p>
    <w:p w:rsidR="00602BEF" w:rsidRPr="00602BEF" w:rsidRDefault="00602BEF" w:rsidP="003263CB">
      <w:pPr>
        <w:pStyle w:val="SingleTxtG"/>
        <w:ind w:left="2268" w:hanging="1134"/>
        <w:rPr>
          <w:b/>
          <w:bCs/>
        </w:rPr>
      </w:pPr>
      <w:r w:rsidRPr="00602BEF">
        <w:rPr>
          <w:b/>
          <w:bCs/>
        </w:rPr>
        <w:t>1.4.2</w:t>
      </w:r>
      <w:r w:rsidRPr="00602BEF">
        <w:rPr>
          <w:b/>
          <w:bCs/>
        </w:rPr>
        <w:tab/>
      </w:r>
      <w:r w:rsidRPr="00602BEF">
        <w:rPr>
          <w:b/>
          <w:bCs/>
        </w:rPr>
        <w:tab/>
        <w:t>Angle d’inclinaison du dossier</w:t>
      </w:r>
    </w:p>
    <w:p w:rsidR="009708A9" w:rsidRDefault="00602BEF" w:rsidP="003263CB">
      <w:pPr>
        <w:pStyle w:val="SingleTxtG"/>
        <w:ind w:left="2268"/>
        <w:rPr>
          <w:b/>
          <w:bCs/>
        </w:rPr>
      </w:pPr>
      <w:r w:rsidRPr="00602BEF">
        <w:rPr>
          <w:b/>
          <w:bCs/>
        </w:rPr>
        <w:t xml:space="preserve">S’il est réglable, le </w:t>
      </w:r>
      <w:r w:rsidRPr="003263CB">
        <w:rPr>
          <w:b/>
        </w:rPr>
        <w:t>dossier</w:t>
      </w:r>
      <w:r w:rsidRPr="00602BEF">
        <w:rPr>
          <w:b/>
          <w:bCs/>
        </w:rPr>
        <w:t xml:space="preserve"> doit être réglé de telle sorte que l’inclinaison du torse du mannequin soit aussi proche que possible de celle qui est recommandée par le constructeur pour un usage normal]. </w:t>
      </w:r>
    </w:p>
    <w:p w:rsidR="009708A9" w:rsidRDefault="00602BEF" w:rsidP="003263CB">
      <w:pPr>
        <w:pStyle w:val="SingleTxtG"/>
        <w:ind w:left="2268" w:hanging="1134"/>
        <w:rPr>
          <w:b/>
          <w:bCs/>
        </w:rPr>
      </w:pPr>
      <w:r w:rsidRPr="00602BEF">
        <w:rPr>
          <w:b/>
          <w:bCs/>
        </w:rPr>
        <w:t>2.</w:t>
      </w:r>
      <w:r w:rsidRPr="00602BEF">
        <w:rPr>
          <w:b/>
          <w:bCs/>
        </w:rPr>
        <w:tab/>
        <w:t>Essai</w:t>
      </w:r>
    </w:p>
    <w:p w:rsidR="009708A9" w:rsidRDefault="00602BEF" w:rsidP="003263CB">
      <w:pPr>
        <w:pStyle w:val="SingleTxtG"/>
        <w:ind w:left="2268" w:hanging="1134"/>
        <w:rPr>
          <w:b/>
          <w:bCs/>
        </w:rPr>
      </w:pPr>
      <w:r w:rsidRPr="00602BEF">
        <w:rPr>
          <w:b/>
          <w:bCs/>
        </w:rPr>
        <w:t>2.1</w:t>
      </w:r>
      <w:r w:rsidRPr="00602BEF">
        <w:rPr>
          <w:b/>
          <w:bCs/>
        </w:rPr>
        <w:tab/>
        <w:t xml:space="preserve">Un véhicule préparé conformément au paragraphe 1 est soumis à l’essai en respectant l’une au moins des conditions énumérées aux paragraphes 2.1.1 à 2.1.3 ci-dessous (au choix du constructeur). </w:t>
      </w:r>
    </w:p>
    <w:p w:rsidR="009708A9" w:rsidRDefault="00602BEF" w:rsidP="003263CB">
      <w:pPr>
        <w:pStyle w:val="SingleTxtG"/>
        <w:ind w:left="2268" w:hanging="1134"/>
        <w:rPr>
          <w:b/>
          <w:bCs/>
        </w:rPr>
      </w:pPr>
      <w:r w:rsidRPr="00602BEF">
        <w:rPr>
          <w:b/>
          <w:bCs/>
        </w:rPr>
        <w:t>2.1.1</w:t>
      </w:r>
      <w:r w:rsidRPr="00602BEF">
        <w:rPr>
          <w:b/>
          <w:bCs/>
        </w:rPr>
        <w:tab/>
      </w:r>
      <w:r w:rsidRPr="007A7AED">
        <w:rPr>
          <w:rFonts w:ascii="Times New Roman Gras" w:hAnsi="Times New Roman Gras"/>
          <w:b/>
          <w:bCs/>
          <w:spacing w:val="-2"/>
        </w:rPr>
        <w:t>Accélérer le véhicule soumis à l’essai jusqu’à une vitesse de 25 -0/+10 km/h</w:t>
      </w:r>
      <w:r w:rsidRPr="00602BEF">
        <w:rPr>
          <w:b/>
          <w:bCs/>
        </w:rPr>
        <w:t xml:space="preserve"> depuis l’arrêt.</w:t>
      </w:r>
    </w:p>
    <w:p w:rsidR="009708A9" w:rsidRDefault="00602BEF" w:rsidP="003263CB">
      <w:pPr>
        <w:pStyle w:val="SingleTxtG"/>
        <w:ind w:left="2268" w:hanging="1134"/>
        <w:rPr>
          <w:b/>
          <w:bCs/>
        </w:rPr>
      </w:pPr>
      <w:r w:rsidRPr="00602BEF">
        <w:rPr>
          <w:b/>
          <w:bCs/>
        </w:rPr>
        <w:t>2.1.2</w:t>
      </w:r>
      <w:r w:rsidRPr="00602BEF">
        <w:rPr>
          <w:b/>
          <w:bCs/>
        </w:rPr>
        <w:tab/>
        <w:t>Faire parcourir au véhicule, en marche avant, une distance d’au moins 500 m depuis l’arrêt.</w:t>
      </w:r>
    </w:p>
    <w:p w:rsidR="00602BEF" w:rsidRPr="00602BEF" w:rsidRDefault="00602BEF" w:rsidP="003263CB">
      <w:pPr>
        <w:pStyle w:val="SingleTxtG"/>
        <w:ind w:left="2268" w:hanging="1134"/>
        <w:rPr>
          <w:b/>
          <w:bCs/>
        </w:rPr>
      </w:pPr>
      <w:r w:rsidRPr="00602BEF">
        <w:rPr>
          <w:b/>
          <w:bCs/>
        </w:rPr>
        <w:t>2.1.3</w:t>
      </w:r>
      <w:r w:rsidRPr="00602BEF">
        <w:rPr>
          <w:b/>
          <w:bCs/>
        </w:rPr>
        <w:tab/>
        <w:t>Faire avancer le véhicule à une vitesse supérieure à 10 km/h pendant au moins 60 s.]</w:t>
      </w:r>
      <w:r w:rsidR="00C73BF0" w:rsidRPr="007363F5">
        <w:rPr>
          <w:iCs/>
        </w:rPr>
        <w:t> </w:t>
      </w:r>
      <w:r w:rsidR="00C73BF0" w:rsidRPr="00C73BF0">
        <w:rPr>
          <w:iCs/>
        </w:rPr>
        <w:t>»</w:t>
      </w:r>
      <w:r w:rsidR="003831D4">
        <w:rPr>
          <w:iCs/>
        </w:rPr>
        <w:t>.</w:t>
      </w:r>
    </w:p>
    <w:p w:rsidR="00602BEF" w:rsidRPr="00602BEF" w:rsidRDefault="00602BEF" w:rsidP="003263CB">
      <w:pPr>
        <w:pStyle w:val="HChG"/>
        <w:rPr>
          <w:snapToGrid w:val="0"/>
          <w:lang w:eastAsia="ja-JP"/>
        </w:rPr>
      </w:pPr>
      <w:r w:rsidRPr="00602BEF">
        <w:rPr>
          <w:snapToGrid w:val="0"/>
          <w:lang w:eastAsia="ja-JP"/>
        </w:rPr>
        <w:tab/>
        <w:t>II</w:t>
      </w:r>
      <w:r w:rsidRPr="00602BEF">
        <w:rPr>
          <w:snapToGrid w:val="0"/>
        </w:rPr>
        <w:t>.</w:t>
      </w:r>
      <w:r w:rsidRPr="00602BEF">
        <w:rPr>
          <w:snapToGrid w:val="0"/>
        </w:rPr>
        <w:tab/>
      </w:r>
      <w:r w:rsidRPr="00602BEF">
        <w:rPr>
          <w:snapToGrid w:val="0"/>
          <w:lang w:eastAsia="ja-JP"/>
        </w:rPr>
        <w:t>Justification</w:t>
      </w:r>
    </w:p>
    <w:p w:rsidR="00602BEF" w:rsidRPr="00602BEF" w:rsidRDefault="00602BEF" w:rsidP="003831D4">
      <w:pPr>
        <w:pStyle w:val="ParNoG"/>
        <w:spacing w:after="100"/>
        <w:rPr>
          <w:rFonts w:eastAsia="MS Mincho"/>
        </w:rPr>
      </w:pPr>
      <w:r w:rsidRPr="00602BEF">
        <w:rPr>
          <w:rFonts w:eastAsia="MS Mincho"/>
        </w:rPr>
        <w:t xml:space="preserve">Le Règlement </w:t>
      </w:r>
      <w:r w:rsidR="005342F7" w:rsidRPr="002D76F4">
        <w:rPr>
          <w:rFonts w:eastAsia="MS Mincho"/>
          <w:szCs w:val="22"/>
        </w:rPr>
        <w:t>n</w:t>
      </w:r>
      <w:r w:rsidR="005342F7" w:rsidRPr="002D76F4">
        <w:rPr>
          <w:rFonts w:eastAsia="MS Mincho"/>
          <w:szCs w:val="22"/>
          <w:vertAlign w:val="superscript"/>
        </w:rPr>
        <w:t>o</w:t>
      </w:r>
      <w:r w:rsidR="005342F7">
        <w:t> </w:t>
      </w:r>
      <w:r w:rsidRPr="00602BEF">
        <w:rPr>
          <w:rFonts w:eastAsia="MS Mincho"/>
        </w:rPr>
        <w:t>94 (c</w:t>
      </w:r>
      <w:r w:rsidRPr="00602BEF">
        <w:t xml:space="preserve">hoc avant) et le Règlement </w:t>
      </w:r>
      <w:r w:rsidR="005342F7" w:rsidRPr="002D76F4">
        <w:rPr>
          <w:rFonts w:eastAsia="MS Mincho"/>
          <w:szCs w:val="22"/>
        </w:rPr>
        <w:t>n</w:t>
      </w:r>
      <w:r w:rsidR="005342F7" w:rsidRPr="002D76F4">
        <w:rPr>
          <w:rFonts w:eastAsia="MS Mincho"/>
          <w:szCs w:val="22"/>
          <w:vertAlign w:val="superscript"/>
        </w:rPr>
        <w:t>o</w:t>
      </w:r>
      <w:r w:rsidR="005342F7">
        <w:t> </w:t>
      </w:r>
      <w:r w:rsidRPr="00602BEF">
        <w:rPr>
          <w:rFonts w:eastAsia="MS Mincho"/>
        </w:rPr>
        <w:t xml:space="preserve">[137] (choc avant, l’accent étant mis sur les dispositifs de retenue) sont des normes axées sur la performance qui ne prévoient rien en ce qui concerne la désactivation des coussins gonflables. L’Australie interprète cela (comme elle le fait avec sa </w:t>
      </w:r>
      <w:r w:rsidR="005342F7" w:rsidRPr="00602BEF">
        <w:rPr>
          <w:rFonts w:eastAsia="MS Mincho"/>
        </w:rPr>
        <w:t>réglementation</w:t>
      </w:r>
      <w:r w:rsidRPr="00602BEF">
        <w:rPr>
          <w:rFonts w:eastAsia="MS Mincho"/>
        </w:rPr>
        <w:t xml:space="preserve"> nationale Australian Design Rule 69/00 portant sur la protection complète des occupants en cas de collision frontale) comme voulant dire que le véhicule doit respecter les prescriptions en matière de comportement au choc indépendamment de la présence ou non d’un dispositif de désactivation.</w:t>
      </w:r>
      <w:r w:rsidR="005342F7">
        <w:rPr>
          <w:rFonts w:eastAsia="MS Mincho"/>
        </w:rPr>
        <w:t xml:space="preserve"> </w:t>
      </w:r>
    </w:p>
    <w:p w:rsidR="00602BEF" w:rsidRPr="00602BEF" w:rsidRDefault="00602BEF" w:rsidP="003831D4">
      <w:pPr>
        <w:pStyle w:val="ParNoG"/>
        <w:tabs>
          <w:tab w:val="clear" w:pos="1701"/>
        </w:tabs>
        <w:spacing w:after="100"/>
        <w:rPr>
          <w:rFonts w:eastAsia="MS Mincho"/>
        </w:rPr>
      </w:pPr>
      <w:r w:rsidRPr="00602BEF">
        <w:rPr>
          <w:rFonts w:eastAsia="MS Mincho"/>
        </w:rPr>
        <w:t xml:space="preserve">Toutefois, l’Australie ayant appliqué le Règlement </w:t>
      </w:r>
      <w:r w:rsidR="005342F7" w:rsidRPr="002D76F4">
        <w:rPr>
          <w:rFonts w:eastAsia="MS Mincho"/>
          <w:szCs w:val="22"/>
        </w:rPr>
        <w:t>n</w:t>
      </w:r>
      <w:r w:rsidR="005342F7" w:rsidRPr="002D76F4">
        <w:rPr>
          <w:rFonts w:eastAsia="MS Mincho"/>
          <w:szCs w:val="22"/>
          <w:vertAlign w:val="superscript"/>
        </w:rPr>
        <w:t>o</w:t>
      </w:r>
      <w:r w:rsidR="005342F7">
        <w:t> </w:t>
      </w:r>
      <w:r w:rsidRPr="00602BEF">
        <w:rPr>
          <w:rFonts w:eastAsia="MS Mincho"/>
        </w:rPr>
        <w:t xml:space="preserve">94, elle reconnaît et admet que les homologations délivrées en vertu de ce Règlement par les autorités d’homologation pour des types de véhicules munis de système de désactivation manuelle des coussins gonflables le sont seulement si le type de véhicule concerné passe l’essai avec succès quand le coussin gonflable est activé. </w:t>
      </w:r>
    </w:p>
    <w:p w:rsidR="00602BEF" w:rsidRPr="00602BEF" w:rsidRDefault="00602BEF" w:rsidP="003831D4">
      <w:pPr>
        <w:pStyle w:val="ParNoG"/>
        <w:tabs>
          <w:tab w:val="clear" w:pos="1701"/>
        </w:tabs>
        <w:spacing w:after="100"/>
        <w:rPr>
          <w:rFonts w:eastAsia="MS Mincho"/>
        </w:rPr>
      </w:pPr>
      <w:r w:rsidRPr="00602BEF">
        <w:rPr>
          <w:rFonts w:eastAsia="MS Mincho"/>
        </w:rPr>
        <w:t xml:space="preserve">Il pourrait en aller de même avec le nouveau Règlement </w:t>
      </w:r>
      <w:r w:rsidR="005342F7" w:rsidRPr="002D76F4">
        <w:rPr>
          <w:rFonts w:eastAsia="MS Mincho"/>
          <w:szCs w:val="22"/>
        </w:rPr>
        <w:t>n</w:t>
      </w:r>
      <w:r w:rsidR="005342F7" w:rsidRPr="002D76F4">
        <w:rPr>
          <w:rFonts w:eastAsia="MS Mincho"/>
          <w:szCs w:val="22"/>
          <w:vertAlign w:val="superscript"/>
        </w:rPr>
        <w:t>o</w:t>
      </w:r>
      <w:r w:rsidR="005342F7">
        <w:t> </w:t>
      </w:r>
      <w:r w:rsidRPr="00602BEF">
        <w:rPr>
          <w:rFonts w:eastAsia="MS Mincho"/>
        </w:rPr>
        <w:t xml:space="preserve">[137] que l’Australie souhaite adopter comme solution de remplacement de sa </w:t>
      </w:r>
      <w:r w:rsidR="005342F7" w:rsidRPr="00602BEF">
        <w:rPr>
          <w:rFonts w:eastAsia="MS Mincho"/>
        </w:rPr>
        <w:t>réglementation</w:t>
      </w:r>
      <w:r w:rsidRPr="00602BEF">
        <w:rPr>
          <w:rFonts w:eastAsia="MS Mincho"/>
        </w:rPr>
        <w:t xml:space="preserve"> ADR 69/00. L’Australie estime que tant le Règlement </w:t>
      </w:r>
      <w:r w:rsidR="005342F7" w:rsidRPr="002D76F4">
        <w:rPr>
          <w:rFonts w:eastAsia="MS Mincho"/>
          <w:szCs w:val="22"/>
        </w:rPr>
        <w:t>n</w:t>
      </w:r>
      <w:r w:rsidR="005342F7" w:rsidRPr="002D76F4">
        <w:rPr>
          <w:rFonts w:eastAsia="MS Mincho"/>
          <w:szCs w:val="22"/>
          <w:vertAlign w:val="superscript"/>
        </w:rPr>
        <w:t>o</w:t>
      </w:r>
      <w:r w:rsidR="005342F7">
        <w:t> </w:t>
      </w:r>
      <w:r w:rsidRPr="00602BEF">
        <w:rPr>
          <w:rFonts w:eastAsia="MS Mincho"/>
        </w:rPr>
        <w:t xml:space="preserve">94 que le Règlement </w:t>
      </w:r>
      <w:r w:rsidR="005342F7" w:rsidRPr="002D76F4">
        <w:rPr>
          <w:rFonts w:eastAsia="MS Mincho"/>
          <w:szCs w:val="22"/>
        </w:rPr>
        <w:t>n</w:t>
      </w:r>
      <w:r w:rsidR="005342F7" w:rsidRPr="002D76F4">
        <w:rPr>
          <w:rFonts w:eastAsia="MS Mincho"/>
          <w:szCs w:val="22"/>
          <w:vertAlign w:val="superscript"/>
        </w:rPr>
        <w:t>o</w:t>
      </w:r>
      <w:r w:rsidR="005342F7">
        <w:t> </w:t>
      </w:r>
      <w:r w:rsidRPr="00602BEF">
        <w:rPr>
          <w:rFonts w:eastAsia="MS Mincho"/>
        </w:rPr>
        <w:t xml:space="preserve">[137] devraient être amendés pour mentionner clairement l’utilisation d’un dispositif de désactivation et que le Règlement </w:t>
      </w:r>
      <w:r w:rsidR="005342F7" w:rsidRPr="002D76F4">
        <w:rPr>
          <w:rFonts w:eastAsia="MS Mincho"/>
          <w:szCs w:val="22"/>
        </w:rPr>
        <w:t>n</w:t>
      </w:r>
      <w:r w:rsidR="005342F7" w:rsidRPr="002D76F4">
        <w:rPr>
          <w:rFonts w:eastAsia="MS Mincho"/>
          <w:szCs w:val="22"/>
          <w:vertAlign w:val="superscript"/>
        </w:rPr>
        <w:t>o</w:t>
      </w:r>
      <w:r w:rsidR="005342F7">
        <w:t> </w:t>
      </w:r>
      <w:r w:rsidRPr="00602BEF">
        <w:rPr>
          <w:rFonts w:eastAsia="MS Mincho"/>
        </w:rPr>
        <w:t>16 devrait contenir des prescriptions applicables au fonctionnement d’un tel dispositif le cas échéant.</w:t>
      </w:r>
      <w:r w:rsidR="005342F7">
        <w:rPr>
          <w:rFonts w:eastAsia="MS Mincho"/>
        </w:rPr>
        <w:t xml:space="preserve"> </w:t>
      </w:r>
    </w:p>
    <w:p w:rsidR="009708A9" w:rsidRDefault="00602BEF" w:rsidP="003831D4">
      <w:pPr>
        <w:pStyle w:val="ParNoG"/>
        <w:tabs>
          <w:tab w:val="clear" w:pos="1701"/>
        </w:tabs>
        <w:spacing w:after="100"/>
        <w:rPr>
          <w:rFonts w:eastAsia="MS Mincho"/>
        </w:rPr>
      </w:pPr>
      <w:r w:rsidRPr="00602BEF">
        <w:rPr>
          <w:rFonts w:eastAsia="MS Mincho"/>
        </w:rPr>
        <w:t>Le principal avantage d’un dispositif de désactivation de coussin gonflable pour passager est qu’il permet d’installer en toute sécurité un système de retenue pour enfants faisant face vers l’arrière sur un siège équipé d’un tel coussin gonflable. Même si le problème ne se pose généralement pas en Australie (où le code de la route interdit l’utilisation d’un système de retenue pour enfants faisant face vers l’arrière sur les sièges avant de véhicules dotés de plus d’une rangée de sièges)</w:t>
      </w:r>
      <w:r w:rsidR="007A7AED">
        <w:rPr>
          <w:rFonts w:eastAsia="MS Mincho"/>
        </w:rPr>
        <w:t>,</w:t>
      </w:r>
      <w:r w:rsidRPr="00602BEF">
        <w:rPr>
          <w:rFonts w:eastAsia="MS Mincho"/>
        </w:rPr>
        <w:t xml:space="preserve"> il faut admettre que d’autres Parties contractantes peuvent l’autoriser et que la </w:t>
      </w:r>
      <w:r w:rsidR="005342F7" w:rsidRPr="00602BEF">
        <w:rPr>
          <w:rFonts w:eastAsia="MS Mincho"/>
        </w:rPr>
        <w:t>réglementation</w:t>
      </w:r>
      <w:r w:rsidRPr="00602BEF">
        <w:rPr>
          <w:rFonts w:eastAsia="MS Mincho"/>
        </w:rPr>
        <w:t xml:space="preserve"> doit s’en accommoder.</w:t>
      </w:r>
      <w:r w:rsidR="005342F7">
        <w:rPr>
          <w:rFonts w:eastAsia="MS Mincho"/>
        </w:rPr>
        <w:t xml:space="preserve"> </w:t>
      </w:r>
    </w:p>
    <w:p w:rsidR="00602BEF" w:rsidRPr="003831D4" w:rsidRDefault="00602BEF" w:rsidP="003831D4">
      <w:pPr>
        <w:pStyle w:val="ParNoG"/>
        <w:tabs>
          <w:tab w:val="clear" w:pos="1701"/>
        </w:tabs>
        <w:spacing w:after="100"/>
        <w:rPr>
          <w:rFonts w:eastAsia="MS Mincho"/>
          <w:spacing w:val="-2"/>
        </w:rPr>
      </w:pPr>
      <w:r w:rsidRPr="003831D4">
        <w:rPr>
          <w:rFonts w:eastAsia="MS Mincho"/>
          <w:spacing w:val="-2"/>
        </w:rPr>
        <w:t xml:space="preserve">Une communication claire est toutefois essentielle pour préciser ce qu’est exactement un dispositif de désactivation, afin de réduire le risque de mauvaise interprétation et de mauvais usage susceptible d’entraîner la perte de vies ou des blessures graves tant parmi les enfants que parmi les occupants adultes. Cela vaut aussi bien pour les dispositifs de désactivation manuelle que pour les dispositifs automatiques. Un utilisateur souhaitant placer un système de retenue pour enfants faisant face vers l’arrière sur un siège équipé d’un coussin gonflable doit avoir la confirmation que ce coussin gonflable est désactivé. Nous notons que le programme européen d’évaluation des nouveaux modèles de voitures et la norme fédérale 208 en matière de sécurité des véhicules automobiles des États-Unis d’Amérique contiennent des prescriptions détaillées à cet égard et nous recommandons que des prescriptions similaires soient incorporées au Règlement </w:t>
      </w:r>
      <w:r w:rsidR="005342F7" w:rsidRPr="003831D4">
        <w:rPr>
          <w:rFonts w:eastAsia="MS Mincho"/>
          <w:spacing w:val="-2"/>
          <w:szCs w:val="22"/>
        </w:rPr>
        <w:t>n</w:t>
      </w:r>
      <w:r w:rsidR="005342F7" w:rsidRPr="003831D4">
        <w:rPr>
          <w:rFonts w:eastAsia="MS Mincho"/>
          <w:spacing w:val="-2"/>
          <w:szCs w:val="22"/>
          <w:vertAlign w:val="superscript"/>
        </w:rPr>
        <w:t>o</w:t>
      </w:r>
      <w:r w:rsidR="005342F7" w:rsidRPr="003831D4">
        <w:rPr>
          <w:spacing w:val="-2"/>
        </w:rPr>
        <w:t> </w:t>
      </w:r>
      <w:r w:rsidRPr="003831D4">
        <w:rPr>
          <w:rFonts w:eastAsia="MS Mincho"/>
          <w:spacing w:val="-2"/>
        </w:rPr>
        <w:t>16 de l’ONU.</w:t>
      </w:r>
    </w:p>
    <w:p w:rsidR="00602BEF" w:rsidRPr="00602BEF" w:rsidRDefault="00602BEF" w:rsidP="003831D4">
      <w:pPr>
        <w:pStyle w:val="ParNoG"/>
        <w:tabs>
          <w:tab w:val="clear" w:pos="1701"/>
        </w:tabs>
        <w:spacing w:after="100"/>
        <w:rPr>
          <w:rFonts w:eastAsia="MS Mincho"/>
        </w:rPr>
      </w:pPr>
      <w:r w:rsidRPr="00602BEF">
        <w:rPr>
          <w:rFonts w:eastAsia="MS Mincho"/>
        </w:rPr>
        <w:t>Des prescriptions relatives à un étiquetage durable et uniformisé ainsi qu’à une notice d’instruction ont été préconisées dans la présente proposition pour rendre plus compréhensible l’utilisation des dispositifs de désactivation et pour réduire les risques de mauvaise utilisation. Cela aidera également les autorités routières ainsi que les associations d’usagers de la route et de consommateurs à fournir des informations et des explications simples et faciles à comprendre concernant la désactivation manuelle des coussins gonflables à l’intention des utilisateurs de véhicules.</w:t>
      </w:r>
      <w:r w:rsidR="005342F7">
        <w:rPr>
          <w:rFonts w:eastAsia="MS Mincho"/>
        </w:rPr>
        <w:t xml:space="preserve"> </w:t>
      </w:r>
    </w:p>
    <w:p w:rsidR="00602BEF" w:rsidRPr="00602BEF" w:rsidRDefault="00602BEF" w:rsidP="003263CB">
      <w:pPr>
        <w:pStyle w:val="ParNoG"/>
        <w:tabs>
          <w:tab w:val="clear" w:pos="1701"/>
        </w:tabs>
        <w:rPr>
          <w:rFonts w:eastAsia="MS Mincho"/>
        </w:rPr>
      </w:pPr>
      <w:r w:rsidRPr="00602BEF">
        <w:rPr>
          <w:rFonts w:eastAsia="MS Mincho"/>
        </w:rPr>
        <w:t>Les témoins sont essentiels (tant pour les dispositifs manuels que pour les dispositifs automatiques de désactivation) lorsqu’il s’agit de confirmer qu’un coussin gonflable pour passager est désactivé lorsqu’on installe un système de retenue pour enfants faisant face vers l’arrière sur un siège équipé d’un tel coussin gonflable, ainsi que de rappeler au passager adulte de réactiver ensuite le coussin.</w:t>
      </w:r>
      <w:r w:rsidR="005342F7">
        <w:rPr>
          <w:rFonts w:eastAsia="MS Mincho"/>
        </w:rPr>
        <w:t xml:space="preserve"> </w:t>
      </w:r>
    </w:p>
    <w:p w:rsidR="00602BEF" w:rsidRPr="00602BEF" w:rsidRDefault="00602BEF" w:rsidP="003263CB">
      <w:pPr>
        <w:pStyle w:val="ParNoG"/>
        <w:tabs>
          <w:tab w:val="clear" w:pos="1701"/>
        </w:tabs>
        <w:rPr>
          <w:rFonts w:eastAsia="MS Mincho"/>
        </w:rPr>
      </w:pPr>
      <w:r w:rsidRPr="00602BEF">
        <w:rPr>
          <w:rFonts w:eastAsia="MS Mincho"/>
        </w:rPr>
        <w:t>S’agissant de la désactivation manuelle des coussins gonflables, il importe aussi de relever</w:t>
      </w:r>
      <w:r w:rsidR="005342F7">
        <w:rPr>
          <w:rFonts w:eastAsia="MS Mincho"/>
        </w:rPr>
        <w:t> :</w:t>
      </w:r>
    </w:p>
    <w:p w:rsidR="00602BEF" w:rsidRPr="00602BEF" w:rsidRDefault="00602BEF" w:rsidP="003263CB">
      <w:pPr>
        <w:pStyle w:val="SingleTxtG"/>
        <w:ind w:firstLine="567"/>
        <w:rPr>
          <w:rFonts w:eastAsia="MS Mincho"/>
        </w:rPr>
      </w:pPr>
      <w:r w:rsidRPr="00602BEF">
        <w:rPr>
          <w:rFonts w:eastAsia="MS Mincho"/>
        </w:rPr>
        <w:t>a)</w:t>
      </w:r>
      <w:r w:rsidRPr="00602BEF">
        <w:rPr>
          <w:rFonts w:eastAsia="MS Mincho"/>
        </w:rPr>
        <w:tab/>
        <w:t>Que la grande majorité des passagers qui décèdent ou qui sont grièvement blessés à la suite d’accidents de la route sont des adultes (voir par exemple le paragraphe 9 ci-dessous)</w:t>
      </w:r>
      <w:r w:rsidR="005342F7">
        <w:rPr>
          <w:rFonts w:eastAsia="MS Mincho"/>
        </w:rPr>
        <w:t> ;</w:t>
      </w:r>
    </w:p>
    <w:p w:rsidR="00602BEF" w:rsidRPr="00602BEF" w:rsidRDefault="00602BEF" w:rsidP="003263CB">
      <w:pPr>
        <w:pStyle w:val="SingleTxtG"/>
        <w:ind w:firstLine="567"/>
        <w:rPr>
          <w:rFonts w:eastAsia="MS Mincho"/>
        </w:rPr>
      </w:pPr>
      <w:r w:rsidRPr="00602BEF">
        <w:rPr>
          <w:rFonts w:eastAsia="MS Mincho"/>
        </w:rPr>
        <w:t>b)</w:t>
      </w:r>
      <w:r w:rsidRPr="00602BEF">
        <w:rPr>
          <w:rFonts w:eastAsia="MS Mincho"/>
        </w:rPr>
        <w:tab/>
      </w:r>
      <w:r w:rsidR="007A7AED">
        <w:rPr>
          <w:rFonts w:eastAsia="MS Mincho"/>
        </w:rPr>
        <w:t>Que l’o</w:t>
      </w:r>
      <w:r w:rsidRPr="00602BEF">
        <w:rPr>
          <w:rFonts w:eastAsia="MS Mincho"/>
        </w:rPr>
        <w:t>n ne peut pas compter sur les contrôles de police pour vérifier qu’un interrupteur de désactivation manuelle d’un coussin gonflable est dans la bonne position lorsqu’un passager adulte occupe le siège</w:t>
      </w:r>
      <w:r w:rsidR="005342F7">
        <w:rPr>
          <w:rFonts w:eastAsia="MS Mincho"/>
        </w:rPr>
        <w:t> ;</w:t>
      </w:r>
      <w:r w:rsidRPr="00602BEF">
        <w:rPr>
          <w:rFonts w:eastAsia="MS Mincho"/>
        </w:rPr>
        <w:t xml:space="preserve"> et </w:t>
      </w:r>
    </w:p>
    <w:p w:rsidR="00602BEF" w:rsidRPr="00602BEF" w:rsidRDefault="00602BEF" w:rsidP="003263CB">
      <w:pPr>
        <w:pStyle w:val="SingleTxtG"/>
        <w:ind w:firstLine="567"/>
        <w:rPr>
          <w:rFonts w:eastAsia="MS Mincho"/>
        </w:rPr>
      </w:pPr>
      <w:r w:rsidRPr="00602BEF">
        <w:rPr>
          <w:rFonts w:eastAsia="MS Mincho"/>
        </w:rPr>
        <w:t>c)</w:t>
      </w:r>
      <w:r w:rsidRPr="00602BEF">
        <w:rPr>
          <w:rFonts w:eastAsia="MS Mincho"/>
        </w:rPr>
        <w:tab/>
      </w:r>
      <w:r w:rsidR="007A7AED">
        <w:rPr>
          <w:rFonts w:eastAsia="MS Mincho"/>
        </w:rPr>
        <w:t>Que l</w:t>
      </w:r>
      <w:r w:rsidRPr="00602BEF">
        <w:rPr>
          <w:rFonts w:eastAsia="MS Mincho"/>
        </w:rPr>
        <w:t xml:space="preserve">e mauvais usage des interrupteurs de désactivation manuelle d’un coussin gonflable pour passager risque (en l’absence de mesures appropriées) de compromettre l’amélioration de la protection des occupants adultes offerte par le nouveau Règlement </w:t>
      </w:r>
      <w:r w:rsidR="005342F7" w:rsidRPr="002D76F4">
        <w:rPr>
          <w:rFonts w:eastAsia="MS Mincho"/>
          <w:szCs w:val="22"/>
        </w:rPr>
        <w:t>n</w:t>
      </w:r>
      <w:r w:rsidR="005342F7" w:rsidRPr="002D76F4">
        <w:rPr>
          <w:rFonts w:eastAsia="MS Mincho"/>
          <w:szCs w:val="22"/>
          <w:vertAlign w:val="superscript"/>
        </w:rPr>
        <w:t>o</w:t>
      </w:r>
      <w:r w:rsidR="005342F7">
        <w:t> </w:t>
      </w:r>
      <w:r w:rsidRPr="00602BEF">
        <w:rPr>
          <w:rFonts w:eastAsia="MS Mincho"/>
        </w:rPr>
        <w:t>[137].</w:t>
      </w:r>
    </w:p>
    <w:p w:rsidR="00602BEF" w:rsidRPr="00602BEF" w:rsidRDefault="00602BEF" w:rsidP="003263CB">
      <w:pPr>
        <w:pStyle w:val="ParNoG"/>
        <w:rPr>
          <w:rFonts w:eastAsia="MS Mincho"/>
        </w:rPr>
      </w:pPr>
      <w:r w:rsidRPr="00602BEF">
        <w:rPr>
          <w:rFonts w:eastAsia="MS Mincho"/>
        </w:rPr>
        <w:t>L’illustration ci-dessous donne par exemple la répartition (en fonction de l’âge) du nombre de cas de décès et d’hospitalisations de passagers de voitures particulières légères (de la catégorie M</w:t>
      </w:r>
      <w:r w:rsidRPr="00602BEF">
        <w:rPr>
          <w:rFonts w:eastAsia="MS Mincho"/>
          <w:vertAlign w:val="subscript"/>
        </w:rPr>
        <w:t>1</w:t>
      </w:r>
      <w:r w:rsidRPr="00602BEF">
        <w:rPr>
          <w:rFonts w:eastAsia="MS Mincho"/>
        </w:rPr>
        <w:t xml:space="preserve">) </w:t>
      </w:r>
      <w:r w:rsidRPr="003263CB">
        <w:rPr>
          <w:rFonts w:eastAsia="MS Mincho"/>
        </w:rPr>
        <w:t>occupant</w:t>
      </w:r>
      <w:r w:rsidRPr="00602BEF">
        <w:rPr>
          <w:rFonts w:eastAsia="MS Mincho"/>
        </w:rPr>
        <w:t xml:space="preserve"> des sièges avant à la suite d’accidents entre véhicules classés comme collision frontale</w:t>
      </w:r>
      <w:r w:rsidR="005342F7">
        <w:rPr>
          <w:rFonts w:eastAsia="MS Mincho"/>
        </w:rPr>
        <w:t xml:space="preserve"> </w:t>
      </w:r>
      <w:r w:rsidRPr="00602BEF">
        <w:rPr>
          <w:rFonts w:eastAsia="MS Mincho"/>
        </w:rPr>
        <w:t>(avec dépassement) ou collision frontale (sans dépassement) dans l’État australien de Victoria entre le 1</w:t>
      </w:r>
      <w:r w:rsidRPr="00602BEF">
        <w:rPr>
          <w:rFonts w:eastAsia="MS Mincho"/>
          <w:vertAlign w:val="superscript"/>
        </w:rPr>
        <w:t>er</w:t>
      </w:r>
      <w:r w:rsidR="005342F7">
        <w:rPr>
          <w:rFonts w:eastAsia="MS Mincho"/>
        </w:rPr>
        <w:t> </w:t>
      </w:r>
      <w:r w:rsidRPr="00602BEF">
        <w:rPr>
          <w:rFonts w:eastAsia="MS Mincho"/>
        </w:rPr>
        <w:t>janvier 2006 et le 31</w:t>
      </w:r>
      <w:r w:rsidR="005342F7">
        <w:rPr>
          <w:rFonts w:eastAsia="MS Mincho"/>
        </w:rPr>
        <w:t> </w:t>
      </w:r>
      <w:r w:rsidRPr="00602BEF">
        <w:rPr>
          <w:rFonts w:eastAsia="MS Mincho"/>
        </w:rPr>
        <w:t>décembre 2014</w:t>
      </w:r>
      <w:r w:rsidR="005342F7">
        <w:rPr>
          <w:rFonts w:eastAsia="MS Mincho"/>
        </w:rPr>
        <w:t> :</w:t>
      </w:r>
    </w:p>
    <w:p w:rsidR="00F9375B" w:rsidRDefault="00816A2E" w:rsidP="00816A2E">
      <w:pPr>
        <w:ind w:left="1134"/>
        <w:rPr>
          <w:rFonts w:eastAsia="MS Mincho"/>
        </w:rPr>
      </w:pPr>
      <w:r>
        <w:rPr>
          <w:rFonts w:eastAsia="MS Mincho"/>
          <w:noProof/>
          <w:lang w:val="fr-FR" w:eastAsia="fr-FR"/>
        </w:rPr>
        <mc:AlternateContent>
          <mc:Choice Requires="wpg">
            <w:drawing>
              <wp:anchor distT="0" distB="0" distL="114300" distR="114300" simplePos="0" relativeHeight="251677696" behindDoc="0" locked="0" layoutInCell="1" allowOverlap="1">
                <wp:simplePos x="0" y="0"/>
                <wp:positionH relativeFrom="column">
                  <wp:posOffset>1172049</wp:posOffset>
                </wp:positionH>
                <wp:positionV relativeFrom="paragraph">
                  <wp:posOffset>52070</wp:posOffset>
                </wp:positionV>
                <wp:extent cx="4196431" cy="1261849"/>
                <wp:effectExtent l="0" t="0" r="13970" b="14605"/>
                <wp:wrapNone/>
                <wp:docPr id="36" name="Groupe 36"/>
                <wp:cNvGraphicFramePr/>
                <a:graphic xmlns:a="http://schemas.openxmlformats.org/drawingml/2006/main">
                  <a:graphicData uri="http://schemas.microsoft.com/office/word/2010/wordprocessingGroup">
                    <wpg:wgp>
                      <wpg:cNvGrpSpPr/>
                      <wpg:grpSpPr>
                        <a:xfrm>
                          <a:off x="0" y="0"/>
                          <a:ext cx="4196431" cy="1261849"/>
                          <a:chOff x="0" y="0"/>
                          <a:chExt cx="4196431" cy="1261849"/>
                        </a:xfrm>
                      </wpg:grpSpPr>
                      <wps:wsp>
                        <wps:cNvPr id="21" name="Zone de texte 21"/>
                        <wps:cNvSpPr txBox="1"/>
                        <wps:spPr>
                          <a:xfrm>
                            <a:off x="0" y="0"/>
                            <a:ext cx="1235075" cy="17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DE0" w:rsidRPr="00816A2E" w:rsidRDefault="00526DE0">
                              <w:pPr>
                                <w:rPr>
                                  <w:b/>
                                  <w:sz w:val="16"/>
                                  <w:szCs w:val="16"/>
                                </w:rPr>
                              </w:pPr>
                              <w:r w:rsidRPr="00816A2E">
                                <w:rPr>
                                  <w:rFonts w:eastAsia="MS Mincho"/>
                                  <w:b/>
                                  <w:sz w:val="16"/>
                                  <w:szCs w:val="16"/>
                                </w:rPr>
                                <w:t xml:space="preserve">Décès (passager avant)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Zone de texte 22"/>
                        <wps:cNvSpPr txBox="1"/>
                        <wps:spPr>
                          <a:xfrm>
                            <a:off x="1207827" y="307075"/>
                            <a:ext cx="634365"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DE0" w:rsidRPr="00816A2E" w:rsidRDefault="00AB11E6" w:rsidP="00526DE0">
                              <w:pPr>
                                <w:spacing w:line="140" w:lineRule="exact"/>
                                <w:rPr>
                                  <w:sz w:val="14"/>
                                  <w:szCs w:val="14"/>
                                </w:rPr>
                              </w:pPr>
                              <w:r w:rsidRPr="00816A2E">
                                <w:rPr>
                                  <w:sz w:val="14"/>
                                  <w:szCs w:val="14"/>
                                </w:rPr>
                                <w:t xml:space="preserve">Enfants </w:t>
                              </w:r>
                              <w:r w:rsidR="00816A2E" w:rsidRPr="00816A2E">
                                <w:rPr>
                                  <w:sz w:val="14"/>
                                  <w:szCs w:val="14"/>
                                </w:rPr>
                                <w:br/>
                              </w:r>
                              <w:r w:rsidRPr="00816A2E">
                                <w:rPr>
                                  <w:sz w:val="14"/>
                                  <w:szCs w:val="14"/>
                                </w:rPr>
                                <w:t>(moins de 4 ans)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Zone de texte 23"/>
                        <wps:cNvSpPr txBox="1"/>
                        <wps:spPr>
                          <a:xfrm>
                            <a:off x="1207827" y="566382"/>
                            <a:ext cx="633095"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DE0" w:rsidRPr="00816A2E" w:rsidRDefault="00AB11E6" w:rsidP="00526DE0">
                              <w:pPr>
                                <w:spacing w:line="160" w:lineRule="exact"/>
                                <w:rPr>
                                  <w:sz w:val="14"/>
                                  <w:szCs w:val="14"/>
                                </w:rPr>
                              </w:pPr>
                              <w:r w:rsidRPr="00816A2E">
                                <w:rPr>
                                  <w:sz w:val="14"/>
                                  <w:szCs w:val="14"/>
                                </w:rPr>
                                <w:t xml:space="preserve">Enfants </w:t>
                              </w:r>
                              <w:r w:rsidR="00816A2E" w:rsidRPr="00816A2E">
                                <w:rPr>
                                  <w:sz w:val="14"/>
                                  <w:szCs w:val="14"/>
                                </w:rPr>
                                <w:br/>
                              </w:r>
                              <w:r w:rsidRPr="00816A2E">
                                <w:rPr>
                                  <w:sz w:val="14"/>
                                  <w:szCs w:val="14"/>
                                </w:rPr>
                                <w:t>(4 à 12 ans)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Zone de texte 24"/>
                        <wps:cNvSpPr txBox="1"/>
                        <wps:spPr>
                          <a:xfrm>
                            <a:off x="1207827" y="832514"/>
                            <a:ext cx="591185" cy="219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DE0" w:rsidRPr="00816A2E" w:rsidRDefault="00AB11E6" w:rsidP="00526DE0">
                              <w:pPr>
                                <w:spacing w:line="140" w:lineRule="exact"/>
                                <w:rPr>
                                  <w:sz w:val="14"/>
                                  <w:szCs w:val="14"/>
                                </w:rPr>
                              </w:pPr>
                              <w:r w:rsidRPr="00816A2E">
                                <w:rPr>
                                  <w:sz w:val="14"/>
                                  <w:szCs w:val="14"/>
                                </w:rPr>
                                <w:t xml:space="preserve">Adolescents </w:t>
                              </w:r>
                              <w:r w:rsidR="00526DE0" w:rsidRPr="00816A2E">
                                <w:rPr>
                                  <w:sz w:val="14"/>
                                  <w:szCs w:val="14"/>
                                </w:rPr>
                                <w:br/>
                              </w:r>
                              <w:r w:rsidRPr="00816A2E">
                                <w:rPr>
                                  <w:sz w:val="14"/>
                                  <w:szCs w:val="14"/>
                                </w:rPr>
                                <w:t>(13 à 17 ans)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Zone de texte 25"/>
                        <wps:cNvSpPr txBox="1"/>
                        <wps:spPr>
                          <a:xfrm>
                            <a:off x="1207827" y="1071349"/>
                            <a:ext cx="59118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DE0" w:rsidRPr="00816A2E" w:rsidRDefault="00AB11E6" w:rsidP="00526DE0">
                              <w:pPr>
                                <w:spacing w:line="140" w:lineRule="exact"/>
                                <w:rPr>
                                  <w:sz w:val="14"/>
                                  <w:szCs w:val="14"/>
                                </w:rPr>
                              </w:pPr>
                              <w:r w:rsidRPr="00816A2E">
                                <w:rPr>
                                  <w:sz w:val="14"/>
                                  <w:szCs w:val="14"/>
                                </w:rPr>
                                <w:t xml:space="preserve">Adultes </w:t>
                              </w:r>
                              <w:r w:rsidR="00526DE0" w:rsidRPr="00816A2E">
                                <w:rPr>
                                  <w:sz w:val="14"/>
                                  <w:szCs w:val="14"/>
                                </w:rPr>
                                <w:br/>
                              </w:r>
                              <w:r w:rsidRPr="00816A2E">
                                <w:rPr>
                                  <w:sz w:val="14"/>
                                  <w:szCs w:val="14"/>
                                </w:rPr>
                                <w:t>(18 ans et plus)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Zone de texte 26"/>
                        <wps:cNvSpPr txBox="1"/>
                        <wps:spPr>
                          <a:xfrm>
                            <a:off x="2258705" y="0"/>
                            <a:ext cx="1507490" cy="17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DE0" w:rsidRPr="00816A2E" w:rsidRDefault="00526DE0" w:rsidP="00526DE0">
                              <w:pPr>
                                <w:rPr>
                                  <w:rFonts w:eastAsia="MS Mincho"/>
                                  <w:b/>
                                  <w:sz w:val="16"/>
                                  <w:szCs w:val="16"/>
                                </w:rPr>
                              </w:pPr>
                              <w:r w:rsidRPr="00816A2E">
                                <w:rPr>
                                  <w:rFonts w:eastAsia="MS Mincho"/>
                                  <w:b/>
                                  <w:sz w:val="16"/>
                                  <w:szCs w:val="16"/>
                                </w:rPr>
                                <w:t>Hospitalisations (passager avant)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Zone de texte 31"/>
                        <wps:cNvSpPr txBox="1"/>
                        <wps:spPr>
                          <a:xfrm>
                            <a:off x="3562066" y="307075"/>
                            <a:ext cx="634365"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A2E" w:rsidRPr="00816A2E" w:rsidRDefault="00816A2E" w:rsidP="00816A2E">
                              <w:pPr>
                                <w:spacing w:line="140" w:lineRule="exact"/>
                                <w:rPr>
                                  <w:sz w:val="14"/>
                                  <w:szCs w:val="14"/>
                                </w:rPr>
                              </w:pPr>
                              <w:r w:rsidRPr="00816A2E">
                                <w:rPr>
                                  <w:sz w:val="14"/>
                                  <w:szCs w:val="14"/>
                                </w:rPr>
                                <w:t xml:space="preserve">Enfants </w:t>
                              </w:r>
                              <w:r w:rsidRPr="00816A2E">
                                <w:rPr>
                                  <w:sz w:val="14"/>
                                  <w:szCs w:val="14"/>
                                </w:rPr>
                                <w:br/>
                                <w:t>(moins de 4 ans)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Zone de texte 32"/>
                        <wps:cNvSpPr txBox="1"/>
                        <wps:spPr>
                          <a:xfrm>
                            <a:off x="3562066" y="566382"/>
                            <a:ext cx="633095"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A2E" w:rsidRPr="00816A2E" w:rsidRDefault="00816A2E" w:rsidP="00816A2E">
                              <w:pPr>
                                <w:spacing w:line="160" w:lineRule="exact"/>
                                <w:rPr>
                                  <w:sz w:val="14"/>
                                  <w:szCs w:val="14"/>
                                </w:rPr>
                              </w:pPr>
                              <w:r w:rsidRPr="00816A2E">
                                <w:rPr>
                                  <w:sz w:val="14"/>
                                  <w:szCs w:val="14"/>
                                </w:rPr>
                                <w:t xml:space="preserve">Enfants </w:t>
                              </w:r>
                              <w:r w:rsidRPr="00816A2E">
                                <w:rPr>
                                  <w:sz w:val="14"/>
                                  <w:szCs w:val="14"/>
                                </w:rPr>
                                <w:br/>
                                <w:t>(4 à 12 ans)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Zone de texte 33"/>
                        <wps:cNvSpPr txBox="1"/>
                        <wps:spPr>
                          <a:xfrm>
                            <a:off x="3562066" y="832514"/>
                            <a:ext cx="591185" cy="219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A2E" w:rsidRPr="00816A2E" w:rsidRDefault="00816A2E" w:rsidP="00816A2E">
                              <w:pPr>
                                <w:spacing w:line="140" w:lineRule="exact"/>
                                <w:rPr>
                                  <w:sz w:val="14"/>
                                  <w:szCs w:val="14"/>
                                </w:rPr>
                              </w:pPr>
                              <w:r w:rsidRPr="00816A2E">
                                <w:rPr>
                                  <w:sz w:val="14"/>
                                  <w:szCs w:val="14"/>
                                </w:rPr>
                                <w:t xml:space="preserve">Adolescents </w:t>
                              </w:r>
                              <w:r w:rsidRPr="00816A2E">
                                <w:rPr>
                                  <w:sz w:val="14"/>
                                  <w:szCs w:val="14"/>
                                </w:rPr>
                                <w:br/>
                                <w:t>(13 à 17 ans)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Zone de texte 34"/>
                        <wps:cNvSpPr txBox="1"/>
                        <wps:spPr>
                          <a:xfrm>
                            <a:off x="3562066" y="1071349"/>
                            <a:ext cx="59118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A2E" w:rsidRPr="00816A2E" w:rsidRDefault="00816A2E" w:rsidP="00816A2E">
                              <w:pPr>
                                <w:spacing w:line="140" w:lineRule="exact"/>
                                <w:rPr>
                                  <w:sz w:val="14"/>
                                  <w:szCs w:val="14"/>
                                </w:rPr>
                              </w:pPr>
                              <w:r w:rsidRPr="00816A2E">
                                <w:rPr>
                                  <w:sz w:val="14"/>
                                  <w:szCs w:val="14"/>
                                </w:rPr>
                                <w:t xml:space="preserve">Adultes </w:t>
                              </w:r>
                              <w:r w:rsidRPr="00816A2E">
                                <w:rPr>
                                  <w:sz w:val="14"/>
                                  <w:szCs w:val="14"/>
                                </w:rPr>
                                <w:br/>
                                <w:t>(18 ans et plus)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e 36" o:spid="_x0000_s1026" style="position:absolute;left:0;text-align:left;margin-left:92.3pt;margin-top:4.1pt;width:330.45pt;height:99.35pt;z-index:251677696" coordsize="41964,1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">
                <v:shapetype id="_x0000_t202" coordsize="21600,21600" o:spt="202" path="m,l,21600r21600,l21600,xe">
                  <v:stroke joinstyle="miter"/>
                  <v:path gradientshapeok="t" o:connecttype="rect"/>
                </v:shapetype>
                <v:shape id="Zone de texte 21" o:spid="_x0000_s1027" type="#_x0000_t202" style="position:absolute;width:1235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rsidR="00526DE0" w:rsidRPr="00816A2E" w:rsidRDefault="00526DE0">
                        <w:pPr>
                          <w:rPr>
                            <w:b/>
                            <w:sz w:val="16"/>
                            <w:szCs w:val="16"/>
                          </w:rPr>
                        </w:pPr>
                        <w:r w:rsidRPr="00816A2E">
                          <w:rPr>
                            <w:rFonts w:eastAsia="MS Mincho"/>
                            <w:b/>
                            <w:sz w:val="16"/>
                            <w:szCs w:val="16"/>
                          </w:rPr>
                          <w:t xml:space="preserve">Décès (passager avant) </w:t>
                        </w:r>
                      </w:p>
                    </w:txbxContent>
                  </v:textbox>
                </v:shape>
                <v:shape id="Zone de texte 22" o:spid="_x0000_s1028" type="#_x0000_t202" style="position:absolute;left:12078;top:3070;width:6343;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rsidR="00526DE0" w:rsidRPr="00816A2E" w:rsidRDefault="00AB11E6" w:rsidP="00526DE0">
                        <w:pPr>
                          <w:spacing w:line="140" w:lineRule="exact"/>
                          <w:rPr>
                            <w:sz w:val="14"/>
                            <w:szCs w:val="14"/>
                          </w:rPr>
                        </w:pPr>
                        <w:r w:rsidRPr="00816A2E">
                          <w:rPr>
                            <w:sz w:val="14"/>
                            <w:szCs w:val="14"/>
                          </w:rPr>
                          <w:t xml:space="preserve">Enfants </w:t>
                        </w:r>
                        <w:r w:rsidR="00816A2E" w:rsidRPr="00816A2E">
                          <w:rPr>
                            <w:sz w:val="14"/>
                            <w:szCs w:val="14"/>
                          </w:rPr>
                          <w:br/>
                        </w:r>
                        <w:r w:rsidRPr="00816A2E">
                          <w:rPr>
                            <w:sz w:val="14"/>
                            <w:szCs w:val="14"/>
                          </w:rPr>
                          <w:t>(moins de 4 ans)</w:t>
                        </w:r>
                      </w:p>
                    </w:txbxContent>
                  </v:textbox>
                </v:shape>
                <v:shape id="Zone de texte 23" o:spid="_x0000_s1029" type="#_x0000_t202" style="position:absolute;left:12078;top:5663;width:633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rsidR="00526DE0" w:rsidRPr="00816A2E" w:rsidRDefault="00AB11E6" w:rsidP="00526DE0">
                        <w:pPr>
                          <w:spacing w:line="160" w:lineRule="exact"/>
                          <w:rPr>
                            <w:sz w:val="14"/>
                            <w:szCs w:val="14"/>
                          </w:rPr>
                        </w:pPr>
                        <w:r w:rsidRPr="00816A2E">
                          <w:rPr>
                            <w:sz w:val="14"/>
                            <w:szCs w:val="14"/>
                          </w:rPr>
                          <w:t xml:space="preserve">Enfants </w:t>
                        </w:r>
                        <w:r w:rsidR="00816A2E" w:rsidRPr="00816A2E">
                          <w:rPr>
                            <w:sz w:val="14"/>
                            <w:szCs w:val="14"/>
                          </w:rPr>
                          <w:br/>
                        </w:r>
                        <w:r w:rsidRPr="00816A2E">
                          <w:rPr>
                            <w:sz w:val="14"/>
                            <w:szCs w:val="14"/>
                          </w:rPr>
                          <w:t>(4 à 12 ans)</w:t>
                        </w:r>
                      </w:p>
                    </w:txbxContent>
                  </v:textbox>
                </v:shape>
                <v:shape id="Zone de texte 24" o:spid="_x0000_s1030" type="#_x0000_t202" style="position:absolute;left:12078;top:8325;width:5912;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rsidR="00526DE0" w:rsidRPr="00816A2E" w:rsidRDefault="00AB11E6" w:rsidP="00526DE0">
                        <w:pPr>
                          <w:spacing w:line="140" w:lineRule="exact"/>
                          <w:rPr>
                            <w:sz w:val="14"/>
                            <w:szCs w:val="14"/>
                          </w:rPr>
                        </w:pPr>
                        <w:r w:rsidRPr="00816A2E">
                          <w:rPr>
                            <w:sz w:val="14"/>
                            <w:szCs w:val="14"/>
                          </w:rPr>
                          <w:t xml:space="preserve">Adolescents </w:t>
                        </w:r>
                        <w:r w:rsidR="00526DE0" w:rsidRPr="00816A2E">
                          <w:rPr>
                            <w:sz w:val="14"/>
                            <w:szCs w:val="14"/>
                          </w:rPr>
                          <w:br/>
                        </w:r>
                        <w:r w:rsidRPr="00816A2E">
                          <w:rPr>
                            <w:sz w:val="14"/>
                            <w:szCs w:val="14"/>
                          </w:rPr>
                          <w:t>(13 à 17 ans)</w:t>
                        </w:r>
                      </w:p>
                    </w:txbxContent>
                  </v:textbox>
                </v:shape>
                <v:shape id="Zone de texte 25" o:spid="_x0000_s1031" type="#_x0000_t202" style="position:absolute;left:12078;top:10713;width:591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5vxQAAANsAAAAPAAAAZHJzL2Rvd25yZXYueG1sRI9fa8JA&#10;EMTfC36HYwXf6kXB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Ayiz5vxQAAANsAAAAP&#10;AAAAAAAAAAAAAAAAAAcCAABkcnMvZG93bnJldi54bWxQSwUGAAAAAAMAAwC3AAAA+QIAAAAA&#10;" filled="f" stroked="f" strokeweight=".5pt">
                  <v:textbox inset="0,0,0,0">
                    <w:txbxContent>
                      <w:p w:rsidR="00526DE0" w:rsidRPr="00816A2E" w:rsidRDefault="00AB11E6" w:rsidP="00526DE0">
                        <w:pPr>
                          <w:spacing w:line="140" w:lineRule="exact"/>
                          <w:rPr>
                            <w:sz w:val="14"/>
                            <w:szCs w:val="14"/>
                          </w:rPr>
                        </w:pPr>
                        <w:r w:rsidRPr="00816A2E">
                          <w:rPr>
                            <w:sz w:val="14"/>
                            <w:szCs w:val="14"/>
                          </w:rPr>
                          <w:t xml:space="preserve">Adultes </w:t>
                        </w:r>
                        <w:r w:rsidR="00526DE0" w:rsidRPr="00816A2E">
                          <w:rPr>
                            <w:sz w:val="14"/>
                            <w:szCs w:val="14"/>
                          </w:rPr>
                          <w:br/>
                        </w:r>
                        <w:r w:rsidRPr="00816A2E">
                          <w:rPr>
                            <w:sz w:val="14"/>
                            <w:szCs w:val="14"/>
                          </w:rPr>
                          <w:t>(18 ans et plus)</w:t>
                        </w:r>
                      </w:p>
                    </w:txbxContent>
                  </v:textbox>
                </v:shape>
                <v:shape id="Zone de texte 26" o:spid="_x0000_s1032" type="#_x0000_t202" style="position:absolute;left:22587;width:15074;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" filled="f" stroked="f" strokeweight=".5pt">
                  <v:textbox inset="0,0,0,0">
                    <w:txbxContent>
                      <w:p w:rsidR="00526DE0" w:rsidRPr="00816A2E" w:rsidRDefault="00526DE0" w:rsidP="00526DE0">
                        <w:pPr>
                          <w:rPr>
                            <w:rFonts w:eastAsia="MS Mincho"/>
                            <w:b/>
                            <w:sz w:val="16"/>
                            <w:szCs w:val="16"/>
                          </w:rPr>
                        </w:pPr>
                        <w:r w:rsidRPr="00816A2E">
                          <w:rPr>
                            <w:rFonts w:eastAsia="MS Mincho"/>
                            <w:b/>
                            <w:sz w:val="16"/>
                            <w:szCs w:val="16"/>
                          </w:rPr>
                          <w:t>Hospitalisations (passager avant)</w:t>
                        </w:r>
                      </w:p>
                    </w:txbxContent>
                  </v:textbox>
                </v:shape>
                <v:shape id="Zone de texte 31" o:spid="_x0000_s1033" type="#_x0000_t202" style="position:absolute;left:35620;top:3070;width:6344;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6xxgAAANsAAAAPAAAAZHJzL2Rvd25yZXYueG1sRI9fS8NA&#10;EMTfhX6HYwt9s5dYkB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yGmuscYAAADbAAAA&#10;DwAAAAAAAAAAAAAAAAAHAgAAZHJzL2Rvd25yZXYueG1sUEsFBgAAAAADAAMAtwAAAPoCAAAAAA==&#10;" filled="f" stroked="f" strokeweight=".5pt">
                  <v:textbox inset="0,0,0,0">
                    <w:txbxContent>
                      <w:p w:rsidR="00816A2E" w:rsidRPr="00816A2E" w:rsidRDefault="00816A2E" w:rsidP="00816A2E">
                        <w:pPr>
                          <w:spacing w:line="140" w:lineRule="exact"/>
                          <w:rPr>
                            <w:sz w:val="14"/>
                            <w:szCs w:val="14"/>
                          </w:rPr>
                        </w:pPr>
                        <w:r w:rsidRPr="00816A2E">
                          <w:rPr>
                            <w:sz w:val="14"/>
                            <w:szCs w:val="14"/>
                          </w:rPr>
                          <w:t xml:space="preserve">Enfants </w:t>
                        </w:r>
                        <w:r w:rsidRPr="00816A2E">
                          <w:rPr>
                            <w:sz w:val="14"/>
                            <w:szCs w:val="14"/>
                          </w:rPr>
                          <w:br/>
                          <w:t>(moins de 4 ans)</w:t>
                        </w:r>
                      </w:p>
                    </w:txbxContent>
                  </v:textbox>
                </v:shape>
                <v:shape id="Zone de texte 32" o:spid="_x0000_s1034" type="#_x0000_t202" style="position:absolute;left:35620;top:5663;width:633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DGxQAAANsAAAAPAAAAZHJzL2Rvd25yZXYueG1sRI9fa8JA&#10;EMTfC36HYwXf6kWF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A4uzDGxQAAANsAAAAP&#10;AAAAAAAAAAAAAAAAAAcCAABkcnMvZG93bnJldi54bWxQSwUGAAAAAAMAAwC3AAAA+QIAAAAA&#10;" filled="f" stroked="f" strokeweight=".5pt">
                  <v:textbox inset="0,0,0,0">
                    <w:txbxContent>
                      <w:p w:rsidR="00816A2E" w:rsidRPr="00816A2E" w:rsidRDefault="00816A2E" w:rsidP="00816A2E">
                        <w:pPr>
                          <w:spacing w:line="160" w:lineRule="exact"/>
                          <w:rPr>
                            <w:sz w:val="14"/>
                            <w:szCs w:val="14"/>
                          </w:rPr>
                        </w:pPr>
                        <w:r w:rsidRPr="00816A2E">
                          <w:rPr>
                            <w:sz w:val="14"/>
                            <w:szCs w:val="14"/>
                          </w:rPr>
                          <w:t xml:space="preserve">Enfants </w:t>
                        </w:r>
                        <w:r w:rsidRPr="00816A2E">
                          <w:rPr>
                            <w:sz w:val="14"/>
                            <w:szCs w:val="14"/>
                          </w:rPr>
                          <w:br/>
                          <w:t>(4 à 12 ans)</w:t>
                        </w:r>
                      </w:p>
                    </w:txbxContent>
                  </v:textbox>
                </v:shape>
                <v:shape id="Zone de texte 33" o:spid="_x0000_s1035" type="#_x0000_t202" style="position:absolute;left:35620;top:8325;width:5912;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VdxQAAANsAAAAPAAAAZHJzL2Rvd25yZXYueG1sRI9fa8JA&#10;EMTfC36HYwXf6sUK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X95VdxQAAANsAAAAP&#10;AAAAAAAAAAAAAAAAAAcCAABkcnMvZG93bnJldi54bWxQSwUGAAAAAAMAAwC3AAAA+QIAAAAA&#10;" filled="f" stroked="f" strokeweight=".5pt">
                  <v:textbox inset="0,0,0,0">
                    <w:txbxContent>
                      <w:p w:rsidR="00816A2E" w:rsidRPr="00816A2E" w:rsidRDefault="00816A2E" w:rsidP="00816A2E">
                        <w:pPr>
                          <w:spacing w:line="140" w:lineRule="exact"/>
                          <w:rPr>
                            <w:sz w:val="14"/>
                            <w:szCs w:val="14"/>
                          </w:rPr>
                        </w:pPr>
                        <w:r w:rsidRPr="00816A2E">
                          <w:rPr>
                            <w:sz w:val="14"/>
                            <w:szCs w:val="14"/>
                          </w:rPr>
                          <w:t xml:space="preserve">Adolescents </w:t>
                        </w:r>
                        <w:r w:rsidRPr="00816A2E">
                          <w:rPr>
                            <w:sz w:val="14"/>
                            <w:szCs w:val="14"/>
                          </w:rPr>
                          <w:br/>
                          <w:t>(13 à 17 ans)</w:t>
                        </w:r>
                      </w:p>
                    </w:txbxContent>
                  </v:textbox>
                </v:shape>
                <v:shape id="Zone de texte 34" o:spid="_x0000_s1036" type="#_x0000_t202" style="position:absolute;left:35620;top:10713;width:591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rsidR="00816A2E" w:rsidRPr="00816A2E" w:rsidRDefault="00816A2E" w:rsidP="00816A2E">
                        <w:pPr>
                          <w:spacing w:line="140" w:lineRule="exact"/>
                          <w:rPr>
                            <w:sz w:val="14"/>
                            <w:szCs w:val="14"/>
                          </w:rPr>
                        </w:pPr>
                        <w:r w:rsidRPr="00816A2E">
                          <w:rPr>
                            <w:sz w:val="14"/>
                            <w:szCs w:val="14"/>
                          </w:rPr>
                          <w:t xml:space="preserve">Adultes </w:t>
                        </w:r>
                        <w:r w:rsidRPr="00816A2E">
                          <w:rPr>
                            <w:sz w:val="14"/>
                            <w:szCs w:val="14"/>
                          </w:rPr>
                          <w:br/>
                          <w:t>(18 ans et plus)</w:t>
                        </w:r>
                      </w:p>
                    </w:txbxContent>
                  </v:textbox>
                </v:shape>
              </v:group>
            </w:pict>
          </mc:Fallback>
        </mc:AlternateContent>
      </w:r>
      <w:r w:rsidR="00F9375B">
        <w:rPr>
          <w:rFonts w:eastAsia="MS Mincho"/>
          <w:noProof/>
          <w:lang w:val="fr-FR" w:eastAsia="fr-FR"/>
        </w:rPr>
        <w:drawing>
          <wp:inline distT="0" distB="0" distL="0" distR="0" wp14:anchorId="30450CEB" wp14:editId="640D5DD9">
            <wp:extent cx="2352675" cy="145732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2675" cy="1457325"/>
                    </a:xfrm>
                    <a:prstGeom prst="rect">
                      <a:avLst/>
                    </a:prstGeom>
                    <a:noFill/>
                    <a:ln>
                      <a:noFill/>
                    </a:ln>
                  </pic:spPr>
                </pic:pic>
              </a:graphicData>
            </a:graphic>
          </wp:inline>
        </w:drawing>
      </w:r>
      <w:r w:rsidR="00F9375B">
        <w:rPr>
          <w:rFonts w:eastAsia="MS Mincho"/>
          <w:noProof/>
          <w:lang w:val="fr-FR" w:eastAsia="fr-FR"/>
        </w:rPr>
        <w:drawing>
          <wp:inline distT="0" distB="0" distL="0" distR="0" wp14:anchorId="6FD63CCC" wp14:editId="08E75EB1">
            <wp:extent cx="2352675" cy="145732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2675" cy="1457325"/>
                    </a:xfrm>
                    <a:prstGeom prst="rect">
                      <a:avLst/>
                    </a:prstGeom>
                    <a:noFill/>
                    <a:ln>
                      <a:noFill/>
                    </a:ln>
                  </pic:spPr>
                </pic:pic>
              </a:graphicData>
            </a:graphic>
          </wp:inline>
        </w:drawing>
      </w:r>
    </w:p>
    <w:p w:rsidR="00602BEF" w:rsidRPr="00021AD4" w:rsidRDefault="00602BEF" w:rsidP="00021AD4">
      <w:pPr>
        <w:spacing w:before="120" w:after="240"/>
        <w:ind w:left="1134" w:firstLine="170"/>
        <w:rPr>
          <w:rFonts w:eastAsia="MS Mincho"/>
          <w:sz w:val="18"/>
          <w:szCs w:val="18"/>
        </w:rPr>
      </w:pPr>
      <w:r w:rsidRPr="00C73BF0">
        <w:rPr>
          <w:rFonts w:eastAsia="MS Mincho"/>
          <w:i/>
          <w:sz w:val="18"/>
          <w:szCs w:val="18"/>
        </w:rPr>
        <w:t>Source</w:t>
      </w:r>
      <w:r w:rsidR="005342F7">
        <w:rPr>
          <w:rFonts w:eastAsia="MS Mincho"/>
          <w:sz w:val="18"/>
          <w:szCs w:val="18"/>
        </w:rPr>
        <w:t> :</w:t>
      </w:r>
      <w:r w:rsidRPr="00021AD4">
        <w:rPr>
          <w:rFonts w:eastAsia="MS Mincho"/>
          <w:sz w:val="18"/>
          <w:szCs w:val="18"/>
        </w:rPr>
        <w:t xml:space="preserve"> VicRoads CrashStats</w:t>
      </w:r>
      <w:r w:rsidR="007A7AED">
        <w:rPr>
          <w:rFonts w:eastAsia="MS Mincho"/>
          <w:sz w:val="18"/>
          <w:szCs w:val="18"/>
        </w:rPr>
        <w:t>.</w:t>
      </w:r>
    </w:p>
    <w:p w:rsidR="00602BEF" w:rsidRPr="00602BEF" w:rsidRDefault="00602BEF" w:rsidP="003263CB">
      <w:pPr>
        <w:pStyle w:val="ParNoG"/>
        <w:rPr>
          <w:rFonts w:eastAsia="MS Mincho"/>
        </w:rPr>
      </w:pPr>
      <w:r w:rsidRPr="00602BEF">
        <w:rPr>
          <w:rFonts w:eastAsia="MS Mincho"/>
        </w:rPr>
        <w:t xml:space="preserve">Un témoin de coussin gonflable est proposé pour </w:t>
      </w:r>
      <w:r w:rsidRPr="003263CB">
        <w:rPr>
          <w:rFonts w:eastAsia="MS Mincho"/>
        </w:rPr>
        <w:t>les</w:t>
      </w:r>
      <w:r w:rsidRPr="00602BEF">
        <w:rPr>
          <w:rFonts w:eastAsia="MS Mincho"/>
        </w:rPr>
        <w:t xml:space="preserve"> véhicules de la catégorie M</w:t>
      </w:r>
      <w:r w:rsidRPr="00602BEF">
        <w:rPr>
          <w:rFonts w:eastAsia="MS Mincho"/>
          <w:vertAlign w:val="subscript"/>
        </w:rPr>
        <w:t>1</w:t>
      </w:r>
      <w:r w:rsidRPr="00602BEF">
        <w:rPr>
          <w:rFonts w:eastAsia="MS Mincho"/>
        </w:rPr>
        <w:t xml:space="preserve">, avec un dispositif de désactivation manuelle, qui satisfait par ailleurs aux prescriptions fonctionnelles du Règlement </w:t>
      </w:r>
      <w:r w:rsidR="005342F7" w:rsidRPr="002D76F4">
        <w:rPr>
          <w:rFonts w:eastAsia="MS Mincho"/>
          <w:szCs w:val="22"/>
        </w:rPr>
        <w:t>n</w:t>
      </w:r>
      <w:r w:rsidR="005342F7" w:rsidRPr="002D76F4">
        <w:rPr>
          <w:rFonts w:eastAsia="MS Mincho"/>
          <w:szCs w:val="22"/>
          <w:vertAlign w:val="superscript"/>
        </w:rPr>
        <w:t>o</w:t>
      </w:r>
      <w:r w:rsidR="005342F7">
        <w:t> </w:t>
      </w:r>
      <w:r w:rsidRPr="00602BEF">
        <w:rPr>
          <w:rFonts w:eastAsia="MS Mincho"/>
        </w:rPr>
        <w:t>[137] avec le coussin gonflable désactivé. Cette proposition doit être considérée dans le contexte de la proposition actuelle de la CE, du Japon et de la République de Corée qui, si elle est adoptée, exigera la présence d’un témoin de port de ceinture de sécurité pour le siège du passager avant et donc celle des capteurs indispensables pour permettre au système de rappeler à un passager adulte de réactiver tout coussin gonflable ayant été désactivé manuellement</w:t>
      </w:r>
      <w:r w:rsidR="007A7AED">
        <w:rPr>
          <w:rFonts w:eastAsia="MS Mincho"/>
        </w:rPr>
        <w:t>.</w:t>
      </w:r>
    </w:p>
    <w:p w:rsidR="00D82084" w:rsidRPr="00C73BF0" w:rsidRDefault="00602BEF" w:rsidP="003263CB">
      <w:pPr>
        <w:pStyle w:val="ParNoG"/>
      </w:pPr>
      <w:r w:rsidRPr="00602BEF">
        <w:rPr>
          <w:rFonts w:eastAsia="MS Mincho"/>
        </w:rPr>
        <w:t xml:space="preserve">Si le GRSP décide de prescrire des témoins de port de ceinture de sécurité dans le Règlement </w:t>
      </w:r>
      <w:r w:rsidR="005342F7" w:rsidRPr="002D76F4">
        <w:rPr>
          <w:rFonts w:eastAsia="MS Mincho"/>
          <w:szCs w:val="22"/>
        </w:rPr>
        <w:t>n</w:t>
      </w:r>
      <w:r w:rsidR="005342F7" w:rsidRPr="002D76F4">
        <w:rPr>
          <w:rFonts w:eastAsia="MS Mincho"/>
          <w:szCs w:val="22"/>
          <w:vertAlign w:val="superscript"/>
        </w:rPr>
        <w:t>o</w:t>
      </w:r>
      <w:r w:rsidR="005342F7">
        <w:t> </w:t>
      </w:r>
      <w:r w:rsidRPr="00602BEF">
        <w:rPr>
          <w:rFonts w:eastAsia="MS Mincho"/>
        </w:rPr>
        <w:t>16 (comme l’ont proposé conjointement la CE, le Japon et la République de Corée), un témoin de coussin gonflable pour les véhicules de la catégorie M</w:t>
      </w:r>
      <w:r w:rsidRPr="00602BEF">
        <w:rPr>
          <w:rFonts w:eastAsia="MS Mincho"/>
          <w:vertAlign w:val="subscript"/>
        </w:rPr>
        <w:t>1</w:t>
      </w:r>
      <w:r w:rsidRPr="00602BEF">
        <w:rPr>
          <w:rFonts w:eastAsia="MS Mincho"/>
        </w:rPr>
        <w:t xml:space="preserve"> équipés d’un système de désactivation manuelle de coussin gonflable pourrait être ajouté à moindre coût supplémentaire.</w:t>
      </w:r>
    </w:p>
    <w:p w:rsidR="00C73BF0" w:rsidRPr="00C73BF0" w:rsidRDefault="00C73BF0" w:rsidP="00C73BF0">
      <w:pPr>
        <w:pStyle w:val="SingleTxtG"/>
        <w:spacing w:before="240" w:after="0"/>
        <w:jc w:val="center"/>
        <w:rPr>
          <w:u w:val="single"/>
        </w:rPr>
      </w:pPr>
      <w:r>
        <w:rPr>
          <w:u w:val="single"/>
        </w:rPr>
        <w:tab/>
      </w:r>
      <w:r>
        <w:rPr>
          <w:u w:val="single"/>
        </w:rPr>
        <w:tab/>
      </w:r>
      <w:r>
        <w:rPr>
          <w:u w:val="single"/>
        </w:rPr>
        <w:tab/>
      </w:r>
    </w:p>
    <w:sectPr w:rsidR="00C73BF0" w:rsidRPr="00C73BF0" w:rsidSect="00F9375B">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B8" w:rsidRDefault="00AA0EB8" w:rsidP="00F95C08">
      <w:pPr>
        <w:spacing w:line="240" w:lineRule="auto"/>
      </w:pPr>
    </w:p>
  </w:endnote>
  <w:endnote w:type="continuationSeparator" w:id="0">
    <w:p w:rsidR="00AA0EB8" w:rsidRPr="00AC3823" w:rsidRDefault="00AA0EB8" w:rsidP="00AC3823">
      <w:pPr>
        <w:pStyle w:val="Pieddepage"/>
      </w:pPr>
    </w:p>
  </w:endnote>
  <w:endnote w:type="continuationNotice" w:id="1">
    <w:p w:rsidR="00AA0EB8" w:rsidRDefault="00AA0E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39T30Lfz">
    <w:altName w:val="Symbol"/>
    <w:charset w:val="02"/>
    <w:family w:val="auto"/>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084" w:rsidRPr="00D82084" w:rsidRDefault="00D82084" w:rsidP="00D82084">
    <w:pPr>
      <w:pStyle w:val="Pieddepage"/>
      <w:tabs>
        <w:tab w:val="right" w:pos="9638"/>
      </w:tabs>
    </w:pPr>
    <w:r w:rsidRPr="00D82084">
      <w:rPr>
        <w:b/>
        <w:sz w:val="18"/>
      </w:rPr>
      <w:fldChar w:fldCharType="begin"/>
    </w:r>
    <w:r w:rsidRPr="00D82084">
      <w:rPr>
        <w:b/>
        <w:sz w:val="18"/>
      </w:rPr>
      <w:instrText xml:space="preserve"> PAGE  \* MERGEFORMAT </w:instrText>
    </w:r>
    <w:r w:rsidRPr="00D82084">
      <w:rPr>
        <w:b/>
        <w:sz w:val="18"/>
      </w:rPr>
      <w:fldChar w:fldCharType="separate"/>
    </w:r>
    <w:r w:rsidR="00D0735B">
      <w:rPr>
        <w:b/>
        <w:noProof/>
        <w:sz w:val="18"/>
      </w:rPr>
      <w:t>2</w:t>
    </w:r>
    <w:r w:rsidRPr="00D82084">
      <w:rPr>
        <w:b/>
        <w:sz w:val="18"/>
      </w:rPr>
      <w:fldChar w:fldCharType="end"/>
    </w:r>
    <w:r>
      <w:rPr>
        <w:b/>
        <w:sz w:val="18"/>
      </w:rPr>
      <w:tab/>
    </w:r>
    <w:r>
      <w:t>GE.16-03102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084" w:rsidRPr="00D82084" w:rsidRDefault="00D82084" w:rsidP="00D82084">
    <w:pPr>
      <w:pStyle w:val="Pieddepage"/>
      <w:tabs>
        <w:tab w:val="right" w:pos="9638"/>
      </w:tabs>
      <w:rPr>
        <w:b/>
        <w:sz w:val="18"/>
      </w:rPr>
    </w:pPr>
    <w:r>
      <w:t>GE.16-03102</w:t>
    </w:r>
    <w:r>
      <w:tab/>
    </w:r>
    <w:r w:rsidRPr="00D82084">
      <w:rPr>
        <w:b/>
        <w:sz w:val="18"/>
      </w:rPr>
      <w:fldChar w:fldCharType="begin"/>
    </w:r>
    <w:r w:rsidRPr="00D82084">
      <w:rPr>
        <w:b/>
        <w:sz w:val="18"/>
      </w:rPr>
      <w:instrText xml:space="preserve"> PAGE  \* MERGEFORMAT </w:instrText>
    </w:r>
    <w:r w:rsidRPr="00D82084">
      <w:rPr>
        <w:b/>
        <w:sz w:val="18"/>
      </w:rPr>
      <w:fldChar w:fldCharType="separate"/>
    </w:r>
    <w:r w:rsidR="00D0735B">
      <w:rPr>
        <w:b/>
        <w:noProof/>
        <w:sz w:val="18"/>
      </w:rPr>
      <w:t>5</w:t>
    </w:r>
    <w:r w:rsidRPr="00D820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D82084" w:rsidRDefault="00D82084" w:rsidP="00D82084">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14:anchorId="6A024C37" wp14:editId="7532C6B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16-03102  (F)</w:t>
    </w:r>
    <w:r w:rsidR="009708A9">
      <w:rPr>
        <w:sz w:val="20"/>
      </w:rPr>
      <w:t xml:space="preserve">    170316    290316</w:t>
    </w:r>
    <w:r>
      <w:rPr>
        <w:sz w:val="20"/>
      </w:rPr>
      <w:br/>
    </w:r>
    <w:r w:rsidRPr="00D82084">
      <w:rPr>
        <w:rFonts w:ascii="C39T30Lfz" w:hAnsi="C39T30Lfz"/>
        <w:sz w:val="56"/>
      </w:rPr>
      <w:t></w:t>
    </w:r>
    <w:r w:rsidRPr="00D82084">
      <w:rPr>
        <w:rFonts w:ascii="C39T30Lfz" w:hAnsi="C39T30Lfz"/>
        <w:sz w:val="56"/>
      </w:rPr>
      <w:t></w:t>
    </w:r>
    <w:r w:rsidRPr="00D82084">
      <w:rPr>
        <w:rFonts w:ascii="C39T30Lfz" w:hAnsi="C39T30Lfz"/>
        <w:sz w:val="56"/>
      </w:rPr>
      <w:t></w:t>
    </w:r>
    <w:r w:rsidRPr="00D82084">
      <w:rPr>
        <w:rFonts w:ascii="C39T30Lfz" w:hAnsi="C39T30Lfz"/>
        <w:sz w:val="56"/>
      </w:rPr>
      <w:t></w:t>
    </w:r>
    <w:r w:rsidRPr="00D82084">
      <w:rPr>
        <w:rFonts w:ascii="C39T30Lfz" w:hAnsi="C39T30Lfz"/>
        <w:sz w:val="56"/>
      </w:rPr>
      <w:t></w:t>
    </w:r>
    <w:r w:rsidRPr="00D82084">
      <w:rPr>
        <w:rFonts w:ascii="C39T30Lfz" w:hAnsi="C39T30Lfz"/>
        <w:sz w:val="56"/>
      </w:rPr>
      <w:t></w:t>
    </w:r>
    <w:r w:rsidRPr="00D82084">
      <w:rPr>
        <w:rFonts w:ascii="C39T30Lfz" w:hAnsi="C39T30Lfz"/>
        <w:sz w:val="56"/>
      </w:rPr>
      <w:t></w:t>
    </w:r>
    <w:r w:rsidRPr="00D82084">
      <w:rPr>
        <w:rFonts w:ascii="C39T30Lfz" w:hAnsi="C39T30Lfz"/>
        <w:sz w:val="56"/>
      </w:rPr>
      <w:t></w:t>
    </w:r>
    <w:r w:rsidRPr="00D82084">
      <w:rPr>
        <w:rFonts w:ascii="C39T30Lfz" w:hAnsi="C39T30Lfz"/>
        <w:sz w:val="56"/>
      </w:rPr>
      <w:t></w:t>
    </w:r>
    <w:r>
      <w:rPr>
        <w:noProof/>
        <w:sz w:val="20"/>
        <w:lang w:val="fr-FR" w:eastAsia="fr-FR"/>
      </w:rPr>
      <w:drawing>
        <wp:anchor distT="0" distB="0" distL="114300" distR="114300" simplePos="0" relativeHeight="251660288" behindDoc="0" locked="0" layoutInCell="1" allowOverlap="1" wp14:anchorId="37FDB05F" wp14:editId="1A640335">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P/2016/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B8" w:rsidRPr="00AC3823" w:rsidRDefault="00AA0EB8" w:rsidP="00AC3823">
      <w:pPr>
        <w:pStyle w:val="Pieddepage"/>
        <w:tabs>
          <w:tab w:val="right" w:pos="2155"/>
        </w:tabs>
        <w:spacing w:after="80" w:line="240" w:lineRule="atLeast"/>
        <w:ind w:left="680"/>
        <w:rPr>
          <w:u w:val="single"/>
        </w:rPr>
      </w:pPr>
      <w:r>
        <w:rPr>
          <w:u w:val="single"/>
        </w:rPr>
        <w:tab/>
      </w:r>
    </w:p>
  </w:footnote>
  <w:footnote w:type="continuationSeparator" w:id="0">
    <w:p w:rsidR="00AA0EB8" w:rsidRPr="00AC3823" w:rsidRDefault="00AA0EB8" w:rsidP="00AC3823">
      <w:pPr>
        <w:pStyle w:val="Pieddepage"/>
        <w:tabs>
          <w:tab w:val="right" w:pos="2155"/>
        </w:tabs>
        <w:spacing w:after="80" w:line="240" w:lineRule="atLeast"/>
        <w:ind w:left="680"/>
        <w:rPr>
          <w:u w:val="single"/>
        </w:rPr>
      </w:pPr>
      <w:r>
        <w:rPr>
          <w:u w:val="single"/>
        </w:rPr>
        <w:tab/>
      </w:r>
    </w:p>
  </w:footnote>
  <w:footnote w:type="continuationNotice" w:id="1">
    <w:p w:rsidR="00AA0EB8" w:rsidRPr="00AC3823" w:rsidRDefault="00AA0EB8">
      <w:pPr>
        <w:spacing w:line="240" w:lineRule="auto"/>
        <w:rPr>
          <w:sz w:val="2"/>
          <w:szCs w:val="2"/>
        </w:rPr>
      </w:pPr>
    </w:p>
  </w:footnote>
  <w:footnote w:id="2">
    <w:p w:rsidR="00D82084" w:rsidRPr="000D7EFA" w:rsidRDefault="00D82084" w:rsidP="003263CB">
      <w:pPr>
        <w:pStyle w:val="Notedebasdepage"/>
      </w:pPr>
      <w:r>
        <w:tab/>
      </w:r>
      <w:r w:rsidRPr="003263CB">
        <w:rPr>
          <w:rStyle w:val="Appelnotedebasdep"/>
          <w:vertAlign w:val="baseline"/>
        </w:rPr>
        <w:t>*</w:t>
      </w:r>
      <w:r w:rsidRPr="000D7EFA">
        <w:tab/>
        <w:t>Conformément au programme de travail du Comité des transports intérieurs pour la période 2014-2018 (ECE/TRANS/240, par.105, et ECE/TRANS/2014/26</w:t>
      </w:r>
      <w:r w:rsidR="007363F5">
        <w:t>,</w:t>
      </w:r>
      <w:r w:rsidRPr="000D7EFA">
        <w:t xml:space="preserve"> activité 02.4), le Forum mondial élabore, harmonise et actualise les Règlements, afin d’améliorer les caractéristiques fonctionnelles des véhicules.</w:t>
      </w:r>
      <w:r>
        <w:t xml:space="preserve"> </w:t>
      </w:r>
      <w:r w:rsidRPr="000D7EFA">
        <w:t>Le présent document est soumis en vertu de ce mandat.</w:t>
      </w:r>
    </w:p>
  </w:footnote>
  <w:footnote w:id="3">
    <w:p w:rsidR="00602BEF" w:rsidRPr="005342F7" w:rsidRDefault="00602BEF" w:rsidP="003263CB">
      <w:pPr>
        <w:pStyle w:val="Notedebasdepage"/>
        <w:rPr>
          <w:iCs/>
          <w:spacing w:val="-2"/>
          <w:szCs w:val="18"/>
          <w:lang w:val="de-CH"/>
        </w:rPr>
      </w:pPr>
      <w:r w:rsidRPr="005342F7">
        <w:rPr>
          <w:spacing w:val="-2"/>
        </w:rPr>
        <w:tab/>
      </w:r>
      <w:r w:rsidRPr="005342F7">
        <w:rPr>
          <w:rStyle w:val="Appelnotedebasdep"/>
          <w:spacing w:val="-2"/>
        </w:rPr>
        <w:footnoteRef/>
      </w:r>
      <w:r w:rsidRPr="005342F7">
        <w:rPr>
          <w:spacing w:val="-2"/>
        </w:rPr>
        <w:tab/>
      </w:r>
      <w:r w:rsidRPr="005342F7">
        <w:rPr>
          <w:iCs/>
          <w:spacing w:val="-2"/>
          <w:szCs w:val="18"/>
        </w:rPr>
        <w:t xml:space="preserve">Selon les définitions figurant dans la Résolution d’ensemble sur la construction des véhicules (R.E.3.), document ECE/TRANS/WP.29/78/Rev.3, </w:t>
      </w:r>
      <w:r w:rsidR="005342F7" w:rsidRPr="005342F7">
        <w:rPr>
          <w:iCs/>
          <w:spacing w:val="-2"/>
          <w:szCs w:val="18"/>
        </w:rPr>
        <w:t>par. </w:t>
      </w:r>
      <w:r w:rsidRPr="005342F7">
        <w:rPr>
          <w:iCs/>
          <w:spacing w:val="-2"/>
          <w:szCs w:val="18"/>
        </w:rPr>
        <w:t xml:space="preserve">2 </w:t>
      </w:r>
      <w:r w:rsidR="005342F7" w:rsidRPr="005342F7">
        <w:rPr>
          <w:iCs/>
          <w:spacing w:val="-2"/>
          <w:szCs w:val="18"/>
        </w:rPr>
        <w:t>−</w:t>
      </w:r>
      <w:r w:rsidRPr="005342F7">
        <w:rPr>
          <w:iCs/>
          <w:spacing w:val="-2"/>
          <w:szCs w:val="18"/>
        </w:rPr>
        <w:t xml:space="preserve"> www.unece.org/trans/main/wp29/wp29wgs/</w:t>
      </w:r>
      <w:r w:rsidR="009708A9">
        <w:rPr>
          <w:iCs/>
          <w:spacing w:val="-2"/>
          <w:szCs w:val="18"/>
        </w:rPr>
        <w:t xml:space="preserve"> </w:t>
      </w:r>
      <w:r w:rsidRPr="005342F7">
        <w:rPr>
          <w:iCs/>
          <w:spacing w:val="-2"/>
          <w:szCs w:val="18"/>
        </w:rPr>
        <w:t>wp29gen/wp29resolutions.html</w:t>
      </w:r>
      <w:r w:rsidR="007363F5">
        <w:rPr>
          <w:rStyle w:val="Lienhypertexte"/>
          <w:iCs/>
          <w:spacing w:val="-2"/>
          <w:szCs w:val="18"/>
        </w:rPr>
        <w:t>.</w:t>
      </w:r>
    </w:p>
  </w:footnote>
  <w:footnote w:id="4">
    <w:p w:rsidR="00602BEF" w:rsidRPr="001134E7" w:rsidRDefault="00602BEF" w:rsidP="003263CB">
      <w:pPr>
        <w:pStyle w:val="Notedebasdepage"/>
        <w:rPr>
          <w:b/>
        </w:rPr>
      </w:pPr>
      <w:r w:rsidRPr="000A1A36">
        <w:rPr>
          <w:b/>
        </w:rPr>
        <w:tab/>
      </w:r>
      <w:r w:rsidRPr="00662A32">
        <w:rPr>
          <w:rStyle w:val="Appelnotedebasdep"/>
          <w:b/>
        </w:rPr>
        <w:footnoteRef/>
      </w:r>
      <w:r w:rsidRPr="001134E7">
        <w:rPr>
          <w:b/>
        </w:rPr>
        <w:t xml:space="preserve"> </w:t>
      </w:r>
      <w:r w:rsidRPr="001134E7">
        <w:rPr>
          <w:b/>
        </w:rPr>
        <w:tab/>
      </w:r>
      <w:r w:rsidRPr="001134E7">
        <w:rPr>
          <w:b/>
          <w:szCs w:val="18"/>
        </w:rPr>
        <w:t xml:space="preserve">L’identification </w:t>
      </w:r>
      <w:r>
        <w:rPr>
          <w:b/>
          <w:szCs w:val="18"/>
        </w:rPr>
        <w:t>à l</w:t>
      </w:r>
      <w:r w:rsidRPr="001134E7">
        <w:rPr>
          <w:b/>
          <w:szCs w:val="18"/>
        </w:rPr>
        <w:t>’</w:t>
      </w:r>
      <w:r>
        <w:rPr>
          <w:b/>
          <w:szCs w:val="18"/>
        </w:rPr>
        <w:t>aide d</w:t>
      </w:r>
      <w:r w:rsidRPr="001134E7">
        <w:rPr>
          <w:b/>
          <w:szCs w:val="18"/>
        </w:rPr>
        <w:t xml:space="preserve">es mots </w:t>
      </w:r>
      <w:r w:rsidR="007363F5">
        <w:rPr>
          <w:b/>
          <w:szCs w:val="18"/>
        </w:rPr>
        <w:t>“</w:t>
      </w:r>
      <w:r w:rsidRPr="001134E7">
        <w:rPr>
          <w:b/>
          <w:szCs w:val="18"/>
        </w:rPr>
        <w:t xml:space="preserve">COUSSIN GONFLABLE passager </w:t>
      </w:r>
      <w:r>
        <w:rPr>
          <w:b/>
          <w:szCs w:val="18"/>
        </w:rPr>
        <w:t>DESACTIVE</w:t>
      </w:r>
      <w:r w:rsidRPr="001134E7">
        <w:rPr>
          <w:b/>
          <w:szCs w:val="18"/>
        </w:rPr>
        <w:t>/</w:t>
      </w:r>
      <w:r>
        <w:rPr>
          <w:b/>
          <w:szCs w:val="18"/>
        </w:rPr>
        <w:t>ACTIVE</w:t>
      </w:r>
      <w:r w:rsidR="007363F5">
        <w:rPr>
          <w:b/>
          <w:szCs w:val="18"/>
        </w:rPr>
        <w:t>”</w:t>
      </w:r>
      <w:r w:rsidRPr="001134E7">
        <w:rPr>
          <w:b/>
          <w:szCs w:val="18"/>
        </w:rPr>
        <w:t xml:space="preserve"> ou </w:t>
      </w:r>
      <w:r w:rsidR="007363F5">
        <w:rPr>
          <w:b/>
          <w:szCs w:val="18"/>
        </w:rPr>
        <w:t>“</w:t>
      </w:r>
      <w:r w:rsidRPr="001134E7">
        <w:rPr>
          <w:b/>
          <w:szCs w:val="18"/>
        </w:rPr>
        <w:t xml:space="preserve">COUSSIN GONFLABLE passager </w:t>
      </w:r>
      <w:r>
        <w:rPr>
          <w:b/>
          <w:szCs w:val="18"/>
        </w:rPr>
        <w:t>ACTIVE</w:t>
      </w:r>
      <w:r w:rsidRPr="001134E7">
        <w:rPr>
          <w:b/>
          <w:szCs w:val="18"/>
        </w:rPr>
        <w:t>/</w:t>
      </w:r>
      <w:r>
        <w:rPr>
          <w:b/>
          <w:szCs w:val="18"/>
        </w:rPr>
        <w:t>DESACTIVE</w:t>
      </w:r>
      <w:r w:rsidR="007363F5">
        <w:rPr>
          <w:b/>
          <w:szCs w:val="18"/>
        </w:rPr>
        <w:t>”</w:t>
      </w:r>
      <w:r>
        <w:rPr>
          <w:b/>
          <w:szCs w:val="18"/>
        </w:rPr>
        <w:t xml:space="preserve"> </w:t>
      </w:r>
      <w:r w:rsidRPr="001134E7">
        <w:rPr>
          <w:b/>
          <w:szCs w:val="18"/>
        </w:rPr>
        <w:t>(selon le cas)</w:t>
      </w:r>
      <w:r>
        <w:rPr>
          <w:b/>
          <w:szCs w:val="18"/>
        </w:rPr>
        <w:t xml:space="preserve"> doit être préférée lorsque le témoin est groupé avec un témoin supplémentaire </w:t>
      </w:r>
      <w:r w:rsidR="007363F5">
        <w:rPr>
          <w:b/>
        </w:rPr>
        <w:t>“</w:t>
      </w:r>
      <w:r w:rsidRPr="001134E7">
        <w:rPr>
          <w:b/>
        </w:rPr>
        <w:t>coussin gonflable passager activé</w:t>
      </w:r>
      <w:r w:rsidR="007363F5">
        <w:rPr>
          <w:b/>
        </w:rPr>
        <w:t>”</w:t>
      </w:r>
      <w:r w:rsidRPr="001134E7">
        <w:rPr>
          <w:b/>
        </w:rPr>
        <w:t xml:space="preserve"> </w:t>
      </w:r>
      <w:r>
        <w:rPr>
          <w:b/>
        </w:rPr>
        <w:t>fourni également par le constructeur.</w:t>
      </w:r>
      <w:r w:rsidR="005342F7">
        <w:rPr>
          <w:b/>
        </w:rPr>
        <w:t xml:space="preserve"> </w:t>
      </w:r>
    </w:p>
  </w:footnote>
  <w:footnote w:id="5">
    <w:p w:rsidR="00602BEF" w:rsidRPr="00224289" w:rsidRDefault="00602BEF" w:rsidP="003263CB">
      <w:pPr>
        <w:pStyle w:val="Notedebasdepage"/>
        <w:rPr>
          <w:b/>
        </w:rPr>
      </w:pPr>
      <w:r w:rsidRPr="001134E7">
        <w:tab/>
      </w:r>
      <w:r w:rsidRPr="009708A9">
        <w:rPr>
          <w:rStyle w:val="Appelnotedebasdep"/>
          <w:b/>
        </w:rPr>
        <w:footnoteRef/>
      </w:r>
      <w:r w:rsidRPr="00224289">
        <w:rPr>
          <w:rStyle w:val="Appelnotedebasdep"/>
        </w:rPr>
        <w:t xml:space="preserve"> </w:t>
      </w:r>
      <w:r w:rsidRPr="00224289">
        <w:tab/>
      </w:r>
      <w:r w:rsidRPr="009708A9">
        <w:rPr>
          <w:b/>
        </w:rPr>
        <w:t>Le</w:t>
      </w:r>
      <w:r w:rsidRPr="00224289">
        <w:t xml:space="preserve"> </w:t>
      </w:r>
      <w:r w:rsidRPr="00224289">
        <w:rPr>
          <w:b/>
        </w:rPr>
        <w:t xml:space="preserve">pictogramme peut être monochrome et/ou </w:t>
      </w:r>
      <w:r>
        <w:rPr>
          <w:b/>
        </w:rPr>
        <w:t>mis en miroir dans le véhicule</w:t>
      </w:r>
      <w:r w:rsidRPr="00224289">
        <w:rPr>
          <w:b/>
        </w:rPr>
        <w:t>.</w:t>
      </w:r>
    </w:p>
  </w:footnote>
  <w:footnote w:id="6">
    <w:p w:rsidR="00602BEF" w:rsidRPr="00D57953" w:rsidRDefault="00602BEF" w:rsidP="003263CB">
      <w:pPr>
        <w:pStyle w:val="Notedebasdepage"/>
      </w:pPr>
      <w:r w:rsidRPr="00B42CF1">
        <w:tab/>
      </w:r>
      <w:r w:rsidRPr="003263CB">
        <w:rPr>
          <w:rStyle w:val="Appelnotedebasdep"/>
        </w:rPr>
        <w:footnoteRef/>
      </w:r>
      <w:r w:rsidRPr="00D57953">
        <w:tab/>
        <w:t>Le deuxième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084" w:rsidRPr="00D82084" w:rsidRDefault="00D82084">
    <w:pPr>
      <w:pStyle w:val="En-tte"/>
    </w:pPr>
    <w:r>
      <w:t>ECE/TRANS/WP.29/GRSP/2016/13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084" w:rsidRPr="00D82084" w:rsidRDefault="00D82084" w:rsidP="00D82084">
    <w:pPr>
      <w:pStyle w:val="En-tte"/>
      <w:jc w:val="right"/>
    </w:pPr>
    <w:r>
      <w:t>ECE/TRANS/WP.29/GRSP/2016/13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numStart w:val="9"/>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97"/>
    <w:rsid w:val="00017F94"/>
    <w:rsid w:val="00021AD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263CB"/>
    <w:rsid w:val="003831D4"/>
    <w:rsid w:val="003916DE"/>
    <w:rsid w:val="003A2BEE"/>
    <w:rsid w:val="003A30E6"/>
    <w:rsid w:val="00441C3B"/>
    <w:rsid w:val="00446FE5"/>
    <w:rsid w:val="00452396"/>
    <w:rsid w:val="004837D8"/>
    <w:rsid w:val="004E468C"/>
    <w:rsid w:val="00526DE0"/>
    <w:rsid w:val="005342F7"/>
    <w:rsid w:val="005505B7"/>
    <w:rsid w:val="00573BE5"/>
    <w:rsid w:val="00586ED3"/>
    <w:rsid w:val="00596AA9"/>
    <w:rsid w:val="00597C6F"/>
    <w:rsid w:val="00602BEF"/>
    <w:rsid w:val="00662A32"/>
    <w:rsid w:val="00673897"/>
    <w:rsid w:val="00681011"/>
    <w:rsid w:val="0071601D"/>
    <w:rsid w:val="007363F5"/>
    <w:rsid w:val="007A62E6"/>
    <w:rsid w:val="007A7AED"/>
    <w:rsid w:val="007F20FA"/>
    <w:rsid w:val="0080684C"/>
    <w:rsid w:val="00816A2E"/>
    <w:rsid w:val="00871C75"/>
    <w:rsid w:val="008776DC"/>
    <w:rsid w:val="009705C8"/>
    <w:rsid w:val="009708A9"/>
    <w:rsid w:val="00974520"/>
    <w:rsid w:val="009C1CF4"/>
    <w:rsid w:val="009F6B74"/>
    <w:rsid w:val="00A30353"/>
    <w:rsid w:val="00AA0EB8"/>
    <w:rsid w:val="00AB11E6"/>
    <w:rsid w:val="00AC3823"/>
    <w:rsid w:val="00AE323C"/>
    <w:rsid w:val="00AF0CB5"/>
    <w:rsid w:val="00B00181"/>
    <w:rsid w:val="00B00B0D"/>
    <w:rsid w:val="00B765F7"/>
    <w:rsid w:val="00B930D0"/>
    <w:rsid w:val="00BA0CA9"/>
    <w:rsid w:val="00C02897"/>
    <w:rsid w:val="00C73BF0"/>
    <w:rsid w:val="00D0735B"/>
    <w:rsid w:val="00D3439C"/>
    <w:rsid w:val="00D82084"/>
    <w:rsid w:val="00DB1831"/>
    <w:rsid w:val="00DD3BFD"/>
    <w:rsid w:val="00DD446A"/>
    <w:rsid w:val="00DF6678"/>
    <w:rsid w:val="00E85C74"/>
    <w:rsid w:val="00E951A9"/>
    <w:rsid w:val="00EA6547"/>
    <w:rsid w:val="00EE3F47"/>
    <w:rsid w:val="00EF2E22"/>
    <w:rsid w:val="00F35BAF"/>
    <w:rsid w:val="00F660DF"/>
    <w:rsid w:val="00F9375B"/>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996D44-AF4C-442D-9195-1EE3D188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C1CE-2C17-45D2-B579-8206A8E3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6</Pages>
  <Words>3550</Words>
  <Characters>19527</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ECE/TRANS/WP.29/GRSP/2016/13</vt:lpstr>
    </vt:vector>
  </TitlesOfParts>
  <Company>DCM</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ECE/TRANS/WP.29/GRSP/2016/13</dc:title>
  <dc:subject/>
  <dc:creator>Beysard Pascale</dc:creator>
  <cp:keywords/>
  <dc:description/>
  <cp:lastModifiedBy>Bénédicte Boudol</cp:lastModifiedBy>
  <cp:revision>2</cp:revision>
  <cp:lastPrinted>2016-03-29T09:52:00Z</cp:lastPrinted>
  <dcterms:created xsi:type="dcterms:W3CDTF">2016-03-30T15:50:00Z</dcterms:created>
  <dcterms:modified xsi:type="dcterms:W3CDTF">2016-03-30T15:50:00Z</dcterms:modified>
</cp:coreProperties>
</file>