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8C40DD" w:rsidTr="007F20FA">
        <w:trPr>
          <w:trHeight w:hRule="exact" w:val="851"/>
        </w:trPr>
        <w:tc>
          <w:tcPr>
            <w:tcW w:w="1276" w:type="dxa"/>
            <w:tcBorders>
              <w:bottom w:val="single" w:sz="4" w:space="0" w:color="auto"/>
            </w:tcBorders>
          </w:tcPr>
          <w:p w:rsidR="00F35BAF" w:rsidRPr="008C40DD" w:rsidRDefault="00F35BAF" w:rsidP="00774522">
            <w:bookmarkStart w:id="0" w:name="_GoBack"/>
            <w:bookmarkEnd w:id="0"/>
          </w:p>
        </w:tc>
        <w:tc>
          <w:tcPr>
            <w:tcW w:w="2268" w:type="dxa"/>
            <w:tcBorders>
              <w:bottom w:val="single" w:sz="4" w:space="0" w:color="auto"/>
            </w:tcBorders>
            <w:vAlign w:val="bottom"/>
          </w:tcPr>
          <w:p w:rsidR="00F35BAF" w:rsidRPr="008C40DD" w:rsidRDefault="00F35BAF" w:rsidP="00892A2F">
            <w:pPr>
              <w:spacing w:after="80" w:line="300" w:lineRule="exact"/>
              <w:rPr>
                <w:sz w:val="28"/>
              </w:rPr>
            </w:pPr>
            <w:r w:rsidRPr="008C40DD">
              <w:rPr>
                <w:sz w:val="28"/>
              </w:rPr>
              <w:t>Nations Unies</w:t>
            </w:r>
          </w:p>
        </w:tc>
        <w:tc>
          <w:tcPr>
            <w:tcW w:w="6095" w:type="dxa"/>
            <w:gridSpan w:val="2"/>
            <w:tcBorders>
              <w:bottom w:val="single" w:sz="4" w:space="0" w:color="auto"/>
            </w:tcBorders>
            <w:vAlign w:val="bottom"/>
          </w:tcPr>
          <w:p w:rsidR="00F35BAF" w:rsidRPr="008C40DD" w:rsidRDefault="00774522" w:rsidP="00774522">
            <w:pPr>
              <w:jc w:val="right"/>
            </w:pPr>
            <w:r w:rsidRPr="008C40DD">
              <w:rPr>
                <w:sz w:val="40"/>
              </w:rPr>
              <w:t>ECE</w:t>
            </w:r>
            <w:r w:rsidRPr="008C40DD">
              <w:t>/TRANS/WP.29/GRSP/2016/2</w:t>
            </w:r>
          </w:p>
        </w:tc>
      </w:tr>
      <w:tr w:rsidR="00F35BAF" w:rsidRPr="008C40DD" w:rsidTr="00892A2F">
        <w:trPr>
          <w:trHeight w:hRule="exact" w:val="2835"/>
        </w:trPr>
        <w:tc>
          <w:tcPr>
            <w:tcW w:w="1276" w:type="dxa"/>
            <w:tcBorders>
              <w:top w:val="single" w:sz="4" w:space="0" w:color="auto"/>
              <w:bottom w:val="single" w:sz="12" w:space="0" w:color="auto"/>
            </w:tcBorders>
          </w:tcPr>
          <w:p w:rsidR="00F35BAF" w:rsidRPr="008C40DD" w:rsidRDefault="00F35BAF" w:rsidP="00892A2F">
            <w:pPr>
              <w:spacing w:before="120"/>
              <w:jc w:val="center"/>
            </w:pPr>
            <w:r w:rsidRPr="008C40DD">
              <w:rPr>
                <w:noProof/>
                <w:lang w:val="en-US"/>
              </w:rPr>
              <w:drawing>
                <wp:inline distT="0" distB="0" distL="0" distR="0" wp14:anchorId="7F81AA9C" wp14:editId="2C7B296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8C40DD" w:rsidRDefault="00F35BAF" w:rsidP="00892A2F">
            <w:pPr>
              <w:spacing w:before="120" w:line="420" w:lineRule="exact"/>
              <w:rPr>
                <w:b/>
                <w:sz w:val="40"/>
                <w:szCs w:val="40"/>
              </w:rPr>
            </w:pPr>
            <w:r w:rsidRPr="008C40DD">
              <w:rPr>
                <w:b/>
                <w:sz w:val="40"/>
                <w:szCs w:val="40"/>
              </w:rPr>
              <w:t>Conseil économique et social</w:t>
            </w:r>
          </w:p>
        </w:tc>
        <w:tc>
          <w:tcPr>
            <w:tcW w:w="2835" w:type="dxa"/>
            <w:tcBorders>
              <w:top w:val="single" w:sz="4" w:space="0" w:color="auto"/>
              <w:bottom w:val="single" w:sz="12" w:space="0" w:color="auto"/>
            </w:tcBorders>
          </w:tcPr>
          <w:p w:rsidR="00F35BAF" w:rsidRPr="008C40DD" w:rsidRDefault="00774522" w:rsidP="00892A2F">
            <w:pPr>
              <w:spacing w:before="240"/>
            </w:pPr>
            <w:r w:rsidRPr="008C40DD">
              <w:t>Distr. générale</w:t>
            </w:r>
          </w:p>
          <w:p w:rsidR="00774522" w:rsidRPr="008C40DD" w:rsidRDefault="00774522" w:rsidP="00774522">
            <w:pPr>
              <w:spacing w:line="240" w:lineRule="exact"/>
            </w:pPr>
            <w:r w:rsidRPr="008C40DD">
              <w:t>25 février 2016</w:t>
            </w:r>
          </w:p>
          <w:p w:rsidR="00774522" w:rsidRPr="008C40DD" w:rsidRDefault="00774522" w:rsidP="00774522">
            <w:pPr>
              <w:spacing w:line="240" w:lineRule="exact"/>
            </w:pPr>
            <w:r w:rsidRPr="008C40DD">
              <w:t>Français</w:t>
            </w:r>
          </w:p>
          <w:p w:rsidR="00774522" w:rsidRPr="008C40DD" w:rsidRDefault="00774522" w:rsidP="00774522">
            <w:pPr>
              <w:spacing w:line="240" w:lineRule="exact"/>
            </w:pPr>
            <w:r w:rsidRPr="008C40DD">
              <w:t>Original : anglais</w:t>
            </w:r>
          </w:p>
        </w:tc>
      </w:tr>
    </w:tbl>
    <w:p w:rsidR="007F20FA" w:rsidRPr="008C40DD" w:rsidRDefault="007F20FA" w:rsidP="007F20FA">
      <w:pPr>
        <w:spacing w:before="120"/>
        <w:rPr>
          <w:b/>
          <w:sz w:val="28"/>
          <w:szCs w:val="28"/>
        </w:rPr>
      </w:pPr>
      <w:r w:rsidRPr="008C40DD">
        <w:rPr>
          <w:b/>
          <w:sz w:val="28"/>
          <w:szCs w:val="28"/>
        </w:rPr>
        <w:t>Commission économique pour l’Europe</w:t>
      </w:r>
    </w:p>
    <w:p w:rsidR="007F20FA" w:rsidRPr="008C40DD" w:rsidRDefault="007F20FA" w:rsidP="007F20FA">
      <w:pPr>
        <w:spacing w:before="120"/>
        <w:rPr>
          <w:sz w:val="28"/>
          <w:szCs w:val="28"/>
        </w:rPr>
      </w:pPr>
      <w:r w:rsidRPr="008C40DD">
        <w:rPr>
          <w:sz w:val="28"/>
          <w:szCs w:val="28"/>
        </w:rPr>
        <w:t>Comité des transports intérieurs</w:t>
      </w:r>
    </w:p>
    <w:p w:rsidR="00774522" w:rsidRPr="008C40DD" w:rsidRDefault="00774522" w:rsidP="00774522">
      <w:pPr>
        <w:kinsoku/>
        <w:overflowPunct/>
        <w:autoSpaceDE/>
        <w:autoSpaceDN/>
        <w:adjustRightInd/>
        <w:snapToGrid/>
        <w:spacing w:before="120"/>
        <w:rPr>
          <w:b/>
          <w:sz w:val="24"/>
          <w:szCs w:val="24"/>
        </w:rPr>
      </w:pPr>
      <w:r w:rsidRPr="008C40DD">
        <w:rPr>
          <w:b/>
          <w:sz w:val="24"/>
          <w:szCs w:val="24"/>
        </w:rPr>
        <w:t xml:space="preserve">Forum mondial de l’harmonisation </w:t>
      </w:r>
      <w:r w:rsidR="006F48B7" w:rsidRPr="008C40DD">
        <w:rPr>
          <w:b/>
          <w:sz w:val="24"/>
          <w:szCs w:val="24"/>
        </w:rPr>
        <w:br/>
      </w:r>
      <w:r w:rsidRPr="008C40DD">
        <w:rPr>
          <w:b/>
          <w:sz w:val="24"/>
          <w:szCs w:val="24"/>
        </w:rPr>
        <w:t xml:space="preserve">des Règlements concernant les véhicules </w:t>
      </w:r>
    </w:p>
    <w:p w:rsidR="00774522" w:rsidRPr="008C40DD" w:rsidRDefault="00774522" w:rsidP="00774522">
      <w:pPr>
        <w:kinsoku/>
        <w:overflowPunct/>
        <w:autoSpaceDE/>
        <w:autoSpaceDN/>
        <w:adjustRightInd/>
        <w:snapToGrid/>
        <w:spacing w:before="120" w:after="120"/>
        <w:rPr>
          <w:b/>
          <w:bCs/>
          <w:szCs w:val="24"/>
        </w:rPr>
      </w:pPr>
      <w:r w:rsidRPr="008C40DD">
        <w:rPr>
          <w:b/>
          <w:bCs/>
          <w:szCs w:val="24"/>
        </w:rPr>
        <w:t xml:space="preserve">Groupe de travail de la sécurité passive </w:t>
      </w:r>
    </w:p>
    <w:p w:rsidR="00774522" w:rsidRPr="008C40DD" w:rsidRDefault="00774522" w:rsidP="00774522">
      <w:pPr>
        <w:kinsoku/>
        <w:overflowPunct/>
        <w:autoSpaceDE/>
        <w:autoSpaceDN/>
        <w:adjustRightInd/>
        <w:snapToGrid/>
        <w:rPr>
          <w:b/>
          <w:szCs w:val="24"/>
        </w:rPr>
      </w:pPr>
      <w:r w:rsidRPr="008C40DD">
        <w:rPr>
          <w:b/>
          <w:szCs w:val="24"/>
        </w:rPr>
        <w:t>Cinquante-neuvième session</w:t>
      </w:r>
    </w:p>
    <w:p w:rsidR="00774522" w:rsidRPr="008C40DD" w:rsidRDefault="00774522" w:rsidP="00774522">
      <w:pPr>
        <w:kinsoku/>
        <w:overflowPunct/>
        <w:autoSpaceDE/>
        <w:autoSpaceDN/>
        <w:adjustRightInd/>
        <w:snapToGrid/>
        <w:rPr>
          <w:szCs w:val="24"/>
        </w:rPr>
      </w:pPr>
      <w:r w:rsidRPr="008C40DD">
        <w:rPr>
          <w:szCs w:val="24"/>
        </w:rPr>
        <w:t>Genève, 9-13 mai 2016</w:t>
      </w:r>
    </w:p>
    <w:p w:rsidR="00774522" w:rsidRPr="008C40DD" w:rsidRDefault="00774522" w:rsidP="00774522">
      <w:pPr>
        <w:kinsoku/>
        <w:overflowPunct/>
        <w:autoSpaceDE/>
        <w:autoSpaceDN/>
        <w:adjustRightInd/>
        <w:snapToGrid/>
        <w:rPr>
          <w:bCs/>
          <w:szCs w:val="24"/>
        </w:rPr>
      </w:pPr>
      <w:r w:rsidRPr="008C40DD">
        <w:rPr>
          <w:bCs/>
          <w:szCs w:val="24"/>
        </w:rPr>
        <w:t>Point 9 de l’ordre du jour provisoire</w:t>
      </w:r>
    </w:p>
    <w:p w:rsidR="00774522" w:rsidRPr="008C40DD" w:rsidRDefault="00774522" w:rsidP="006F48B7">
      <w:pPr>
        <w:kinsoku/>
        <w:overflowPunct/>
        <w:autoSpaceDE/>
        <w:autoSpaceDN/>
        <w:adjustRightInd/>
        <w:snapToGrid/>
        <w:rPr>
          <w:szCs w:val="24"/>
        </w:rPr>
      </w:pPr>
      <w:r w:rsidRPr="008C40DD">
        <w:rPr>
          <w:b/>
          <w:szCs w:val="24"/>
        </w:rPr>
        <w:t xml:space="preserve">Règlement </w:t>
      </w:r>
      <w:r w:rsidR="006F48B7" w:rsidRPr="008C40DD">
        <w:rPr>
          <w:rFonts w:eastAsia="MS Mincho"/>
          <w:b/>
          <w:szCs w:val="24"/>
        </w:rPr>
        <w:t>n</w:t>
      </w:r>
      <w:r w:rsidR="006F48B7" w:rsidRPr="008C40DD">
        <w:rPr>
          <w:rFonts w:eastAsia="MS Mincho"/>
          <w:b/>
          <w:szCs w:val="24"/>
          <w:vertAlign w:val="superscript"/>
        </w:rPr>
        <w:t>o</w:t>
      </w:r>
      <w:r w:rsidR="006F48B7" w:rsidRPr="008C40DD">
        <w:rPr>
          <w:b/>
          <w:szCs w:val="24"/>
        </w:rPr>
        <w:t> </w:t>
      </w:r>
      <w:r w:rsidRPr="008C40DD">
        <w:rPr>
          <w:b/>
          <w:szCs w:val="24"/>
        </w:rPr>
        <w:t>16 (Ceintures de sécurité)</w:t>
      </w:r>
    </w:p>
    <w:p w:rsidR="00774522" w:rsidRPr="008C40DD" w:rsidRDefault="00774522" w:rsidP="006F48B7">
      <w:pPr>
        <w:pStyle w:val="HChG"/>
      </w:pPr>
      <w:r w:rsidRPr="008C40DD">
        <w:tab/>
      </w:r>
      <w:r w:rsidRPr="008C40DD">
        <w:tab/>
        <w:t xml:space="preserve">Proposition de série 07 d’amendements au Règlement </w:t>
      </w:r>
      <w:r w:rsidR="006F48B7" w:rsidRPr="008C40DD">
        <w:rPr>
          <w:rFonts w:eastAsia="MS Mincho"/>
        </w:rPr>
        <w:t>n</w:t>
      </w:r>
      <w:r w:rsidR="006F48B7" w:rsidRPr="008C40DD">
        <w:rPr>
          <w:rFonts w:eastAsia="MS Mincho"/>
          <w:vertAlign w:val="superscript"/>
        </w:rPr>
        <w:t>o</w:t>
      </w:r>
      <w:r w:rsidR="006F48B7" w:rsidRPr="008C40DD">
        <w:t> </w:t>
      </w:r>
      <w:r w:rsidRPr="008C40DD">
        <w:t>16 (Ceintures de sécurité)</w:t>
      </w:r>
    </w:p>
    <w:p w:rsidR="00774522" w:rsidRPr="008C40DD" w:rsidRDefault="00774522" w:rsidP="006F48B7">
      <w:pPr>
        <w:pStyle w:val="H1G"/>
      </w:pPr>
      <w:r w:rsidRPr="008C40DD">
        <w:tab/>
      </w:r>
      <w:r w:rsidRPr="008C40DD">
        <w:tab/>
        <w:t>Communication des experts de la France, du Japon, de la République de Corée et de l’Union européenne</w:t>
      </w:r>
      <w:r w:rsidR="006F48B7" w:rsidRPr="008C40DD">
        <w:rPr>
          <w:rStyle w:val="FootnoteReference"/>
          <w:b w:val="0"/>
          <w:bCs/>
          <w:sz w:val="20"/>
          <w:vertAlign w:val="baseline"/>
        </w:rPr>
        <w:footnoteReference w:customMarkFollows="1" w:id="2"/>
        <w:t>*</w:t>
      </w:r>
    </w:p>
    <w:p w:rsidR="00774522" w:rsidRPr="008C40DD" w:rsidRDefault="00774522" w:rsidP="00347B00">
      <w:pPr>
        <w:pStyle w:val="SingleTxtG"/>
        <w:ind w:firstLine="567"/>
        <w:rPr>
          <w:szCs w:val="24"/>
        </w:rPr>
      </w:pPr>
      <w:r w:rsidRPr="008C40DD">
        <w:t xml:space="preserve">Le texte ci-après, établi par les experts de la France, du Japon, de la République de Corée et de l’Union européenne, vise à introduire des dispositions concernant les témoins de port de ceinture sur tous les sièges d’un véhicule. Il est fondé sur le document informel </w:t>
      </w:r>
      <w:r w:rsidRPr="008C40DD">
        <w:rPr>
          <w:szCs w:val="24"/>
        </w:rPr>
        <w:t>GRSP-5</w:t>
      </w:r>
      <w:r w:rsidRPr="008C40DD">
        <w:rPr>
          <w:szCs w:val="24"/>
          <w:lang w:eastAsia="ja-JP"/>
        </w:rPr>
        <w:t>8</w:t>
      </w:r>
      <w:r w:rsidRPr="008C40DD">
        <w:rPr>
          <w:szCs w:val="24"/>
        </w:rPr>
        <w:t>-</w:t>
      </w:r>
      <w:r w:rsidRPr="008C40DD">
        <w:rPr>
          <w:szCs w:val="24"/>
          <w:lang w:eastAsia="ja-JP"/>
        </w:rPr>
        <w:t>29</w:t>
      </w:r>
      <w:r w:rsidRPr="008C40DD">
        <w:rPr>
          <w:szCs w:val="24"/>
        </w:rPr>
        <w:t>-Rev.</w:t>
      </w:r>
      <w:r w:rsidRPr="008C40DD">
        <w:rPr>
          <w:szCs w:val="24"/>
          <w:lang w:eastAsia="ja-JP"/>
        </w:rPr>
        <w:t>1</w:t>
      </w:r>
      <w:r w:rsidRPr="008C40DD">
        <w:rPr>
          <w:szCs w:val="24"/>
        </w:rPr>
        <w:t xml:space="preserve"> distribué lors de la cinquante-huitième session du Groupe de travail de la sécurité passive (GRSP). Les modifications qu’il est proposé d’apporter au texte actuel du Règlement </w:t>
      </w:r>
      <w:r w:rsidR="006F48B7" w:rsidRPr="008C40DD">
        <w:rPr>
          <w:rFonts w:eastAsia="MS Mincho"/>
          <w:szCs w:val="24"/>
        </w:rPr>
        <w:t>n</w:t>
      </w:r>
      <w:r w:rsidR="006F48B7" w:rsidRPr="008C40DD">
        <w:rPr>
          <w:rFonts w:eastAsia="MS Mincho"/>
          <w:szCs w:val="24"/>
          <w:vertAlign w:val="superscript"/>
        </w:rPr>
        <w:t>o</w:t>
      </w:r>
      <w:r w:rsidR="006F48B7" w:rsidRPr="008C40DD">
        <w:rPr>
          <w:szCs w:val="24"/>
        </w:rPr>
        <w:t> </w:t>
      </w:r>
      <w:r w:rsidRPr="008C40DD">
        <w:rPr>
          <w:szCs w:val="24"/>
        </w:rPr>
        <w:t>16 sont indiquées en caractères gras pour les ajouts ou biffés pour les</w:t>
      </w:r>
      <w:r w:rsidR="00347B00">
        <w:rPr>
          <w:szCs w:val="24"/>
        </w:rPr>
        <w:t> </w:t>
      </w:r>
      <w:r w:rsidRPr="008C40DD">
        <w:rPr>
          <w:szCs w:val="24"/>
        </w:rPr>
        <w:t>suppressions.</w:t>
      </w:r>
    </w:p>
    <w:p w:rsidR="00774522" w:rsidRPr="008C40DD" w:rsidRDefault="00774522" w:rsidP="006F48B7">
      <w:pPr>
        <w:pStyle w:val="HChG"/>
        <w:rPr>
          <w:snapToGrid w:val="0"/>
          <w:lang w:eastAsia="ja-JP"/>
        </w:rPr>
      </w:pPr>
      <w:r w:rsidRPr="008C40DD">
        <w:br w:type="page"/>
      </w:r>
      <w:r w:rsidRPr="008C40DD">
        <w:lastRenderedPageBreak/>
        <w:tab/>
        <w:t>I.</w:t>
      </w:r>
      <w:r w:rsidRPr="008C40DD">
        <w:tab/>
      </w:r>
      <w:r w:rsidRPr="008C40DD">
        <w:rPr>
          <w:snapToGrid w:val="0"/>
          <w:lang w:eastAsia="ja-JP"/>
        </w:rPr>
        <w:t>Proposition</w:t>
      </w:r>
    </w:p>
    <w:p w:rsidR="00774522" w:rsidRPr="008C40DD" w:rsidRDefault="00774522" w:rsidP="006F48B7">
      <w:pPr>
        <w:pStyle w:val="SingleTxtG"/>
        <w:rPr>
          <w:lang w:eastAsia="ja-JP"/>
        </w:rPr>
      </w:pPr>
      <w:r w:rsidRPr="008C40DD">
        <w:rPr>
          <w:i/>
          <w:lang w:eastAsia="ja-JP"/>
        </w:rPr>
        <w:t>Paragraphe 1.4</w:t>
      </w:r>
      <w:r w:rsidR="006F48B7" w:rsidRPr="008C40DD">
        <w:rPr>
          <w:iCs/>
          <w:lang w:eastAsia="ja-JP"/>
        </w:rPr>
        <w:t>,</w:t>
      </w:r>
      <w:r w:rsidRPr="008C40DD">
        <w:rPr>
          <w:iCs/>
          <w:lang w:eastAsia="ja-JP"/>
        </w:rPr>
        <w:t xml:space="preserve"> </w:t>
      </w:r>
      <w:r w:rsidRPr="008C40DD">
        <w:rPr>
          <w:lang w:eastAsia="ja-JP"/>
        </w:rPr>
        <w:t>modifier comme suit et supprimer la note de bas de page</w:t>
      </w:r>
      <w:r w:rsidR="006F48B7" w:rsidRPr="008C40DD">
        <w:rPr>
          <w:lang w:eastAsia="ja-JP"/>
        </w:rPr>
        <w:t> </w:t>
      </w:r>
      <w:r w:rsidRPr="008C40DD">
        <w:rPr>
          <w:lang w:eastAsia="ja-JP"/>
        </w:rPr>
        <w:t>:</w:t>
      </w:r>
    </w:p>
    <w:p w:rsidR="00774522" w:rsidRPr="008C40DD" w:rsidRDefault="006F48B7" w:rsidP="006F48B7">
      <w:pPr>
        <w:tabs>
          <w:tab w:val="left" w:pos="2268"/>
        </w:tabs>
        <w:kinsoku/>
        <w:overflowPunct/>
        <w:autoSpaceDE/>
        <w:autoSpaceDN/>
        <w:adjustRightInd/>
        <w:snapToGrid/>
        <w:spacing w:after="120"/>
        <w:ind w:left="2259" w:right="1134" w:hanging="1125"/>
        <w:jc w:val="both"/>
        <w:rPr>
          <w:b/>
          <w:szCs w:val="24"/>
        </w:rPr>
      </w:pPr>
      <w:r w:rsidRPr="008C40DD">
        <w:rPr>
          <w:szCs w:val="24"/>
        </w:rPr>
        <w:t>« </w:t>
      </w:r>
      <w:r w:rsidR="00774522" w:rsidRPr="008C40DD">
        <w:rPr>
          <w:szCs w:val="24"/>
        </w:rPr>
        <w:t>1.4</w:t>
      </w:r>
      <w:r w:rsidR="00774522" w:rsidRPr="008C40DD">
        <w:rPr>
          <w:szCs w:val="24"/>
        </w:rPr>
        <w:tab/>
      </w:r>
      <w:r w:rsidR="00774522" w:rsidRPr="008C40DD">
        <w:rPr>
          <w:b/>
          <w:szCs w:val="24"/>
        </w:rPr>
        <w:t>Toutes les places assises des catégories de véhicules M et N équipées de ceintures de sécurité en ce qui concerne le témoin de port de ceinture</w:t>
      </w:r>
    </w:p>
    <w:p w:rsidR="006F48B7" w:rsidRPr="008C40DD" w:rsidRDefault="00774522" w:rsidP="006F48B7">
      <w:pPr>
        <w:tabs>
          <w:tab w:val="left" w:pos="2268"/>
        </w:tabs>
        <w:kinsoku/>
        <w:overflowPunct/>
        <w:autoSpaceDE/>
        <w:autoSpaceDN/>
        <w:adjustRightInd/>
        <w:snapToGrid/>
        <w:spacing w:after="120"/>
        <w:ind w:left="2250" w:right="1134"/>
        <w:jc w:val="both"/>
        <w:rPr>
          <w:strike/>
          <w:szCs w:val="24"/>
          <w:lang w:eastAsia="ja-JP"/>
        </w:rPr>
      </w:pPr>
      <w:r w:rsidRPr="008C40DD">
        <w:rPr>
          <w:strike/>
          <w:szCs w:val="24"/>
        </w:rPr>
        <w:t>Véhicules de la catégorie M</w:t>
      </w:r>
      <w:r w:rsidRPr="00FB4CCE">
        <w:rPr>
          <w:strike/>
          <w:szCs w:val="24"/>
          <w:vertAlign w:val="subscript"/>
        </w:rPr>
        <w:t>1</w:t>
      </w:r>
      <w:r w:rsidRPr="008C40DD">
        <w:rPr>
          <w:strike/>
          <w:szCs w:val="24"/>
        </w:rPr>
        <w:t xml:space="preserve"> en ce qui concerne le témoin de port de ceinture</w:t>
      </w:r>
      <w:r w:rsidRPr="008C40DD">
        <w:rPr>
          <w:strike/>
          <w:szCs w:val="24"/>
          <w:vertAlign w:val="superscript"/>
        </w:rPr>
        <w:footnoteReference w:customMarkFollows="1" w:id="3"/>
        <w:t>2</w:t>
      </w:r>
      <w:r w:rsidR="006F48B7" w:rsidRPr="008C40DD">
        <w:rPr>
          <w:szCs w:val="24"/>
          <w:lang w:eastAsia="ja-JP"/>
        </w:rPr>
        <w:t> ».</w:t>
      </w:r>
    </w:p>
    <w:p w:rsidR="00774522" w:rsidRPr="008C40DD" w:rsidRDefault="00774522" w:rsidP="006F48B7">
      <w:pPr>
        <w:pStyle w:val="SingleTxtG"/>
        <w:rPr>
          <w:lang w:eastAsia="ja-JP"/>
        </w:rPr>
      </w:pPr>
      <w:r w:rsidRPr="008C40DD">
        <w:rPr>
          <w:i/>
          <w:lang w:eastAsia="ja-JP"/>
        </w:rPr>
        <w:t>Paragraphe 2.41</w:t>
      </w:r>
      <w:r w:rsidRPr="008C40DD">
        <w:rPr>
          <w:lang w:eastAsia="ja-JP"/>
        </w:rPr>
        <w:t>,</w:t>
      </w:r>
      <w:r w:rsidRPr="008C40DD">
        <w:rPr>
          <w:i/>
          <w:lang w:eastAsia="ja-JP"/>
        </w:rPr>
        <w:t xml:space="preserve"> </w:t>
      </w:r>
      <w:r w:rsidRPr="008C40DD">
        <w:rPr>
          <w:lang w:eastAsia="ja-JP"/>
        </w:rPr>
        <w:t>modifier comme suit</w:t>
      </w:r>
      <w:r w:rsidR="006F48B7" w:rsidRPr="008C40DD">
        <w:rPr>
          <w:lang w:eastAsia="ja-JP"/>
        </w:rPr>
        <w:t> </w:t>
      </w:r>
      <w:r w:rsidRPr="008C40DD">
        <w:rPr>
          <w:lang w:eastAsia="ja-JP"/>
        </w:rPr>
        <w:t>:</w:t>
      </w:r>
    </w:p>
    <w:p w:rsidR="00774522" w:rsidRPr="008C40DD" w:rsidRDefault="006F48B7" w:rsidP="00774522">
      <w:pPr>
        <w:kinsoku/>
        <w:overflowPunct/>
        <w:autoSpaceDE/>
        <w:autoSpaceDN/>
        <w:adjustRightInd/>
        <w:snapToGrid/>
        <w:spacing w:after="120"/>
        <w:ind w:left="2268" w:right="1134" w:hanging="1134"/>
        <w:jc w:val="both"/>
        <w:rPr>
          <w:szCs w:val="24"/>
        </w:rPr>
      </w:pPr>
      <w:r w:rsidRPr="008C40DD">
        <w:rPr>
          <w:szCs w:val="24"/>
        </w:rPr>
        <w:t>« </w:t>
      </w:r>
      <w:r w:rsidR="00774522" w:rsidRPr="008C40DD">
        <w:rPr>
          <w:szCs w:val="24"/>
        </w:rPr>
        <w:t>2.41</w:t>
      </w:r>
      <w:r w:rsidR="00774522" w:rsidRPr="008C40DD">
        <w:rPr>
          <w:szCs w:val="24"/>
        </w:rPr>
        <w:tab/>
        <w:t>“</w:t>
      </w:r>
      <w:r w:rsidR="00774522" w:rsidRPr="008C40DD">
        <w:rPr>
          <w:i/>
          <w:szCs w:val="24"/>
        </w:rPr>
        <w:t>Témoin de port de ceinture</w:t>
      </w:r>
      <w:r w:rsidR="00774522" w:rsidRPr="008C40DD">
        <w:rPr>
          <w:szCs w:val="24"/>
        </w:rPr>
        <w:t xml:space="preserve">” désigne un système destiné à alerter le conducteur </w:t>
      </w:r>
      <w:r w:rsidR="00774522" w:rsidRPr="008C40DD">
        <w:rPr>
          <w:strike/>
          <w:szCs w:val="24"/>
        </w:rPr>
        <w:t>lorsqu’il</w:t>
      </w:r>
      <w:r w:rsidR="00774522" w:rsidRPr="008C40DD">
        <w:rPr>
          <w:szCs w:val="24"/>
        </w:rPr>
        <w:t xml:space="preserve"> </w:t>
      </w:r>
      <w:r w:rsidR="00774522" w:rsidRPr="008C40DD">
        <w:rPr>
          <w:b/>
          <w:szCs w:val="24"/>
        </w:rPr>
        <w:t>lorsque l’un des occupants</w:t>
      </w:r>
      <w:r w:rsidR="00774522" w:rsidRPr="008C40DD">
        <w:rPr>
          <w:szCs w:val="24"/>
        </w:rPr>
        <w:t xml:space="preserve"> n’utilise pas sa ceinture de sécurité. Le système détecte le non bouclage de la ceinture et offre deux niveaux d’avertissement au conducteur</w:t>
      </w:r>
      <w:r w:rsidR="00FB4CCE">
        <w:rPr>
          <w:szCs w:val="24"/>
        </w:rPr>
        <w:t> </w:t>
      </w:r>
      <w:r w:rsidR="00774522" w:rsidRPr="008C40DD">
        <w:rPr>
          <w:szCs w:val="24"/>
        </w:rPr>
        <w:t>: un premier niveau d’alerte et un second niveau d’alerte.</w:t>
      </w:r>
      <w:r w:rsidRPr="008C40DD">
        <w:rPr>
          <w:szCs w:val="24"/>
        </w:rPr>
        <w:t> »</w:t>
      </w:r>
      <w:r w:rsidR="00774522" w:rsidRPr="008C40DD">
        <w:rPr>
          <w:szCs w:val="24"/>
        </w:rPr>
        <w:t>.</w:t>
      </w:r>
    </w:p>
    <w:p w:rsidR="00774522" w:rsidRPr="008C40DD" w:rsidRDefault="00774522" w:rsidP="00774522">
      <w:pPr>
        <w:kinsoku/>
        <w:overflowPunct/>
        <w:autoSpaceDE/>
        <w:autoSpaceDN/>
        <w:adjustRightInd/>
        <w:snapToGrid/>
        <w:spacing w:after="120"/>
        <w:ind w:left="2250" w:right="1134" w:hanging="1116"/>
        <w:jc w:val="both"/>
        <w:rPr>
          <w:szCs w:val="24"/>
          <w:lang w:eastAsia="ja-JP"/>
        </w:rPr>
      </w:pPr>
      <w:r w:rsidRPr="008C40DD">
        <w:rPr>
          <w:i/>
          <w:szCs w:val="24"/>
          <w:lang w:eastAsia="ja-JP"/>
        </w:rPr>
        <w:t>Paragraphes 2.44 à 2.46</w:t>
      </w:r>
      <w:r w:rsidRPr="008C40DD">
        <w:rPr>
          <w:szCs w:val="24"/>
          <w:lang w:eastAsia="ja-JP"/>
        </w:rPr>
        <w:t>,</w:t>
      </w:r>
      <w:r w:rsidRPr="008C40DD">
        <w:rPr>
          <w:i/>
          <w:szCs w:val="24"/>
          <w:lang w:eastAsia="ja-JP"/>
        </w:rPr>
        <w:t xml:space="preserve"> </w:t>
      </w:r>
      <w:r w:rsidRPr="008C40DD">
        <w:rPr>
          <w:szCs w:val="24"/>
          <w:lang w:eastAsia="ja-JP"/>
        </w:rPr>
        <w:t>modifier comme suit</w:t>
      </w:r>
      <w:r w:rsidR="006F48B7" w:rsidRPr="008C40DD">
        <w:rPr>
          <w:szCs w:val="24"/>
          <w:lang w:eastAsia="ja-JP"/>
        </w:rPr>
        <w:t> </w:t>
      </w:r>
      <w:r w:rsidRPr="008C40DD">
        <w:rPr>
          <w:szCs w:val="24"/>
          <w:lang w:eastAsia="ja-JP"/>
        </w:rPr>
        <w:t>:</w:t>
      </w:r>
    </w:p>
    <w:p w:rsidR="00774522" w:rsidRPr="008C40DD" w:rsidRDefault="006F48B7" w:rsidP="006F48B7">
      <w:pPr>
        <w:kinsoku/>
        <w:overflowPunct/>
        <w:autoSpaceDE/>
        <w:autoSpaceDN/>
        <w:adjustRightInd/>
        <w:snapToGrid/>
        <w:spacing w:after="120"/>
        <w:ind w:left="2268" w:right="1134" w:hanging="1134"/>
        <w:jc w:val="both"/>
        <w:rPr>
          <w:strike/>
          <w:szCs w:val="24"/>
        </w:rPr>
      </w:pPr>
      <w:r w:rsidRPr="008C40DD">
        <w:rPr>
          <w:szCs w:val="24"/>
        </w:rPr>
        <w:t>« </w:t>
      </w:r>
      <w:r w:rsidR="00774522" w:rsidRPr="008C40DD">
        <w:rPr>
          <w:szCs w:val="24"/>
        </w:rPr>
        <w:t>2.44</w:t>
      </w:r>
      <w:r w:rsidR="00774522" w:rsidRPr="008C40DD">
        <w:rPr>
          <w:szCs w:val="24"/>
        </w:rPr>
        <w:tab/>
      </w:r>
      <w:r w:rsidRPr="008C40DD">
        <w:rPr>
          <w:szCs w:val="24"/>
        </w:rPr>
        <w:t>“</w:t>
      </w:r>
      <w:r w:rsidR="00774522" w:rsidRPr="008C40DD">
        <w:rPr>
          <w:i/>
          <w:szCs w:val="24"/>
        </w:rPr>
        <w:t>Alerte de premier niveau</w:t>
      </w:r>
      <w:r w:rsidRPr="008C40DD">
        <w:rPr>
          <w:szCs w:val="24"/>
        </w:rPr>
        <w:t>”</w:t>
      </w:r>
      <w:r w:rsidR="00774522" w:rsidRPr="008C40DD">
        <w:rPr>
          <w:szCs w:val="24"/>
        </w:rPr>
        <w:t xml:space="preserve"> désigne une alerte visuelle qui est activée à la mise sous contact </w:t>
      </w:r>
      <w:r w:rsidR="00774522" w:rsidRPr="008C40DD">
        <w:rPr>
          <w:b/>
          <w:szCs w:val="24"/>
        </w:rPr>
        <w:t>ou lorsque le commutateur de contact du véhicule est activé</w:t>
      </w:r>
      <w:r w:rsidR="00774522" w:rsidRPr="008C40DD">
        <w:rPr>
          <w:szCs w:val="24"/>
        </w:rPr>
        <w:t xml:space="preserve"> </w:t>
      </w:r>
      <w:r w:rsidR="00774522" w:rsidRPr="008C40DD">
        <w:rPr>
          <w:strike/>
          <w:szCs w:val="24"/>
        </w:rPr>
        <w:t>(moteur arrêté ou moteur tournant) lorsque</w:t>
      </w:r>
      <w:r w:rsidR="00774522" w:rsidRPr="008C40DD">
        <w:rPr>
          <w:szCs w:val="24"/>
        </w:rPr>
        <w:t xml:space="preserve"> et que la ceinture </w:t>
      </w:r>
      <w:r w:rsidR="00774522" w:rsidRPr="008C40DD">
        <w:rPr>
          <w:strike/>
          <w:szCs w:val="24"/>
        </w:rPr>
        <w:t>du conducteur</w:t>
      </w:r>
      <w:r w:rsidR="00774522" w:rsidRPr="008C40DD">
        <w:rPr>
          <w:szCs w:val="24"/>
        </w:rPr>
        <w:t xml:space="preserve"> </w:t>
      </w:r>
      <w:r w:rsidR="00774522" w:rsidRPr="008C40DD">
        <w:rPr>
          <w:b/>
          <w:szCs w:val="24"/>
        </w:rPr>
        <w:t>de l’un au moins un des occupants</w:t>
      </w:r>
      <w:r w:rsidR="00774522" w:rsidRPr="008C40DD">
        <w:rPr>
          <w:szCs w:val="24"/>
        </w:rPr>
        <w:t xml:space="preserve"> n’est pas bouclée.</w:t>
      </w:r>
    </w:p>
    <w:p w:rsidR="00774522" w:rsidRPr="008C40DD" w:rsidRDefault="00774522" w:rsidP="00774522">
      <w:pPr>
        <w:kinsoku/>
        <w:overflowPunct/>
        <w:autoSpaceDE/>
        <w:autoSpaceDN/>
        <w:adjustRightInd/>
        <w:snapToGrid/>
        <w:spacing w:after="120"/>
        <w:ind w:left="2268" w:right="1134" w:hanging="1134"/>
        <w:jc w:val="both"/>
        <w:rPr>
          <w:szCs w:val="24"/>
        </w:rPr>
      </w:pPr>
      <w:r w:rsidRPr="008C40DD">
        <w:rPr>
          <w:szCs w:val="24"/>
        </w:rPr>
        <w:t>2.45</w:t>
      </w:r>
      <w:r w:rsidRPr="008C40DD">
        <w:rPr>
          <w:szCs w:val="24"/>
        </w:rPr>
        <w:tab/>
        <w:t>“</w:t>
      </w:r>
      <w:r w:rsidRPr="008C40DD">
        <w:rPr>
          <w:i/>
          <w:szCs w:val="24"/>
        </w:rPr>
        <w:t>Alerte de deuxième niveau</w:t>
      </w:r>
      <w:r w:rsidRPr="008C40DD">
        <w:rPr>
          <w:szCs w:val="24"/>
        </w:rPr>
        <w:t xml:space="preserve">” désigne une alerte visuelle et sonore qui est activée lorsque </w:t>
      </w:r>
      <w:r w:rsidRPr="008C40DD">
        <w:rPr>
          <w:strike/>
          <w:szCs w:val="24"/>
        </w:rPr>
        <w:t>le conducteur conduit son</w:t>
      </w:r>
      <w:r w:rsidRPr="008C40DD">
        <w:rPr>
          <w:szCs w:val="24"/>
        </w:rPr>
        <w:t xml:space="preserve"> </w:t>
      </w:r>
      <w:r w:rsidRPr="008C40DD">
        <w:rPr>
          <w:b/>
          <w:szCs w:val="24"/>
        </w:rPr>
        <w:t>le véhicule roule</w:t>
      </w:r>
      <w:r w:rsidRPr="008C40DD">
        <w:rPr>
          <w:szCs w:val="24"/>
        </w:rPr>
        <w:t xml:space="preserve"> sans </w:t>
      </w:r>
      <w:r w:rsidRPr="008C40DD">
        <w:rPr>
          <w:strike/>
          <w:szCs w:val="24"/>
        </w:rPr>
        <w:t>avoir</w:t>
      </w:r>
      <w:r w:rsidRPr="008C40DD">
        <w:rPr>
          <w:szCs w:val="24"/>
        </w:rPr>
        <w:t xml:space="preserve"> </w:t>
      </w:r>
      <w:r w:rsidRPr="008C40DD">
        <w:rPr>
          <w:b/>
          <w:szCs w:val="24"/>
        </w:rPr>
        <w:t xml:space="preserve">que l’un au moins des occupants ait </w:t>
      </w:r>
      <w:r w:rsidRPr="008C40DD">
        <w:rPr>
          <w:szCs w:val="24"/>
        </w:rPr>
        <w:t>bouclé sa ceinture de sécurité.</w:t>
      </w:r>
    </w:p>
    <w:p w:rsidR="00774522" w:rsidRPr="008C40DD" w:rsidRDefault="00774522" w:rsidP="006F48B7">
      <w:pPr>
        <w:kinsoku/>
        <w:overflowPunct/>
        <w:autoSpaceDE/>
        <w:autoSpaceDN/>
        <w:adjustRightInd/>
        <w:snapToGrid/>
        <w:spacing w:after="120"/>
        <w:ind w:left="2268" w:right="1134" w:hanging="1134"/>
        <w:jc w:val="both"/>
        <w:rPr>
          <w:szCs w:val="24"/>
        </w:rPr>
      </w:pPr>
      <w:r w:rsidRPr="008C40DD">
        <w:rPr>
          <w:szCs w:val="24"/>
        </w:rPr>
        <w:t>2.46</w:t>
      </w:r>
      <w:r w:rsidRPr="008C40DD">
        <w:rPr>
          <w:szCs w:val="24"/>
        </w:rPr>
        <w:tab/>
        <w:t>“</w:t>
      </w:r>
      <w:r w:rsidRPr="008C40DD">
        <w:rPr>
          <w:i/>
          <w:iCs/>
          <w:szCs w:val="24"/>
        </w:rPr>
        <w:t>Ceinture de sécurité non bouclée</w:t>
      </w:r>
      <w:r w:rsidRPr="008C40DD">
        <w:rPr>
          <w:szCs w:val="24"/>
        </w:rPr>
        <w:t xml:space="preserve">” signifie, au choix du constructeur, soit que la boucle de la ceinture </w:t>
      </w:r>
      <w:r w:rsidRPr="008C40DD">
        <w:rPr>
          <w:b/>
          <w:szCs w:val="24"/>
        </w:rPr>
        <w:t>de l’un au moins des occupants</w:t>
      </w:r>
      <w:r w:rsidRPr="008C40DD">
        <w:rPr>
          <w:szCs w:val="24"/>
        </w:rPr>
        <w:t xml:space="preserve"> n’est pas engagée soit que la longueur de sangle sortie de l’enrouleu</w:t>
      </w:r>
      <w:r w:rsidR="006F48B7" w:rsidRPr="008C40DD">
        <w:rPr>
          <w:szCs w:val="24"/>
        </w:rPr>
        <w:t>r est inférieure ou égale à 100 </w:t>
      </w:r>
      <w:r w:rsidRPr="008C40DD">
        <w:rPr>
          <w:szCs w:val="24"/>
        </w:rPr>
        <w:t>mm.</w:t>
      </w:r>
      <w:r w:rsidR="006F48B7" w:rsidRPr="008C40DD">
        <w:rPr>
          <w:szCs w:val="24"/>
        </w:rPr>
        <w:t> »</w:t>
      </w:r>
      <w:r w:rsidRPr="008C40DD">
        <w:rPr>
          <w:szCs w:val="24"/>
        </w:rPr>
        <w:t>.</w:t>
      </w:r>
    </w:p>
    <w:p w:rsidR="00774522" w:rsidRPr="008C40DD" w:rsidRDefault="00774522" w:rsidP="00774522">
      <w:pPr>
        <w:kinsoku/>
        <w:overflowPunct/>
        <w:autoSpaceDE/>
        <w:autoSpaceDN/>
        <w:adjustRightInd/>
        <w:snapToGrid/>
        <w:spacing w:after="120"/>
        <w:ind w:left="2250" w:right="1134" w:hanging="1116"/>
        <w:jc w:val="both"/>
        <w:rPr>
          <w:szCs w:val="24"/>
          <w:lang w:eastAsia="ja-JP"/>
        </w:rPr>
      </w:pPr>
      <w:r w:rsidRPr="008C40DD">
        <w:rPr>
          <w:i/>
          <w:szCs w:val="24"/>
          <w:lang w:eastAsia="ja-JP"/>
        </w:rPr>
        <w:t>Paragraphe 5.2.2</w:t>
      </w:r>
      <w:r w:rsidRPr="008C40DD">
        <w:rPr>
          <w:iCs/>
          <w:szCs w:val="24"/>
          <w:lang w:eastAsia="ja-JP"/>
        </w:rPr>
        <w:t>,</w:t>
      </w:r>
      <w:r w:rsidRPr="008C40DD">
        <w:rPr>
          <w:i/>
          <w:szCs w:val="24"/>
          <w:lang w:eastAsia="ja-JP"/>
        </w:rPr>
        <w:t xml:space="preserve"> </w:t>
      </w:r>
      <w:r w:rsidRPr="008C40DD">
        <w:rPr>
          <w:szCs w:val="24"/>
          <w:lang w:eastAsia="ja-JP"/>
        </w:rPr>
        <w:t>modifier comme suit</w:t>
      </w:r>
      <w:r w:rsidR="006F48B7" w:rsidRPr="008C40DD">
        <w:rPr>
          <w:szCs w:val="24"/>
          <w:lang w:eastAsia="ja-JP"/>
        </w:rPr>
        <w:t> </w:t>
      </w:r>
      <w:r w:rsidRPr="008C40DD">
        <w:rPr>
          <w:szCs w:val="24"/>
          <w:lang w:eastAsia="ja-JP"/>
        </w:rPr>
        <w:t>:</w:t>
      </w:r>
    </w:p>
    <w:p w:rsidR="00774522" w:rsidRPr="008C40DD" w:rsidRDefault="006F48B7" w:rsidP="006F48B7">
      <w:pPr>
        <w:kinsoku/>
        <w:overflowPunct/>
        <w:autoSpaceDE/>
        <w:autoSpaceDN/>
        <w:adjustRightInd/>
        <w:snapToGrid/>
        <w:spacing w:after="120"/>
        <w:ind w:left="2268" w:right="1134" w:hanging="1134"/>
        <w:jc w:val="both"/>
        <w:rPr>
          <w:szCs w:val="24"/>
          <w:lang w:eastAsia="ja-JP"/>
        </w:rPr>
      </w:pPr>
      <w:r w:rsidRPr="008C40DD">
        <w:rPr>
          <w:szCs w:val="24"/>
          <w:lang w:eastAsia="ja-JP"/>
        </w:rPr>
        <w:t>« </w:t>
      </w:r>
      <w:r w:rsidR="00774522" w:rsidRPr="008C40DD">
        <w:rPr>
          <w:szCs w:val="24"/>
          <w:lang w:eastAsia="ja-JP"/>
        </w:rPr>
        <w:t>5.2.2</w:t>
      </w:r>
      <w:r w:rsidR="00774522" w:rsidRPr="008C40DD">
        <w:rPr>
          <w:szCs w:val="24"/>
        </w:rPr>
        <w:tab/>
        <w:t xml:space="preserve">Chaque homologation comporte l’attribution d’un numéro d’homologation, dont les deux premiers chiffres (actuellement </w:t>
      </w:r>
      <w:r w:rsidR="00774522" w:rsidRPr="008C40DD">
        <w:rPr>
          <w:strike/>
          <w:szCs w:val="24"/>
        </w:rPr>
        <w:t>06</w:t>
      </w:r>
      <w:r w:rsidR="00774522" w:rsidRPr="008C40DD">
        <w:rPr>
          <w:b/>
          <w:szCs w:val="24"/>
        </w:rPr>
        <w:t>07</w:t>
      </w:r>
      <w:r w:rsidR="00774522" w:rsidRPr="008C40DD">
        <w:rPr>
          <w:szCs w:val="24"/>
        </w:rPr>
        <w:t xml:space="preserve"> correspondant à la série d’amendements </w:t>
      </w:r>
      <w:r w:rsidR="00774522" w:rsidRPr="008C40DD">
        <w:rPr>
          <w:strike/>
          <w:szCs w:val="24"/>
        </w:rPr>
        <w:t>06</w:t>
      </w:r>
      <w:r w:rsidR="00774522" w:rsidRPr="008C40DD">
        <w:rPr>
          <w:b/>
          <w:szCs w:val="24"/>
        </w:rPr>
        <w:t>07</w:t>
      </w:r>
      <w:r w:rsidR="00774522" w:rsidRPr="008C40DD">
        <w:rPr>
          <w:szCs w:val="24"/>
        </w:rPr>
        <w:t>) indiquent la série d’amendements</w:t>
      </w:r>
      <w:r w:rsidRPr="008C40DD">
        <w:rPr>
          <w:szCs w:val="24"/>
          <w:lang w:eastAsia="ja-JP"/>
        </w:rPr>
        <w:t>… »</w:t>
      </w:r>
      <w:r w:rsidR="00774522" w:rsidRPr="008C40DD">
        <w:rPr>
          <w:szCs w:val="24"/>
          <w:lang w:eastAsia="ja-JP"/>
        </w:rPr>
        <w:t>.</w:t>
      </w:r>
    </w:p>
    <w:p w:rsidR="00774522" w:rsidRPr="008C40DD" w:rsidRDefault="00774522" w:rsidP="00774522">
      <w:pPr>
        <w:kinsoku/>
        <w:overflowPunct/>
        <w:autoSpaceDE/>
        <w:autoSpaceDN/>
        <w:adjustRightInd/>
        <w:snapToGrid/>
        <w:spacing w:after="120"/>
        <w:ind w:left="2268" w:right="1134" w:hanging="1134"/>
        <w:jc w:val="both"/>
        <w:rPr>
          <w:bCs/>
          <w:szCs w:val="24"/>
          <w:lang w:eastAsia="ja-JP"/>
        </w:rPr>
      </w:pPr>
      <w:r w:rsidRPr="008C40DD">
        <w:rPr>
          <w:bCs/>
          <w:i/>
          <w:szCs w:val="24"/>
          <w:lang w:eastAsia="en-GB"/>
        </w:rPr>
        <w:t>Paragraphes 8.4.1</w:t>
      </w:r>
      <w:r w:rsidRPr="008C40DD">
        <w:rPr>
          <w:bCs/>
          <w:szCs w:val="24"/>
          <w:lang w:eastAsia="en-GB"/>
        </w:rPr>
        <w:t xml:space="preserve"> </w:t>
      </w:r>
      <w:r w:rsidRPr="008C40DD">
        <w:rPr>
          <w:bCs/>
          <w:i/>
          <w:szCs w:val="24"/>
          <w:lang w:eastAsia="en-GB"/>
        </w:rPr>
        <w:t>à</w:t>
      </w:r>
      <w:r w:rsidRPr="008C40DD">
        <w:rPr>
          <w:bCs/>
          <w:szCs w:val="24"/>
          <w:lang w:eastAsia="en-GB"/>
        </w:rPr>
        <w:t xml:space="preserve"> </w:t>
      </w:r>
      <w:r w:rsidRPr="008C40DD">
        <w:rPr>
          <w:bCs/>
          <w:i/>
          <w:szCs w:val="24"/>
          <w:lang w:eastAsia="en-GB"/>
        </w:rPr>
        <w:t>8.4.1.1</w:t>
      </w:r>
      <w:r w:rsidRPr="008C40DD">
        <w:rPr>
          <w:bCs/>
          <w:szCs w:val="24"/>
          <w:lang w:eastAsia="en-GB"/>
        </w:rPr>
        <w:t>, supprimer</w:t>
      </w:r>
      <w:r w:rsidRPr="008C40DD">
        <w:rPr>
          <w:bCs/>
          <w:szCs w:val="24"/>
          <w:lang w:eastAsia="ja-JP"/>
        </w:rPr>
        <w:t>.</w:t>
      </w:r>
    </w:p>
    <w:p w:rsidR="00774522" w:rsidRPr="008C40DD" w:rsidRDefault="00774522" w:rsidP="00774522">
      <w:pPr>
        <w:kinsoku/>
        <w:overflowPunct/>
        <w:autoSpaceDE/>
        <w:autoSpaceDN/>
        <w:adjustRightInd/>
        <w:snapToGrid/>
        <w:spacing w:after="120"/>
        <w:ind w:left="2268" w:right="1134" w:hanging="1134"/>
        <w:jc w:val="both"/>
        <w:rPr>
          <w:bCs/>
          <w:szCs w:val="24"/>
          <w:lang w:eastAsia="en-GB"/>
        </w:rPr>
      </w:pPr>
      <w:r w:rsidRPr="008C40DD">
        <w:rPr>
          <w:bCs/>
          <w:i/>
          <w:szCs w:val="24"/>
          <w:lang w:eastAsia="en-GB"/>
        </w:rPr>
        <w:t>Ajouter de nouveaux paragraphes 8.4.1 à 8.4.1.</w:t>
      </w:r>
      <w:r w:rsidRPr="008C40DD">
        <w:rPr>
          <w:bCs/>
          <w:i/>
          <w:szCs w:val="24"/>
          <w:lang w:eastAsia="ja-JP"/>
        </w:rPr>
        <w:t>3</w:t>
      </w:r>
      <w:r w:rsidRPr="008C40DD">
        <w:rPr>
          <w:bCs/>
          <w:szCs w:val="24"/>
          <w:lang w:eastAsia="en-GB"/>
        </w:rPr>
        <w:t>, ainsi conçu</w:t>
      </w:r>
      <w:r w:rsidR="006F48B7" w:rsidRPr="008C40DD">
        <w:rPr>
          <w:bCs/>
          <w:szCs w:val="24"/>
          <w:lang w:eastAsia="en-GB"/>
        </w:rPr>
        <w:t> </w:t>
      </w:r>
      <w:r w:rsidRPr="008C40DD">
        <w:rPr>
          <w:bCs/>
          <w:szCs w:val="24"/>
          <w:lang w:eastAsia="en-GB"/>
        </w:rPr>
        <w:t>:</w:t>
      </w:r>
    </w:p>
    <w:p w:rsidR="00774522" w:rsidRPr="008C40DD" w:rsidRDefault="006F48B7" w:rsidP="00774522">
      <w:pPr>
        <w:kinsoku/>
        <w:overflowPunct/>
        <w:autoSpaceDE/>
        <w:autoSpaceDN/>
        <w:adjustRightInd/>
        <w:snapToGrid/>
        <w:spacing w:after="120"/>
        <w:ind w:left="2268" w:right="1134" w:hanging="1134"/>
        <w:jc w:val="both"/>
        <w:rPr>
          <w:b/>
          <w:bCs/>
          <w:szCs w:val="24"/>
          <w:lang w:eastAsia="en-GB"/>
        </w:rPr>
      </w:pPr>
      <w:r w:rsidRPr="008C40DD">
        <w:rPr>
          <w:szCs w:val="24"/>
          <w:lang w:eastAsia="en-GB"/>
        </w:rPr>
        <w:t>« </w:t>
      </w:r>
      <w:r w:rsidR="00774522" w:rsidRPr="008C40DD">
        <w:rPr>
          <w:b/>
          <w:bCs/>
          <w:szCs w:val="24"/>
          <w:lang w:eastAsia="en-GB"/>
        </w:rPr>
        <w:t>8.4.1</w:t>
      </w:r>
      <w:r w:rsidR="00774522" w:rsidRPr="008C40DD">
        <w:rPr>
          <w:b/>
          <w:bCs/>
          <w:szCs w:val="24"/>
          <w:lang w:eastAsia="en-GB"/>
        </w:rPr>
        <w:tab/>
        <w:t>Prescriptions applicables à certaines places assises et dérogations</w:t>
      </w:r>
    </w:p>
    <w:p w:rsidR="00774522" w:rsidRPr="008C40DD" w:rsidRDefault="00774522" w:rsidP="006F48B7">
      <w:pPr>
        <w:kinsoku/>
        <w:overflowPunct/>
        <w:autoSpaceDE/>
        <w:autoSpaceDN/>
        <w:adjustRightInd/>
        <w:snapToGrid/>
        <w:spacing w:after="120"/>
        <w:ind w:left="2268" w:right="1134" w:hanging="1134"/>
        <w:jc w:val="both"/>
        <w:rPr>
          <w:bCs/>
          <w:szCs w:val="24"/>
          <w:lang w:eastAsia="ja-JP"/>
        </w:rPr>
      </w:pPr>
      <w:r w:rsidRPr="008C40DD">
        <w:rPr>
          <w:b/>
          <w:bCs/>
          <w:szCs w:val="24"/>
          <w:lang w:eastAsia="en-GB"/>
        </w:rPr>
        <w:t>8.4.1.1</w:t>
      </w:r>
      <w:r w:rsidRPr="008C40DD">
        <w:rPr>
          <w:b/>
          <w:bCs/>
          <w:szCs w:val="24"/>
          <w:lang w:eastAsia="en-GB"/>
        </w:rPr>
        <w:tab/>
      </w:r>
      <w:r w:rsidRPr="008C40DD">
        <w:rPr>
          <w:b/>
          <w:bCs/>
          <w:szCs w:val="24"/>
          <w:lang w:eastAsia="en-GB"/>
        </w:rPr>
        <w:tab/>
        <w:t>Le siège du conducteur d’un véhicule de catégorie M ou NB</w:t>
      </w:r>
      <w:r w:rsidRPr="00FB4CCE">
        <w:rPr>
          <w:b/>
          <w:bCs/>
          <w:sz w:val="18"/>
          <w:szCs w:val="18"/>
          <w:vertAlign w:val="superscript"/>
          <w:lang w:eastAsia="ja-JP"/>
        </w:rPr>
        <w:footnoteReference w:customMarkFollows="1" w:id="4"/>
        <w:t>10</w:t>
      </w:r>
      <w:r w:rsidRPr="008C40DD">
        <w:t xml:space="preserve"> </w:t>
      </w:r>
      <w:r w:rsidRPr="008C40DD">
        <w:rPr>
          <w:b/>
          <w:bCs/>
          <w:szCs w:val="24"/>
          <w:lang w:eastAsia="en-GB"/>
        </w:rPr>
        <w:t>ainsi que ceux des occupants qui sont dans la même rangée que le conducteur d’un véhicule de catégorie M ou N doivent être équipés d’un témoin de port de ceinture conforme aux prescriptions du paragraphe 8.4.2.</w:t>
      </w:r>
    </w:p>
    <w:p w:rsidR="00774522" w:rsidRPr="008C40DD" w:rsidRDefault="00774522" w:rsidP="00774522">
      <w:pPr>
        <w:kinsoku/>
        <w:overflowPunct/>
        <w:autoSpaceDE/>
        <w:autoSpaceDN/>
        <w:adjustRightInd/>
        <w:snapToGrid/>
        <w:spacing w:after="120"/>
        <w:ind w:left="2268" w:right="1134" w:hanging="1134"/>
        <w:jc w:val="both"/>
        <w:rPr>
          <w:rFonts w:ascii="TimesNewRomanPS-ItalicMT" w:hAnsi="TimesNewRomanPS-ItalicMT" w:cs="TimesNewRomanPS-ItalicMT"/>
          <w:b/>
          <w:iCs/>
          <w:szCs w:val="24"/>
          <w:lang w:eastAsia="ja-JP"/>
        </w:rPr>
      </w:pPr>
      <w:r w:rsidRPr="008C40DD">
        <w:rPr>
          <w:rFonts w:ascii="TimesNewRomanPS-ItalicMT" w:hAnsi="TimesNewRomanPS-ItalicMT" w:cs="TimesNewRomanPS-ItalicMT"/>
          <w:b/>
          <w:iCs/>
          <w:szCs w:val="24"/>
          <w:lang w:eastAsia="ja-JP"/>
        </w:rPr>
        <w:lastRenderedPageBreak/>
        <w:t>8.4.1.2</w:t>
      </w:r>
      <w:r w:rsidRPr="008C40DD">
        <w:rPr>
          <w:rFonts w:ascii="TimesNewRomanPS-ItalicMT" w:hAnsi="TimesNewRomanPS-ItalicMT" w:cs="TimesNewRomanPS-ItalicMT"/>
          <w:b/>
          <w:iCs/>
          <w:szCs w:val="24"/>
          <w:lang w:eastAsia="ja-JP"/>
        </w:rPr>
        <w:tab/>
        <w:t>Toutes les places assises de la ou des rangée(s) de sièges arrière des catégories de véhicules</w:t>
      </w:r>
      <w:r w:rsidRPr="008C40DD">
        <w:rPr>
          <w:rFonts w:ascii="TimesNewRomanPS-ItalicMT" w:hAnsi="TimesNewRomanPS-ItalicMT" w:cs="TimesNewRomanPS-ItalicMT"/>
          <w:b/>
          <w:iCs/>
          <w:szCs w:val="24"/>
          <w:vertAlign w:val="superscript"/>
          <w:lang w:eastAsia="ja-JP"/>
        </w:rPr>
        <w:t>10</w:t>
      </w:r>
      <w:r w:rsidRPr="008C40DD">
        <w:rPr>
          <w:rFonts w:ascii="TimesNewRomanPS-ItalicMT" w:hAnsi="TimesNewRomanPS-ItalicMT" w:cs="TimesNewRomanPS-ItalicMT"/>
          <w:b/>
          <w:iCs/>
          <w:szCs w:val="24"/>
          <w:lang w:eastAsia="ja-JP"/>
        </w:rPr>
        <w:t xml:space="preserve"> des catégories M</w:t>
      </w:r>
      <w:r w:rsidRPr="008C40DD">
        <w:rPr>
          <w:rFonts w:ascii="TimesNewRomanPS-ItalicMT" w:hAnsi="TimesNewRomanPS-ItalicMT" w:cs="TimesNewRomanPS-ItalicMT"/>
          <w:b/>
          <w:iCs/>
          <w:szCs w:val="24"/>
          <w:vertAlign w:val="subscript"/>
          <w:lang w:eastAsia="ja-JP"/>
        </w:rPr>
        <w:t>1</w:t>
      </w:r>
      <w:r w:rsidRPr="008C40DD">
        <w:rPr>
          <w:rFonts w:ascii="TimesNewRomanPS-ItalicMT" w:hAnsi="TimesNewRomanPS-ItalicMT" w:cs="TimesNewRomanPS-ItalicMT"/>
          <w:b/>
          <w:iCs/>
          <w:szCs w:val="24"/>
          <w:lang w:eastAsia="ja-JP"/>
        </w:rPr>
        <w:t xml:space="preserve"> et N</w:t>
      </w:r>
      <w:r w:rsidRPr="008C40DD">
        <w:rPr>
          <w:rFonts w:ascii="TimesNewRomanPS-ItalicMT" w:hAnsi="TimesNewRomanPS-ItalicMT" w:cs="TimesNewRomanPS-ItalicMT"/>
          <w:b/>
          <w:iCs/>
          <w:szCs w:val="24"/>
          <w:vertAlign w:val="subscript"/>
          <w:lang w:eastAsia="ja-JP"/>
        </w:rPr>
        <w:t>1</w:t>
      </w:r>
      <w:r w:rsidRPr="008C40DD">
        <w:rPr>
          <w:rFonts w:ascii="TimesNewRomanPS-ItalicMT" w:hAnsi="TimesNewRomanPS-ItalicMT" w:cs="TimesNewRomanPS-ItalicMT"/>
          <w:b/>
          <w:iCs/>
          <w:szCs w:val="24"/>
          <w:lang w:eastAsia="ja-JP"/>
        </w:rPr>
        <w:t xml:space="preserve"> doivent être équipées d’un système témoin de port de ceinture satisfaisant aux prescriptions du paragraphe 8.4.2.</w:t>
      </w:r>
    </w:p>
    <w:p w:rsidR="00774522" w:rsidRPr="008C40DD" w:rsidRDefault="00774522" w:rsidP="00774522">
      <w:pPr>
        <w:kinsoku/>
        <w:overflowPunct/>
        <w:autoSpaceDE/>
        <w:autoSpaceDN/>
        <w:adjustRightInd/>
        <w:snapToGrid/>
        <w:spacing w:after="120"/>
        <w:ind w:left="2268" w:right="1134"/>
        <w:jc w:val="both"/>
        <w:rPr>
          <w:rFonts w:ascii="TimesNewRomanPS-ItalicMT" w:hAnsi="TimesNewRomanPS-ItalicMT" w:cs="TimesNewRomanPS-ItalicMT"/>
          <w:b/>
          <w:iCs/>
          <w:szCs w:val="24"/>
          <w:lang w:eastAsia="ja-JP"/>
        </w:rPr>
      </w:pPr>
      <w:r w:rsidRPr="008C40DD">
        <w:rPr>
          <w:rFonts w:ascii="TimesNewRomanPS-ItalicMT" w:hAnsi="TimesNewRomanPS-ItalicMT" w:cs="TimesNewRomanPS-ItalicMT"/>
          <w:b/>
          <w:iCs/>
          <w:szCs w:val="24"/>
          <w:lang w:eastAsia="ja-JP"/>
        </w:rPr>
        <w:t>Si le constructeur équipe d’un système témoin de port de ceinture un siège arrière d’une autre catégorie de véhicule, ce système peut être homologué conformément au présent Règlement.</w:t>
      </w:r>
    </w:p>
    <w:p w:rsidR="00774522" w:rsidRPr="008C40DD" w:rsidRDefault="00774522" w:rsidP="00774522">
      <w:pPr>
        <w:kinsoku/>
        <w:overflowPunct/>
        <w:autoSpaceDE/>
        <w:autoSpaceDN/>
        <w:adjustRightInd/>
        <w:snapToGrid/>
        <w:spacing w:after="120"/>
        <w:ind w:left="2268" w:right="1134" w:hanging="1134"/>
        <w:jc w:val="both"/>
        <w:rPr>
          <w:b/>
          <w:bCs/>
          <w:szCs w:val="24"/>
          <w:lang w:eastAsia="ja-JP"/>
        </w:rPr>
      </w:pPr>
      <w:r w:rsidRPr="008C40DD">
        <w:rPr>
          <w:b/>
          <w:bCs/>
          <w:szCs w:val="24"/>
          <w:lang w:eastAsia="en-GB"/>
        </w:rPr>
        <w:t>8.4.1.3</w:t>
      </w:r>
      <w:r w:rsidRPr="008C40DD">
        <w:rPr>
          <w:b/>
          <w:bCs/>
          <w:szCs w:val="24"/>
          <w:lang w:eastAsia="en-GB"/>
        </w:rPr>
        <w:tab/>
        <w:t xml:space="preserve">Un témoin de port de ceinture n’est pas obligatoire sur les strapontins (qui sont généralement repliés et conçus pour un usage occasionnel) ni sur les places assises équipées d’une ceinture de type S ou d’une ceinture harnais, ni sur les sièges arrière amovibles ayant une ceinture de sécurité pleinement intégrée. </w:t>
      </w:r>
    </w:p>
    <w:p w:rsidR="00774522" w:rsidRPr="008C40DD" w:rsidRDefault="00774522" w:rsidP="00774522">
      <w:pPr>
        <w:kinsoku/>
        <w:overflowPunct/>
        <w:autoSpaceDE/>
        <w:autoSpaceDN/>
        <w:adjustRightInd/>
        <w:snapToGrid/>
        <w:spacing w:after="120"/>
        <w:ind w:left="2268" w:right="1134"/>
        <w:jc w:val="both"/>
        <w:rPr>
          <w:b/>
          <w:bCs/>
          <w:szCs w:val="24"/>
          <w:lang w:eastAsia="ja-JP"/>
        </w:rPr>
      </w:pPr>
      <w:r w:rsidRPr="008C40DD">
        <w:rPr>
          <w:b/>
          <w:bCs/>
          <w:szCs w:val="24"/>
          <w:lang w:eastAsia="ja-JP"/>
        </w:rPr>
        <w:t>Nonobstant le[s] paragraphe[s 8.4.1.1 et] 8.4.1.2 ci-dessus, témoin de port de ceinture ne sont pas exigés non plus pour les ambulances, ni pour les véhicules affectés aux services des forces armées, de la protection civile, des pompiers et des forces de maintien de l’ordre.</w:t>
      </w:r>
      <w:r w:rsidR="006F48B7" w:rsidRPr="008C40DD">
        <w:rPr>
          <w:bCs/>
          <w:szCs w:val="24"/>
          <w:lang w:eastAsia="en-GB"/>
        </w:rPr>
        <w:t> ».</w:t>
      </w:r>
    </w:p>
    <w:p w:rsidR="00774522" w:rsidRPr="008C40DD" w:rsidRDefault="00774522" w:rsidP="00774522">
      <w:pPr>
        <w:kinsoku/>
        <w:overflowPunct/>
        <w:autoSpaceDE/>
        <w:autoSpaceDN/>
        <w:adjustRightInd/>
        <w:snapToGrid/>
        <w:spacing w:after="120"/>
        <w:ind w:left="2268" w:right="1134" w:hanging="1134"/>
        <w:jc w:val="both"/>
        <w:rPr>
          <w:bCs/>
          <w:szCs w:val="24"/>
          <w:lang w:eastAsia="en-GB"/>
        </w:rPr>
      </w:pPr>
      <w:r w:rsidRPr="008C40DD">
        <w:rPr>
          <w:bCs/>
          <w:i/>
          <w:szCs w:val="24"/>
          <w:lang w:eastAsia="en-GB"/>
        </w:rPr>
        <w:t>Paragraphe 8.4.2.1.1</w:t>
      </w:r>
      <w:r w:rsidRPr="008C40DD">
        <w:rPr>
          <w:bCs/>
          <w:szCs w:val="24"/>
          <w:lang w:eastAsia="en-GB"/>
        </w:rPr>
        <w:t>, modifier comme suit</w:t>
      </w:r>
      <w:r w:rsidR="006F48B7" w:rsidRPr="008C40DD">
        <w:rPr>
          <w:bCs/>
          <w:szCs w:val="24"/>
          <w:lang w:eastAsia="en-GB"/>
        </w:rPr>
        <w:t> </w:t>
      </w:r>
      <w:r w:rsidRPr="008C40DD">
        <w:rPr>
          <w:bCs/>
          <w:szCs w:val="24"/>
          <w:lang w:eastAsia="en-GB"/>
        </w:rPr>
        <w:t>:</w:t>
      </w:r>
    </w:p>
    <w:p w:rsidR="00774522" w:rsidRPr="008C40DD" w:rsidRDefault="006F48B7" w:rsidP="006F48B7">
      <w:pPr>
        <w:kinsoku/>
        <w:overflowPunct/>
        <w:autoSpaceDE/>
        <w:autoSpaceDN/>
        <w:adjustRightInd/>
        <w:snapToGrid/>
        <w:spacing w:after="120"/>
        <w:ind w:left="2268" w:right="1134" w:hanging="1134"/>
        <w:jc w:val="both"/>
        <w:rPr>
          <w:bCs/>
          <w:szCs w:val="24"/>
          <w:lang w:eastAsia="ja-JP"/>
        </w:rPr>
      </w:pPr>
      <w:r w:rsidRPr="008C40DD">
        <w:rPr>
          <w:bCs/>
          <w:szCs w:val="24"/>
          <w:lang w:eastAsia="ja-JP"/>
        </w:rPr>
        <w:t>« </w:t>
      </w:r>
      <w:r w:rsidR="00774522" w:rsidRPr="008C40DD">
        <w:rPr>
          <w:bCs/>
          <w:szCs w:val="24"/>
          <w:lang w:eastAsia="ja-JP"/>
        </w:rPr>
        <w:t>8.4.2.1.1</w:t>
      </w:r>
      <w:r w:rsidR="00774522" w:rsidRPr="008C40DD">
        <w:rPr>
          <w:bCs/>
          <w:szCs w:val="24"/>
          <w:lang w:eastAsia="ja-JP"/>
        </w:rPr>
        <w:tab/>
        <w:t xml:space="preserve">Le dispositif d’alerte visuelle doit être situé de façon à être visible et reconnaissable par le conducteur à la lumière du jour </w:t>
      </w:r>
      <w:r w:rsidR="00774522" w:rsidRPr="008C40DD">
        <w:rPr>
          <w:b/>
          <w:bCs/>
          <w:szCs w:val="24"/>
          <w:lang w:eastAsia="ja-JP"/>
        </w:rPr>
        <w:t>comme de nuit</w:t>
      </w:r>
      <w:r w:rsidR="00774522" w:rsidRPr="008C40DD">
        <w:rPr>
          <w:bCs/>
          <w:szCs w:val="24"/>
          <w:lang w:eastAsia="ja-JP"/>
        </w:rPr>
        <w:t xml:space="preserve"> et différenciable de tout autre dispositif d’alerte. </w:t>
      </w:r>
      <w:r w:rsidR="00774522" w:rsidRPr="008C40DD">
        <w:rPr>
          <w:b/>
          <w:bCs/>
          <w:szCs w:val="24"/>
          <w:lang w:eastAsia="ja-JP"/>
        </w:rPr>
        <w:t>Pour les places assises définies au</w:t>
      </w:r>
      <w:r w:rsidR="00774522" w:rsidRPr="008C40DD">
        <w:rPr>
          <w:bCs/>
          <w:szCs w:val="24"/>
          <w:lang w:eastAsia="ja-JP"/>
        </w:rPr>
        <w:t xml:space="preserve"> </w:t>
      </w:r>
      <w:r w:rsidR="00774522" w:rsidRPr="008C40DD">
        <w:rPr>
          <w:b/>
          <w:bCs/>
          <w:szCs w:val="24"/>
          <w:lang w:eastAsia="ja-JP"/>
        </w:rPr>
        <w:t xml:space="preserve">paragraphe 8.4.1.1, la couleur et le symbole définis au point </w:t>
      </w:r>
      <w:r w:rsidR="00774522" w:rsidRPr="008C40DD">
        <w:rPr>
          <w:bCs/>
          <w:strike/>
          <w:szCs w:val="24"/>
          <w:lang w:eastAsia="ja-JP"/>
        </w:rPr>
        <w:t>S’il utilise la couleur rouge, le symbole employé doit être conforme à celui du nº</w:t>
      </w:r>
      <w:r w:rsidR="00FB4CCE">
        <w:rPr>
          <w:bCs/>
          <w:szCs w:val="24"/>
          <w:lang w:eastAsia="ja-JP"/>
        </w:rPr>
        <w:t xml:space="preserve"> 21 du tableau </w:t>
      </w:r>
      <w:r w:rsidR="00774522" w:rsidRPr="008C40DD">
        <w:rPr>
          <w:bCs/>
          <w:szCs w:val="24"/>
          <w:lang w:eastAsia="ja-JP"/>
        </w:rPr>
        <w:t xml:space="preserve">1 du Règlement </w:t>
      </w:r>
      <w:r w:rsidRPr="008C40DD">
        <w:rPr>
          <w:rFonts w:eastAsia="MS Mincho"/>
          <w:bCs/>
          <w:szCs w:val="24"/>
          <w:lang w:eastAsia="ja-JP"/>
        </w:rPr>
        <w:t>n</w:t>
      </w:r>
      <w:r w:rsidRPr="008C40DD">
        <w:rPr>
          <w:rFonts w:eastAsia="MS Mincho"/>
          <w:bCs/>
          <w:szCs w:val="24"/>
          <w:vertAlign w:val="superscript"/>
          <w:lang w:eastAsia="ja-JP"/>
        </w:rPr>
        <w:t>o</w:t>
      </w:r>
      <w:r w:rsidRPr="008C40DD">
        <w:rPr>
          <w:bCs/>
          <w:szCs w:val="24"/>
          <w:lang w:eastAsia="ja-JP"/>
        </w:rPr>
        <w:t> </w:t>
      </w:r>
      <w:r w:rsidR="00774522" w:rsidRPr="008C40DD">
        <w:rPr>
          <w:bCs/>
          <w:szCs w:val="24"/>
          <w:lang w:eastAsia="ja-JP"/>
        </w:rPr>
        <w:t xml:space="preserve">121 </w:t>
      </w:r>
      <w:r w:rsidR="00774522" w:rsidRPr="008C40DD">
        <w:rPr>
          <w:b/>
          <w:bCs/>
          <w:szCs w:val="24"/>
          <w:lang w:eastAsia="ja-JP"/>
        </w:rPr>
        <w:t>doivent être utilisés</w:t>
      </w:r>
      <w:r w:rsidR="00774522" w:rsidRPr="008C40DD">
        <w:rPr>
          <w:bCs/>
          <w:szCs w:val="24"/>
          <w:lang w:eastAsia="ja-JP"/>
        </w:rPr>
        <w:t>.</w:t>
      </w:r>
    </w:p>
    <w:p w:rsidR="00774522" w:rsidRPr="008C40DD" w:rsidRDefault="00774522" w:rsidP="00774522">
      <w:pPr>
        <w:kinsoku/>
        <w:overflowPunct/>
        <w:autoSpaceDE/>
        <w:autoSpaceDN/>
        <w:adjustRightInd/>
        <w:snapToGrid/>
        <w:spacing w:after="120"/>
        <w:ind w:left="2268" w:right="1134" w:hanging="1134"/>
        <w:jc w:val="center"/>
        <w:rPr>
          <w:bCs/>
          <w:strike/>
          <w:spacing w:val="-2"/>
          <w:szCs w:val="24"/>
          <w:lang w:eastAsia="ja-JP"/>
        </w:rPr>
      </w:pPr>
      <w:r w:rsidRPr="008C40DD">
        <w:rPr>
          <w:strike/>
          <w:noProof/>
          <w:spacing w:val="-2"/>
          <w:szCs w:val="24"/>
          <w:lang w:val="en-US"/>
        </w:rPr>
        <w:drawing>
          <wp:inline distT="0" distB="0" distL="0" distR="0" wp14:anchorId="0BEFD1CD" wp14:editId="0A504B3D">
            <wp:extent cx="382270" cy="46418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2270" cy="464185"/>
                    </a:xfrm>
                    <a:prstGeom prst="rect">
                      <a:avLst/>
                    </a:prstGeom>
                    <a:noFill/>
                    <a:ln>
                      <a:noFill/>
                    </a:ln>
                  </pic:spPr>
                </pic:pic>
              </a:graphicData>
            </a:graphic>
          </wp:inline>
        </w:drawing>
      </w:r>
      <w:r w:rsidRPr="008C40DD">
        <w:rPr>
          <w:bCs/>
          <w:strike/>
          <w:spacing w:val="-2"/>
          <w:szCs w:val="24"/>
          <w:lang w:eastAsia="en-GB"/>
        </w:rPr>
        <w:t xml:space="preserve">(équipement K.01 – ISO 2575:2000)   ou,   </w:t>
      </w:r>
      <w:r w:rsidRPr="008C40DD">
        <w:rPr>
          <w:strike/>
          <w:noProof/>
          <w:spacing w:val="-2"/>
          <w:szCs w:val="24"/>
          <w:lang w:val="en-US"/>
        </w:rPr>
        <w:drawing>
          <wp:inline distT="0" distB="0" distL="0" distR="0" wp14:anchorId="45632B9E" wp14:editId="088D18AE">
            <wp:extent cx="375285" cy="45720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5285" cy="457200"/>
                    </a:xfrm>
                    <a:prstGeom prst="rect">
                      <a:avLst/>
                    </a:prstGeom>
                    <a:noFill/>
                    <a:ln>
                      <a:noFill/>
                    </a:ln>
                  </pic:spPr>
                </pic:pic>
              </a:graphicData>
            </a:graphic>
          </wp:inline>
        </w:drawing>
      </w:r>
      <w:r w:rsidR="006F48B7" w:rsidRPr="008C40DD">
        <w:rPr>
          <w:bCs/>
          <w:spacing w:val="-2"/>
          <w:szCs w:val="24"/>
          <w:lang w:eastAsia="en-GB"/>
        </w:rPr>
        <w:t> ».</w:t>
      </w:r>
    </w:p>
    <w:p w:rsidR="00774522" w:rsidRPr="008C40DD" w:rsidRDefault="00774522" w:rsidP="00774522">
      <w:pPr>
        <w:kinsoku/>
        <w:overflowPunct/>
        <w:autoSpaceDE/>
        <w:autoSpaceDN/>
        <w:adjustRightInd/>
        <w:snapToGrid/>
        <w:spacing w:after="120"/>
        <w:ind w:left="2268" w:right="1134" w:hanging="1134"/>
        <w:jc w:val="both"/>
        <w:rPr>
          <w:bCs/>
          <w:szCs w:val="24"/>
          <w:lang w:eastAsia="en-GB"/>
        </w:rPr>
      </w:pPr>
      <w:r w:rsidRPr="008C40DD">
        <w:rPr>
          <w:bCs/>
          <w:i/>
          <w:szCs w:val="24"/>
          <w:lang w:eastAsia="en-GB"/>
        </w:rPr>
        <w:t>Paragraphe 8.4.2.1.2</w:t>
      </w:r>
      <w:r w:rsidRPr="008C40DD">
        <w:rPr>
          <w:bCs/>
          <w:szCs w:val="24"/>
          <w:lang w:eastAsia="en-GB"/>
        </w:rPr>
        <w:t>, modifier comme suit</w:t>
      </w:r>
      <w:r w:rsidR="006F48B7" w:rsidRPr="008C40DD">
        <w:rPr>
          <w:bCs/>
          <w:szCs w:val="24"/>
          <w:lang w:eastAsia="en-GB"/>
        </w:rPr>
        <w:t> </w:t>
      </w:r>
      <w:r w:rsidRPr="008C40DD">
        <w:rPr>
          <w:bCs/>
          <w:szCs w:val="24"/>
          <w:lang w:eastAsia="en-GB"/>
        </w:rPr>
        <w:t>:</w:t>
      </w:r>
    </w:p>
    <w:p w:rsidR="00774522" w:rsidRPr="008C40DD" w:rsidRDefault="006F48B7" w:rsidP="00774522">
      <w:pPr>
        <w:kinsoku/>
        <w:overflowPunct/>
        <w:autoSpaceDE/>
        <w:autoSpaceDN/>
        <w:adjustRightInd/>
        <w:snapToGrid/>
        <w:spacing w:after="120"/>
        <w:ind w:left="2268" w:right="1134" w:hanging="1134"/>
        <w:jc w:val="both"/>
        <w:rPr>
          <w:bCs/>
          <w:szCs w:val="24"/>
          <w:lang w:eastAsia="ja-JP"/>
        </w:rPr>
      </w:pPr>
      <w:r w:rsidRPr="008C40DD">
        <w:rPr>
          <w:bCs/>
          <w:szCs w:val="24"/>
          <w:lang w:eastAsia="en-GB"/>
        </w:rPr>
        <w:t>« </w:t>
      </w:r>
      <w:r w:rsidR="00774522" w:rsidRPr="008C40DD">
        <w:rPr>
          <w:bCs/>
          <w:szCs w:val="24"/>
          <w:lang w:eastAsia="en-GB"/>
        </w:rPr>
        <w:t>8.4.2.1.2</w:t>
      </w:r>
      <w:r w:rsidR="00774522" w:rsidRPr="008C40DD">
        <w:rPr>
          <w:bCs/>
          <w:szCs w:val="24"/>
          <w:lang w:eastAsia="en-GB"/>
        </w:rPr>
        <w:tab/>
        <w:t xml:space="preserve">L’alerte visuelle doit </w:t>
      </w:r>
      <w:r w:rsidR="00774522" w:rsidRPr="008C40DD">
        <w:rPr>
          <w:bCs/>
          <w:strike/>
          <w:szCs w:val="24"/>
          <w:lang w:eastAsia="en-GB"/>
        </w:rPr>
        <w:t>consister en un</w:t>
      </w:r>
      <w:r w:rsidR="00774522" w:rsidRPr="008C40DD">
        <w:rPr>
          <w:bCs/>
          <w:szCs w:val="24"/>
          <w:lang w:eastAsia="en-GB"/>
        </w:rPr>
        <w:t xml:space="preserve"> </w:t>
      </w:r>
      <w:r w:rsidR="00774522" w:rsidRPr="008C40DD">
        <w:rPr>
          <w:bCs/>
          <w:strike/>
          <w:szCs w:val="24"/>
          <w:lang w:eastAsia="en-GB"/>
        </w:rPr>
        <w:t>signal (par exemple un</w:t>
      </w:r>
      <w:r w:rsidR="00774522" w:rsidRPr="008C40DD">
        <w:rPr>
          <w:bCs/>
          <w:szCs w:val="24"/>
          <w:lang w:eastAsia="en-GB"/>
        </w:rPr>
        <w:t xml:space="preserve"> </w:t>
      </w:r>
      <w:r w:rsidR="00774522" w:rsidRPr="008C40DD">
        <w:rPr>
          <w:b/>
          <w:bCs/>
          <w:szCs w:val="24"/>
          <w:lang w:eastAsia="en-GB"/>
        </w:rPr>
        <w:t>être</w:t>
      </w:r>
      <w:r w:rsidR="00774522" w:rsidRPr="008C40DD">
        <w:rPr>
          <w:bCs/>
          <w:szCs w:val="24"/>
          <w:lang w:eastAsia="en-GB"/>
        </w:rPr>
        <w:t xml:space="preserve"> </w:t>
      </w:r>
      <w:r w:rsidR="00774522" w:rsidRPr="008C40DD">
        <w:rPr>
          <w:b/>
          <w:bCs/>
          <w:szCs w:val="24"/>
          <w:lang w:eastAsia="en-GB"/>
        </w:rPr>
        <w:t>donnée par un</w:t>
      </w:r>
      <w:r w:rsidR="00774522" w:rsidRPr="008C40DD">
        <w:rPr>
          <w:bCs/>
          <w:szCs w:val="24"/>
          <w:lang w:eastAsia="en-GB"/>
        </w:rPr>
        <w:t xml:space="preserve"> </w:t>
      </w:r>
      <w:r w:rsidR="00774522" w:rsidRPr="008C40DD">
        <w:rPr>
          <w:b/>
          <w:bCs/>
          <w:szCs w:val="24"/>
          <w:lang w:eastAsia="en-GB"/>
        </w:rPr>
        <w:t>témoin clignotant</w:t>
      </w:r>
      <w:r w:rsidR="00774522" w:rsidRPr="008C40DD">
        <w:rPr>
          <w:bCs/>
          <w:szCs w:val="24"/>
          <w:lang w:eastAsia="en-GB"/>
        </w:rPr>
        <w:t xml:space="preserve"> </w:t>
      </w:r>
      <w:r w:rsidR="00774522" w:rsidRPr="008C40DD">
        <w:rPr>
          <w:bCs/>
          <w:strike/>
          <w:szCs w:val="24"/>
          <w:lang w:eastAsia="en-GB"/>
        </w:rPr>
        <w:t>continu ou intermittent</w:t>
      </w:r>
      <w:r w:rsidR="00774522" w:rsidRPr="008C40DD">
        <w:rPr>
          <w:bCs/>
          <w:szCs w:val="24"/>
          <w:lang w:eastAsia="en-GB"/>
        </w:rPr>
        <w:t>.</w:t>
      </w:r>
      <w:r w:rsidRPr="008C40DD">
        <w:rPr>
          <w:bCs/>
          <w:szCs w:val="24"/>
          <w:lang w:eastAsia="en-GB"/>
        </w:rPr>
        <w:t> ».</w:t>
      </w:r>
    </w:p>
    <w:p w:rsidR="00774522" w:rsidRPr="008C40DD" w:rsidRDefault="00774522" w:rsidP="00774522">
      <w:pPr>
        <w:kinsoku/>
        <w:overflowPunct/>
        <w:autoSpaceDE/>
        <w:autoSpaceDN/>
        <w:adjustRightInd/>
        <w:snapToGrid/>
        <w:spacing w:after="120"/>
        <w:ind w:left="2268" w:right="1134" w:hanging="1134"/>
        <w:jc w:val="both"/>
        <w:rPr>
          <w:bCs/>
          <w:szCs w:val="24"/>
          <w:lang w:eastAsia="en-GB"/>
        </w:rPr>
      </w:pPr>
      <w:r w:rsidRPr="008C40DD">
        <w:rPr>
          <w:bCs/>
          <w:i/>
          <w:szCs w:val="24"/>
          <w:lang w:eastAsia="ja-JP"/>
        </w:rPr>
        <w:t xml:space="preserve">Ajouter un nouveau </w:t>
      </w:r>
      <w:r w:rsidRPr="008C40DD">
        <w:rPr>
          <w:bCs/>
          <w:i/>
          <w:szCs w:val="24"/>
          <w:lang w:eastAsia="en-GB"/>
        </w:rPr>
        <w:t>paragraphe</w:t>
      </w:r>
      <w:r w:rsidRPr="008C40DD">
        <w:rPr>
          <w:bCs/>
          <w:szCs w:val="24"/>
          <w:lang w:eastAsia="en-GB"/>
        </w:rPr>
        <w:t xml:space="preserve"> </w:t>
      </w:r>
      <w:r w:rsidRPr="008C40DD">
        <w:rPr>
          <w:bCs/>
          <w:i/>
          <w:szCs w:val="24"/>
          <w:lang w:eastAsia="en-GB"/>
        </w:rPr>
        <w:t>8.4.2.1.3</w:t>
      </w:r>
      <w:r w:rsidRPr="008C40DD">
        <w:rPr>
          <w:bCs/>
          <w:szCs w:val="24"/>
          <w:lang w:eastAsia="en-GB"/>
        </w:rPr>
        <w:t>, ainsi conçu</w:t>
      </w:r>
      <w:r w:rsidR="006F48B7" w:rsidRPr="008C40DD">
        <w:rPr>
          <w:bCs/>
          <w:szCs w:val="24"/>
          <w:lang w:eastAsia="en-GB"/>
        </w:rPr>
        <w:t> </w:t>
      </w:r>
      <w:r w:rsidRPr="008C40DD">
        <w:rPr>
          <w:bCs/>
          <w:szCs w:val="24"/>
          <w:lang w:eastAsia="en-GB"/>
        </w:rPr>
        <w:t>:</w:t>
      </w:r>
    </w:p>
    <w:p w:rsidR="00774522" w:rsidRPr="008C40DD" w:rsidRDefault="006F48B7" w:rsidP="006F48B7">
      <w:pPr>
        <w:kinsoku/>
        <w:overflowPunct/>
        <w:autoSpaceDE/>
        <w:autoSpaceDN/>
        <w:adjustRightInd/>
        <w:snapToGrid/>
        <w:spacing w:after="120"/>
        <w:ind w:left="2268" w:right="1134" w:hanging="1134"/>
        <w:jc w:val="both"/>
        <w:rPr>
          <w:b/>
          <w:bCs/>
          <w:szCs w:val="24"/>
          <w:lang w:eastAsia="ja-JP"/>
        </w:rPr>
      </w:pPr>
      <w:r w:rsidRPr="008C40DD">
        <w:rPr>
          <w:bCs/>
          <w:szCs w:val="24"/>
          <w:lang w:eastAsia="en-GB"/>
        </w:rPr>
        <w:t>« </w:t>
      </w:r>
      <w:r w:rsidR="00774522" w:rsidRPr="008C40DD">
        <w:rPr>
          <w:b/>
          <w:bCs/>
          <w:szCs w:val="24"/>
          <w:lang w:eastAsia="en-GB"/>
        </w:rPr>
        <w:t>8.4.2.1.3</w:t>
      </w:r>
      <w:r w:rsidR="00774522" w:rsidRPr="008C40DD">
        <w:rPr>
          <w:bCs/>
          <w:szCs w:val="24"/>
          <w:lang w:eastAsia="en-GB"/>
        </w:rPr>
        <w:tab/>
      </w:r>
      <w:r w:rsidR="00774522" w:rsidRPr="008C40DD">
        <w:rPr>
          <w:b/>
          <w:bCs/>
          <w:szCs w:val="24"/>
          <w:lang w:eastAsia="ja-JP"/>
        </w:rPr>
        <w:tab/>
        <w:t>Un témoin commun peut être utilisé pour toutes les ceintures de sécurité visées au paragraphe 8.4.1.1.</w:t>
      </w:r>
    </w:p>
    <w:p w:rsidR="00774522" w:rsidRPr="008C40DD" w:rsidRDefault="00774522" w:rsidP="00774522">
      <w:pPr>
        <w:kinsoku/>
        <w:overflowPunct/>
        <w:autoSpaceDE/>
        <w:autoSpaceDN/>
        <w:adjustRightInd/>
        <w:snapToGrid/>
        <w:spacing w:after="120"/>
        <w:ind w:left="2268" w:right="1134"/>
        <w:jc w:val="both"/>
        <w:rPr>
          <w:b/>
          <w:bCs/>
          <w:szCs w:val="24"/>
          <w:lang w:eastAsia="ja-JP"/>
        </w:rPr>
      </w:pPr>
      <w:r w:rsidRPr="008C40DD">
        <w:rPr>
          <w:b/>
          <w:bCs/>
          <w:szCs w:val="24"/>
          <w:lang w:eastAsia="en-GB"/>
        </w:rPr>
        <w:t xml:space="preserve">Cependant, dans le cas de celles qui sont visées au paragraphe 8.4.1.2, l’alerte visuelle doit indiquer toutes les places assises pour permettre au conducteur de déterminer de sa place sur quel(s) siège(s) la ceinture n’est pas bouclée. </w:t>
      </w:r>
      <w:r w:rsidRPr="008C40DD">
        <w:rPr>
          <w:b/>
          <w:bCs/>
          <w:szCs w:val="24"/>
          <w:lang w:eastAsia="ja-JP"/>
        </w:rPr>
        <w:t>L’alerte visuelle peut contenir d’autres symboles que celui qui est spécifié au paragraphe 8.4.2.1.1 pour les ceintures de sécurité visées au 8.4.1.1.</w:t>
      </w:r>
      <w:r w:rsidR="006F48B7" w:rsidRPr="008C40DD">
        <w:rPr>
          <w:bCs/>
          <w:szCs w:val="24"/>
          <w:lang w:eastAsia="en-GB"/>
        </w:rPr>
        <w:t> ».</w:t>
      </w:r>
    </w:p>
    <w:p w:rsidR="00774522" w:rsidRPr="008C40DD" w:rsidRDefault="00774522" w:rsidP="00774522">
      <w:pPr>
        <w:kinsoku/>
        <w:overflowPunct/>
        <w:autoSpaceDE/>
        <w:autoSpaceDN/>
        <w:adjustRightInd/>
        <w:snapToGrid/>
        <w:spacing w:after="120"/>
        <w:ind w:left="567" w:right="1134" w:firstLine="567"/>
        <w:jc w:val="both"/>
        <w:rPr>
          <w:b/>
          <w:bCs/>
          <w:szCs w:val="24"/>
          <w:lang w:eastAsia="ja-JP"/>
        </w:rPr>
      </w:pPr>
      <w:r w:rsidRPr="008C40DD">
        <w:rPr>
          <w:bCs/>
          <w:i/>
          <w:szCs w:val="24"/>
          <w:lang w:eastAsia="en-GB"/>
        </w:rPr>
        <w:t xml:space="preserve">Le paragraphe 8.4.2.1.3 </w:t>
      </w:r>
      <w:r w:rsidRPr="008C40DD">
        <w:rPr>
          <w:bCs/>
          <w:szCs w:val="24"/>
          <w:lang w:eastAsia="ja-JP"/>
        </w:rPr>
        <w:t xml:space="preserve">devient le paragraphe 8.4.2.1.4 et est modifié </w:t>
      </w:r>
      <w:r w:rsidRPr="008C40DD">
        <w:rPr>
          <w:bCs/>
          <w:szCs w:val="24"/>
          <w:lang w:eastAsia="ja-JP"/>
        </w:rPr>
        <w:tab/>
        <w:t>comme suit</w:t>
      </w:r>
      <w:r w:rsidR="006F48B7" w:rsidRPr="008C40DD">
        <w:rPr>
          <w:bCs/>
          <w:szCs w:val="24"/>
          <w:lang w:eastAsia="ja-JP"/>
        </w:rPr>
        <w:t> </w:t>
      </w:r>
      <w:r w:rsidRPr="008C40DD">
        <w:rPr>
          <w:bCs/>
          <w:szCs w:val="24"/>
          <w:lang w:eastAsia="ja-JP"/>
        </w:rPr>
        <w:t xml:space="preserve">: </w:t>
      </w:r>
    </w:p>
    <w:p w:rsidR="00774522" w:rsidRPr="008C40DD" w:rsidRDefault="006F48B7" w:rsidP="00FB4CCE">
      <w:pPr>
        <w:kinsoku/>
        <w:overflowPunct/>
        <w:autoSpaceDE/>
        <w:autoSpaceDN/>
        <w:adjustRightInd/>
        <w:snapToGrid/>
        <w:spacing w:after="120"/>
        <w:ind w:left="2268" w:right="1134" w:hanging="1134"/>
        <w:jc w:val="both"/>
        <w:rPr>
          <w:b/>
          <w:bCs/>
          <w:szCs w:val="24"/>
          <w:lang w:eastAsia="en-GB"/>
        </w:rPr>
      </w:pPr>
      <w:r w:rsidRPr="008C40DD">
        <w:rPr>
          <w:bCs/>
          <w:szCs w:val="24"/>
          <w:lang w:eastAsia="ja-JP"/>
        </w:rPr>
        <w:t>« </w:t>
      </w:r>
      <w:r w:rsidR="00774522" w:rsidRPr="008C40DD">
        <w:rPr>
          <w:bCs/>
          <w:szCs w:val="24"/>
          <w:lang w:eastAsia="ja-JP"/>
        </w:rPr>
        <w:t>8.4.2.1.</w:t>
      </w:r>
      <w:r w:rsidR="00774522" w:rsidRPr="008C40DD">
        <w:rPr>
          <w:bCs/>
          <w:strike/>
          <w:szCs w:val="24"/>
          <w:lang w:eastAsia="ja-JP"/>
        </w:rPr>
        <w:t>3.</w:t>
      </w:r>
      <w:r w:rsidR="00774522" w:rsidRPr="008C40DD">
        <w:rPr>
          <w:b/>
          <w:bCs/>
          <w:szCs w:val="24"/>
          <w:lang w:eastAsia="en-GB"/>
        </w:rPr>
        <w:t>4</w:t>
      </w:r>
      <w:r w:rsidR="00774522" w:rsidRPr="008C40DD">
        <w:rPr>
          <w:b/>
          <w:bCs/>
          <w:szCs w:val="24"/>
          <w:lang w:eastAsia="en-GB"/>
        </w:rPr>
        <w:tab/>
      </w:r>
      <w:r w:rsidR="00774522" w:rsidRPr="008C40DD">
        <w:rPr>
          <w:bCs/>
          <w:szCs w:val="24"/>
          <w:lang w:eastAsia="en-GB"/>
        </w:rPr>
        <w:t xml:space="preserve">L’alerte sonore doit consister en un signal sonore continu ou intermittent </w:t>
      </w:r>
      <w:r w:rsidR="00774522" w:rsidRPr="008C40DD">
        <w:rPr>
          <w:b/>
          <w:bCs/>
          <w:szCs w:val="24"/>
          <w:lang w:eastAsia="en-GB"/>
        </w:rPr>
        <w:t>mais fréquent</w:t>
      </w:r>
      <w:r w:rsidR="00774522" w:rsidRPr="008C40DD">
        <w:rPr>
          <w:bCs/>
          <w:szCs w:val="24"/>
          <w:lang w:eastAsia="en-GB"/>
        </w:rPr>
        <w:t xml:space="preserve">, ou en une message vocal </w:t>
      </w:r>
      <w:r w:rsidR="00774522" w:rsidRPr="008C40DD">
        <w:rPr>
          <w:b/>
          <w:bCs/>
          <w:szCs w:val="24"/>
          <w:lang w:eastAsia="en-GB"/>
        </w:rPr>
        <w:t>continu</w:t>
      </w:r>
      <w:r w:rsidR="00774522" w:rsidRPr="008C40DD">
        <w:rPr>
          <w:bCs/>
          <w:szCs w:val="24"/>
          <w:lang w:eastAsia="en-GB"/>
        </w:rPr>
        <w:t xml:space="preserve">. S’il s’agit d’un message vocal, le constructeur </w:t>
      </w:r>
      <w:r w:rsidR="00774522" w:rsidRPr="008C40DD">
        <w:rPr>
          <w:b/>
          <w:bCs/>
          <w:szCs w:val="24"/>
          <w:lang w:eastAsia="en-GB"/>
        </w:rPr>
        <w:t>du véhicule</w:t>
      </w:r>
      <w:r w:rsidR="00774522" w:rsidRPr="008C40DD">
        <w:rPr>
          <w:bCs/>
          <w:szCs w:val="24"/>
          <w:lang w:eastAsia="en-GB"/>
        </w:rPr>
        <w:t xml:space="preserve"> doit veiller à ce que les langues dans l</w:t>
      </w:r>
      <w:r w:rsidRPr="008C40DD">
        <w:rPr>
          <w:bCs/>
          <w:szCs w:val="24"/>
          <w:lang w:eastAsia="en-GB"/>
        </w:rPr>
        <w:t xml:space="preserve">esquelles il est formulé soient </w:t>
      </w:r>
      <w:r w:rsidR="00774522" w:rsidRPr="008C40DD">
        <w:rPr>
          <w:bCs/>
          <w:szCs w:val="24"/>
          <w:lang w:eastAsia="en-GB"/>
        </w:rPr>
        <w:t xml:space="preserve">celles du marché sur lequel le véhicule est </w:t>
      </w:r>
      <w:r w:rsidR="00774522" w:rsidRPr="008C40DD">
        <w:rPr>
          <w:bCs/>
          <w:strike/>
          <w:szCs w:val="24"/>
          <w:lang w:eastAsia="en-GB"/>
        </w:rPr>
        <w:t>commercialisé</w:t>
      </w:r>
      <w:r w:rsidR="00774522" w:rsidRPr="008C40DD">
        <w:rPr>
          <w:bCs/>
          <w:szCs w:val="24"/>
          <w:lang w:eastAsia="en-GB"/>
        </w:rPr>
        <w:t xml:space="preserve"> </w:t>
      </w:r>
      <w:r w:rsidR="00774522" w:rsidRPr="008C40DD">
        <w:rPr>
          <w:b/>
          <w:bCs/>
          <w:szCs w:val="24"/>
          <w:lang w:eastAsia="en-GB"/>
        </w:rPr>
        <w:t>destiné à être utilisé</w:t>
      </w:r>
      <w:r w:rsidR="00774522" w:rsidRPr="008C40DD">
        <w:rPr>
          <w:bCs/>
          <w:szCs w:val="24"/>
          <w:lang w:eastAsia="en-GB"/>
        </w:rPr>
        <w:t xml:space="preserve">. </w:t>
      </w:r>
      <w:r w:rsidR="00774522" w:rsidRPr="008C40DD">
        <w:rPr>
          <w:bCs/>
          <w:strike/>
          <w:szCs w:val="24"/>
          <w:lang w:eastAsia="en-GB"/>
        </w:rPr>
        <w:t>L’alerte sonore peut comporter plusieurs phases.</w:t>
      </w:r>
      <w:r w:rsidRPr="008C40DD">
        <w:rPr>
          <w:bCs/>
          <w:szCs w:val="24"/>
          <w:lang w:eastAsia="en-GB"/>
        </w:rPr>
        <w:t> »</w:t>
      </w:r>
      <w:r w:rsidR="00774522" w:rsidRPr="008C40DD">
        <w:rPr>
          <w:bCs/>
          <w:szCs w:val="24"/>
          <w:lang w:eastAsia="en-GB"/>
        </w:rPr>
        <w:t>.</w:t>
      </w:r>
    </w:p>
    <w:p w:rsidR="00774522" w:rsidRPr="008C40DD" w:rsidRDefault="00774522" w:rsidP="006F48B7">
      <w:pPr>
        <w:keepNext/>
        <w:kinsoku/>
        <w:overflowPunct/>
        <w:autoSpaceDE/>
        <w:autoSpaceDN/>
        <w:adjustRightInd/>
        <w:snapToGrid/>
        <w:spacing w:after="120"/>
        <w:ind w:left="2268" w:right="1134" w:hanging="1134"/>
        <w:jc w:val="both"/>
        <w:rPr>
          <w:szCs w:val="24"/>
          <w:lang w:eastAsia="en-GB"/>
        </w:rPr>
      </w:pPr>
      <w:r w:rsidRPr="008C40DD">
        <w:rPr>
          <w:i/>
          <w:szCs w:val="24"/>
          <w:lang w:eastAsia="en-GB"/>
        </w:rPr>
        <w:t>Paragraphe 8.4.2.2</w:t>
      </w:r>
      <w:r w:rsidRPr="008C40DD">
        <w:rPr>
          <w:szCs w:val="24"/>
          <w:lang w:eastAsia="en-GB"/>
        </w:rPr>
        <w:t>, modifier comme suit</w:t>
      </w:r>
      <w:r w:rsidR="006F48B7" w:rsidRPr="008C40DD">
        <w:rPr>
          <w:szCs w:val="24"/>
          <w:lang w:eastAsia="en-GB"/>
        </w:rPr>
        <w:t> </w:t>
      </w:r>
      <w:r w:rsidRPr="008C40DD">
        <w:rPr>
          <w:szCs w:val="24"/>
          <w:lang w:eastAsia="en-GB"/>
        </w:rPr>
        <w:t>:</w:t>
      </w:r>
    </w:p>
    <w:p w:rsidR="00774522" w:rsidRPr="008C40DD" w:rsidRDefault="00E05D2F" w:rsidP="00E05D2F">
      <w:pPr>
        <w:kinsoku/>
        <w:overflowPunct/>
        <w:autoSpaceDE/>
        <w:autoSpaceDN/>
        <w:adjustRightInd/>
        <w:snapToGrid/>
        <w:spacing w:after="120"/>
        <w:ind w:left="2268" w:right="1134" w:hanging="1134"/>
        <w:jc w:val="both"/>
        <w:rPr>
          <w:bCs/>
          <w:szCs w:val="24"/>
          <w:lang w:eastAsia="ja-JP"/>
        </w:rPr>
      </w:pPr>
      <w:r w:rsidRPr="008C40DD">
        <w:rPr>
          <w:szCs w:val="24"/>
          <w:lang w:eastAsia="en-GB"/>
        </w:rPr>
        <w:t>« </w:t>
      </w:r>
      <w:r w:rsidR="00774522" w:rsidRPr="008C40DD">
        <w:rPr>
          <w:szCs w:val="24"/>
          <w:lang w:eastAsia="en-GB"/>
        </w:rPr>
        <w:t>8.4.2.2.</w:t>
      </w:r>
      <w:r w:rsidR="00774522" w:rsidRPr="008C40DD">
        <w:rPr>
          <w:szCs w:val="24"/>
          <w:lang w:eastAsia="en-GB"/>
        </w:rPr>
        <w:tab/>
        <w:t xml:space="preserve">L’alerte de premier niveau doit être au moins une alerte visuelle activée pendant au moins </w:t>
      </w:r>
      <w:r w:rsidR="00774522" w:rsidRPr="008C40DD">
        <w:rPr>
          <w:strike/>
          <w:szCs w:val="24"/>
          <w:lang w:eastAsia="en-GB"/>
        </w:rPr>
        <w:t xml:space="preserve">4 </w:t>
      </w:r>
      <w:r w:rsidR="00774522" w:rsidRPr="008C40DD">
        <w:rPr>
          <w:b/>
          <w:szCs w:val="24"/>
          <w:lang w:eastAsia="en-GB"/>
        </w:rPr>
        <w:t>30</w:t>
      </w:r>
      <w:r w:rsidRPr="008C40DD">
        <w:rPr>
          <w:szCs w:val="24"/>
          <w:lang w:eastAsia="en-GB"/>
        </w:rPr>
        <w:t> </w:t>
      </w:r>
      <w:r w:rsidR="00774522" w:rsidRPr="008C40DD">
        <w:rPr>
          <w:szCs w:val="24"/>
          <w:lang w:eastAsia="en-GB"/>
        </w:rPr>
        <w:t xml:space="preserve">s </w:t>
      </w:r>
      <w:r w:rsidR="00774522" w:rsidRPr="008C40DD">
        <w:rPr>
          <w:b/>
          <w:szCs w:val="24"/>
          <w:lang w:eastAsia="en-GB"/>
        </w:rPr>
        <w:t>pour les ceintures de sécurité visées au paragraphe</w:t>
      </w:r>
      <w:r w:rsidRPr="008C40DD">
        <w:rPr>
          <w:b/>
          <w:szCs w:val="24"/>
          <w:lang w:eastAsia="en-GB"/>
        </w:rPr>
        <w:t xml:space="preserve"> 8.4.1.1 et pendant au moins 60 </w:t>
      </w:r>
      <w:r w:rsidR="00774522" w:rsidRPr="008C40DD">
        <w:rPr>
          <w:b/>
          <w:szCs w:val="24"/>
          <w:lang w:eastAsia="en-GB"/>
        </w:rPr>
        <w:t>s pour celles qui sont visées au paragraphe 8.4.1.2</w:t>
      </w:r>
      <w:r w:rsidR="00774522" w:rsidRPr="008C40DD">
        <w:rPr>
          <w:szCs w:val="24"/>
          <w:lang w:eastAsia="en-GB"/>
        </w:rPr>
        <w:t xml:space="preserve"> lorsque la ceinture de sécurité </w:t>
      </w:r>
      <w:r w:rsidR="00774522" w:rsidRPr="008C40DD">
        <w:rPr>
          <w:strike/>
          <w:szCs w:val="24"/>
          <w:lang w:eastAsia="en-GB"/>
        </w:rPr>
        <w:t>du conducteur</w:t>
      </w:r>
      <w:r w:rsidR="00774522" w:rsidRPr="008C40DD">
        <w:rPr>
          <w:szCs w:val="24"/>
          <w:lang w:eastAsia="en-GB"/>
        </w:rPr>
        <w:t xml:space="preserve"> </w:t>
      </w:r>
      <w:r w:rsidR="00774522" w:rsidRPr="008C40DD">
        <w:rPr>
          <w:b/>
          <w:szCs w:val="24"/>
          <w:lang w:eastAsia="en-GB"/>
        </w:rPr>
        <w:t>d’au moins un des sièges</w:t>
      </w:r>
      <w:r w:rsidR="00774522" w:rsidRPr="008C40DD">
        <w:rPr>
          <w:szCs w:val="24"/>
          <w:lang w:eastAsia="en-GB"/>
        </w:rPr>
        <w:t xml:space="preserve"> n’est pas bouclée et que le contact est mis </w:t>
      </w:r>
      <w:r w:rsidR="00774522" w:rsidRPr="008C40DD">
        <w:rPr>
          <w:b/>
          <w:szCs w:val="24"/>
          <w:lang w:eastAsia="en-GB"/>
        </w:rPr>
        <w:t>ou lorsque le commutateur de contact du véhicule est activé</w:t>
      </w:r>
      <w:r w:rsidR="00774522" w:rsidRPr="008C40DD">
        <w:rPr>
          <w:szCs w:val="24"/>
          <w:lang w:eastAsia="en-GB"/>
        </w:rPr>
        <w:t xml:space="preserve">. </w:t>
      </w:r>
      <w:r w:rsidR="00774522" w:rsidRPr="008C40DD">
        <w:rPr>
          <w:b/>
          <w:szCs w:val="24"/>
          <w:lang w:eastAsia="en-GB"/>
        </w:rPr>
        <w:t>L’alerte de premier niveau</w:t>
      </w:r>
      <w:r w:rsidR="00774522" w:rsidRPr="008C40DD">
        <w:rPr>
          <w:szCs w:val="24"/>
          <w:lang w:eastAsia="en-GB"/>
        </w:rPr>
        <w:t xml:space="preserve"> </w:t>
      </w:r>
      <w:r w:rsidR="00774522" w:rsidRPr="008C40DD">
        <w:rPr>
          <w:b/>
          <w:szCs w:val="24"/>
          <w:lang w:eastAsia="en-GB"/>
        </w:rPr>
        <w:t>peut être annulée par le conducteur pour les ceintures de sécurité visées au paragraphe</w:t>
      </w:r>
      <w:r w:rsidR="00774522" w:rsidRPr="008C40DD">
        <w:rPr>
          <w:b/>
          <w:szCs w:val="24"/>
          <w:lang w:eastAsia="ja-JP"/>
        </w:rPr>
        <w:t xml:space="preserve"> 8.4.1.2.</w:t>
      </w:r>
      <w:r w:rsidRPr="008C40DD">
        <w:rPr>
          <w:bCs/>
          <w:szCs w:val="24"/>
          <w:lang w:eastAsia="en-GB"/>
        </w:rPr>
        <w:t> ».</w:t>
      </w:r>
    </w:p>
    <w:p w:rsidR="00774522" w:rsidRPr="008C40DD" w:rsidRDefault="00774522" w:rsidP="00774522">
      <w:pPr>
        <w:kinsoku/>
        <w:overflowPunct/>
        <w:autoSpaceDE/>
        <w:autoSpaceDN/>
        <w:adjustRightInd/>
        <w:snapToGrid/>
        <w:spacing w:after="120"/>
        <w:ind w:left="2268" w:right="1134" w:hanging="1134"/>
        <w:jc w:val="both"/>
        <w:rPr>
          <w:szCs w:val="24"/>
          <w:lang w:eastAsia="en-GB"/>
        </w:rPr>
      </w:pPr>
      <w:r w:rsidRPr="008C40DD">
        <w:rPr>
          <w:i/>
          <w:szCs w:val="24"/>
          <w:lang w:eastAsia="en-GB"/>
        </w:rPr>
        <w:t>Paragraphe 8.4.2.4</w:t>
      </w:r>
      <w:r w:rsidRPr="008C40DD">
        <w:rPr>
          <w:szCs w:val="24"/>
          <w:lang w:eastAsia="en-GB"/>
        </w:rPr>
        <w:t>, modifier comme suit</w:t>
      </w:r>
      <w:r w:rsidR="00E05D2F" w:rsidRPr="008C40DD">
        <w:rPr>
          <w:szCs w:val="24"/>
          <w:lang w:eastAsia="en-GB"/>
        </w:rPr>
        <w:t> </w:t>
      </w:r>
      <w:r w:rsidRPr="008C40DD">
        <w:rPr>
          <w:szCs w:val="24"/>
          <w:lang w:eastAsia="en-GB"/>
        </w:rPr>
        <w:t>:</w:t>
      </w:r>
    </w:p>
    <w:p w:rsidR="00774522" w:rsidRPr="008C40DD" w:rsidRDefault="00E05D2F" w:rsidP="00774522">
      <w:pPr>
        <w:kinsoku/>
        <w:overflowPunct/>
        <w:autoSpaceDE/>
        <w:autoSpaceDN/>
        <w:adjustRightInd/>
        <w:snapToGrid/>
        <w:spacing w:after="120"/>
        <w:ind w:left="2268" w:right="1134" w:hanging="1134"/>
        <w:jc w:val="both"/>
        <w:rPr>
          <w:szCs w:val="24"/>
          <w:lang w:eastAsia="en-GB"/>
        </w:rPr>
      </w:pPr>
      <w:r w:rsidRPr="008C40DD">
        <w:rPr>
          <w:szCs w:val="24"/>
          <w:lang w:eastAsia="en-GB"/>
        </w:rPr>
        <w:t>« </w:t>
      </w:r>
      <w:r w:rsidR="00774522" w:rsidRPr="008C40DD">
        <w:rPr>
          <w:szCs w:val="24"/>
          <w:lang w:eastAsia="en-GB"/>
        </w:rPr>
        <w:t>8.4.2.4.</w:t>
      </w:r>
      <w:r w:rsidR="00774522" w:rsidRPr="008C40DD">
        <w:rPr>
          <w:szCs w:val="24"/>
          <w:lang w:eastAsia="en-GB"/>
        </w:rPr>
        <w:tab/>
        <w:t>L’alerte de deuxième niveau est une alerte visuelle et sonore activée pendant au moins</w:t>
      </w:r>
      <w:r w:rsidR="00FB4CCE">
        <w:rPr>
          <w:szCs w:val="24"/>
          <w:lang w:eastAsia="en-GB"/>
        </w:rPr>
        <w:t xml:space="preserve"> 30 </w:t>
      </w:r>
      <w:r w:rsidR="00774522" w:rsidRPr="008C40DD">
        <w:rPr>
          <w:szCs w:val="24"/>
          <w:lang w:eastAsia="en-GB"/>
        </w:rPr>
        <w:t xml:space="preserve">s </w:t>
      </w:r>
      <w:r w:rsidR="00774522" w:rsidRPr="008C40DD">
        <w:rPr>
          <w:strike/>
          <w:szCs w:val="24"/>
          <w:lang w:eastAsia="en-GB"/>
        </w:rPr>
        <w:t>sauf dans les cas</w:t>
      </w:r>
      <w:r w:rsidR="00774522" w:rsidRPr="008C40DD">
        <w:rPr>
          <w:szCs w:val="24"/>
          <w:lang w:eastAsia="en-GB"/>
        </w:rPr>
        <w:t xml:space="preserve"> sans compter les périodes où l’alerte </w:t>
      </w:r>
      <w:r w:rsidR="00774522" w:rsidRPr="008C40DD">
        <w:rPr>
          <w:b/>
          <w:szCs w:val="24"/>
          <w:lang w:eastAsia="en-GB"/>
        </w:rPr>
        <w:t>pourrait s’arrêter</w:t>
      </w:r>
      <w:r w:rsidR="00774522" w:rsidRPr="008C40DD">
        <w:rPr>
          <w:szCs w:val="24"/>
          <w:lang w:eastAsia="en-GB"/>
        </w:rPr>
        <w:t xml:space="preserve"> </w:t>
      </w:r>
      <w:r w:rsidR="00774522" w:rsidRPr="008C40DD">
        <w:rPr>
          <w:strike/>
          <w:szCs w:val="24"/>
          <w:lang w:eastAsia="en-GB"/>
        </w:rPr>
        <w:t>s’arrête</w:t>
      </w:r>
      <w:r w:rsidR="00774522" w:rsidRPr="008C40DD">
        <w:rPr>
          <w:szCs w:val="24"/>
          <w:lang w:eastAsia="en-GB"/>
        </w:rPr>
        <w:t xml:space="preserve"> pendant </w:t>
      </w:r>
      <w:r w:rsidR="00774522" w:rsidRPr="008C40DD">
        <w:rPr>
          <w:strike/>
          <w:szCs w:val="24"/>
          <w:lang w:eastAsia="en-GB"/>
        </w:rPr>
        <w:t>plus de</w:t>
      </w:r>
      <w:r w:rsidR="00FB4CCE">
        <w:rPr>
          <w:szCs w:val="24"/>
          <w:lang w:eastAsia="en-GB"/>
        </w:rPr>
        <w:t xml:space="preserve"> 3 </w:t>
      </w:r>
      <w:r w:rsidR="00774522" w:rsidRPr="008C40DD">
        <w:rPr>
          <w:szCs w:val="24"/>
          <w:lang w:eastAsia="en-GB"/>
        </w:rPr>
        <w:t xml:space="preserve">s </w:t>
      </w:r>
      <w:r w:rsidR="00774522" w:rsidRPr="008C40DD">
        <w:rPr>
          <w:b/>
          <w:szCs w:val="24"/>
          <w:lang w:eastAsia="en-GB"/>
        </w:rPr>
        <w:t>au plus</w:t>
      </w:r>
      <w:r w:rsidR="00774522" w:rsidRPr="008C40DD">
        <w:rPr>
          <w:szCs w:val="24"/>
          <w:lang w:eastAsia="en-GB"/>
        </w:rPr>
        <w:t xml:space="preserve"> </w:t>
      </w:r>
      <w:r w:rsidR="00774522" w:rsidRPr="008C40DD">
        <w:rPr>
          <w:strike/>
          <w:szCs w:val="24"/>
          <w:lang w:eastAsia="en-GB"/>
        </w:rPr>
        <w:t xml:space="preserve">lorsque la ceinture de sécurité n’est pas bouclée, que le véhicule est en utilisation normale et qu’au moins l’une des conditions suivantes (ou toute combinaison de celles-ci </w:t>
      </w:r>
      <w:r w:rsidR="00774522" w:rsidRPr="008C40DD">
        <w:rPr>
          <w:szCs w:val="24"/>
          <w:lang w:eastAsia="en-GB"/>
        </w:rPr>
        <w:t xml:space="preserve">est) </w:t>
      </w:r>
      <w:r w:rsidR="00774522" w:rsidRPr="008C40DD">
        <w:rPr>
          <w:b/>
          <w:szCs w:val="24"/>
          <w:lang w:eastAsia="en-GB"/>
        </w:rPr>
        <w:t>quand</w:t>
      </w:r>
      <w:r w:rsidR="00774522" w:rsidRPr="008C40DD">
        <w:rPr>
          <w:szCs w:val="24"/>
          <w:lang w:eastAsia="en-GB"/>
        </w:rPr>
        <w:t xml:space="preserve"> </w:t>
      </w:r>
      <w:r w:rsidR="00774522" w:rsidRPr="008C40DD">
        <w:rPr>
          <w:b/>
          <w:szCs w:val="24"/>
          <w:lang w:eastAsia="en-GB"/>
        </w:rPr>
        <w:t>l’une au moins des conditions énoncées aux paragraphes 8.4.2.4.1 et 8.4.2.4.2 est remplie. L’alerte de deuxième niveau doit remplacer l’alerte de premier niveau alors que cette même alerte de premier niveau est encore active.</w:t>
      </w:r>
      <w:r w:rsidR="00CF287C" w:rsidRPr="008C40DD">
        <w:rPr>
          <w:szCs w:val="24"/>
          <w:lang w:eastAsia="en-GB"/>
        </w:rPr>
        <w:t> »</w:t>
      </w:r>
      <w:r w:rsidR="00774522" w:rsidRPr="008C40DD">
        <w:rPr>
          <w:szCs w:val="24"/>
          <w:lang w:eastAsia="en-GB"/>
        </w:rPr>
        <w:t>.</w:t>
      </w:r>
    </w:p>
    <w:p w:rsidR="00774522" w:rsidRPr="008C40DD" w:rsidRDefault="00774522" w:rsidP="00774522">
      <w:pPr>
        <w:tabs>
          <w:tab w:val="center" w:pos="4819"/>
        </w:tabs>
        <w:kinsoku/>
        <w:overflowPunct/>
        <w:autoSpaceDE/>
        <w:autoSpaceDN/>
        <w:adjustRightInd/>
        <w:snapToGrid/>
        <w:spacing w:after="120"/>
        <w:ind w:left="2268" w:right="1134" w:hanging="1134"/>
        <w:jc w:val="both"/>
        <w:rPr>
          <w:szCs w:val="24"/>
          <w:lang w:eastAsia="en-GB"/>
        </w:rPr>
      </w:pPr>
      <w:r w:rsidRPr="008C40DD">
        <w:rPr>
          <w:i/>
          <w:szCs w:val="24"/>
          <w:lang w:eastAsia="en-GB"/>
        </w:rPr>
        <w:t>Paragraphe 8.4.2.4.1</w:t>
      </w:r>
      <w:r w:rsidRPr="008C40DD">
        <w:rPr>
          <w:szCs w:val="24"/>
          <w:lang w:eastAsia="en-GB"/>
        </w:rPr>
        <w:t>, supprimer</w:t>
      </w:r>
      <w:r w:rsidRPr="008C40DD">
        <w:rPr>
          <w:szCs w:val="24"/>
          <w:lang w:eastAsia="ja-JP"/>
        </w:rPr>
        <w:t>.</w:t>
      </w:r>
    </w:p>
    <w:p w:rsidR="00774522" w:rsidRPr="008C40DD" w:rsidRDefault="00774522" w:rsidP="00774522">
      <w:pPr>
        <w:kinsoku/>
        <w:overflowPunct/>
        <w:autoSpaceDE/>
        <w:autoSpaceDN/>
        <w:adjustRightInd/>
        <w:snapToGrid/>
        <w:spacing w:after="120"/>
        <w:ind w:left="2268" w:right="1134" w:hanging="1134"/>
        <w:jc w:val="both"/>
        <w:rPr>
          <w:szCs w:val="24"/>
          <w:lang w:eastAsia="en-GB"/>
        </w:rPr>
      </w:pPr>
      <w:r w:rsidRPr="008C40DD">
        <w:rPr>
          <w:i/>
          <w:szCs w:val="24"/>
          <w:lang w:eastAsia="en-GB"/>
        </w:rPr>
        <w:t>Ajouter un nouveau paragraphe 8.4.2.4.1</w:t>
      </w:r>
      <w:r w:rsidRPr="008C40DD">
        <w:rPr>
          <w:szCs w:val="24"/>
          <w:lang w:eastAsia="en-GB"/>
        </w:rPr>
        <w:t>, ainsi conçu</w:t>
      </w:r>
      <w:r w:rsidR="00CF287C" w:rsidRPr="008C40DD">
        <w:rPr>
          <w:szCs w:val="24"/>
          <w:lang w:eastAsia="en-GB"/>
        </w:rPr>
        <w:t> </w:t>
      </w:r>
      <w:r w:rsidRPr="008C40DD">
        <w:rPr>
          <w:szCs w:val="24"/>
          <w:lang w:eastAsia="en-GB"/>
        </w:rPr>
        <w:t>:</w:t>
      </w:r>
    </w:p>
    <w:p w:rsidR="00774522" w:rsidRPr="008C40DD" w:rsidRDefault="00CF287C" w:rsidP="00CF287C">
      <w:pPr>
        <w:kinsoku/>
        <w:overflowPunct/>
        <w:autoSpaceDE/>
        <w:autoSpaceDN/>
        <w:adjustRightInd/>
        <w:snapToGrid/>
        <w:spacing w:after="120"/>
        <w:ind w:left="2268" w:right="1134" w:hanging="1134"/>
        <w:jc w:val="both"/>
        <w:rPr>
          <w:b/>
          <w:szCs w:val="24"/>
          <w:lang w:eastAsia="ja-JP"/>
        </w:rPr>
      </w:pPr>
      <w:r w:rsidRPr="008C40DD">
        <w:rPr>
          <w:szCs w:val="24"/>
          <w:lang w:eastAsia="en-GB"/>
        </w:rPr>
        <w:t>« </w:t>
      </w:r>
      <w:r w:rsidR="00774522" w:rsidRPr="008C40DD">
        <w:rPr>
          <w:b/>
          <w:szCs w:val="24"/>
          <w:lang w:eastAsia="en-GB"/>
        </w:rPr>
        <w:t>8.4.2.4.1</w:t>
      </w:r>
      <w:r w:rsidR="00774522" w:rsidRPr="008C40DD">
        <w:rPr>
          <w:szCs w:val="24"/>
          <w:lang w:eastAsia="ja-JP"/>
        </w:rPr>
        <w:tab/>
      </w:r>
      <w:r w:rsidR="00774522" w:rsidRPr="008C40DD">
        <w:rPr>
          <w:b/>
          <w:szCs w:val="24"/>
          <w:lang w:eastAsia="ja-JP"/>
        </w:rPr>
        <w:t>Lorsqu’une ceinture de sécurité visée par le paragraphe 8.4.1.1 n’est pas bouclée ou qu’on la déboucle, dans les deux cas, quand le véhicule est en utilisation normale et que l’une au moins des conditions énoncées aux paragraphes 8.4.2.4.2.1 et 8.4.2.4.2.3 (ou toute combinaison entre elles) est remplie.</w:t>
      </w:r>
      <w:r w:rsidRPr="008C40DD">
        <w:rPr>
          <w:szCs w:val="24"/>
          <w:lang w:eastAsia="ja-JP"/>
        </w:rPr>
        <w:t> ».</w:t>
      </w:r>
    </w:p>
    <w:p w:rsidR="00774522" w:rsidRPr="008C40DD" w:rsidRDefault="00774522" w:rsidP="00774522">
      <w:pPr>
        <w:kinsoku/>
        <w:overflowPunct/>
        <w:autoSpaceDE/>
        <w:autoSpaceDN/>
        <w:adjustRightInd/>
        <w:snapToGrid/>
        <w:spacing w:after="120"/>
        <w:ind w:left="2268" w:right="1134" w:hanging="1134"/>
        <w:jc w:val="both"/>
        <w:rPr>
          <w:szCs w:val="24"/>
          <w:lang w:eastAsia="ja-JP"/>
        </w:rPr>
      </w:pPr>
      <w:r w:rsidRPr="008C40DD">
        <w:rPr>
          <w:i/>
          <w:szCs w:val="24"/>
          <w:lang w:eastAsia="en-GB"/>
        </w:rPr>
        <w:t>Paragraphes 8.4.2.4.2 et 8.4.2.4.3</w:t>
      </w:r>
      <w:r w:rsidRPr="008C40DD">
        <w:rPr>
          <w:szCs w:val="24"/>
          <w:lang w:eastAsia="en-GB"/>
        </w:rPr>
        <w:t>, supprimer</w:t>
      </w:r>
      <w:r w:rsidRPr="008C40DD">
        <w:rPr>
          <w:szCs w:val="24"/>
          <w:lang w:eastAsia="ja-JP"/>
        </w:rPr>
        <w:t>.</w:t>
      </w:r>
    </w:p>
    <w:p w:rsidR="00774522" w:rsidRPr="008C40DD" w:rsidRDefault="00774522" w:rsidP="00774522">
      <w:pPr>
        <w:kinsoku/>
        <w:overflowPunct/>
        <w:autoSpaceDE/>
        <w:autoSpaceDN/>
        <w:adjustRightInd/>
        <w:snapToGrid/>
        <w:spacing w:after="120"/>
        <w:ind w:left="2268" w:right="1134" w:hanging="1134"/>
        <w:jc w:val="both"/>
        <w:rPr>
          <w:szCs w:val="24"/>
          <w:lang w:eastAsia="en-GB"/>
        </w:rPr>
      </w:pPr>
      <w:r w:rsidRPr="008C40DD">
        <w:rPr>
          <w:i/>
          <w:szCs w:val="24"/>
          <w:lang w:eastAsia="en-GB"/>
        </w:rPr>
        <w:t>Ajouter de nouveaux paragraphes 8.4.2.4.2 à 8.4.2.4.2.</w:t>
      </w:r>
      <w:r w:rsidRPr="008C40DD">
        <w:rPr>
          <w:i/>
          <w:szCs w:val="24"/>
          <w:lang w:eastAsia="ja-JP"/>
        </w:rPr>
        <w:t>4</w:t>
      </w:r>
      <w:r w:rsidRPr="008C40DD">
        <w:rPr>
          <w:szCs w:val="24"/>
          <w:lang w:eastAsia="en-GB"/>
        </w:rPr>
        <w:t>, ainsi conçus</w:t>
      </w:r>
      <w:r w:rsidR="00CF287C" w:rsidRPr="008C40DD">
        <w:rPr>
          <w:szCs w:val="24"/>
          <w:lang w:eastAsia="en-GB"/>
        </w:rPr>
        <w:t> </w:t>
      </w:r>
      <w:r w:rsidRPr="008C40DD">
        <w:rPr>
          <w:szCs w:val="24"/>
          <w:lang w:eastAsia="en-GB"/>
        </w:rPr>
        <w:t>:</w:t>
      </w:r>
    </w:p>
    <w:p w:rsidR="00774522" w:rsidRPr="008C40DD" w:rsidRDefault="00CF287C" w:rsidP="00CF287C">
      <w:pPr>
        <w:kinsoku/>
        <w:overflowPunct/>
        <w:autoSpaceDE/>
        <w:autoSpaceDN/>
        <w:adjustRightInd/>
        <w:snapToGrid/>
        <w:spacing w:after="120"/>
        <w:ind w:left="2268" w:right="1134" w:hanging="1134"/>
        <w:jc w:val="both"/>
        <w:rPr>
          <w:b/>
          <w:szCs w:val="24"/>
          <w:lang w:eastAsia="en-GB"/>
        </w:rPr>
      </w:pPr>
      <w:r w:rsidRPr="008C40DD">
        <w:rPr>
          <w:szCs w:val="24"/>
          <w:lang w:eastAsia="en-GB"/>
        </w:rPr>
        <w:t>« </w:t>
      </w:r>
      <w:r w:rsidR="00774522" w:rsidRPr="008C40DD">
        <w:rPr>
          <w:b/>
          <w:szCs w:val="24"/>
          <w:lang w:eastAsia="en-GB"/>
        </w:rPr>
        <w:t>8.4.2.4.2</w:t>
      </w:r>
      <w:r w:rsidR="00774522" w:rsidRPr="008C40DD">
        <w:rPr>
          <w:b/>
          <w:szCs w:val="24"/>
          <w:lang w:eastAsia="en-GB"/>
        </w:rPr>
        <w:tab/>
        <w:t>Lorsqu’une ceinture de sécurité visée par le paragraphe 8.4.1.2 est débouclée, quand le véhicule est en utilisation normale et que l’une au moins des conditions énoncées aux paragraphes 8.4.2.4.2.1 à 8.4.2.4.2.4 (ou toute combinaison entre elles) est remplie.</w:t>
      </w:r>
    </w:p>
    <w:p w:rsidR="00774522" w:rsidRPr="008C40DD" w:rsidRDefault="00774522" w:rsidP="00774522">
      <w:pPr>
        <w:kinsoku/>
        <w:overflowPunct/>
        <w:autoSpaceDE/>
        <w:autoSpaceDN/>
        <w:adjustRightInd/>
        <w:snapToGrid/>
        <w:spacing w:after="120"/>
        <w:ind w:left="2268" w:right="1134" w:hanging="1134"/>
        <w:jc w:val="both"/>
        <w:rPr>
          <w:b/>
          <w:szCs w:val="24"/>
          <w:lang w:eastAsia="ja-JP"/>
        </w:rPr>
      </w:pPr>
      <w:r w:rsidRPr="008C40DD">
        <w:rPr>
          <w:b/>
          <w:szCs w:val="24"/>
          <w:lang w:eastAsia="ja-JP"/>
        </w:rPr>
        <w:t>8.4.2.4.2.1</w:t>
      </w:r>
      <w:r w:rsidRPr="008C40DD">
        <w:rPr>
          <w:b/>
          <w:szCs w:val="24"/>
          <w:lang w:eastAsia="ja-JP"/>
        </w:rPr>
        <w:tab/>
        <w:t>La distance parcourue est supérieure à la valeur seuil de déclenchement. La valeur seuil ne</w:t>
      </w:r>
      <w:r w:rsidR="00CF287C" w:rsidRPr="008C40DD">
        <w:rPr>
          <w:b/>
          <w:szCs w:val="24"/>
          <w:lang w:eastAsia="ja-JP"/>
        </w:rPr>
        <w:t xml:space="preserve"> doit pas être supérieure à 500 </w:t>
      </w:r>
      <w:r w:rsidRPr="008C40DD">
        <w:rPr>
          <w:b/>
          <w:szCs w:val="24"/>
          <w:lang w:eastAsia="ja-JP"/>
        </w:rPr>
        <w:t>m. La distance pendant laquelle le véhicule n’est pas en utilisation normale doit être exclue.</w:t>
      </w:r>
    </w:p>
    <w:p w:rsidR="00774522" w:rsidRPr="008C40DD" w:rsidRDefault="00774522" w:rsidP="00774522">
      <w:pPr>
        <w:kinsoku/>
        <w:overflowPunct/>
        <w:autoSpaceDE/>
        <w:autoSpaceDN/>
        <w:adjustRightInd/>
        <w:snapToGrid/>
        <w:spacing w:after="120"/>
        <w:ind w:left="2268" w:right="1134" w:hanging="1134"/>
        <w:jc w:val="both"/>
        <w:rPr>
          <w:b/>
          <w:szCs w:val="24"/>
          <w:lang w:eastAsia="ja-JP"/>
        </w:rPr>
      </w:pPr>
      <w:r w:rsidRPr="008C40DD">
        <w:rPr>
          <w:b/>
          <w:szCs w:val="24"/>
          <w:lang w:eastAsia="ja-JP"/>
        </w:rPr>
        <w:t>8.4.2.4.2.2</w:t>
      </w:r>
      <w:r w:rsidRPr="008C40DD">
        <w:rPr>
          <w:b/>
          <w:szCs w:val="24"/>
          <w:lang w:eastAsia="ja-JP"/>
        </w:rPr>
        <w:tab/>
        <w:t>La vitesse du véhicule est supérieure à la valeur seuil de déclenchement. La valeur seuil n</w:t>
      </w:r>
      <w:r w:rsidR="00CF287C" w:rsidRPr="008C40DD">
        <w:rPr>
          <w:b/>
          <w:szCs w:val="24"/>
          <w:lang w:eastAsia="ja-JP"/>
        </w:rPr>
        <w:t>e doit pas être supérieure à 25 </w:t>
      </w:r>
      <w:r w:rsidRPr="008C40DD">
        <w:rPr>
          <w:b/>
          <w:szCs w:val="24"/>
          <w:lang w:eastAsia="ja-JP"/>
        </w:rPr>
        <w:t>km/h.</w:t>
      </w:r>
    </w:p>
    <w:p w:rsidR="00774522" w:rsidRPr="008C40DD" w:rsidRDefault="00774522" w:rsidP="00774522">
      <w:pPr>
        <w:kinsoku/>
        <w:overflowPunct/>
        <w:autoSpaceDE/>
        <w:autoSpaceDN/>
        <w:adjustRightInd/>
        <w:snapToGrid/>
        <w:spacing w:after="120"/>
        <w:ind w:left="2268" w:right="1134" w:hanging="1134"/>
        <w:jc w:val="both"/>
        <w:rPr>
          <w:b/>
          <w:szCs w:val="24"/>
          <w:lang w:eastAsia="ja-JP"/>
        </w:rPr>
      </w:pPr>
      <w:r w:rsidRPr="008C40DD">
        <w:rPr>
          <w:b/>
          <w:szCs w:val="24"/>
          <w:lang w:eastAsia="ja-JP"/>
        </w:rPr>
        <w:t>8.4.2.4.2.3</w:t>
      </w:r>
      <w:r w:rsidRPr="008C40DD">
        <w:rPr>
          <w:b/>
          <w:szCs w:val="24"/>
          <w:lang w:eastAsia="ja-JP"/>
        </w:rPr>
        <w:tab/>
        <w:t>La durée d’utilisation (moteur tournant, système de propulsion activé, etc.) est supérieure à la valeur seuil de déclenchement. La valeur seuil ne doit pas être supérieur</w:t>
      </w:r>
      <w:r w:rsidR="00CF287C" w:rsidRPr="008C40DD">
        <w:rPr>
          <w:b/>
          <w:szCs w:val="24"/>
          <w:lang w:eastAsia="ja-JP"/>
        </w:rPr>
        <w:t>e à 60 </w:t>
      </w:r>
      <w:r w:rsidRPr="008C40DD">
        <w:rPr>
          <w:b/>
          <w:szCs w:val="24"/>
          <w:lang w:eastAsia="ja-JP"/>
        </w:rPr>
        <w:t xml:space="preserve">s. La durée de l’alerte de premier niveau ainsi que le temps durant lequel le véhicule n’est pas en utilisation normale doivent être exclus. </w:t>
      </w:r>
    </w:p>
    <w:p w:rsidR="00774522" w:rsidRPr="008C40DD" w:rsidRDefault="00774522" w:rsidP="00774522">
      <w:pPr>
        <w:kinsoku/>
        <w:overflowPunct/>
        <w:autoSpaceDE/>
        <w:autoSpaceDN/>
        <w:adjustRightInd/>
        <w:snapToGrid/>
        <w:spacing w:after="120"/>
        <w:ind w:left="2268" w:right="1134" w:hanging="1134"/>
        <w:jc w:val="both"/>
        <w:rPr>
          <w:szCs w:val="24"/>
          <w:lang w:eastAsia="ja-JP"/>
        </w:rPr>
      </w:pPr>
      <w:r w:rsidRPr="008C40DD">
        <w:rPr>
          <w:b/>
          <w:szCs w:val="24"/>
          <w:lang w:eastAsia="ja-JP"/>
        </w:rPr>
        <w:t>8.4.2.4.2.4</w:t>
      </w:r>
      <w:r w:rsidRPr="008C40DD">
        <w:rPr>
          <w:b/>
          <w:szCs w:val="24"/>
          <w:lang w:eastAsia="ja-JP"/>
        </w:rPr>
        <w:tab/>
        <w:t>Les valeurs seuils de déclenchement des témoins de port de ceinture indiquées aux paragraphes 8.4.2.4.2.1 à 8.4.2.4.2.3 peuvent être réinitialisées lorsque l’une des portes a été ouverte à l’arrêt.</w:t>
      </w:r>
      <w:r w:rsidR="00CF287C" w:rsidRPr="008C40DD">
        <w:rPr>
          <w:szCs w:val="24"/>
          <w:lang w:eastAsia="ja-JP"/>
        </w:rPr>
        <w:t> ».</w:t>
      </w:r>
    </w:p>
    <w:p w:rsidR="00774522" w:rsidRPr="008C40DD" w:rsidRDefault="00774522" w:rsidP="00CF287C">
      <w:pPr>
        <w:keepNext/>
        <w:kinsoku/>
        <w:overflowPunct/>
        <w:autoSpaceDE/>
        <w:autoSpaceDN/>
        <w:adjustRightInd/>
        <w:snapToGrid/>
        <w:spacing w:after="120"/>
        <w:ind w:left="2268" w:right="1134" w:hanging="1134"/>
        <w:jc w:val="both"/>
        <w:rPr>
          <w:szCs w:val="24"/>
          <w:lang w:eastAsia="en-GB"/>
        </w:rPr>
      </w:pPr>
      <w:r w:rsidRPr="008C40DD">
        <w:rPr>
          <w:i/>
          <w:szCs w:val="24"/>
          <w:lang w:eastAsia="en-GB"/>
        </w:rPr>
        <w:t>Paragraphe 8.4.2.6.</w:t>
      </w:r>
      <w:r w:rsidRPr="008C40DD">
        <w:rPr>
          <w:i/>
          <w:szCs w:val="24"/>
          <w:lang w:eastAsia="ja-JP"/>
        </w:rPr>
        <w:t>1</w:t>
      </w:r>
      <w:r w:rsidRPr="008C40DD">
        <w:rPr>
          <w:szCs w:val="24"/>
          <w:lang w:eastAsia="en-GB"/>
        </w:rPr>
        <w:t>, modifier comme suit</w:t>
      </w:r>
      <w:r w:rsidR="00CF287C" w:rsidRPr="008C40DD">
        <w:rPr>
          <w:szCs w:val="24"/>
          <w:lang w:eastAsia="en-GB"/>
        </w:rPr>
        <w:t> </w:t>
      </w:r>
      <w:r w:rsidRPr="008C40DD">
        <w:rPr>
          <w:szCs w:val="24"/>
          <w:lang w:eastAsia="en-GB"/>
        </w:rPr>
        <w:t>:</w:t>
      </w:r>
    </w:p>
    <w:p w:rsidR="00774522" w:rsidRPr="008C40DD" w:rsidRDefault="00CF287C" w:rsidP="00CF287C">
      <w:pPr>
        <w:kinsoku/>
        <w:overflowPunct/>
        <w:autoSpaceDE/>
        <w:autoSpaceDN/>
        <w:adjustRightInd/>
        <w:snapToGrid/>
        <w:spacing w:after="120"/>
        <w:ind w:left="2268" w:right="1134" w:hanging="1134"/>
        <w:jc w:val="both"/>
        <w:rPr>
          <w:b/>
          <w:szCs w:val="24"/>
          <w:lang w:eastAsia="en-GB"/>
        </w:rPr>
      </w:pPr>
      <w:r w:rsidRPr="008C40DD">
        <w:rPr>
          <w:szCs w:val="24"/>
          <w:lang w:eastAsia="en-GB"/>
        </w:rPr>
        <w:t>« </w:t>
      </w:r>
      <w:r w:rsidR="00774522" w:rsidRPr="008C40DD">
        <w:rPr>
          <w:szCs w:val="24"/>
          <w:lang w:eastAsia="en-GB"/>
        </w:rPr>
        <w:t>8.4.2.6.1</w:t>
      </w:r>
      <w:r w:rsidR="00774522" w:rsidRPr="008C40DD">
        <w:rPr>
          <w:szCs w:val="24"/>
          <w:lang w:eastAsia="en-GB"/>
        </w:rPr>
        <w:tab/>
        <w:t xml:space="preserve">Dans le cas d’une désactivation de courte durée, il doit être </w:t>
      </w:r>
      <w:r w:rsidR="00774522" w:rsidRPr="008C40DD">
        <w:rPr>
          <w:b/>
          <w:szCs w:val="24"/>
          <w:lang w:eastAsia="en-GB"/>
        </w:rPr>
        <w:t>beaucoup</w:t>
      </w:r>
      <w:r w:rsidR="00774522" w:rsidRPr="008C40DD">
        <w:rPr>
          <w:szCs w:val="24"/>
          <w:lang w:eastAsia="en-GB"/>
        </w:rPr>
        <w:t xml:space="preserve"> plus compliqué de désactiver le témoin de port de ceinture que de boucler et déboucler la ceinture </w:t>
      </w:r>
      <w:r w:rsidR="00774522" w:rsidRPr="008C40DD">
        <w:rPr>
          <w:b/>
          <w:szCs w:val="24"/>
          <w:lang w:eastAsia="en-GB"/>
        </w:rPr>
        <w:t>(il doit s’agir d’une opération de commande spécifique qui n’est pas intégrée dans la boucle de sécurité) et cette opération ne doit être possible que lorsque le véhicule est à l’arrêt</w:t>
      </w:r>
      <w:r w:rsidR="00774522" w:rsidRPr="008C40DD">
        <w:rPr>
          <w:szCs w:val="24"/>
          <w:lang w:eastAsia="en-GB"/>
        </w:rPr>
        <w:t xml:space="preserve">. Quand le contact </w:t>
      </w:r>
      <w:r w:rsidR="00774522" w:rsidRPr="008C40DD">
        <w:rPr>
          <w:strike/>
          <w:szCs w:val="24"/>
          <w:lang w:eastAsia="en-GB"/>
        </w:rPr>
        <w:t>est coupé</w:t>
      </w:r>
      <w:r w:rsidR="00774522" w:rsidRPr="008C40DD">
        <w:rPr>
          <w:szCs w:val="24"/>
          <w:lang w:eastAsia="en-GB"/>
        </w:rPr>
        <w:t xml:space="preserve"> </w:t>
      </w:r>
      <w:r w:rsidR="00774522" w:rsidRPr="008C40DD">
        <w:rPr>
          <w:b/>
          <w:szCs w:val="24"/>
          <w:lang w:eastAsia="en-GB"/>
        </w:rPr>
        <w:t>ou le commutateur de contact du véhicule</w:t>
      </w:r>
      <w:r w:rsidR="00774522" w:rsidRPr="008C40DD">
        <w:rPr>
          <w:szCs w:val="24"/>
          <w:lang w:eastAsia="en-GB"/>
        </w:rPr>
        <w:t xml:space="preserve"> </w:t>
      </w:r>
      <w:r w:rsidR="00774522" w:rsidRPr="008C40DD">
        <w:rPr>
          <w:b/>
          <w:szCs w:val="24"/>
          <w:lang w:eastAsia="en-GB"/>
        </w:rPr>
        <w:t>est</w:t>
      </w:r>
      <w:r w:rsidR="00774522" w:rsidRPr="008C40DD">
        <w:rPr>
          <w:szCs w:val="24"/>
          <w:lang w:eastAsia="en-GB"/>
        </w:rPr>
        <w:t xml:space="preserve"> </w:t>
      </w:r>
      <w:r w:rsidR="00774522" w:rsidRPr="008C40DD">
        <w:rPr>
          <w:b/>
          <w:szCs w:val="24"/>
          <w:lang w:eastAsia="en-GB"/>
        </w:rPr>
        <w:t>désactivé</w:t>
      </w:r>
      <w:r w:rsidRPr="008C40DD">
        <w:rPr>
          <w:szCs w:val="24"/>
          <w:lang w:eastAsia="en-GB"/>
        </w:rPr>
        <w:t xml:space="preserve"> pendant plus de 30 </w:t>
      </w:r>
      <w:r w:rsidR="00774522" w:rsidRPr="008C40DD">
        <w:rPr>
          <w:szCs w:val="24"/>
          <w:lang w:eastAsia="en-GB"/>
        </w:rPr>
        <w:t xml:space="preserve">min puis réactivé, le témoin de port de ceinture brièvement désactivé doit se réactiver. </w:t>
      </w:r>
      <w:r w:rsidR="00774522" w:rsidRPr="008C40DD">
        <w:rPr>
          <w:b/>
          <w:szCs w:val="24"/>
          <w:lang w:eastAsia="en-GB"/>
        </w:rPr>
        <w:t>Une désactivation de courte durée de l’alerte ou des alertes visuelle(s) correspondante(s) ne doit pas être possible.</w:t>
      </w:r>
      <w:r w:rsidRPr="008C40DD">
        <w:rPr>
          <w:szCs w:val="24"/>
          <w:lang w:eastAsia="en-GB"/>
        </w:rPr>
        <w:t> »</w:t>
      </w:r>
      <w:r w:rsidR="00774522" w:rsidRPr="008C40DD">
        <w:rPr>
          <w:szCs w:val="24"/>
          <w:lang w:eastAsia="en-GB"/>
        </w:rPr>
        <w:t>.</w:t>
      </w:r>
    </w:p>
    <w:p w:rsidR="00774522" w:rsidRPr="008C40DD" w:rsidRDefault="00774522" w:rsidP="00774522">
      <w:pPr>
        <w:kinsoku/>
        <w:overflowPunct/>
        <w:autoSpaceDE/>
        <w:autoSpaceDN/>
        <w:adjustRightInd/>
        <w:snapToGrid/>
        <w:spacing w:after="120"/>
        <w:ind w:left="2250" w:right="1134" w:hanging="1116"/>
        <w:jc w:val="both"/>
        <w:rPr>
          <w:szCs w:val="24"/>
        </w:rPr>
      </w:pPr>
      <w:r w:rsidRPr="008C40DD">
        <w:rPr>
          <w:i/>
          <w:szCs w:val="24"/>
        </w:rPr>
        <w:t>Ajouter de nouveaux paragraphes 15.4 à 15.</w:t>
      </w:r>
      <w:r w:rsidRPr="008C40DD">
        <w:rPr>
          <w:i/>
          <w:szCs w:val="24"/>
          <w:lang w:eastAsia="ja-JP"/>
        </w:rPr>
        <w:t>4</w:t>
      </w:r>
      <w:r w:rsidRPr="008C40DD">
        <w:rPr>
          <w:i/>
          <w:szCs w:val="24"/>
        </w:rPr>
        <w:t>.3</w:t>
      </w:r>
      <w:r w:rsidRPr="008C40DD">
        <w:rPr>
          <w:iCs/>
          <w:szCs w:val="24"/>
        </w:rPr>
        <w:t>,</w:t>
      </w:r>
      <w:r w:rsidRPr="008C40DD">
        <w:rPr>
          <w:szCs w:val="24"/>
        </w:rPr>
        <w:t xml:space="preserve"> ainsi conçus</w:t>
      </w:r>
      <w:r w:rsidR="00CF287C" w:rsidRPr="008C40DD">
        <w:rPr>
          <w:szCs w:val="24"/>
        </w:rPr>
        <w:t> </w:t>
      </w:r>
      <w:r w:rsidRPr="008C40DD">
        <w:rPr>
          <w:szCs w:val="24"/>
        </w:rPr>
        <w:t>:</w:t>
      </w:r>
    </w:p>
    <w:p w:rsidR="00774522" w:rsidRPr="008C40DD" w:rsidRDefault="00CF287C" w:rsidP="00CF287C">
      <w:pPr>
        <w:kinsoku/>
        <w:overflowPunct/>
        <w:autoSpaceDE/>
        <w:autoSpaceDN/>
        <w:adjustRightInd/>
        <w:snapToGrid/>
        <w:spacing w:after="120"/>
        <w:ind w:left="2250" w:right="1134" w:hanging="1116"/>
        <w:jc w:val="both"/>
        <w:rPr>
          <w:b/>
          <w:szCs w:val="24"/>
          <w:lang w:eastAsia="en-GB"/>
        </w:rPr>
      </w:pPr>
      <w:r w:rsidRPr="008C40DD">
        <w:rPr>
          <w:szCs w:val="24"/>
          <w:lang w:eastAsia="en-GB"/>
        </w:rPr>
        <w:t>« </w:t>
      </w:r>
      <w:r w:rsidR="00774522" w:rsidRPr="008C40DD">
        <w:rPr>
          <w:b/>
          <w:szCs w:val="24"/>
          <w:lang w:eastAsia="en-GB"/>
        </w:rPr>
        <w:t>15.4</w:t>
      </w:r>
      <w:r w:rsidR="00774522" w:rsidRPr="008C40DD">
        <w:rPr>
          <w:b/>
          <w:szCs w:val="24"/>
          <w:lang w:eastAsia="en-GB"/>
        </w:rPr>
        <w:tab/>
        <w:t xml:space="preserve">À compter de la date officielle </w:t>
      </w:r>
      <w:r w:rsidRPr="008C40DD">
        <w:rPr>
          <w:b/>
          <w:szCs w:val="24"/>
          <w:lang w:eastAsia="en-GB"/>
        </w:rPr>
        <w:t>d’entrée en vigueur de la série </w:t>
      </w:r>
      <w:r w:rsidR="00774522" w:rsidRPr="008C40DD">
        <w:rPr>
          <w:b/>
          <w:szCs w:val="24"/>
          <w:lang w:eastAsia="en-GB"/>
        </w:rPr>
        <w:t xml:space="preserve">07 d’amendements, aucune Partie contractante appliquant le présent Règlement ne peut refuser d’accorder une homologation en vertu du présent Règlement tel </w:t>
      </w:r>
      <w:r w:rsidRPr="008C40DD">
        <w:rPr>
          <w:b/>
          <w:szCs w:val="24"/>
          <w:lang w:eastAsia="en-GB"/>
        </w:rPr>
        <w:t>qu’il a été amendé par la série </w:t>
      </w:r>
      <w:r w:rsidR="00774522" w:rsidRPr="008C40DD">
        <w:rPr>
          <w:b/>
          <w:szCs w:val="24"/>
          <w:lang w:eastAsia="en-GB"/>
        </w:rPr>
        <w:t>07 d’amendements.</w:t>
      </w:r>
    </w:p>
    <w:p w:rsidR="00774522" w:rsidRPr="008C40DD" w:rsidRDefault="00774522" w:rsidP="00774522">
      <w:pPr>
        <w:kinsoku/>
        <w:overflowPunct/>
        <w:autoSpaceDE/>
        <w:autoSpaceDN/>
        <w:adjustRightInd/>
        <w:snapToGrid/>
        <w:spacing w:after="120"/>
        <w:ind w:left="2250" w:right="1134" w:hanging="1116"/>
        <w:jc w:val="both"/>
        <w:rPr>
          <w:b/>
          <w:szCs w:val="24"/>
          <w:lang w:eastAsia="en-GB"/>
        </w:rPr>
      </w:pPr>
      <w:r w:rsidRPr="008C40DD">
        <w:rPr>
          <w:b/>
          <w:szCs w:val="24"/>
          <w:lang w:eastAsia="en-GB"/>
        </w:rPr>
        <w:t>15.4.1</w:t>
      </w:r>
      <w:r w:rsidRPr="008C40DD">
        <w:rPr>
          <w:b/>
          <w:szCs w:val="24"/>
          <w:lang w:eastAsia="en-GB"/>
        </w:rPr>
        <w:tab/>
        <w:t>À compter du 1</w:t>
      </w:r>
      <w:r w:rsidRPr="008C40DD">
        <w:rPr>
          <w:b/>
          <w:szCs w:val="24"/>
          <w:vertAlign w:val="superscript"/>
          <w:lang w:eastAsia="en-GB"/>
        </w:rPr>
        <w:t>er</w:t>
      </w:r>
      <w:r w:rsidR="00CF287C" w:rsidRPr="008C40DD">
        <w:rPr>
          <w:b/>
          <w:szCs w:val="24"/>
          <w:lang w:eastAsia="en-GB"/>
        </w:rPr>
        <w:t> </w:t>
      </w:r>
      <w:r w:rsidRPr="008C40DD">
        <w:rPr>
          <w:b/>
          <w:szCs w:val="24"/>
          <w:lang w:eastAsia="en-GB"/>
        </w:rPr>
        <w:t xml:space="preserve">septembre [2018], les Parties contractantes appliquant le présent Règlement ne doivent accorder des homologations que si le type de véhicule à homologuer satisfait aux prescriptions du présent Règlement tel </w:t>
      </w:r>
      <w:r w:rsidR="00CF287C" w:rsidRPr="008C40DD">
        <w:rPr>
          <w:b/>
          <w:szCs w:val="24"/>
          <w:lang w:eastAsia="en-GB"/>
        </w:rPr>
        <w:t>qu’il a été amendé par la série </w:t>
      </w:r>
      <w:r w:rsidRPr="008C40DD">
        <w:rPr>
          <w:b/>
          <w:szCs w:val="24"/>
          <w:lang w:eastAsia="en-GB"/>
        </w:rPr>
        <w:t>07 d’amendements.</w:t>
      </w:r>
    </w:p>
    <w:p w:rsidR="00774522" w:rsidRPr="008C40DD" w:rsidRDefault="00774522" w:rsidP="00774522">
      <w:pPr>
        <w:kinsoku/>
        <w:overflowPunct/>
        <w:autoSpaceDE/>
        <w:autoSpaceDN/>
        <w:adjustRightInd/>
        <w:snapToGrid/>
        <w:spacing w:after="120"/>
        <w:ind w:left="2250" w:right="1134" w:hanging="1116"/>
        <w:jc w:val="both"/>
        <w:rPr>
          <w:b/>
          <w:szCs w:val="24"/>
          <w:lang w:eastAsia="en-GB"/>
        </w:rPr>
      </w:pPr>
      <w:r w:rsidRPr="008C40DD">
        <w:rPr>
          <w:b/>
          <w:szCs w:val="24"/>
          <w:lang w:eastAsia="en-GB"/>
        </w:rPr>
        <w:t>15.4.2</w:t>
      </w:r>
      <w:r w:rsidRPr="008C40DD">
        <w:rPr>
          <w:szCs w:val="24"/>
          <w:lang w:eastAsia="en-GB"/>
        </w:rPr>
        <w:tab/>
      </w:r>
      <w:r w:rsidRPr="008C40DD">
        <w:rPr>
          <w:b/>
          <w:szCs w:val="24"/>
          <w:lang w:eastAsia="en-GB"/>
        </w:rPr>
        <w:t>À compter du 1</w:t>
      </w:r>
      <w:r w:rsidRPr="008C40DD">
        <w:rPr>
          <w:b/>
          <w:szCs w:val="24"/>
          <w:vertAlign w:val="superscript"/>
          <w:lang w:eastAsia="en-GB"/>
        </w:rPr>
        <w:t>er</w:t>
      </w:r>
      <w:r w:rsidR="00CF287C" w:rsidRPr="008C40DD">
        <w:rPr>
          <w:b/>
          <w:szCs w:val="24"/>
          <w:lang w:eastAsia="en-GB"/>
        </w:rPr>
        <w:t> </w:t>
      </w:r>
      <w:r w:rsidRPr="008C40DD">
        <w:rPr>
          <w:b/>
          <w:szCs w:val="24"/>
          <w:lang w:eastAsia="en-GB"/>
        </w:rPr>
        <w:t>septembre [2020], après l’entrée e</w:t>
      </w:r>
      <w:r w:rsidR="00CF287C" w:rsidRPr="008C40DD">
        <w:rPr>
          <w:b/>
          <w:szCs w:val="24"/>
          <w:lang w:eastAsia="en-GB"/>
        </w:rPr>
        <w:t>n vigueur de la série </w:t>
      </w:r>
      <w:r w:rsidRPr="008C40DD">
        <w:rPr>
          <w:b/>
          <w:szCs w:val="24"/>
          <w:lang w:eastAsia="en-GB"/>
        </w:rPr>
        <w:t>07 d’amendements, les Parties contractantes appliquant le présent Règlement peuvent refuser de reconnaître des homologations qui n’ont pas été ac</w:t>
      </w:r>
      <w:r w:rsidR="00CF287C" w:rsidRPr="008C40DD">
        <w:rPr>
          <w:b/>
          <w:szCs w:val="24"/>
          <w:lang w:eastAsia="en-GB"/>
        </w:rPr>
        <w:t>cordées conformément à la série </w:t>
      </w:r>
      <w:r w:rsidRPr="008C40DD">
        <w:rPr>
          <w:b/>
          <w:szCs w:val="24"/>
          <w:lang w:eastAsia="en-GB"/>
        </w:rPr>
        <w:t>07 d’amendements audit Règlement.</w:t>
      </w:r>
    </w:p>
    <w:p w:rsidR="00774522" w:rsidRPr="008C40DD" w:rsidRDefault="00774522" w:rsidP="00774522">
      <w:pPr>
        <w:kinsoku/>
        <w:overflowPunct/>
        <w:autoSpaceDE/>
        <w:autoSpaceDN/>
        <w:adjustRightInd/>
        <w:snapToGrid/>
        <w:spacing w:after="120"/>
        <w:ind w:left="2250" w:right="1134" w:hanging="1116"/>
        <w:jc w:val="both"/>
        <w:rPr>
          <w:szCs w:val="24"/>
        </w:rPr>
      </w:pPr>
      <w:r w:rsidRPr="008C40DD">
        <w:rPr>
          <w:b/>
          <w:szCs w:val="24"/>
          <w:lang w:eastAsia="en-GB"/>
        </w:rPr>
        <w:t>15.4.3</w:t>
      </w:r>
      <w:r w:rsidRPr="008C40DD">
        <w:rPr>
          <w:b/>
          <w:szCs w:val="24"/>
          <w:lang w:eastAsia="en-GB"/>
        </w:rPr>
        <w:tab/>
        <w:t>Même après l’ent</w:t>
      </w:r>
      <w:r w:rsidR="00CF287C" w:rsidRPr="008C40DD">
        <w:rPr>
          <w:b/>
          <w:szCs w:val="24"/>
          <w:lang w:eastAsia="en-GB"/>
        </w:rPr>
        <w:t>rée en vigueur de la série </w:t>
      </w:r>
      <w:r w:rsidRPr="008C40DD">
        <w:rPr>
          <w:b/>
          <w:szCs w:val="24"/>
          <w:lang w:eastAsia="en-GB"/>
        </w:rPr>
        <w:t>07 d’amendements au présent Règlement, les homologations d’éléments ou d’unités techniques distinctes en vertu de la série précédente d’amendements au présent Règlement restent valables et les Parties contractantes appliquant le Règlement doivent continuer à les accepter et peuvent continuer à délivrer des extensions pour les homologations accordées en vertu de la série 06 d’amendements.</w:t>
      </w:r>
      <w:r w:rsidR="00CF287C" w:rsidRPr="008C40DD">
        <w:rPr>
          <w:szCs w:val="24"/>
        </w:rPr>
        <w:t> »</w:t>
      </w:r>
      <w:r w:rsidRPr="008C40DD">
        <w:rPr>
          <w:szCs w:val="24"/>
        </w:rPr>
        <w:t>.</w:t>
      </w:r>
    </w:p>
    <w:p w:rsidR="00774522" w:rsidRPr="008C40DD" w:rsidRDefault="00774522" w:rsidP="00774522">
      <w:pPr>
        <w:kinsoku/>
        <w:overflowPunct/>
        <w:autoSpaceDE/>
        <w:autoSpaceDN/>
        <w:adjustRightInd/>
        <w:snapToGrid/>
        <w:spacing w:after="120"/>
        <w:ind w:left="1134" w:right="1134"/>
        <w:jc w:val="both"/>
        <w:rPr>
          <w:szCs w:val="24"/>
          <w:lang w:eastAsia="ja-JP"/>
        </w:rPr>
      </w:pPr>
      <w:r w:rsidRPr="008C40DD">
        <w:rPr>
          <w:i/>
          <w:szCs w:val="24"/>
          <w:lang w:eastAsia="ja-JP"/>
        </w:rPr>
        <w:t>Annexe 2</w:t>
      </w:r>
      <w:r w:rsidRPr="008C40DD">
        <w:rPr>
          <w:szCs w:val="24"/>
          <w:lang w:eastAsia="ja-JP"/>
        </w:rPr>
        <w:t>, modifier comme suit</w:t>
      </w:r>
      <w:r w:rsidR="00CF287C" w:rsidRPr="008C40DD">
        <w:rPr>
          <w:szCs w:val="24"/>
          <w:lang w:eastAsia="ja-JP"/>
        </w:rPr>
        <w:t> </w:t>
      </w:r>
      <w:r w:rsidRPr="008C40DD">
        <w:rPr>
          <w:szCs w:val="24"/>
          <w:lang w:eastAsia="ja-JP"/>
        </w:rPr>
        <w:t>:</w:t>
      </w:r>
    </w:p>
    <w:p w:rsidR="00774522" w:rsidRPr="008C40DD" w:rsidRDefault="00CF287C" w:rsidP="00CF287C">
      <w:pPr>
        <w:keepNext/>
        <w:keepLines/>
        <w:tabs>
          <w:tab w:val="right" w:pos="851"/>
        </w:tabs>
        <w:kinsoku/>
        <w:overflowPunct/>
        <w:autoSpaceDE/>
        <w:autoSpaceDN/>
        <w:adjustRightInd/>
        <w:snapToGrid/>
        <w:spacing w:before="360" w:after="240" w:line="300" w:lineRule="exact"/>
        <w:ind w:left="1134" w:right="1134" w:hanging="1134"/>
        <w:rPr>
          <w:b/>
          <w:sz w:val="28"/>
        </w:rPr>
      </w:pPr>
      <w:bookmarkStart w:id="1" w:name="_Toc406663770"/>
      <w:r w:rsidRPr="008C40DD">
        <w:rPr>
          <w:bCs/>
        </w:rPr>
        <w:t>« </w:t>
      </w:r>
      <w:r w:rsidR="00774522" w:rsidRPr="008C40DD">
        <w:rPr>
          <w:b/>
          <w:sz w:val="28"/>
        </w:rPr>
        <w:t>Annexe 2</w:t>
      </w:r>
      <w:bookmarkEnd w:id="1"/>
    </w:p>
    <w:p w:rsidR="00774522" w:rsidRPr="008C40DD" w:rsidRDefault="00774522" w:rsidP="00CF287C">
      <w:pPr>
        <w:pStyle w:val="HChG"/>
      </w:pPr>
      <w:bookmarkStart w:id="2" w:name="_Toc406663771"/>
      <w:r w:rsidRPr="008C40DD">
        <w:tab/>
      </w:r>
      <w:r w:rsidRPr="008C40DD">
        <w:tab/>
        <w:t xml:space="preserve">Exemples de marques d’homologation </w:t>
      </w:r>
      <w:bookmarkEnd w:id="2"/>
    </w:p>
    <w:p w:rsidR="00774522" w:rsidRPr="008C40DD" w:rsidRDefault="00774522" w:rsidP="00774522">
      <w:pPr>
        <w:kinsoku/>
        <w:overflowPunct/>
        <w:autoSpaceDE/>
        <w:autoSpaceDN/>
        <w:adjustRightInd/>
        <w:snapToGrid/>
        <w:spacing w:after="120"/>
        <w:ind w:left="2250" w:right="1134" w:hanging="1116"/>
        <w:jc w:val="both"/>
        <w:rPr>
          <w:szCs w:val="24"/>
        </w:rPr>
      </w:pPr>
      <w:r w:rsidRPr="008C40DD">
        <w:rPr>
          <w:szCs w:val="24"/>
          <w:lang w:eastAsia="ja-JP"/>
        </w:rPr>
        <w:t>1.</w:t>
      </w:r>
      <w:r w:rsidRPr="008C40DD">
        <w:rPr>
          <w:szCs w:val="24"/>
          <w:lang w:eastAsia="ja-JP"/>
        </w:rPr>
        <w:tab/>
        <w:t>Exemples des marques d’homologation du véhicule pour ce qui est des ceintures de sécurité</w:t>
      </w:r>
    </w:p>
    <w:p w:rsidR="00774522" w:rsidRPr="008C40DD" w:rsidRDefault="00774522" w:rsidP="00CF287C">
      <w:pPr>
        <w:pStyle w:val="Heading1"/>
        <w:spacing w:after="120"/>
      </w:pPr>
      <w:r w:rsidRPr="008C40DD">
        <w:t>Modèle A</w:t>
      </w:r>
      <w:r w:rsidR="00CF287C" w:rsidRPr="008C40DD">
        <w:br/>
      </w:r>
      <w:r w:rsidRPr="008C40DD">
        <w:t>(Voir par. 5.2.4 du présent Règlement)</w:t>
      </w:r>
    </w:p>
    <w:p w:rsidR="00774522" w:rsidRPr="008C40DD" w:rsidRDefault="00774522" w:rsidP="00774522">
      <w:pPr>
        <w:tabs>
          <w:tab w:val="left" w:pos="3402"/>
        </w:tabs>
        <w:kinsoku/>
        <w:overflowPunct/>
        <w:autoSpaceDE/>
        <w:autoSpaceDN/>
        <w:adjustRightInd/>
        <w:snapToGrid/>
        <w:spacing w:after="120"/>
        <w:ind w:left="2250" w:right="1134" w:hanging="1116"/>
        <w:jc w:val="both"/>
        <w:rPr>
          <w:szCs w:val="24"/>
        </w:rPr>
      </w:pPr>
      <w:r w:rsidRPr="008C40DD">
        <w:rPr>
          <w:noProof/>
          <w:szCs w:val="24"/>
          <w:lang w:val="en-US"/>
        </w:rPr>
        <w:drawing>
          <wp:inline distT="0" distB="0" distL="0" distR="0" wp14:anchorId="27F87B3E" wp14:editId="029CBD90">
            <wp:extent cx="3466465" cy="1439545"/>
            <wp:effectExtent l="0" t="0" r="635" b="825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66465" cy="1439545"/>
                    </a:xfrm>
                    <a:prstGeom prst="rect">
                      <a:avLst/>
                    </a:prstGeom>
                    <a:noFill/>
                    <a:ln>
                      <a:noFill/>
                    </a:ln>
                  </pic:spPr>
                </pic:pic>
              </a:graphicData>
            </a:graphic>
          </wp:inline>
        </w:drawing>
      </w:r>
    </w:p>
    <w:p w:rsidR="00774522" w:rsidRPr="008C40DD" w:rsidRDefault="00774522" w:rsidP="00CF287C">
      <w:pPr>
        <w:kinsoku/>
        <w:overflowPunct/>
        <w:autoSpaceDE/>
        <w:autoSpaceDN/>
        <w:adjustRightInd/>
        <w:snapToGrid/>
        <w:spacing w:after="120"/>
        <w:ind w:leftChars="600" w:left="1200" w:right="1134" w:firstLine="501"/>
        <w:jc w:val="both"/>
        <w:rPr>
          <w:szCs w:val="24"/>
        </w:rPr>
      </w:pPr>
      <w:r w:rsidRPr="008C40DD">
        <w:rPr>
          <w:szCs w:val="24"/>
        </w:rPr>
        <w:t xml:space="preserve">La marque d’homologation ci-dessus, apposée sur un véhicule, indique que ce type de véhicule </w:t>
      </w:r>
      <w:r w:rsidR="00CF287C" w:rsidRPr="008C40DD">
        <w:rPr>
          <w:szCs w:val="24"/>
        </w:rPr>
        <w:t>a été homologué aux Pays-Bas (E </w:t>
      </w:r>
      <w:r w:rsidRPr="008C40DD">
        <w:rPr>
          <w:szCs w:val="24"/>
        </w:rPr>
        <w:t xml:space="preserve">4), pour ce qui est des ceintures de sécurité, en application du Règlement </w:t>
      </w:r>
      <w:r w:rsidR="00CF287C" w:rsidRPr="008C40DD">
        <w:rPr>
          <w:rFonts w:eastAsia="MS Mincho"/>
          <w:szCs w:val="24"/>
        </w:rPr>
        <w:t>n</w:t>
      </w:r>
      <w:r w:rsidR="00CF287C" w:rsidRPr="008C40DD">
        <w:rPr>
          <w:rFonts w:eastAsia="MS Mincho"/>
          <w:szCs w:val="24"/>
          <w:vertAlign w:val="superscript"/>
        </w:rPr>
        <w:t>o</w:t>
      </w:r>
      <w:r w:rsidR="00CF287C" w:rsidRPr="008C40DD">
        <w:rPr>
          <w:szCs w:val="24"/>
        </w:rPr>
        <w:t> </w:t>
      </w:r>
      <w:r w:rsidRPr="008C40DD">
        <w:rPr>
          <w:szCs w:val="24"/>
        </w:rPr>
        <w:t xml:space="preserve">16. Le numéro d’homologation indique que l’homologation a été délivrée au titre du Règlement </w:t>
      </w:r>
      <w:r w:rsidR="00CF287C" w:rsidRPr="008C40DD">
        <w:rPr>
          <w:rFonts w:eastAsia="MS Mincho"/>
          <w:szCs w:val="24"/>
        </w:rPr>
        <w:t>n</w:t>
      </w:r>
      <w:r w:rsidR="00CF287C" w:rsidRPr="008C40DD">
        <w:rPr>
          <w:rFonts w:eastAsia="MS Mincho"/>
          <w:szCs w:val="24"/>
          <w:vertAlign w:val="superscript"/>
        </w:rPr>
        <w:t>o</w:t>
      </w:r>
      <w:r w:rsidR="00CF287C" w:rsidRPr="008C40DD">
        <w:rPr>
          <w:szCs w:val="24"/>
        </w:rPr>
        <w:t> </w:t>
      </w:r>
      <w:r w:rsidRPr="008C40DD">
        <w:rPr>
          <w:szCs w:val="24"/>
        </w:rPr>
        <w:t>16 tel qu’il a été modifié par la série</w:t>
      </w:r>
      <w:r w:rsidR="00CF287C" w:rsidRPr="008C40DD">
        <w:rPr>
          <w:szCs w:val="24"/>
        </w:rPr>
        <w:t> </w:t>
      </w:r>
      <w:r w:rsidRPr="008C40DD">
        <w:rPr>
          <w:b/>
          <w:szCs w:val="24"/>
        </w:rPr>
        <w:t>07</w:t>
      </w:r>
      <w:r w:rsidRPr="008C40DD">
        <w:rPr>
          <w:szCs w:val="24"/>
        </w:rPr>
        <w:t xml:space="preserve"> d’amendements.</w:t>
      </w:r>
    </w:p>
    <w:p w:rsidR="00774522" w:rsidRPr="008C40DD" w:rsidRDefault="00774522" w:rsidP="00CF287C">
      <w:pPr>
        <w:pStyle w:val="Heading1"/>
        <w:spacing w:after="120"/>
        <w:rPr>
          <w:b/>
          <w:lang w:eastAsia="ja-JP"/>
        </w:rPr>
      </w:pPr>
      <w:r w:rsidRPr="008C40DD">
        <w:t>Modèle B</w:t>
      </w:r>
      <w:r w:rsidR="00CF287C" w:rsidRPr="008C40DD">
        <w:br/>
      </w:r>
      <w:r w:rsidRPr="008C40DD">
        <w:t>(Voir par. 5.2.5 du présent Règlement)</w:t>
      </w:r>
    </w:p>
    <w:p w:rsidR="00774522" w:rsidRPr="008C40DD" w:rsidRDefault="00774522" w:rsidP="00774522">
      <w:pPr>
        <w:keepNext/>
        <w:keepLines/>
        <w:kinsoku/>
        <w:overflowPunct/>
        <w:autoSpaceDE/>
        <w:autoSpaceDN/>
        <w:adjustRightInd/>
        <w:snapToGrid/>
        <w:spacing w:after="240"/>
        <w:ind w:left="2251" w:right="1134" w:hanging="1117"/>
        <w:jc w:val="both"/>
        <w:rPr>
          <w:b/>
          <w:szCs w:val="24"/>
          <w:lang w:eastAsia="ja-JP"/>
        </w:rPr>
      </w:pPr>
      <w:r w:rsidRPr="008C40DD">
        <w:rPr>
          <w:b/>
          <w:noProof/>
          <w:szCs w:val="24"/>
          <w:lang w:val="en-US"/>
        </w:rPr>
        <w:drawing>
          <wp:inline distT="0" distB="0" distL="0" distR="0" wp14:anchorId="5220EE17" wp14:editId="545ACBB6">
            <wp:extent cx="3691890" cy="750570"/>
            <wp:effectExtent l="0" t="0" r="381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1890" cy="750570"/>
                    </a:xfrm>
                    <a:prstGeom prst="rect">
                      <a:avLst/>
                    </a:prstGeom>
                    <a:noFill/>
                    <a:ln>
                      <a:noFill/>
                    </a:ln>
                  </pic:spPr>
                </pic:pic>
              </a:graphicData>
            </a:graphic>
          </wp:inline>
        </w:drawing>
      </w:r>
    </w:p>
    <w:p w:rsidR="00774522" w:rsidRPr="008C40DD" w:rsidRDefault="00774522" w:rsidP="00CF287C">
      <w:pPr>
        <w:kinsoku/>
        <w:overflowPunct/>
        <w:autoSpaceDE/>
        <w:autoSpaceDN/>
        <w:adjustRightInd/>
        <w:snapToGrid/>
        <w:spacing w:before="120" w:after="120"/>
        <w:ind w:left="1134" w:right="1134" w:firstLine="567"/>
        <w:jc w:val="both"/>
        <w:rPr>
          <w:szCs w:val="24"/>
        </w:rPr>
      </w:pPr>
      <w:r w:rsidRPr="008C40DD">
        <w:rPr>
          <w:szCs w:val="24"/>
        </w:rPr>
        <w:t xml:space="preserve">La marque d’homologation ci-dessus, apposée sur un véhicule, indique que ce type de véhicule </w:t>
      </w:r>
      <w:r w:rsidR="00CF287C" w:rsidRPr="008C40DD">
        <w:rPr>
          <w:szCs w:val="24"/>
        </w:rPr>
        <w:t>a été homologué aux Pays-Bas (E </w:t>
      </w:r>
      <w:r w:rsidRPr="008C40DD">
        <w:rPr>
          <w:szCs w:val="24"/>
        </w:rPr>
        <w:t xml:space="preserve">4), en application des Règlements </w:t>
      </w:r>
      <w:r w:rsidR="00CF287C" w:rsidRPr="008C40DD">
        <w:rPr>
          <w:rFonts w:eastAsia="MS Mincho"/>
          <w:szCs w:val="24"/>
        </w:rPr>
        <w:t>n</w:t>
      </w:r>
      <w:r w:rsidR="00CF287C" w:rsidRPr="008C40DD">
        <w:rPr>
          <w:rFonts w:eastAsia="MS Mincho"/>
          <w:szCs w:val="24"/>
          <w:vertAlign w:val="superscript"/>
        </w:rPr>
        <w:t>os</w:t>
      </w:r>
      <w:r w:rsidR="00CF287C" w:rsidRPr="008C40DD">
        <w:rPr>
          <w:szCs w:val="24"/>
        </w:rPr>
        <w:t> 16 et </w:t>
      </w:r>
      <w:r w:rsidRPr="008C40DD">
        <w:rPr>
          <w:szCs w:val="24"/>
        </w:rPr>
        <w:t>52</w:t>
      </w:r>
      <w:r w:rsidRPr="008C40DD">
        <w:rPr>
          <w:szCs w:val="24"/>
          <w:vertAlign w:val="superscript"/>
        </w:rPr>
        <w:footnoteReference w:id="5"/>
      </w:r>
      <w:r w:rsidRPr="008C40DD">
        <w:rPr>
          <w:szCs w:val="24"/>
        </w:rPr>
        <w:t xml:space="preserve">. Les numéros d’homologation indiquent qu’aux dates respectives où les homologations ont été délivrées, le Règlement </w:t>
      </w:r>
      <w:r w:rsidR="00CF287C" w:rsidRPr="008C40DD">
        <w:rPr>
          <w:rFonts w:eastAsia="MS Mincho"/>
          <w:szCs w:val="24"/>
        </w:rPr>
        <w:t>n</w:t>
      </w:r>
      <w:r w:rsidR="00CF287C" w:rsidRPr="008C40DD">
        <w:rPr>
          <w:rFonts w:eastAsia="MS Mincho"/>
          <w:szCs w:val="24"/>
          <w:vertAlign w:val="superscript"/>
        </w:rPr>
        <w:t>o</w:t>
      </w:r>
      <w:r w:rsidR="00CF287C" w:rsidRPr="008C40DD">
        <w:rPr>
          <w:szCs w:val="24"/>
        </w:rPr>
        <w:t> </w:t>
      </w:r>
      <w:r w:rsidRPr="008C40DD">
        <w:rPr>
          <w:szCs w:val="24"/>
        </w:rPr>
        <w:t>16 comprenait la série</w:t>
      </w:r>
      <w:r w:rsidR="00CF287C" w:rsidRPr="008C40DD">
        <w:rPr>
          <w:szCs w:val="24"/>
        </w:rPr>
        <w:t> </w:t>
      </w:r>
      <w:r w:rsidRPr="008C40DD">
        <w:rPr>
          <w:b/>
          <w:szCs w:val="24"/>
        </w:rPr>
        <w:t>07</w:t>
      </w:r>
      <w:r w:rsidRPr="008C40DD">
        <w:rPr>
          <w:szCs w:val="24"/>
        </w:rPr>
        <w:t xml:space="preserve"> d’amendements, et le Règlement </w:t>
      </w:r>
      <w:r w:rsidR="00CF287C" w:rsidRPr="008C40DD">
        <w:rPr>
          <w:rFonts w:eastAsia="MS Mincho"/>
          <w:szCs w:val="24"/>
        </w:rPr>
        <w:t>n</w:t>
      </w:r>
      <w:r w:rsidR="00CF287C" w:rsidRPr="008C40DD">
        <w:rPr>
          <w:rFonts w:eastAsia="MS Mincho"/>
          <w:szCs w:val="24"/>
          <w:vertAlign w:val="superscript"/>
        </w:rPr>
        <w:t>o</w:t>
      </w:r>
      <w:r w:rsidR="00CF287C" w:rsidRPr="008C40DD">
        <w:rPr>
          <w:szCs w:val="24"/>
        </w:rPr>
        <w:t> 52 la série </w:t>
      </w:r>
      <w:r w:rsidRPr="008C40DD">
        <w:rPr>
          <w:szCs w:val="24"/>
        </w:rPr>
        <w:t>01 d’amendements.</w:t>
      </w:r>
    </w:p>
    <w:p w:rsidR="00774522" w:rsidRPr="008C40DD" w:rsidRDefault="00CF287C" w:rsidP="00774522">
      <w:pPr>
        <w:kinsoku/>
        <w:overflowPunct/>
        <w:autoSpaceDE/>
        <w:autoSpaceDN/>
        <w:adjustRightInd/>
        <w:snapToGrid/>
        <w:spacing w:before="120" w:after="120"/>
        <w:ind w:left="1134" w:right="1134"/>
        <w:jc w:val="both"/>
        <w:rPr>
          <w:szCs w:val="24"/>
          <w:lang w:eastAsia="ja-JP"/>
        </w:rPr>
      </w:pPr>
      <w:r w:rsidRPr="008C40DD">
        <w:rPr>
          <w:szCs w:val="24"/>
        </w:rPr>
        <w:t>… »</w:t>
      </w:r>
      <w:r w:rsidR="00774522" w:rsidRPr="008C40DD">
        <w:rPr>
          <w:szCs w:val="24"/>
        </w:rPr>
        <w:t>.</w:t>
      </w:r>
    </w:p>
    <w:p w:rsidR="00774522" w:rsidRPr="008C40DD" w:rsidRDefault="00774522" w:rsidP="00774522">
      <w:pPr>
        <w:kinsoku/>
        <w:overflowPunct/>
        <w:autoSpaceDE/>
        <w:autoSpaceDN/>
        <w:adjustRightInd/>
        <w:snapToGrid/>
        <w:spacing w:after="120"/>
        <w:ind w:left="2250" w:right="1134" w:hanging="1116"/>
        <w:jc w:val="both"/>
        <w:rPr>
          <w:b/>
          <w:spacing w:val="-2"/>
          <w:szCs w:val="24"/>
          <w:lang w:eastAsia="en-GB"/>
        </w:rPr>
      </w:pPr>
      <w:r w:rsidRPr="008C40DD">
        <w:rPr>
          <w:i/>
          <w:szCs w:val="24"/>
          <w:lang w:eastAsia="ja-JP"/>
        </w:rPr>
        <w:t>Annexe 18</w:t>
      </w:r>
      <w:r w:rsidRPr="008C40DD">
        <w:rPr>
          <w:iCs/>
          <w:szCs w:val="24"/>
          <w:lang w:eastAsia="ja-JP"/>
        </w:rPr>
        <w:t xml:space="preserve">, </w:t>
      </w:r>
    </w:p>
    <w:p w:rsidR="00774522" w:rsidRPr="008C40DD" w:rsidRDefault="00774522" w:rsidP="00774522">
      <w:pPr>
        <w:keepNext/>
        <w:keepLines/>
        <w:tabs>
          <w:tab w:val="right" w:pos="851"/>
        </w:tabs>
        <w:kinsoku/>
        <w:overflowPunct/>
        <w:autoSpaceDE/>
        <w:autoSpaceDN/>
        <w:adjustRightInd/>
        <w:snapToGrid/>
        <w:spacing w:after="120" w:line="300" w:lineRule="exact"/>
        <w:ind w:left="1134" w:right="1134" w:hanging="1134"/>
        <w:rPr>
          <w:szCs w:val="24"/>
          <w:lang w:eastAsia="ja-JP"/>
        </w:rPr>
      </w:pPr>
      <w:r w:rsidRPr="008C40DD">
        <w:rPr>
          <w:spacing w:val="-2"/>
          <w:szCs w:val="24"/>
          <w:lang w:eastAsia="en-GB"/>
        </w:rPr>
        <w:tab/>
      </w:r>
      <w:r w:rsidRPr="008C40DD">
        <w:rPr>
          <w:spacing w:val="-2"/>
          <w:szCs w:val="24"/>
          <w:lang w:eastAsia="ja-JP"/>
        </w:rPr>
        <w:tab/>
      </w:r>
      <w:r w:rsidRPr="008C40DD">
        <w:rPr>
          <w:i/>
          <w:szCs w:val="24"/>
        </w:rPr>
        <w:t>Paragraphe 1</w:t>
      </w:r>
      <w:r w:rsidRPr="008C40DD">
        <w:rPr>
          <w:szCs w:val="24"/>
        </w:rPr>
        <w:t>, modifier comme suit</w:t>
      </w:r>
      <w:r w:rsidR="00CF287C" w:rsidRPr="008C40DD">
        <w:rPr>
          <w:szCs w:val="24"/>
        </w:rPr>
        <w:t> </w:t>
      </w:r>
      <w:r w:rsidRPr="008C40DD">
        <w:rPr>
          <w:szCs w:val="24"/>
          <w:lang w:eastAsia="ja-JP"/>
        </w:rPr>
        <w:t>:</w:t>
      </w:r>
    </w:p>
    <w:p w:rsidR="00774522" w:rsidRPr="008C40DD" w:rsidRDefault="00CF287C" w:rsidP="00CF287C">
      <w:pPr>
        <w:kinsoku/>
        <w:overflowPunct/>
        <w:autoSpaceDE/>
        <w:autoSpaceDN/>
        <w:adjustRightInd/>
        <w:snapToGrid/>
        <w:spacing w:after="120"/>
        <w:ind w:left="2268" w:right="1134" w:hanging="1134"/>
        <w:jc w:val="both"/>
        <w:rPr>
          <w:bCs/>
          <w:szCs w:val="24"/>
        </w:rPr>
      </w:pPr>
      <w:r w:rsidRPr="008C40DD">
        <w:rPr>
          <w:bCs/>
          <w:szCs w:val="24"/>
        </w:rPr>
        <w:t>« </w:t>
      </w:r>
      <w:r w:rsidR="00774522" w:rsidRPr="008C40DD">
        <w:rPr>
          <w:bCs/>
          <w:szCs w:val="24"/>
        </w:rPr>
        <w:t>1.</w:t>
      </w:r>
      <w:r w:rsidR="00774522" w:rsidRPr="008C40DD">
        <w:rPr>
          <w:bCs/>
          <w:szCs w:val="24"/>
        </w:rPr>
        <w:tab/>
        <w:t>L’alerte de premier niveau doit être vérifiée dans les conditions suivantes</w:t>
      </w:r>
      <w:r w:rsidRPr="008C40DD">
        <w:rPr>
          <w:bCs/>
          <w:szCs w:val="24"/>
        </w:rPr>
        <w:t> </w:t>
      </w:r>
      <w:r w:rsidR="00774522" w:rsidRPr="008C40DD">
        <w:rPr>
          <w:bCs/>
          <w:szCs w:val="24"/>
        </w:rPr>
        <w:t>:</w:t>
      </w:r>
    </w:p>
    <w:p w:rsidR="00774522" w:rsidRPr="008C40DD" w:rsidRDefault="00774522" w:rsidP="00CF287C">
      <w:pPr>
        <w:kinsoku/>
        <w:overflowPunct/>
        <w:autoSpaceDE/>
        <w:autoSpaceDN/>
        <w:adjustRightInd/>
        <w:snapToGrid/>
        <w:spacing w:after="120"/>
        <w:ind w:left="2835" w:right="1134" w:hanging="567"/>
        <w:jc w:val="both"/>
        <w:rPr>
          <w:bCs/>
          <w:szCs w:val="24"/>
        </w:rPr>
      </w:pPr>
      <w:r w:rsidRPr="008C40DD">
        <w:rPr>
          <w:bCs/>
          <w:szCs w:val="24"/>
        </w:rPr>
        <w:t>a)</w:t>
      </w:r>
      <w:r w:rsidRPr="008C40DD">
        <w:rPr>
          <w:bCs/>
          <w:szCs w:val="24"/>
        </w:rPr>
        <w:tab/>
        <w:t>La ceinture de sécurité n’est pas bouclée</w:t>
      </w:r>
      <w:r w:rsidR="00CF287C" w:rsidRPr="008C40DD">
        <w:rPr>
          <w:bCs/>
          <w:szCs w:val="24"/>
        </w:rPr>
        <w:t> </w:t>
      </w:r>
      <w:r w:rsidRPr="008C40DD">
        <w:rPr>
          <w:bCs/>
          <w:szCs w:val="24"/>
        </w:rPr>
        <w:t>;</w:t>
      </w:r>
    </w:p>
    <w:p w:rsidR="00774522" w:rsidRPr="008C40DD" w:rsidRDefault="00774522" w:rsidP="00774522">
      <w:pPr>
        <w:kinsoku/>
        <w:overflowPunct/>
        <w:autoSpaceDE/>
        <w:autoSpaceDN/>
        <w:adjustRightInd/>
        <w:snapToGrid/>
        <w:spacing w:after="120"/>
        <w:ind w:left="2835" w:right="1134" w:hanging="567"/>
        <w:jc w:val="both"/>
        <w:rPr>
          <w:bCs/>
          <w:szCs w:val="24"/>
        </w:rPr>
      </w:pPr>
      <w:r w:rsidRPr="008C40DD">
        <w:rPr>
          <w:bCs/>
          <w:szCs w:val="24"/>
        </w:rPr>
        <w:t>b)</w:t>
      </w:r>
      <w:r w:rsidRPr="008C40DD">
        <w:rPr>
          <w:bCs/>
          <w:szCs w:val="24"/>
        </w:rPr>
        <w:tab/>
        <w:t xml:space="preserve">Le moteur </w:t>
      </w:r>
      <w:r w:rsidRPr="008C40DD">
        <w:rPr>
          <w:b/>
          <w:bCs/>
          <w:szCs w:val="24"/>
        </w:rPr>
        <w:t>ou le système de propulsion</w:t>
      </w:r>
      <w:r w:rsidRPr="008C40DD">
        <w:rPr>
          <w:bCs/>
          <w:szCs w:val="24"/>
        </w:rPr>
        <w:t xml:space="preserve"> est arrêté ou tourne au ralenti, et le véhicule n’est ni en marche avant ni en marche arrière</w:t>
      </w:r>
      <w:r w:rsidR="00CF287C" w:rsidRPr="008C40DD">
        <w:rPr>
          <w:bCs/>
          <w:szCs w:val="24"/>
        </w:rPr>
        <w:t> </w:t>
      </w:r>
      <w:r w:rsidRPr="008C40DD">
        <w:rPr>
          <w:bCs/>
          <w:szCs w:val="24"/>
        </w:rPr>
        <w:t>;</w:t>
      </w:r>
    </w:p>
    <w:p w:rsidR="00774522" w:rsidRPr="008C40DD" w:rsidRDefault="00774522" w:rsidP="00CF287C">
      <w:pPr>
        <w:kinsoku/>
        <w:overflowPunct/>
        <w:autoSpaceDE/>
        <w:autoSpaceDN/>
        <w:adjustRightInd/>
        <w:snapToGrid/>
        <w:spacing w:after="120"/>
        <w:ind w:left="2835" w:right="1134" w:hanging="567"/>
        <w:jc w:val="both"/>
        <w:rPr>
          <w:bCs/>
          <w:dstrike/>
          <w:szCs w:val="24"/>
        </w:rPr>
      </w:pPr>
      <w:r w:rsidRPr="008C40DD">
        <w:rPr>
          <w:bCs/>
          <w:szCs w:val="24"/>
        </w:rPr>
        <w:t>c)</w:t>
      </w:r>
      <w:r w:rsidRPr="008C40DD">
        <w:rPr>
          <w:bCs/>
          <w:szCs w:val="24"/>
        </w:rPr>
        <w:tab/>
        <w:t>La boîte de vitesses est au point mort</w:t>
      </w:r>
      <w:r w:rsidR="00CF287C" w:rsidRPr="008C40DD">
        <w:rPr>
          <w:bCs/>
          <w:szCs w:val="24"/>
        </w:rPr>
        <w:t> </w:t>
      </w:r>
      <w:r w:rsidRPr="008C40DD">
        <w:rPr>
          <w:bCs/>
          <w:szCs w:val="24"/>
        </w:rPr>
        <w:t>;</w:t>
      </w:r>
    </w:p>
    <w:p w:rsidR="00774522" w:rsidRPr="008C40DD" w:rsidRDefault="00774522" w:rsidP="00CF287C">
      <w:pPr>
        <w:kinsoku/>
        <w:overflowPunct/>
        <w:autoSpaceDE/>
        <w:autoSpaceDN/>
        <w:adjustRightInd/>
        <w:snapToGrid/>
        <w:spacing w:after="120"/>
        <w:ind w:left="2835" w:right="1134" w:hanging="567"/>
        <w:jc w:val="both"/>
        <w:rPr>
          <w:bCs/>
          <w:szCs w:val="24"/>
          <w:lang w:eastAsia="ja-JP"/>
        </w:rPr>
      </w:pPr>
      <w:r w:rsidRPr="008C40DD">
        <w:rPr>
          <w:bCs/>
          <w:szCs w:val="24"/>
        </w:rPr>
        <w:t>d)</w:t>
      </w:r>
      <w:r w:rsidRPr="008C40DD">
        <w:rPr>
          <w:bCs/>
          <w:szCs w:val="24"/>
        </w:rPr>
        <w:tab/>
        <w:t xml:space="preserve">Le contact est mis </w:t>
      </w:r>
      <w:r w:rsidRPr="008C40DD">
        <w:rPr>
          <w:b/>
          <w:bCs/>
          <w:szCs w:val="24"/>
        </w:rPr>
        <w:t>ou le commutateur de contact activé</w:t>
      </w:r>
      <w:r w:rsidR="00CF287C" w:rsidRPr="008C40DD">
        <w:rPr>
          <w:bCs/>
          <w:szCs w:val="24"/>
        </w:rPr>
        <w:t> ;</w:t>
      </w:r>
    </w:p>
    <w:p w:rsidR="00774522" w:rsidRPr="008C40DD" w:rsidRDefault="00CF287C" w:rsidP="00774522">
      <w:pPr>
        <w:kinsoku/>
        <w:overflowPunct/>
        <w:autoSpaceDE/>
        <w:autoSpaceDN/>
        <w:adjustRightInd/>
        <w:snapToGrid/>
        <w:spacing w:after="120"/>
        <w:ind w:left="2835" w:right="1134" w:hanging="567"/>
        <w:jc w:val="both"/>
        <w:rPr>
          <w:bCs/>
          <w:szCs w:val="24"/>
          <w:lang w:eastAsia="ja-JP"/>
        </w:rPr>
      </w:pPr>
      <w:r w:rsidRPr="008C40DD">
        <w:rPr>
          <w:b/>
          <w:bCs/>
          <w:szCs w:val="24"/>
          <w:lang w:eastAsia="ja-JP"/>
        </w:rPr>
        <w:t>e)</w:t>
      </w:r>
      <w:r w:rsidRPr="008C40DD">
        <w:rPr>
          <w:b/>
          <w:bCs/>
          <w:szCs w:val="24"/>
          <w:lang w:eastAsia="ja-JP"/>
        </w:rPr>
        <w:tab/>
        <w:t>Une charge de 40 </w:t>
      </w:r>
      <w:r w:rsidR="00774522" w:rsidRPr="008C40DD">
        <w:rPr>
          <w:b/>
          <w:bCs/>
          <w:szCs w:val="24"/>
          <w:lang w:eastAsia="ja-JP"/>
        </w:rPr>
        <w:t xml:space="preserve">kg est placée sur chaque siège de la même rangée que celui du conducteur, ou alors l’état dans lequel les occupants se trouvent à bord du véhicule est simulé par une méthode alternative spécifiée par le constructeur, pour autant que la charge </w:t>
      </w:r>
      <w:r w:rsidR="00FB4CCE">
        <w:rPr>
          <w:b/>
          <w:bCs/>
          <w:szCs w:val="24"/>
          <w:lang w:eastAsia="ja-JP"/>
        </w:rPr>
        <w:t>d’un occupant ne dépasse pas 40 </w:t>
      </w:r>
      <w:r w:rsidR="00774522" w:rsidRPr="008C40DD">
        <w:rPr>
          <w:b/>
          <w:bCs/>
          <w:szCs w:val="24"/>
          <w:lang w:eastAsia="ja-JP"/>
        </w:rPr>
        <w:t>kg. Cela peut également se faire pour les sièges arrière à la demande du constructeur du véhicule.</w:t>
      </w:r>
      <w:r w:rsidRPr="008C40DD">
        <w:rPr>
          <w:bCs/>
          <w:szCs w:val="24"/>
          <w:lang w:eastAsia="ja-JP"/>
        </w:rPr>
        <w:t> »</w:t>
      </w:r>
      <w:r w:rsidR="00774522" w:rsidRPr="008C40DD">
        <w:rPr>
          <w:bCs/>
          <w:szCs w:val="24"/>
          <w:lang w:eastAsia="ja-JP"/>
        </w:rPr>
        <w:t>.</w:t>
      </w:r>
    </w:p>
    <w:p w:rsidR="00774522" w:rsidRPr="008C40DD" w:rsidRDefault="00774522" w:rsidP="00774522">
      <w:pPr>
        <w:kinsoku/>
        <w:overflowPunct/>
        <w:autoSpaceDE/>
        <w:autoSpaceDN/>
        <w:adjustRightInd/>
        <w:snapToGrid/>
        <w:spacing w:after="120"/>
        <w:ind w:left="2268" w:right="1134" w:hanging="1134"/>
        <w:jc w:val="both"/>
        <w:rPr>
          <w:bCs/>
          <w:szCs w:val="24"/>
        </w:rPr>
      </w:pPr>
      <w:r w:rsidRPr="008C40DD">
        <w:rPr>
          <w:bCs/>
          <w:i/>
          <w:szCs w:val="24"/>
        </w:rPr>
        <w:t>Paragraphe 2</w:t>
      </w:r>
      <w:r w:rsidRPr="008C40DD">
        <w:rPr>
          <w:bCs/>
          <w:iCs/>
          <w:szCs w:val="24"/>
        </w:rPr>
        <w:t>,</w:t>
      </w:r>
      <w:r w:rsidRPr="008C40DD">
        <w:rPr>
          <w:bCs/>
          <w:i/>
          <w:szCs w:val="24"/>
        </w:rPr>
        <w:t xml:space="preserve"> </w:t>
      </w:r>
      <w:r w:rsidRPr="008C40DD">
        <w:rPr>
          <w:bCs/>
          <w:szCs w:val="24"/>
        </w:rPr>
        <w:t>modifier comme suit</w:t>
      </w:r>
      <w:r w:rsidR="00CF287C" w:rsidRPr="008C40DD">
        <w:rPr>
          <w:bCs/>
          <w:szCs w:val="24"/>
        </w:rPr>
        <w:t> </w:t>
      </w:r>
      <w:r w:rsidRPr="008C40DD">
        <w:rPr>
          <w:bCs/>
          <w:szCs w:val="24"/>
        </w:rPr>
        <w:t>:</w:t>
      </w:r>
    </w:p>
    <w:p w:rsidR="00774522" w:rsidRPr="008C40DD" w:rsidRDefault="00CF287C" w:rsidP="00FB4CCE">
      <w:pPr>
        <w:kinsoku/>
        <w:overflowPunct/>
        <w:autoSpaceDE/>
        <w:autoSpaceDN/>
        <w:adjustRightInd/>
        <w:snapToGrid/>
        <w:spacing w:after="120"/>
        <w:ind w:left="2268" w:right="1134" w:hanging="1134"/>
        <w:jc w:val="both"/>
        <w:rPr>
          <w:bCs/>
          <w:spacing w:val="-2"/>
          <w:szCs w:val="24"/>
        </w:rPr>
      </w:pPr>
      <w:r w:rsidRPr="008C40DD">
        <w:rPr>
          <w:bCs/>
          <w:szCs w:val="24"/>
        </w:rPr>
        <w:t>« </w:t>
      </w:r>
      <w:r w:rsidR="00774522" w:rsidRPr="008C40DD">
        <w:rPr>
          <w:bCs/>
          <w:szCs w:val="24"/>
        </w:rPr>
        <w:t>2.</w:t>
      </w:r>
      <w:r w:rsidR="00774522" w:rsidRPr="008C40DD">
        <w:rPr>
          <w:bCs/>
          <w:szCs w:val="24"/>
        </w:rPr>
        <w:tab/>
      </w:r>
      <w:r w:rsidR="00774522" w:rsidRPr="008C40DD">
        <w:rPr>
          <w:bCs/>
          <w:spacing w:val="-2"/>
          <w:szCs w:val="24"/>
        </w:rPr>
        <w:t xml:space="preserve">L’alerte de deuxième niveau doit être vérifiée dans les conditions </w:t>
      </w:r>
      <w:r w:rsidR="00774522" w:rsidRPr="008C40DD">
        <w:rPr>
          <w:bCs/>
          <w:strike/>
          <w:spacing w:val="-2"/>
          <w:szCs w:val="24"/>
        </w:rPr>
        <w:t>suivantes</w:t>
      </w:r>
      <w:r w:rsidR="00774522" w:rsidRPr="008C40DD">
        <w:rPr>
          <w:bCs/>
          <w:spacing w:val="-2"/>
          <w:szCs w:val="24"/>
        </w:rPr>
        <w:t xml:space="preserve"> </w:t>
      </w:r>
      <w:r w:rsidR="00774522" w:rsidRPr="008C40DD">
        <w:rPr>
          <w:b/>
          <w:bCs/>
          <w:spacing w:val="-2"/>
          <w:szCs w:val="24"/>
        </w:rPr>
        <w:t>décrites aux paragraphes 2.1 à 2.3 de la présente annexe, respectivement</w:t>
      </w:r>
      <w:r w:rsidR="00FB4CCE" w:rsidRPr="00FB4CCE">
        <w:rPr>
          <w:spacing w:val="-2"/>
          <w:szCs w:val="24"/>
        </w:rPr>
        <w:t>.</w:t>
      </w:r>
    </w:p>
    <w:p w:rsidR="00774522" w:rsidRPr="008C40DD" w:rsidRDefault="00774522" w:rsidP="00CF287C">
      <w:pPr>
        <w:kinsoku/>
        <w:overflowPunct/>
        <w:autoSpaceDE/>
        <w:autoSpaceDN/>
        <w:adjustRightInd/>
        <w:snapToGrid/>
        <w:spacing w:after="120"/>
        <w:ind w:left="2835" w:right="1134" w:hanging="567"/>
        <w:jc w:val="both"/>
        <w:rPr>
          <w:bCs/>
          <w:strike/>
          <w:szCs w:val="24"/>
        </w:rPr>
      </w:pPr>
      <w:r w:rsidRPr="008C40DD">
        <w:rPr>
          <w:bCs/>
          <w:strike/>
          <w:szCs w:val="24"/>
        </w:rPr>
        <w:t>a)</w:t>
      </w:r>
      <w:r w:rsidRPr="008C40DD">
        <w:rPr>
          <w:bCs/>
          <w:strike/>
          <w:szCs w:val="24"/>
        </w:rPr>
        <w:tab/>
        <w:t>La ceinture de sécurité n’est pas bouclée</w:t>
      </w:r>
      <w:r w:rsidR="00CF287C" w:rsidRPr="008C40DD">
        <w:rPr>
          <w:bCs/>
          <w:strike/>
          <w:szCs w:val="24"/>
        </w:rPr>
        <w:t> </w:t>
      </w:r>
      <w:r w:rsidRPr="008C40DD">
        <w:rPr>
          <w:bCs/>
          <w:strike/>
          <w:szCs w:val="24"/>
        </w:rPr>
        <w:t>;</w:t>
      </w:r>
    </w:p>
    <w:p w:rsidR="00774522" w:rsidRPr="008C40DD" w:rsidRDefault="00774522" w:rsidP="00774522">
      <w:pPr>
        <w:kinsoku/>
        <w:overflowPunct/>
        <w:autoSpaceDE/>
        <w:autoSpaceDN/>
        <w:adjustRightInd/>
        <w:snapToGrid/>
        <w:spacing w:after="120"/>
        <w:ind w:left="2835" w:right="1134" w:hanging="567"/>
        <w:jc w:val="both"/>
        <w:rPr>
          <w:bCs/>
          <w:szCs w:val="24"/>
        </w:rPr>
      </w:pPr>
      <w:r w:rsidRPr="008C40DD">
        <w:rPr>
          <w:bCs/>
          <w:strike/>
          <w:szCs w:val="24"/>
        </w:rPr>
        <w:t>b)</w:t>
      </w:r>
      <w:r w:rsidRPr="008C40DD">
        <w:rPr>
          <w:bCs/>
          <w:strike/>
          <w:szCs w:val="24"/>
        </w:rPr>
        <w:tab/>
        <w:t>Le véhicule d’essai est conduit en respectant au moins une des conditions énumérées aux paragraphes 2.1 à 2.3 de la présente annexe, au choix du constructeur.</w:t>
      </w:r>
      <w:r w:rsidR="00CF287C" w:rsidRPr="008C40DD">
        <w:rPr>
          <w:bCs/>
          <w:szCs w:val="24"/>
        </w:rPr>
        <w:t> »</w:t>
      </w:r>
      <w:r w:rsidRPr="008C40DD">
        <w:rPr>
          <w:bCs/>
          <w:szCs w:val="24"/>
        </w:rPr>
        <w:t>.</w:t>
      </w:r>
    </w:p>
    <w:p w:rsidR="00774522" w:rsidRPr="008C40DD" w:rsidRDefault="00774522" w:rsidP="00774522">
      <w:pPr>
        <w:kinsoku/>
        <w:overflowPunct/>
        <w:autoSpaceDE/>
        <w:autoSpaceDN/>
        <w:adjustRightInd/>
        <w:snapToGrid/>
        <w:spacing w:after="120"/>
        <w:ind w:left="2268" w:right="1134" w:hanging="1134"/>
        <w:jc w:val="both"/>
        <w:rPr>
          <w:bCs/>
          <w:szCs w:val="24"/>
        </w:rPr>
      </w:pPr>
      <w:r w:rsidRPr="008C40DD">
        <w:rPr>
          <w:bCs/>
          <w:i/>
          <w:szCs w:val="24"/>
        </w:rPr>
        <w:t>Paragraphes 2.1 à 2.3</w:t>
      </w:r>
      <w:r w:rsidRPr="008C40DD">
        <w:rPr>
          <w:bCs/>
          <w:szCs w:val="24"/>
        </w:rPr>
        <w:t>, supprimer.</w:t>
      </w:r>
    </w:p>
    <w:p w:rsidR="00774522" w:rsidRPr="008C40DD" w:rsidRDefault="00774522" w:rsidP="00774522">
      <w:pPr>
        <w:kinsoku/>
        <w:overflowPunct/>
        <w:autoSpaceDE/>
        <w:autoSpaceDN/>
        <w:adjustRightInd/>
        <w:snapToGrid/>
        <w:spacing w:after="120"/>
        <w:ind w:left="2268" w:right="1134" w:hanging="1134"/>
        <w:jc w:val="both"/>
        <w:rPr>
          <w:bCs/>
          <w:szCs w:val="24"/>
        </w:rPr>
      </w:pPr>
      <w:r w:rsidRPr="008C40DD">
        <w:rPr>
          <w:bCs/>
          <w:i/>
          <w:szCs w:val="24"/>
        </w:rPr>
        <w:t>Ajouter de nouveaux paragraphes 2.1 à 2.3</w:t>
      </w:r>
      <w:r w:rsidRPr="008C40DD">
        <w:rPr>
          <w:bCs/>
          <w:szCs w:val="24"/>
        </w:rPr>
        <w:t>, ainsi conçus</w:t>
      </w:r>
      <w:r w:rsidR="00CF287C" w:rsidRPr="008C40DD">
        <w:rPr>
          <w:bCs/>
          <w:szCs w:val="24"/>
        </w:rPr>
        <w:t> </w:t>
      </w:r>
      <w:r w:rsidRPr="008C40DD">
        <w:rPr>
          <w:bCs/>
          <w:szCs w:val="24"/>
        </w:rPr>
        <w:t>:</w:t>
      </w:r>
    </w:p>
    <w:p w:rsidR="00774522" w:rsidRPr="008C40DD" w:rsidRDefault="00CF287C" w:rsidP="00CF287C">
      <w:pPr>
        <w:kinsoku/>
        <w:overflowPunct/>
        <w:autoSpaceDE/>
        <w:autoSpaceDN/>
        <w:adjustRightInd/>
        <w:snapToGrid/>
        <w:spacing w:after="120"/>
        <w:ind w:left="2268" w:right="1134" w:hanging="1134"/>
        <w:jc w:val="both"/>
        <w:rPr>
          <w:b/>
          <w:bCs/>
          <w:szCs w:val="24"/>
          <w:lang w:eastAsia="ja-JP"/>
        </w:rPr>
      </w:pPr>
      <w:r w:rsidRPr="008C40DD">
        <w:rPr>
          <w:bCs/>
          <w:szCs w:val="24"/>
        </w:rPr>
        <w:t>« </w:t>
      </w:r>
      <w:r w:rsidR="00774522" w:rsidRPr="008C40DD">
        <w:rPr>
          <w:b/>
          <w:bCs/>
          <w:szCs w:val="24"/>
        </w:rPr>
        <w:t>2.1</w:t>
      </w:r>
      <w:r w:rsidR="00774522" w:rsidRPr="008C40DD">
        <w:rPr>
          <w:b/>
          <w:bCs/>
          <w:szCs w:val="24"/>
        </w:rPr>
        <w:tab/>
      </w:r>
      <w:r w:rsidR="00774522" w:rsidRPr="008C40DD">
        <w:rPr>
          <w:b/>
          <w:bCs/>
          <w:szCs w:val="24"/>
          <w:lang w:eastAsia="ja-JP"/>
        </w:rPr>
        <w:tab/>
      </w:r>
      <w:r w:rsidRPr="008C40DD">
        <w:rPr>
          <w:b/>
          <w:bCs/>
          <w:szCs w:val="24"/>
          <w:lang w:eastAsia="ja-JP"/>
        </w:rPr>
        <w:t>Essai du siège du conducteur</w:t>
      </w:r>
    </w:p>
    <w:p w:rsidR="00774522" w:rsidRPr="008C40DD" w:rsidRDefault="00774522" w:rsidP="00FB4CCE">
      <w:pPr>
        <w:kinsoku/>
        <w:overflowPunct/>
        <w:autoSpaceDE/>
        <w:autoSpaceDN/>
        <w:adjustRightInd/>
        <w:snapToGrid/>
        <w:spacing w:after="120"/>
        <w:ind w:left="2268" w:right="1134" w:hanging="1134"/>
        <w:jc w:val="both"/>
        <w:rPr>
          <w:rFonts w:eastAsia="Malgun Gothic"/>
          <w:b/>
          <w:bCs/>
          <w:szCs w:val="24"/>
          <w:lang w:eastAsia="ko-KR"/>
        </w:rPr>
      </w:pPr>
      <w:r w:rsidRPr="008C40DD">
        <w:rPr>
          <w:rFonts w:eastAsia="Malgun Gothic"/>
          <w:b/>
          <w:bCs/>
          <w:szCs w:val="24"/>
          <w:lang w:eastAsia="ko-KR"/>
        </w:rPr>
        <w:t>2.1.1</w:t>
      </w:r>
      <w:r w:rsidRPr="008C40DD">
        <w:rPr>
          <w:rFonts w:eastAsia="Malgun Gothic"/>
          <w:b/>
          <w:bCs/>
          <w:szCs w:val="24"/>
          <w:lang w:eastAsia="ko-KR"/>
        </w:rPr>
        <w:tab/>
        <w:t>Essai du siège du conducteur quand la ceinture n’est pas bouclée, avant le départ</w:t>
      </w:r>
    </w:p>
    <w:p w:rsidR="00774522" w:rsidRPr="008C40DD" w:rsidRDefault="00774522" w:rsidP="00774522">
      <w:pPr>
        <w:kinsoku/>
        <w:overflowPunct/>
        <w:autoSpaceDE/>
        <w:autoSpaceDN/>
        <w:adjustRightInd/>
        <w:snapToGrid/>
        <w:spacing w:after="120"/>
        <w:ind w:left="2835" w:right="1134" w:hanging="567"/>
        <w:jc w:val="both"/>
        <w:rPr>
          <w:b/>
          <w:bCs/>
          <w:szCs w:val="24"/>
          <w:lang w:eastAsia="ja-JP"/>
        </w:rPr>
      </w:pPr>
      <w:r w:rsidRPr="008C40DD">
        <w:rPr>
          <w:b/>
          <w:bCs/>
          <w:szCs w:val="24"/>
          <w:lang w:eastAsia="ja-JP"/>
        </w:rPr>
        <w:t>a)</w:t>
      </w:r>
      <w:r w:rsidRPr="008C40DD">
        <w:rPr>
          <w:b/>
          <w:bCs/>
          <w:szCs w:val="24"/>
          <w:lang w:eastAsia="ja-JP"/>
        </w:rPr>
        <w:tab/>
        <w:t>La ceinture de sécurité du siège du conducteur n’est pas bouclée</w:t>
      </w:r>
      <w:r w:rsidR="00CF287C" w:rsidRPr="008C40DD">
        <w:rPr>
          <w:b/>
          <w:bCs/>
          <w:szCs w:val="24"/>
          <w:lang w:eastAsia="ja-JP"/>
        </w:rPr>
        <w:t> </w:t>
      </w:r>
      <w:r w:rsidRPr="008C40DD">
        <w:rPr>
          <w:b/>
          <w:bCs/>
          <w:szCs w:val="24"/>
          <w:lang w:eastAsia="ja-JP"/>
        </w:rPr>
        <w:t>;</w:t>
      </w:r>
    </w:p>
    <w:p w:rsidR="00774522" w:rsidRPr="008C40DD" w:rsidRDefault="00774522" w:rsidP="00774522">
      <w:pPr>
        <w:kinsoku/>
        <w:overflowPunct/>
        <w:autoSpaceDE/>
        <w:autoSpaceDN/>
        <w:adjustRightInd/>
        <w:snapToGrid/>
        <w:spacing w:after="120"/>
        <w:ind w:left="2835" w:right="1134" w:hanging="567"/>
        <w:jc w:val="both"/>
        <w:rPr>
          <w:b/>
          <w:bCs/>
          <w:szCs w:val="24"/>
          <w:lang w:eastAsia="ja-JP"/>
        </w:rPr>
      </w:pPr>
      <w:r w:rsidRPr="008C40DD">
        <w:rPr>
          <w:b/>
          <w:bCs/>
          <w:szCs w:val="24"/>
          <w:lang w:eastAsia="ja-JP"/>
        </w:rPr>
        <w:t>b)</w:t>
      </w:r>
      <w:r w:rsidRPr="008C40DD">
        <w:rPr>
          <w:b/>
          <w:bCs/>
          <w:szCs w:val="24"/>
          <w:lang w:eastAsia="ja-JP"/>
        </w:rPr>
        <w:tab/>
        <w:t>Les ceintures de sécurité des sièges autres que celui du conducteur sont bouclées</w:t>
      </w:r>
      <w:r w:rsidR="00CF287C" w:rsidRPr="008C40DD">
        <w:rPr>
          <w:b/>
          <w:bCs/>
          <w:szCs w:val="24"/>
          <w:lang w:eastAsia="ja-JP"/>
        </w:rPr>
        <w:t> </w:t>
      </w:r>
      <w:r w:rsidRPr="008C40DD">
        <w:rPr>
          <w:b/>
          <w:bCs/>
          <w:szCs w:val="24"/>
          <w:lang w:eastAsia="ja-JP"/>
        </w:rPr>
        <w:t>;</w:t>
      </w:r>
    </w:p>
    <w:p w:rsidR="00774522" w:rsidRPr="008C40DD" w:rsidRDefault="00774522" w:rsidP="00774522">
      <w:pPr>
        <w:kinsoku/>
        <w:overflowPunct/>
        <w:autoSpaceDE/>
        <w:autoSpaceDN/>
        <w:adjustRightInd/>
        <w:snapToGrid/>
        <w:spacing w:after="120"/>
        <w:ind w:left="2835" w:right="1134" w:hanging="567"/>
        <w:jc w:val="both"/>
        <w:rPr>
          <w:b/>
          <w:bCs/>
          <w:szCs w:val="24"/>
          <w:lang w:eastAsia="ja-JP"/>
        </w:rPr>
      </w:pPr>
      <w:r w:rsidRPr="008C40DD">
        <w:rPr>
          <w:b/>
          <w:bCs/>
          <w:szCs w:val="24"/>
          <w:lang w:eastAsia="ja-JP"/>
        </w:rPr>
        <w:t>c)</w:t>
      </w:r>
      <w:r w:rsidRPr="008C40DD">
        <w:rPr>
          <w:b/>
          <w:bCs/>
          <w:szCs w:val="24"/>
          <w:lang w:eastAsia="ja-JP"/>
        </w:rPr>
        <w:tab/>
        <w:t>Le véhicule d’essai est conduit en respectant au moins une des conditions énumérées aux paragraphes 2.1.1.1 à 2.1.1.3 de la présente annexe, au choix du constructeur.</w:t>
      </w:r>
    </w:p>
    <w:p w:rsidR="00774522" w:rsidRPr="008C40DD" w:rsidRDefault="00774522" w:rsidP="00774522">
      <w:pPr>
        <w:kinsoku/>
        <w:overflowPunct/>
        <w:autoSpaceDE/>
        <w:autoSpaceDN/>
        <w:adjustRightInd/>
        <w:snapToGrid/>
        <w:spacing w:after="120"/>
        <w:ind w:left="2259" w:right="1134" w:hanging="1125"/>
        <w:jc w:val="both"/>
        <w:rPr>
          <w:b/>
          <w:bCs/>
          <w:spacing w:val="-2"/>
          <w:szCs w:val="24"/>
          <w:lang w:eastAsia="ja-JP"/>
        </w:rPr>
      </w:pPr>
      <w:r w:rsidRPr="008C40DD">
        <w:rPr>
          <w:b/>
          <w:bCs/>
          <w:szCs w:val="24"/>
          <w:lang w:eastAsia="ja-JP"/>
        </w:rPr>
        <w:t>2.1.1.</w:t>
      </w:r>
      <w:r w:rsidRPr="008C40DD">
        <w:rPr>
          <w:rFonts w:eastAsia="Malgun Gothic"/>
          <w:b/>
          <w:bCs/>
          <w:szCs w:val="24"/>
          <w:lang w:eastAsia="ko-KR"/>
        </w:rPr>
        <w:t>1</w:t>
      </w:r>
      <w:r w:rsidRPr="008C40DD">
        <w:rPr>
          <w:b/>
          <w:bCs/>
          <w:szCs w:val="24"/>
          <w:lang w:eastAsia="ja-JP"/>
        </w:rPr>
        <w:tab/>
      </w:r>
      <w:r w:rsidRPr="008C40DD">
        <w:rPr>
          <w:b/>
          <w:bCs/>
          <w:spacing w:val="-2"/>
          <w:szCs w:val="24"/>
          <w:lang w:eastAsia="ja-JP"/>
        </w:rPr>
        <w:t>Accélérer le véhicule soumis à l’essai jusqu’à une vitesse de 25 -</w:t>
      </w:r>
      <w:r w:rsidR="00CF287C" w:rsidRPr="008C40DD">
        <w:rPr>
          <w:b/>
          <w:bCs/>
          <w:spacing w:val="-2"/>
          <w:szCs w:val="24"/>
          <w:lang w:eastAsia="ja-JP"/>
        </w:rPr>
        <w:t>0/+10</w:t>
      </w:r>
      <w:r w:rsidR="00FB4CCE">
        <w:rPr>
          <w:b/>
          <w:bCs/>
          <w:spacing w:val="-2"/>
          <w:szCs w:val="24"/>
          <w:lang w:eastAsia="ja-JP"/>
        </w:rPr>
        <w:t> </w:t>
      </w:r>
      <w:r w:rsidRPr="008C40DD">
        <w:rPr>
          <w:b/>
          <w:bCs/>
          <w:spacing w:val="-2"/>
          <w:szCs w:val="24"/>
          <w:lang w:eastAsia="ja-JP"/>
        </w:rPr>
        <w:t>km/h depuis l’arrêt et continuer à la même vitesse.</w:t>
      </w:r>
    </w:p>
    <w:p w:rsidR="00774522" w:rsidRPr="008C40DD" w:rsidRDefault="00774522" w:rsidP="00774522">
      <w:pPr>
        <w:kinsoku/>
        <w:overflowPunct/>
        <w:autoSpaceDE/>
        <w:autoSpaceDN/>
        <w:adjustRightInd/>
        <w:snapToGrid/>
        <w:spacing w:after="120"/>
        <w:ind w:left="2268" w:right="1134" w:hanging="1134"/>
        <w:jc w:val="both"/>
        <w:rPr>
          <w:b/>
          <w:bCs/>
          <w:szCs w:val="24"/>
          <w:lang w:eastAsia="ja-JP"/>
        </w:rPr>
      </w:pPr>
      <w:r w:rsidRPr="008C40DD">
        <w:rPr>
          <w:b/>
          <w:bCs/>
          <w:szCs w:val="24"/>
          <w:lang w:eastAsia="ja-JP"/>
        </w:rPr>
        <w:t>2.1.</w:t>
      </w:r>
      <w:r w:rsidRPr="008C40DD">
        <w:rPr>
          <w:rFonts w:eastAsia="Malgun Gothic"/>
          <w:b/>
          <w:bCs/>
          <w:szCs w:val="24"/>
          <w:lang w:eastAsia="ko-KR"/>
        </w:rPr>
        <w:t>1.</w:t>
      </w:r>
      <w:r w:rsidRPr="008C40DD">
        <w:rPr>
          <w:b/>
          <w:bCs/>
          <w:szCs w:val="24"/>
          <w:lang w:eastAsia="ja-JP"/>
        </w:rPr>
        <w:t>2</w:t>
      </w:r>
      <w:r w:rsidRPr="008C40DD">
        <w:rPr>
          <w:b/>
          <w:bCs/>
          <w:szCs w:val="24"/>
          <w:lang w:eastAsia="ja-JP"/>
        </w:rPr>
        <w:tab/>
        <w:t>Le véhicule d’essai parcourt, en marche ava</w:t>
      </w:r>
      <w:r w:rsidR="00CF287C" w:rsidRPr="008C40DD">
        <w:rPr>
          <w:b/>
          <w:bCs/>
          <w:szCs w:val="24"/>
          <w:lang w:eastAsia="ja-JP"/>
        </w:rPr>
        <w:t>nt, une distance d’au moins 500 </w:t>
      </w:r>
      <w:r w:rsidRPr="008C40DD">
        <w:rPr>
          <w:b/>
          <w:bCs/>
          <w:szCs w:val="24"/>
          <w:lang w:eastAsia="ja-JP"/>
        </w:rPr>
        <w:t>m depuis l’arrêt.</w:t>
      </w:r>
    </w:p>
    <w:p w:rsidR="00774522" w:rsidRPr="008C40DD" w:rsidRDefault="00774522" w:rsidP="00774522">
      <w:pPr>
        <w:kinsoku/>
        <w:overflowPunct/>
        <w:autoSpaceDE/>
        <w:autoSpaceDN/>
        <w:adjustRightInd/>
        <w:snapToGrid/>
        <w:spacing w:after="120"/>
        <w:ind w:left="2268" w:right="1134" w:hanging="1134"/>
        <w:jc w:val="both"/>
        <w:rPr>
          <w:rFonts w:eastAsia="Malgun Gothic"/>
          <w:b/>
          <w:bCs/>
          <w:szCs w:val="24"/>
          <w:lang w:eastAsia="ko-KR"/>
        </w:rPr>
      </w:pPr>
      <w:r w:rsidRPr="008C40DD">
        <w:rPr>
          <w:b/>
          <w:bCs/>
          <w:szCs w:val="24"/>
          <w:lang w:eastAsia="ja-JP"/>
        </w:rPr>
        <w:t>2.1.</w:t>
      </w:r>
      <w:r w:rsidRPr="008C40DD">
        <w:rPr>
          <w:rFonts w:eastAsia="Malgun Gothic"/>
          <w:b/>
          <w:bCs/>
          <w:szCs w:val="24"/>
          <w:lang w:eastAsia="ko-KR"/>
        </w:rPr>
        <w:t>1.</w:t>
      </w:r>
      <w:r w:rsidRPr="008C40DD">
        <w:rPr>
          <w:b/>
          <w:bCs/>
          <w:szCs w:val="24"/>
          <w:lang w:eastAsia="ja-JP"/>
        </w:rPr>
        <w:t>3</w:t>
      </w:r>
      <w:r w:rsidRPr="008C40DD">
        <w:rPr>
          <w:b/>
          <w:bCs/>
          <w:szCs w:val="24"/>
          <w:lang w:eastAsia="ja-JP"/>
        </w:rPr>
        <w:tab/>
        <w:t>Le véhicule est soumis à l’essai lorsque son m</w:t>
      </w:r>
      <w:r w:rsidR="00CF287C" w:rsidRPr="008C40DD">
        <w:rPr>
          <w:b/>
          <w:bCs/>
          <w:szCs w:val="24"/>
          <w:lang w:eastAsia="ja-JP"/>
        </w:rPr>
        <w:t>oteur tourne depuis au moins 60 </w:t>
      </w:r>
      <w:r w:rsidRPr="008C40DD">
        <w:rPr>
          <w:b/>
          <w:bCs/>
          <w:szCs w:val="24"/>
          <w:lang w:eastAsia="ja-JP"/>
        </w:rPr>
        <w:t>s.</w:t>
      </w:r>
    </w:p>
    <w:p w:rsidR="00774522" w:rsidRPr="008C40DD" w:rsidRDefault="00774522" w:rsidP="00774522">
      <w:pPr>
        <w:kinsoku/>
        <w:overflowPunct/>
        <w:autoSpaceDE/>
        <w:autoSpaceDN/>
        <w:adjustRightInd/>
        <w:snapToGrid/>
        <w:spacing w:after="120"/>
        <w:ind w:left="2268" w:right="1134" w:hanging="1134"/>
        <w:jc w:val="both"/>
        <w:rPr>
          <w:rFonts w:eastAsia="Malgun Gothic"/>
          <w:b/>
          <w:bCs/>
          <w:szCs w:val="24"/>
          <w:lang w:eastAsia="ko-KR"/>
        </w:rPr>
      </w:pPr>
      <w:r w:rsidRPr="008C40DD">
        <w:rPr>
          <w:rFonts w:eastAsia="Malgun Gothic"/>
          <w:b/>
          <w:bCs/>
          <w:szCs w:val="24"/>
          <w:lang w:eastAsia="ko-KR"/>
        </w:rPr>
        <w:t>2.1.2</w:t>
      </w:r>
      <w:r w:rsidRPr="008C40DD">
        <w:rPr>
          <w:rFonts w:eastAsia="Malgun Gothic"/>
          <w:b/>
          <w:bCs/>
          <w:szCs w:val="24"/>
          <w:lang w:eastAsia="ko-KR"/>
        </w:rPr>
        <w:tab/>
        <w:t xml:space="preserve">Essai du siège du conducteur quand la ceinture </w:t>
      </w:r>
      <w:r w:rsidR="00CF287C" w:rsidRPr="008C40DD">
        <w:rPr>
          <w:rFonts w:eastAsia="Malgun Gothic"/>
          <w:b/>
          <w:bCs/>
          <w:szCs w:val="24"/>
          <w:lang w:eastAsia="ko-KR"/>
        </w:rPr>
        <w:t>est débouclée en cours de route.</w:t>
      </w:r>
    </w:p>
    <w:p w:rsidR="00774522" w:rsidRPr="008C40DD" w:rsidRDefault="00774522" w:rsidP="00774522">
      <w:pPr>
        <w:kinsoku/>
        <w:overflowPunct/>
        <w:autoSpaceDE/>
        <w:autoSpaceDN/>
        <w:adjustRightInd/>
        <w:snapToGrid/>
        <w:spacing w:after="120"/>
        <w:ind w:left="2835" w:right="1134" w:hanging="567"/>
        <w:jc w:val="both"/>
        <w:rPr>
          <w:rFonts w:eastAsia="Malgun Gothic"/>
          <w:b/>
          <w:bCs/>
          <w:szCs w:val="24"/>
          <w:lang w:eastAsia="ko-KR"/>
        </w:rPr>
      </w:pPr>
      <w:r w:rsidRPr="008C40DD">
        <w:rPr>
          <w:rFonts w:eastAsia="Malgun Gothic"/>
          <w:b/>
          <w:bCs/>
          <w:szCs w:val="24"/>
          <w:lang w:eastAsia="ko-KR"/>
        </w:rPr>
        <w:t>a)</w:t>
      </w:r>
      <w:r w:rsidRPr="008C40DD">
        <w:rPr>
          <w:rFonts w:eastAsia="Malgun Gothic"/>
          <w:b/>
          <w:bCs/>
          <w:szCs w:val="24"/>
          <w:lang w:eastAsia="ko-KR"/>
        </w:rPr>
        <w:tab/>
        <w:t>Les ceintures de sécurité du siège du conducteur et des autres sièges sont bouclées</w:t>
      </w:r>
      <w:r w:rsidR="00CF287C" w:rsidRPr="008C40DD">
        <w:rPr>
          <w:rFonts w:eastAsia="Malgun Gothic"/>
          <w:b/>
          <w:bCs/>
          <w:szCs w:val="24"/>
          <w:lang w:eastAsia="ko-KR"/>
        </w:rPr>
        <w:t> </w:t>
      </w:r>
      <w:r w:rsidRPr="008C40DD">
        <w:rPr>
          <w:rFonts w:eastAsia="Malgun Gothic"/>
          <w:b/>
          <w:bCs/>
          <w:szCs w:val="24"/>
          <w:lang w:eastAsia="ko-KR"/>
        </w:rPr>
        <w:t>;</w:t>
      </w:r>
    </w:p>
    <w:p w:rsidR="00774522" w:rsidRPr="008C40DD" w:rsidRDefault="00774522" w:rsidP="00774522">
      <w:pPr>
        <w:kinsoku/>
        <w:overflowPunct/>
        <w:autoSpaceDE/>
        <w:autoSpaceDN/>
        <w:adjustRightInd/>
        <w:snapToGrid/>
        <w:spacing w:after="120"/>
        <w:ind w:left="2835" w:right="1134" w:hanging="567"/>
        <w:jc w:val="both"/>
        <w:rPr>
          <w:rFonts w:eastAsia="Malgun Gothic"/>
          <w:b/>
          <w:bCs/>
          <w:szCs w:val="24"/>
          <w:lang w:eastAsia="ko-KR"/>
        </w:rPr>
      </w:pPr>
      <w:r w:rsidRPr="008C40DD">
        <w:rPr>
          <w:rFonts w:eastAsia="Malgun Gothic"/>
          <w:b/>
          <w:bCs/>
          <w:szCs w:val="24"/>
          <w:lang w:eastAsia="ko-KR"/>
        </w:rPr>
        <w:t>b)</w:t>
      </w:r>
      <w:r w:rsidRPr="008C40DD">
        <w:rPr>
          <w:rFonts w:eastAsia="Malgun Gothic"/>
          <w:b/>
          <w:bCs/>
          <w:szCs w:val="24"/>
          <w:lang w:eastAsia="ko-KR"/>
        </w:rPr>
        <w:tab/>
        <w:t>Le véhicule d’essai est conduit en respectant au moins une des conditions énumérées aux paragraphes 2.1.1.1 à 2.1.1.3 de la présente annexe, au choix du constructeur</w:t>
      </w:r>
      <w:r w:rsidR="00CF287C" w:rsidRPr="008C40DD">
        <w:rPr>
          <w:rFonts w:eastAsia="Malgun Gothic"/>
          <w:b/>
          <w:bCs/>
          <w:szCs w:val="24"/>
          <w:lang w:eastAsia="ko-KR"/>
        </w:rPr>
        <w:t> </w:t>
      </w:r>
      <w:r w:rsidRPr="008C40DD">
        <w:rPr>
          <w:rFonts w:eastAsia="Malgun Gothic"/>
          <w:b/>
          <w:bCs/>
          <w:szCs w:val="24"/>
          <w:lang w:eastAsia="ko-KR"/>
        </w:rPr>
        <w:t>;</w:t>
      </w:r>
    </w:p>
    <w:p w:rsidR="00774522" w:rsidRPr="008C40DD" w:rsidRDefault="00774522" w:rsidP="00774522">
      <w:pPr>
        <w:kinsoku/>
        <w:overflowPunct/>
        <w:autoSpaceDE/>
        <w:autoSpaceDN/>
        <w:adjustRightInd/>
        <w:snapToGrid/>
        <w:spacing w:after="120"/>
        <w:ind w:left="2835" w:right="1134" w:hanging="567"/>
        <w:jc w:val="both"/>
        <w:rPr>
          <w:rFonts w:eastAsia="Malgun Gothic"/>
          <w:b/>
          <w:bCs/>
          <w:szCs w:val="24"/>
          <w:lang w:eastAsia="ko-KR"/>
        </w:rPr>
      </w:pPr>
      <w:r w:rsidRPr="008C40DD">
        <w:rPr>
          <w:rFonts w:eastAsia="Malgun Gothic"/>
          <w:b/>
          <w:bCs/>
          <w:szCs w:val="24"/>
          <w:lang w:eastAsia="ko-KR"/>
        </w:rPr>
        <w:t>c)</w:t>
      </w:r>
      <w:r w:rsidRPr="008C40DD">
        <w:rPr>
          <w:rFonts w:eastAsia="Malgun Gothic"/>
          <w:b/>
          <w:bCs/>
          <w:szCs w:val="24"/>
          <w:lang w:eastAsia="ko-KR"/>
        </w:rPr>
        <w:tab/>
        <w:t>La ceinture de sécurité du siège du conducteur est débouclée.</w:t>
      </w:r>
    </w:p>
    <w:p w:rsidR="00774522" w:rsidRPr="008C40DD" w:rsidRDefault="00774522" w:rsidP="00774522">
      <w:pPr>
        <w:kinsoku/>
        <w:overflowPunct/>
        <w:autoSpaceDE/>
        <w:autoSpaceDN/>
        <w:adjustRightInd/>
        <w:snapToGrid/>
        <w:spacing w:after="120"/>
        <w:ind w:left="2268" w:right="1134" w:hanging="1134"/>
        <w:jc w:val="both"/>
        <w:rPr>
          <w:b/>
          <w:bCs/>
          <w:szCs w:val="24"/>
          <w:lang w:eastAsia="ja-JP"/>
        </w:rPr>
      </w:pPr>
      <w:r w:rsidRPr="008C40DD">
        <w:rPr>
          <w:b/>
          <w:bCs/>
          <w:szCs w:val="24"/>
        </w:rPr>
        <w:t>2.2</w:t>
      </w:r>
      <w:r w:rsidRPr="008C40DD">
        <w:rPr>
          <w:b/>
          <w:bCs/>
          <w:szCs w:val="24"/>
          <w:lang w:eastAsia="ja-JP"/>
        </w:rPr>
        <w:tab/>
        <w:t>Essai du ou des siège(s) de la même rangée que celui du conducteur</w:t>
      </w:r>
    </w:p>
    <w:p w:rsidR="00774522" w:rsidRPr="008C40DD" w:rsidRDefault="00774522" w:rsidP="00774522">
      <w:pPr>
        <w:kinsoku/>
        <w:overflowPunct/>
        <w:autoSpaceDE/>
        <w:autoSpaceDN/>
        <w:adjustRightInd/>
        <w:snapToGrid/>
        <w:spacing w:after="120"/>
        <w:ind w:left="2268" w:right="1134" w:hanging="1134"/>
        <w:jc w:val="both"/>
        <w:rPr>
          <w:rFonts w:eastAsia="Malgun Gothic"/>
          <w:b/>
          <w:bCs/>
          <w:szCs w:val="24"/>
          <w:lang w:eastAsia="ko-KR"/>
        </w:rPr>
      </w:pPr>
      <w:r w:rsidRPr="008C40DD">
        <w:rPr>
          <w:b/>
          <w:bCs/>
          <w:szCs w:val="24"/>
        </w:rPr>
        <w:t>2.2.</w:t>
      </w:r>
      <w:r w:rsidRPr="008C40DD">
        <w:rPr>
          <w:rFonts w:eastAsia="Malgun Gothic"/>
          <w:b/>
          <w:bCs/>
          <w:szCs w:val="24"/>
          <w:lang w:eastAsia="ko-KR"/>
        </w:rPr>
        <w:t>1</w:t>
      </w:r>
      <w:r w:rsidRPr="008C40DD">
        <w:rPr>
          <w:bCs/>
          <w:szCs w:val="24"/>
        </w:rPr>
        <w:tab/>
      </w:r>
      <w:r w:rsidRPr="008C40DD">
        <w:rPr>
          <w:bCs/>
          <w:szCs w:val="24"/>
          <w:lang w:eastAsia="ja-JP"/>
        </w:rPr>
        <w:tab/>
      </w:r>
      <w:r w:rsidRPr="008C40DD">
        <w:rPr>
          <w:b/>
          <w:bCs/>
          <w:szCs w:val="24"/>
          <w:lang w:eastAsia="ja-JP"/>
        </w:rPr>
        <w:t>Essai du ou des siège(s) de la même rangée que celui du conducteur quand la ceinture n’est pas bouclée, avant le départ</w:t>
      </w:r>
      <w:r w:rsidR="00CF287C" w:rsidRPr="008C40DD">
        <w:rPr>
          <w:b/>
          <w:bCs/>
          <w:szCs w:val="24"/>
          <w:lang w:eastAsia="ja-JP"/>
        </w:rPr>
        <w:t> </w:t>
      </w:r>
      <w:r w:rsidRPr="008C40DD">
        <w:rPr>
          <w:rFonts w:eastAsia="Malgun Gothic"/>
          <w:b/>
          <w:bCs/>
          <w:szCs w:val="24"/>
          <w:lang w:eastAsia="ko-KR"/>
        </w:rPr>
        <w:t>:</w:t>
      </w:r>
    </w:p>
    <w:p w:rsidR="00774522" w:rsidRPr="008C40DD" w:rsidRDefault="00774522" w:rsidP="00774522">
      <w:pPr>
        <w:kinsoku/>
        <w:overflowPunct/>
        <w:autoSpaceDE/>
        <w:autoSpaceDN/>
        <w:adjustRightInd/>
        <w:snapToGrid/>
        <w:spacing w:after="120"/>
        <w:ind w:left="2835" w:right="1134" w:hanging="567"/>
        <w:jc w:val="both"/>
        <w:rPr>
          <w:b/>
          <w:bCs/>
          <w:szCs w:val="24"/>
          <w:lang w:eastAsia="ja-JP"/>
        </w:rPr>
      </w:pPr>
      <w:r w:rsidRPr="008C40DD">
        <w:rPr>
          <w:b/>
          <w:bCs/>
          <w:szCs w:val="24"/>
          <w:lang w:eastAsia="ja-JP"/>
        </w:rPr>
        <w:t>a)</w:t>
      </w:r>
      <w:r w:rsidRPr="008C40DD">
        <w:rPr>
          <w:b/>
          <w:bCs/>
          <w:szCs w:val="24"/>
          <w:lang w:eastAsia="ja-JP"/>
        </w:rPr>
        <w:tab/>
        <w:t>La ou les ceinture(s) de sécurité du ou des siège(s) de la même rangée que celui du conducteur n’est/ne sont pas bouclée(s)</w:t>
      </w:r>
      <w:r w:rsidR="00CF287C" w:rsidRPr="008C40DD">
        <w:rPr>
          <w:b/>
          <w:bCs/>
          <w:szCs w:val="24"/>
          <w:lang w:eastAsia="ja-JP"/>
        </w:rPr>
        <w:t> </w:t>
      </w:r>
      <w:r w:rsidRPr="008C40DD">
        <w:rPr>
          <w:b/>
          <w:bCs/>
          <w:szCs w:val="24"/>
          <w:lang w:eastAsia="ja-JP"/>
        </w:rPr>
        <w:t>;</w:t>
      </w:r>
    </w:p>
    <w:p w:rsidR="00774522" w:rsidRPr="008C40DD" w:rsidRDefault="00774522" w:rsidP="00774522">
      <w:pPr>
        <w:kinsoku/>
        <w:overflowPunct/>
        <w:autoSpaceDE/>
        <w:autoSpaceDN/>
        <w:adjustRightInd/>
        <w:snapToGrid/>
        <w:spacing w:after="120"/>
        <w:ind w:left="2835" w:right="1134" w:hanging="567"/>
        <w:jc w:val="both"/>
        <w:rPr>
          <w:b/>
          <w:bCs/>
          <w:szCs w:val="24"/>
          <w:lang w:eastAsia="ja-JP"/>
        </w:rPr>
      </w:pPr>
      <w:r w:rsidRPr="008C40DD">
        <w:rPr>
          <w:b/>
          <w:bCs/>
          <w:szCs w:val="24"/>
          <w:lang w:eastAsia="ja-JP"/>
        </w:rPr>
        <w:t>b)</w:t>
      </w:r>
      <w:r w:rsidRPr="008C40DD">
        <w:rPr>
          <w:b/>
          <w:bCs/>
          <w:szCs w:val="24"/>
          <w:lang w:eastAsia="ja-JP"/>
        </w:rPr>
        <w:tab/>
        <w:t>Les ceintures des sièges qui ne sont pas dans la rangée de celui du conducteur sont bouclées</w:t>
      </w:r>
      <w:r w:rsidR="00CF287C" w:rsidRPr="008C40DD">
        <w:rPr>
          <w:b/>
          <w:bCs/>
          <w:szCs w:val="24"/>
          <w:lang w:eastAsia="ja-JP"/>
        </w:rPr>
        <w:t> </w:t>
      </w:r>
      <w:r w:rsidRPr="008C40DD">
        <w:rPr>
          <w:b/>
          <w:bCs/>
          <w:szCs w:val="24"/>
          <w:lang w:eastAsia="ja-JP"/>
        </w:rPr>
        <w:t>;</w:t>
      </w:r>
    </w:p>
    <w:p w:rsidR="00774522" w:rsidRPr="008C40DD" w:rsidRDefault="00FB4CCE" w:rsidP="00774522">
      <w:pPr>
        <w:kinsoku/>
        <w:overflowPunct/>
        <w:autoSpaceDE/>
        <w:autoSpaceDN/>
        <w:adjustRightInd/>
        <w:snapToGrid/>
        <w:spacing w:after="120"/>
        <w:ind w:left="2835" w:right="1134" w:hanging="567"/>
        <w:jc w:val="both"/>
        <w:rPr>
          <w:b/>
          <w:bCs/>
          <w:szCs w:val="24"/>
          <w:lang w:eastAsia="ja-JP"/>
        </w:rPr>
      </w:pPr>
      <w:r>
        <w:rPr>
          <w:b/>
          <w:bCs/>
          <w:szCs w:val="24"/>
          <w:lang w:eastAsia="ja-JP"/>
        </w:rPr>
        <w:t>c)</w:t>
      </w:r>
      <w:r>
        <w:rPr>
          <w:b/>
          <w:bCs/>
          <w:szCs w:val="24"/>
          <w:lang w:eastAsia="ja-JP"/>
        </w:rPr>
        <w:tab/>
        <w:t>Une charge de 40 </w:t>
      </w:r>
      <w:r w:rsidR="00774522" w:rsidRPr="008C40DD">
        <w:rPr>
          <w:b/>
          <w:bCs/>
          <w:szCs w:val="24"/>
          <w:lang w:eastAsia="ja-JP"/>
        </w:rPr>
        <w:t>kg est appliquée sur le(s) siège(s) de la même rangée que celui du conducteur ou alors l’état dans lequel se trouvent les occupants à bord du véhicule est simulé à l’aide d’une méthode précisée par le constructeur</w:t>
      </w:r>
      <w:r w:rsidR="00CF287C" w:rsidRPr="008C40DD">
        <w:rPr>
          <w:b/>
          <w:bCs/>
          <w:szCs w:val="24"/>
          <w:lang w:eastAsia="ja-JP"/>
        </w:rPr>
        <w:t> </w:t>
      </w:r>
      <w:r w:rsidR="00774522" w:rsidRPr="008C40DD">
        <w:rPr>
          <w:b/>
          <w:bCs/>
          <w:szCs w:val="24"/>
          <w:lang w:eastAsia="ja-JP"/>
        </w:rPr>
        <w:t>;</w:t>
      </w:r>
    </w:p>
    <w:p w:rsidR="00774522" w:rsidRPr="008C40DD" w:rsidRDefault="00774522" w:rsidP="00774522">
      <w:pPr>
        <w:kinsoku/>
        <w:overflowPunct/>
        <w:autoSpaceDE/>
        <w:autoSpaceDN/>
        <w:adjustRightInd/>
        <w:snapToGrid/>
        <w:spacing w:after="120"/>
        <w:ind w:left="2835" w:right="1134" w:hanging="567"/>
        <w:jc w:val="both"/>
        <w:rPr>
          <w:b/>
          <w:bCs/>
          <w:szCs w:val="24"/>
          <w:lang w:eastAsia="ja-JP"/>
        </w:rPr>
      </w:pPr>
      <w:r w:rsidRPr="008C40DD">
        <w:rPr>
          <w:b/>
          <w:bCs/>
          <w:szCs w:val="24"/>
          <w:lang w:eastAsia="ja-JP"/>
        </w:rPr>
        <w:t>d)</w:t>
      </w:r>
      <w:r w:rsidRPr="008C40DD">
        <w:rPr>
          <w:b/>
          <w:bCs/>
          <w:szCs w:val="24"/>
          <w:lang w:eastAsia="ja-JP"/>
        </w:rPr>
        <w:tab/>
        <w:t>Le véhicule d’essai est conduit en respectant au moins une des conditions énumérées aux paragraphes 2.1.1.1 à 2.1.1.3 de la présente annexe, au choix du constructeur</w:t>
      </w:r>
      <w:r w:rsidR="00CF287C" w:rsidRPr="008C40DD">
        <w:rPr>
          <w:b/>
          <w:bCs/>
          <w:szCs w:val="24"/>
          <w:lang w:eastAsia="ja-JP"/>
        </w:rPr>
        <w:t> </w:t>
      </w:r>
      <w:r w:rsidRPr="008C40DD">
        <w:rPr>
          <w:b/>
          <w:bCs/>
          <w:szCs w:val="24"/>
          <w:lang w:eastAsia="ja-JP"/>
        </w:rPr>
        <w:t>;</w:t>
      </w:r>
    </w:p>
    <w:p w:rsidR="00774522" w:rsidRPr="008C40DD" w:rsidRDefault="00774522" w:rsidP="00774522">
      <w:pPr>
        <w:kinsoku/>
        <w:overflowPunct/>
        <w:autoSpaceDE/>
        <w:autoSpaceDN/>
        <w:adjustRightInd/>
        <w:snapToGrid/>
        <w:spacing w:after="120"/>
        <w:ind w:left="2835" w:right="1134" w:hanging="567"/>
        <w:jc w:val="both"/>
        <w:rPr>
          <w:b/>
          <w:bCs/>
          <w:szCs w:val="24"/>
          <w:lang w:eastAsia="ja-JP"/>
        </w:rPr>
      </w:pPr>
      <w:r w:rsidRPr="008C40DD">
        <w:rPr>
          <w:b/>
          <w:bCs/>
          <w:szCs w:val="24"/>
          <w:lang w:eastAsia="ja-JP"/>
        </w:rPr>
        <w:t>e)</w:t>
      </w:r>
      <w:r w:rsidRPr="008C40DD">
        <w:rPr>
          <w:b/>
          <w:bCs/>
          <w:szCs w:val="24"/>
          <w:lang w:eastAsia="ja-JP"/>
        </w:rPr>
        <w:tab/>
        <w:t>L’état du témoin de port de ceinture est vérifié pour tous les sièges de la même rangée que celui du conducteur, pour chacune des conditions a) à d).</w:t>
      </w:r>
    </w:p>
    <w:p w:rsidR="00774522" w:rsidRPr="008C40DD" w:rsidRDefault="00774522" w:rsidP="00774522">
      <w:pPr>
        <w:kinsoku/>
        <w:overflowPunct/>
        <w:autoSpaceDE/>
        <w:autoSpaceDN/>
        <w:adjustRightInd/>
        <w:snapToGrid/>
        <w:spacing w:after="120"/>
        <w:ind w:left="2268" w:right="1134" w:hanging="1134"/>
        <w:jc w:val="both"/>
        <w:rPr>
          <w:rFonts w:eastAsia="Malgun Gothic"/>
          <w:b/>
          <w:bCs/>
          <w:szCs w:val="24"/>
          <w:lang w:eastAsia="ko-KR"/>
        </w:rPr>
      </w:pPr>
      <w:r w:rsidRPr="008C40DD">
        <w:rPr>
          <w:rFonts w:eastAsia="Malgun Gothic"/>
          <w:b/>
          <w:bCs/>
          <w:szCs w:val="24"/>
          <w:lang w:eastAsia="ko-KR"/>
        </w:rPr>
        <w:t>2.2.2</w:t>
      </w:r>
      <w:r w:rsidRPr="008C40DD">
        <w:rPr>
          <w:rFonts w:eastAsia="Malgun Gothic"/>
          <w:b/>
          <w:bCs/>
          <w:szCs w:val="24"/>
          <w:lang w:eastAsia="ko-KR"/>
        </w:rPr>
        <w:tab/>
        <w:t xml:space="preserve">Essai du ou des siège(s) de la même rangée que celui du conducteur quand la ceinture </w:t>
      </w:r>
      <w:r w:rsidR="00CF287C" w:rsidRPr="008C40DD">
        <w:rPr>
          <w:rFonts w:eastAsia="Malgun Gothic"/>
          <w:b/>
          <w:bCs/>
          <w:szCs w:val="24"/>
          <w:lang w:eastAsia="ko-KR"/>
        </w:rPr>
        <w:t>est débouclée en cours de route.</w:t>
      </w:r>
    </w:p>
    <w:p w:rsidR="00774522" w:rsidRPr="008C40DD" w:rsidRDefault="00774522" w:rsidP="00774522">
      <w:pPr>
        <w:kinsoku/>
        <w:overflowPunct/>
        <w:autoSpaceDE/>
        <w:autoSpaceDN/>
        <w:adjustRightInd/>
        <w:snapToGrid/>
        <w:spacing w:after="120"/>
        <w:ind w:left="2835" w:right="1134" w:hanging="567"/>
        <w:jc w:val="both"/>
        <w:rPr>
          <w:rFonts w:eastAsia="Malgun Gothic"/>
          <w:b/>
          <w:bCs/>
          <w:szCs w:val="24"/>
          <w:lang w:eastAsia="ko-KR"/>
        </w:rPr>
      </w:pPr>
      <w:r w:rsidRPr="008C40DD">
        <w:rPr>
          <w:rFonts w:eastAsia="Malgun Gothic"/>
          <w:b/>
          <w:bCs/>
          <w:szCs w:val="24"/>
          <w:lang w:eastAsia="ko-KR"/>
        </w:rPr>
        <w:t>a)</w:t>
      </w:r>
      <w:r w:rsidRPr="008C40DD">
        <w:rPr>
          <w:rFonts w:eastAsia="Malgun Gothic"/>
          <w:b/>
          <w:bCs/>
          <w:szCs w:val="24"/>
          <w:lang w:eastAsia="ko-KR"/>
        </w:rPr>
        <w:tab/>
        <w:t>Les ceintures de sécurité du siège du conducteur et des autres sièges sont bouclées</w:t>
      </w:r>
      <w:r w:rsidR="00CF287C" w:rsidRPr="008C40DD">
        <w:rPr>
          <w:rFonts w:eastAsia="Malgun Gothic"/>
          <w:b/>
          <w:bCs/>
          <w:szCs w:val="24"/>
          <w:lang w:eastAsia="ko-KR"/>
        </w:rPr>
        <w:t> </w:t>
      </w:r>
      <w:r w:rsidRPr="008C40DD">
        <w:rPr>
          <w:rFonts w:eastAsia="Malgun Gothic"/>
          <w:b/>
          <w:bCs/>
          <w:szCs w:val="24"/>
          <w:lang w:eastAsia="ko-KR"/>
        </w:rPr>
        <w:t>;</w:t>
      </w:r>
    </w:p>
    <w:p w:rsidR="00774522" w:rsidRPr="008C40DD" w:rsidRDefault="00774522" w:rsidP="00774522">
      <w:pPr>
        <w:kinsoku/>
        <w:overflowPunct/>
        <w:autoSpaceDE/>
        <w:autoSpaceDN/>
        <w:adjustRightInd/>
        <w:snapToGrid/>
        <w:spacing w:after="120"/>
        <w:ind w:left="2835" w:right="1134" w:hanging="567"/>
        <w:jc w:val="both"/>
        <w:rPr>
          <w:b/>
          <w:bCs/>
          <w:szCs w:val="24"/>
          <w:lang w:eastAsia="ja-JP"/>
        </w:rPr>
      </w:pPr>
      <w:r w:rsidRPr="008C40DD">
        <w:rPr>
          <w:rFonts w:eastAsia="Malgun Gothic"/>
          <w:b/>
          <w:bCs/>
          <w:szCs w:val="24"/>
          <w:lang w:eastAsia="ko-KR"/>
        </w:rPr>
        <w:t>b</w:t>
      </w:r>
      <w:r w:rsidR="00CF287C" w:rsidRPr="008C40DD">
        <w:rPr>
          <w:b/>
          <w:bCs/>
          <w:szCs w:val="24"/>
          <w:lang w:eastAsia="ja-JP"/>
        </w:rPr>
        <w:t>)</w:t>
      </w:r>
      <w:r w:rsidR="00CF287C" w:rsidRPr="008C40DD">
        <w:rPr>
          <w:b/>
          <w:bCs/>
          <w:szCs w:val="24"/>
          <w:lang w:eastAsia="ja-JP"/>
        </w:rPr>
        <w:tab/>
        <w:t>Une charge de 40 </w:t>
      </w:r>
      <w:r w:rsidRPr="008C40DD">
        <w:rPr>
          <w:b/>
          <w:bCs/>
          <w:szCs w:val="24"/>
          <w:lang w:eastAsia="ja-JP"/>
        </w:rPr>
        <w:t>kg est appliquée sur le(s) siège(s) de la même rangée que celui du conducteur ou alors l’état dans lequel se trouvent les occupants à bord du véhicule est simulé à l’aide d’une méthode précisée par le constructeur</w:t>
      </w:r>
      <w:r w:rsidR="00CF287C" w:rsidRPr="008C40DD">
        <w:rPr>
          <w:b/>
          <w:bCs/>
          <w:szCs w:val="24"/>
          <w:lang w:eastAsia="ja-JP"/>
        </w:rPr>
        <w:t> </w:t>
      </w:r>
      <w:r w:rsidRPr="008C40DD">
        <w:rPr>
          <w:b/>
          <w:bCs/>
          <w:szCs w:val="24"/>
          <w:lang w:eastAsia="ja-JP"/>
        </w:rPr>
        <w:t>;</w:t>
      </w:r>
    </w:p>
    <w:p w:rsidR="00774522" w:rsidRPr="008C40DD" w:rsidRDefault="00774522" w:rsidP="00774522">
      <w:pPr>
        <w:kinsoku/>
        <w:overflowPunct/>
        <w:autoSpaceDE/>
        <w:autoSpaceDN/>
        <w:adjustRightInd/>
        <w:snapToGrid/>
        <w:spacing w:after="120"/>
        <w:ind w:left="2835" w:right="1134" w:hanging="567"/>
        <w:jc w:val="both"/>
        <w:rPr>
          <w:rFonts w:eastAsia="Malgun Gothic"/>
          <w:b/>
          <w:bCs/>
          <w:szCs w:val="24"/>
          <w:lang w:eastAsia="ko-KR"/>
        </w:rPr>
      </w:pPr>
      <w:r w:rsidRPr="008C40DD">
        <w:rPr>
          <w:rFonts w:eastAsia="Malgun Gothic"/>
          <w:b/>
          <w:bCs/>
          <w:szCs w:val="24"/>
          <w:lang w:eastAsia="ko-KR"/>
        </w:rPr>
        <w:t>c)</w:t>
      </w:r>
      <w:r w:rsidRPr="008C40DD">
        <w:rPr>
          <w:rFonts w:eastAsia="Malgun Gothic"/>
          <w:b/>
          <w:bCs/>
          <w:szCs w:val="24"/>
          <w:lang w:eastAsia="ko-KR"/>
        </w:rPr>
        <w:tab/>
        <w:t>Le véhicule d’essai est conduit en respectant au moins une des conditions énumérées aux paragraphes 2.1.1.1 à 2.1.1.3 de la présente annexe, au choix du constructeur</w:t>
      </w:r>
      <w:r w:rsidR="00CF287C" w:rsidRPr="008C40DD">
        <w:rPr>
          <w:rFonts w:eastAsia="Malgun Gothic"/>
          <w:b/>
          <w:bCs/>
          <w:szCs w:val="24"/>
          <w:lang w:eastAsia="ko-KR"/>
        </w:rPr>
        <w:t> </w:t>
      </w:r>
      <w:r w:rsidRPr="008C40DD">
        <w:rPr>
          <w:rFonts w:eastAsia="Malgun Gothic"/>
          <w:b/>
          <w:bCs/>
          <w:szCs w:val="24"/>
          <w:lang w:eastAsia="ko-KR"/>
        </w:rPr>
        <w:t>;</w:t>
      </w:r>
    </w:p>
    <w:p w:rsidR="00774522" w:rsidRPr="008C40DD" w:rsidRDefault="00774522" w:rsidP="00774522">
      <w:pPr>
        <w:kinsoku/>
        <w:overflowPunct/>
        <w:autoSpaceDE/>
        <w:autoSpaceDN/>
        <w:adjustRightInd/>
        <w:snapToGrid/>
        <w:spacing w:after="120"/>
        <w:ind w:left="2835" w:right="1134" w:hanging="567"/>
        <w:jc w:val="both"/>
        <w:rPr>
          <w:rFonts w:eastAsia="Malgun Gothic"/>
          <w:b/>
          <w:bCs/>
          <w:szCs w:val="24"/>
          <w:lang w:eastAsia="ko-KR"/>
        </w:rPr>
      </w:pPr>
      <w:r w:rsidRPr="008C40DD">
        <w:rPr>
          <w:rFonts w:eastAsia="Malgun Gothic"/>
          <w:b/>
          <w:bCs/>
          <w:szCs w:val="24"/>
          <w:lang w:eastAsia="ko-KR"/>
        </w:rPr>
        <w:t>d)</w:t>
      </w:r>
      <w:r w:rsidRPr="008C40DD">
        <w:rPr>
          <w:rFonts w:eastAsia="Malgun Gothic"/>
          <w:b/>
          <w:bCs/>
          <w:szCs w:val="24"/>
          <w:lang w:eastAsia="ko-KR"/>
        </w:rPr>
        <w:tab/>
        <w:t>Les ceintures de sécurité des sièges autres que ceux de la même rangée que celui du conducteur ne sont pas bouclées</w:t>
      </w:r>
      <w:r w:rsidR="00CF287C" w:rsidRPr="008C40DD">
        <w:rPr>
          <w:rFonts w:eastAsia="Malgun Gothic"/>
          <w:b/>
          <w:bCs/>
          <w:szCs w:val="24"/>
          <w:lang w:eastAsia="ko-KR"/>
        </w:rPr>
        <w:t> </w:t>
      </w:r>
      <w:r w:rsidRPr="008C40DD">
        <w:rPr>
          <w:rFonts w:eastAsia="Malgun Gothic"/>
          <w:b/>
          <w:bCs/>
          <w:szCs w:val="24"/>
          <w:lang w:eastAsia="ko-KR"/>
        </w:rPr>
        <w:t>;</w:t>
      </w:r>
    </w:p>
    <w:p w:rsidR="00774522" w:rsidRPr="008C40DD" w:rsidRDefault="00774522" w:rsidP="00774522">
      <w:pPr>
        <w:kinsoku/>
        <w:overflowPunct/>
        <w:autoSpaceDE/>
        <w:autoSpaceDN/>
        <w:adjustRightInd/>
        <w:snapToGrid/>
        <w:spacing w:after="120"/>
        <w:ind w:left="2835" w:right="1134" w:hanging="567"/>
        <w:jc w:val="both"/>
        <w:rPr>
          <w:rFonts w:eastAsia="Malgun Gothic"/>
          <w:b/>
          <w:bCs/>
          <w:szCs w:val="24"/>
          <w:lang w:eastAsia="ko-KR"/>
        </w:rPr>
      </w:pPr>
      <w:r w:rsidRPr="008C40DD">
        <w:rPr>
          <w:b/>
          <w:bCs/>
          <w:szCs w:val="24"/>
          <w:lang w:eastAsia="ja-JP"/>
        </w:rPr>
        <w:t>e)</w:t>
      </w:r>
      <w:r w:rsidRPr="008C40DD">
        <w:rPr>
          <w:b/>
          <w:bCs/>
          <w:szCs w:val="24"/>
          <w:lang w:eastAsia="ja-JP"/>
        </w:rPr>
        <w:tab/>
        <w:t>L’état du témoin de port de ceinture est vérifié pour tous les sièges de la même rangée que celui du conducteur, pour chacune des conditions a) à d).</w:t>
      </w:r>
    </w:p>
    <w:p w:rsidR="00774522" w:rsidRPr="008C40DD" w:rsidRDefault="00774522" w:rsidP="00774522">
      <w:pPr>
        <w:kinsoku/>
        <w:overflowPunct/>
        <w:autoSpaceDE/>
        <w:autoSpaceDN/>
        <w:adjustRightInd/>
        <w:snapToGrid/>
        <w:spacing w:after="120"/>
        <w:ind w:left="2268" w:right="1134" w:hanging="1134"/>
        <w:jc w:val="both"/>
        <w:rPr>
          <w:bCs/>
          <w:strike/>
          <w:szCs w:val="24"/>
        </w:rPr>
      </w:pPr>
      <w:r w:rsidRPr="008C40DD">
        <w:rPr>
          <w:b/>
          <w:bCs/>
          <w:szCs w:val="24"/>
        </w:rPr>
        <w:t>2.3</w:t>
      </w:r>
      <w:r w:rsidRPr="008C40DD">
        <w:rPr>
          <w:b/>
          <w:bCs/>
          <w:szCs w:val="24"/>
        </w:rPr>
        <w:tab/>
        <w:t>Essai des sièges arrière</w:t>
      </w:r>
    </w:p>
    <w:p w:rsidR="00774522" w:rsidRPr="008C40DD" w:rsidRDefault="00774522" w:rsidP="00774522">
      <w:pPr>
        <w:kinsoku/>
        <w:overflowPunct/>
        <w:autoSpaceDE/>
        <w:autoSpaceDN/>
        <w:adjustRightInd/>
        <w:snapToGrid/>
        <w:spacing w:after="120"/>
        <w:ind w:left="2835" w:right="1134" w:hanging="567"/>
        <w:jc w:val="both"/>
        <w:rPr>
          <w:b/>
          <w:bCs/>
          <w:szCs w:val="24"/>
          <w:lang w:eastAsia="ja-JP"/>
        </w:rPr>
      </w:pPr>
      <w:r w:rsidRPr="008C40DD">
        <w:rPr>
          <w:b/>
          <w:bCs/>
          <w:szCs w:val="24"/>
          <w:lang w:eastAsia="ja-JP"/>
        </w:rPr>
        <w:t>a)</w:t>
      </w:r>
      <w:r w:rsidRPr="008C40DD">
        <w:rPr>
          <w:b/>
          <w:bCs/>
          <w:szCs w:val="24"/>
          <w:lang w:eastAsia="ja-JP"/>
        </w:rPr>
        <w:tab/>
        <w:t>Le véhicule étant immobile, les ceintures de sécurité de tous les sièges sont bouclées</w:t>
      </w:r>
      <w:r w:rsidR="00CF287C" w:rsidRPr="008C40DD">
        <w:rPr>
          <w:b/>
          <w:bCs/>
          <w:szCs w:val="24"/>
          <w:lang w:eastAsia="ja-JP"/>
        </w:rPr>
        <w:t> </w:t>
      </w:r>
      <w:r w:rsidRPr="008C40DD">
        <w:rPr>
          <w:b/>
          <w:bCs/>
          <w:szCs w:val="24"/>
          <w:lang w:eastAsia="ja-JP"/>
        </w:rPr>
        <w:t>;</w:t>
      </w:r>
    </w:p>
    <w:p w:rsidR="00774522" w:rsidRPr="008C40DD" w:rsidRDefault="00774522" w:rsidP="00774522">
      <w:pPr>
        <w:kinsoku/>
        <w:overflowPunct/>
        <w:autoSpaceDE/>
        <w:autoSpaceDN/>
        <w:adjustRightInd/>
        <w:snapToGrid/>
        <w:spacing w:after="120"/>
        <w:ind w:left="2835" w:right="1134" w:hanging="567"/>
        <w:jc w:val="both"/>
        <w:rPr>
          <w:b/>
          <w:bCs/>
          <w:szCs w:val="24"/>
          <w:lang w:eastAsia="ja-JP"/>
        </w:rPr>
      </w:pPr>
      <w:r w:rsidRPr="008C40DD">
        <w:rPr>
          <w:b/>
          <w:bCs/>
          <w:szCs w:val="24"/>
          <w:lang w:eastAsia="ja-JP"/>
        </w:rPr>
        <w:t>b)</w:t>
      </w:r>
      <w:r w:rsidRPr="008C40DD">
        <w:rPr>
          <w:b/>
          <w:bCs/>
          <w:szCs w:val="24"/>
          <w:lang w:eastAsia="ja-JP"/>
        </w:rPr>
        <w:tab/>
        <w:t>Le véhicule d’essai est dans son état normal de fonctionnement et il se déplace</w:t>
      </w:r>
      <w:r w:rsidR="00CF287C" w:rsidRPr="008C40DD">
        <w:rPr>
          <w:b/>
          <w:bCs/>
          <w:szCs w:val="24"/>
          <w:lang w:eastAsia="ja-JP"/>
        </w:rPr>
        <w:t> </w:t>
      </w:r>
      <w:r w:rsidRPr="008C40DD">
        <w:rPr>
          <w:b/>
          <w:bCs/>
          <w:szCs w:val="24"/>
          <w:lang w:eastAsia="ja-JP"/>
        </w:rPr>
        <w:t>;</w:t>
      </w:r>
    </w:p>
    <w:p w:rsidR="00774522" w:rsidRPr="008C40DD" w:rsidRDefault="00774522" w:rsidP="00774522">
      <w:pPr>
        <w:kinsoku/>
        <w:overflowPunct/>
        <w:autoSpaceDE/>
        <w:autoSpaceDN/>
        <w:adjustRightInd/>
        <w:snapToGrid/>
        <w:spacing w:after="120"/>
        <w:ind w:left="2835" w:right="1134" w:hanging="567"/>
        <w:jc w:val="both"/>
        <w:rPr>
          <w:b/>
          <w:bCs/>
          <w:szCs w:val="24"/>
          <w:lang w:eastAsia="ja-JP"/>
        </w:rPr>
      </w:pPr>
      <w:r w:rsidRPr="008C40DD">
        <w:rPr>
          <w:b/>
          <w:bCs/>
          <w:szCs w:val="24"/>
          <w:lang w:eastAsia="ja-JP"/>
        </w:rPr>
        <w:t>c)</w:t>
      </w:r>
      <w:r w:rsidRPr="008C40DD">
        <w:rPr>
          <w:b/>
          <w:bCs/>
          <w:szCs w:val="24"/>
          <w:lang w:eastAsia="ja-JP"/>
        </w:rPr>
        <w:tab/>
        <w:t>La ceinture de sécurité de l’un des sièges arrière est débouclée</w:t>
      </w:r>
      <w:r w:rsidR="00CF287C" w:rsidRPr="008C40DD">
        <w:rPr>
          <w:b/>
          <w:bCs/>
          <w:szCs w:val="24"/>
          <w:lang w:eastAsia="ja-JP"/>
        </w:rPr>
        <w:t> </w:t>
      </w:r>
      <w:r w:rsidRPr="008C40DD">
        <w:rPr>
          <w:b/>
          <w:bCs/>
          <w:szCs w:val="24"/>
          <w:lang w:eastAsia="ja-JP"/>
        </w:rPr>
        <w:t>;</w:t>
      </w:r>
    </w:p>
    <w:p w:rsidR="00774522" w:rsidRPr="008C40DD" w:rsidRDefault="00774522" w:rsidP="00774522">
      <w:pPr>
        <w:kinsoku/>
        <w:overflowPunct/>
        <w:autoSpaceDE/>
        <w:autoSpaceDN/>
        <w:adjustRightInd/>
        <w:snapToGrid/>
        <w:spacing w:after="120"/>
        <w:ind w:left="2835" w:right="1134" w:hanging="567"/>
        <w:jc w:val="both"/>
        <w:rPr>
          <w:b/>
          <w:bCs/>
          <w:szCs w:val="24"/>
          <w:lang w:eastAsia="ja-JP"/>
        </w:rPr>
      </w:pPr>
      <w:r w:rsidRPr="008C40DD">
        <w:rPr>
          <w:b/>
          <w:bCs/>
          <w:szCs w:val="24"/>
          <w:lang w:eastAsia="ja-JP"/>
        </w:rPr>
        <w:t>d)</w:t>
      </w:r>
      <w:r w:rsidRPr="008C40DD">
        <w:rPr>
          <w:b/>
          <w:bCs/>
          <w:szCs w:val="24"/>
          <w:lang w:eastAsia="ja-JP"/>
        </w:rPr>
        <w:tab/>
        <w:t>Le fonctionnement du témoin de port de ceinture est vérifié pour tous les sièges de toutes les rangées</w:t>
      </w:r>
      <w:r w:rsidR="00CF287C" w:rsidRPr="008C40DD">
        <w:rPr>
          <w:b/>
          <w:bCs/>
          <w:szCs w:val="24"/>
          <w:lang w:eastAsia="ja-JP"/>
        </w:rPr>
        <w:t> </w:t>
      </w:r>
      <w:r w:rsidRPr="008C40DD">
        <w:rPr>
          <w:b/>
          <w:bCs/>
          <w:szCs w:val="24"/>
          <w:lang w:eastAsia="ja-JP"/>
        </w:rPr>
        <w:t>;</w:t>
      </w:r>
    </w:p>
    <w:p w:rsidR="00774522" w:rsidRPr="008C40DD" w:rsidRDefault="00774522" w:rsidP="00774522">
      <w:pPr>
        <w:kinsoku/>
        <w:overflowPunct/>
        <w:autoSpaceDE/>
        <w:autoSpaceDN/>
        <w:adjustRightInd/>
        <w:snapToGrid/>
        <w:spacing w:after="120"/>
        <w:ind w:left="2835" w:right="1134" w:hanging="567"/>
        <w:jc w:val="both"/>
        <w:rPr>
          <w:b/>
          <w:bCs/>
          <w:szCs w:val="24"/>
          <w:lang w:eastAsia="ja-JP"/>
        </w:rPr>
      </w:pPr>
      <w:r w:rsidRPr="008C40DD">
        <w:rPr>
          <w:b/>
          <w:bCs/>
          <w:szCs w:val="24"/>
          <w:lang w:eastAsia="ja-JP"/>
        </w:rPr>
        <w:t>e)</w:t>
      </w:r>
      <w:r w:rsidRPr="008C40DD">
        <w:rPr>
          <w:b/>
          <w:bCs/>
          <w:szCs w:val="24"/>
          <w:lang w:eastAsia="ja-JP"/>
        </w:rPr>
        <w:tab/>
        <w:t>Si le constructeur du véhicule le demande, les procédures d’essai décrites aux paragraphes 2.2 à 2.2.2 pour les sièges de la même rangée que celui du conducteur peuvent être appliquées également à n’importe quel siège arrière.</w:t>
      </w:r>
      <w:r w:rsidR="00CF287C" w:rsidRPr="008C40DD">
        <w:rPr>
          <w:bCs/>
          <w:szCs w:val="24"/>
          <w:lang w:eastAsia="ja-JP"/>
        </w:rPr>
        <w:t> »</w:t>
      </w:r>
      <w:r w:rsidRPr="008C40DD">
        <w:rPr>
          <w:bCs/>
          <w:szCs w:val="24"/>
          <w:lang w:eastAsia="ja-JP"/>
        </w:rPr>
        <w:t>.</w:t>
      </w:r>
    </w:p>
    <w:p w:rsidR="00774522" w:rsidRPr="008C40DD" w:rsidRDefault="00774522" w:rsidP="00774522">
      <w:pPr>
        <w:kinsoku/>
        <w:overflowPunct/>
        <w:autoSpaceDE/>
        <w:autoSpaceDN/>
        <w:adjustRightInd/>
        <w:snapToGrid/>
        <w:spacing w:after="120"/>
        <w:ind w:left="2268" w:right="1134" w:hanging="1134"/>
        <w:jc w:val="both"/>
        <w:rPr>
          <w:bCs/>
          <w:szCs w:val="24"/>
        </w:rPr>
      </w:pPr>
      <w:r w:rsidRPr="008C40DD">
        <w:rPr>
          <w:bCs/>
          <w:i/>
          <w:szCs w:val="24"/>
        </w:rPr>
        <w:t>Paragraphe 3</w:t>
      </w:r>
      <w:r w:rsidRPr="008C40DD">
        <w:rPr>
          <w:bCs/>
          <w:szCs w:val="24"/>
        </w:rPr>
        <w:t>, modifier comme suit</w:t>
      </w:r>
      <w:r w:rsidR="00CF287C" w:rsidRPr="008C40DD">
        <w:rPr>
          <w:bCs/>
          <w:szCs w:val="24"/>
        </w:rPr>
        <w:t> </w:t>
      </w:r>
      <w:r w:rsidRPr="008C40DD">
        <w:rPr>
          <w:bCs/>
          <w:szCs w:val="24"/>
        </w:rPr>
        <w:t>:</w:t>
      </w:r>
    </w:p>
    <w:p w:rsidR="00774522" w:rsidRPr="008C40DD" w:rsidRDefault="00CF287C" w:rsidP="00CF287C">
      <w:pPr>
        <w:kinsoku/>
        <w:overflowPunct/>
        <w:autoSpaceDE/>
        <w:autoSpaceDN/>
        <w:adjustRightInd/>
        <w:snapToGrid/>
        <w:spacing w:after="120"/>
        <w:ind w:left="2268" w:right="1134" w:hanging="1134"/>
        <w:jc w:val="both"/>
        <w:rPr>
          <w:bCs/>
          <w:szCs w:val="24"/>
          <w:lang w:eastAsia="ja-JP"/>
        </w:rPr>
      </w:pPr>
      <w:r w:rsidRPr="008C40DD">
        <w:rPr>
          <w:bCs/>
          <w:szCs w:val="24"/>
        </w:rPr>
        <w:t>« </w:t>
      </w:r>
      <w:r w:rsidR="00774522" w:rsidRPr="008C40DD">
        <w:rPr>
          <w:bCs/>
          <w:szCs w:val="24"/>
        </w:rPr>
        <w:t>3.</w:t>
      </w:r>
      <w:r w:rsidR="00774522" w:rsidRPr="008C40DD">
        <w:rPr>
          <w:bCs/>
          <w:szCs w:val="24"/>
        </w:rPr>
        <w:tab/>
      </w:r>
      <w:r w:rsidR="00774522" w:rsidRPr="008C40DD">
        <w:rPr>
          <w:b/>
          <w:bCs/>
          <w:szCs w:val="24"/>
        </w:rPr>
        <w:t xml:space="preserve">La durée de l’alerte de premier niveau doit être au moins égale au minimum requis au </w:t>
      </w:r>
      <w:r w:rsidR="00774522" w:rsidRPr="008C40DD">
        <w:rPr>
          <w:b/>
          <w:bCs/>
          <w:szCs w:val="24"/>
          <w:lang w:eastAsia="ja-JP"/>
        </w:rPr>
        <w:t>paragraphe 8.4.2.2 du présent Règlement. Il est possible de démarrer l’essai de l’alerte de deuxième niveau directement après l’achèvement de l’essai de l’alerte de premier niveau. Il importe toutefois de veiller à ce que l’alerte de deuxième niveau remplace l’alerte de premier niveau lorsque l’alerte de premier niveau est encore active.</w:t>
      </w:r>
      <w:r w:rsidRPr="008C40DD">
        <w:rPr>
          <w:bCs/>
          <w:szCs w:val="24"/>
          <w:lang w:eastAsia="ja-JP"/>
        </w:rPr>
        <w:t> »</w:t>
      </w:r>
      <w:r w:rsidR="00774522" w:rsidRPr="008C40DD">
        <w:rPr>
          <w:bCs/>
          <w:szCs w:val="24"/>
          <w:lang w:eastAsia="ja-JP"/>
        </w:rPr>
        <w:t>.</w:t>
      </w:r>
    </w:p>
    <w:p w:rsidR="00774522" w:rsidRPr="008C40DD" w:rsidRDefault="00774522" w:rsidP="00CF287C">
      <w:pPr>
        <w:pStyle w:val="HChG"/>
      </w:pPr>
      <w:r w:rsidRPr="008C40DD">
        <w:tab/>
        <w:t>II.</w:t>
      </w:r>
      <w:r w:rsidRPr="008C40DD">
        <w:tab/>
        <w:t>Justification</w:t>
      </w:r>
    </w:p>
    <w:p w:rsidR="00774522" w:rsidRPr="008C40DD" w:rsidRDefault="00774522" w:rsidP="00774522">
      <w:pPr>
        <w:pStyle w:val="ParNoG"/>
      </w:pPr>
      <w:r w:rsidRPr="008C40DD">
        <w:t>Il est largement reconnu que la ceinture de sécurité constitue l’un des éléments les plus importants et les plus efficaces de la sécurité des véhicules.</w:t>
      </w:r>
    </w:p>
    <w:p w:rsidR="00774522" w:rsidRPr="008C40DD" w:rsidRDefault="00774522" w:rsidP="00774522">
      <w:pPr>
        <w:pStyle w:val="ParNoG"/>
        <w:tabs>
          <w:tab w:val="clear" w:pos="1701"/>
        </w:tabs>
        <w:rPr>
          <w:szCs w:val="24"/>
        </w:rPr>
      </w:pPr>
      <w:r w:rsidRPr="008C40DD">
        <w:rPr>
          <w:szCs w:val="24"/>
        </w:rPr>
        <w:t>Néanmoins, les taux de port de la ceinture de sécurité varient considérablement d’un pays à l’autre ainsi qu’entre les sièges avant et les sièges arrière, comme il ressort d’un exposé présenté lors de la cinquante-septième session du GRSP.</w:t>
      </w:r>
    </w:p>
    <w:p w:rsidR="00774522" w:rsidRPr="008C40DD" w:rsidRDefault="00774522" w:rsidP="00774522">
      <w:pPr>
        <w:pStyle w:val="ParNoG"/>
        <w:tabs>
          <w:tab w:val="clear" w:pos="1701"/>
        </w:tabs>
        <w:rPr>
          <w:szCs w:val="24"/>
        </w:rPr>
      </w:pPr>
      <w:r w:rsidRPr="008C40DD">
        <w:rPr>
          <w:szCs w:val="24"/>
        </w:rPr>
        <w:t xml:space="preserve">Au Japon, le taux de port de la ceinture de sécurité </w:t>
      </w:r>
      <w:r w:rsidR="00E73024" w:rsidRPr="008C40DD">
        <w:rPr>
          <w:szCs w:val="24"/>
        </w:rPr>
        <w:t>à l’arrière ne dépasse pas 35,1 </w:t>
      </w:r>
      <w:r w:rsidRPr="008C40DD">
        <w:rPr>
          <w:szCs w:val="24"/>
        </w:rPr>
        <w:t>%.</w:t>
      </w:r>
    </w:p>
    <w:p w:rsidR="00774522" w:rsidRPr="008C40DD" w:rsidRDefault="00774522" w:rsidP="00774522">
      <w:pPr>
        <w:pStyle w:val="ParNoG"/>
        <w:tabs>
          <w:tab w:val="clear" w:pos="1701"/>
        </w:tabs>
        <w:rPr>
          <w:szCs w:val="24"/>
        </w:rPr>
      </w:pPr>
      <w:r w:rsidRPr="008C40DD">
        <w:rPr>
          <w:szCs w:val="24"/>
        </w:rPr>
        <w:t xml:space="preserve">Si les témoins de port de </w:t>
      </w:r>
      <w:r w:rsidRPr="008C40DD">
        <w:t>ceinture</w:t>
      </w:r>
      <w:r w:rsidRPr="008C40DD">
        <w:rPr>
          <w:szCs w:val="24"/>
        </w:rPr>
        <w:t xml:space="preserve"> étaient obligatoires pour tous les sièges des voitures p</w:t>
      </w:r>
      <w:r w:rsidR="00E73024" w:rsidRPr="008C40DD">
        <w:rPr>
          <w:szCs w:val="24"/>
        </w:rPr>
        <w:t>articulières, on estime que 150 </w:t>
      </w:r>
      <w:r w:rsidRPr="008C40DD">
        <w:rPr>
          <w:szCs w:val="24"/>
        </w:rPr>
        <w:t xml:space="preserve">vies pourraient être sauvées tous les ans au Japon. </w:t>
      </w:r>
    </w:p>
    <w:p w:rsidR="00774522" w:rsidRPr="008C40DD" w:rsidRDefault="00774522" w:rsidP="00774522">
      <w:pPr>
        <w:pStyle w:val="ParNoG"/>
        <w:tabs>
          <w:tab w:val="clear" w:pos="1701"/>
        </w:tabs>
        <w:rPr>
          <w:szCs w:val="24"/>
        </w:rPr>
      </w:pPr>
      <w:r w:rsidRPr="008C40DD">
        <w:rPr>
          <w:szCs w:val="24"/>
        </w:rPr>
        <w:t xml:space="preserve">En République de Corée, le </w:t>
      </w:r>
      <w:r w:rsidRPr="008C40DD">
        <w:t>taux</w:t>
      </w:r>
      <w:r w:rsidRPr="008C40DD">
        <w:rPr>
          <w:szCs w:val="24"/>
        </w:rPr>
        <w:t xml:space="preserve"> du port de la ceinture de sécu</w:t>
      </w:r>
      <w:r w:rsidR="00E73024" w:rsidRPr="008C40DD">
        <w:rPr>
          <w:szCs w:val="24"/>
        </w:rPr>
        <w:t>rité est compris entre 80 et 90 </w:t>
      </w:r>
      <w:r w:rsidRPr="008C40DD">
        <w:rPr>
          <w:szCs w:val="24"/>
        </w:rPr>
        <w:t>% dans le cas des sièges ava</w:t>
      </w:r>
      <w:r w:rsidR="00E73024" w:rsidRPr="008C40DD">
        <w:rPr>
          <w:szCs w:val="24"/>
        </w:rPr>
        <w:t>nt, mais il ne dépasse pas 16,2 </w:t>
      </w:r>
      <w:r w:rsidRPr="008C40DD">
        <w:rPr>
          <w:szCs w:val="24"/>
        </w:rPr>
        <w:t>% en ce qui concerne les sièges arrière.</w:t>
      </w:r>
    </w:p>
    <w:p w:rsidR="00774522" w:rsidRPr="008C40DD" w:rsidRDefault="00E73024" w:rsidP="00774522">
      <w:pPr>
        <w:pStyle w:val="ParNoG"/>
        <w:tabs>
          <w:tab w:val="clear" w:pos="1701"/>
        </w:tabs>
        <w:rPr>
          <w:szCs w:val="24"/>
        </w:rPr>
      </w:pPr>
      <w:r w:rsidRPr="008C40DD">
        <w:rPr>
          <w:szCs w:val="24"/>
        </w:rPr>
        <w:t>En 2013, 300 </w:t>
      </w:r>
      <w:r w:rsidR="00774522" w:rsidRPr="008C40DD">
        <w:rPr>
          <w:szCs w:val="24"/>
        </w:rPr>
        <w:t xml:space="preserve">personnes ne </w:t>
      </w:r>
      <w:r w:rsidR="00774522" w:rsidRPr="008C40DD">
        <w:t>portant</w:t>
      </w:r>
      <w:r w:rsidR="00774522" w:rsidRPr="008C40DD">
        <w:rPr>
          <w:szCs w:val="24"/>
        </w:rPr>
        <w:t xml:space="preserve"> pas la ceinture de sécurité ont perdu la vie dans des accidents de voiture en Ré</w:t>
      </w:r>
      <w:r w:rsidRPr="008C40DD">
        <w:rPr>
          <w:szCs w:val="24"/>
        </w:rPr>
        <w:t>publique de Corée et plus de 18 </w:t>
      </w:r>
      <w:r w:rsidR="00774522" w:rsidRPr="008C40DD">
        <w:rPr>
          <w:szCs w:val="24"/>
        </w:rPr>
        <w:t>000 ont été blessées. Si les témoins de port de ceinture étaient obligatoires en Corée pour tous les sièges des voitures p</w:t>
      </w:r>
      <w:r w:rsidRPr="008C40DD">
        <w:rPr>
          <w:szCs w:val="24"/>
        </w:rPr>
        <w:t>articulières, on estime que 103 </w:t>
      </w:r>
      <w:r w:rsidR="00774522" w:rsidRPr="008C40DD">
        <w:rPr>
          <w:szCs w:val="24"/>
        </w:rPr>
        <w:t>vies pourraient être sauvées en 2024, année cible, en admettant un tau</w:t>
      </w:r>
      <w:r w:rsidRPr="008C40DD">
        <w:rPr>
          <w:szCs w:val="24"/>
        </w:rPr>
        <w:t>x de respect de cette loi de 70 </w:t>
      </w:r>
      <w:r w:rsidR="00774522" w:rsidRPr="008C40DD">
        <w:rPr>
          <w:szCs w:val="24"/>
        </w:rPr>
        <w:t>%. Le rapport coût-bénéfice de cette mesure serait de 1,43.</w:t>
      </w:r>
    </w:p>
    <w:p w:rsidR="00774522" w:rsidRPr="008C40DD" w:rsidRDefault="00774522" w:rsidP="00774522">
      <w:pPr>
        <w:pStyle w:val="ParNoG"/>
        <w:tabs>
          <w:tab w:val="clear" w:pos="1701"/>
        </w:tabs>
        <w:rPr>
          <w:szCs w:val="24"/>
        </w:rPr>
      </w:pPr>
      <w:r w:rsidRPr="008C40DD">
        <w:rPr>
          <w:szCs w:val="24"/>
        </w:rPr>
        <w:t xml:space="preserve">La Commission européenne a publié une étude quantifiant les bénéfices en termes de prévention de décès et de </w:t>
      </w:r>
      <w:r w:rsidRPr="008C40DD">
        <w:t>blessures</w:t>
      </w:r>
      <w:r w:rsidRPr="008C40DD">
        <w:rPr>
          <w:szCs w:val="24"/>
        </w:rPr>
        <w:t xml:space="preserve"> que permettraient des mesures législatives visant à imposer des témoins de port de ceinture à tous les véhicules des catégories M et N. Elle a comparé pour cela un scénario consistant à ne rien faire et un scénario consistant à rendre obligatoires les témoins de port de ceinture. Les résultats pertinents ainsi que les rapports coût-bénéfice sont présen</w:t>
      </w:r>
      <w:r w:rsidR="00E73024" w:rsidRPr="008C40DD">
        <w:rPr>
          <w:szCs w:val="24"/>
        </w:rPr>
        <w:t>té sur le site </w:t>
      </w:r>
      <w:r w:rsidRPr="008C40DD">
        <w:rPr>
          <w:szCs w:val="24"/>
        </w:rPr>
        <w:t>:</w:t>
      </w:r>
    </w:p>
    <w:p w:rsidR="00774522" w:rsidRPr="008C40DD" w:rsidRDefault="003E3B8C" w:rsidP="00774522">
      <w:pPr>
        <w:pStyle w:val="SingleTxtG"/>
        <w:rPr>
          <w:spacing w:val="-2"/>
          <w:szCs w:val="24"/>
          <w:lang w:eastAsia="ja-JP"/>
        </w:rPr>
      </w:pPr>
      <w:hyperlink r:id="rId12" w:history="1">
        <w:r w:rsidR="00774522" w:rsidRPr="008C40DD">
          <w:rPr>
            <w:spacing w:val="-2"/>
            <w:szCs w:val="24"/>
          </w:rPr>
          <w:t>http://ec.europa.eu/DocsRoom/documents/6662/attachments/1/translations/en/renditions/pdf</w:t>
        </w:r>
      </w:hyperlink>
    </w:p>
    <w:p w:rsidR="00774522" w:rsidRPr="008C40DD" w:rsidRDefault="00774522" w:rsidP="00774522">
      <w:pPr>
        <w:pStyle w:val="ParNoG"/>
        <w:tabs>
          <w:tab w:val="clear" w:pos="1701"/>
        </w:tabs>
        <w:rPr>
          <w:szCs w:val="24"/>
          <w:lang w:eastAsia="ja-JP"/>
        </w:rPr>
      </w:pPr>
      <w:r w:rsidRPr="008C40DD">
        <w:rPr>
          <w:szCs w:val="24"/>
          <w:lang w:eastAsia="ja-JP"/>
        </w:rPr>
        <w:t>Notre analyse décrite plus haut nous a permis de mettre en évidence l’efficacité des témoins de port de ceinture de sécurité. Nous avons reconnu dans le même temps l’importance d’autres mesures telles que les contrôles de police, la formation des conducteurs et la promotion dans les médias. Ces mesures devraient continuer à être prises pour accroître les taux de port de la ceinture de sécurité, indépendamment des modifications proposées concernant les témoins de port de ceinture de sécurité.</w:t>
      </w:r>
    </w:p>
    <w:p w:rsidR="00F9573C" w:rsidRPr="008C40DD" w:rsidRDefault="00774522" w:rsidP="00774522">
      <w:pPr>
        <w:pStyle w:val="SingleTxtG"/>
        <w:spacing w:before="240" w:after="0"/>
        <w:jc w:val="center"/>
        <w:rPr>
          <w:u w:val="single"/>
        </w:rPr>
      </w:pPr>
      <w:r w:rsidRPr="008C40DD">
        <w:rPr>
          <w:u w:val="single"/>
        </w:rPr>
        <w:tab/>
      </w:r>
      <w:r w:rsidRPr="008C40DD">
        <w:rPr>
          <w:u w:val="single"/>
        </w:rPr>
        <w:tab/>
      </w:r>
      <w:r w:rsidRPr="008C40DD">
        <w:rPr>
          <w:u w:val="single"/>
        </w:rPr>
        <w:tab/>
      </w:r>
    </w:p>
    <w:sectPr w:rsidR="00F9573C" w:rsidRPr="008C40DD" w:rsidSect="00774522">
      <w:headerReference w:type="even" r:id="rId13"/>
      <w:headerReference w:type="default" r:id="rId14"/>
      <w:footerReference w:type="even" r:id="rId15"/>
      <w:footerReference w:type="default" r:id="rId16"/>
      <w:footerReference w:type="first" r:id="rId17"/>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72D" w:rsidRDefault="0061072D" w:rsidP="00F95C08">
      <w:pPr>
        <w:spacing w:line="240" w:lineRule="auto"/>
      </w:pPr>
    </w:p>
  </w:endnote>
  <w:endnote w:type="continuationSeparator" w:id="0">
    <w:p w:rsidR="0061072D" w:rsidRPr="00AC3823" w:rsidRDefault="0061072D" w:rsidP="00AC3823">
      <w:pPr>
        <w:pStyle w:val="Footer"/>
      </w:pPr>
    </w:p>
  </w:endnote>
  <w:endnote w:type="continuationNotice" w:id="1">
    <w:p w:rsidR="0061072D" w:rsidRDefault="0061072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522" w:rsidRPr="00774522" w:rsidRDefault="00774522" w:rsidP="00774522">
    <w:pPr>
      <w:pStyle w:val="Footer"/>
      <w:tabs>
        <w:tab w:val="right" w:pos="9638"/>
      </w:tabs>
    </w:pPr>
    <w:r w:rsidRPr="00774522">
      <w:rPr>
        <w:b/>
        <w:sz w:val="18"/>
      </w:rPr>
      <w:fldChar w:fldCharType="begin"/>
    </w:r>
    <w:r w:rsidRPr="00774522">
      <w:rPr>
        <w:b/>
        <w:sz w:val="18"/>
      </w:rPr>
      <w:instrText xml:space="preserve"> PAGE  \* MERGEFORMAT </w:instrText>
    </w:r>
    <w:r w:rsidRPr="00774522">
      <w:rPr>
        <w:b/>
        <w:sz w:val="18"/>
      </w:rPr>
      <w:fldChar w:fldCharType="separate"/>
    </w:r>
    <w:r w:rsidR="003E3B8C">
      <w:rPr>
        <w:b/>
        <w:noProof/>
        <w:sz w:val="18"/>
      </w:rPr>
      <w:t>2</w:t>
    </w:r>
    <w:r w:rsidRPr="00774522">
      <w:rPr>
        <w:b/>
        <w:sz w:val="18"/>
      </w:rPr>
      <w:fldChar w:fldCharType="end"/>
    </w:r>
    <w:r>
      <w:rPr>
        <w:b/>
        <w:sz w:val="18"/>
      </w:rPr>
      <w:tab/>
    </w:r>
    <w:r>
      <w:t>GE.16-03005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522" w:rsidRPr="00774522" w:rsidRDefault="00774522" w:rsidP="00774522">
    <w:pPr>
      <w:pStyle w:val="Footer"/>
      <w:tabs>
        <w:tab w:val="right" w:pos="9638"/>
      </w:tabs>
      <w:rPr>
        <w:b/>
        <w:sz w:val="18"/>
      </w:rPr>
    </w:pPr>
    <w:r>
      <w:t>GE.16-03005</w:t>
    </w:r>
    <w:r>
      <w:tab/>
    </w:r>
    <w:r w:rsidRPr="00774522">
      <w:rPr>
        <w:b/>
        <w:sz w:val="18"/>
      </w:rPr>
      <w:fldChar w:fldCharType="begin"/>
    </w:r>
    <w:r w:rsidRPr="00774522">
      <w:rPr>
        <w:b/>
        <w:sz w:val="18"/>
      </w:rPr>
      <w:instrText xml:space="preserve"> PAGE  \* MERGEFORMAT </w:instrText>
    </w:r>
    <w:r w:rsidRPr="00774522">
      <w:rPr>
        <w:b/>
        <w:sz w:val="18"/>
      </w:rPr>
      <w:fldChar w:fldCharType="separate"/>
    </w:r>
    <w:r w:rsidR="003E3B8C">
      <w:rPr>
        <w:b/>
        <w:noProof/>
        <w:sz w:val="18"/>
      </w:rPr>
      <w:t>9</w:t>
    </w:r>
    <w:r w:rsidRPr="0077452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774522" w:rsidRDefault="00774522" w:rsidP="00774522">
    <w:pPr>
      <w:pStyle w:val="Footer"/>
      <w:spacing w:before="120"/>
      <w:rPr>
        <w:sz w:val="20"/>
      </w:rPr>
    </w:pPr>
    <w:r>
      <w:rPr>
        <w:sz w:val="20"/>
      </w:rPr>
      <w:t>GE.</w:t>
    </w:r>
    <w:r w:rsidR="007F20FA">
      <w:rPr>
        <w:noProof/>
        <w:lang w:val="en-US"/>
      </w:rPr>
      <w:drawing>
        <wp:anchor distT="0" distB="0" distL="114300" distR="114300" simplePos="0" relativeHeight="251659264" behindDoc="0" locked="0" layoutInCell="1" allowOverlap="0" wp14:anchorId="281720D7" wp14:editId="1A538EBB">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16-03005  (F)</w:t>
    </w:r>
    <w:r w:rsidR="006F48B7">
      <w:rPr>
        <w:sz w:val="20"/>
      </w:rPr>
      <w:t xml:space="preserve">    150316    240316</w:t>
    </w:r>
    <w:r>
      <w:rPr>
        <w:sz w:val="20"/>
      </w:rPr>
      <w:br/>
    </w:r>
    <w:r w:rsidRPr="00774522">
      <w:rPr>
        <w:rFonts w:ascii="C39T30Lfz" w:hAnsi="C39T30Lfz"/>
        <w:sz w:val="56"/>
      </w:rPr>
      <w:t></w:t>
    </w:r>
    <w:r w:rsidRPr="00774522">
      <w:rPr>
        <w:rFonts w:ascii="C39T30Lfz" w:hAnsi="C39T30Lfz"/>
        <w:sz w:val="56"/>
      </w:rPr>
      <w:t></w:t>
    </w:r>
    <w:r w:rsidRPr="00774522">
      <w:rPr>
        <w:rFonts w:ascii="C39T30Lfz" w:hAnsi="C39T30Lfz"/>
        <w:sz w:val="56"/>
      </w:rPr>
      <w:t></w:t>
    </w:r>
    <w:r w:rsidRPr="00774522">
      <w:rPr>
        <w:rFonts w:ascii="C39T30Lfz" w:hAnsi="C39T30Lfz"/>
        <w:sz w:val="56"/>
      </w:rPr>
      <w:t></w:t>
    </w:r>
    <w:r w:rsidRPr="00774522">
      <w:rPr>
        <w:rFonts w:ascii="C39T30Lfz" w:hAnsi="C39T30Lfz"/>
        <w:sz w:val="56"/>
      </w:rPr>
      <w:t></w:t>
    </w:r>
    <w:r w:rsidRPr="00774522">
      <w:rPr>
        <w:rFonts w:ascii="C39T30Lfz" w:hAnsi="C39T30Lfz"/>
        <w:sz w:val="56"/>
      </w:rPr>
      <w:t></w:t>
    </w:r>
    <w:r w:rsidRPr="00774522">
      <w:rPr>
        <w:rFonts w:ascii="C39T30Lfz" w:hAnsi="C39T30Lfz"/>
        <w:sz w:val="56"/>
      </w:rPr>
      <w:t></w:t>
    </w:r>
    <w:r w:rsidRPr="00774522">
      <w:rPr>
        <w:rFonts w:ascii="C39T30Lfz" w:hAnsi="C39T30Lfz"/>
        <w:sz w:val="56"/>
      </w:rPr>
      <w:t></w:t>
    </w:r>
    <w:r w:rsidRPr="00774522">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SP/2016/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P/2016/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72D" w:rsidRPr="00AC3823" w:rsidRDefault="0061072D" w:rsidP="00AC3823">
      <w:pPr>
        <w:pStyle w:val="Footer"/>
        <w:tabs>
          <w:tab w:val="right" w:pos="2155"/>
        </w:tabs>
        <w:spacing w:after="80" w:line="240" w:lineRule="atLeast"/>
        <w:ind w:left="680"/>
        <w:rPr>
          <w:u w:val="single"/>
        </w:rPr>
      </w:pPr>
      <w:r>
        <w:rPr>
          <w:u w:val="single"/>
        </w:rPr>
        <w:tab/>
      </w:r>
    </w:p>
  </w:footnote>
  <w:footnote w:type="continuationSeparator" w:id="0">
    <w:p w:rsidR="0061072D" w:rsidRPr="00AC3823" w:rsidRDefault="0061072D" w:rsidP="00AC3823">
      <w:pPr>
        <w:pStyle w:val="Footer"/>
        <w:tabs>
          <w:tab w:val="right" w:pos="2155"/>
        </w:tabs>
        <w:spacing w:after="80" w:line="240" w:lineRule="atLeast"/>
        <w:ind w:left="680"/>
        <w:rPr>
          <w:u w:val="single"/>
        </w:rPr>
      </w:pPr>
      <w:r>
        <w:rPr>
          <w:u w:val="single"/>
        </w:rPr>
        <w:tab/>
      </w:r>
    </w:p>
  </w:footnote>
  <w:footnote w:type="continuationNotice" w:id="1">
    <w:p w:rsidR="0061072D" w:rsidRPr="00AC3823" w:rsidRDefault="0061072D">
      <w:pPr>
        <w:spacing w:line="240" w:lineRule="auto"/>
        <w:rPr>
          <w:sz w:val="2"/>
          <w:szCs w:val="2"/>
        </w:rPr>
      </w:pPr>
    </w:p>
  </w:footnote>
  <w:footnote w:id="2">
    <w:p w:rsidR="006F48B7" w:rsidRPr="00FB4CCE" w:rsidRDefault="006F48B7">
      <w:pPr>
        <w:pStyle w:val="FootnoteText"/>
        <w:rPr>
          <w:spacing w:val="-2"/>
        </w:rPr>
      </w:pPr>
      <w:r>
        <w:rPr>
          <w:rStyle w:val="FootnoteReference"/>
        </w:rPr>
        <w:tab/>
      </w:r>
      <w:r w:rsidRPr="006F48B7">
        <w:rPr>
          <w:rStyle w:val="FootnoteReference"/>
          <w:sz w:val="20"/>
          <w:vertAlign w:val="baseline"/>
        </w:rPr>
        <w:t>*</w:t>
      </w:r>
      <w:r>
        <w:rPr>
          <w:rStyle w:val="FootnoteReference"/>
          <w:sz w:val="20"/>
          <w:vertAlign w:val="baseline"/>
        </w:rPr>
        <w:tab/>
      </w:r>
      <w:r w:rsidRPr="00FB4CCE">
        <w:rPr>
          <w:spacing w:val="-2"/>
        </w:rPr>
        <w:t>Conformément au programme de travail du Comité des transports intérieurs pour la période 2014-2018 (ECE/TRANS/240, par. 105, et ECE/TRANS/2014/26</w:t>
      </w:r>
      <w:r w:rsidR="00FB4CCE">
        <w:rPr>
          <w:spacing w:val="-2"/>
        </w:rPr>
        <w:t>,</w:t>
      </w:r>
      <w:r w:rsidRPr="00FB4CCE">
        <w:rPr>
          <w:spacing w:val="-2"/>
        </w:rPr>
        <w:t xml:space="preserve"> activité 02.4), le Forum mondial élabore, harmonise et actualise les Règlements, afin d’améliorer les caractéristiques fonctionnelles des véhicules. Le présent document est soumis en vertu de ce mandat.</w:t>
      </w:r>
    </w:p>
  </w:footnote>
  <w:footnote w:id="3">
    <w:p w:rsidR="00774522" w:rsidRPr="00DE310C" w:rsidRDefault="00774522" w:rsidP="00774522">
      <w:pPr>
        <w:pStyle w:val="FootnoteText"/>
        <w:rPr>
          <w:strike/>
        </w:rPr>
      </w:pPr>
      <w:r w:rsidRPr="00F665DB">
        <w:tab/>
      </w:r>
      <w:r w:rsidRPr="00DE310C">
        <w:rPr>
          <w:rStyle w:val="FootnoteReference"/>
          <w:strike/>
        </w:rPr>
        <w:t>2</w:t>
      </w:r>
      <w:r w:rsidRPr="006F48B7">
        <w:tab/>
      </w:r>
      <w:r w:rsidRPr="00DE310C">
        <w:rPr>
          <w:strike/>
        </w:rPr>
        <w:t>Le Japon ne pourra être empêché, par les obligations de l’Accord auquel le présent Règlement est joint en annexe, d’exiger que les véhicules de la catégorie N</w:t>
      </w:r>
      <w:r w:rsidRPr="00DE310C">
        <w:rPr>
          <w:strike/>
          <w:vertAlign w:val="subscript"/>
        </w:rPr>
        <w:t>1</w:t>
      </w:r>
      <w:r w:rsidRPr="00DE310C">
        <w:rPr>
          <w:strike/>
        </w:rPr>
        <w:t>, auxquels sont délivrées des homologations de type au titre du présent Règlement, respectent les dispositions nationales existantes pour les témoins de port de ceinture.</w:t>
      </w:r>
    </w:p>
  </w:footnote>
  <w:footnote w:id="4">
    <w:p w:rsidR="00774522" w:rsidRPr="00B42CF1" w:rsidRDefault="00774522" w:rsidP="00FB4CCE">
      <w:pPr>
        <w:pStyle w:val="FootnoteText"/>
        <w:widowControl w:val="0"/>
        <w:tabs>
          <w:tab w:val="clear" w:pos="1021"/>
          <w:tab w:val="right" w:pos="1020"/>
        </w:tabs>
        <w:ind w:right="708"/>
        <w:rPr>
          <w:lang w:eastAsia="ja-JP"/>
        </w:rPr>
      </w:pPr>
      <w:r w:rsidRPr="00DE310C">
        <w:tab/>
      </w:r>
      <w:r w:rsidRPr="00B42CF1">
        <w:rPr>
          <w:rStyle w:val="FootnoteReference"/>
          <w:rFonts w:hint="eastAsia"/>
          <w:lang w:eastAsia="ja-JP"/>
        </w:rPr>
        <w:t>10</w:t>
      </w:r>
      <w:r w:rsidRPr="00B42CF1">
        <w:tab/>
        <w:t>Selon les définitions figurant dans la Résolution d’ensemble sur la construction des véhicules (R.E.3), document ECE/TRANS/WP.29/78/Re</w:t>
      </w:r>
      <w:r w:rsidR="006F48B7">
        <w:t>v.</w:t>
      </w:r>
      <w:r w:rsidR="00FB4CCE">
        <w:t>4</w:t>
      </w:r>
      <w:r w:rsidR="006F48B7">
        <w:t>, par. </w:t>
      </w:r>
      <w:r w:rsidRPr="00B42CF1">
        <w:t>2 − www.unece.org/trans/main/wp29/wp29wgs/wp29gen/</w:t>
      </w:r>
      <w:r w:rsidR="00FB4CCE">
        <w:br/>
      </w:r>
      <w:r w:rsidRPr="00B42CF1">
        <w:t>wp29resolutions.html.</w:t>
      </w:r>
    </w:p>
  </w:footnote>
  <w:footnote w:id="5">
    <w:p w:rsidR="00774522" w:rsidRPr="00D57953" w:rsidRDefault="00774522" w:rsidP="00774522">
      <w:pPr>
        <w:pStyle w:val="FootnoteText"/>
      </w:pPr>
      <w:r w:rsidRPr="00B42CF1">
        <w:tab/>
      </w:r>
      <w:r>
        <w:rPr>
          <w:rStyle w:val="FootnoteReference"/>
        </w:rPr>
        <w:footnoteRef/>
      </w:r>
      <w:r w:rsidRPr="00D57953">
        <w:tab/>
        <w:t>Le deuxième numéro n’est donné qu’à titre d’exemple.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522" w:rsidRPr="00774522" w:rsidRDefault="00774522">
    <w:pPr>
      <w:pStyle w:val="Header"/>
    </w:pPr>
    <w:r>
      <w:t>ECE/TRANS/WP.29/GRSP/2016/2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522" w:rsidRPr="00774522" w:rsidRDefault="00774522" w:rsidP="00774522">
    <w:pPr>
      <w:pStyle w:val="Header"/>
      <w:jc w:val="right"/>
    </w:pPr>
    <w:r>
      <w:t>ECE/TRANS/WP.29/GRSP/2016/2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2D"/>
    <w:rsid w:val="00017F94"/>
    <w:rsid w:val="00023842"/>
    <w:rsid w:val="000334F9"/>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47B00"/>
    <w:rsid w:val="003916DE"/>
    <w:rsid w:val="003E3B8C"/>
    <w:rsid w:val="00441C3B"/>
    <w:rsid w:val="00446FE5"/>
    <w:rsid w:val="00452396"/>
    <w:rsid w:val="004837D8"/>
    <w:rsid w:val="004E468C"/>
    <w:rsid w:val="00545359"/>
    <w:rsid w:val="005505B7"/>
    <w:rsid w:val="00573BE5"/>
    <w:rsid w:val="00586ED3"/>
    <w:rsid w:val="00596AA9"/>
    <w:rsid w:val="0061072D"/>
    <w:rsid w:val="006F48B7"/>
    <w:rsid w:val="0071601D"/>
    <w:rsid w:val="00774522"/>
    <w:rsid w:val="007A62E6"/>
    <w:rsid w:val="007F20FA"/>
    <w:rsid w:val="0080684C"/>
    <w:rsid w:val="00871C75"/>
    <w:rsid w:val="008776DC"/>
    <w:rsid w:val="008C40DD"/>
    <w:rsid w:val="009705C8"/>
    <w:rsid w:val="009C1CF4"/>
    <w:rsid w:val="009F6B74"/>
    <w:rsid w:val="00A30353"/>
    <w:rsid w:val="00AC3823"/>
    <w:rsid w:val="00AE323C"/>
    <w:rsid w:val="00AF0CB5"/>
    <w:rsid w:val="00B00181"/>
    <w:rsid w:val="00B00B0D"/>
    <w:rsid w:val="00B765F7"/>
    <w:rsid w:val="00BA0CA9"/>
    <w:rsid w:val="00C02897"/>
    <w:rsid w:val="00CF287C"/>
    <w:rsid w:val="00D3439C"/>
    <w:rsid w:val="00DB1831"/>
    <w:rsid w:val="00DD3BFD"/>
    <w:rsid w:val="00DF6678"/>
    <w:rsid w:val="00E05D2F"/>
    <w:rsid w:val="00E73024"/>
    <w:rsid w:val="00E85C74"/>
    <w:rsid w:val="00EA6547"/>
    <w:rsid w:val="00EF2E22"/>
    <w:rsid w:val="00F35BAF"/>
    <w:rsid w:val="00F660DF"/>
    <w:rsid w:val="00F94664"/>
    <w:rsid w:val="00F9573C"/>
    <w:rsid w:val="00F95C08"/>
    <w:rsid w:val="00FB4CC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0436705-1431-444D-A981-C062D4C93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ec.europa.eu/DocsRoom/documents/6662/attachments/1/translations/en/renditions/pdf"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3022</Words>
  <Characters>17226</Characters>
  <Application>Microsoft Office Word</Application>
  <DocSecurity>0</DocSecurity>
  <Lines>143</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ECE/TRANS/WP.29/GRSP/2016/2</vt:lpstr>
      <vt:lpstr>ECE/TRANS/WP.29/GRSP/2016/2</vt:lpstr>
    </vt:vector>
  </TitlesOfParts>
  <Company>DCM</Company>
  <LinksUpToDate>false</LinksUpToDate>
  <CharactersWithSpaces>20208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ECE/TRANS/WP.29/GRSP/2016/2</dc:title>
  <dc:subject/>
  <dc:creator>Morin</dc:creator>
  <cp:keywords/>
  <dc:description/>
  <cp:lastModifiedBy>Caillot</cp:lastModifiedBy>
  <cp:revision>2</cp:revision>
  <cp:lastPrinted>2014-05-14T10:59:00Z</cp:lastPrinted>
  <dcterms:created xsi:type="dcterms:W3CDTF">2016-03-24T14:56:00Z</dcterms:created>
  <dcterms:modified xsi:type="dcterms:W3CDTF">2016-03-24T14:56:00Z</dcterms:modified>
</cp:coreProperties>
</file>