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1530C6" w:rsidRPr="005608D7">
        <w:tc>
          <w:tcPr>
            <w:tcW w:w="4961" w:type="dxa"/>
            <w:shd w:val="clear" w:color="auto" w:fill="auto"/>
          </w:tcPr>
          <w:p w:rsidR="001530C6" w:rsidRPr="005608D7" w:rsidRDefault="005608D7">
            <w:pPr>
              <w:pStyle w:val="En-tte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Submitted by the expert from France</w:t>
            </w:r>
          </w:p>
          <w:p w:rsidR="001530C6" w:rsidRDefault="001530C6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1530C6" w:rsidRPr="005608D7" w:rsidRDefault="005608D7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GRSG-112-10</w:t>
            </w:r>
          </w:p>
          <w:p w:rsidR="001530C6" w:rsidRPr="005608D7" w:rsidRDefault="005608D7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(112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24-28 April 2017</w:t>
            </w:r>
          </w:p>
          <w:p w:rsidR="001530C6" w:rsidRPr="005608D7" w:rsidRDefault="005608D7" w:rsidP="005608D7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agenda item 17.(b))</w:t>
            </w:r>
          </w:p>
        </w:tc>
      </w:tr>
    </w:tbl>
    <w:p w:rsidR="005608D7" w:rsidRDefault="005608D7">
      <w:pPr>
        <w:spacing w:line="300" w:lineRule="exact"/>
        <w:ind w:left="1246" w:right="1091"/>
        <w:jc w:val="center"/>
        <w:rPr>
          <w:b/>
          <w:bCs/>
          <w:sz w:val="28"/>
          <w:szCs w:val="28"/>
          <w:highlight w:val="white"/>
          <w:lang w:val="en-GB" w:eastAsia="en-US"/>
        </w:rPr>
      </w:pPr>
    </w:p>
    <w:p w:rsidR="001530C6" w:rsidRPr="005608D7" w:rsidRDefault="005608D7">
      <w:pPr>
        <w:spacing w:line="300" w:lineRule="exact"/>
        <w:ind w:left="1246" w:right="1091"/>
        <w:jc w:val="center"/>
        <w:rPr>
          <w:highlight w:val="white"/>
          <w:lang w:val="en-GB"/>
        </w:rPr>
      </w:pPr>
      <w:r>
        <w:rPr>
          <w:b/>
          <w:bCs/>
          <w:sz w:val="28"/>
          <w:szCs w:val="28"/>
          <w:highlight w:val="white"/>
          <w:lang w:val="en-GB" w:eastAsia="en-US"/>
        </w:rPr>
        <w:t>Pr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o</w:t>
      </w:r>
      <w:r>
        <w:rPr>
          <w:b/>
          <w:bCs/>
          <w:sz w:val="28"/>
          <w:szCs w:val="28"/>
          <w:highlight w:val="white"/>
          <w:lang w:val="en-GB" w:eastAsia="en-US"/>
        </w:rPr>
        <w:t>pos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a</w:t>
      </w:r>
      <w:r>
        <w:rPr>
          <w:b/>
          <w:bCs/>
          <w:sz w:val="28"/>
          <w:szCs w:val="28"/>
          <w:highlight w:val="white"/>
          <w:lang w:val="en-GB" w:eastAsia="en-US"/>
        </w:rPr>
        <w:t>l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 xml:space="preserve"> </w:t>
      </w:r>
      <w:r>
        <w:rPr>
          <w:b/>
          <w:bCs/>
          <w:sz w:val="28"/>
          <w:szCs w:val="28"/>
          <w:highlight w:val="white"/>
          <w:lang w:val="en-GB" w:eastAsia="en-US"/>
        </w:rPr>
        <w:t>f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o</w:t>
      </w:r>
      <w:r>
        <w:rPr>
          <w:b/>
          <w:bCs/>
          <w:sz w:val="28"/>
          <w:szCs w:val="28"/>
          <w:highlight w:val="white"/>
          <w:lang w:val="en-GB" w:eastAsia="en-US"/>
        </w:rPr>
        <w:t>r Supplement 4 to the original version of Re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g</w:t>
      </w:r>
      <w:r>
        <w:rPr>
          <w:b/>
          <w:bCs/>
          <w:sz w:val="28"/>
          <w:szCs w:val="28"/>
          <w:highlight w:val="white"/>
          <w:lang w:val="en-GB" w:eastAsia="en-US"/>
        </w:rPr>
        <w:t>u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la</w:t>
      </w:r>
      <w:r>
        <w:rPr>
          <w:b/>
          <w:bCs/>
          <w:sz w:val="28"/>
          <w:szCs w:val="28"/>
          <w:highlight w:val="white"/>
          <w:lang w:val="en-GB" w:eastAsia="en-US"/>
        </w:rPr>
        <w:t>ti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o</w:t>
      </w:r>
      <w:r>
        <w:rPr>
          <w:b/>
          <w:bCs/>
          <w:sz w:val="28"/>
          <w:szCs w:val="28"/>
          <w:highlight w:val="white"/>
          <w:lang w:val="en-GB" w:eastAsia="en-US"/>
        </w:rPr>
        <w:t>n N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>o</w:t>
      </w:r>
      <w:r>
        <w:rPr>
          <w:b/>
          <w:bCs/>
          <w:sz w:val="28"/>
          <w:szCs w:val="28"/>
          <w:highlight w:val="white"/>
          <w:lang w:val="en-GB" w:eastAsia="en-US"/>
        </w:rPr>
        <w:t>.</w:t>
      </w:r>
      <w:r>
        <w:rPr>
          <w:b/>
          <w:bCs/>
          <w:spacing w:val="1"/>
          <w:sz w:val="28"/>
          <w:szCs w:val="28"/>
          <w:highlight w:val="white"/>
          <w:lang w:val="en-GB" w:eastAsia="en-US"/>
        </w:rPr>
        <w:t xml:space="preserve"> 122 </w:t>
      </w:r>
      <w:r>
        <w:rPr>
          <w:b/>
          <w:bCs/>
          <w:sz w:val="28"/>
          <w:szCs w:val="28"/>
          <w:highlight w:val="white"/>
          <w:lang w:val="en-GB" w:eastAsia="en-US"/>
        </w:rPr>
        <w:t>(Heating systems)</w:t>
      </w:r>
    </w:p>
    <w:p w:rsidR="001530C6" w:rsidRDefault="001530C6">
      <w:pPr>
        <w:spacing w:line="240" w:lineRule="atLeast"/>
        <w:ind w:left="567" w:right="454"/>
        <w:rPr>
          <w:highlight w:val="yellow"/>
          <w:lang w:val="en-GB"/>
        </w:rPr>
      </w:pPr>
    </w:p>
    <w:p w:rsidR="001530C6" w:rsidRPr="005608D7" w:rsidRDefault="005608D7" w:rsidP="000810C6">
      <w:pPr>
        <w:spacing w:line="247" w:lineRule="auto"/>
        <w:ind w:left="1246" w:right="877" w:firstLine="569"/>
        <w:jc w:val="both"/>
        <w:rPr>
          <w:lang w:val="en-GB"/>
        </w:rPr>
      </w:pPr>
      <w:bookmarkStart w:id="0" w:name="_GoBack"/>
      <w:bookmarkEnd w:id="0"/>
      <w:r w:rsidRPr="005608D7">
        <w:rPr>
          <w:spacing w:val="1"/>
          <w:sz w:val="20"/>
          <w:szCs w:val="20"/>
          <w:lang w:val="en-GB"/>
        </w:rPr>
        <w:t xml:space="preserve">The text reproduced below was prepared by the experts from France. It proposes an amendment to UN Regulation No. 122 according to </w:t>
      </w:r>
      <w:r>
        <w:rPr>
          <w:spacing w:val="1"/>
          <w:sz w:val="20"/>
          <w:szCs w:val="20"/>
          <w:lang w:val="en-GB"/>
        </w:rPr>
        <w:t xml:space="preserve">the </w:t>
      </w:r>
      <w:r w:rsidRPr="005608D7">
        <w:rPr>
          <w:spacing w:val="1"/>
          <w:sz w:val="20"/>
          <w:szCs w:val="20"/>
          <w:lang w:val="en-GB"/>
        </w:rPr>
        <w:t xml:space="preserve">application </w:t>
      </w:r>
      <w:r>
        <w:rPr>
          <w:spacing w:val="1"/>
          <w:sz w:val="20"/>
          <w:szCs w:val="20"/>
          <w:lang w:val="en-GB"/>
        </w:rPr>
        <w:t xml:space="preserve">of </w:t>
      </w:r>
      <w:r w:rsidRPr="005608D7">
        <w:rPr>
          <w:spacing w:val="1"/>
          <w:sz w:val="20"/>
          <w:szCs w:val="20"/>
          <w:lang w:val="en-GB"/>
        </w:rPr>
        <w:t>annexes regarding heaters located outside the passenger compartment and using water as a transfer medium. The modifications to the current text of UN Regulation No. 122 are marked in bold for new characters.</w:t>
      </w:r>
    </w:p>
    <w:p w:rsidR="001530C6" w:rsidRDefault="001530C6">
      <w:pPr>
        <w:spacing w:line="200" w:lineRule="exact"/>
        <w:ind w:left="142" w:right="26"/>
        <w:jc w:val="both"/>
        <w:rPr>
          <w:lang w:val="en-US"/>
        </w:rPr>
      </w:pPr>
    </w:p>
    <w:p w:rsidR="001530C6" w:rsidRPr="005608D7" w:rsidRDefault="005608D7" w:rsidP="000810C6">
      <w:pPr>
        <w:tabs>
          <w:tab w:val="left" w:pos="1200"/>
        </w:tabs>
        <w:spacing w:before="24"/>
        <w:ind w:left="639" w:right="6840"/>
        <w:rPr>
          <w:lang w:val="en-GB"/>
        </w:rPr>
      </w:pPr>
      <w:r w:rsidRPr="005608D7">
        <w:rPr>
          <w:b/>
          <w:bCs/>
          <w:spacing w:val="1"/>
          <w:sz w:val="28"/>
          <w:szCs w:val="28"/>
          <w:lang w:val="en-GB"/>
        </w:rPr>
        <w:t>I</w:t>
      </w:r>
      <w:r w:rsidRPr="005608D7">
        <w:rPr>
          <w:b/>
          <w:bCs/>
          <w:sz w:val="28"/>
          <w:szCs w:val="28"/>
          <w:lang w:val="en-GB"/>
        </w:rPr>
        <w:t>.</w:t>
      </w:r>
      <w:r w:rsidRPr="005608D7">
        <w:rPr>
          <w:b/>
          <w:bCs/>
          <w:sz w:val="28"/>
          <w:szCs w:val="28"/>
          <w:lang w:val="en-GB"/>
        </w:rPr>
        <w:tab/>
        <w:t>Pr</w:t>
      </w:r>
      <w:r w:rsidRPr="005608D7">
        <w:rPr>
          <w:b/>
          <w:bCs/>
          <w:spacing w:val="1"/>
          <w:sz w:val="28"/>
          <w:szCs w:val="28"/>
          <w:lang w:val="en-GB"/>
        </w:rPr>
        <w:t>o</w:t>
      </w:r>
      <w:r w:rsidRPr="005608D7">
        <w:rPr>
          <w:b/>
          <w:bCs/>
          <w:sz w:val="28"/>
          <w:szCs w:val="28"/>
          <w:lang w:val="en-GB"/>
        </w:rPr>
        <w:t>pos</w:t>
      </w:r>
      <w:r w:rsidRPr="005608D7">
        <w:rPr>
          <w:b/>
          <w:bCs/>
          <w:spacing w:val="1"/>
          <w:sz w:val="28"/>
          <w:szCs w:val="28"/>
          <w:lang w:val="en-GB"/>
        </w:rPr>
        <w:t>a</w:t>
      </w:r>
      <w:r w:rsidRPr="005608D7">
        <w:rPr>
          <w:b/>
          <w:bCs/>
          <w:sz w:val="28"/>
          <w:szCs w:val="28"/>
          <w:lang w:val="en-GB"/>
        </w:rPr>
        <w:t>l</w:t>
      </w:r>
    </w:p>
    <w:p w:rsidR="001530C6" w:rsidRPr="005608D7" w:rsidRDefault="001530C6">
      <w:pPr>
        <w:spacing w:before="7" w:line="240" w:lineRule="exact"/>
        <w:rPr>
          <w:lang w:val="en-GB"/>
        </w:rPr>
      </w:pPr>
    </w:p>
    <w:p w:rsidR="001530C6" w:rsidRPr="005608D7" w:rsidRDefault="005608D7">
      <w:pPr>
        <w:spacing w:line="247" w:lineRule="auto"/>
        <w:ind w:left="2381" w:right="540" w:hanging="1135"/>
        <w:jc w:val="both"/>
        <w:rPr>
          <w:lang w:val="en-GB"/>
        </w:rPr>
      </w:pPr>
      <w:r w:rsidRPr="005608D7">
        <w:rPr>
          <w:i/>
          <w:sz w:val="20"/>
          <w:szCs w:val="20"/>
          <w:lang w:val="en-GB"/>
        </w:rPr>
        <w:t xml:space="preserve">Paragraph 6.2.1., </w:t>
      </w:r>
      <w:r w:rsidRPr="005608D7">
        <w:rPr>
          <w:sz w:val="20"/>
          <w:szCs w:val="20"/>
          <w:lang w:val="en-GB"/>
        </w:rPr>
        <w:t>amend to read:</w:t>
      </w:r>
    </w:p>
    <w:p w:rsidR="001530C6" w:rsidRPr="005608D7" w:rsidRDefault="001530C6">
      <w:pPr>
        <w:spacing w:line="247" w:lineRule="auto"/>
        <w:ind w:left="2381" w:right="540" w:hanging="1135"/>
        <w:jc w:val="both"/>
        <w:rPr>
          <w:sz w:val="20"/>
          <w:szCs w:val="20"/>
          <w:lang w:val="en-GB"/>
        </w:rPr>
      </w:pPr>
    </w:p>
    <w:p w:rsidR="001530C6" w:rsidRPr="005608D7" w:rsidRDefault="005608D7" w:rsidP="000810C6">
      <w:pPr>
        <w:ind w:left="2160" w:right="735" w:hanging="884"/>
        <w:jc w:val="both"/>
        <w:rPr>
          <w:lang w:val="en-GB"/>
        </w:rPr>
      </w:pPr>
      <w:r>
        <w:rPr>
          <w:sz w:val="20"/>
          <w:szCs w:val="20"/>
          <w:lang w:val="en-GB"/>
        </w:rPr>
        <w:t>"</w:t>
      </w:r>
      <w:r w:rsidRPr="005608D7">
        <w:rPr>
          <w:sz w:val="20"/>
          <w:szCs w:val="20"/>
          <w:lang w:val="en-GB"/>
        </w:rPr>
        <w:t>6.2.1.</w:t>
      </w:r>
      <w:r w:rsidRPr="005608D7">
        <w:rPr>
          <w:sz w:val="20"/>
          <w:szCs w:val="20"/>
          <w:lang w:val="en-GB"/>
        </w:rPr>
        <w:tab/>
      </w:r>
      <w:proofErr w:type="gramStart"/>
      <w:r w:rsidRPr="005608D7">
        <w:rPr>
          <w:sz w:val="20"/>
          <w:szCs w:val="20"/>
          <w:lang w:val="en-GB"/>
        </w:rPr>
        <w:t>The</w:t>
      </w:r>
      <w:proofErr w:type="gramEnd"/>
      <w:r w:rsidRPr="005608D7">
        <w:rPr>
          <w:sz w:val="20"/>
          <w:szCs w:val="20"/>
          <w:lang w:val="en-GB"/>
        </w:rPr>
        <w:t xml:space="preserve"> following table indicates which annexes apply to each type of heating system within each vehicle category:</w:t>
      </w:r>
    </w:p>
    <w:p w:rsidR="001530C6" w:rsidRDefault="001530C6">
      <w:pPr>
        <w:keepNext/>
        <w:keepLines/>
        <w:rPr>
          <w:sz w:val="20"/>
          <w:szCs w:val="20"/>
          <w:lang w:val="en-GB"/>
        </w:rPr>
      </w:pPr>
    </w:p>
    <w:tbl>
      <w:tblPr>
        <w:tblW w:w="7371" w:type="dxa"/>
        <w:tblInd w:w="1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2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992"/>
        <w:gridCol w:w="1127"/>
        <w:gridCol w:w="1314"/>
        <w:gridCol w:w="1130"/>
        <w:gridCol w:w="1125"/>
      </w:tblGrid>
      <w:tr w:rsidR="001530C6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  <w:outlineLvl w:val="7"/>
            </w:pPr>
            <w:r>
              <w:rPr>
                <w:color w:val="000000"/>
                <w:sz w:val="20"/>
                <w:szCs w:val="20"/>
                <w:lang w:val="en-GB"/>
              </w:rPr>
              <w:t>Heating system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  <w:outlineLvl w:val="1"/>
            </w:pPr>
            <w:r>
              <w:rPr>
                <w:bCs/>
                <w:color w:val="000000"/>
                <w:sz w:val="20"/>
                <w:szCs w:val="20"/>
                <w:lang w:val="en-GB"/>
              </w:rPr>
              <w:t>Vehicle category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sz w:val="20"/>
                <w:szCs w:val="20"/>
                <w:lang w:val="en-GB"/>
              </w:rPr>
              <w:t>Annex 4</w:t>
            </w:r>
          </w:p>
          <w:p w:rsidR="001530C6" w:rsidRDefault="005608D7">
            <w:pPr>
              <w:keepNext/>
              <w:keepLines/>
              <w:jc w:val="center"/>
              <w:outlineLvl w:val="8"/>
            </w:pPr>
            <w:r>
              <w:rPr>
                <w:color w:val="000000"/>
                <w:sz w:val="20"/>
                <w:szCs w:val="20"/>
                <w:lang w:val="en-GB" w:eastAsia="fr-FR"/>
              </w:rPr>
              <w:t>Air quality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Annex 5</w:t>
            </w:r>
          </w:p>
          <w:p w:rsidR="001530C6" w:rsidRDefault="005608D7">
            <w:pPr>
              <w:keepNext/>
              <w:keepLines/>
              <w:jc w:val="center"/>
              <w:outlineLvl w:val="3"/>
            </w:pPr>
            <w:r>
              <w:rPr>
                <w:color w:val="000000"/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center" w:pos="4734"/>
              </w:tabs>
              <w:jc w:val="center"/>
              <w:outlineLvl w:val="4"/>
            </w:pPr>
            <w:r>
              <w:rPr>
                <w:color w:val="000000"/>
                <w:sz w:val="20"/>
                <w:szCs w:val="20"/>
                <w:lang w:val="en-GB"/>
              </w:rPr>
              <w:t>Annex 6</w:t>
            </w:r>
          </w:p>
          <w:p w:rsidR="001530C6" w:rsidRDefault="005608D7">
            <w:pPr>
              <w:keepNext/>
              <w:keepLines/>
              <w:tabs>
                <w:tab w:val="center" w:pos="4734"/>
              </w:tabs>
              <w:jc w:val="center"/>
              <w:outlineLvl w:val="4"/>
            </w:pPr>
            <w:r>
              <w:rPr>
                <w:color w:val="000000"/>
                <w:sz w:val="20"/>
                <w:szCs w:val="20"/>
                <w:lang w:val="en-GB"/>
              </w:rPr>
              <w:t>Exhaust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Annex 8</w:t>
            </w:r>
          </w:p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  <w:outlineLvl w:val="8"/>
            </w:pPr>
            <w:r>
              <w:rPr>
                <w:color w:val="000000"/>
                <w:sz w:val="20"/>
                <w:szCs w:val="20"/>
                <w:lang w:val="en-GB" w:eastAsia="fr-FR"/>
              </w:rPr>
              <w:t>LPG safety</w:t>
            </w:r>
          </w:p>
        </w:tc>
      </w:tr>
      <w:tr w:rsidR="001530C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</w:pPr>
            <w:r>
              <w:rPr>
                <w:sz w:val="20"/>
                <w:szCs w:val="20"/>
                <w:lang w:val="en-GB"/>
              </w:rPr>
              <w:t>Engine waste</w:t>
            </w:r>
          </w:p>
          <w:p w:rsidR="001530C6" w:rsidRDefault="005608D7">
            <w:pPr>
              <w:keepNext/>
              <w:keepLines/>
            </w:pPr>
            <w:r>
              <w:rPr>
                <w:sz w:val="20"/>
                <w:szCs w:val="20"/>
                <w:lang w:val="en-GB"/>
              </w:rPr>
              <w:t>heat - water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Engine waste</w:t>
            </w:r>
          </w:p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heat - air</w:t>
            </w:r>
          </w:p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See Note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</w:pPr>
            <w:r>
              <w:rPr>
                <w:color w:val="000000"/>
                <w:sz w:val="20"/>
                <w:szCs w:val="20"/>
                <w:lang w:val="en-GB"/>
              </w:rPr>
              <w:t>Engine waste</w:t>
            </w:r>
          </w:p>
          <w:p w:rsidR="001530C6" w:rsidRDefault="005608D7">
            <w:pPr>
              <w:keepNext/>
              <w:keepLines/>
              <w:tabs>
                <w:tab w:val="left" w:pos="1418"/>
              </w:tabs>
            </w:pPr>
            <w:r>
              <w:rPr>
                <w:color w:val="000000"/>
                <w:sz w:val="20"/>
                <w:szCs w:val="20"/>
                <w:lang w:val="en-GB"/>
              </w:rPr>
              <w:t>heat - oil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Gaseous fuel</w:t>
            </w:r>
          </w:p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heater - See</w:t>
            </w:r>
          </w:p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1530C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Liquid fuel</w:t>
            </w:r>
          </w:p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heater</w:t>
            </w:r>
          </w:p>
          <w:p w:rsidR="001530C6" w:rsidRPr="005608D7" w:rsidRDefault="005608D7">
            <w:pPr>
              <w:keepNext/>
              <w:keepLines/>
              <w:tabs>
                <w:tab w:val="left" w:pos="1418"/>
              </w:tabs>
              <w:rPr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See 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</w:pPr>
            <w:r>
              <w:rPr>
                <w:color w:val="000000"/>
                <w:sz w:val="20"/>
                <w:szCs w:val="20"/>
                <w:lang w:val="en-GB"/>
              </w:rPr>
              <w:t>Electric heater</w:t>
            </w:r>
          </w:p>
          <w:p w:rsidR="001530C6" w:rsidRDefault="005608D7">
            <w:pPr>
              <w:keepNext/>
              <w:keepLines/>
              <w:tabs>
                <w:tab w:val="left" w:pos="1418"/>
              </w:tabs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See Note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1530C6">
        <w:trPr>
          <w:cantSplit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tabs>
                <w:tab w:val="left" w:pos="1418"/>
              </w:tabs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5608D7">
            <w:pPr>
              <w:keepNext/>
              <w:keepLines/>
              <w:jc w:val="center"/>
            </w:pPr>
            <w:r>
              <w:rPr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2" w:type="dxa"/>
            </w:tcMar>
            <w:vAlign w:val="center"/>
          </w:tcPr>
          <w:p w:rsidR="001530C6" w:rsidRDefault="001530C6">
            <w:pPr>
              <w:keepNext/>
              <w:keepLines/>
              <w:tabs>
                <w:tab w:val="left" w:pos="1418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530C6" w:rsidRDefault="001530C6">
      <w:pPr>
        <w:ind w:left="2160" w:hanging="884"/>
        <w:rPr>
          <w:sz w:val="20"/>
          <w:szCs w:val="20"/>
        </w:rPr>
      </w:pPr>
    </w:p>
    <w:p w:rsidR="001530C6" w:rsidRPr="005608D7" w:rsidRDefault="005608D7" w:rsidP="000810C6">
      <w:pPr>
        <w:ind w:left="1276" w:right="735"/>
        <w:jc w:val="both"/>
        <w:rPr>
          <w:lang w:val="en-GB"/>
        </w:rPr>
      </w:pPr>
      <w:r w:rsidRPr="005608D7">
        <w:rPr>
          <w:sz w:val="20"/>
          <w:szCs w:val="20"/>
          <w:lang w:val="en-GB"/>
        </w:rPr>
        <w:t>Note 1: Heating systems which comply with the requirements of annex 3 are exempt from these test requirements.</w:t>
      </w:r>
    </w:p>
    <w:p w:rsidR="001530C6" w:rsidRPr="005608D7" w:rsidRDefault="001530C6" w:rsidP="000810C6">
      <w:pPr>
        <w:ind w:left="1276" w:right="735"/>
        <w:rPr>
          <w:sz w:val="20"/>
          <w:szCs w:val="20"/>
          <w:lang w:val="en-GB"/>
        </w:rPr>
      </w:pPr>
    </w:p>
    <w:p w:rsidR="001530C6" w:rsidRPr="005608D7" w:rsidRDefault="005608D7" w:rsidP="000810C6">
      <w:pPr>
        <w:ind w:left="1276" w:right="735"/>
        <w:rPr>
          <w:lang w:val="en-GB"/>
        </w:rPr>
      </w:pPr>
      <w:r w:rsidRPr="005608D7">
        <w:rPr>
          <w:sz w:val="20"/>
          <w:szCs w:val="20"/>
          <w:lang w:val="en-GB"/>
        </w:rPr>
        <w:t xml:space="preserve">Note 2: </w:t>
      </w:r>
      <w:r w:rsidRPr="005608D7">
        <w:rPr>
          <w:b/>
          <w:sz w:val="20"/>
          <w:szCs w:val="20"/>
          <w:lang w:val="en-GB"/>
        </w:rPr>
        <w:t>Heaters</w:t>
      </w:r>
      <w:r w:rsidRPr="005608D7">
        <w:rPr>
          <w:sz w:val="20"/>
          <w:szCs w:val="20"/>
          <w:lang w:val="en-GB"/>
        </w:rPr>
        <w:t xml:space="preserve"> located outside the passenger compartment, </w:t>
      </w:r>
      <w:bookmarkStart w:id="1" w:name="__DdeLink__2567_1852504735"/>
      <w:r w:rsidRPr="005608D7">
        <w:rPr>
          <w:sz w:val="20"/>
          <w:szCs w:val="20"/>
          <w:lang w:val="en-GB"/>
        </w:rPr>
        <w:t>using water as a transfer medium</w:t>
      </w:r>
      <w:bookmarkEnd w:id="1"/>
      <w:r w:rsidRPr="005608D7">
        <w:rPr>
          <w:sz w:val="20"/>
          <w:szCs w:val="20"/>
          <w:lang w:val="en-GB"/>
        </w:rPr>
        <w:t xml:space="preserve">, are deemed </w:t>
      </w:r>
      <w:r>
        <w:rPr>
          <w:sz w:val="20"/>
          <w:szCs w:val="20"/>
          <w:lang w:val="en-GB"/>
        </w:rPr>
        <w:t>to comply with annexes 4 and 5."</w:t>
      </w:r>
    </w:p>
    <w:p w:rsidR="001530C6" w:rsidRDefault="001530C6">
      <w:pPr>
        <w:ind w:left="2160" w:hanging="884"/>
        <w:jc w:val="both"/>
        <w:rPr>
          <w:sz w:val="20"/>
          <w:szCs w:val="20"/>
          <w:lang w:val="en-US"/>
        </w:rPr>
      </w:pPr>
    </w:p>
    <w:p w:rsidR="001530C6" w:rsidRDefault="005608D7" w:rsidP="000810C6">
      <w:pPr>
        <w:pStyle w:val="HChG"/>
        <w:ind w:left="1276" w:hanging="567"/>
        <w:rPr>
          <w:szCs w:val="28"/>
          <w:lang w:val="en-US"/>
        </w:rPr>
      </w:pPr>
      <w:r>
        <w:rPr>
          <w:szCs w:val="28"/>
          <w:lang w:val="en-US"/>
        </w:rPr>
        <w:t>II.</w:t>
      </w:r>
      <w:r>
        <w:rPr>
          <w:szCs w:val="28"/>
          <w:lang w:val="en-US"/>
        </w:rPr>
        <w:tab/>
        <w:t>Justification</w:t>
      </w:r>
    </w:p>
    <w:p w:rsidR="001530C6" w:rsidRPr="005608D7" w:rsidRDefault="005608D7" w:rsidP="000810C6">
      <w:pPr>
        <w:tabs>
          <w:tab w:val="left" w:pos="8789"/>
        </w:tabs>
        <w:spacing w:line="226" w:lineRule="exact"/>
        <w:ind w:left="1276" w:right="877"/>
        <w:jc w:val="both"/>
        <w:rPr>
          <w:lang w:val="en-GB"/>
        </w:rPr>
      </w:pPr>
      <w:r w:rsidRPr="005608D7">
        <w:rPr>
          <w:sz w:val="20"/>
          <w:szCs w:val="20"/>
          <w:lang w:val="en-GB"/>
        </w:rPr>
        <w:t>All heaters located outside the passenger compartment and using</w:t>
      </w:r>
      <w:r>
        <w:rPr>
          <w:sz w:val="20"/>
          <w:szCs w:val="20"/>
          <w:lang w:val="en-GB"/>
        </w:rPr>
        <w:t xml:space="preserve"> water as a transfer medium do no</w:t>
      </w:r>
      <w:r w:rsidRPr="005608D7">
        <w:rPr>
          <w:sz w:val="20"/>
          <w:szCs w:val="20"/>
          <w:lang w:val="en-GB"/>
        </w:rPr>
        <w:t xml:space="preserve">t need to fulfil </w:t>
      </w:r>
      <w:r>
        <w:rPr>
          <w:sz w:val="20"/>
          <w:szCs w:val="20"/>
          <w:lang w:val="en-GB"/>
        </w:rPr>
        <w:t xml:space="preserve">the </w:t>
      </w:r>
      <w:r w:rsidRPr="005608D7">
        <w:rPr>
          <w:sz w:val="20"/>
          <w:szCs w:val="20"/>
          <w:lang w:val="en-GB"/>
        </w:rPr>
        <w:t xml:space="preserve">annexes </w:t>
      </w:r>
      <w:r>
        <w:rPr>
          <w:sz w:val="20"/>
          <w:szCs w:val="20"/>
          <w:lang w:val="en-GB"/>
        </w:rPr>
        <w:t xml:space="preserve">on </w:t>
      </w:r>
      <w:r w:rsidRPr="005608D7">
        <w:rPr>
          <w:sz w:val="20"/>
          <w:szCs w:val="20"/>
          <w:lang w:val="en-GB"/>
        </w:rPr>
        <w:t>air quality and temperature without restriction to combustion heaters only.</w:t>
      </w:r>
    </w:p>
    <w:p w:rsidR="001530C6" w:rsidRDefault="005608D7">
      <w:pPr>
        <w:ind w:left="1134" w:right="1160"/>
        <w:jc w:val="center"/>
      </w:pPr>
      <w:r>
        <w:rPr>
          <w:lang w:val="en-GB"/>
        </w:rPr>
        <w:t>__________</w:t>
      </w:r>
    </w:p>
    <w:sectPr w:rsidR="001530C6" w:rsidSect="005608D7">
      <w:pgSz w:w="11906" w:h="16838"/>
      <w:pgMar w:top="709" w:right="1106" w:bottom="1985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30C6"/>
    <w:rsid w:val="000810C6"/>
    <w:rsid w:val="001530C6"/>
    <w:rsid w:val="005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 the expert from the informal group on Service Doors, Windows and Emergency Exits (SDWEE)</vt:lpstr>
    </vt:vector>
  </TitlesOfParts>
  <Company>ECE-ISU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2016-10-06T09:18:00Z</cp:lastPrinted>
  <dcterms:created xsi:type="dcterms:W3CDTF">2017-03-30T09:37:00Z</dcterms:created>
  <dcterms:modified xsi:type="dcterms:W3CDTF">2017-03-30T11:06:00Z</dcterms:modified>
  <dc:language>fr-FR</dc:language>
</cp:coreProperties>
</file>