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8A" w:rsidRPr="00133E6D" w:rsidRDefault="00DF418A" w:rsidP="00133E6D">
      <w:pPr>
        <w:pStyle w:val="HChG"/>
        <w:tabs>
          <w:tab w:val="clear" w:pos="851"/>
        </w:tabs>
        <w:ind w:firstLine="0"/>
        <w:jc w:val="both"/>
        <w:rPr>
          <w:sz w:val="26"/>
          <w:szCs w:val="26"/>
        </w:rPr>
      </w:pPr>
      <w:r w:rsidRPr="007948F3">
        <w:rPr>
          <w:sz w:val="26"/>
          <w:szCs w:val="26"/>
        </w:rPr>
        <w:t xml:space="preserve">Proposal for </w:t>
      </w:r>
      <w:r w:rsidR="002A7DBF">
        <w:rPr>
          <w:sz w:val="26"/>
          <w:szCs w:val="26"/>
        </w:rPr>
        <w:t xml:space="preserve">Supplement 1 to the 01 series of </w:t>
      </w:r>
      <w:r w:rsidR="00A83C2D" w:rsidRPr="007948F3">
        <w:rPr>
          <w:sz w:val="26"/>
          <w:szCs w:val="26"/>
        </w:rPr>
        <w:t xml:space="preserve">amendments to </w:t>
      </w:r>
      <w:r w:rsidR="00D27713" w:rsidRPr="007948F3">
        <w:rPr>
          <w:sz w:val="26"/>
          <w:szCs w:val="26"/>
        </w:rPr>
        <w:t>Regulation</w:t>
      </w:r>
      <w:r w:rsidR="009A1E55">
        <w:rPr>
          <w:sz w:val="26"/>
          <w:szCs w:val="26"/>
        </w:rPr>
        <w:t xml:space="preserve"> </w:t>
      </w:r>
      <w:r w:rsidR="00D27713" w:rsidRPr="007948F3">
        <w:rPr>
          <w:sz w:val="26"/>
          <w:szCs w:val="26"/>
        </w:rPr>
        <w:t xml:space="preserve">No. </w:t>
      </w:r>
      <w:r w:rsidR="000E2AC1">
        <w:rPr>
          <w:sz w:val="26"/>
          <w:szCs w:val="26"/>
        </w:rPr>
        <w:t>121</w:t>
      </w:r>
      <w:r w:rsidR="007C0546" w:rsidRPr="007948F3">
        <w:rPr>
          <w:sz w:val="26"/>
          <w:szCs w:val="26"/>
        </w:rPr>
        <w:t xml:space="preserve"> (</w:t>
      </w:r>
      <w:r w:rsidR="000E2AC1" w:rsidRPr="000E2AC1">
        <w:rPr>
          <w:sz w:val="26"/>
          <w:szCs w:val="26"/>
        </w:rPr>
        <w:t>Identification of controls, tell-tales and indicators</w:t>
      </w:r>
      <w:r w:rsidR="007C0546" w:rsidRPr="007948F3">
        <w:rPr>
          <w:sz w:val="26"/>
          <w:szCs w:val="26"/>
        </w:rPr>
        <w:t>)</w:t>
      </w:r>
    </w:p>
    <w:p w:rsidR="00DF418A" w:rsidRPr="000E2AC1" w:rsidRDefault="00DF418A" w:rsidP="00E466D9">
      <w:pPr>
        <w:ind w:left="1134" w:right="1134" w:firstLine="567"/>
        <w:jc w:val="both"/>
      </w:pPr>
      <w:r w:rsidRPr="000E2AC1">
        <w:t xml:space="preserve">The </w:t>
      </w:r>
      <w:r w:rsidR="00E466D9" w:rsidRPr="000E2AC1">
        <w:t xml:space="preserve">text reproduced below </w:t>
      </w:r>
      <w:proofErr w:type="gramStart"/>
      <w:r w:rsidR="00E466D9" w:rsidRPr="000E2AC1">
        <w:t>was</w:t>
      </w:r>
      <w:r w:rsidRPr="000E2AC1">
        <w:t xml:space="preserve"> prepared</w:t>
      </w:r>
      <w:proofErr w:type="gramEnd"/>
      <w:r w:rsidRPr="000E2AC1">
        <w:t xml:space="preserve"> by the</w:t>
      </w:r>
      <w:r w:rsidR="001528B9">
        <w:t xml:space="preserve"> </w:t>
      </w:r>
      <w:r w:rsidR="00A70DE6" w:rsidRPr="003F2B1C">
        <w:t xml:space="preserve">expert from the </w:t>
      </w:r>
      <w:r w:rsidR="00A70DE6" w:rsidRPr="003F2B1C">
        <w:rPr>
          <w:rFonts w:eastAsia="MS Mincho"/>
          <w:lang w:eastAsia="ja-JP"/>
        </w:rPr>
        <w:t xml:space="preserve">International Organization of Motor Vehicle Manufacturers (OICA) </w:t>
      </w:r>
      <w:r w:rsidR="00A70DE6" w:rsidRPr="003F2B1C">
        <w:t xml:space="preserve">to </w:t>
      </w:r>
      <w:r w:rsidR="00F41CA4">
        <w:t xml:space="preserve">supersede </w:t>
      </w:r>
      <w:r w:rsidR="001B09C8">
        <w:t>ECE/TRANS/WP.29/</w:t>
      </w:r>
      <w:r w:rsidR="00F41CA4">
        <w:t>GRSG/2016/26 and aims</w:t>
      </w:r>
      <w:r w:rsidR="001528B9">
        <w:t xml:space="preserve"> at </w:t>
      </w:r>
      <w:r w:rsidR="00F41CA4">
        <w:t xml:space="preserve">strictly </w:t>
      </w:r>
      <w:r w:rsidR="00A70DE6" w:rsidRPr="003F2B1C">
        <w:t>align</w:t>
      </w:r>
      <w:r w:rsidR="001528B9">
        <w:t>ing</w:t>
      </w:r>
      <w:r w:rsidR="00A70DE6" w:rsidRPr="003F2B1C">
        <w:t xml:space="preserve"> the provisions of </w:t>
      </w:r>
      <w:r w:rsidR="00A70DE6">
        <w:t>UN R</w:t>
      </w:r>
      <w:r w:rsidR="00A70DE6" w:rsidRPr="003F2B1C">
        <w:t xml:space="preserve">egulation </w:t>
      </w:r>
      <w:r w:rsidR="00FE12A8">
        <w:t xml:space="preserve">No. 121 </w:t>
      </w:r>
      <w:r w:rsidR="00A70DE6">
        <w:t>t</w:t>
      </w:r>
      <w:r w:rsidR="00A70DE6" w:rsidRPr="003F2B1C">
        <w:t>o</w:t>
      </w:r>
      <w:r w:rsidR="00A70DE6">
        <w:t xml:space="preserve"> those of the 07 </w:t>
      </w:r>
      <w:r w:rsidR="00A70DE6" w:rsidRPr="003F2B1C">
        <w:t>series of amendments to UN</w:t>
      </w:r>
      <w:r w:rsidR="00A70DE6">
        <w:t xml:space="preserve"> </w:t>
      </w:r>
      <w:r w:rsidR="00A70DE6" w:rsidRPr="003F2B1C">
        <w:t>R</w:t>
      </w:r>
      <w:r w:rsidR="00A70DE6">
        <w:t xml:space="preserve">egulation No. </w:t>
      </w:r>
      <w:r w:rsidR="00A70DE6" w:rsidRPr="003F2B1C">
        <w:t xml:space="preserve">16. The modifications to the </w:t>
      </w:r>
      <w:r w:rsidR="001528B9">
        <w:t xml:space="preserve">text of </w:t>
      </w:r>
      <w:r w:rsidR="001B09C8" w:rsidRPr="001B09C8">
        <w:t>ECE/TRANS/WP.29/GRSG/</w:t>
      </w:r>
      <w:r w:rsidR="001528B9">
        <w:t xml:space="preserve">2016/26 </w:t>
      </w:r>
      <w:r w:rsidR="00A70DE6" w:rsidRPr="003F2B1C">
        <w:t xml:space="preserve">are marked in </w:t>
      </w:r>
      <w:r w:rsidR="001528B9">
        <w:t>bold red</w:t>
      </w:r>
      <w:r w:rsidR="00A70DE6" w:rsidRPr="003F2B1C">
        <w:t xml:space="preserve"> for new or </w:t>
      </w:r>
      <w:r w:rsidR="001528B9">
        <w:t xml:space="preserve">red </w:t>
      </w:r>
      <w:r w:rsidR="00A70DE6" w:rsidRPr="003F2B1C">
        <w:t>strikethrough for deleted characters</w:t>
      </w:r>
      <w:r w:rsidR="00F41CA4">
        <w:t>, and the modificati</w:t>
      </w:r>
      <w:r w:rsidR="001B09C8">
        <w:t>ons to the current text of the R</w:t>
      </w:r>
      <w:r w:rsidR="00F41CA4">
        <w:t xml:space="preserve">egulation remains </w:t>
      </w:r>
      <w:r w:rsidR="00F41CA4" w:rsidRPr="003F2B1C">
        <w:t xml:space="preserve">in </w:t>
      </w:r>
      <w:r w:rsidR="00F41CA4">
        <w:t>bold black</w:t>
      </w:r>
      <w:r w:rsidR="00F41CA4" w:rsidRPr="003F2B1C">
        <w:t xml:space="preserve"> for new or </w:t>
      </w:r>
      <w:r w:rsidR="00F41CA4">
        <w:t xml:space="preserve">black </w:t>
      </w:r>
      <w:r w:rsidR="00F41CA4" w:rsidRPr="003F2B1C">
        <w:t>strikethrough for deleted characters</w:t>
      </w:r>
      <w:r w:rsidR="00F41CA4">
        <w:t>.</w:t>
      </w:r>
    </w:p>
    <w:p w:rsidR="00DF418A" w:rsidRPr="00DF418A" w:rsidRDefault="00DF418A" w:rsidP="00DF418A">
      <w:pPr>
        <w:spacing w:before="360" w:after="240" w:line="240" w:lineRule="auto"/>
        <w:ind w:left="1134" w:right="1134" w:hanging="567"/>
        <w:jc w:val="both"/>
        <w:rPr>
          <w:b/>
          <w:sz w:val="28"/>
        </w:rPr>
      </w:pPr>
      <w:r w:rsidRPr="00DF418A">
        <w:rPr>
          <w:b/>
          <w:sz w:val="28"/>
        </w:rPr>
        <w:t>I.</w:t>
      </w:r>
      <w:r w:rsidRPr="00DF418A">
        <w:rPr>
          <w:b/>
          <w:sz w:val="28"/>
        </w:rPr>
        <w:tab/>
        <w:t>Proposal</w:t>
      </w:r>
    </w:p>
    <w:p w:rsidR="00A70DE6" w:rsidRPr="003F2B1C" w:rsidRDefault="00A70DE6" w:rsidP="00FE12A8">
      <w:pPr>
        <w:tabs>
          <w:tab w:val="left" w:pos="8505"/>
        </w:tabs>
        <w:spacing w:before="120" w:after="120" w:line="240" w:lineRule="auto"/>
        <w:ind w:left="2268" w:right="1134" w:hanging="1134"/>
        <w:jc w:val="both"/>
      </w:pPr>
      <w:r w:rsidRPr="003F2B1C">
        <w:rPr>
          <w:i/>
          <w:iCs/>
        </w:rPr>
        <w:t>Paragraph 5.5.</w:t>
      </w:r>
      <w:proofErr w:type="gramStart"/>
      <w:r w:rsidRPr="003F2B1C">
        <w:rPr>
          <w:i/>
          <w:iCs/>
        </w:rPr>
        <w:t>,</w:t>
      </w:r>
      <w:proofErr w:type="gramEnd"/>
      <w:r w:rsidRPr="003F2B1C">
        <w:rPr>
          <w:i/>
          <w:iCs/>
        </w:rPr>
        <w:t xml:space="preserve"> </w:t>
      </w:r>
      <w:r w:rsidRPr="003F2B1C">
        <w:rPr>
          <w:iCs/>
        </w:rPr>
        <w:t xml:space="preserve">amend to </w:t>
      </w:r>
      <w:r w:rsidRPr="00A70DE6">
        <w:rPr>
          <w:lang w:val="en-US" w:eastAsia="ja-JP"/>
        </w:rPr>
        <w:t>read</w:t>
      </w:r>
      <w:r w:rsidRPr="003F2B1C">
        <w:rPr>
          <w:iCs/>
        </w:rPr>
        <w:t xml:space="preserve"> (including the insertion of a new paragraph</w:t>
      </w:r>
      <w:r>
        <w:rPr>
          <w:iCs/>
        </w:rPr>
        <w:t xml:space="preserve"> </w:t>
      </w:r>
      <w:r w:rsidRPr="003F2B1C">
        <w:rPr>
          <w:iCs/>
        </w:rPr>
        <w:t>5.5.1.7.):</w:t>
      </w:r>
    </w:p>
    <w:p w:rsidR="00F724BB" w:rsidRDefault="00F724BB" w:rsidP="00F724BB">
      <w:pPr>
        <w:pStyle w:val="SingleTxtG"/>
      </w:pPr>
      <w:r>
        <w:t>5.5.</w:t>
      </w:r>
      <w:r>
        <w:tab/>
      </w:r>
      <w:r>
        <w:tab/>
        <w:t xml:space="preserve">Common Space for Displaying </w:t>
      </w:r>
      <w:proofErr w:type="gramStart"/>
      <w:r>
        <w:t>Multiple Information</w:t>
      </w:r>
      <w:proofErr w:type="gramEnd"/>
    </w:p>
    <w:p w:rsidR="00F724BB" w:rsidRDefault="00F724BB" w:rsidP="00F724BB">
      <w:pPr>
        <w:pStyle w:val="SingleTxtG"/>
        <w:ind w:left="2259" w:hanging="1125"/>
      </w:pPr>
      <w:r>
        <w:t>5.5.1.</w:t>
      </w:r>
      <w:r>
        <w:tab/>
      </w:r>
      <w:r>
        <w:tab/>
        <w:t xml:space="preserve">A common space </w:t>
      </w:r>
      <w:proofErr w:type="gramStart"/>
      <w:r>
        <w:t>may be used</w:t>
      </w:r>
      <w:proofErr w:type="gramEnd"/>
      <w:r>
        <w:t xml:space="preserve"> to show information from any source, subject to the following requirements:</w:t>
      </w:r>
    </w:p>
    <w:p w:rsidR="00F724BB" w:rsidRDefault="00F724BB" w:rsidP="00F724BB">
      <w:pPr>
        <w:pStyle w:val="SingleTxtG"/>
        <w:ind w:left="2259" w:hanging="1125"/>
      </w:pPr>
      <w:r>
        <w:t>5.5.1.1.</w:t>
      </w:r>
      <w:r>
        <w:tab/>
        <w:t>The tell-tales and indicators in the common space shall provide relevant information at the initiation of any underlying condition.</w:t>
      </w:r>
    </w:p>
    <w:p w:rsidR="00F724BB" w:rsidRDefault="00F724BB" w:rsidP="00F724BB">
      <w:pPr>
        <w:pStyle w:val="SingleTxtG"/>
        <w:ind w:left="2259" w:hanging="1125"/>
      </w:pPr>
      <w:r>
        <w:t>5.5.1.2.</w:t>
      </w:r>
      <w:r>
        <w:tab/>
        <w:t>When the underlying condition exists for actuation of two or more tell-tales, the information shall be either</w:t>
      </w:r>
    </w:p>
    <w:p w:rsidR="00F724BB" w:rsidRDefault="00F724BB" w:rsidP="00F724BB">
      <w:pPr>
        <w:pStyle w:val="SingleTxtG"/>
      </w:pPr>
      <w:r>
        <w:t>5.5.1.2.1.</w:t>
      </w:r>
      <w:r>
        <w:tab/>
        <w:t>Repeated automatically in sequence, or</w:t>
      </w:r>
    </w:p>
    <w:p w:rsidR="00F724BB" w:rsidRDefault="00F724BB" w:rsidP="00F724BB">
      <w:pPr>
        <w:pStyle w:val="SingleTxtG"/>
        <w:ind w:left="2259" w:hanging="1125"/>
      </w:pPr>
      <w:proofErr w:type="gramStart"/>
      <w:r>
        <w:t>5.5.1.2.2.</w:t>
      </w:r>
      <w:r>
        <w:tab/>
        <w:t>Indicated by visible means and capable of being selected for viewing by the driver under the conditions of paragraph 5.6.2.</w:t>
      </w:r>
      <w:proofErr w:type="gramEnd"/>
    </w:p>
    <w:p w:rsidR="00A70DE6" w:rsidRPr="00FE2CBC" w:rsidRDefault="00A70DE6" w:rsidP="00FE12A8">
      <w:pPr>
        <w:tabs>
          <w:tab w:val="left" w:pos="2340"/>
        </w:tabs>
        <w:spacing w:beforeLines="50" w:before="120" w:line="260" w:lineRule="exact"/>
        <w:ind w:leftChars="540" w:left="2340" w:right="1134" w:hanging="1260"/>
        <w:jc w:val="both"/>
        <w:rPr>
          <w:b/>
          <w:szCs w:val="21"/>
        </w:rPr>
      </w:pPr>
      <w:r w:rsidRPr="00FE2CBC">
        <w:rPr>
          <w:szCs w:val="21"/>
        </w:rPr>
        <w:t>5.5.1.3.</w:t>
      </w:r>
      <w:r w:rsidRPr="00FE2CBC">
        <w:rPr>
          <w:szCs w:val="21"/>
        </w:rPr>
        <w:tab/>
        <w:t xml:space="preserve">The tell-tales for the brake system malfunction, headlamp driving beam, direction indicator and </w:t>
      </w:r>
      <w:r w:rsidRPr="00FE2CBC">
        <w:rPr>
          <w:strike/>
          <w:szCs w:val="21"/>
        </w:rPr>
        <w:t>seat belt</w:t>
      </w:r>
      <w:r w:rsidRPr="00FE2CBC">
        <w:rPr>
          <w:szCs w:val="21"/>
        </w:rPr>
        <w:t xml:space="preserve"> </w:t>
      </w:r>
      <w:r w:rsidRPr="00FE2CBC">
        <w:rPr>
          <w:b/>
          <w:szCs w:val="21"/>
        </w:rPr>
        <w:t xml:space="preserve">safety belt </w:t>
      </w:r>
      <w:proofErr w:type="gramStart"/>
      <w:r w:rsidRPr="00FE2CBC">
        <w:rPr>
          <w:szCs w:val="21"/>
        </w:rPr>
        <w:t>shall not be shown</w:t>
      </w:r>
      <w:proofErr w:type="gramEnd"/>
      <w:r w:rsidRPr="00FE2CBC">
        <w:rPr>
          <w:szCs w:val="21"/>
        </w:rPr>
        <w:t xml:space="preserve"> in the same common space</w:t>
      </w:r>
      <w:r w:rsidRPr="00FE2CBC">
        <w:rPr>
          <w:b/>
          <w:szCs w:val="21"/>
        </w:rPr>
        <w:t>.</w:t>
      </w:r>
    </w:p>
    <w:p w:rsidR="00A70DE6" w:rsidRPr="00FE2CBC" w:rsidRDefault="00A70DE6" w:rsidP="00FE12A8">
      <w:pPr>
        <w:tabs>
          <w:tab w:val="left" w:pos="2340"/>
        </w:tabs>
        <w:spacing w:beforeLines="50" w:before="120" w:line="260" w:lineRule="exact"/>
        <w:ind w:leftChars="540" w:left="2340" w:right="1134" w:hanging="1260"/>
        <w:jc w:val="both"/>
        <w:rPr>
          <w:szCs w:val="21"/>
          <w:lang w:eastAsia="ja-JP"/>
        </w:rPr>
      </w:pPr>
      <w:r w:rsidRPr="00FE2CBC">
        <w:rPr>
          <w:szCs w:val="21"/>
        </w:rPr>
        <w:t>5.5.1.4.</w:t>
      </w:r>
      <w:r w:rsidRPr="00FE2CBC">
        <w:rPr>
          <w:szCs w:val="21"/>
        </w:rPr>
        <w:tab/>
        <w:t xml:space="preserve">If </w:t>
      </w:r>
      <w:proofErr w:type="gramStart"/>
      <w:r w:rsidRPr="00FE2CBC">
        <w:rPr>
          <w:szCs w:val="21"/>
        </w:rPr>
        <w:t>tell-tale</w:t>
      </w:r>
      <w:proofErr w:type="gramEnd"/>
      <w:r w:rsidRPr="00FE2CBC">
        <w:rPr>
          <w:szCs w:val="21"/>
        </w:rPr>
        <w:t xml:space="preserve"> for the brake system malfunction, headlamp driving beam, direction indicator or </w:t>
      </w:r>
      <w:r w:rsidRPr="00FE2CBC">
        <w:rPr>
          <w:strike/>
          <w:szCs w:val="21"/>
        </w:rPr>
        <w:t>seat belt</w:t>
      </w:r>
      <w:r w:rsidRPr="00FE2CBC">
        <w:rPr>
          <w:szCs w:val="21"/>
        </w:rPr>
        <w:t xml:space="preserve"> </w:t>
      </w:r>
      <w:r w:rsidRPr="00FE2CBC">
        <w:rPr>
          <w:b/>
          <w:szCs w:val="21"/>
        </w:rPr>
        <w:t xml:space="preserve">safety belt </w:t>
      </w:r>
      <w:r w:rsidRPr="00FE2CBC">
        <w:rPr>
          <w:szCs w:val="21"/>
        </w:rPr>
        <w:t>is displayed in a common space it must displace any other symbol in such common space if the underlying condition exists for its activation.</w:t>
      </w:r>
    </w:p>
    <w:p w:rsidR="00FE2CBC" w:rsidRPr="00FE7F85" w:rsidRDefault="00A70DE6" w:rsidP="00FE2CBC">
      <w:pPr>
        <w:tabs>
          <w:tab w:val="left" w:pos="2340"/>
        </w:tabs>
        <w:spacing w:beforeLines="50" w:before="120" w:after="120" w:line="260" w:lineRule="exact"/>
        <w:ind w:leftChars="540" w:left="2347" w:right="1134" w:hanging="1267"/>
        <w:jc w:val="both"/>
        <w:rPr>
          <w:color w:val="000000"/>
          <w:lang w:val="en-US" w:eastAsia="fr-FR"/>
        </w:rPr>
      </w:pPr>
      <w:r w:rsidRPr="00FE2CBC">
        <w:rPr>
          <w:szCs w:val="21"/>
        </w:rPr>
        <w:t>5.5.1.5.</w:t>
      </w:r>
      <w:r w:rsidRPr="00FE2CBC">
        <w:rPr>
          <w:szCs w:val="21"/>
        </w:rPr>
        <w:tab/>
      </w:r>
      <w:r w:rsidR="00FE2CBC" w:rsidRPr="00FE2CBC">
        <w:rPr>
          <w:lang w:val="en-US"/>
        </w:rPr>
        <w:tab/>
        <w:t xml:space="preserve">With the exception of tell-tales for the brake system malfunction, headlamp </w:t>
      </w:r>
      <w:r w:rsidR="00FE2CBC">
        <w:rPr>
          <w:color w:val="000000"/>
          <w:lang w:val="en-US"/>
        </w:rPr>
        <w:t xml:space="preserve">driving beam, direction indicator or </w:t>
      </w:r>
      <w:r w:rsidR="00FE2CBC">
        <w:rPr>
          <w:strike/>
          <w:color w:val="000000"/>
          <w:lang w:val="en-US"/>
        </w:rPr>
        <w:t>seat belt</w:t>
      </w:r>
      <w:r w:rsidR="00FE2CBC">
        <w:rPr>
          <w:b/>
          <w:bCs/>
          <w:strike/>
          <w:color w:val="000000"/>
          <w:lang w:val="en-US"/>
        </w:rPr>
        <w:t xml:space="preserve"> </w:t>
      </w:r>
      <w:r w:rsidR="00FE2CBC" w:rsidRPr="008B0A32">
        <w:rPr>
          <w:b/>
          <w:bCs/>
          <w:strike/>
          <w:color w:val="FF0000"/>
          <w:lang w:val="en-US"/>
        </w:rPr>
        <w:t>safety belt</w:t>
      </w:r>
      <w:r w:rsidR="00FE2CBC">
        <w:rPr>
          <w:color w:val="000000"/>
          <w:lang w:val="en-US"/>
        </w:rPr>
        <w:t xml:space="preserve">, the information may be cancellable automatically or by the driver. </w:t>
      </w:r>
      <w:r w:rsidR="00FE2CBC">
        <w:rPr>
          <w:b/>
          <w:bCs/>
          <w:color w:val="FF0000"/>
          <w:lang w:val="en-US"/>
        </w:rPr>
        <w:t>Tell-tales for safety belt</w:t>
      </w:r>
      <w:r w:rsidR="00B87D9A">
        <w:rPr>
          <w:b/>
          <w:bCs/>
          <w:color w:val="FF0000"/>
          <w:lang w:val="en-US"/>
        </w:rPr>
        <w:t xml:space="preserve"> reminder </w:t>
      </w:r>
      <w:r w:rsidR="00FE2CBC">
        <w:rPr>
          <w:b/>
          <w:bCs/>
          <w:color w:val="FF0000"/>
          <w:lang w:val="en-US"/>
        </w:rPr>
        <w:t xml:space="preserve">for front row may be cancellable automatically. Tell-tales for safety belt </w:t>
      </w:r>
      <w:r w:rsidR="00BC5A9D">
        <w:rPr>
          <w:b/>
          <w:bCs/>
          <w:color w:val="FF0000"/>
          <w:lang w:val="en-US"/>
        </w:rPr>
        <w:t xml:space="preserve">reminder </w:t>
      </w:r>
      <w:r w:rsidR="00FE2CBC">
        <w:rPr>
          <w:b/>
          <w:bCs/>
          <w:color w:val="FF0000"/>
          <w:lang w:val="en-US"/>
        </w:rPr>
        <w:t>for seat row(s) other than the front row may be cancellable automatically or by the driver.</w:t>
      </w:r>
    </w:p>
    <w:p w:rsidR="00A70DE6" w:rsidRPr="003F2B1C" w:rsidRDefault="00A70DE6" w:rsidP="00FE12A8">
      <w:pPr>
        <w:tabs>
          <w:tab w:val="left" w:pos="2340"/>
        </w:tabs>
        <w:spacing w:beforeLines="50" w:before="120" w:after="120" w:line="260" w:lineRule="exact"/>
        <w:ind w:leftChars="540" w:left="2347" w:right="1134" w:hanging="1267"/>
        <w:jc w:val="both"/>
        <w:rPr>
          <w:szCs w:val="21"/>
          <w:lang w:eastAsia="ja-JP"/>
        </w:rPr>
      </w:pPr>
      <w:r w:rsidRPr="003F2B1C">
        <w:rPr>
          <w:szCs w:val="21"/>
          <w:lang w:eastAsia="ja-JP"/>
        </w:rPr>
        <w:t>5.5.1.6.</w:t>
      </w:r>
      <w:r w:rsidRPr="003F2B1C">
        <w:rPr>
          <w:szCs w:val="21"/>
          <w:lang w:eastAsia="ja-JP"/>
        </w:rPr>
        <w:tab/>
      </w:r>
      <w:r w:rsidR="00164212" w:rsidRPr="00A3393F">
        <w:rPr>
          <w:szCs w:val="21"/>
          <w:lang w:eastAsia="ja-JP"/>
        </w:rPr>
        <w:t>Unless prescribed in a specific Regulation, the colour requirements regarding tell-tales do not apply when tell-tales appear in a common space</w:t>
      </w:r>
      <w:r w:rsidR="00164212">
        <w:rPr>
          <w:szCs w:val="21"/>
          <w:lang w:eastAsia="ja-JP"/>
        </w:rPr>
        <w:t>.</w:t>
      </w:r>
    </w:p>
    <w:p w:rsidR="00A70DE6" w:rsidRPr="003F2B1C" w:rsidRDefault="00A70DE6" w:rsidP="00FE12A8">
      <w:pPr>
        <w:tabs>
          <w:tab w:val="left" w:pos="2340"/>
        </w:tabs>
        <w:spacing w:beforeLines="50" w:before="120" w:after="120" w:line="260" w:lineRule="exact"/>
        <w:ind w:leftChars="540" w:left="2347" w:right="1134" w:hanging="1267"/>
        <w:jc w:val="both"/>
        <w:rPr>
          <w:szCs w:val="21"/>
          <w:lang w:eastAsia="ja-JP"/>
        </w:rPr>
      </w:pPr>
      <w:proofErr w:type="gramStart"/>
      <w:r w:rsidRPr="003F2B1C">
        <w:rPr>
          <w:b/>
          <w:szCs w:val="21"/>
          <w:lang w:eastAsia="ja-JP"/>
        </w:rPr>
        <w:t>5.5.1.7.</w:t>
      </w:r>
      <w:r w:rsidRPr="003F2B1C">
        <w:rPr>
          <w:b/>
          <w:szCs w:val="21"/>
          <w:lang w:eastAsia="ja-JP"/>
        </w:rPr>
        <w:tab/>
      </w:r>
      <w:r>
        <w:rPr>
          <w:b/>
          <w:szCs w:val="21"/>
          <w:lang w:eastAsia="ja-JP"/>
        </w:rPr>
        <w:t>P</w:t>
      </w:r>
      <w:r w:rsidRPr="003F2B1C">
        <w:rPr>
          <w:b/>
          <w:szCs w:val="21"/>
          <w:lang w:eastAsia="ja-JP"/>
        </w:rPr>
        <w:t>aragraphs 5.5.1.3.</w:t>
      </w:r>
      <w:proofErr w:type="gramEnd"/>
      <w:r w:rsidRPr="003F2B1C">
        <w:rPr>
          <w:b/>
          <w:szCs w:val="21"/>
          <w:lang w:eastAsia="ja-JP"/>
        </w:rPr>
        <w:t xml:space="preserve"> </w:t>
      </w:r>
      <w:proofErr w:type="gramStart"/>
      <w:r w:rsidRPr="003F2B1C">
        <w:rPr>
          <w:b/>
          <w:szCs w:val="21"/>
          <w:lang w:eastAsia="ja-JP"/>
        </w:rPr>
        <w:t>to</w:t>
      </w:r>
      <w:proofErr w:type="gramEnd"/>
      <w:r w:rsidRPr="003F2B1C">
        <w:rPr>
          <w:b/>
          <w:szCs w:val="21"/>
          <w:lang w:eastAsia="ja-JP"/>
        </w:rPr>
        <w:t xml:space="preserve"> 5.5.1.</w:t>
      </w:r>
      <w:r w:rsidR="001528B9" w:rsidRPr="001528B9">
        <w:rPr>
          <w:b/>
          <w:strike/>
          <w:color w:val="FF0000"/>
          <w:szCs w:val="21"/>
          <w:lang w:eastAsia="ja-JP"/>
        </w:rPr>
        <w:t xml:space="preserve">5 </w:t>
      </w:r>
      <w:r w:rsidR="00FE2CBC" w:rsidRPr="00FE2CBC">
        <w:rPr>
          <w:b/>
          <w:color w:val="FF0000"/>
          <w:szCs w:val="21"/>
          <w:lang w:eastAsia="ja-JP"/>
        </w:rPr>
        <w:t>4</w:t>
      </w:r>
      <w:r w:rsidRPr="00FE2CBC">
        <w:rPr>
          <w:b/>
          <w:color w:val="FF0000"/>
          <w:szCs w:val="21"/>
          <w:lang w:eastAsia="ja-JP"/>
        </w:rPr>
        <w:t xml:space="preserve">. </w:t>
      </w:r>
      <w:proofErr w:type="gramStart"/>
      <w:r w:rsidRPr="003F2B1C">
        <w:rPr>
          <w:b/>
          <w:szCs w:val="21"/>
          <w:lang w:eastAsia="ja-JP"/>
        </w:rPr>
        <w:t>do</w:t>
      </w:r>
      <w:proofErr w:type="gramEnd"/>
      <w:r w:rsidRPr="003F2B1C">
        <w:rPr>
          <w:b/>
          <w:szCs w:val="21"/>
          <w:lang w:eastAsia="ja-JP"/>
        </w:rPr>
        <w:t xml:space="preserve"> not apply for tell-tales for safety belt reminder for seat row(s) other than the front</w:t>
      </w:r>
      <w:r w:rsidR="002F13E1">
        <w:rPr>
          <w:b/>
          <w:szCs w:val="21"/>
          <w:lang w:eastAsia="ja-JP"/>
        </w:rPr>
        <w:t xml:space="preserve"> row</w:t>
      </w:r>
      <w:r w:rsidRPr="003F2B1C">
        <w:rPr>
          <w:b/>
          <w:szCs w:val="21"/>
          <w:lang w:eastAsia="ja-JP"/>
        </w:rPr>
        <w:t>.</w:t>
      </w:r>
      <w:r w:rsidR="00131040">
        <w:rPr>
          <w:szCs w:val="21"/>
          <w:lang w:eastAsia="ja-JP"/>
        </w:rPr>
        <w:t>"</w:t>
      </w:r>
    </w:p>
    <w:p w:rsidR="00A70DE6" w:rsidRPr="003F2B1C" w:rsidRDefault="00A70DE6" w:rsidP="00FE12A8">
      <w:pPr>
        <w:spacing w:afterLines="50" w:after="120" w:line="280" w:lineRule="exact"/>
        <w:ind w:left="1080" w:right="1134"/>
        <w:rPr>
          <w:bCs/>
          <w:szCs w:val="21"/>
        </w:rPr>
      </w:pPr>
      <w:r w:rsidRPr="003F2B1C">
        <w:rPr>
          <w:bCs/>
          <w:i/>
          <w:szCs w:val="21"/>
        </w:rPr>
        <w:t>Table</w:t>
      </w:r>
      <w:r>
        <w:rPr>
          <w:bCs/>
          <w:i/>
          <w:szCs w:val="21"/>
        </w:rPr>
        <w:t xml:space="preserve"> </w:t>
      </w:r>
      <w:r w:rsidRPr="003F2B1C">
        <w:rPr>
          <w:bCs/>
          <w:i/>
          <w:szCs w:val="21"/>
        </w:rPr>
        <w:t xml:space="preserve">1, </w:t>
      </w:r>
      <w:r>
        <w:rPr>
          <w:bCs/>
          <w:i/>
          <w:szCs w:val="21"/>
        </w:rPr>
        <w:t xml:space="preserve">row No. 21, </w:t>
      </w:r>
      <w:r w:rsidRPr="003F2B1C">
        <w:rPr>
          <w:bCs/>
          <w:szCs w:val="21"/>
        </w:rPr>
        <w:t xml:space="preserve">amend to read (including the insertion of a new footnote </w:t>
      </w:r>
      <w:r w:rsidRPr="00A70DE6">
        <w:rPr>
          <w:bCs/>
          <w:szCs w:val="21"/>
          <w:vertAlign w:val="superscript"/>
        </w:rPr>
        <w:t>22</w:t>
      </w:r>
      <w:r w:rsidRPr="003F2B1C">
        <w:rPr>
          <w:bCs/>
          <w:szCs w:val="21"/>
        </w:rPr>
        <w:t>):</w:t>
      </w:r>
    </w:p>
    <w:p w:rsidR="00A70DE6" w:rsidRPr="003F2B1C" w:rsidRDefault="00131040" w:rsidP="00F724BB">
      <w:pPr>
        <w:spacing w:afterLines="50" w:after="120" w:line="280" w:lineRule="exact"/>
        <w:ind w:left="1080"/>
        <w:rPr>
          <w:bCs/>
          <w:szCs w:val="21"/>
        </w:rPr>
      </w:pPr>
      <w:r>
        <w:rPr>
          <w:bCs/>
          <w:szCs w:val="21"/>
        </w:rPr>
        <w:t>"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402"/>
        <w:gridCol w:w="1710"/>
        <w:gridCol w:w="1238"/>
        <w:gridCol w:w="1438"/>
        <w:gridCol w:w="1197"/>
      </w:tblGrid>
      <w:tr w:rsidR="00A70DE6" w:rsidRPr="003F2B1C" w:rsidTr="002F13E1">
        <w:trPr>
          <w:trHeight w:val="2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No</w:t>
            </w:r>
            <w:r w:rsidR="00FE12A8">
              <w:rPr>
                <w:i/>
                <w:szCs w:val="21"/>
              </w:rPr>
              <w:t>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Column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Column 2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Column 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Column 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Column 5</w:t>
            </w:r>
          </w:p>
        </w:tc>
      </w:tr>
      <w:tr w:rsidR="00A70DE6" w:rsidRPr="003F2B1C" w:rsidTr="002F13E1">
        <w:trPr>
          <w:trHeight w:val="70"/>
        </w:trPr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</w:p>
        </w:tc>
        <w:tc>
          <w:tcPr>
            <w:tcW w:w="1402" w:type="dxa"/>
            <w:tcBorders>
              <w:bottom w:val="single" w:sz="12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Item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Symbol</w:t>
            </w:r>
            <w:r w:rsidR="00476BEA">
              <w:rPr>
                <w:i/>
                <w:szCs w:val="21"/>
              </w:rPr>
              <w:t xml:space="preserve"> </w:t>
            </w:r>
            <w:r w:rsidR="00476BEA" w:rsidRPr="00476BEA">
              <w:rPr>
                <w:i/>
                <w:szCs w:val="21"/>
                <w:vertAlign w:val="superscript"/>
              </w:rPr>
              <w:t>2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Function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Illumination</w:t>
            </w:r>
          </w:p>
        </w:tc>
        <w:tc>
          <w:tcPr>
            <w:tcW w:w="1197" w:type="dxa"/>
            <w:tcBorders>
              <w:bottom w:val="single" w:sz="12" w:space="0" w:color="auto"/>
            </w:tcBorders>
            <w:shd w:val="clear" w:color="auto" w:fill="auto"/>
          </w:tcPr>
          <w:p w:rsidR="00A70DE6" w:rsidRPr="003F2B1C" w:rsidRDefault="00A70DE6" w:rsidP="00F724BB">
            <w:pPr>
              <w:spacing w:line="280" w:lineRule="exact"/>
              <w:jc w:val="center"/>
              <w:rPr>
                <w:i/>
                <w:szCs w:val="21"/>
              </w:rPr>
            </w:pPr>
            <w:r w:rsidRPr="003F2B1C">
              <w:rPr>
                <w:i/>
                <w:szCs w:val="21"/>
              </w:rPr>
              <w:t>Colour</w:t>
            </w:r>
          </w:p>
        </w:tc>
      </w:tr>
      <w:tr w:rsidR="006301F2" w:rsidRPr="003F2B1C" w:rsidTr="002F13E1">
        <w:trPr>
          <w:trHeight w:val="70"/>
        </w:trPr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197" w:type="dxa"/>
            <w:tcBorders>
              <w:top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</w:tr>
      <w:tr w:rsidR="00A70DE6" w:rsidRPr="003F2B1C" w:rsidTr="002F13E1">
        <w:trPr>
          <w:trHeight w:val="1696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E6" w:rsidRPr="003F2B1C" w:rsidRDefault="00A70DE6" w:rsidP="00F724BB">
            <w:pPr>
              <w:spacing w:line="240" w:lineRule="auto"/>
              <w:rPr>
                <w:szCs w:val="21"/>
              </w:rPr>
            </w:pPr>
            <w:r w:rsidRPr="003F2B1C">
              <w:rPr>
                <w:szCs w:val="21"/>
              </w:rPr>
              <w:t>21.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E6" w:rsidRPr="003F2B1C" w:rsidRDefault="00A70DE6" w:rsidP="00F724BB">
            <w:pPr>
              <w:spacing w:line="240" w:lineRule="auto"/>
              <w:rPr>
                <w:strike/>
                <w:szCs w:val="21"/>
              </w:rPr>
            </w:pPr>
            <w:r w:rsidRPr="003F2B1C">
              <w:rPr>
                <w:strike/>
                <w:szCs w:val="21"/>
              </w:rPr>
              <w:t>Seat belt</w:t>
            </w:r>
          </w:p>
          <w:p w:rsidR="00A70DE6" w:rsidRPr="003F2B1C" w:rsidRDefault="00A70DE6" w:rsidP="00F724BB">
            <w:pPr>
              <w:spacing w:line="240" w:lineRule="auto"/>
              <w:rPr>
                <w:b/>
                <w:szCs w:val="21"/>
              </w:rPr>
            </w:pPr>
            <w:r w:rsidRPr="003F2B1C">
              <w:rPr>
                <w:b/>
                <w:szCs w:val="21"/>
              </w:rPr>
              <w:t xml:space="preserve">Safety belt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E6" w:rsidRPr="003F2B1C" w:rsidRDefault="001449E5" w:rsidP="00F724BB">
            <w:pPr>
              <w:spacing w:line="240" w:lineRule="auto"/>
              <w:rPr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1057275" cy="575310"/>
                      <wp:effectExtent l="0" t="0" r="0" b="0"/>
                      <wp:docPr id="10" name="Zone de dessi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2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607" y="92002"/>
                                  <a:ext cx="848360" cy="3937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3355D49" id="Zone de dessin 7" o:spid="_x0000_s1026" editas="canvas" style="width:83.25pt;height:45.3pt;mso-position-horizontal-relative:char;mso-position-vertical-relative:line" coordsize="10572,5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572;height:5753;visibility:visible;mso-wrap-style:square">
                        <v:fill o:detectmouseclick="t"/>
                        <v:path o:connecttype="none"/>
                      </v:shape>
                      <v:shape id="Picture 8" o:spid="_x0000_s1028" type="#_x0000_t75" style="position:absolute;left:946;top:920;width:8483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YzbDFAAAA2gAAAA8AAABkcnMvZG93bnJldi54bWxEj0FrwkAUhO+F/oflCb3VjR6kja4ShLbp&#10;odCaUvD2zD6TkOzbmN3E+O/dguBxmJlvmNVmNI0YqHOVZQWzaQSCOLe64kLBb/b2/ALCeWSNjWVS&#10;cCEHm/Xjwwpjbc/8Q8POFyJA2MWooPS+jaV0eUkG3dS2xME72s6gD7IrpO7wHOCmkfMoWkiDFYeF&#10;ElvalpTXu94o+Dvln9nXR3p4XST9dv89ZKf6PVPqaTImSxCeRn8P39qpVjCH/yvhBsj1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2M2wxQAAANoAAAAPAAAAAAAAAAAAAAAA&#10;AJ8CAABkcnMvZG93bnJldi54bWxQSwUGAAAAAAQABAD3AAAAkQM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  <w:p w:rsidR="00A70DE6" w:rsidRPr="00A70DE6" w:rsidRDefault="00A70DE6" w:rsidP="00A70DE6">
            <w:pPr>
              <w:spacing w:line="240" w:lineRule="auto"/>
              <w:jc w:val="center"/>
              <w:rPr>
                <w:b/>
                <w:szCs w:val="21"/>
                <w:vertAlign w:val="superscript"/>
              </w:rPr>
            </w:pPr>
            <w:r w:rsidRPr="00A70DE6">
              <w:rPr>
                <w:b/>
                <w:color w:val="000000"/>
                <w:szCs w:val="21"/>
                <w:vertAlign w:val="superscript"/>
              </w:rPr>
              <w:t>18,</w:t>
            </w:r>
            <w:r w:rsidRPr="00A70DE6">
              <w:rPr>
                <w:b/>
                <w:szCs w:val="21"/>
                <w:vertAlign w:val="superscript"/>
              </w:rPr>
              <w:t xml:space="preserve"> 22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E6" w:rsidRPr="003F2B1C" w:rsidRDefault="00A70DE6" w:rsidP="00F724BB">
            <w:pPr>
              <w:spacing w:line="240" w:lineRule="auto"/>
              <w:rPr>
                <w:szCs w:val="21"/>
              </w:rPr>
            </w:pPr>
            <w:r w:rsidRPr="003F2B1C">
              <w:rPr>
                <w:szCs w:val="21"/>
              </w:rPr>
              <w:t>Tell-tale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E6" w:rsidRPr="003F2B1C" w:rsidRDefault="00A70DE6" w:rsidP="00F724BB">
            <w:pPr>
              <w:spacing w:line="240" w:lineRule="auto"/>
              <w:rPr>
                <w:szCs w:val="21"/>
              </w:rPr>
            </w:pPr>
            <w:r w:rsidRPr="003F2B1C">
              <w:rPr>
                <w:szCs w:val="21"/>
              </w:rPr>
              <w:t>Yes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E6" w:rsidRPr="003F2B1C" w:rsidRDefault="00A70DE6" w:rsidP="00F724BB">
            <w:pPr>
              <w:spacing w:line="240" w:lineRule="auto"/>
              <w:rPr>
                <w:szCs w:val="21"/>
              </w:rPr>
            </w:pPr>
            <w:r w:rsidRPr="003F2B1C">
              <w:rPr>
                <w:szCs w:val="21"/>
              </w:rPr>
              <w:t>Red</w:t>
            </w:r>
          </w:p>
        </w:tc>
      </w:tr>
      <w:tr w:rsidR="006301F2" w:rsidRPr="003F2B1C" w:rsidTr="002F13E1">
        <w:trPr>
          <w:trHeight w:val="290"/>
        </w:trPr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…</w:t>
            </w:r>
          </w:p>
        </w:tc>
        <w:tc>
          <w:tcPr>
            <w:tcW w:w="1402" w:type="dxa"/>
            <w:tcBorders>
              <w:bottom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197" w:type="dxa"/>
            <w:tcBorders>
              <w:bottom w:val="single" w:sz="12" w:space="0" w:color="auto"/>
            </w:tcBorders>
            <w:shd w:val="clear" w:color="auto" w:fill="auto"/>
          </w:tcPr>
          <w:p w:rsidR="006301F2" w:rsidRPr="006301F2" w:rsidRDefault="006301F2" w:rsidP="00F724B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</w:tr>
    </w:tbl>
    <w:p w:rsidR="00A70DE6" w:rsidRPr="002F13E1" w:rsidRDefault="00A70DE6" w:rsidP="00FE12A8">
      <w:pPr>
        <w:spacing w:line="280" w:lineRule="exact"/>
        <w:ind w:left="1134" w:right="1134"/>
        <w:rPr>
          <w:bCs/>
          <w:i/>
          <w:szCs w:val="21"/>
        </w:rPr>
      </w:pPr>
      <w:r w:rsidRPr="002F13E1">
        <w:rPr>
          <w:bCs/>
          <w:i/>
          <w:szCs w:val="21"/>
        </w:rPr>
        <w:t>Notes:</w:t>
      </w:r>
    </w:p>
    <w:p w:rsidR="00A70DE6" w:rsidRPr="00A70DE6" w:rsidRDefault="00A70DE6" w:rsidP="00FE12A8">
      <w:pPr>
        <w:tabs>
          <w:tab w:val="left" w:pos="1701"/>
        </w:tabs>
        <w:spacing w:afterLines="50" w:after="120" w:line="280" w:lineRule="exact"/>
        <w:ind w:left="1701" w:right="1134" w:hanging="567"/>
        <w:rPr>
          <w:bCs/>
          <w:szCs w:val="21"/>
        </w:rPr>
      </w:pPr>
      <w:r w:rsidRPr="00A70DE6">
        <w:rPr>
          <w:bCs/>
          <w:szCs w:val="21"/>
        </w:rPr>
        <w:t>…</w:t>
      </w:r>
    </w:p>
    <w:p w:rsidR="00A70DE6" w:rsidRPr="00A70DE6" w:rsidRDefault="00A70DE6" w:rsidP="00FE12A8">
      <w:pPr>
        <w:tabs>
          <w:tab w:val="left" w:pos="1701"/>
        </w:tabs>
        <w:spacing w:afterLines="50" w:after="120" w:line="280" w:lineRule="exact"/>
        <w:ind w:left="1701" w:right="1134" w:hanging="567"/>
        <w:jc w:val="both"/>
        <w:rPr>
          <w:bCs/>
          <w:szCs w:val="21"/>
        </w:rPr>
      </w:pPr>
      <w:r w:rsidRPr="00131040">
        <w:rPr>
          <w:bCs/>
          <w:szCs w:val="21"/>
          <w:vertAlign w:val="superscript"/>
        </w:rPr>
        <w:t>18</w:t>
      </w:r>
      <w:r w:rsidRPr="00A70DE6">
        <w:rPr>
          <w:bCs/>
          <w:szCs w:val="21"/>
        </w:rPr>
        <w:tab/>
        <w:t xml:space="preserve">Symbol </w:t>
      </w:r>
      <w:proofErr w:type="gramStart"/>
      <w:r w:rsidRPr="00A70DE6">
        <w:rPr>
          <w:bCs/>
          <w:szCs w:val="21"/>
        </w:rPr>
        <w:t>may be shown</w:t>
      </w:r>
      <w:proofErr w:type="gramEnd"/>
      <w:r w:rsidRPr="00A70DE6">
        <w:rPr>
          <w:bCs/>
          <w:szCs w:val="21"/>
        </w:rPr>
        <w:t xml:space="preserve"> in other colours than specified in column 5 in order to convey different meanings according to the general colour coding as proposed in paragraph 5</w:t>
      </w:r>
      <w:r w:rsidR="006301F2">
        <w:rPr>
          <w:bCs/>
          <w:szCs w:val="21"/>
        </w:rPr>
        <w:t>.</w:t>
      </w:r>
      <w:r w:rsidRPr="00A70DE6">
        <w:rPr>
          <w:bCs/>
          <w:szCs w:val="21"/>
        </w:rPr>
        <w:t xml:space="preserve"> </w:t>
      </w:r>
      <w:proofErr w:type="gramStart"/>
      <w:r w:rsidRPr="00A70DE6">
        <w:rPr>
          <w:bCs/>
          <w:szCs w:val="21"/>
        </w:rPr>
        <w:t>of</w:t>
      </w:r>
      <w:proofErr w:type="gramEnd"/>
      <w:r w:rsidRPr="00A70DE6">
        <w:rPr>
          <w:bCs/>
          <w:szCs w:val="21"/>
        </w:rPr>
        <w:t xml:space="preserve"> ISO 2575-2004.</w:t>
      </w:r>
    </w:p>
    <w:p w:rsidR="00A70DE6" w:rsidRPr="00A70DE6" w:rsidRDefault="00A70DE6" w:rsidP="00FE12A8">
      <w:pPr>
        <w:tabs>
          <w:tab w:val="left" w:pos="1701"/>
        </w:tabs>
        <w:spacing w:afterLines="50" w:after="120" w:line="280" w:lineRule="exact"/>
        <w:ind w:left="1701" w:right="1134" w:hanging="567"/>
        <w:rPr>
          <w:bCs/>
          <w:szCs w:val="21"/>
        </w:rPr>
      </w:pPr>
      <w:r w:rsidRPr="00A70DE6">
        <w:rPr>
          <w:bCs/>
          <w:szCs w:val="21"/>
        </w:rPr>
        <w:t>…</w:t>
      </w:r>
    </w:p>
    <w:p w:rsidR="00A70DE6" w:rsidRPr="00A70DE6" w:rsidRDefault="00A70DE6" w:rsidP="00FE12A8">
      <w:pPr>
        <w:tabs>
          <w:tab w:val="left" w:pos="1701"/>
        </w:tabs>
        <w:spacing w:afterLines="50" w:after="120" w:line="280" w:lineRule="exact"/>
        <w:ind w:left="1701" w:right="1134" w:hanging="567"/>
        <w:rPr>
          <w:bCs/>
          <w:szCs w:val="21"/>
        </w:rPr>
      </w:pPr>
      <w:r w:rsidRPr="00131040">
        <w:rPr>
          <w:b/>
          <w:bCs/>
          <w:szCs w:val="21"/>
          <w:vertAlign w:val="superscript"/>
        </w:rPr>
        <w:t>22</w:t>
      </w:r>
      <w:r w:rsidRPr="00131040">
        <w:rPr>
          <w:b/>
          <w:bCs/>
          <w:szCs w:val="21"/>
        </w:rPr>
        <w:tab/>
        <w:t>A different symbol may be used for seat row(s) other than the front</w:t>
      </w:r>
      <w:r w:rsidR="002F13E1">
        <w:rPr>
          <w:b/>
          <w:bCs/>
          <w:szCs w:val="21"/>
        </w:rPr>
        <w:t xml:space="preserve"> row</w:t>
      </w:r>
      <w:r w:rsidRPr="00A70DE6">
        <w:rPr>
          <w:bCs/>
          <w:szCs w:val="21"/>
        </w:rPr>
        <w:t>.</w:t>
      </w:r>
      <w:r w:rsidR="00131040">
        <w:rPr>
          <w:bCs/>
          <w:szCs w:val="21"/>
        </w:rPr>
        <w:t>"</w:t>
      </w:r>
    </w:p>
    <w:p w:rsidR="00DF418A" w:rsidRPr="00DF418A" w:rsidRDefault="00E87504" w:rsidP="00E87504">
      <w:pPr>
        <w:pStyle w:val="HChG"/>
      </w:pPr>
      <w:r>
        <w:tab/>
        <w:t>II.</w:t>
      </w:r>
      <w:r>
        <w:tab/>
        <w:t>Justification</w:t>
      </w:r>
    </w:p>
    <w:p w:rsidR="00131040" w:rsidRDefault="00C27E9E" w:rsidP="00FE12A8">
      <w:pPr>
        <w:spacing w:before="120" w:after="120" w:line="240" w:lineRule="auto"/>
        <w:ind w:left="1134" w:right="1134"/>
        <w:jc w:val="both"/>
        <w:rPr>
          <w:lang w:eastAsia="ar-SA"/>
        </w:rPr>
      </w:pPr>
      <w:r>
        <w:rPr>
          <w:lang w:eastAsia="ar-SA"/>
        </w:rPr>
        <w:t>1.</w:t>
      </w:r>
      <w:r>
        <w:rPr>
          <w:lang w:eastAsia="ar-SA"/>
        </w:rPr>
        <w:tab/>
      </w:r>
      <w:r w:rsidR="00131040">
        <w:rPr>
          <w:lang w:eastAsia="ar-SA"/>
        </w:rPr>
        <w:t xml:space="preserve">At its fifty-ninth session, the Working Party on Passive Safety (GRSP) approved the proposal for the 07 series of amendments to UN Regulation No. 16 </w:t>
      </w:r>
      <w:r w:rsidR="002D3009">
        <w:rPr>
          <w:lang w:eastAsia="ar-SA"/>
        </w:rPr>
        <w:t>(</w:t>
      </w:r>
      <w:r w:rsidR="008228E5" w:rsidRPr="008228E5">
        <w:rPr>
          <w:b/>
          <w:color w:val="FF0000"/>
          <w:lang w:eastAsia="ar-SA"/>
        </w:rPr>
        <w:t xml:space="preserve">refer to </w:t>
      </w:r>
      <w:r w:rsidR="001F5A5B">
        <w:rPr>
          <w:b/>
          <w:color w:val="FF0000"/>
          <w:lang w:eastAsia="ar-SA"/>
        </w:rPr>
        <w:t>ECE/TRANS/WP.29/</w:t>
      </w:r>
      <w:r w:rsidR="008228E5" w:rsidRPr="008228E5">
        <w:rPr>
          <w:b/>
          <w:color w:val="FF0000"/>
          <w:lang w:eastAsia="ar-SA"/>
        </w:rPr>
        <w:t xml:space="preserve">GRSP/2016/2 and </w:t>
      </w:r>
      <w:r w:rsidR="001F5A5B">
        <w:rPr>
          <w:b/>
          <w:color w:val="FF0000"/>
          <w:lang w:eastAsia="ar-SA"/>
        </w:rPr>
        <w:t>ECE/TRANS/</w:t>
      </w:r>
      <w:r w:rsidR="00F744C7" w:rsidRPr="008228E5">
        <w:rPr>
          <w:b/>
          <w:color w:val="FF0000"/>
          <w:lang w:eastAsia="ar-SA"/>
        </w:rPr>
        <w:t>WP</w:t>
      </w:r>
      <w:r w:rsidR="001F5A5B">
        <w:rPr>
          <w:b/>
          <w:color w:val="FF0000"/>
          <w:lang w:eastAsia="ar-SA"/>
        </w:rPr>
        <w:t>.</w:t>
      </w:r>
      <w:r w:rsidR="00F744C7" w:rsidRPr="008228E5">
        <w:rPr>
          <w:b/>
          <w:color w:val="FF0000"/>
          <w:lang w:eastAsia="ar-SA"/>
        </w:rPr>
        <w:t>29</w:t>
      </w:r>
      <w:r w:rsidR="008228E5">
        <w:rPr>
          <w:b/>
          <w:color w:val="FF0000"/>
          <w:lang w:eastAsia="ar-SA"/>
        </w:rPr>
        <w:t>/</w:t>
      </w:r>
      <w:r w:rsidR="002D3009" w:rsidRPr="008228E5">
        <w:rPr>
          <w:b/>
          <w:color w:val="FF0000"/>
          <w:lang w:eastAsia="ar-SA"/>
        </w:rPr>
        <w:t>GRS</w:t>
      </w:r>
      <w:r w:rsidR="001528B9" w:rsidRPr="008228E5">
        <w:rPr>
          <w:b/>
          <w:color w:val="FF0000"/>
          <w:lang w:eastAsia="ar-SA"/>
        </w:rPr>
        <w:t>P</w:t>
      </w:r>
      <w:r w:rsidR="008228E5">
        <w:rPr>
          <w:b/>
          <w:color w:val="FF0000"/>
          <w:lang w:eastAsia="ar-SA"/>
        </w:rPr>
        <w:t>/</w:t>
      </w:r>
      <w:r w:rsidR="00F744C7" w:rsidRPr="008228E5">
        <w:rPr>
          <w:b/>
          <w:color w:val="FF0000"/>
          <w:lang w:eastAsia="ar-SA"/>
        </w:rPr>
        <w:t>59</w:t>
      </w:r>
      <w:r w:rsidR="001F5A5B">
        <w:rPr>
          <w:b/>
          <w:color w:val="FF0000"/>
          <w:lang w:eastAsia="ar-SA"/>
        </w:rPr>
        <w:t>,</w:t>
      </w:r>
      <w:r w:rsidR="00F744C7" w:rsidRPr="008228E5">
        <w:rPr>
          <w:b/>
          <w:color w:val="FF0000"/>
          <w:lang w:eastAsia="ar-SA"/>
        </w:rPr>
        <w:t xml:space="preserve"> page 24</w:t>
      </w:r>
      <w:r w:rsidR="002D3009">
        <w:rPr>
          <w:lang w:eastAsia="ar-SA"/>
        </w:rPr>
        <w:t xml:space="preserve">) </w:t>
      </w:r>
      <w:r w:rsidR="00131040">
        <w:rPr>
          <w:lang w:eastAsia="ar-SA"/>
        </w:rPr>
        <w:t>to mandate safety belt reminders for all vehicle seats</w:t>
      </w:r>
      <w:r w:rsidR="00F744C7">
        <w:rPr>
          <w:lang w:eastAsia="ar-SA"/>
        </w:rPr>
        <w:t>,</w:t>
      </w:r>
      <w:r w:rsidR="008228E5">
        <w:rPr>
          <w:lang w:eastAsia="ar-SA"/>
        </w:rPr>
        <w:t xml:space="preserve"> </w:t>
      </w:r>
      <w:r w:rsidR="008228E5" w:rsidRPr="008228E5">
        <w:rPr>
          <w:b/>
          <w:color w:val="FF0000"/>
          <w:lang w:eastAsia="ar-SA"/>
        </w:rPr>
        <w:t>and sent it to WP</w:t>
      </w:r>
      <w:r w:rsidR="001F5A5B">
        <w:rPr>
          <w:b/>
          <w:color w:val="FF0000"/>
          <w:lang w:eastAsia="ar-SA"/>
        </w:rPr>
        <w:t>.</w:t>
      </w:r>
      <w:r w:rsidR="008228E5" w:rsidRPr="008228E5">
        <w:rPr>
          <w:b/>
          <w:color w:val="FF0000"/>
          <w:lang w:eastAsia="ar-SA"/>
        </w:rPr>
        <w:t>29 November session.</w:t>
      </w:r>
    </w:p>
    <w:p w:rsidR="00131040" w:rsidRDefault="00131040" w:rsidP="00FE12A8">
      <w:pPr>
        <w:spacing w:before="120" w:after="120" w:line="240" w:lineRule="auto"/>
        <w:ind w:left="1134" w:right="1134"/>
        <w:jc w:val="both"/>
        <w:rPr>
          <w:lang w:eastAsia="ar-SA"/>
        </w:rPr>
      </w:pPr>
      <w:r>
        <w:rPr>
          <w:lang w:eastAsia="ar-SA"/>
        </w:rPr>
        <w:t>2.</w:t>
      </w:r>
      <w:r>
        <w:rPr>
          <w:lang w:eastAsia="ar-SA"/>
        </w:rPr>
        <w:tab/>
        <w:t>To align the wording of UN Regulation No. 121 with the new provisions of UN Regulation No. 16, the following amendments are necessary:</w:t>
      </w:r>
    </w:p>
    <w:p w:rsidR="00131040" w:rsidRDefault="00FE12A8" w:rsidP="00FE12A8">
      <w:pPr>
        <w:tabs>
          <w:tab w:val="left" w:pos="1701"/>
        </w:tabs>
        <w:spacing w:before="120" w:after="120" w:line="240" w:lineRule="auto"/>
        <w:ind w:left="1701" w:right="1134" w:hanging="567"/>
        <w:jc w:val="both"/>
        <w:rPr>
          <w:lang w:eastAsia="ar-SA"/>
        </w:rPr>
      </w:pPr>
      <w:r>
        <w:rPr>
          <w:lang w:eastAsia="ar-SA"/>
        </w:rPr>
        <w:tab/>
      </w:r>
      <w:r w:rsidR="00131040">
        <w:rPr>
          <w:lang w:eastAsia="ar-SA"/>
        </w:rPr>
        <w:t>(a)</w:t>
      </w:r>
      <w:r w:rsidR="00131040">
        <w:rPr>
          <w:lang w:eastAsia="ar-SA"/>
        </w:rPr>
        <w:tab/>
      </w:r>
      <w:proofErr w:type="gramStart"/>
      <w:r w:rsidR="00131040">
        <w:rPr>
          <w:lang w:eastAsia="ar-SA"/>
        </w:rPr>
        <w:t>the</w:t>
      </w:r>
      <w:proofErr w:type="gramEnd"/>
      <w:r w:rsidR="00131040">
        <w:rPr>
          <w:lang w:eastAsia="ar-SA"/>
        </w:rPr>
        <w:t xml:space="preserve"> wording "seat belt" must be replaced by "safety belt",</w:t>
      </w:r>
    </w:p>
    <w:p w:rsidR="00131040" w:rsidRDefault="00FE12A8" w:rsidP="00FE12A8">
      <w:pPr>
        <w:tabs>
          <w:tab w:val="left" w:pos="1701"/>
        </w:tabs>
        <w:spacing w:before="120" w:after="120" w:line="240" w:lineRule="auto"/>
        <w:ind w:left="1701" w:right="1134" w:hanging="567"/>
        <w:jc w:val="both"/>
        <w:rPr>
          <w:lang w:eastAsia="ar-SA"/>
        </w:rPr>
      </w:pPr>
      <w:r>
        <w:rPr>
          <w:lang w:eastAsia="ar-SA"/>
        </w:rPr>
        <w:tab/>
      </w:r>
      <w:r w:rsidR="00131040">
        <w:rPr>
          <w:lang w:eastAsia="ar-SA"/>
        </w:rPr>
        <w:t>(b)</w:t>
      </w:r>
      <w:r w:rsidR="00131040">
        <w:rPr>
          <w:lang w:eastAsia="ar-SA"/>
        </w:rPr>
        <w:tab/>
      </w:r>
      <w:proofErr w:type="gramStart"/>
      <w:r w:rsidR="00131040">
        <w:rPr>
          <w:lang w:eastAsia="ar-SA"/>
        </w:rPr>
        <w:t>the</w:t>
      </w:r>
      <w:proofErr w:type="gramEnd"/>
      <w:r w:rsidR="00131040">
        <w:rPr>
          <w:lang w:eastAsia="ar-SA"/>
        </w:rPr>
        <w:t xml:space="preserve"> symbol for safety belt, defined in item 21 of Table 1 in the Regulation, may be displayed in different colours to convey different meanings. Therefore, the existing footnote </w:t>
      </w:r>
      <w:r w:rsidR="00131040" w:rsidRPr="00131040">
        <w:rPr>
          <w:vertAlign w:val="superscript"/>
          <w:lang w:eastAsia="ar-SA"/>
        </w:rPr>
        <w:t>18</w:t>
      </w:r>
      <w:r w:rsidR="00131040">
        <w:rPr>
          <w:lang w:eastAsia="ar-SA"/>
        </w:rPr>
        <w:t xml:space="preserve"> has been added to item </w:t>
      </w:r>
      <w:r w:rsidR="00131040" w:rsidRPr="00131040">
        <w:rPr>
          <w:lang w:eastAsia="ar-SA"/>
        </w:rPr>
        <w:t>21</w:t>
      </w:r>
      <w:r w:rsidR="00131040">
        <w:rPr>
          <w:lang w:eastAsia="ar-SA"/>
        </w:rPr>
        <w:t>, and</w:t>
      </w:r>
    </w:p>
    <w:p w:rsidR="00131040" w:rsidRDefault="00FE12A8" w:rsidP="00FE12A8">
      <w:pPr>
        <w:tabs>
          <w:tab w:val="left" w:pos="1701"/>
        </w:tabs>
        <w:spacing w:before="120" w:after="120" w:line="240" w:lineRule="auto"/>
        <w:ind w:left="1701" w:right="1134" w:hanging="567"/>
        <w:jc w:val="both"/>
        <w:rPr>
          <w:lang w:eastAsia="ar-SA"/>
        </w:rPr>
      </w:pPr>
      <w:r>
        <w:rPr>
          <w:lang w:eastAsia="ar-SA"/>
        </w:rPr>
        <w:tab/>
      </w:r>
      <w:r w:rsidR="00131040">
        <w:rPr>
          <w:lang w:eastAsia="ar-SA"/>
        </w:rPr>
        <w:t>(c)</w:t>
      </w:r>
      <w:r w:rsidR="00131040">
        <w:rPr>
          <w:lang w:eastAsia="ar-SA"/>
        </w:rPr>
        <w:tab/>
      </w:r>
      <w:proofErr w:type="gramStart"/>
      <w:r w:rsidR="00131040">
        <w:rPr>
          <w:lang w:eastAsia="ar-SA"/>
        </w:rPr>
        <w:t>this</w:t>
      </w:r>
      <w:proofErr w:type="gramEnd"/>
      <w:r w:rsidR="00131040">
        <w:rPr>
          <w:lang w:eastAsia="ar-SA"/>
        </w:rPr>
        <w:t xml:space="preserve"> symbol may be replaced by different symbols for seats other than those of the front row. Therefore, a new footnote </w:t>
      </w:r>
      <w:r w:rsidR="00131040" w:rsidRPr="00131040">
        <w:rPr>
          <w:vertAlign w:val="superscript"/>
          <w:lang w:eastAsia="ar-SA"/>
        </w:rPr>
        <w:t>22</w:t>
      </w:r>
      <w:r w:rsidR="00131040">
        <w:rPr>
          <w:lang w:eastAsia="ar-SA"/>
        </w:rPr>
        <w:t xml:space="preserve"> </w:t>
      </w:r>
      <w:proofErr w:type="gramStart"/>
      <w:r w:rsidR="00131040">
        <w:rPr>
          <w:lang w:eastAsia="ar-SA"/>
        </w:rPr>
        <w:t>has been added</w:t>
      </w:r>
      <w:proofErr w:type="gramEnd"/>
      <w:r w:rsidR="00131040">
        <w:rPr>
          <w:lang w:eastAsia="ar-SA"/>
        </w:rPr>
        <w:t xml:space="preserve"> to item 21.</w:t>
      </w:r>
    </w:p>
    <w:p w:rsidR="008228E5" w:rsidRPr="00F41CA4" w:rsidRDefault="008228E5" w:rsidP="008228E5">
      <w:pPr>
        <w:spacing w:before="120" w:after="120" w:line="240" w:lineRule="auto"/>
        <w:ind w:left="1134" w:right="1134"/>
        <w:jc w:val="both"/>
        <w:rPr>
          <w:b/>
          <w:color w:val="FF0000"/>
          <w:lang w:eastAsia="ar-SA"/>
        </w:rPr>
      </w:pPr>
      <w:proofErr w:type="gramStart"/>
      <w:r w:rsidRPr="008228E5">
        <w:rPr>
          <w:b/>
          <w:color w:val="FF0000"/>
          <w:lang w:eastAsia="ar-SA"/>
        </w:rPr>
        <w:t>3.</w:t>
      </w:r>
      <w:r w:rsidRPr="008228E5">
        <w:rPr>
          <w:b/>
          <w:color w:val="FF0000"/>
          <w:lang w:eastAsia="ar-SA"/>
        </w:rPr>
        <w:tab/>
        <w:t>Paragraph 5.1.5</w:t>
      </w:r>
      <w:r w:rsidR="001F5A5B">
        <w:rPr>
          <w:b/>
          <w:color w:val="FF0000"/>
          <w:lang w:eastAsia="ar-SA"/>
        </w:rPr>
        <w:t>.</w:t>
      </w:r>
      <w:proofErr w:type="gramEnd"/>
      <w:r w:rsidRPr="008228E5">
        <w:rPr>
          <w:b/>
          <w:color w:val="FF0000"/>
          <w:lang w:eastAsia="ar-SA"/>
        </w:rPr>
        <w:t xml:space="preserve"> </w:t>
      </w:r>
      <w:proofErr w:type="gramStart"/>
      <w:r w:rsidRPr="008228E5">
        <w:rPr>
          <w:b/>
          <w:color w:val="FF0000"/>
          <w:lang w:eastAsia="ar-SA"/>
        </w:rPr>
        <w:t>is</w:t>
      </w:r>
      <w:proofErr w:type="gramEnd"/>
      <w:r w:rsidRPr="008228E5">
        <w:rPr>
          <w:b/>
          <w:color w:val="FF0000"/>
          <w:lang w:eastAsia="ar-SA"/>
        </w:rPr>
        <w:t xml:space="preserve"> modified </w:t>
      </w:r>
      <w:r w:rsidR="00F41CA4">
        <w:rPr>
          <w:b/>
          <w:color w:val="FF0000"/>
          <w:lang w:eastAsia="ar-SA"/>
        </w:rPr>
        <w:t>and paragraph 5.1.7</w:t>
      </w:r>
      <w:r w:rsidR="001F5A5B">
        <w:rPr>
          <w:b/>
          <w:color w:val="FF0000"/>
          <w:lang w:eastAsia="ar-SA"/>
        </w:rPr>
        <w:t>.</w:t>
      </w:r>
      <w:r w:rsidR="00F41CA4">
        <w:rPr>
          <w:b/>
          <w:color w:val="FF0000"/>
          <w:lang w:eastAsia="ar-SA"/>
        </w:rPr>
        <w:t xml:space="preserve"> </w:t>
      </w:r>
      <w:proofErr w:type="gramStart"/>
      <w:r w:rsidR="00F41CA4">
        <w:rPr>
          <w:b/>
          <w:color w:val="FF0000"/>
          <w:lang w:eastAsia="ar-SA"/>
        </w:rPr>
        <w:t>introduced</w:t>
      </w:r>
      <w:proofErr w:type="gramEnd"/>
      <w:r w:rsidR="00F41CA4">
        <w:rPr>
          <w:b/>
          <w:color w:val="FF0000"/>
          <w:lang w:eastAsia="ar-SA"/>
        </w:rPr>
        <w:t xml:space="preserve"> </w:t>
      </w:r>
      <w:r w:rsidRPr="008228E5">
        <w:rPr>
          <w:b/>
          <w:color w:val="FF0000"/>
          <w:lang w:eastAsia="ar-SA"/>
        </w:rPr>
        <w:t xml:space="preserve">to take into consideration the </w:t>
      </w:r>
      <w:r w:rsidR="00F41CA4">
        <w:rPr>
          <w:b/>
          <w:color w:val="FF0000"/>
          <w:lang w:eastAsia="ar-SA"/>
        </w:rPr>
        <w:t xml:space="preserve">strict </w:t>
      </w:r>
      <w:r w:rsidRPr="008228E5">
        <w:rPr>
          <w:b/>
          <w:color w:val="FF0000"/>
          <w:lang w:eastAsia="ar-SA"/>
        </w:rPr>
        <w:t xml:space="preserve">content of </w:t>
      </w:r>
      <w:r w:rsidR="001F5A5B">
        <w:rPr>
          <w:b/>
          <w:color w:val="FF0000"/>
          <w:lang w:eastAsia="ar-SA"/>
        </w:rPr>
        <w:t>ECE/TRANS/</w:t>
      </w:r>
      <w:r w:rsidRPr="008228E5">
        <w:rPr>
          <w:b/>
          <w:color w:val="FF0000"/>
          <w:lang w:eastAsia="ar-SA"/>
        </w:rPr>
        <w:t>WP</w:t>
      </w:r>
      <w:r w:rsidR="001F5A5B">
        <w:rPr>
          <w:b/>
          <w:color w:val="FF0000"/>
          <w:lang w:eastAsia="ar-SA"/>
        </w:rPr>
        <w:t>.</w:t>
      </w:r>
      <w:r w:rsidRPr="008228E5">
        <w:rPr>
          <w:b/>
          <w:color w:val="FF0000"/>
          <w:lang w:eastAsia="ar-SA"/>
        </w:rPr>
        <w:t>29/GRSP/59</w:t>
      </w:r>
      <w:r w:rsidR="00FE7F85">
        <w:rPr>
          <w:b/>
          <w:color w:val="FF0000"/>
          <w:lang w:eastAsia="ar-SA"/>
        </w:rPr>
        <w:t>,</w:t>
      </w:r>
      <w:r w:rsidRPr="008228E5">
        <w:rPr>
          <w:b/>
          <w:color w:val="FF0000"/>
          <w:lang w:eastAsia="ar-SA"/>
        </w:rPr>
        <w:t xml:space="preserve"> page 24</w:t>
      </w:r>
      <w:r w:rsidR="00FE7F85">
        <w:rPr>
          <w:b/>
          <w:color w:val="FF0000"/>
          <w:lang w:eastAsia="ar-SA"/>
        </w:rPr>
        <w:t>,</w:t>
      </w:r>
      <w:r w:rsidRPr="008228E5">
        <w:rPr>
          <w:b/>
          <w:color w:val="FF0000"/>
          <w:lang w:eastAsia="ar-SA"/>
        </w:rPr>
        <w:t xml:space="preserve"> paragraph</w:t>
      </w:r>
      <w:r w:rsidR="00FE7F85">
        <w:rPr>
          <w:b/>
          <w:color w:val="FF0000"/>
          <w:lang w:eastAsia="ar-SA"/>
        </w:rPr>
        <w:t>s 8.4.3.2.1</w:t>
      </w:r>
      <w:r w:rsidR="001F5A5B">
        <w:rPr>
          <w:b/>
          <w:color w:val="FF0000"/>
          <w:lang w:eastAsia="ar-SA"/>
        </w:rPr>
        <w:t>.</w:t>
      </w:r>
      <w:r w:rsidR="00FE7F85">
        <w:rPr>
          <w:b/>
          <w:color w:val="FF0000"/>
          <w:lang w:eastAsia="ar-SA"/>
        </w:rPr>
        <w:t xml:space="preserve"> and</w:t>
      </w:r>
      <w:r w:rsidRPr="008228E5">
        <w:rPr>
          <w:b/>
          <w:color w:val="FF0000"/>
          <w:lang w:eastAsia="ar-SA"/>
        </w:rPr>
        <w:t xml:space="preserve"> 8.4</w:t>
      </w:r>
      <w:r w:rsidR="00F41CA4">
        <w:rPr>
          <w:b/>
          <w:color w:val="FF0000"/>
          <w:lang w:eastAsia="ar-SA"/>
        </w:rPr>
        <w:t xml:space="preserve">.4. </w:t>
      </w:r>
      <w:r w:rsidR="001F5A5B">
        <w:rPr>
          <w:b/>
          <w:color w:val="FF0000"/>
          <w:lang w:eastAsia="ar-SA"/>
        </w:rPr>
        <w:t>on s</w:t>
      </w:r>
      <w:bookmarkStart w:id="0" w:name="_GoBack"/>
      <w:bookmarkEnd w:id="0"/>
      <w:r w:rsidR="00F41CA4" w:rsidRPr="00F41CA4">
        <w:rPr>
          <w:b/>
          <w:color w:val="FF0000"/>
          <w:lang w:eastAsia="ja-JP"/>
        </w:rPr>
        <w:t>afety-belt reminder for occupants of rear seat row(s).</w:t>
      </w:r>
    </w:p>
    <w:p w:rsidR="00B73F39" w:rsidRPr="000E2AC1" w:rsidRDefault="008228E5" w:rsidP="00FE12A8">
      <w:pPr>
        <w:spacing w:before="120" w:after="120" w:line="240" w:lineRule="auto"/>
        <w:ind w:left="1134" w:right="1134"/>
        <w:jc w:val="both"/>
        <w:rPr>
          <w:lang w:eastAsia="ar-SA"/>
        </w:rPr>
      </w:pPr>
      <w:r w:rsidRPr="008228E5">
        <w:rPr>
          <w:b/>
          <w:strike/>
          <w:color w:val="FF0000"/>
          <w:lang w:eastAsia="ar-SA"/>
        </w:rPr>
        <w:t xml:space="preserve">3 </w:t>
      </w:r>
      <w:proofErr w:type="gramStart"/>
      <w:r w:rsidRPr="008228E5">
        <w:rPr>
          <w:b/>
          <w:color w:val="FF0000"/>
          <w:lang w:eastAsia="ar-SA"/>
        </w:rPr>
        <w:t>4</w:t>
      </w:r>
      <w:proofErr w:type="gramEnd"/>
      <w:r w:rsidR="00131040" w:rsidRPr="008228E5">
        <w:rPr>
          <w:b/>
          <w:color w:val="FF0000"/>
          <w:lang w:eastAsia="ar-SA"/>
        </w:rPr>
        <w:t>.</w:t>
      </w:r>
      <w:r w:rsidR="00131040">
        <w:rPr>
          <w:lang w:eastAsia="ar-SA"/>
        </w:rPr>
        <w:tab/>
        <w:t xml:space="preserve">The proposed amendments do not change any of the technical requirements of </w:t>
      </w:r>
      <w:r w:rsidR="00FE12A8">
        <w:rPr>
          <w:lang w:eastAsia="ar-SA"/>
        </w:rPr>
        <w:t>UN</w:t>
      </w:r>
      <w:r w:rsidR="00131040">
        <w:rPr>
          <w:lang w:eastAsia="ar-SA"/>
        </w:rPr>
        <w:t xml:space="preserve"> Regulation</w:t>
      </w:r>
      <w:r w:rsidR="00FE12A8">
        <w:rPr>
          <w:lang w:eastAsia="ar-SA"/>
        </w:rPr>
        <w:t xml:space="preserve"> No. 121</w:t>
      </w:r>
      <w:r w:rsidR="00131040">
        <w:rPr>
          <w:lang w:eastAsia="ar-SA"/>
        </w:rPr>
        <w:t>. Therefore, this proposal does not contain transitional provisions.</w:t>
      </w:r>
    </w:p>
    <w:p w:rsidR="00C31258" w:rsidRPr="000D0516" w:rsidRDefault="00C31258" w:rsidP="00C31258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31258" w:rsidRPr="000D0516" w:rsidSect="00803BF8">
      <w:footerReference w:type="even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27" w:rsidRDefault="00FA1827"/>
  </w:endnote>
  <w:endnote w:type="continuationSeparator" w:id="0">
    <w:p w:rsidR="00FA1827" w:rsidRDefault="00FA1827"/>
  </w:endnote>
  <w:endnote w:type="continuationNotice" w:id="1">
    <w:p w:rsidR="00FA1827" w:rsidRDefault="00FA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7E" w:rsidRPr="00803BF8" w:rsidRDefault="0030757E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1F5A5B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7E" w:rsidRPr="00803BF8" w:rsidRDefault="0030757E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1B09C8">
      <w:rPr>
        <w:b/>
        <w:noProof/>
        <w:sz w:val="18"/>
      </w:rPr>
      <w:t>3</w:t>
    </w:r>
    <w:r w:rsidRPr="00803BF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27" w:rsidRPr="000B175B" w:rsidRDefault="00FA182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A1827" w:rsidRPr="00FC68B7" w:rsidRDefault="00FA182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FA1827" w:rsidRDefault="00FA18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000" w:firstRow="0" w:lastRow="0" w:firstColumn="0" w:lastColumn="0" w:noHBand="0" w:noVBand="0"/>
    </w:tblPr>
    <w:tblGrid>
      <w:gridCol w:w="4962"/>
      <w:gridCol w:w="4961"/>
    </w:tblGrid>
    <w:tr w:rsidR="001B09C8" w:rsidRPr="00C44052" w:rsidTr="00F30628">
      <w:tc>
        <w:tcPr>
          <w:tcW w:w="4962" w:type="dxa"/>
        </w:tcPr>
        <w:p w:rsidR="001B09C8" w:rsidRPr="00C44052" w:rsidRDefault="001B09C8" w:rsidP="001B09C8">
          <w:pPr>
            <w:tabs>
              <w:tab w:val="center" w:pos="4320"/>
              <w:tab w:val="right" w:pos="8640"/>
            </w:tabs>
            <w:suppressAutoHyphens w:val="0"/>
            <w:spacing w:line="240" w:lineRule="auto"/>
            <w:rPr>
              <w:sz w:val="16"/>
              <w:szCs w:val="16"/>
            </w:rPr>
          </w:pPr>
          <w:r w:rsidRPr="00C44052">
            <w:t xml:space="preserve">Submitted by the expert from </w:t>
          </w:r>
          <w:r>
            <w:t>OICA</w:t>
          </w:r>
        </w:p>
      </w:tc>
      <w:tc>
        <w:tcPr>
          <w:tcW w:w="4961" w:type="dxa"/>
        </w:tcPr>
        <w:p w:rsidR="001B09C8" w:rsidRPr="00C44052" w:rsidRDefault="001B09C8" w:rsidP="00F30628">
          <w:pPr>
            <w:suppressAutoHyphens w:val="0"/>
            <w:spacing w:line="240" w:lineRule="auto"/>
            <w:ind w:left="742"/>
            <w:rPr>
              <w:b/>
              <w:bCs/>
            </w:rPr>
          </w:pPr>
          <w:r w:rsidRPr="00C44052">
            <w:rPr>
              <w:u w:val="single"/>
            </w:rPr>
            <w:t>Informal document</w:t>
          </w:r>
          <w:r w:rsidRPr="00C44052">
            <w:t xml:space="preserve"> </w:t>
          </w:r>
          <w:r w:rsidRPr="00C44052">
            <w:rPr>
              <w:b/>
              <w:bCs/>
            </w:rPr>
            <w:t>GRSG-1</w:t>
          </w:r>
          <w:r w:rsidRPr="00C44052">
            <w:rPr>
              <w:rFonts w:eastAsia="MS Mincho" w:hint="eastAsia"/>
              <w:b/>
              <w:bCs/>
              <w:lang w:eastAsia="ja-JP"/>
            </w:rPr>
            <w:t>11</w:t>
          </w:r>
          <w:r w:rsidRPr="00C44052">
            <w:rPr>
              <w:b/>
              <w:bCs/>
            </w:rPr>
            <w:t>-</w:t>
          </w:r>
          <w:r>
            <w:rPr>
              <w:b/>
              <w:bCs/>
            </w:rPr>
            <w:t>3</w:t>
          </w:r>
          <w:r>
            <w:rPr>
              <w:b/>
              <w:bCs/>
            </w:rPr>
            <w:t>7</w:t>
          </w:r>
        </w:p>
        <w:p w:rsidR="001B09C8" w:rsidRPr="00C44052" w:rsidRDefault="001B09C8" w:rsidP="00F30628">
          <w:pPr>
            <w:tabs>
              <w:tab w:val="center" w:pos="4320"/>
              <w:tab w:val="right" w:pos="8640"/>
            </w:tabs>
            <w:suppressAutoHyphens w:val="0"/>
            <w:spacing w:line="240" w:lineRule="auto"/>
            <w:ind w:left="742"/>
          </w:pPr>
          <w:r w:rsidRPr="00C44052">
            <w:t>(1</w:t>
          </w:r>
          <w:r w:rsidRPr="00C44052">
            <w:rPr>
              <w:rFonts w:eastAsia="MS Mincho" w:hint="eastAsia"/>
              <w:lang w:eastAsia="ja-JP"/>
            </w:rPr>
            <w:t>11</w:t>
          </w:r>
          <w:r w:rsidRPr="00C44052">
            <w:rPr>
              <w:vertAlign w:val="superscript"/>
            </w:rPr>
            <w:t>th</w:t>
          </w:r>
          <w:r w:rsidRPr="00C44052">
            <w:t xml:space="preserve"> GRSG, </w:t>
          </w:r>
          <w:r w:rsidRPr="00C44052">
            <w:rPr>
              <w:rFonts w:eastAsiaTheme="minorEastAsia" w:hint="eastAsia"/>
              <w:lang w:eastAsia="ja-JP"/>
            </w:rPr>
            <w:t>11-14</w:t>
          </w:r>
          <w:r w:rsidRPr="00C44052">
            <w:rPr>
              <w:rFonts w:eastAsia="MS Mincho"/>
            </w:rPr>
            <w:t xml:space="preserve"> </w:t>
          </w:r>
          <w:r w:rsidRPr="00C44052">
            <w:rPr>
              <w:rFonts w:eastAsia="MS Mincho" w:hint="eastAsia"/>
              <w:lang w:eastAsia="ja-JP"/>
            </w:rPr>
            <w:t>October</w:t>
          </w:r>
          <w:r w:rsidRPr="00C44052">
            <w:rPr>
              <w:rFonts w:eastAsia="MS Mincho"/>
            </w:rPr>
            <w:t xml:space="preserve"> 201</w:t>
          </w:r>
          <w:r w:rsidRPr="00C44052">
            <w:rPr>
              <w:rFonts w:eastAsia="MS Mincho" w:hint="eastAsia"/>
              <w:lang w:eastAsia="ja-JP"/>
            </w:rPr>
            <w:t>6</w:t>
          </w:r>
        </w:p>
        <w:p w:rsidR="001B09C8" w:rsidRPr="00C44052" w:rsidRDefault="001B09C8" w:rsidP="00F30628">
          <w:pPr>
            <w:tabs>
              <w:tab w:val="center" w:pos="4320"/>
              <w:tab w:val="right" w:pos="8640"/>
            </w:tabs>
            <w:suppressAutoHyphens w:val="0"/>
            <w:spacing w:line="240" w:lineRule="auto"/>
            <w:ind w:left="742"/>
          </w:pPr>
          <w:proofErr w:type="gramStart"/>
          <w:r w:rsidRPr="00C44052">
            <w:t>agenda</w:t>
          </w:r>
          <w:proofErr w:type="gramEnd"/>
          <w:r w:rsidRPr="00C44052">
            <w:t xml:space="preserve"> item </w:t>
          </w:r>
          <w:r>
            <w:t>1</w:t>
          </w:r>
          <w:r>
            <w:t>2</w:t>
          </w:r>
          <w:r w:rsidRPr="00C44052">
            <w:rPr>
              <w:rFonts w:eastAsia="MS Mincho"/>
              <w:lang w:eastAsia="ja-JP"/>
            </w:rPr>
            <w:t>.</w:t>
          </w:r>
          <w:r w:rsidRPr="00C44052">
            <w:t>)</w:t>
          </w:r>
        </w:p>
      </w:tc>
    </w:tr>
  </w:tbl>
  <w:p w:rsidR="001B09C8" w:rsidRPr="001B09C8" w:rsidRDefault="001B09C8" w:rsidP="001B09C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16"/>
  </w:num>
  <w:num w:numId="15">
    <w:abstractNumId w:val="20"/>
  </w:num>
  <w:num w:numId="16">
    <w:abstractNumId w:val="10"/>
  </w:num>
  <w:num w:numId="17">
    <w:abstractNumId w:val="14"/>
  </w:num>
  <w:num w:numId="18">
    <w:abstractNumId w:val="19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8"/>
    <w:rsid w:val="00000CCB"/>
    <w:rsid w:val="00001F4E"/>
    <w:rsid w:val="00013D2A"/>
    <w:rsid w:val="00014605"/>
    <w:rsid w:val="00015434"/>
    <w:rsid w:val="00015799"/>
    <w:rsid w:val="00031ABF"/>
    <w:rsid w:val="000333D4"/>
    <w:rsid w:val="00034C7C"/>
    <w:rsid w:val="0003564D"/>
    <w:rsid w:val="00046515"/>
    <w:rsid w:val="00046A36"/>
    <w:rsid w:val="00046B1F"/>
    <w:rsid w:val="00046CDF"/>
    <w:rsid w:val="00050F6B"/>
    <w:rsid w:val="00052635"/>
    <w:rsid w:val="00056C6B"/>
    <w:rsid w:val="00057E97"/>
    <w:rsid w:val="000646F4"/>
    <w:rsid w:val="00064DDF"/>
    <w:rsid w:val="00065561"/>
    <w:rsid w:val="00066C0D"/>
    <w:rsid w:val="00067F6C"/>
    <w:rsid w:val="00072C8C"/>
    <w:rsid w:val="000733B5"/>
    <w:rsid w:val="00073F5F"/>
    <w:rsid w:val="00074B8A"/>
    <w:rsid w:val="00075E1A"/>
    <w:rsid w:val="0008164E"/>
    <w:rsid w:val="00081815"/>
    <w:rsid w:val="000876DE"/>
    <w:rsid w:val="000931C0"/>
    <w:rsid w:val="00094F47"/>
    <w:rsid w:val="000A525F"/>
    <w:rsid w:val="000A5649"/>
    <w:rsid w:val="000B0595"/>
    <w:rsid w:val="000B175B"/>
    <w:rsid w:val="000B1CD2"/>
    <w:rsid w:val="000B2D7B"/>
    <w:rsid w:val="000B2F02"/>
    <w:rsid w:val="000B3A0F"/>
    <w:rsid w:val="000B4EF7"/>
    <w:rsid w:val="000C2C03"/>
    <w:rsid w:val="000C2D2E"/>
    <w:rsid w:val="000D0516"/>
    <w:rsid w:val="000D4EB3"/>
    <w:rsid w:val="000D70AC"/>
    <w:rsid w:val="000E034C"/>
    <w:rsid w:val="000E0415"/>
    <w:rsid w:val="000E2AC1"/>
    <w:rsid w:val="000E5E72"/>
    <w:rsid w:val="000F1AC1"/>
    <w:rsid w:val="000F2AD8"/>
    <w:rsid w:val="000F7E76"/>
    <w:rsid w:val="00101131"/>
    <w:rsid w:val="001044E5"/>
    <w:rsid w:val="001058B4"/>
    <w:rsid w:val="00107CBF"/>
    <w:rsid w:val="001103AA"/>
    <w:rsid w:val="0011666B"/>
    <w:rsid w:val="00122CBC"/>
    <w:rsid w:val="00123206"/>
    <w:rsid w:val="00130E03"/>
    <w:rsid w:val="00131040"/>
    <w:rsid w:val="00133E6D"/>
    <w:rsid w:val="001359D2"/>
    <w:rsid w:val="00143418"/>
    <w:rsid w:val="001449E5"/>
    <w:rsid w:val="00147241"/>
    <w:rsid w:val="00151D03"/>
    <w:rsid w:val="001528B9"/>
    <w:rsid w:val="00152B52"/>
    <w:rsid w:val="00154165"/>
    <w:rsid w:val="00155592"/>
    <w:rsid w:val="00156C8F"/>
    <w:rsid w:val="001602AF"/>
    <w:rsid w:val="00160B90"/>
    <w:rsid w:val="00163BF7"/>
    <w:rsid w:val="00164212"/>
    <w:rsid w:val="00164A85"/>
    <w:rsid w:val="00165F3A"/>
    <w:rsid w:val="001662EC"/>
    <w:rsid w:val="00170A05"/>
    <w:rsid w:val="0017324C"/>
    <w:rsid w:val="00182290"/>
    <w:rsid w:val="001827D1"/>
    <w:rsid w:val="00184490"/>
    <w:rsid w:val="0019102D"/>
    <w:rsid w:val="00192180"/>
    <w:rsid w:val="00193F1C"/>
    <w:rsid w:val="001963AC"/>
    <w:rsid w:val="00197D24"/>
    <w:rsid w:val="001A3955"/>
    <w:rsid w:val="001A5101"/>
    <w:rsid w:val="001B09C8"/>
    <w:rsid w:val="001B4B04"/>
    <w:rsid w:val="001C4AFE"/>
    <w:rsid w:val="001C6663"/>
    <w:rsid w:val="001C7895"/>
    <w:rsid w:val="001D0C8C"/>
    <w:rsid w:val="001D1419"/>
    <w:rsid w:val="001D26DF"/>
    <w:rsid w:val="001D3882"/>
    <w:rsid w:val="001D3A03"/>
    <w:rsid w:val="001D4261"/>
    <w:rsid w:val="001D6907"/>
    <w:rsid w:val="001E0C22"/>
    <w:rsid w:val="001E2593"/>
    <w:rsid w:val="001E47B9"/>
    <w:rsid w:val="001E7B67"/>
    <w:rsid w:val="001F20EF"/>
    <w:rsid w:val="001F5A5B"/>
    <w:rsid w:val="00202BF3"/>
    <w:rsid w:val="00202DA8"/>
    <w:rsid w:val="002057AE"/>
    <w:rsid w:val="0021164B"/>
    <w:rsid w:val="00211E0B"/>
    <w:rsid w:val="002134E0"/>
    <w:rsid w:val="00221BD3"/>
    <w:rsid w:val="00226409"/>
    <w:rsid w:val="00230A28"/>
    <w:rsid w:val="00233BB0"/>
    <w:rsid w:val="00237023"/>
    <w:rsid w:val="00243627"/>
    <w:rsid w:val="0024568B"/>
    <w:rsid w:val="00246027"/>
    <w:rsid w:val="0024772E"/>
    <w:rsid w:val="002530E8"/>
    <w:rsid w:val="00263A29"/>
    <w:rsid w:val="002676B0"/>
    <w:rsid w:val="00267F5F"/>
    <w:rsid w:val="00270BEB"/>
    <w:rsid w:val="0027135F"/>
    <w:rsid w:val="00271CB5"/>
    <w:rsid w:val="002722E2"/>
    <w:rsid w:val="00273751"/>
    <w:rsid w:val="00276AEF"/>
    <w:rsid w:val="00283AEA"/>
    <w:rsid w:val="00283C63"/>
    <w:rsid w:val="0028413D"/>
    <w:rsid w:val="00284D1F"/>
    <w:rsid w:val="00286888"/>
    <w:rsid w:val="00286B4D"/>
    <w:rsid w:val="0028776F"/>
    <w:rsid w:val="002925FB"/>
    <w:rsid w:val="002934A0"/>
    <w:rsid w:val="00294129"/>
    <w:rsid w:val="002A0D4A"/>
    <w:rsid w:val="002A42DD"/>
    <w:rsid w:val="002A4687"/>
    <w:rsid w:val="002A4D51"/>
    <w:rsid w:val="002A63D3"/>
    <w:rsid w:val="002A7DBF"/>
    <w:rsid w:val="002B4079"/>
    <w:rsid w:val="002B43D7"/>
    <w:rsid w:val="002B47CA"/>
    <w:rsid w:val="002C1B3A"/>
    <w:rsid w:val="002C2315"/>
    <w:rsid w:val="002C3497"/>
    <w:rsid w:val="002C5141"/>
    <w:rsid w:val="002C567B"/>
    <w:rsid w:val="002C64E5"/>
    <w:rsid w:val="002C6BB6"/>
    <w:rsid w:val="002D3009"/>
    <w:rsid w:val="002D4643"/>
    <w:rsid w:val="002D4CFC"/>
    <w:rsid w:val="002E093F"/>
    <w:rsid w:val="002E2EB7"/>
    <w:rsid w:val="002E4A30"/>
    <w:rsid w:val="002E5684"/>
    <w:rsid w:val="002F04B8"/>
    <w:rsid w:val="002F13E1"/>
    <w:rsid w:val="002F175C"/>
    <w:rsid w:val="002F1D8E"/>
    <w:rsid w:val="002F5AC5"/>
    <w:rsid w:val="002F7DE0"/>
    <w:rsid w:val="0030272D"/>
    <w:rsid w:val="00302E18"/>
    <w:rsid w:val="0030757E"/>
    <w:rsid w:val="00312F59"/>
    <w:rsid w:val="0031733E"/>
    <w:rsid w:val="003229D8"/>
    <w:rsid w:val="003237A4"/>
    <w:rsid w:val="00323D17"/>
    <w:rsid w:val="00325908"/>
    <w:rsid w:val="00326932"/>
    <w:rsid w:val="00330F1A"/>
    <w:rsid w:val="003311A6"/>
    <w:rsid w:val="00336789"/>
    <w:rsid w:val="003406CC"/>
    <w:rsid w:val="0034070E"/>
    <w:rsid w:val="0034168B"/>
    <w:rsid w:val="00341F69"/>
    <w:rsid w:val="003450DD"/>
    <w:rsid w:val="003451F4"/>
    <w:rsid w:val="003516C1"/>
    <w:rsid w:val="00352181"/>
    <w:rsid w:val="00352709"/>
    <w:rsid w:val="00356E54"/>
    <w:rsid w:val="003619B5"/>
    <w:rsid w:val="00361AC3"/>
    <w:rsid w:val="00365763"/>
    <w:rsid w:val="00371178"/>
    <w:rsid w:val="00377817"/>
    <w:rsid w:val="003800C8"/>
    <w:rsid w:val="00383155"/>
    <w:rsid w:val="0038516A"/>
    <w:rsid w:val="00391650"/>
    <w:rsid w:val="00392E47"/>
    <w:rsid w:val="00394CC7"/>
    <w:rsid w:val="00396E5F"/>
    <w:rsid w:val="003A06B5"/>
    <w:rsid w:val="003A135A"/>
    <w:rsid w:val="003A3D17"/>
    <w:rsid w:val="003A5828"/>
    <w:rsid w:val="003A6810"/>
    <w:rsid w:val="003B1EDF"/>
    <w:rsid w:val="003B5302"/>
    <w:rsid w:val="003C17CC"/>
    <w:rsid w:val="003C2CC4"/>
    <w:rsid w:val="003C46E4"/>
    <w:rsid w:val="003C4BA1"/>
    <w:rsid w:val="003C534D"/>
    <w:rsid w:val="003D4B23"/>
    <w:rsid w:val="003E120B"/>
    <w:rsid w:val="003E130E"/>
    <w:rsid w:val="003E44F5"/>
    <w:rsid w:val="003F00E3"/>
    <w:rsid w:val="003F23F3"/>
    <w:rsid w:val="003F4275"/>
    <w:rsid w:val="003F6FC1"/>
    <w:rsid w:val="004019C4"/>
    <w:rsid w:val="00403D20"/>
    <w:rsid w:val="0040438C"/>
    <w:rsid w:val="00410C89"/>
    <w:rsid w:val="00420557"/>
    <w:rsid w:val="00422E03"/>
    <w:rsid w:val="00425C32"/>
    <w:rsid w:val="00426B9B"/>
    <w:rsid w:val="004325CB"/>
    <w:rsid w:val="00442A83"/>
    <w:rsid w:val="00443911"/>
    <w:rsid w:val="004476E6"/>
    <w:rsid w:val="0045495B"/>
    <w:rsid w:val="004561E5"/>
    <w:rsid w:val="00456BF3"/>
    <w:rsid w:val="004572AE"/>
    <w:rsid w:val="00464BD6"/>
    <w:rsid w:val="00467FEF"/>
    <w:rsid w:val="00471BD2"/>
    <w:rsid w:val="0047621F"/>
    <w:rsid w:val="00476BEA"/>
    <w:rsid w:val="00477526"/>
    <w:rsid w:val="00477A0D"/>
    <w:rsid w:val="00477C6B"/>
    <w:rsid w:val="0048237A"/>
    <w:rsid w:val="0048397A"/>
    <w:rsid w:val="0048419F"/>
    <w:rsid w:val="00485CBB"/>
    <w:rsid w:val="004866B7"/>
    <w:rsid w:val="004935FC"/>
    <w:rsid w:val="00493DB9"/>
    <w:rsid w:val="004A4BF7"/>
    <w:rsid w:val="004A79FD"/>
    <w:rsid w:val="004B05F0"/>
    <w:rsid w:val="004B3889"/>
    <w:rsid w:val="004B7128"/>
    <w:rsid w:val="004C2461"/>
    <w:rsid w:val="004C3774"/>
    <w:rsid w:val="004C7462"/>
    <w:rsid w:val="004D0424"/>
    <w:rsid w:val="004D65FF"/>
    <w:rsid w:val="004E0683"/>
    <w:rsid w:val="004E0FDB"/>
    <w:rsid w:val="004E58ED"/>
    <w:rsid w:val="004E77B2"/>
    <w:rsid w:val="004F1622"/>
    <w:rsid w:val="004F1CBD"/>
    <w:rsid w:val="00501396"/>
    <w:rsid w:val="0050463D"/>
    <w:rsid w:val="00504B2D"/>
    <w:rsid w:val="00506897"/>
    <w:rsid w:val="00516F20"/>
    <w:rsid w:val="0052136D"/>
    <w:rsid w:val="00527001"/>
    <w:rsid w:val="0052775E"/>
    <w:rsid w:val="005305DD"/>
    <w:rsid w:val="005420F2"/>
    <w:rsid w:val="0055161F"/>
    <w:rsid w:val="0055217D"/>
    <w:rsid w:val="0055307C"/>
    <w:rsid w:val="00554D08"/>
    <w:rsid w:val="00556130"/>
    <w:rsid w:val="0056209A"/>
    <w:rsid w:val="005628B6"/>
    <w:rsid w:val="005637BE"/>
    <w:rsid w:val="00564BCC"/>
    <w:rsid w:val="00566C4A"/>
    <w:rsid w:val="0057118C"/>
    <w:rsid w:val="0057288A"/>
    <w:rsid w:val="005751FB"/>
    <w:rsid w:val="00581DFE"/>
    <w:rsid w:val="00583457"/>
    <w:rsid w:val="005907C7"/>
    <w:rsid w:val="00593353"/>
    <w:rsid w:val="00593753"/>
    <w:rsid w:val="005941EC"/>
    <w:rsid w:val="00596CF1"/>
    <w:rsid w:val="0059724D"/>
    <w:rsid w:val="0059757F"/>
    <w:rsid w:val="005B04D8"/>
    <w:rsid w:val="005B1513"/>
    <w:rsid w:val="005B320C"/>
    <w:rsid w:val="005B3DB3"/>
    <w:rsid w:val="005B4E13"/>
    <w:rsid w:val="005C1629"/>
    <w:rsid w:val="005C342F"/>
    <w:rsid w:val="005C5509"/>
    <w:rsid w:val="005C5CC4"/>
    <w:rsid w:val="005C7D1E"/>
    <w:rsid w:val="005D04B2"/>
    <w:rsid w:val="005D6B0A"/>
    <w:rsid w:val="005E0D4D"/>
    <w:rsid w:val="005F4257"/>
    <w:rsid w:val="005F72B3"/>
    <w:rsid w:val="005F7B75"/>
    <w:rsid w:val="006001EE"/>
    <w:rsid w:val="00600492"/>
    <w:rsid w:val="00605042"/>
    <w:rsid w:val="00605514"/>
    <w:rsid w:val="006072D0"/>
    <w:rsid w:val="00607952"/>
    <w:rsid w:val="006079FB"/>
    <w:rsid w:val="00611FC4"/>
    <w:rsid w:val="00616169"/>
    <w:rsid w:val="006176FB"/>
    <w:rsid w:val="00626FBD"/>
    <w:rsid w:val="006301F2"/>
    <w:rsid w:val="0063070C"/>
    <w:rsid w:val="0063242B"/>
    <w:rsid w:val="00634F9F"/>
    <w:rsid w:val="006352A1"/>
    <w:rsid w:val="006372E5"/>
    <w:rsid w:val="0064099B"/>
    <w:rsid w:val="00640B26"/>
    <w:rsid w:val="0064292F"/>
    <w:rsid w:val="00646FE6"/>
    <w:rsid w:val="00647BAD"/>
    <w:rsid w:val="00652D0A"/>
    <w:rsid w:val="0065391C"/>
    <w:rsid w:val="00654889"/>
    <w:rsid w:val="00662BB6"/>
    <w:rsid w:val="00663B3A"/>
    <w:rsid w:val="00664F9E"/>
    <w:rsid w:val="00671B51"/>
    <w:rsid w:val="006726EC"/>
    <w:rsid w:val="0067362F"/>
    <w:rsid w:val="00675314"/>
    <w:rsid w:val="00676606"/>
    <w:rsid w:val="00680563"/>
    <w:rsid w:val="00682E86"/>
    <w:rsid w:val="0068459E"/>
    <w:rsid w:val="00684C21"/>
    <w:rsid w:val="006958E8"/>
    <w:rsid w:val="006A0BC2"/>
    <w:rsid w:val="006A2530"/>
    <w:rsid w:val="006A2748"/>
    <w:rsid w:val="006A46E9"/>
    <w:rsid w:val="006B0475"/>
    <w:rsid w:val="006B4D98"/>
    <w:rsid w:val="006B4E9F"/>
    <w:rsid w:val="006B5488"/>
    <w:rsid w:val="006C3589"/>
    <w:rsid w:val="006C4609"/>
    <w:rsid w:val="006D37AF"/>
    <w:rsid w:val="006D4C02"/>
    <w:rsid w:val="006D51D0"/>
    <w:rsid w:val="006D5219"/>
    <w:rsid w:val="006D52CA"/>
    <w:rsid w:val="006D5FB9"/>
    <w:rsid w:val="006D658E"/>
    <w:rsid w:val="006E564B"/>
    <w:rsid w:val="006E7191"/>
    <w:rsid w:val="006E7863"/>
    <w:rsid w:val="006F0360"/>
    <w:rsid w:val="006F0B34"/>
    <w:rsid w:val="006F2D70"/>
    <w:rsid w:val="006F3D7F"/>
    <w:rsid w:val="00702B9C"/>
    <w:rsid w:val="00703577"/>
    <w:rsid w:val="00703633"/>
    <w:rsid w:val="00705894"/>
    <w:rsid w:val="007072C1"/>
    <w:rsid w:val="00715FB5"/>
    <w:rsid w:val="00716CB7"/>
    <w:rsid w:val="007247D3"/>
    <w:rsid w:val="0072632A"/>
    <w:rsid w:val="007304FA"/>
    <w:rsid w:val="00731186"/>
    <w:rsid w:val="007327D5"/>
    <w:rsid w:val="00735128"/>
    <w:rsid w:val="007377C5"/>
    <w:rsid w:val="00740D04"/>
    <w:rsid w:val="00750B8D"/>
    <w:rsid w:val="00757F2F"/>
    <w:rsid w:val="0076035A"/>
    <w:rsid w:val="007629C8"/>
    <w:rsid w:val="0077047D"/>
    <w:rsid w:val="00775F7C"/>
    <w:rsid w:val="0077691F"/>
    <w:rsid w:val="00790A9A"/>
    <w:rsid w:val="00793B94"/>
    <w:rsid w:val="007948F3"/>
    <w:rsid w:val="007A1FFD"/>
    <w:rsid w:val="007A238A"/>
    <w:rsid w:val="007A52E6"/>
    <w:rsid w:val="007B2A30"/>
    <w:rsid w:val="007B6BA5"/>
    <w:rsid w:val="007C0546"/>
    <w:rsid w:val="007C2E71"/>
    <w:rsid w:val="007C3390"/>
    <w:rsid w:val="007C3B1C"/>
    <w:rsid w:val="007C4F4B"/>
    <w:rsid w:val="007D0567"/>
    <w:rsid w:val="007D2276"/>
    <w:rsid w:val="007D24C3"/>
    <w:rsid w:val="007E01E9"/>
    <w:rsid w:val="007E3C7D"/>
    <w:rsid w:val="007E5E15"/>
    <w:rsid w:val="007E63F3"/>
    <w:rsid w:val="007F0E12"/>
    <w:rsid w:val="007F3673"/>
    <w:rsid w:val="007F53E5"/>
    <w:rsid w:val="007F6611"/>
    <w:rsid w:val="007F6FD3"/>
    <w:rsid w:val="00801D6A"/>
    <w:rsid w:val="00803BF8"/>
    <w:rsid w:val="00804C91"/>
    <w:rsid w:val="00811920"/>
    <w:rsid w:val="00815AD0"/>
    <w:rsid w:val="00815EDB"/>
    <w:rsid w:val="008163F1"/>
    <w:rsid w:val="00816704"/>
    <w:rsid w:val="008201B8"/>
    <w:rsid w:val="008228E5"/>
    <w:rsid w:val="00822B44"/>
    <w:rsid w:val="008242D7"/>
    <w:rsid w:val="008257B1"/>
    <w:rsid w:val="00832334"/>
    <w:rsid w:val="008339DF"/>
    <w:rsid w:val="00835C20"/>
    <w:rsid w:val="00843767"/>
    <w:rsid w:val="00847CEC"/>
    <w:rsid w:val="00851184"/>
    <w:rsid w:val="00852982"/>
    <w:rsid w:val="0085492E"/>
    <w:rsid w:val="008562C9"/>
    <w:rsid w:val="00856494"/>
    <w:rsid w:val="00856FAA"/>
    <w:rsid w:val="00861117"/>
    <w:rsid w:val="0086135A"/>
    <w:rsid w:val="00863DFD"/>
    <w:rsid w:val="00865560"/>
    <w:rsid w:val="0086733A"/>
    <w:rsid w:val="008679D9"/>
    <w:rsid w:val="00872EA9"/>
    <w:rsid w:val="00873BB6"/>
    <w:rsid w:val="008774E7"/>
    <w:rsid w:val="008809C1"/>
    <w:rsid w:val="00881AE2"/>
    <w:rsid w:val="00883E85"/>
    <w:rsid w:val="00886690"/>
    <w:rsid w:val="008878DE"/>
    <w:rsid w:val="00896B38"/>
    <w:rsid w:val="008979B1"/>
    <w:rsid w:val="008A137D"/>
    <w:rsid w:val="008A1ED5"/>
    <w:rsid w:val="008A402D"/>
    <w:rsid w:val="008A4091"/>
    <w:rsid w:val="008A6467"/>
    <w:rsid w:val="008A6B25"/>
    <w:rsid w:val="008A6C4F"/>
    <w:rsid w:val="008B0A32"/>
    <w:rsid w:val="008B2335"/>
    <w:rsid w:val="008B279D"/>
    <w:rsid w:val="008B2E36"/>
    <w:rsid w:val="008D37F7"/>
    <w:rsid w:val="008D7558"/>
    <w:rsid w:val="008E05FB"/>
    <w:rsid w:val="008E0678"/>
    <w:rsid w:val="008E305A"/>
    <w:rsid w:val="008E6DB5"/>
    <w:rsid w:val="008E7431"/>
    <w:rsid w:val="008F31D2"/>
    <w:rsid w:val="008F4D26"/>
    <w:rsid w:val="008F5E28"/>
    <w:rsid w:val="0090098B"/>
    <w:rsid w:val="009014EE"/>
    <w:rsid w:val="00906A89"/>
    <w:rsid w:val="00915EF6"/>
    <w:rsid w:val="00920951"/>
    <w:rsid w:val="00920C5D"/>
    <w:rsid w:val="00921397"/>
    <w:rsid w:val="009223CA"/>
    <w:rsid w:val="009235EA"/>
    <w:rsid w:val="0092494D"/>
    <w:rsid w:val="0092535E"/>
    <w:rsid w:val="00927C2B"/>
    <w:rsid w:val="00933859"/>
    <w:rsid w:val="00934FAC"/>
    <w:rsid w:val="00940F93"/>
    <w:rsid w:val="009448C3"/>
    <w:rsid w:val="00945A10"/>
    <w:rsid w:val="009465E1"/>
    <w:rsid w:val="0095793C"/>
    <w:rsid w:val="009629C4"/>
    <w:rsid w:val="00963752"/>
    <w:rsid w:val="00963BF3"/>
    <w:rsid w:val="00963E1A"/>
    <w:rsid w:val="0096421E"/>
    <w:rsid w:val="009650B1"/>
    <w:rsid w:val="00967ACA"/>
    <w:rsid w:val="00972EEF"/>
    <w:rsid w:val="00974C2D"/>
    <w:rsid w:val="009760F3"/>
    <w:rsid w:val="009764DA"/>
    <w:rsid w:val="00976CFB"/>
    <w:rsid w:val="00981AA1"/>
    <w:rsid w:val="00982DEB"/>
    <w:rsid w:val="00985228"/>
    <w:rsid w:val="00992774"/>
    <w:rsid w:val="00997605"/>
    <w:rsid w:val="00997D09"/>
    <w:rsid w:val="009A0830"/>
    <w:rsid w:val="009A08AC"/>
    <w:rsid w:val="009A0E8D"/>
    <w:rsid w:val="009A1E55"/>
    <w:rsid w:val="009A26E0"/>
    <w:rsid w:val="009A5E59"/>
    <w:rsid w:val="009A6914"/>
    <w:rsid w:val="009B26E7"/>
    <w:rsid w:val="009B5B90"/>
    <w:rsid w:val="009B64BB"/>
    <w:rsid w:val="009B69E9"/>
    <w:rsid w:val="009C5020"/>
    <w:rsid w:val="009D272C"/>
    <w:rsid w:val="009D4BEE"/>
    <w:rsid w:val="009D5431"/>
    <w:rsid w:val="009E15C8"/>
    <w:rsid w:val="009E5620"/>
    <w:rsid w:val="009F0B23"/>
    <w:rsid w:val="009F36A3"/>
    <w:rsid w:val="009F71D1"/>
    <w:rsid w:val="00A00697"/>
    <w:rsid w:val="00A00A3F"/>
    <w:rsid w:val="00A01489"/>
    <w:rsid w:val="00A053B0"/>
    <w:rsid w:val="00A14A4D"/>
    <w:rsid w:val="00A20DE2"/>
    <w:rsid w:val="00A23763"/>
    <w:rsid w:val="00A27E4A"/>
    <w:rsid w:val="00A3026E"/>
    <w:rsid w:val="00A338F1"/>
    <w:rsid w:val="00A3529B"/>
    <w:rsid w:val="00A35BE0"/>
    <w:rsid w:val="00A4129A"/>
    <w:rsid w:val="00A508DF"/>
    <w:rsid w:val="00A51DCC"/>
    <w:rsid w:val="00A52B68"/>
    <w:rsid w:val="00A54EBE"/>
    <w:rsid w:val="00A6129C"/>
    <w:rsid w:val="00A6507F"/>
    <w:rsid w:val="00A66EBD"/>
    <w:rsid w:val="00A70DD4"/>
    <w:rsid w:val="00A70DE6"/>
    <w:rsid w:val="00A72F22"/>
    <w:rsid w:val="00A7360F"/>
    <w:rsid w:val="00A748A6"/>
    <w:rsid w:val="00A769F4"/>
    <w:rsid w:val="00A776B4"/>
    <w:rsid w:val="00A80D02"/>
    <w:rsid w:val="00A81C59"/>
    <w:rsid w:val="00A83C2D"/>
    <w:rsid w:val="00A86546"/>
    <w:rsid w:val="00A877CE"/>
    <w:rsid w:val="00A94361"/>
    <w:rsid w:val="00A979DD"/>
    <w:rsid w:val="00AA293C"/>
    <w:rsid w:val="00AB01AB"/>
    <w:rsid w:val="00AB10D2"/>
    <w:rsid w:val="00AB19E3"/>
    <w:rsid w:val="00AB4689"/>
    <w:rsid w:val="00AB6EC7"/>
    <w:rsid w:val="00AB7BF6"/>
    <w:rsid w:val="00AC1563"/>
    <w:rsid w:val="00AC3244"/>
    <w:rsid w:val="00AC38EE"/>
    <w:rsid w:val="00AC3BEE"/>
    <w:rsid w:val="00AC3D15"/>
    <w:rsid w:val="00AC56C3"/>
    <w:rsid w:val="00AD0033"/>
    <w:rsid w:val="00AD0670"/>
    <w:rsid w:val="00AD087C"/>
    <w:rsid w:val="00AE02E1"/>
    <w:rsid w:val="00AE03EE"/>
    <w:rsid w:val="00AF5118"/>
    <w:rsid w:val="00AF6850"/>
    <w:rsid w:val="00B048EE"/>
    <w:rsid w:val="00B213A0"/>
    <w:rsid w:val="00B238A5"/>
    <w:rsid w:val="00B25FAF"/>
    <w:rsid w:val="00B30179"/>
    <w:rsid w:val="00B33901"/>
    <w:rsid w:val="00B341FF"/>
    <w:rsid w:val="00B371CD"/>
    <w:rsid w:val="00B421C1"/>
    <w:rsid w:val="00B43821"/>
    <w:rsid w:val="00B47053"/>
    <w:rsid w:val="00B50BFB"/>
    <w:rsid w:val="00B50D1A"/>
    <w:rsid w:val="00B53C21"/>
    <w:rsid w:val="00B55C71"/>
    <w:rsid w:val="00B56E37"/>
    <w:rsid w:val="00B56E4A"/>
    <w:rsid w:val="00B56E9C"/>
    <w:rsid w:val="00B64B1F"/>
    <w:rsid w:val="00B6553F"/>
    <w:rsid w:val="00B73F39"/>
    <w:rsid w:val="00B74954"/>
    <w:rsid w:val="00B77D05"/>
    <w:rsid w:val="00B81206"/>
    <w:rsid w:val="00B8192C"/>
    <w:rsid w:val="00B81E12"/>
    <w:rsid w:val="00B8584A"/>
    <w:rsid w:val="00B87D9A"/>
    <w:rsid w:val="00B924F0"/>
    <w:rsid w:val="00BA0141"/>
    <w:rsid w:val="00BA12BA"/>
    <w:rsid w:val="00BA22E5"/>
    <w:rsid w:val="00BA2B79"/>
    <w:rsid w:val="00BA523F"/>
    <w:rsid w:val="00BA5FB8"/>
    <w:rsid w:val="00BA73AB"/>
    <w:rsid w:val="00BA770E"/>
    <w:rsid w:val="00BB214B"/>
    <w:rsid w:val="00BB290D"/>
    <w:rsid w:val="00BB598C"/>
    <w:rsid w:val="00BB646D"/>
    <w:rsid w:val="00BC14F0"/>
    <w:rsid w:val="00BC3FA0"/>
    <w:rsid w:val="00BC5A9D"/>
    <w:rsid w:val="00BC6ABF"/>
    <w:rsid w:val="00BC74E9"/>
    <w:rsid w:val="00BC7E50"/>
    <w:rsid w:val="00BD0112"/>
    <w:rsid w:val="00BD1ED3"/>
    <w:rsid w:val="00BD577B"/>
    <w:rsid w:val="00BD6484"/>
    <w:rsid w:val="00BD6F32"/>
    <w:rsid w:val="00BE1BD5"/>
    <w:rsid w:val="00BE54D3"/>
    <w:rsid w:val="00BE584F"/>
    <w:rsid w:val="00BF071E"/>
    <w:rsid w:val="00BF5951"/>
    <w:rsid w:val="00BF68A8"/>
    <w:rsid w:val="00C0035E"/>
    <w:rsid w:val="00C04469"/>
    <w:rsid w:val="00C046F1"/>
    <w:rsid w:val="00C06463"/>
    <w:rsid w:val="00C0710B"/>
    <w:rsid w:val="00C074E5"/>
    <w:rsid w:val="00C11A03"/>
    <w:rsid w:val="00C15D44"/>
    <w:rsid w:val="00C2082C"/>
    <w:rsid w:val="00C22C0C"/>
    <w:rsid w:val="00C24EC4"/>
    <w:rsid w:val="00C24F50"/>
    <w:rsid w:val="00C26FD8"/>
    <w:rsid w:val="00C27BD6"/>
    <w:rsid w:val="00C27E9E"/>
    <w:rsid w:val="00C30E2E"/>
    <w:rsid w:val="00C31258"/>
    <w:rsid w:val="00C4058A"/>
    <w:rsid w:val="00C425BC"/>
    <w:rsid w:val="00C4527F"/>
    <w:rsid w:val="00C463DD"/>
    <w:rsid w:val="00C4724C"/>
    <w:rsid w:val="00C51808"/>
    <w:rsid w:val="00C522C3"/>
    <w:rsid w:val="00C57E75"/>
    <w:rsid w:val="00C629A0"/>
    <w:rsid w:val="00C64574"/>
    <w:rsid w:val="00C64629"/>
    <w:rsid w:val="00C65898"/>
    <w:rsid w:val="00C6695D"/>
    <w:rsid w:val="00C67A88"/>
    <w:rsid w:val="00C67DB7"/>
    <w:rsid w:val="00C67F0F"/>
    <w:rsid w:val="00C7153B"/>
    <w:rsid w:val="00C73591"/>
    <w:rsid w:val="00C74128"/>
    <w:rsid w:val="00C745C3"/>
    <w:rsid w:val="00C752BA"/>
    <w:rsid w:val="00C7656E"/>
    <w:rsid w:val="00C81F83"/>
    <w:rsid w:val="00C843AA"/>
    <w:rsid w:val="00C844EE"/>
    <w:rsid w:val="00C85255"/>
    <w:rsid w:val="00C85C77"/>
    <w:rsid w:val="00C86E02"/>
    <w:rsid w:val="00C91017"/>
    <w:rsid w:val="00C953EC"/>
    <w:rsid w:val="00C96DF2"/>
    <w:rsid w:val="00C9755B"/>
    <w:rsid w:val="00CA6DDD"/>
    <w:rsid w:val="00CB3E03"/>
    <w:rsid w:val="00CC138B"/>
    <w:rsid w:val="00CD4AA6"/>
    <w:rsid w:val="00CE4A8F"/>
    <w:rsid w:val="00CE5946"/>
    <w:rsid w:val="00CE7719"/>
    <w:rsid w:val="00CE7816"/>
    <w:rsid w:val="00CF1FA5"/>
    <w:rsid w:val="00CF263E"/>
    <w:rsid w:val="00CF2B7C"/>
    <w:rsid w:val="00CF7C95"/>
    <w:rsid w:val="00D0541A"/>
    <w:rsid w:val="00D05E5E"/>
    <w:rsid w:val="00D12117"/>
    <w:rsid w:val="00D153A7"/>
    <w:rsid w:val="00D2031B"/>
    <w:rsid w:val="00D248B6"/>
    <w:rsid w:val="00D25FB2"/>
    <w:rsid w:val="00D25FE2"/>
    <w:rsid w:val="00D26E07"/>
    <w:rsid w:val="00D27713"/>
    <w:rsid w:val="00D32431"/>
    <w:rsid w:val="00D32DF8"/>
    <w:rsid w:val="00D342A8"/>
    <w:rsid w:val="00D43252"/>
    <w:rsid w:val="00D46A88"/>
    <w:rsid w:val="00D46D61"/>
    <w:rsid w:val="00D47EEA"/>
    <w:rsid w:val="00D51801"/>
    <w:rsid w:val="00D53E7A"/>
    <w:rsid w:val="00D54E2A"/>
    <w:rsid w:val="00D57885"/>
    <w:rsid w:val="00D5792F"/>
    <w:rsid w:val="00D60A2A"/>
    <w:rsid w:val="00D66211"/>
    <w:rsid w:val="00D70083"/>
    <w:rsid w:val="00D75C92"/>
    <w:rsid w:val="00D773DF"/>
    <w:rsid w:val="00D84D4D"/>
    <w:rsid w:val="00D92E08"/>
    <w:rsid w:val="00D94543"/>
    <w:rsid w:val="00D95303"/>
    <w:rsid w:val="00D978C6"/>
    <w:rsid w:val="00DA2C03"/>
    <w:rsid w:val="00DA3C1C"/>
    <w:rsid w:val="00DA3C80"/>
    <w:rsid w:val="00DA6998"/>
    <w:rsid w:val="00DB0466"/>
    <w:rsid w:val="00DB1B2B"/>
    <w:rsid w:val="00DB259A"/>
    <w:rsid w:val="00DB3822"/>
    <w:rsid w:val="00DC022E"/>
    <w:rsid w:val="00DC3A93"/>
    <w:rsid w:val="00DC6D39"/>
    <w:rsid w:val="00DD13A2"/>
    <w:rsid w:val="00DD19F5"/>
    <w:rsid w:val="00DD455F"/>
    <w:rsid w:val="00DD640F"/>
    <w:rsid w:val="00DE5FF7"/>
    <w:rsid w:val="00DF418A"/>
    <w:rsid w:val="00DF49B0"/>
    <w:rsid w:val="00E00FC9"/>
    <w:rsid w:val="00E03443"/>
    <w:rsid w:val="00E0440A"/>
    <w:rsid w:val="00E046DF"/>
    <w:rsid w:val="00E04BE9"/>
    <w:rsid w:val="00E1085B"/>
    <w:rsid w:val="00E109DD"/>
    <w:rsid w:val="00E2018A"/>
    <w:rsid w:val="00E201F4"/>
    <w:rsid w:val="00E2176E"/>
    <w:rsid w:val="00E22B0C"/>
    <w:rsid w:val="00E27346"/>
    <w:rsid w:val="00E320F1"/>
    <w:rsid w:val="00E325A3"/>
    <w:rsid w:val="00E34CD5"/>
    <w:rsid w:val="00E36EB6"/>
    <w:rsid w:val="00E40A45"/>
    <w:rsid w:val="00E42E80"/>
    <w:rsid w:val="00E449E9"/>
    <w:rsid w:val="00E466D9"/>
    <w:rsid w:val="00E502E6"/>
    <w:rsid w:val="00E5085F"/>
    <w:rsid w:val="00E525B6"/>
    <w:rsid w:val="00E55173"/>
    <w:rsid w:val="00E560CA"/>
    <w:rsid w:val="00E62CEA"/>
    <w:rsid w:val="00E655A5"/>
    <w:rsid w:val="00E71BC8"/>
    <w:rsid w:val="00E71F79"/>
    <w:rsid w:val="00E7260F"/>
    <w:rsid w:val="00E73F5D"/>
    <w:rsid w:val="00E767AC"/>
    <w:rsid w:val="00E77E4E"/>
    <w:rsid w:val="00E83966"/>
    <w:rsid w:val="00E87504"/>
    <w:rsid w:val="00E9441D"/>
    <w:rsid w:val="00E96630"/>
    <w:rsid w:val="00E977BC"/>
    <w:rsid w:val="00EA04C1"/>
    <w:rsid w:val="00EA0FCE"/>
    <w:rsid w:val="00EA1A20"/>
    <w:rsid w:val="00EA2A77"/>
    <w:rsid w:val="00EA3786"/>
    <w:rsid w:val="00EA424E"/>
    <w:rsid w:val="00EA4B54"/>
    <w:rsid w:val="00EB3E7C"/>
    <w:rsid w:val="00EB44C5"/>
    <w:rsid w:val="00EC12CB"/>
    <w:rsid w:val="00EC5F72"/>
    <w:rsid w:val="00ED09AC"/>
    <w:rsid w:val="00ED46C6"/>
    <w:rsid w:val="00ED5F6E"/>
    <w:rsid w:val="00ED72B5"/>
    <w:rsid w:val="00ED754F"/>
    <w:rsid w:val="00ED7A2A"/>
    <w:rsid w:val="00EE0B1C"/>
    <w:rsid w:val="00EE3082"/>
    <w:rsid w:val="00EE40EF"/>
    <w:rsid w:val="00EE5FCD"/>
    <w:rsid w:val="00EF088A"/>
    <w:rsid w:val="00EF1D7F"/>
    <w:rsid w:val="00EF54BA"/>
    <w:rsid w:val="00F02C84"/>
    <w:rsid w:val="00F11455"/>
    <w:rsid w:val="00F11A60"/>
    <w:rsid w:val="00F1224B"/>
    <w:rsid w:val="00F15DC0"/>
    <w:rsid w:val="00F20293"/>
    <w:rsid w:val="00F211B8"/>
    <w:rsid w:val="00F222A3"/>
    <w:rsid w:val="00F23709"/>
    <w:rsid w:val="00F2770E"/>
    <w:rsid w:val="00F31E5F"/>
    <w:rsid w:val="00F41CA4"/>
    <w:rsid w:val="00F435BD"/>
    <w:rsid w:val="00F452EF"/>
    <w:rsid w:val="00F45825"/>
    <w:rsid w:val="00F469F3"/>
    <w:rsid w:val="00F51A5B"/>
    <w:rsid w:val="00F5203B"/>
    <w:rsid w:val="00F54668"/>
    <w:rsid w:val="00F55ADC"/>
    <w:rsid w:val="00F57182"/>
    <w:rsid w:val="00F6100A"/>
    <w:rsid w:val="00F6777F"/>
    <w:rsid w:val="00F724BB"/>
    <w:rsid w:val="00F7336D"/>
    <w:rsid w:val="00F744C7"/>
    <w:rsid w:val="00F77774"/>
    <w:rsid w:val="00F80A68"/>
    <w:rsid w:val="00F81727"/>
    <w:rsid w:val="00F836E5"/>
    <w:rsid w:val="00F86A82"/>
    <w:rsid w:val="00F93781"/>
    <w:rsid w:val="00F942A8"/>
    <w:rsid w:val="00F947D6"/>
    <w:rsid w:val="00F9569F"/>
    <w:rsid w:val="00F96D3C"/>
    <w:rsid w:val="00FA1827"/>
    <w:rsid w:val="00FA3475"/>
    <w:rsid w:val="00FA455A"/>
    <w:rsid w:val="00FB0E26"/>
    <w:rsid w:val="00FB1056"/>
    <w:rsid w:val="00FB4C45"/>
    <w:rsid w:val="00FB4FEB"/>
    <w:rsid w:val="00FB613B"/>
    <w:rsid w:val="00FB664B"/>
    <w:rsid w:val="00FB67BC"/>
    <w:rsid w:val="00FC3ADB"/>
    <w:rsid w:val="00FC3AEF"/>
    <w:rsid w:val="00FC598C"/>
    <w:rsid w:val="00FC67B0"/>
    <w:rsid w:val="00FC68B7"/>
    <w:rsid w:val="00FC71C6"/>
    <w:rsid w:val="00FD14FA"/>
    <w:rsid w:val="00FD3F98"/>
    <w:rsid w:val="00FD4DDB"/>
    <w:rsid w:val="00FE106A"/>
    <w:rsid w:val="00FE12A8"/>
    <w:rsid w:val="00FE2CBC"/>
    <w:rsid w:val="00FE7450"/>
    <w:rsid w:val="00FE7F85"/>
    <w:rsid w:val="00FF145D"/>
    <w:rsid w:val="00FF5955"/>
    <w:rsid w:val="00FF6053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1460-001A-4B75-8E85-7F7E1933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</Template>
  <TotalTime>6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Romain HUBERT</dc:creator>
  <cp:lastModifiedBy>Hubert Romain</cp:lastModifiedBy>
  <cp:revision>4</cp:revision>
  <cp:lastPrinted>2016-07-25T14:27:00Z</cp:lastPrinted>
  <dcterms:created xsi:type="dcterms:W3CDTF">2016-10-17T12:32:00Z</dcterms:created>
  <dcterms:modified xsi:type="dcterms:W3CDTF">2016-10-17T12:37:00Z</dcterms:modified>
</cp:coreProperties>
</file>