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431786">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E10910" w:rsidRDefault="00E10910" w:rsidP="00E10910">
            <w:pPr>
              <w:jc w:val="right"/>
            </w:pPr>
            <w:r w:rsidRPr="00E10910">
              <w:rPr>
                <w:sz w:val="40"/>
              </w:rPr>
              <w:t>ECE</w:t>
            </w:r>
            <w:r>
              <w:t>/TRANS/WP.29/GRSG/2016/16</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31786" w:rsidP="00892A2F">
            <w:pPr>
              <w:spacing w:before="240"/>
            </w:pPr>
            <w:r>
              <w:t>Distr. générale</w:t>
            </w:r>
          </w:p>
          <w:p w:rsidR="00431786" w:rsidRDefault="008D3308" w:rsidP="00431786">
            <w:pPr>
              <w:spacing w:line="240" w:lineRule="exact"/>
            </w:pPr>
            <w:r>
              <w:t>22</w:t>
            </w:r>
            <w:r w:rsidR="00431786">
              <w:t xml:space="preserve"> </w:t>
            </w:r>
            <w:r w:rsidR="00B15453">
              <w:t>juillet</w:t>
            </w:r>
            <w:r w:rsidR="00431786">
              <w:t xml:space="preserve"> 2016</w:t>
            </w:r>
          </w:p>
          <w:p w:rsidR="00B15453" w:rsidRDefault="00B15453" w:rsidP="00431786">
            <w:pPr>
              <w:spacing w:line="240" w:lineRule="exact"/>
            </w:pPr>
          </w:p>
          <w:p w:rsidR="00431786" w:rsidRPr="00DB58B5" w:rsidRDefault="00431786" w:rsidP="00B15453">
            <w:pPr>
              <w:spacing w:line="240" w:lineRule="exact"/>
            </w:pPr>
            <w:r>
              <w:t xml:space="preserve">Original : </w:t>
            </w:r>
            <w:r w:rsidR="00B15453">
              <w:t>français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ED3D7F" w:rsidRPr="00EB54D1" w:rsidRDefault="006509BF" w:rsidP="00431786">
      <w:pPr>
        <w:spacing w:before="120"/>
        <w:rPr>
          <w:b/>
          <w:sz w:val="24"/>
          <w:szCs w:val="24"/>
        </w:rPr>
      </w:pPr>
      <w:r w:rsidRPr="00EB54D1">
        <w:rPr>
          <w:b/>
          <w:sz w:val="24"/>
          <w:szCs w:val="24"/>
        </w:rPr>
        <w:t>Forum mondial de l’harmonisation</w:t>
      </w:r>
      <w:r w:rsidR="00EB54D1">
        <w:rPr>
          <w:b/>
          <w:sz w:val="24"/>
          <w:szCs w:val="24"/>
        </w:rPr>
        <w:t xml:space="preserve"> </w:t>
      </w:r>
      <w:r w:rsidRPr="00EB54D1">
        <w:rPr>
          <w:b/>
          <w:sz w:val="24"/>
          <w:szCs w:val="24"/>
        </w:rPr>
        <w:br/>
        <w:t>des Règlements concernant les véhicules</w:t>
      </w:r>
    </w:p>
    <w:p w:rsidR="00ED3D7F" w:rsidRPr="00431786" w:rsidRDefault="006509BF" w:rsidP="00431786">
      <w:pPr>
        <w:spacing w:before="120"/>
        <w:rPr>
          <w:b/>
        </w:rPr>
      </w:pPr>
      <w:r w:rsidRPr="00431786">
        <w:rPr>
          <w:b/>
        </w:rPr>
        <w:t>Groupe de travail des dispositions générales de sécurité</w:t>
      </w:r>
    </w:p>
    <w:p w:rsidR="00ED3D7F" w:rsidRPr="00431786" w:rsidRDefault="006509BF" w:rsidP="00431786">
      <w:pPr>
        <w:spacing w:before="120"/>
        <w:rPr>
          <w:b/>
        </w:rPr>
      </w:pPr>
      <w:r w:rsidRPr="00431786">
        <w:rPr>
          <w:b/>
        </w:rPr>
        <w:t>11</w:t>
      </w:r>
      <w:r w:rsidR="00B15453">
        <w:rPr>
          <w:b/>
        </w:rPr>
        <w:t>1</w:t>
      </w:r>
      <w:r w:rsidRPr="00431786">
        <w:rPr>
          <w:b/>
          <w:vertAlign w:val="superscript"/>
        </w:rPr>
        <w:t>e</w:t>
      </w:r>
      <w:r w:rsidRPr="00431786">
        <w:rPr>
          <w:b/>
        </w:rPr>
        <w:t xml:space="preserve"> session</w:t>
      </w:r>
    </w:p>
    <w:p w:rsidR="00ED3D7F" w:rsidRPr="00431786" w:rsidRDefault="006509BF" w:rsidP="00431786">
      <w:r w:rsidRPr="00431786">
        <w:t xml:space="preserve">Genève, </w:t>
      </w:r>
      <w:r w:rsidR="008D3308">
        <w:t>11</w:t>
      </w:r>
      <w:r w:rsidR="008D3308" w:rsidRPr="00C64574">
        <w:t>–</w:t>
      </w:r>
      <w:r w:rsidR="008D3308">
        <w:t xml:space="preserve">14 </w:t>
      </w:r>
      <w:r w:rsidR="00B15453">
        <w:t>octobre</w:t>
      </w:r>
      <w:r w:rsidRPr="00431786">
        <w:t xml:space="preserve"> 2016</w:t>
      </w:r>
    </w:p>
    <w:p w:rsidR="00ED3D7F" w:rsidRPr="00431786" w:rsidRDefault="00B15453" w:rsidP="00431786">
      <w:r>
        <w:t>Point 9</w:t>
      </w:r>
      <w:r w:rsidR="006509BF" w:rsidRPr="00431786">
        <w:t xml:space="preserve"> de l’ordre du jour provisoire</w:t>
      </w:r>
    </w:p>
    <w:p w:rsidR="00ED3D7F" w:rsidRPr="00431786" w:rsidRDefault="006509BF" w:rsidP="00431786">
      <w:pPr>
        <w:rPr>
          <w:b/>
        </w:rPr>
      </w:pPr>
      <w:r w:rsidRPr="00431786">
        <w:rPr>
          <w:b/>
        </w:rPr>
        <w:t xml:space="preserve">Règlement </w:t>
      </w:r>
      <w:r w:rsidR="00431786" w:rsidRPr="00431786">
        <w:rPr>
          <w:b/>
        </w:rPr>
        <w:t>n</w:t>
      </w:r>
      <w:r w:rsidR="00431786" w:rsidRPr="00431786">
        <w:rPr>
          <w:b/>
          <w:vertAlign w:val="superscript"/>
        </w:rPr>
        <w:t>o</w:t>
      </w:r>
      <w:r w:rsidR="00431786">
        <w:rPr>
          <w:b/>
        </w:rPr>
        <w:t> </w:t>
      </w:r>
      <w:r w:rsidRPr="00431786">
        <w:rPr>
          <w:b/>
        </w:rPr>
        <w:t>11</w:t>
      </w:r>
      <w:r w:rsidR="00B15453">
        <w:rPr>
          <w:b/>
        </w:rPr>
        <w:t>0</w:t>
      </w:r>
      <w:r w:rsidRPr="00431786">
        <w:rPr>
          <w:b/>
        </w:rPr>
        <w:t xml:space="preserve"> (Véhicules alimentés au GNC/GNL)</w:t>
      </w:r>
    </w:p>
    <w:p w:rsidR="00ED3D7F" w:rsidRPr="00431786" w:rsidRDefault="006509BF" w:rsidP="00431786">
      <w:pPr>
        <w:pStyle w:val="HChG"/>
      </w:pPr>
      <w:r w:rsidRPr="00431786">
        <w:tab/>
      </w:r>
      <w:r w:rsidRPr="00431786">
        <w:tab/>
        <w:t xml:space="preserve">Proposition d’amendements au Règlement </w:t>
      </w:r>
      <w:r w:rsidR="00431786">
        <w:t>n</w:t>
      </w:r>
      <w:r w:rsidR="00431786" w:rsidRPr="00431786">
        <w:rPr>
          <w:vertAlign w:val="superscript"/>
        </w:rPr>
        <w:t>o</w:t>
      </w:r>
      <w:r w:rsidR="00431786">
        <w:t> </w:t>
      </w:r>
      <w:r w:rsidRPr="00431786">
        <w:t xml:space="preserve">110 </w:t>
      </w:r>
      <w:r w:rsidR="00431786">
        <w:br/>
      </w:r>
      <w:r w:rsidRPr="00431786">
        <w:t>(Véhicules alimentés au GNC/GNL)</w:t>
      </w:r>
    </w:p>
    <w:p w:rsidR="00ED3D7F" w:rsidRPr="00C54B5E" w:rsidRDefault="00431786" w:rsidP="00431786">
      <w:pPr>
        <w:pStyle w:val="H1G"/>
      </w:pPr>
      <w:r>
        <w:tab/>
      </w:r>
      <w:r>
        <w:tab/>
      </w:r>
      <w:r w:rsidR="006509BF" w:rsidRPr="00431786">
        <w:t>Communication de</w:t>
      </w:r>
      <w:r w:rsidR="00B15453">
        <w:t xml:space="preserve"> l'</w:t>
      </w:r>
      <w:r w:rsidR="006509BF" w:rsidRPr="00431786">
        <w:t>expert de</w:t>
      </w:r>
      <w:r w:rsidR="00B15453">
        <w:t xml:space="preserve"> </w:t>
      </w:r>
      <w:r w:rsidR="006509BF" w:rsidRPr="00431786">
        <w:t>l</w:t>
      </w:r>
      <w:r w:rsidR="00B15453">
        <w:t>a France</w:t>
      </w:r>
      <w:r w:rsidRPr="00C54B5E">
        <w:rPr>
          <w:rStyle w:val="FootnoteReference"/>
          <w:b w:val="0"/>
          <w:sz w:val="20"/>
          <w:vertAlign w:val="baseline"/>
        </w:rPr>
        <w:footnoteReference w:customMarkFollows="1" w:id="2"/>
        <w:t>*</w:t>
      </w:r>
    </w:p>
    <w:p w:rsidR="00F9573C" w:rsidRDefault="006509BF" w:rsidP="00C54B5E">
      <w:pPr>
        <w:pStyle w:val="SingleTxtG"/>
        <w:ind w:firstLine="567"/>
      </w:pPr>
      <w:r w:rsidRPr="00431786">
        <w:t>Le texte reproduit ci-</w:t>
      </w:r>
      <w:r w:rsidR="00B15453">
        <w:t xml:space="preserve">après </w:t>
      </w:r>
      <w:r w:rsidRPr="00431786">
        <w:t xml:space="preserve">a été établi par </w:t>
      </w:r>
      <w:r w:rsidR="00B15453">
        <w:t xml:space="preserve">l’expert de la France. Il est proposé de modifier le Règlement ONU </w:t>
      </w:r>
      <w:r w:rsidR="00EE6631">
        <w:rPr>
          <w:lang w:val="fr-FR"/>
        </w:rPr>
        <w:t>n</w:t>
      </w:r>
      <w:r w:rsidR="00EE6631" w:rsidRPr="00077AC9">
        <w:rPr>
          <w:vertAlign w:val="superscript"/>
          <w:lang w:val="fr-FR"/>
        </w:rPr>
        <w:t>o</w:t>
      </w:r>
      <w:r w:rsidR="00B15453">
        <w:t xml:space="preserve"> 110 en y incorporant les dispositions relatives aux systèmes de réfrigération, raccordé au système de gaz naturel comprimé (GNC) et/ou gaz naturel </w:t>
      </w:r>
      <w:r w:rsidR="00B15453" w:rsidRPr="00B15453">
        <w:t xml:space="preserve">liquéfié </w:t>
      </w:r>
      <w:r w:rsidR="00B15453">
        <w:t xml:space="preserve">(GNL), du compartiment des marchandises. Les modifications qu’il est proposé d’apporter au texte actuel du Règlement sont signalées en caractères gras pour les ajouts ou biffés pour les suppressions. Ce document est basé sur </w:t>
      </w:r>
      <w:r w:rsidR="00740B21">
        <w:t xml:space="preserve">ECE/TRANS/WP.29/GRSG/2015/36 ainsi que </w:t>
      </w:r>
      <w:r w:rsidR="00B15453">
        <w:t>le document informel GRSG-110-23, présenté à la 110</w:t>
      </w:r>
      <w:r w:rsidR="00B15453">
        <w:rPr>
          <w:vertAlign w:val="superscript"/>
        </w:rPr>
        <w:t>éme</w:t>
      </w:r>
      <w:r w:rsidR="00B15453">
        <w:t xml:space="preserve"> session du g</w:t>
      </w:r>
      <w:r w:rsidR="00B15453" w:rsidRPr="001D0929">
        <w:t>roupe de travail des dispositions générales de sécurité</w:t>
      </w:r>
      <w:r w:rsidR="00B15453">
        <w:t xml:space="preserve"> (GRSG) (voir le rapport ECE/TRANS/WP.29/GRSG/89, par. 3</w:t>
      </w:r>
      <w:r w:rsidR="00193F11">
        <w:t>1, 32 et 3</w:t>
      </w:r>
      <w:r w:rsidR="00B15453">
        <w:t>9).</w:t>
      </w:r>
    </w:p>
    <w:p w:rsidR="00ED3D7F" w:rsidRPr="00C54B5E" w:rsidRDefault="00C54B5E" w:rsidP="00C54B5E">
      <w:pPr>
        <w:pStyle w:val="HChG"/>
      </w:pPr>
      <w:r>
        <w:br w:type="page"/>
      </w:r>
      <w:r>
        <w:lastRenderedPageBreak/>
        <w:tab/>
      </w:r>
      <w:r w:rsidR="006509BF" w:rsidRPr="00C54B5E">
        <w:t>I.</w:t>
      </w:r>
      <w:r w:rsidR="006509BF" w:rsidRPr="00C54B5E">
        <w:tab/>
        <w:t>Proposition</w:t>
      </w:r>
    </w:p>
    <w:p w:rsidR="00121580" w:rsidRPr="00121580" w:rsidRDefault="00121580" w:rsidP="00121580">
      <w:pPr>
        <w:pStyle w:val="SingleTxtG"/>
      </w:pPr>
      <w:r w:rsidRPr="00121580">
        <w:t>Deuxième partie</w:t>
      </w:r>
    </w:p>
    <w:p w:rsidR="00121580" w:rsidRPr="00121580" w:rsidRDefault="00121580" w:rsidP="00121580">
      <w:pPr>
        <w:pStyle w:val="SingleTxtG"/>
      </w:pPr>
      <w:r w:rsidRPr="00121580">
        <w:t>Homologation des véhicules munis d'organes spéciaux d'un type homologué pour l'alimentation du moteur au gaz naturel comprimé (GNC) et/ou au gaz naturel liquéfié (GNL) en ce qui concerne l'installation de ces organes</w:t>
      </w:r>
    </w:p>
    <w:p w:rsidR="00121580" w:rsidRPr="00121580" w:rsidRDefault="00121580" w:rsidP="00121580">
      <w:pPr>
        <w:pStyle w:val="SingleTxtG"/>
      </w:pPr>
      <w:r w:rsidRPr="00121580">
        <w:rPr>
          <w:i/>
        </w:rPr>
        <w:t>Paragraphes 18.1.7.1</w:t>
      </w:r>
      <w:r w:rsidR="0039739D">
        <w:rPr>
          <w:i/>
        </w:rPr>
        <w:t xml:space="preserve"> et</w:t>
      </w:r>
      <w:r w:rsidRPr="00121580">
        <w:rPr>
          <w:i/>
        </w:rPr>
        <w:t xml:space="preserve"> 18.1.7.2</w:t>
      </w:r>
      <w:r w:rsidRPr="00121580">
        <w:t>, modifier comme suit :</w:t>
      </w:r>
    </w:p>
    <w:p w:rsidR="00121580" w:rsidRPr="00121580" w:rsidRDefault="00121580" w:rsidP="00121580">
      <w:pPr>
        <w:pStyle w:val="SingleTxtG"/>
        <w:tabs>
          <w:tab w:val="left" w:pos="2268"/>
        </w:tabs>
        <w:ind w:left="2268" w:hanging="1134"/>
      </w:pPr>
      <w:r w:rsidRPr="00121580">
        <w:t>«</w:t>
      </w:r>
      <w:r>
        <w:t>18.1.7.1</w:t>
      </w:r>
      <w:r>
        <w:tab/>
      </w:r>
      <w:r w:rsidRPr="00121580">
        <w:t xml:space="preserve">Nonobstant les dispositions du paragraphe 18.1.7, le véhicule peut être muni d'un système de chauffage du compartiment des passagers et/ou du compartiment de chargement </w:t>
      </w:r>
      <w:r w:rsidRPr="00121580">
        <w:rPr>
          <w:b/>
        </w:rPr>
        <w:t>ou d’un système de réfrigération du compartiment des marchandises</w:t>
      </w:r>
      <w:r w:rsidRPr="00121580">
        <w:t xml:space="preserve"> rac</w:t>
      </w:r>
      <w:r>
        <w:t>cordé au système GNC et/ou GNL.</w:t>
      </w:r>
    </w:p>
    <w:p w:rsidR="00121580" w:rsidRPr="00121580" w:rsidRDefault="00121580" w:rsidP="00121580">
      <w:pPr>
        <w:pStyle w:val="SingleTxtG"/>
        <w:tabs>
          <w:tab w:val="left" w:pos="2268"/>
        </w:tabs>
        <w:ind w:left="2268" w:hanging="1134"/>
      </w:pPr>
      <w:r>
        <w:t>18.1.7.2</w:t>
      </w:r>
      <w:r>
        <w:tab/>
      </w:r>
      <w:r w:rsidRPr="00121580">
        <w:t xml:space="preserve">Le système de chauffage </w:t>
      </w:r>
      <w:r w:rsidRPr="00121580">
        <w:rPr>
          <w:b/>
        </w:rPr>
        <w:t>ou le système de réfrigération</w:t>
      </w:r>
      <w:r w:rsidRPr="00121580">
        <w:t xml:space="preserve"> mentionné au paragraphe 18.1.7.1 </w:t>
      </w:r>
      <w:r w:rsidRPr="00121580">
        <w:rPr>
          <w:strike/>
        </w:rPr>
        <w:t>est</w:t>
      </w:r>
      <w:r w:rsidRPr="00121580">
        <w:t xml:space="preserve"> </w:t>
      </w:r>
      <w:r w:rsidRPr="00121580">
        <w:rPr>
          <w:b/>
        </w:rPr>
        <w:t>sont</w:t>
      </w:r>
      <w:r w:rsidRPr="00121580">
        <w:t xml:space="preserve"> autorisé</w:t>
      </w:r>
      <w:r w:rsidRPr="00121580">
        <w:rPr>
          <w:b/>
        </w:rPr>
        <w:t>s</w:t>
      </w:r>
      <w:r w:rsidRPr="00121580">
        <w:t xml:space="preserve"> si le service technique chargé des essais d'homologation juge qu'il</w:t>
      </w:r>
      <w:r w:rsidRPr="00121580">
        <w:rPr>
          <w:b/>
        </w:rPr>
        <w:t>s</w:t>
      </w:r>
      <w:r w:rsidRPr="00121580">
        <w:t xml:space="preserve"> </w:t>
      </w:r>
      <w:r w:rsidRPr="00121580">
        <w:rPr>
          <w:strike/>
        </w:rPr>
        <w:t>est</w:t>
      </w:r>
      <w:r w:rsidRPr="00121580">
        <w:t xml:space="preserve"> </w:t>
      </w:r>
      <w:r w:rsidRPr="00121580">
        <w:rPr>
          <w:b/>
        </w:rPr>
        <w:t>sont</w:t>
      </w:r>
      <w:r w:rsidRPr="00121580">
        <w:t xml:space="preserve"> suffisamment bien protégé</w:t>
      </w:r>
      <w:r w:rsidRPr="00121580">
        <w:rPr>
          <w:b/>
        </w:rPr>
        <w:t>s</w:t>
      </w:r>
      <w:r w:rsidRPr="00121580">
        <w:t xml:space="preserve"> et qu'il</w:t>
      </w:r>
      <w:r w:rsidRPr="00121580">
        <w:rPr>
          <w:b/>
        </w:rPr>
        <w:t>s</w:t>
      </w:r>
      <w:r w:rsidRPr="00121580">
        <w:t xml:space="preserve"> n'affecte</w:t>
      </w:r>
      <w:r w:rsidRPr="00121580">
        <w:rPr>
          <w:b/>
        </w:rPr>
        <w:t>nt</w:t>
      </w:r>
      <w:r w:rsidRPr="00121580">
        <w:t xml:space="preserve"> pas le fonctionnement correct du système GNC et/ou GNL normal</w:t>
      </w:r>
      <w:r w:rsidR="00723276" w:rsidRPr="00723276">
        <w:t>»</w:t>
      </w:r>
      <w:r w:rsidRPr="00121580">
        <w:t>.</w:t>
      </w:r>
    </w:p>
    <w:p w:rsidR="00723276" w:rsidRPr="00121580" w:rsidRDefault="00723276" w:rsidP="00723276">
      <w:pPr>
        <w:pStyle w:val="SingleTxtG"/>
      </w:pPr>
      <w:r w:rsidRPr="00121580">
        <w:rPr>
          <w:i/>
        </w:rPr>
        <w:t>Paragraphe 18.5.1.3</w:t>
      </w:r>
      <w:r w:rsidRPr="00121580">
        <w:t>, modifier comme suit :</w:t>
      </w:r>
    </w:p>
    <w:p w:rsidR="00121580" w:rsidRPr="00121580" w:rsidRDefault="00723276" w:rsidP="00121580">
      <w:pPr>
        <w:pStyle w:val="SingleTxtG"/>
        <w:tabs>
          <w:tab w:val="left" w:pos="2268"/>
        </w:tabs>
        <w:ind w:left="2268" w:hanging="1134"/>
      </w:pPr>
      <w:r w:rsidRPr="00723276">
        <w:t>«</w:t>
      </w:r>
      <w:r w:rsidR="00121580">
        <w:t>18.5.1.3</w:t>
      </w:r>
      <w:r w:rsidR="00121580">
        <w:tab/>
      </w:r>
      <w:r w:rsidR="00121580" w:rsidRPr="00121580">
        <w:t>Nonobstant les disp</w:t>
      </w:r>
      <w:r w:rsidR="00121580">
        <w:t>ositions du paragraphe 18.5.1.2,</w:t>
      </w:r>
    </w:p>
    <w:p w:rsidR="00121580" w:rsidRPr="00121580" w:rsidRDefault="00046BB5" w:rsidP="00046BB5">
      <w:pPr>
        <w:pStyle w:val="SingleTxtG"/>
        <w:tabs>
          <w:tab w:val="left" w:pos="2268"/>
          <w:tab w:val="left" w:pos="2694"/>
        </w:tabs>
        <w:ind w:left="2694" w:hanging="1560"/>
      </w:pPr>
      <w:r>
        <w:tab/>
        <w:t>(a)</w:t>
      </w:r>
      <w:r>
        <w:tab/>
      </w:r>
      <w:r w:rsidR="00121580" w:rsidRPr="00121580">
        <w:t>la vanne automatique de la bouteille peut rester en position ouverte pendant les phases d’arrêt commandées, et</w:t>
      </w:r>
    </w:p>
    <w:p w:rsidR="00121580" w:rsidRPr="00723276" w:rsidRDefault="00046BB5" w:rsidP="00046BB5">
      <w:pPr>
        <w:pStyle w:val="SingleTxtG"/>
        <w:tabs>
          <w:tab w:val="left" w:pos="2268"/>
          <w:tab w:val="left" w:pos="2694"/>
        </w:tabs>
        <w:ind w:left="2694" w:hanging="1560"/>
        <w:rPr>
          <w:b/>
        </w:rPr>
      </w:pPr>
      <w:r>
        <w:tab/>
        <w:t>(b)</w:t>
      </w:r>
      <w:r>
        <w:tab/>
      </w:r>
      <w:r w:rsidR="00121580" w:rsidRPr="00121580">
        <w:t xml:space="preserve">Lorsqu’un système d’alarme incendie est installé dans le compartiment du dispositif de chauffage autonome au GNC et/ou GNL la(les) valve(s) automatique(s) peut(peuvent) être maintenue(s) ouverte(s) par un dispositif de contrôle électronique afin de permettre le préchauffage du moteur. </w:t>
      </w:r>
      <w:r w:rsidR="00121580" w:rsidRPr="00723276">
        <w:rPr>
          <w:b/>
        </w:rPr>
        <w:t>Tout défaut ou défaillance de fonctionnement du système entraîne la fermeture de la vanne automatique de la bouteille qui alimente le dispositif de chauffage, et</w:t>
      </w:r>
    </w:p>
    <w:p w:rsidR="00121580" w:rsidRPr="00121580" w:rsidRDefault="00121580" w:rsidP="00046BB5">
      <w:pPr>
        <w:pStyle w:val="SingleTxtG"/>
        <w:tabs>
          <w:tab w:val="left" w:pos="2268"/>
          <w:tab w:val="left" w:pos="2694"/>
        </w:tabs>
        <w:ind w:left="2694" w:hanging="1560"/>
      </w:pPr>
      <w:r w:rsidRPr="00723276">
        <w:rPr>
          <w:b/>
        </w:rPr>
        <w:tab/>
      </w:r>
      <w:r w:rsidR="00046BB5">
        <w:rPr>
          <w:b/>
        </w:rPr>
        <w:t>(c)</w:t>
      </w:r>
      <w:r w:rsidR="00046BB5">
        <w:rPr>
          <w:b/>
        </w:rPr>
        <w:tab/>
      </w:r>
      <w:r w:rsidRPr="00723276">
        <w:rPr>
          <w:b/>
        </w:rPr>
        <w:t>Lorsqu’un système d’alarme incendie est installé dans le compartiment du dispositif de réfrigération du compartiment des marchandises la(les) valve(s) automatique(s) peut(peuvent) être maintenue(s) ouverte(s) par un dispositif de contrôle électronique afin de permettre le refroidissement du compartiment des marchandises. Tout défaut ou défaillance de fonctionnement du système entraîne la fermeture de la vanne automatique de la bouteille qui alimente le dispositif de réfrigération</w:t>
      </w:r>
      <w:r w:rsidRPr="00121580">
        <w:t>»</w:t>
      </w:r>
      <w:r w:rsidR="00723276">
        <w:t>.</w:t>
      </w:r>
    </w:p>
    <w:p w:rsidR="00121580" w:rsidRPr="00723276" w:rsidRDefault="00723276" w:rsidP="00121580">
      <w:pPr>
        <w:pStyle w:val="SingleTxtG"/>
        <w:rPr>
          <w:i/>
        </w:rPr>
      </w:pPr>
      <w:r w:rsidRPr="00723276">
        <w:rPr>
          <w:i/>
        </w:rPr>
        <w:t>A</w:t>
      </w:r>
      <w:r w:rsidR="00121580" w:rsidRPr="00723276">
        <w:rPr>
          <w:i/>
        </w:rPr>
        <w:t>nnexe 1A,</w:t>
      </w:r>
    </w:p>
    <w:p w:rsidR="00121580" w:rsidRPr="00121580" w:rsidRDefault="00723276" w:rsidP="00121580">
      <w:pPr>
        <w:pStyle w:val="SingleTxtG"/>
      </w:pPr>
      <w:r w:rsidRPr="00C54B5E">
        <w:rPr>
          <w:i/>
        </w:rPr>
        <w:t>P</w:t>
      </w:r>
      <w:r w:rsidR="0039739D">
        <w:rPr>
          <w:i/>
        </w:rPr>
        <w:t>oints</w:t>
      </w:r>
      <w:r w:rsidRPr="00C54B5E">
        <w:rPr>
          <w:i/>
        </w:rPr>
        <w:t xml:space="preserve"> </w:t>
      </w:r>
      <w:r w:rsidR="0039739D" w:rsidRPr="0039739D">
        <w:rPr>
          <w:i/>
        </w:rPr>
        <w:t>1.2.4.5.15</w:t>
      </w:r>
      <w:r w:rsidRPr="00C54B5E">
        <w:rPr>
          <w:i/>
        </w:rPr>
        <w:t xml:space="preserve"> à </w:t>
      </w:r>
      <w:r w:rsidR="0039739D" w:rsidRPr="0039739D">
        <w:rPr>
          <w:i/>
        </w:rPr>
        <w:t>1.2.4.5.15</w:t>
      </w:r>
      <w:r w:rsidR="0039739D">
        <w:rPr>
          <w:i/>
        </w:rPr>
        <w:t>.3</w:t>
      </w:r>
      <w:r w:rsidRPr="00C54B5E">
        <w:t xml:space="preserve">, </w:t>
      </w:r>
      <w:r>
        <w:t>m</w:t>
      </w:r>
      <w:r w:rsidR="00121580" w:rsidRPr="00121580">
        <w:t xml:space="preserve">odifier comme suit </w:t>
      </w:r>
      <w:r w:rsidR="00046BB5">
        <w:t xml:space="preserve">(la note </w:t>
      </w:r>
      <w:r w:rsidR="00046BB5" w:rsidRPr="00046BB5">
        <w:rPr>
          <w:vertAlign w:val="superscript"/>
        </w:rPr>
        <w:t>1</w:t>
      </w:r>
      <w:r w:rsidR="00046BB5">
        <w:t xml:space="preserve"> de bas de page inchangée) </w:t>
      </w:r>
      <w:r w:rsidR="00121580" w:rsidRPr="00121580">
        <w:t>:</w:t>
      </w:r>
    </w:p>
    <w:p w:rsidR="00121580" w:rsidRPr="00121580" w:rsidRDefault="00121580" w:rsidP="00136321">
      <w:pPr>
        <w:pStyle w:val="SingleTxtG"/>
        <w:tabs>
          <w:tab w:val="left" w:pos="2268"/>
        </w:tabs>
        <w:ind w:left="2268" w:hanging="1134"/>
        <w:jc w:val="left"/>
      </w:pPr>
      <w:r w:rsidRPr="00121580">
        <w:t>«1.2</w:t>
      </w:r>
      <w:r w:rsidR="0039739D">
        <w:t>.4.5.15</w:t>
      </w:r>
      <w:r w:rsidR="0039739D">
        <w:tab/>
      </w:r>
      <w:r w:rsidRPr="00121580">
        <w:t>Système de chauffage racco</w:t>
      </w:r>
      <w:r w:rsidR="00046BB5">
        <w:t>rdé au système GNC/GNL: oui/non</w:t>
      </w:r>
      <w:r w:rsidR="00046BB5" w:rsidRPr="00046BB5">
        <w:rPr>
          <w:vertAlign w:val="superscript"/>
        </w:rPr>
        <w:t>1</w:t>
      </w:r>
      <w:r w:rsidR="00046BB5">
        <w:br/>
      </w:r>
      <w:r w:rsidRPr="0039739D">
        <w:rPr>
          <w:b/>
        </w:rPr>
        <w:t>ou système de réfrigération raccordé au système GNC/GNL: oui/non</w:t>
      </w:r>
      <w:r w:rsidRPr="00046BB5">
        <w:rPr>
          <w:b/>
          <w:vertAlign w:val="superscript"/>
        </w:rPr>
        <w:t>1</w:t>
      </w:r>
    </w:p>
    <w:p w:rsidR="00121580" w:rsidRPr="00121580" w:rsidRDefault="0039739D" w:rsidP="0039739D">
      <w:pPr>
        <w:pStyle w:val="SingleTxtG"/>
        <w:tabs>
          <w:tab w:val="left" w:pos="2268"/>
        </w:tabs>
        <w:ind w:left="2268" w:hanging="1134"/>
      </w:pPr>
      <w:r>
        <w:t>1.2.4.5.15.1</w:t>
      </w:r>
      <w:r>
        <w:tab/>
      </w:r>
      <w:r w:rsidR="00121580" w:rsidRPr="00121580">
        <w:t xml:space="preserve">Marque(s) </w:t>
      </w:r>
      <w:r w:rsidR="00121580" w:rsidRPr="0039739D">
        <w:rPr>
          <w:b/>
        </w:rPr>
        <w:t>du système de chauffage</w:t>
      </w:r>
      <w:r>
        <w:rPr>
          <w:b/>
        </w:rPr>
        <w:t xml:space="preserve"> </w:t>
      </w:r>
      <w:r w:rsidR="00121580" w:rsidRPr="00121580">
        <w:t>:</w:t>
      </w:r>
    </w:p>
    <w:p w:rsidR="00121580" w:rsidRPr="00121580" w:rsidRDefault="0039739D" w:rsidP="0039739D">
      <w:pPr>
        <w:pStyle w:val="SingleTxtG"/>
        <w:tabs>
          <w:tab w:val="left" w:pos="2268"/>
        </w:tabs>
        <w:ind w:left="2268" w:hanging="1134"/>
      </w:pPr>
      <w:r>
        <w:t>1.2.4.5.15.2</w:t>
      </w:r>
      <w:r>
        <w:tab/>
      </w:r>
      <w:r w:rsidR="00121580" w:rsidRPr="00121580">
        <w:t xml:space="preserve">Type(s) </w:t>
      </w:r>
      <w:r w:rsidR="00121580" w:rsidRPr="0039739D">
        <w:rPr>
          <w:b/>
        </w:rPr>
        <w:t>du système de chauffage</w:t>
      </w:r>
      <w:r w:rsidR="00121580" w:rsidRPr="00121580">
        <w:t xml:space="preserve"> :</w:t>
      </w:r>
    </w:p>
    <w:p w:rsidR="00121580" w:rsidRPr="00121580" w:rsidRDefault="0039739D" w:rsidP="0039739D">
      <w:pPr>
        <w:pStyle w:val="SingleTxtG"/>
        <w:tabs>
          <w:tab w:val="left" w:pos="2268"/>
        </w:tabs>
        <w:ind w:left="2268" w:hanging="1134"/>
      </w:pPr>
      <w:r>
        <w:t>1.2.4.5.15.3</w:t>
      </w:r>
      <w:r>
        <w:tab/>
      </w:r>
      <w:r w:rsidR="00121580" w:rsidRPr="00121580">
        <w:t xml:space="preserve">Description et schémas de l'installation </w:t>
      </w:r>
      <w:r w:rsidR="00121580" w:rsidRPr="0039739D">
        <w:rPr>
          <w:b/>
        </w:rPr>
        <w:t>du système de chauffage</w:t>
      </w:r>
      <w:r w:rsidR="00121580" w:rsidRPr="00121580">
        <w:t>: »</w:t>
      </w:r>
    </w:p>
    <w:p w:rsidR="00121580" w:rsidRPr="00121580" w:rsidRDefault="00121580" w:rsidP="00AE54EE">
      <w:pPr>
        <w:pStyle w:val="SingleTxtG"/>
        <w:keepNext/>
        <w:keepLines/>
      </w:pPr>
      <w:r w:rsidRPr="00AE54EE">
        <w:rPr>
          <w:i/>
        </w:rPr>
        <w:lastRenderedPageBreak/>
        <w:t xml:space="preserve">Ajouter les </w:t>
      </w:r>
      <w:r w:rsidR="00AE54EE">
        <w:rPr>
          <w:i/>
        </w:rPr>
        <w:t xml:space="preserve">nouveaux </w:t>
      </w:r>
      <w:r w:rsidRPr="00AE54EE">
        <w:rPr>
          <w:i/>
        </w:rPr>
        <w:t xml:space="preserve">points </w:t>
      </w:r>
      <w:r w:rsidR="00AE54EE" w:rsidRPr="00AE54EE">
        <w:rPr>
          <w:i/>
        </w:rPr>
        <w:t>1.2.4.5.15</w:t>
      </w:r>
      <w:r w:rsidR="00AE54EE">
        <w:rPr>
          <w:i/>
        </w:rPr>
        <w:t>.4</w:t>
      </w:r>
      <w:r w:rsidR="00AE54EE" w:rsidRPr="00AE54EE">
        <w:rPr>
          <w:i/>
        </w:rPr>
        <w:t xml:space="preserve"> à 1.2.4.5.15.</w:t>
      </w:r>
      <w:r w:rsidR="00AE54EE">
        <w:rPr>
          <w:i/>
        </w:rPr>
        <w:t>6</w:t>
      </w:r>
      <w:r w:rsidR="00AE54EE">
        <w:t>,</w:t>
      </w:r>
      <w:r w:rsidRPr="00121580">
        <w:t xml:space="preserve"> comme suit :</w:t>
      </w:r>
    </w:p>
    <w:p w:rsidR="00121580" w:rsidRPr="00AE54EE" w:rsidRDefault="00121580" w:rsidP="00AE54EE">
      <w:pPr>
        <w:pStyle w:val="SingleTxtG"/>
        <w:keepNext/>
        <w:keepLines/>
        <w:tabs>
          <w:tab w:val="left" w:pos="2268"/>
        </w:tabs>
        <w:ind w:left="2268" w:hanging="1134"/>
        <w:rPr>
          <w:b/>
        </w:rPr>
      </w:pPr>
      <w:r w:rsidRPr="00121580">
        <w:t>«</w:t>
      </w:r>
      <w:r w:rsidR="00AE54EE" w:rsidRPr="00AE54EE">
        <w:rPr>
          <w:b/>
        </w:rPr>
        <w:t>1.2.4.5.15.4</w:t>
      </w:r>
      <w:r w:rsidR="00AE54EE" w:rsidRPr="00AE54EE">
        <w:rPr>
          <w:b/>
        </w:rPr>
        <w:tab/>
      </w:r>
      <w:r w:rsidRPr="00AE54EE">
        <w:rPr>
          <w:b/>
        </w:rPr>
        <w:t>Marque(s) du système de réfrigération</w:t>
      </w:r>
      <w:r w:rsidR="00AE54EE">
        <w:rPr>
          <w:b/>
        </w:rPr>
        <w:t xml:space="preserve"> </w:t>
      </w:r>
      <w:r w:rsidRPr="00AE54EE">
        <w:rPr>
          <w:b/>
        </w:rPr>
        <w:t>:</w:t>
      </w:r>
    </w:p>
    <w:p w:rsidR="00121580" w:rsidRPr="00AE54EE" w:rsidRDefault="00AE54EE" w:rsidP="00AE54EE">
      <w:pPr>
        <w:pStyle w:val="SingleTxtG"/>
        <w:keepNext/>
        <w:keepLines/>
        <w:tabs>
          <w:tab w:val="left" w:pos="2268"/>
        </w:tabs>
        <w:ind w:left="2268" w:hanging="1134"/>
        <w:rPr>
          <w:b/>
        </w:rPr>
      </w:pPr>
      <w:r w:rsidRPr="00AE54EE">
        <w:rPr>
          <w:b/>
        </w:rPr>
        <w:t>1.2.4.5.15.5</w:t>
      </w:r>
      <w:r w:rsidRPr="00AE54EE">
        <w:rPr>
          <w:b/>
        </w:rPr>
        <w:tab/>
      </w:r>
      <w:r w:rsidR="00121580" w:rsidRPr="00AE54EE">
        <w:rPr>
          <w:b/>
        </w:rPr>
        <w:t>Type(s) du système de réfrigération</w:t>
      </w:r>
      <w:r>
        <w:rPr>
          <w:b/>
        </w:rPr>
        <w:t xml:space="preserve"> </w:t>
      </w:r>
      <w:r w:rsidR="00121580" w:rsidRPr="00AE54EE">
        <w:rPr>
          <w:b/>
        </w:rPr>
        <w:t>:</w:t>
      </w:r>
    </w:p>
    <w:p w:rsidR="00121580" w:rsidRPr="00121580" w:rsidRDefault="00AE54EE" w:rsidP="00AE54EE">
      <w:pPr>
        <w:pStyle w:val="SingleTxtG"/>
        <w:keepNext/>
        <w:keepLines/>
        <w:tabs>
          <w:tab w:val="left" w:pos="2268"/>
        </w:tabs>
        <w:ind w:left="2268" w:hanging="1134"/>
      </w:pPr>
      <w:r w:rsidRPr="00AE54EE">
        <w:rPr>
          <w:b/>
        </w:rPr>
        <w:t>1.2.4.5.15.6</w:t>
      </w:r>
      <w:r w:rsidRPr="00AE54EE">
        <w:rPr>
          <w:b/>
        </w:rPr>
        <w:tab/>
      </w:r>
      <w:r w:rsidR="00121580" w:rsidRPr="00AE54EE">
        <w:rPr>
          <w:b/>
        </w:rPr>
        <w:t>Description et schémas de l'installation du système de réfrigération</w:t>
      </w:r>
      <w:r>
        <w:rPr>
          <w:b/>
        </w:rPr>
        <w:t xml:space="preserve"> </w:t>
      </w:r>
      <w:r w:rsidR="00121580" w:rsidRPr="00AE54EE">
        <w:rPr>
          <w:b/>
        </w:rPr>
        <w:t>:</w:t>
      </w:r>
      <w:r w:rsidR="00121580" w:rsidRPr="00121580">
        <w:t xml:space="preserve"> »</w:t>
      </w:r>
    </w:p>
    <w:p w:rsidR="00AE54EE" w:rsidRPr="00AE54EE" w:rsidRDefault="00AE54EE" w:rsidP="00121580">
      <w:pPr>
        <w:pStyle w:val="SingleTxtG"/>
        <w:rPr>
          <w:i/>
        </w:rPr>
      </w:pPr>
      <w:r w:rsidRPr="00AE54EE">
        <w:rPr>
          <w:i/>
        </w:rPr>
        <w:t>A</w:t>
      </w:r>
      <w:r w:rsidR="00121580" w:rsidRPr="00AE54EE">
        <w:rPr>
          <w:i/>
        </w:rPr>
        <w:t>nnexe 1B,</w:t>
      </w:r>
    </w:p>
    <w:p w:rsidR="00121580" w:rsidRPr="00121580" w:rsidRDefault="00AE54EE" w:rsidP="00121580">
      <w:pPr>
        <w:pStyle w:val="SingleTxtG"/>
      </w:pPr>
      <w:r w:rsidRPr="00AE54EE">
        <w:rPr>
          <w:i/>
        </w:rPr>
        <w:t>P</w:t>
      </w:r>
      <w:r w:rsidR="00121580" w:rsidRPr="00AE54EE">
        <w:rPr>
          <w:i/>
        </w:rPr>
        <w:t xml:space="preserve">oints </w:t>
      </w:r>
      <w:r>
        <w:rPr>
          <w:i/>
        </w:rPr>
        <w:t>1.2.4.5.15</w:t>
      </w:r>
      <w:r w:rsidRPr="00AE54EE">
        <w:rPr>
          <w:i/>
        </w:rPr>
        <w:t xml:space="preserve"> à 1.2.4.5.15.3,</w:t>
      </w:r>
      <w:r>
        <w:t xml:space="preserve"> m</w:t>
      </w:r>
      <w:r w:rsidRPr="00121580">
        <w:t xml:space="preserve">odifier </w:t>
      </w:r>
      <w:r w:rsidR="00121580" w:rsidRPr="00121580">
        <w:t>comme suit</w:t>
      </w:r>
      <w:r w:rsidR="00046BB5">
        <w:t xml:space="preserve"> </w:t>
      </w:r>
      <w:r w:rsidR="00046BB5" w:rsidRPr="00046BB5">
        <w:t xml:space="preserve">(la note </w:t>
      </w:r>
      <w:r w:rsidR="00740B21" w:rsidRPr="00740B21">
        <w:rPr>
          <w:vertAlign w:val="superscript"/>
        </w:rPr>
        <w:t>2</w:t>
      </w:r>
      <w:r w:rsidR="00046BB5" w:rsidRPr="00046BB5">
        <w:t xml:space="preserve"> de bas de page inchangée)</w:t>
      </w:r>
      <w:r w:rsidR="00121580" w:rsidRPr="00121580">
        <w:t xml:space="preserve"> :</w:t>
      </w:r>
    </w:p>
    <w:p w:rsidR="00121580" w:rsidRPr="00121580" w:rsidRDefault="00121580" w:rsidP="00AE54EE">
      <w:pPr>
        <w:pStyle w:val="SingleTxtG"/>
        <w:tabs>
          <w:tab w:val="left" w:pos="2268"/>
        </w:tabs>
        <w:ind w:left="2268" w:hanging="1134"/>
      </w:pPr>
      <w:r w:rsidRPr="00121580">
        <w:t>«</w:t>
      </w:r>
      <w:r w:rsidR="00AE54EE">
        <w:t>1.2.4.5.15</w:t>
      </w:r>
      <w:r w:rsidR="00AE54EE">
        <w:tab/>
      </w:r>
      <w:r w:rsidRPr="00121580">
        <w:t>Système de chauffage raccordé au système GNC/GNL: oui/non</w:t>
      </w:r>
      <w:r w:rsidR="00740B21">
        <w:rPr>
          <w:vertAlign w:val="superscript"/>
        </w:rPr>
        <w:t>2</w:t>
      </w:r>
      <w:r w:rsidR="00046BB5">
        <w:br/>
      </w:r>
      <w:r w:rsidRPr="0067717F">
        <w:rPr>
          <w:b/>
        </w:rPr>
        <w:t>ou système de réfrigération raccordé au système GNC/GNL: oui/n</w:t>
      </w:r>
      <w:r w:rsidR="00046BB5">
        <w:rPr>
          <w:b/>
        </w:rPr>
        <w:t>on</w:t>
      </w:r>
      <w:r w:rsidR="00740B21">
        <w:rPr>
          <w:b/>
          <w:vertAlign w:val="superscript"/>
        </w:rPr>
        <w:t>2</w:t>
      </w:r>
    </w:p>
    <w:p w:rsidR="00121580" w:rsidRPr="00121580" w:rsidRDefault="00AE54EE" w:rsidP="00AE54EE">
      <w:pPr>
        <w:pStyle w:val="SingleTxtG"/>
        <w:tabs>
          <w:tab w:val="left" w:pos="2268"/>
        </w:tabs>
        <w:ind w:left="2268" w:hanging="1134"/>
      </w:pPr>
      <w:r>
        <w:t>1.2.4.5.15.1</w:t>
      </w:r>
      <w:r>
        <w:tab/>
      </w:r>
      <w:r w:rsidR="00121580" w:rsidRPr="00121580">
        <w:t xml:space="preserve">Marque(s) </w:t>
      </w:r>
      <w:r w:rsidR="00121580" w:rsidRPr="0067717F">
        <w:rPr>
          <w:b/>
        </w:rPr>
        <w:t>du système de chauffage</w:t>
      </w:r>
      <w:r w:rsidR="0067717F">
        <w:t xml:space="preserve"> </w:t>
      </w:r>
      <w:r w:rsidR="00121580" w:rsidRPr="00121580">
        <w:t>:</w:t>
      </w:r>
    </w:p>
    <w:p w:rsidR="00121580" w:rsidRPr="00121580" w:rsidRDefault="00AE54EE" w:rsidP="00AE54EE">
      <w:pPr>
        <w:pStyle w:val="SingleTxtG"/>
        <w:tabs>
          <w:tab w:val="left" w:pos="2268"/>
        </w:tabs>
        <w:ind w:left="2268" w:hanging="1134"/>
      </w:pPr>
      <w:r>
        <w:t>1.2.4.5.15.2</w:t>
      </w:r>
      <w:r>
        <w:tab/>
      </w:r>
      <w:r w:rsidR="00121580" w:rsidRPr="00121580">
        <w:t xml:space="preserve">Type(s) </w:t>
      </w:r>
      <w:r w:rsidR="00121580" w:rsidRPr="0067717F">
        <w:rPr>
          <w:b/>
        </w:rPr>
        <w:t>du système de chauffage</w:t>
      </w:r>
      <w:r w:rsidR="00121580" w:rsidRPr="00121580">
        <w:t xml:space="preserve"> :</w:t>
      </w:r>
    </w:p>
    <w:p w:rsidR="00121580" w:rsidRPr="00121580" w:rsidRDefault="00AE54EE" w:rsidP="00AE54EE">
      <w:pPr>
        <w:pStyle w:val="SingleTxtG"/>
        <w:tabs>
          <w:tab w:val="left" w:pos="2268"/>
        </w:tabs>
        <w:ind w:left="2268" w:hanging="1134"/>
      </w:pPr>
      <w:r>
        <w:t>1.2.4.5.15.3</w:t>
      </w:r>
      <w:r>
        <w:tab/>
      </w:r>
      <w:r w:rsidR="00121580" w:rsidRPr="00121580">
        <w:t xml:space="preserve">Description et schémas de l'installation </w:t>
      </w:r>
      <w:r w:rsidR="00121580" w:rsidRPr="0067717F">
        <w:rPr>
          <w:b/>
        </w:rPr>
        <w:t>du système de chauffage</w:t>
      </w:r>
      <w:r w:rsidR="0067717F">
        <w:t xml:space="preserve"> </w:t>
      </w:r>
      <w:r w:rsidR="00121580" w:rsidRPr="00121580">
        <w:t>: »</w:t>
      </w:r>
    </w:p>
    <w:p w:rsidR="00121580" w:rsidRPr="00121580" w:rsidRDefault="00121580" w:rsidP="00121580">
      <w:pPr>
        <w:pStyle w:val="SingleTxtG"/>
      </w:pPr>
      <w:r w:rsidRPr="00AE54EE">
        <w:rPr>
          <w:i/>
        </w:rPr>
        <w:t xml:space="preserve">Ajouter les </w:t>
      </w:r>
      <w:r w:rsidR="00AE54EE" w:rsidRPr="00AE54EE">
        <w:rPr>
          <w:i/>
        </w:rPr>
        <w:t xml:space="preserve">nouveaux </w:t>
      </w:r>
      <w:r w:rsidRPr="00AE54EE">
        <w:rPr>
          <w:i/>
        </w:rPr>
        <w:t xml:space="preserve">points </w:t>
      </w:r>
      <w:r w:rsidR="00AE54EE" w:rsidRPr="00AE54EE">
        <w:rPr>
          <w:i/>
        </w:rPr>
        <w:t>1.2.4.5.15.4 à 1.2.4.5.15.6,</w:t>
      </w:r>
      <w:r w:rsidR="00AE54EE">
        <w:t xml:space="preserve"> </w:t>
      </w:r>
      <w:r w:rsidRPr="00121580">
        <w:t>comme suit :</w:t>
      </w:r>
    </w:p>
    <w:p w:rsidR="00121580" w:rsidRPr="0067717F" w:rsidRDefault="00121580" w:rsidP="00AE54EE">
      <w:pPr>
        <w:pStyle w:val="SingleTxtG"/>
        <w:tabs>
          <w:tab w:val="left" w:pos="2268"/>
        </w:tabs>
        <w:ind w:left="2268" w:hanging="1134"/>
        <w:rPr>
          <w:b/>
        </w:rPr>
      </w:pPr>
      <w:r w:rsidRPr="00121580">
        <w:t>«</w:t>
      </w:r>
      <w:r w:rsidR="00AE54EE" w:rsidRPr="0067717F">
        <w:rPr>
          <w:b/>
        </w:rPr>
        <w:t>1.2.4.5.15.4</w:t>
      </w:r>
      <w:r w:rsidR="00AE54EE" w:rsidRPr="0067717F">
        <w:rPr>
          <w:b/>
        </w:rPr>
        <w:tab/>
      </w:r>
      <w:r w:rsidRPr="0067717F">
        <w:rPr>
          <w:b/>
        </w:rPr>
        <w:t>Marque(s) du système de réfrigération</w:t>
      </w:r>
      <w:r w:rsidR="0067717F" w:rsidRPr="0067717F">
        <w:rPr>
          <w:b/>
        </w:rPr>
        <w:t xml:space="preserve"> </w:t>
      </w:r>
      <w:r w:rsidRPr="0067717F">
        <w:rPr>
          <w:b/>
        </w:rPr>
        <w:t>:</w:t>
      </w:r>
    </w:p>
    <w:p w:rsidR="00121580" w:rsidRPr="0067717F" w:rsidRDefault="00AE54EE" w:rsidP="00AE54EE">
      <w:pPr>
        <w:pStyle w:val="SingleTxtG"/>
        <w:tabs>
          <w:tab w:val="left" w:pos="2268"/>
        </w:tabs>
        <w:ind w:left="2268" w:hanging="1134"/>
        <w:rPr>
          <w:b/>
        </w:rPr>
      </w:pPr>
      <w:r w:rsidRPr="0067717F">
        <w:rPr>
          <w:b/>
        </w:rPr>
        <w:t>1.2.4.5.15.5</w:t>
      </w:r>
      <w:r w:rsidRPr="0067717F">
        <w:rPr>
          <w:b/>
        </w:rPr>
        <w:tab/>
      </w:r>
      <w:r w:rsidR="00121580" w:rsidRPr="0067717F">
        <w:rPr>
          <w:b/>
        </w:rPr>
        <w:t>Type(s) du système de réfrigération</w:t>
      </w:r>
      <w:r w:rsidR="0067717F" w:rsidRPr="0067717F">
        <w:rPr>
          <w:b/>
        </w:rPr>
        <w:t xml:space="preserve"> </w:t>
      </w:r>
      <w:r w:rsidR="00121580" w:rsidRPr="0067717F">
        <w:rPr>
          <w:b/>
        </w:rPr>
        <w:t>:</w:t>
      </w:r>
    </w:p>
    <w:p w:rsidR="00121580" w:rsidRPr="00121580" w:rsidRDefault="00AE54EE" w:rsidP="00AE54EE">
      <w:pPr>
        <w:pStyle w:val="SingleTxtG"/>
        <w:tabs>
          <w:tab w:val="left" w:pos="2268"/>
        </w:tabs>
        <w:ind w:left="2268" w:hanging="1134"/>
      </w:pPr>
      <w:r w:rsidRPr="0067717F">
        <w:rPr>
          <w:b/>
        </w:rPr>
        <w:t>1.2.4.5.15.6</w:t>
      </w:r>
      <w:r w:rsidRPr="0067717F">
        <w:rPr>
          <w:b/>
        </w:rPr>
        <w:tab/>
      </w:r>
      <w:r w:rsidR="00121580" w:rsidRPr="0067717F">
        <w:rPr>
          <w:b/>
        </w:rPr>
        <w:t>Description et schémas de l'installation du système de réfrigération</w:t>
      </w:r>
      <w:r w:rsidR="0067717F" w:rsidRPr="0067717F">
        <w:rPr>
          <w:b/>
        </w:rPr>
        <w:t xml:space="preserve"> </w:t>
      </w:r>
      <w:r w:rsidR="00121580" w:rsidRPr="0067717F">
        <w:rPr>
          <w:b/>
        </w:rPr>
        <w:t>:</w:t>
      </w:r>
      <w:r w:rsidR="00121580" w:rsidRPr="00121580">
        <w:t xml:space="preserve"> »</w:t>
      </w:r>
    </w:p>
    <w:p w:rsidR="00ED3D7F" w:rsidRPr="00D54785" w:rsidRDefault="00D54785" w:rsidP="00D54785">
      <w:pPr>
        <w:pStyle w:val="HChG"/>
      </w:pPr>
      <w:r>
        <w:tab/>
      </w:r>
      <w:r w:rsidR="006509BF" w:rsidRPr="00D54785">
        <w:t>II.</w:t>
      </w:r>
      <w:r w:rsidR="006509BF" w:rsidRPr="00D54785">
        <w:tab/>
        <w:t>Justification</w:t>
      </w:r>
    </w:p>
    <w:p w:rsidR="0067717F" w:rsidRPr="0067717F" w:rsidRDefault="0067717F" w:rsidP="00136321">
      <w:pPr>
        <w:pStyle w:val="SingleTxtG"/>
        <w:numPr>
          <w:ilvl w:val="0"/>
          <w:numId w:val="15"/>
        </w:numPr>
        <w:tabs>
          <w:tab w:val="left" w:pos="1701"/>
        </w:tabs>
        <w:ind w:left="1134" w:firstLine="0"/>
        <w:rPr>
          <w:lang w:val="fr-FR"/>
        </w:rPr>
      </w:pPr>
      <w:r>
        <w:t>Modification du paragraphe 18.1.7.1 : Actuellement le paragraphe 18.1.7.1 permet à des systèmes de chauffage d’être montés sur des véhicules pour chauffer le compartiment des passagers et/ou le compartiment des marchandises. L'ajout des «systèmes de réfrigération» dans le présent paragraphe permet d'élargir les applications potentielles des véhicules au gaz naturel et permet aux fabricants de systèmes de réfrigération d’utiliser le gaz contenu  dans les réservoirs de carburant pour alimenter le moteur du groupe frigorifique. De nouveaux marchés s’offrent à ces équipementiers. L’utilisation du gaz naturel permet de réduire considérablement les particules fines et le niveau sonore du groupe frigorifique. Cela concerne les véhicules qui transportent des produits périssables et livrent  dans les zones urbaines.</w:t>
      </w:r>
    </w:p>
    <w:p w:rsidR="0067717F" w:rsidRDefault="0067717F" w:rsidP="0067717F">
      <w:pPr>
        <w:pStyle w:val="SingleTxtG"/>
        <w:numPr>
          <w:ilvl w:val="0"/>
          <w:numId w:val="15"/>
        </w:numPr>
        <w:tabs>
          <w:tab w:val="left" w:pos="1701"/>
        </w:tabs>
        <w:ind w:left="1134" w:firstLine="0"/>
      </w:pPr>
      <w:r>
        <w:t>Modification du paragraphe 18.1.7.2 : Les prescriptions applicables au système de chauffage sont étendues au système de réfrigération.</w:t>
      </w:r>
    </w:p>
    <w:p w:rsidR="00D54785" w:rsidRPr="00D54785" w:rsidRDefault="0067717F" w:rsidP="0067717F">
      <w:pPr>
        <w:pStyle w:val="SingleTxtG"/>
        <w:numPr>
          <w:ilvl w:val="0"/>
          <w:numId w:val="15"/>
        </w:numPr>
        <w:tabs>
          <w:tab w:val="left" w:pos="1701"/>
        </w:tabs>
        <w:ind w:left="1134" w:firstLine="0"/>
      </w:pPr>
      <w:r>
        <w:t>Modification du paragraphe 18.5.1.3 : Ce paragraphe a été modifié pour prendre en compte ces évolutions. Il est prévu que la vanne automatique de la bouteille reste ouverte de façon à alimenter le dispositif de chauffage ou de réfrigération. Plusieurs bouteilles peuvent rester ouvertes si la durée de fonctionnement du dispositif de chauffage ou de réfrigération le justifie. Dès lors qu’un défaut ou une défaillance est détecté, par sûreté la vanne automatique de chacune des bouteilles qui alimentent le dispositif doit se fermer. Le système d’alarme incendie permet de s’assurer que tous les risque graves sont détectés et traités</w:t>
      </w:r>
      <w:r w:rsidR="006509BF" w:rsidRPr="00D54785">
        <w:t>.</w:t>
      </w:r>
    </w:p>
    <w:p w:rsidR="00C54B5E" w:rsidRDefault="0067717F" w:rsidP="00136321">
      <w:pPr>
        <w:pStyle w:val="SingleTxtG"/>
        <w:numPr>
          <w:ilvl w:val="0"/>
          <w:numId w:val="15"/>
        </w:numPr>
        <w:tabs>
          <w:tab w:val="left" w:pos="1701"/>
        </w:tabs>
        <w:spacing w:after="0"/>
        <w:ind w:left="1134" w:firstLine="0"/>
      </w:pPr>
      <w:r>
        <w:t>Modifications des annexes 1A et 1B : Afin d’identifier la présence, la marque et le type du système de réfrigération dans l’annexe 1A (Caractéristiques essentielles des organes GNC/GNL) et dans l’annexe 1B (Caractéristiques essentielles du véhicule, du moteur et du système GNC/GNL),</w:t>
      </w:r>
      <w:r w:rsidR="00740B21">
        <w:t xml:space="preserve"> </w:t>
      </w:r>
      <w:r>
        <w:t>les points 1.2.4.5.15, 1.2.4.5.15.1, 1.2.4.5.15.2 et 1.2.4.5.15.3 sont modifiés et les points 1.2.4.5.15.4, 1.2.4.5.15.5 et 1.2.4.5.15.6 sont créés.</w:t>
      </w:r>
    </w:p>
    <w:p w:rsidR="00D54785" w:rsidRPr="00D54785" w:rsidRDefault="00D54785" w:rsidP="00136321">
      <w:pPr>
        <w:pStyle w:val="SingleTxtG"/>
        <w:spacing w:before="120" w:after="0"/>
        <w:jc w:val="center"/>
        <w:rPr>
          <w:u w:val="single"/>
        </w:rPr>
      </w:pPr>
      <w:r>
        <w:rPr>
          <w:u w:val="single"/>
        </w:rPr>
        <w:tab/>
      </w:r>
      <w:r>
        <w:rPr>
          <w:u w:val="single"/>
        </w:rPr>
        <w:tab/>
      </w:r>
      <w:r>
        <w:rPr>
          <w:u w:val="single"/>
        </w:rPr>
        <w:tab/>
      </w:r>
    </w:p>
    <w:sectPr w:rsidR="00D54785" w:rsidRPr="00D54785" w:rsidSect="00431786">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F94" w:rsidRDefault="002C3F94" w:rsidP="00F95C08">
      <w:pPr>
        <w:spacing w:line="240" w:lineRule="auto"/>
      </w:pPr>
    </w:p>
  </w:endnote>
  <w:endnote w:type="continuationSeparator" w:id="0">
    <w:p w:rsidR="002C3F94" w:rsidRPr="00AC3823" w:rsidRDefault="002C3F94" w:rsidP="00AC3823">
      <w:pPr>
        <w:pStyle w:val="Footer"/>
      </w:pPr>
    </w:p>
  </w:endnote>
  <w:endnote w:type="continuationNotice" w:id="1">
    <w:p w:rsidR="002C3F94" w:rsidRDefault="002C3F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86" w:rsidRPr="00431786" w:rsidRDefault="00431786" w:rsidP="00431786">
    <w:pPr>
      <w:pStyle w:val="Footer"/>
      <w:tabs>
        <w:tab w:val="right" w:pos="9638"/>
      </w:tabs>
    </w:pPr>
    <w:r w:rsidRPr="00431786">
      <w:rPr>
        <w:b/>
        <w:sz w:val="18"/>
      </w:rPr>
      <w:fldChar w:fldCharType="begin"/>
    </w:r>
    <w:r w:rsidRPr="00431786">
      <w:rPr>
        <w:b/>
        <w:sz w:val="18"/>
      </w:rPr>
      <w:instrText xml:space="preserve"> PAGE  \* MERGEFORMAT </w:instrText>
    </w:r>
    <w:r w:rsidRPr="00431786">
      <w:rPr>
        <w:b/>
        <w:sz w:val="18"/>
      </w:rPr>
      <w:fldChar w:fldCharType="separate"/>
    </w:r>
    <w:r w:rsidR="0014326E">
      <w:rPr>
        <w:b/>
        <w:noProof/>
        <w:sz w:val="18"/>
      </w:rPr>
      <w:t>2</w:t>
    </w:r>
    <w:r w:rsidRPr="00431786">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86" w:rsidRPr="00431786" w:rsidRDefault="00431786" w:rsidP="00431786">
    <w:pPr>
      <w:pStyle w:val="Footer"/>
      <w:tabs>
        <w:tab w:val="right" w:pos="9638"/>
      </w:tabs>
      <w:rPr>
        <w:b/>
        <w:sz w:val="18"/>
      </w:rPr>
    </w:pPr>
    <w:r>
      <w:tab/>
    </w:r>
    <w:r w:rsidRPr="00431786">
      <w:rPr>
        <w:b/>
        <w:sz w:val="18"/>
      </w:rPr>
      <w:fldChar w:fldCharType="begin"/>
    </w:r>
    <w:r w:rsidRPr="00431786">
      <w:rPr>
        <w:b/>
        <w:sz w:val="18"/>
      </w:rPr>
      <w:instrText xml:space="preserve"> PAGE  \* MERGEFORMAT </w:instrText>
    </w:r>
    <w:r w:rsidRPr="00431786">
      <w:rPr>
        <w:b/>
        <w:sz w:val="18"/>
      </w:rPr>
      <w:fldChar w:fldCharType="separate"/>
    </w:r>
    <w:r w:rsidR="0014326E">
      <w:rPr>
        <w:b/>
        <w:noProof/>
        <w:sz w:val="18"/>
      </w:rPr>
      <w:t>3</w:t>
    </w:r>
    <w:r w:rsidRPr="0043178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910" w:rsidRPr="00E10910" w:rsidRDefault="00E10910" w:rsidP="00E10910">
    <w:pPr>
      <w:pStyle w:val="Footer"/>
      <w:spacing w:before="120"/>
      <w:rPr>
        <w:sz w:val="20"/>
      </w:rPr>
    </w:pPr>
    <w:r>
      <w:rPr>
        <w:sz w:val="20"/>
      </w:rPr>
      <w:t>GE.16-12716  (F)</w:t>
    </w:r>
    <w:r>
      <w:rPr>
        <w:sz w:val="20"/>
      </w:rPr>
      <w:br/>
    </w:r>
    <w:r w:rsidRPr="00E10910">
      <w:rPr>
        <w:rFonts w:ascii="C39T30Lfz" w:hAnsi="C39T30Lfz"/>
        <w:sz w:val="56"/>
      </w:rPr>
      <w:t></w:t>
    </w:r>
    <w:r w:rsidRPr="00E10910">
      <w:rPr>
        <w:rFonts w:ascii="C39T30Lfz" w:hAnsi="C39T30Lfz"/>
        <w:sz w:val="56"/>
      </w:rPr>
      <w:t></w:t>
    </w:r>
    <w:r w:rsidRPr="00E10910">
      <w:rPr>
        <w:rFonts w:ascii="C39T30Lfz" w:hAnsi="C39T30Lfz"/>
        <w:sz w:val="56"/>
      </w:rPr>
      <w:t></w:t>
    </w:r>
    <w:r w:rsidRPr="00E10910">
      <w:rPr>
        <w:rFonts w:ascii="C39T30Lfz" w:hAnsi="C39T30Lfz"/>
        <w:sz w:val="56"/>
      </w:rPr>
      <w:t></w:t>
    </w:r>
    <w:r w:rsidRPr="00E10910">
      <w:rPr>
        <w:rFonts w:ascii="C39T30Lfz" w:hAnsi="C39T30Lfz"/>
        <w:sz w:val="56"/>
      </w:rPr>
      <w:t></w:t>
    </w:r>
    <w:r w:rsidRPr="00E10910">
      <w:rPr>
        <w:rFonts w:ascii="C39T30Lfz" w:hAnsi="C39T30Lfz"/>
        <w:sz w:val="56"/>
      </w:rPr>
      <w:t></w:t>
    </w:r>
    <w:r w:rsidRPr="00E10910">
      <w:rPr>
        <w:rFonts w:ascii="C39T30Lfz" w:hAnsi="C39T30Lfz"/>
        <w:sz w:val="56"/>
      </w:rPr>
      <w:t></w:t>
    </w:r>
    <w:r w:rsidRPr="00E10910">
      <w:rPr>
        <w:rFonts w:ascii="C39T30Lfz" w:hAnsi="C39T30Lfz"/>
        <w:sz w:val="56"/>
      </w:rPr>
      <w:t></w:t>
    </w:r>
    <w:r w:rsidRPr="00E10910">
      <w:rPr>
        <w:rFonts w:ascii="C39T30Lfz" w:hAnsi="C39T30Lfz"/>
        <w:sz w:val="56"/>
      </w:rPr>
      <w:t></w:t>
    </w:r>
    <w:r w:rsidRPr="00E10910">
      <w:rPr>
        <w:rFonts w:ascii="C39T30Lfz" w:hAnsi="C39T30Lfz"/>
        <w:noProof/>
        <w:sz w:val="56"/>
        <w:lang w:val="en-GB" w:eastAsia="en-GB"/>
      </w:rPr>
      <w:drawing>
        <wp:anchor distT="0" distB="0" distL="114300" distR="114300" simplePos="0" relativeHeight="251660288" behindDoc="0" locked="0" layoutInCell="1" allowOverlap="0" wp14:anchorId="05B87EB4" wp14:editId="11E17EB5">
          <wp:simplePos x="0" y="0"/>
          <wp:positionH relativeFrom="margin">
            <wp:posOffset>4320540</wp:posOffset>
          </wp:positionH>
          <wp:positionV relativeFrom="margin">
            <wp:posOffset>8281035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8027670</wp:posOffset>
          </wp:positionV>
          <wp:extent cx="640080" cy="640080"/>
          <wp:effectExtent l="0" t="0" r="7620" b="7620"/>
          <wp:wrapNone/>
          <wp:docPr id="2" name="Image 1" descr="http://undocs.org/m2/QRCode.ashx?DS=ECE/TRANS/WP.29/GRSG/2016/1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G/2016/1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F94" w:rsidRPr="00AC3823" w:rsidRDefault="002C3F94" w:rsidP="00AC3823">
      <w:pPr>
        <w:pStyle w:val="Footer"/>
        <w:tabs>
          <w:tab w:val="right" w:pos="2155"/>
        </w:tabs>
        <w:spacing w:after="80" w:line="240" w:lineRule="atLeast"/>
        <w:ind w:left="680"/>
        <w:rPr>
          <w:u w:val="single"/>
        </w:rPr>
      </w:pPr>
      <w:r>
        <w:rPr>
          <w:u w:val="single"/>
        </w:rPr>
        <w:tab/>
      </w:r>
    </w:p>
  </w:footnote>
  <w:footnote w:type="continuationSeparator" w:id="0">
    <w:p w:rsidR="002C3F94" w:rsidRPr="00AC3823" w:rsidRDefault="002C3F94" w:rsidP="00AC3823">
      <w:pPr>
        <w:pStyle w:val="Footer"/>
        <w:tabs>
          <w:tab w:val="right" w:pos="2155"/>
        </w:tabs>
        <w:spacing w:after="80" w:line="240" w:lineRule="atLeast"/>
        <w:ind w:left="680"/>
        <w:rPr>
          <w:u w:val="single"/>
        </w:rPr>
      </w:pPr>
      <w:r>
        <w:rPr>
          <w:u w:val="single"/>
        </w:rPr>
        <w:tab/>
      </w:r>
    </w:p>
  </w:footnote>
  <w:footnote w:type="continuationNotice" w:id="1">
    <w:p w:rsidR="002C3F94" w:rsidRPr="00AC3823" w:rsidRDefault="002C3F94">
      <w:pPr>
        <w:spacing w:line="240" w:lineRule="auto"/>
        <w:rPr>
          <w:sz w:val="2"/>
          <w:szCs w:val="2"/>
        </w:rPr>
      </w:pPr>
    </w:p>
  </w:footnote>
  <w:footnote w:id="2">
    <w:p w:rsidR="00431786" w:rsidRPr="00431786" w:rsidRDefault="00431786">
      <w:pPr>
        <w:pStyle w:val="FootnoteText"/>
      </w:pPr>
      <w:r>
        <w:rPr>
          <w:rStyle w:val="FootnoteReference"/>
        </w:rPr>
        <w:tab/>
      </w:r>
      <w:r w:rsidRPr="00431786">
        <w:rPr>
          <w:rStyle w:val="FootnoteReference"/>
          <w:sz w:val="20"/>
          <w:vertAlign w:val="baseline"/>
        </w:rPr>
        <w:t>*</w:t>
      </w:r>
      <w:r>
        <w:rPr>
          <w:rStyle w:val="FootnoteReference"/>
          <w:sz w:val="20"/>
          <w:vertAlign w:val="baseline"/>
        </w:rPr>
        <w:tab/>
      </w:r>
      <w:r>
        <w:t>Conformément au programme de travail du Comité des transports intérieurs pour la période 201</w:t>
      </w:r>
      <w:r w:rsidR="00B13C49">
        <w:t>6</w:t>
      </w:r>
      <w:r>
        <w:t>-201</w:t>
      </w:r>
      <w:r w:rsidR="00B13C49">
        <w:t>7</w:t>
      </w:r>
      <w:r>
        <w:t xml:space="preserve"> (ECE/TRANS/2</w:t>
      </w:r>
      <w:r w:rsidR="00B13C49">
        <w:t>5</w:t>
      </w:r>
      <w:r>
        <w:t>4, par. 15</w:t>
      </w:r>
      <w:r w:rsidR="00B13C49">
        <w:t>9</w:t>
      </w:r>
      <w:r>
        <w:t>, et ECE/TRANS/201</w:t>
      </w:r>
      <w:r w:rsidR="00B13C49">
        <w:t>6</w:t>
      </w:r>
      <w:r>
        <w:t>/2</w:t>
      </w:r>
      <w:r w:rsidR="00B13C49">
        <w:t>8/Add.1, activité 3</w:t>
      </w:r>
      <w:r>
        <w:t>.</w:t>
      </w:r>
      <w:r w:rsidR="00B13C49">
        <w:t>1</w:t>
      </w:r>
      <w:r>
        <w:t>),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86" w:rsidRPr="00431786" w:rsidRDefault="00121580">
    <w:pPr>
      <w:pStyle w:val="Header"/>
    </w:pPr>
    <w:r>
      <w:t>ECE/TRANS/WP.29/GRSG/2016/16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786" w:rsidRPr="00431786" w:rsidRDefault="00431786" w:rsidP="00431786">
    <w:pPr>
      <w:pStyle w:val="Header"/>
      <w:jc w:val="right"/>
    </w:pPr>
    <w:r>
      <w:t>ECE/TRANS/WP.29/GRSG/2016/1</w:t>
    </w:r>
    <w:r w:rsidR="00121580">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910" w:rsidRDefault="00E109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2C30349"/>
    <w:multiLevelType w:val="hybridMultilevel"/>
    <w:tmpl w:val="7772F224"/>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2">
    <w:nsid w:val="32E4018E"/>
    <w:multiLevelType w:val="hybridMultilevel"/>
    <w:tmpl w:val="5AAE18D8"/>
    <w:lvl w:ilvl="0" w:tplc="2F3C9A28">
      <w:start w:val="1"/>
      <w:numFmt w:val="decimal"/>
      <w:lvlText w:val="%1."/>
      <w:lvlJc w:val="left"/>
      <w:pPr>
        <w:ind w:left="168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3"/>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567"/>
  <w:hyphenationZone w:val="425"/>
  <w:evenAndOddHeaders/>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F94"/>
    <w:rsid w:val="00017F94"/>
    <w:rsid w:val="00023842"/>
    <w:rsid w:val="000334F9"/>
    <w:rsid w:val="00046BB5"/>
    <w:rsid w:val="0007796D"/>
    <w:rsid w:val="0009616A"/>
    <w:rsid w:val="000B7790"/>
    <w:rsid w:val="000F29A7"/>
    <w:rsid w:val="00111F2F"/>
    <w:rsid w:val="0012070F"/>
    <w:rsid w:val="00121580"/>
    <w:rsid w:val="00136321"/>
    <w:rsid w:val="0014326E"/>
    <w:rsid w:val="0014365E"/>
    <w:rsid w:val="00143C66"/>
    <w:rsid w:val="00176178"/>
    <w:rsid w:val="00193F11"/>
    <w:rsid w:val="001F525A"/>
    <w:rsid w:val="00223272"/>
    <w:rsid w:val="0024779E"/>
    <w:rsid w:val="00257168"/>
    <w:rsid w:val="002744B8"/>
    <w:rsid w:val="00281D54"/>
    <w:rsid w:val="002832AC"/>
    <w:rsid w:val="002A567A"/>
    <w:rsid w:val="002C3F94"/>
    <w:rsid w:val="002D282F"/>
    <w:rsid w:val="002D7C93"/>
    <w:rsid w:val="00305801"/>
    <w:rsid w:val="00384BC5"/>
    <w:rsid w:val="003912CC"/>
    <w:rsid w:val="003916DE"/>
    <w:rsid w:val="003918B5"/>
    <w:rsid w:val="0039739D"/>
    <w:rsid w:val="00406593"/>
    <w:rsid w:val="00431786"/>
    <w:rsid w:val="00441C3B"/>
    <w:rsid w:val="00446FE5"/>
    <w:rsid w:val="00452396"/>
    <w:rsid w:val="004837D8"/>
    <w:rsid w:val="004E468C"/>
    <w:rsid w:val="005505B7"/>
    <w:rsid w:val="00573BE5"/>
    <w:rsid w:val="00582BAB"/>
    <w:rsid w:val="00586ED3"/>
    <w:rsid w:val="00596AA9"/>
    <w:rsid w:val="0064047C"/>
    <w:rsid w:val="006509BF"/>
    <w:rsid w:val="0067717F"/>
    <w:rsid w:val="006E3956"/>
    <w:rsid w:val="00714668"/>
    <w:rsid w:val="0071601D"/>
    <w:rsid w:val="00723276"/>
    <w:rsid w:val="00731CE6"/>
    <w:rsid w:val="00740B21"/>
    <w:rsid w:val="00766DEE"/>
    <w:rsid w:val="0077450B"/>
    <w:rsid w:val="007A62E6"/>
    <w:rsid w:val="007F20FA"/>
    <w:rsid w:val="0080684C"/>
    <w:rsid w:val="00871C75"/>
    <w:rsid w:val="008776DC"/>
    <w:rsid w:val="008D3308"/>
    <w:rsid w:val="009705C8"/>
    <w:rsid w:val="009C1CF4"/>
    <w:rsid w:val="009F6B74"/>
    <w:rsid w:val="00A30353"/>
    <w:rsid w:val="00AC3823"/>
    <w:rsid w:val="00AE323C"/>
    <w:rsid w:val="00AE54EE"/>
    <w:rsid w:val="00AF0CB5"/>
    <w:rsid w:val="00B00181"/>
    <w:rsid w:val="00B00B0D"/>
    <w:rsid w:val="00B13C49"/>
    <w:rsid w:val="00B15453"/>
    <w:rsid w:val="00B765F7"/>
    <w:rsid w:val="00BA0CA9"/>
    <w:rsid w:val="00C02897"/>
    <w:rsid w:val="00C54B5E"/>
    <w:rsid w:val="00C63E15"/>
    <w:rsid w:val="00C84BA3"/>
    <w:rsid w:val="00D31736"/>
    <w:rsid w:val="00D3439C"/>
    <w:rsid w:val="00D54785"/>
    <w:rsid w:val="00DB1831"/>
    <w:rsid w:val="00DD3BFD"/>
    <w:rsid w:val="00DF6678"/>
    <w:rsid w:val="00E10910"/>
    <w:rsid w:val="00E85780"/>
    <w:rsid w:val="00E85C74"/>
    <w:rsid w:val="00EA6547"/>
    <w:rsid w:val="00EB2432"/>
    <w:rsid w:val="00EB54D1"/>
    <w:rsid w:val="00EE6631"/>
    <w:rsid w:val="00EF2E22"/>
    <w:rsid w:val="00F3255B"/>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customStyle="1" w:styleId="LO-Normal">
    <w:name w:val="LO-Normal"/>
    <w:rsid w:val="0067717F"/>
    <w:pPr>
      <w:suppressAutoHyphens/>
      <w:autoSpaceDE w:val="0"/>
      <w:snapToGrid w:val="0"/>
      <w:spacing w:after="0" w:line="240" w:lineRule="atLeast"/>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customStyle="1" w:styleId="LO-Normal">
    <w:name w:val="LO-Normal"/>
    <w:rsid w:val="0067717F"/>
    <w:pPr>
      <w:suppressAutoHyphens/>
      <w:autoSpaceDE w:val="0"/>
      <w:snapToGrid w:val="0"/>
      <w:spacing w:after="0" w:line="240" w:lineRule="atLeast"/>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77D85-0155-4D0B-B7CE-4340D6E63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5763</Characters>
  <Application>Microsoft Office Word</Application>
  <DocSecurity>4</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ECE/TRANS/WP.29/GRSG/2016/16</vt:lpstr>
      <vt:lpstr>ECE/TRANS/WP.29/GRSG/2016/10</vt:lpstr>
    </vt:vector>
  </TitlesOfParts>
  <Company>DCM</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ECE/TRANS/WP.29/GRSG/2016/16</dc:title>
  <dc:creator>Robert Corinne</dc:creator>
  <cp:lastModifiedBy>Benedicte Boudol</cp:lastModifiedBy>
  <cp:revision>2</cp:revision>
  <cp:lastPrinted>2016-03-15T07:57:00Z</cp:lastPrinted>
  <dcterms:created xsi:type="dcterms:W3CDTF">2016-09-06T14:28:00Z</dcterms:created>
  <dcterms:modified xsi:type="dcterms:W3CDTF">2016-09-06T14:28:00Z</dcterms:modified>
</cp:coreProperties>
</file>