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402BD7">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02BD7" w:rsidP="00402BD7">
            <w:pPr>
              <w:jc w:val="right"/>
            </w:pPr>
            <w:r w:rsidRPr="00402BD7">
              <w:rPr>
                <w:sz w:val="40"/>
              </w:rPr>
              <w:t>ECE</w:t>
            </w:r>
            <w:r>
              <w:t>/TRANS/WP.29/GRSG/2016/8</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US"/>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02BD7" w:rsidP="00892A2F">
            <w:pPr>
              <w:spacing w:before="240"/>
            </w:pPr>
            <w:r>
              <w:t xml:space="preserve">Distr. </w:t>
            </w:r>
            <w:proofErr w:type="gramStart"/>
            <w:r>
              <w:t>générale</w:t>
            </w:r>
            <w:proofErr w:type="gramEnd"/>
          </w:p>
          <w:p w:rsidR="00402BD7" w:rsidRDefault="00402BD7" w:rsidP="00402BD7">
            <w:pPr>
              <w:spacing w:line="240" w:lineRule="exact"/>
            </w:pPr>
            <w:r>
              <w:t>10 février 2016</w:t>
            </w:r>
          </w:p>
          <w:p w:rsidR="00402BD7" w:rsidRDefault="00402BD7" w:rsidP="00402BD7">
            <w:pPr>
              <w:spacing w:line="240" w:lineRule="exact"/>
            </w:pPr>
            <w:r>
              <w:t>Français</w:t>
            </w:r>
          </w:p>
          <w:p w:rsidR="00402BD7" w:rsidRPr="00DB58B5" w:rsidRDefault="00402BD7" w:rsidP="00402BD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518DC" w:rsidRDefault="00D518DC" w:rsidP="00AF0CB5">
      <w:pPr>
        <w:spacing w:before="120"/>
        <w:rPr>
          <w:b/>
          <w:sz w:val="24"/>
          <w:szCs w:val="24"/>
        </w:rPr>
      </w:pPr>
      <w:r w:rsidRPr="00685843">
        <w:rPr>
          <w:b/>
          <w:sz w:val="24"/>
          <w:szCs w:val="24"/>
        </w:rPr>
        <w:t>Forum mondial de l’harmonisation</w:t>
      </w:r>
      <w:r w:rsidR="001B35D5">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D518DC" w:rsidRDefault="00D518DC" w:rsidP="00257168">
      <w:pPr>
        <w:spacing w:before="120" w:after="120" w:line="240" w:lineRule="exact"/>
        <w:rPr>
          <w:b/>
        </w:rPr>
      </w:pPr>
      <w:r>
        <w:rPr>
          <w:b/>
        </w:rPr>
        <w:t>Groupe de travail des dispositions générales de sécurité</w:t>
      </w:r>
    </w:p>
    <w:p w:rsidR="00D518DC" w:rsidRDefault="002336AB" w:rsidP="00257168">
      <w:pPr>
        <w:spacing w:before="120" w:line="240" w:lineRule="exact"/>
        <w:rPr>
          <w:b/>
        </w:rPr>
      </w:pPr>
      <w:r w:rsidRPr="00402BD7">
        <w:rPr>
          <w:b/>
        </w:rPr>
        <w:t>110</w:t>
      </w:r>
      <w:r w:rsidRPr="00402BD7">
        <w:rPr>
          <w:b/>
          <w:vertAlign w:val="superscript"/>
        </w:rPr>
        <w:t>e</w:t>
      </w:r>
      <w:r w:rsidR="00402BD7">
        <w:rPr>
          <w:b/>
        </w:rPr>
        <w:t> </w:t>
      </w:r>
      <w:r w:rsidR="00D518DC">
        <w:rPr>
          <w:b/>
        </w:rPr>
        <w:t>session</w:t>
      </w:r>
    </w:p>
    <w:p w:rsidR="00D518DC" w:rsidRDefault="00D518DC" w:rsidP="00257168">
      <w:pPr>
        <w:spacing w:line="240" w:lineRule="exact"/>
      </w:pPr>
      <w:r>
        <w:t xml:space="preserve">Genève, </w:t>
      </w:r>
      <w:r w:rsidR="002336AB" w:rsidRPr="00402BD7">
        <w:t>26</w:t>
      </w:r>
      <w:r w:rsidR="00402BD7">
        <w:t>-</w:t>
      </w:r>
      <w:r w:rsidR="002336AB" w:rsidRPr="00402BD7">
        <w:t>29 avril 2016</w:t>
      </w:r>
    </w:p>
    <w:p w:rsidR="00D518DC" w:rsidRDefault="00D518DC" w:rsidP="00257168">
      <w:pPr>
        <w:spacing w:line="240" w:lineRule="exact"/>
      </w:pPr>
      <w:r>
        <w:t xml:space="preserve">Point </w:t>
      </w:r>
      <w:r w:rsidR="00402BD7">
        <w:t>12</w:t>
      </w:r>
      <w:r>
        <w:t xml:space="preserve"> de l’ordre du jour</w:t>
      </w:r>
      <w:r w:rsidR="00402BD7">
        <w:t xml:space="preserve"> provisoire</w:t>
      </w:r>
    </w:p>
    <w:p w:rsidR="00F9573C" w:rsidRDefault="002336AB" w:rsidP="00AF0CB5">
      <w:pPr>
        <w:rPr>
          <w:b/>
        </w:rPr>
      </w:pPr>
      <w:r w:rsidRPr="00402BD7">
        <w:rPr>
          <w:b/>
        </w:rPr>
        <w:t xml:space="preserve">Règlement No 110 </w:t>
      </w:r>
      <w:r w:rsidRPr="00402BD7">
        <w:rPr>
          <w:b/>
        </w:rPr>
        <w:t>(Véhicules alimentés au GNC/GNL)</w:t>
      </w:r>
    </w:p>
    <w:p w:rsidR="0076155A" w:rsidRPr="00402BD7" w:rsidRDefault="001B35D5" w:rsidP="001B35D5">
      <w:pPr>
        <w:pStyle w:val="HChG"/>
      </w:pPr>
      <w:r>
        <w:tab/>
      </w:r>
      <w:r>
        <w:tab/>
      </w:r>
      <w:r w:rsidR="002336AB" w:rsidRPr="00402BD7">
        <w:t>Proposition d’amendement au Règlement No 110</w:t>
      </w:r>
      <w:r>
        <w:t xml:space="preserve"> </w:t>
      </w:r>
      <w:r w:rsidR="002336AB" w:rsidRPr="00402BD7">
        <w:br/>
        <w:t>(Véhicules alimentés au GNC/GNL)</w:t>
      </w:r>
    </w:p>
    <w:p w:rsidR="0076155A" w:rsidRPr="00402BD7" w:rsidRDefault="001B35D5" w:rsidP="001B35D5">
      <w:pPr>
        <w:pStyle w:val="H1G"/>
        <w:rPr>
          <w:vertAlign w:val="superscript"/>
        </w:rPr>
      </w:pPr>
      <w:r>
        <w:tab/>
      </w:r>
      <w:r>
        <w:tab/>
      </w:r>
      <w:r w:rsidR="002336AB" w:rsidRPr="00402BD7">
        <w:t>Communication de l’expert des Pays-Bas</w:t>
      </w:r>
      <w:r w:rsidRPr="001B35D5">
        <w:rPr>
          <w:rStyle w:val="FootnoteReference"/>
          <w:b w:val="0"/>
          <w:sz w:val="20"/>
          <w:vertAlign w:val="baseline"/>
        </w:rPr>
        <w:footnoteReference w:customMarkFollows="1" w:id="2"/>
        <w:t>*</w:t>
      </w:r>
    </w:p>
    <w:p w:rsidR="00402BD7" w:rsidRDefault="001B35D5" w:rsidP="001B35D5">
      <w:pPr>
        <w:pStyle w:val="SingleTxtG"/>
      </w:pPr>
      <w:r>
        <w:tab/>
      </w:r>
      <w:r w:rsidR="002336AB" w:rsidRPr="00402BD7">
        <w:t>Le texte reproduit ci-après a été établi par l’expert des Pays-Bas. Il y est proposé de modifier le</w:t>
      </w:r>
      <w:r w:rsidR="002336AB" w:rsidRPr="00402BD7">
        <w:t xml:space="preserve"> Règlement ONU No 110 de sorte à permettre l’utilisation de flexibles de la classe 0 et de leurs raccords, ceux-ci faisant appel à d’autres technologies que les raccords dont les cônes d’étanchéité disposent d’un demi-angle vertical de 45°, ce qui permettr</w:t>
      </w:r>
      <w:r w:rsidR="002336AB" w:rsidRPr="00402BD7">
        <w:t xml:space="preserve">ait d’éviter les prescriptions restrictives en matière de conception. Les modifications qu’il est proposé d’apporter au texte du Règlement ONU No 110 sont indiquées en caractères gras </w:t>
      </w:r>
      <w:proofErr w:type="gramStart"/>
      <w:r w:rsidR="002336AB" w:rsidRPr="00402BD7">
        <w:t>pour</w:t>
      </w:r>
      <w:proofErr w:type="gramEnd"/>
      <w:r w:rsidR="002336AB" w:rsidRPr="00402BD7">
        <w:t xml:space="preserve"> les ajouts et biffés pour les suppressions.</w:t>
      </w:r>
    </w:p>
    <w:p w:rsidR="0076155A" w:rsidRPr="00402BD7" w:rsidRDefault="00402BD7" w:rsidP="001B35D5">
      <w:pPr>
        <w:pStyle w:val="HChG"/>
      </w:pPr>
      <w:r>
        <w:br w:type="page"/>
      </w:r>
      <w:r w:rsidR="001B35D5">
        <w:lastRenderedPageBreak/>
        <w:tab/>
      </w:r>
      <w:r w:rsidR="002336AB" w:rsidRPr="00402BD7">
        <w:t>I.</w:t>
      </w:r>
      <w:r w:rsidR="002336AB" w:rsidRPr="00402BD7">
        <w:tab/>
        <w:t>Proposition</w:t>
      </w:r>
    </w:p>
    <w:p w:rsidR="0076155A" w:rsidRPr="00402BD7" w:rsidRDefault="002336AB" w:rsidP="00402BD7">
      <w:pPr>
        <w:pStyle w:val="SingleTxtG"/>
      </w:pPr>
      <w:r w:rsidRPr="00402BD7">
        <w:rPr>
          <w:i/>
        </w:rPr>
        <w:t>Annexe</w:t>
      </w:r>
      <w:r w:rsidRPr="00402BD7">
        <w:rPr>
          <w:i/>
        </w:rPr>
        <w:t xml:space="preserve"> 4B, paragraphe 1.6.2.2</w:t>
      </w:r>
      <w:r w:rsidRPr="00402BD7">
        <w:t>,</w:t>
      </w:r>
      <w:r w:rsidRPr="00402BD7">
        <w:rPr>
          <w:iCs/>
        </w:rPr>
        <w:t xml:space="preserve"> modifier comme suit</w:t>
      </w:r>
      <w:r w:rsidR="001B35D5">
        <w:rPr>
          <w:iCs/>
        </w:rPr>
        <w:t> </w:t>
      </w:r>
      <w:r w:rsidRPr="00402BD7">
        <w:t>:</w:t>
      </w:r>
    </w:p>
    <w:p w:rsidR="0076155A" w:rsidRPr="00402BD7" w:rsidRDefault="002336AB" w:rsidP="001B35D5">
      <w:pPr>
        <w:pStyle w:val="SingleTxtG"/>
        <w:ind w:left="2268" w:hanging="1134"/>
      </w:pPr>
      <w:r w:rsidRPr="00402BD7">
        <w:t>«</w:t>
      </w:r>
      <w:r w:rsidR="001B35D5">
        <w:t> </w:t>
      </w:r>
      <w:r w:rsidRPr="00402BD7">
        <w:t>1.6.2.2</w:t>
      </w:r>
      <w:r w:rsidRPr="00402BD7">
        <w:tab/>
      </w:r>
      <w:r w:rsidRPr="006E2DA1">
        <w:rPr>
          <w:strike/>
        </w:rPr>
        <w:t>Le cône d’étanchéité à écrou pivotant doit être du type à demi-angle vertical de 45°.</w:t>
      </w:r>
      <w:r w:rsidRPr="00402BD7">
        <w:t xml:space="preserve"> </w:t>
      </w:r>
      <w:r w:rsidRPr="00402BD7">
        <w:rPr>
          <w:b/>
        </w:rPr>
        <w:t>Le type de joint choisi pour relier le tuyau aux raccords doit satisfaire aux essais décrits au paragraphe 1.7, a</w:t>
      </w:r>
      <w:r w:rsidRPr="00402BD7">
        <w:rPr>
          <w:b/>
        </w:rPr>
        <w:t>insi qu’aux essais mentionnés dans les annexes 5A et 5B</w:t>
      </w:r>
      <w:r w:rsidRPr="00402BD7">
        <w:t>.</w:t>
      </w:r>
    </w:p>
    <w:p w:rsidR="0076155A" w:rsidRPr="00402BD7" w:rsidRDefault="002336AB" w:rsidP="001B35D5">
      <w:pPr>
        <w:pStyle w:val="SingleTxtG"/>
        <w:ind w:left="2268" w:hanging="1134"/>
        <w:rPr>
          <w:b/>
        </w:rPr>
      </w:pPr>
      <w:r w:rsidRPr="00402BD7">
        <w:tab/>
      </w:r>
      <w:r w:rsidR="001B35D5">
        <w:tab/>
      </w:r>
      <w:r w:rsidRPr="00402BD7">
        <w:rPr>
          <w:b/>
        </w:rPr>
        <w:t>Lorsqu’on utilise un joint de type souple (par exemple un joint torique), celui-ci doit être essayé conformément aux procédures décrites dans les annexes 5D, 5F et 5G</w:t>
      </w:r>
      <w:r w:rsidRPr="00402BD7">
        <w:t>.</w:t>
      </w:r>
      <w:r w:rsidR="001B35D5">
        <w:t> </w:t>
      </w:r>
      <w:r w:rsidRPr="00402BD7">
        <w:t>».</w:t>
      </w:r>
    </w:p>
    <w:p w:rsidR="0076155A" w:rsidRPr="00402BD7" w:rsidRDefault="002336AB" w:rsidP="001B35D5">
      <w:pPr>
        <w:pStyle w:val="HChG"/>
      </w:pPr>
      <w:r w:rsidRPr="00402BD7">
        <w:tab/>
        <w:t>II.</w:t>
      </w:r>
      <w:r w:rsidRPr="00402BD7">
        <w:tab/>
        <w:t>Justification</w:t>
      </w:r>
    </w:p>
    <w:p w:rsidR="0076155A" w:rsidRPr="00402BD7" w:rsidRDefault="002336AB" w:rsidP="001B35D5">
      <w:pPr>
        <w:pStyle w:val="SingleTxtG"/>
        <w:numPr>
          <w:ilvl w:val="0"/>
          <w:numId w:val="15"/>
        </w:numPr>
        <w:ind w:left="1134" w:firstLine="0"/>
      </w:pPr>
      <w:r w:rsidRPr="00402BD7">
        <w:t xml:space="preserve">La </w:t>
      </w:r>
      <w:r w:rsidRPr="00402BD7">
        <w:t>présente proposition tend à éviter les prescriptions restrictives en matière de conception et à ajouter des prescriptions favorisant une meilleure efficacité.</w:t>
      </w:r>
    </w:p>
    <w:p w:rsidR="0076155A" w:rsidRPr="00402BD7" w:rsidRDefault="002336AB" w:rsidP="001B35D5">
      <w:pPr>
        <w:pStyle w:val="SingleTxtG"/>
        <w:numPr>
          <w:ilvl w:val="0"/>
          <w:numId w:val="15"/>
        </w:numPr>
        <w:ind w:left="1134" w:firstLine="0"/>
      </w:pPr>
      <w:r w:rsidRPr="00402BD7">
        <w:t>Il s’agit aussi de tenir compte, dans les dispositions du Règlement ONU No 110, des progrès techn</w:t>
      </w:r>
      <w:r w:rsidRPr="00402BD7">
        <w:t>iques actuels afin de pouvoir employer des technologies autres que les interfaces métal/métal, en utilisant un cône d’étanchéité doté d’un demi-angle vertical de 45° permettant d’assurer un niveau de sécurité et de durabilité suffisant. Ces technologies de</w:t>
      </w:r>
      <w:r w:rsidRPr="00402BD7">
        <w:t>vraient être admises dans le cadre du Règlement ONU No 110, pour autant que l’assemblage des tuyaux et des raccords satisfasse à l’essai d’impulsion de pression décrit au paragraphe 1.7 ainsi qu’aux essais décrits dans les annexes 5A (essai de surpression)</w:t>
      </w:r>
      <w:r w:rsidRPr="00402BD7">
        <w:t xml:space="preserve"> et 5B (essai d’étanchéité vers l’extérieur).</w:t>
      </w:r>
    </w:p>
    <w:p w:rsidR="00402BD7" w:rsidRDefault="002336AB" w:rsidP="001B35D5">
      <w:pPr>
        <w:pStyle w:val="SingleTxtG"/>
        <w:numPr>
          <w:ilvl w:val="0"/>
          <w:numId w:val="15"/>
        </w:numPr>
        <w:ind w:left="1134" w:firstLine="0"/>
      </w:pPr>
      <w:r w:rsidRPr="00402BD7">
        <w:t>Lorsqu’on utilise un joint de type souple (par exemple un joint torique), il est impératif de faire la démonstration que le matériau qui le compose est compatible avec les conditions d’utilisation prévues, en p</w:t>
      </w:r>
      <w:r w:rsidRPr="00402BD7">
        <w:t>rocédant aux essais décrits dans les annexes 5D (essai de compatibilité GNC/GNL), 5F (essai de résistance à la chaleur sèche) et 5G (essai de tenue à l’ozone).</w:t>
      </w:r>
    </w:p>
    <w:p w:rsidR="001B35D5" w:rsidRPr="001B35D5" w:rsidRDefault="001B35D5" w:rsidP="001B35D5">
      <w:pPr>
        <w:pStyle w:val="SingleTxtG"/>
        <w:spacing w:before="240" w:after="0"/>
        <w:jc w:val="center"/>
        <w:rPr>
          <w:u w:val="single"/>
        </w:rPr>
      </w:pPr>
      <w:r>
        <w:rPr>
          <w:u w:val="single"/>
        </w:rPr>
        <w:tab/>
      </w:r>
      <w:r>
        <w:rPr>
          <w:u w:val="single"/>
        </w:rPr>
        <w:tab/>
      </w:r>
      <w:r>
        <w:rPr>
          <w:u w:val="single"/>
        </w:rPr>
        <w:tab/>
      </w:r>
    </w:p>
    <w:sectPr w:rsidR="001B35D5" w:rsidRPr="001B35D5" w:rsidSect="00402BD7">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8DC" w:rsidRDefault="00D518DC" w:rsidP="00F95C08">
      <w:pPr>
        <w:spacing w:line="240" w:lineRule="auto"/>
      </w:pPr>
    </w:p>
  </w:endnote>
  <w:endnote w:type="continuationSeparator" w:id="0">
    <w:p w:rsidR="00D518DC" w:rsidRPr="00AC3823" w:rsidRDefault="00D518DC" w:rsidP="00AC3823">
      <w:pPr>
        <w:pStyle w:val="Footer"/>
      </w:pPr>
    </w:p>
  </w:endnote>
  <w:endnote w:type="continuationNotice" w:id="1">
    <w:p w:rsidR="00D518DC" w:rsidRDefault="00D518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BD7" w:rsidRPr="00402BD7" w:rsidRDefault="00402BD7" w:rsidP="00402BD7">
    <w:pPr>
      <w:pStyle w:val="Footer"/>
      <w:tabs>
        <w:tab w:val="right" w:pos="9638"/>
      </w:tabs>
    </w:pPr>
    <w:r w:rsidRPr="00402BD7">
      <w:rPr>
        <w:b/>
        <w:sz w:val="18"/>
      </w:rPr>
      <w:fldChar w:fldCharType="begin"/>
    </w:r>
    <w:r w:rsidRPr="00402BD7">
      <w:rPr>
        <w:b/>
        <w:sz w:val="18"/>
      </w:rPr>
      <w:instrText xml:space="preserve"> PAGE  \* MERGEFORMAT </w:instrText>
    </w:r>
    <w:r w:rsidRPr="00402BD7">
      <w:rPr>
        <w:b/>
        <w:sz w:val="18"/>
      </w:rPr>
      <w:fldChar w:fldCharType="separate"/>
    </w:r>
    <w:r w:rsidR="002336AB">
      <w:rPr>
        <w:b/>
        <w:noProof/>
        <w:sz w:val="18"/>
      </w:rPr>
      <w:t>2</w:t>
    </w:r>
    <w:r w:rsidRPr="00402BD7">
      <w:rPr>
        <w:b/>
        <w:sz w:val="18"/>
      </w:rPr>
      <w:fldChar w:fldCharType="end"/>
    </w:r>
    <w:r>
      <w:rPr>
        <w:b/>
        <w:sz w:val="18"/>
      </w:rPr>
      <w:tab/>
    </w:r>
    <w:r>
      <w:t>GE.16-01841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BD7" w:rsidRPr="00402BD7" w:rsidRDefault="00402BD7" w:rsidP="00402BD7">
    <w:pPr>
      <w:pStyle w:val="Footer"/>
      <w:tabs>
        <w:tab w:val="right" w:pos="9638"/>
      </w:tabs>
      <w:rPr>
        <w:b/>
        <w:sz w:val="18"/>
      </w:rPr>
    </w:pPr>
    <w:r>
      <w:t>GE.16-01841</w:t>
    </w:r>
    <w:r>
      <w:tab/>
    </w:r>
    <w:r w:rsidRPr="00402BD7">
      <w:rPr>
        <w:b/>
        <w:sz w:val="18"/>
      </w:rPr>
      <w:fldChar w:fldCharType="begin"/>
    </w:r>
    <w:r w:rsidRPr="00402BD7">
      <w:rPr>
        <w:b/>
        <w:sz w:val="18"/>
      </w:rPr>
      <w:instrText xml:space="preserve"> PAGE  \* MERGEFORMAT </w:instrText>
    </w:r>
    <w:r w:rsidRPr="00402BD7">
      <w:rPr>
        <w:b/>
        <w:sz w:val="18"/>
      </w:rPr>
      <w:fldChar w:fldCharType="separate"/>
    </w:r>
    <w:r>
      <w:rPr>
        <w:b/>
        <w:noProof/>
        <w:sz w:val="18"/>
      </w:rPr>
      <w:t>3</w:t>
    </w:r>
    <w:r w:rsidRPr="00402BD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402BD7" w:rsidRDefault="00402BD7" w:rsidP="00402BD7">
    <w:pPr>
      <w:pStyle w:val="Footer"/>
      <w:spacing w:before="120"/>
      <w:rPr>
        <w:sz w:val="20"/>
      </w:rPr>
    </w:pPr>
    <w:r>
      <w:rPr>
        <w:sz w:val="20"/>
      </w:rPr>
      <w:t>GE.</w:t>
    </w:r>
    <w:r w:rsidR="007F20FA">
      <w:rPr>
        <w:noProof/>
        <w:lang w:val="en-US"/>
      </w:rPr>
      <w:drawing>
        <wp:anchor distT="0" distB="0" distL="114300" distR="114300" simplePos="0" relativeHeight="251659264" behindDoc="0" locked="0" layoutInCell="1" allowOverlap="0" wp14:anchorId="3FE27330" wp14:editId="6D69D6EB">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16-01841  (F)    260216    150316</w:t>
    </w:r>
    <w:r>
      <w:rPr>
        <w:sz w:val="20"/>
      </w:rPr>
      <w:br/>
    </w:r>
    <w:r w:rsidRPr="00402BD7">
      <w:rPr>
        <w:rFonts w:ascii="C39T30Lfz" w:hAnsi="C39T30Lfz"/>
        <w:sz w:val="56"/>
      </w:rPr>
      <w:t></w:t>
    </w:r>
    <w:r w:rsidRPr="00402BD7">
      <w:rPr>
        <w:rFonts w:ascii="C39T30Lfz" w:hAnsi="C39T30Lfz"/>
        <w:sz w:val="56"/>
      </w:rPr>
      <w:t></w:t>
    </w:r>
    <w:r w:rsidRPr="00402BD7">
      <w:rPr>
        <w:rFonts w:ascii="C39T30Lfz" w:hAnsi="C39T30Lfz"/>
        <w:sz w:val="56"/>
      </w:rPr>
      <w:t></w:t>
    </w:r>
    <w:r w:rsidRPr="00402BD7">
      <w:rPr>
        <w:rFonts w:ascii="C39T30Lfz" w:hAnsi="C39T30Lfz"/>
        <w:sz w:val="56"/>
      </w:rPr>
      <w:t></w:t>
    </w:r>
    <w:r w:rsidRPr="00402BD7">
      <w:rPr>
        <w:rFonts w:ascii="C39T30Lfz" w:hAnsi="C39T30Lfz"/>
        <w:sz w:val="56"/>
      </w:rPr>
      <w:t></w:t>
    </w:r>
    <w:r w:rsidRPr="00402BD7">
      <w:rPr>
        <w:rFonts w:ascii="C39T30Lfz" w:hAnsi="C39T30Lfz"/>
        <w:sz w:val="56"/>
      </w:rPr>
      <w:t></w:t>
    </w:r>
    <w:r w:rsidRPr="00402BD7">
      <w:rPr>
        <w:rFonts w:ascii="C39T30Lfz" w:hAnsi="C39T30Lfz"/>
        <w:sz w:val="56"/>
      </w:rPr>
      <w:t></w:t>
    </w:r>
    <w:r w:rsidRPr="00402BD7">
      <w:rPr>
        <w:rFonts w:ascii="C39T30Lfz" w:hAnsi="C39T30Lfz"/>
        <w:sz w:val="56"/>
      </w:rPr>
      <w:t></w:t>
    </w:r>
    <w:r w:rsidRPr="00402BD7">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SG/2016/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6/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8DC" w:rsidRPr="00AC3823" w:rsidRDefault="00D518DC" w:rsidP="00AC3823">
      <w:pPr>
        <w:pStyle w:val="Footer"/>
        <w:tabs>
          <w:tab w:val="right" w:pos="2155"/>
        </w:tabs>
        <w:spacing w:after="80" w:line="240" w:lineRule="atLeast"/>
        <w:ind w:left="680"/>
        <w:rPr>
          <w:u w:val="single"/>
        </w:rPr>
      </w:pPr>
      <w:r>
        <w:rPr>
          <w:u w:val="single"/>
        </w:rPr>
        <w:tab/>
      </w:r>
    </w:p>
  </w:footnote>
  <w:footnote w:type="continuationSeparator" w:id="0">
    <w:p w:rsidR="00D518DC" w:rsidRPr="00AC3823" w:rsidRDefault="00D518DC" w:rsidP="00AC3823">
      <w:pPr>
        <w:pStyle w:val="Footer"/>
        <w:tabs>
          <w:tab w:val="right" w:pos="2155"/>
        </w:tabs>
        <w:spacing w:after="80" w:line="240" w:lineRule="atLeast"/>
        <w:ind w:left="680"/>
        <w:rPr>
          <w:u w:val="single"/>
        </w:rPr>
      </w:pPr>
      <w:r>
        <w:rPr>
          <w:u w:val="single"/>
        </w:rPr>
        <w:tab/>
      </w:r>
    </w:p>
  </w:footnote>
  <w:footnote w:type="continuationNotice" w:id="1">
    <w:p w:rsidR="00D518DC" w:rsidRPr="00AC3823" w:rsidRDefault="00D518DC">
      <w:pPr>
        <w:spacing w:line="240" w:lineRule="auto"/>
        <w:rPr>
          <w:sz w:val="2"/>
          <w:szCs w:val="2"/>
        </w:rPr>
      </w:pPr>
    </w:p>
  </w:footnote>
  <w:footnote w:id="2">
    <w:p w:rsidR="001B35D5" w:rsidRPr="001B35D5" w:rsidRDefault="001B35D5">
      <w:pPr>
        <w:pStyle w:val="FootnoteText"/>
      </w:pPr>
      <w:r>
        <w:rPr>
          <w:rStyle w:val="FootnoteReference"/>
        </w:rPr>
        <w:tab/>
      </w:r>
      <w:r w:rsidRPr="001B35D5">
        <w:rPr>
          <w:rStyle w:val="FootnoteReference"/>
          <w:sz w:val="20"/>
          <w:vertAlign w:val="baseline"/>
        </w:rPr>
        <w:t>*</w:t>
      </w:r>
      <w:r>
        <w:rPr>
          <w:rStyle w:val="FootnoteReference"/>
          <w:sz w:val="20"/>
          <w:vertAlign w:val="baseline"/>
        </w:rPr>
        <w:tab/>
      </w:r>
      <w:r>
        <w:t>Conformément au programme de travail du Comité des transports intérieurs pour la période 2014-2018 (ECE/TRANS/240, par. 105, et ECE/TRANS/2014/26, activité 02.4), le Forum mondial a pour mission d’élaborer, d’harmoniser et de mettre à jour les Règlements en vue d’améliorer les caractéristiques fonctionnelles des véhicules. Le présent document est soumis en vertu de ce mandat</w:t>
      </w:r>
      <w:r w:rsidRPr="009D52E9">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BD7" w:rsidRPr="00402BD7" w:rsidRDefault="00402BD7">
    <w:pPr>
      <w:pStyle w:val="Header"/>
    </w:pPr>
    <w:r>
      <w:t>ECE/TRANS/WP.29/GRSG/2016/8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BD7" w:rsidRPr="00402BD7" w:rsidRDefault="00402BD7" w:rsidP="00402BD7">
    <w:pPr>
      <w:pStyle w:val="Header"/>
      <w:jc w:val="right"/>
    </w:pPr>
    <w:r>
      <w:t>ECE/TRANS/WP.29/GRSG/2016/8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E1924E1"/>
    <w:multiLevelType w:val="hybridMultilevel"/>
    <w:tmpl w:val="2260283A"/>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A8A5E0C"/>
    <w:multiLevelType w:val="hybridMultilevel"/>
    <w:tmpl w:val="F49C8908"/>
    <w:lvl w:ilvl="0" w:tplc="100C000F">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DC"/>
    <w:rsid w:val="00017F94"/>
    <w:rsid w:val="00023842"/>
    <w:rsid w:val="000334F9"/>
    <w:rsid w:val="0007796D"/>
    <w:rsid w:val="000B7790"/>
    <w:rsid w:val="00111F2F"/>
    <w:rsid w:val="0014365E"/>
    <w:rsid w:val="00143C66"/>
    <w:rsid w:val="00176178"/>
    <w:rsid w:val="001B35D5"/>
    <w:rsid w:val="001F525A"/>
    <w:rsid w:val="00223272"/>
    <w:rsid w:val="002336AB"/>
    <w:rsid w:val="0024779E"/>
    <w:rsid w:val="00257168"/>
    <w:rsid w:val="002744B8"/>
    <w:rsid w:val="002832AC"/>
    <w:rsid w:val="002D7C93"/>
    <w:rsid w:val="002E7C2B"/>
    <w:rsid w:val="00305801"/>
    <w:rsid w:val="003916DE"/>
    <w:rsid w:val="00402BD7"/>
    <w:rsid w:val="00441C3B"/>
    <w:rsid w:val="00446FE5"/>
    <w:rsid w:val="00452396"/>
    <w:rsid w:val="004837D8"/>
    <w:rsid w:val="004E468C"/>
    <w:rsid w:val="005505B7"/>
    <w:rsid w:val="00573BE5"/>
    <w:rsid w:val="00586ED3"/>
    <w:rsid w:val="00596AA9"/>
    <w:rsid w:val="006E2DA1"/>
    <w:rsid w:val="0071601D"/>
    <w:rsid w:val="007823DF"/>
    <w:rsid w:val="007A62E6"/>
    <w:rsid w:val="007F20FA"/>
    <w:rsid w:val="0080684C"/>
    <w:rsid w:val="00871C75"/>
    <w:rsid w:val="008776DC"/>
    <w:rsid w:val="009705C8"/>
    <w:rsid w:val="009C1CF4"/>
    <w:rsid w:val="009F6B74"/>
    <w:rsid w:val="00A30353"/>
    <w:rsid w:val="00AC3823"/>
    <w:rsid w:val="00AE323C"/>
    <w:rsid w:val="00AF0CB5"/>
    <w:rsid w:val="00B00181"/>
    <w:rsid w:val="00B00B0D"/>
    <w:rsid w:val="00B765F7"/>
    <w:rsid w:val="00BA0CA9"/>
    <w:rsid w:val="00BF1DE3"/>
    <w:rsid w:val="00C02897"/>
    <w:rsid w:val="00D3439C"/>
    <w:rsid w:val="00D518DC"/>
    <w:rsid w:val="00DB1831"/>
    <w:rsid w:val="00DD3BFD"/>
    <w:rsid w:val="00DF667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01D0D1-B6C4-4092-9008-B234ACA1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ECE/TRANS/WP.29/GRSG/2016/8</vt:lpstr>
      <vt:lpstr>ECE/TRANS/WP.29/GRSG/2016/8</vt:lpstr>
    </vt:vector>
  </TitlesOfParts>
  <Company>DCM</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ECE/TRANS/WP.29/GRSG/2016/8</dc:title>
  <dc:creator>Fabienne Crelier</dc:creator>
  <cp:lastModifiedBy>Caillot</cp:lastModifiedBy>
  <cp:revision>2</cp:revision>
  <cp:lastPrinted>2016-03-15T07:41:00Z</cp:lastPrinted>
  <dcterms:created xsi:type="dcterms:W3CDTF">2016-03-15T17:36:00Z</dcterms:created>
  <dcterms:modified xsi:type="dcterms:W3CDTF">2016-03-15T17:36:00Z</dcterms:modified>
</cp:coreProperties>
</file>