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9B" w:rsidRDefault="00367F9B" w:rsidP="00367F9B">
      <w:pPr>
        <w:spacing w:line="240" w:lineRule="auto"/>
        <w:rPr>
          <w:sz w:val="2"/>
        </w:rPr>
        <w:sectPr w:rsidR="00367F9B" w:rsidSect="00367F9B">
          <w:headerReference w:type="even" r:id="rId8"/>
          <w:headerReference w:type="default" r:id="rId9"/>
          <w:footerReference w:type="even" r:id="rId10"/>
          <w:footerReference w:type="default" r:id="rId11"/>
          <w:headerReference w:type="first" r:id="rId12"/>
          <w:footerReference w:type="first" r:id="rId13"/>
          <w:pgSz w:w="11909" w:h="16834"/>
          <w:pgMar w:top="1742" w:right="936" w:bottom="1898" w:left="936" w:header="576" w:footer="1030" w:gutter="0"/>
          <w:cols w:space="720"/>
          <w:titlePg/>
          <w:docGrid w:linePitch="360"/>
        </w:sectPr>
      </w:pPr>
      <w:bookmarkStart w:id="0" w:name="_GoBack"/>
      <w:bookmarkEnd w:id="0"/>
    </w:p>
    <w:p w:rsidR="00367F9B" w:rsidRDefault="00367F9B" w:rsidP="00367F9B">
      <w:pPr>
        <w:pStyle w:val="H1"/>
        <w:spacing w:after="120"/>
        <w:rPr>
          <w:sz w:val="28"/>
        </w:rPr>
      </w:pPr>
      <w:r>
        <w:rPr>
          <w:sz w:val="28"/>
        </w:rPr>
        <w:lastRenderedPageBreak/>
        <w:t>Commission économique pour l’Europe</w:t>
      </w:r>
    </w:p>
    <w:p w:rsidR="00367F9B" w:rsidRDefault="00367F9B" w:rsidP="00367F9B">
      <w:pPr>
        <w:pStyle w:val="H1"/>
        <w:spacing w:after="120" w:line="300" w:lineRule="exact"/>
        <w:rPr>
          <w:b w:val="0"/>
          <w:sz w:val="28"/>
        </w:rPr>
      </w:pPr>
      <w:r>
        <w:rPr>
          <w:b w:val="0"/>
          <w:sz w:val="28"/>
        </w:rPr>
        <w:t>Comité des transports intérieurs</w:t>
      </w:r>
    </w:p>
    <w:p w:rsidR="004855DC" w:rsidRDefault="004855DC" w:rsidP="00DC0893">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880DB3">
        <w:rPr>
          <w:lang w:val="fr-FR"/>
        </w:rPr>
        <w:t xml:space="preserve">Forum mondial de l’harmonisation des Règlements </w:t>
      </w:r>
      <w:r w:rsidR="00DC0893">
        <w:rPr>
          <w:lang w:val="fr-FR"/>
        </w:rPr>
        <w:br/>
      </w:r>
      <w:r w:rsidRPr="00880DB3">
        <w:rPr>
          <w:lang w:val="fr-FR"/>
        </w:rPr>
        <w:t>concernant les véhicules</w:t>
      </w:r>
    </w:p>
    <w:p w:rsidR="00DC0893" w:rsidRPr="00DC0893" w:rsidRDefault="00DC0893" w:rsidP="00DC0893">
      <w:pPr>
        <w:spacing w:line="120" w:lineRule="exact"/>
        <w:rPr>
          <w:sz w:val="10"/>
          <w:lang w:val="fr-FR"/>
        </w:rPr>
      </w:pPr>
    </w:p>
    <w:p w:rsidR="004855DC" w:rsidRDefault="004855DC" w:rsidP="00DC0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880DB3">
        <w:rPr>
          <w:lang w:val="fr-FR"/>
        </w:rPr>
        <w:t>Groupe de travail en matière de roulement et de freinage</w:t>
      </w:r>
    </w:p>
    <w:p w:rsidR="00DC0893" w:rsidRPr="00DC0893" w:rsidRDefault="00DC0893" w:rsidP="00DC0893">
      <w:pPr>
        <w:spacing w:line="120" w:lineRule="exact"/>
        <w:rPr>
          <w:sz w:val="10"/>
          <w:lang w:val="fr-FR"/>
        </w:rPr>
      </w:pPr>
    </w:p>
    <w:p w:rsidR="004855DC" w:rsidRPr="00880DB3" w:rsidRDefault="004855DC" w:rsidP="00DC0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880DB3">
        <w:rPr>
          <w:lang w:val="fr-FR"/>
        </w:rPr>
        <w:t>Quatre-vingt-unième session</w:t>
      </w:r>
    </w:p>
    <w:p w:rsidR="004855DC" w:rsidRPr="00880DB3" w:rsidRDefault="004855DC" w:rsidP="00DC0893">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880DB3">
        <w:rPr>
          <w:lang w:val="fr-FR"/>
        </w:rPr>
        <w:t>Genève, 1</w:t>
      </w:r>
      <w:r w:rsidRPr="00880DB3">
        <w:rPr>
          <w:vertAlign w:val="superscript"/>
          <w:lang w:val="fr-FR"/>
        </w:rPr>
        <w:t>er</w:t>
      </w:r>
      <w:r w:rsidR="00F35DB0">
        <w:rPr>
          <w:lang w:val="fr-FR"/>
        </w:rPr>
        <w:t>-5 février 2015</w:t>
      </w:r>
    </w:p>
    <w:p w:rsidR="004855DC" w:rsidRPr="00880DB3" w:rsidRDefault="004855DC" w:rsidP="00DC0893">
      <w:pPr>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880DB3">
        <w:rPr>
          <w:lang w:val="fr-FR"/>
        </w:rPr>
        <w:t>Point 6 de l’ordre du jour provisoire</w:t>
      </w:r>
    </w:p>
    <w:p w:rsidR="004855DC" w:rsidRDefault="004855DC" w:rsidP="00DC089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880DB3">
        <w:rPr>
          <w:lang w:val="fr-FR"/>
        </w:rPr>
        <w:t>Règlement n</w:t>
      </w:r>
      <w:r w:rsidRPr="00880DB3">
        <w:rPr>
          <w:vertAlign w:val="superscript"/>
          <w:lang w:val="fr-FR"/>
        </w:rPr>
        <w:t>o</w:t>
      </w:r>
      <w:r w:rsidRPr="00880DB3">
        <w:rPr>
          <w:lang w:val="fr-FR"/>
        </w:rPr>
        <w:t xml:space="preserve"> 90 (Garnitures de frein de rechange) </w:t>
      </w:r>
    </w:p>
    <w:p w:rsidR="00DC0893" w:rsidRPr="00DC0893" w:rsidRDefault="00DC0893" w:rsidP="00DC0893">
      <w:pPr>
        <w:spacing w:line="120" w:lineRule="exact"/>
        <w:rPr>
          <w:sz w:val="10"/>
          <w:lang w:val="fr-FR"/>
        </w:rPr>
      </w:pPr>
    </w:p>
    <w:p w:rsidR="00DC0893" w:rsidRPr="00DC0893" w:rsidRDefault="00DC0893" w:rsidP="00DC0893">
      <w:pPr>
        <w:spacing w:line="120" w:lineRule="exact"/>
        <w:rPr>
          <w:sz w:val="10"/>
          <w:lang w:val="fr-FR"/>
        </w:rPr>
      </w:pPr>
    </w:p>
    <w:p w:rsidR="00DC0893" w:rsidRPr="00DC0893" w:rsidRDefault="00DC0893" w:rsidP="00DC0893">
      <w:pPr>
        <w:spacing w:line="120" w:lineRule="exact"/>
        <w:rPr>
          <w:sz w:val="10"/>
          <w:lang w:val="fr-FR"/>
        </w:rPr>
      </w:pPr>
    </w:p>
    <w:p w:rsidR="004855DC" w:rsidRDefault="004855DC" w:rsidP="00DC089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80DB3">
        <w:rPr>
          <w:lang w:val="fr-FR"/>
        </w:rPr>
        <w:tab/>
      </w:r>
      <w:r w:rsidRPr="00880DB3">
        <w:rPr>
          <w:lang w:val="fr-FR"/>
        </w:rPr>
        <w:tab/>
        <w:t xml:space="preserve">Proposition de complément à la série 02 d’amendements </w:t>
      </w:r>
      <w:r w:rsidRPr="00880DB3">
        <w:rPr>
          <w:lang w:val="fr-FR"/>
        </w:rPr>
        <w:br/>
        <w:t>au Règlement n</w:t>
      </w:r>
      <w:r w:rsidRPr="00880DB3">
        <w:rPr>
          <w:vertAlign w:val="superscript"/>
          <w:lang w:val="fr-FR"/>
        </w:rPr>
        <w:t>o</w:t>
      </w:r>
      <w:r w:rsidRPr="00880DB3">
        <w:rPr>
          <w:lang w:val="fr-FR"/>
        </w:rPr>
        <w:t> 90 (Garnitures de frein de rechange)</w:t>
      </w:r>
    </w:p>
    <w:p w:rsidR="00DC0893" w:rsidRPr="00DC0893" w:rsidRDefault="00DC0893" w:rsidP="00DC0893">
      <w:pPr>
        <w:pStyle w:val="SingleTxt"/>
        <w:spacing w:after="0" w:line="120" w:lineRule="exact"/>
        <w:rPr>
          <w:sz w:val="10"/>
          <w:lang w:val="fr-FR"/>
        </w:rPr>
      </w:pPr>
    </w:p>
    <w:p w:rsidR="00DC0893" w:rsidRPr="00DC0893" w:rsidRDefault="00DC0893" w:rsidP="00DC0893">
      <w:pPr>
        <w:pStyle w:val="SingleTxt"/>
        <w:spacing w:after="0" w:line="120" w:lineRule="exact"/>
        <w:rPr>
          <w:sz w:val="10"/>
          <w:lang w:val="fr-FR"/>
        </w:rPr>
      </w:pPr>
    </w:p>
    <w:p w:rsidR="004855DC" w:rsidRDefault="004855DC" w:rsidP="00DC089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80DB3">
        <w:rPr>
          <w:lang w:val="fr-FR"/>
        </w:rPr>
        <w:tab/>
      </w:r>
      <w:r w:rsidRPr="00880DB3">
        <w:rPr>
          <w:lang w:val="fr-FR"/>
        </w:rPr>
        <w:tab/>
        <w:t>Communication des experts de l’Italie</w:t>
      </w:r>
      <w:r w:rsidR="00DC0893" w:rsidRPr="00DC0893">
        <w:rPr>
          <w:rStyle w:val="Appelnotedebasdep"/>
          <w:b w:val="0"/>
          <w:sz w:val="20"/>
          <w:szCs w:val="20"/>
          <w:vertAlign w:val="baseline"/>
          <w:lang w:val="fr-FR"/>
        </w:rPr>
        <w:footnoteReference w:customMarkFollows="1" w:id="1"/>
        <w:t>*</w:t>
      </w:r>
    </w:p>
    <w:p w:rsidR="00DC0893" w:rsidRPr="00DC0893" w:rsidRDefault="00DC0893" w:rsidP="00DC0893">
      <w:pPr>
        <w:pStyle w:val="SingleTxt"/>
        <w:spacing w:after="0" w:line="120" w:lineRule="exact"/>
        <w:rPr>
          <w:sz w:val="10"/>
          <w:lang w:val="fr-FR"/>
        </w:rPr>
      </w:pPr>
    </w:p>
    <w:p w:rsidR="00DC0893" w:rsidRPr="00DC0893" w:rsidRDefault="00DC0893" w:rsidP="00DC0893">
      <w:pPr>
        <w:pStyle w:val="SingleTxt"/>
        <w:spacing w:after="0" w:line="120" w:lineRule="exact"/>
        <w:rPr>
          <w:sz w:val="10"/>
          <w:lang w:val="fr-FR"/>
        </w:rPr>
      </w:pPr>
    </w:p>
    <w:p w:rsidR="00367F9B" w:rsidRDefault="00DC0893" w:rsidP="00DC0893">
      <w:pPr>
        <w:pStyle w:val="SingleTxt"/>
        <w:rPr>
          <w:lang w:val="fr-FR"/>
        </w:rPr>
      </w:pPr>
      <w:r>
        <w:rPr>
          <w:lang w:val="fr-FR"/>
        </w:rPr>
        <w:tab/>
      </w:r>
      <w:r w:rsidR="004855DC" w:rsidRPr="00880DB3">
        <w:rPr>
          <w:lang w:val="fr-FR"/>
        </w:rPr>
        <w:t>Le texte ci-après, établi par les experts de l’Italie, a pour objet d’introduire dans le texte du Règlement n</w:t>
      </w:r>
      <w:r w:rsidR="004855DC" w:rsidRPr="00880DB3">
        <w:rPr>
          <w:vertAlign w:val="superscript"/>
          <w:lang w:val="fr-FR"/>
        </w:rPr>
        <w:t>o</w:t>
      </w:r>
      <w:r w:rsidR="004855DC" w:rsidRPr="00880DB3">
        <w:rPr>
          <w:lang w:val="fr-FR"/>
        </w:rPr>
        <w:t xml:space="preserve"> 90 des prescriptions applicables à l’homologation des garnitures de frein de rechange pour les véhicules de la catégorie L. Les modifications qu’il est proposé d’apporter au texte actuel du Règlement sont signalées </w:t>
      </w:r>
      <w:r w:rsidR="004855DC" w:rsidRPr="00880DB3">
        <w:rPr>
          <w:b/>
          <w:lang w:val="fr-FR"/>
        </w:rPr>
        <w:t>en caractères gras</w:t>
      </w:r>
      <w:r w:rsidR="004855DC" w:rsidRPr="00880DB3">
        <w:rPr>
          <w:lang w:val="fr-FR"/>
        </w:rPr>
        <w:t xml:space="preserve"> pour les parties nouvelles ou en caractères biffés pour les parties supprimées.</w:t>
      </w:r>
    </w:p>
    <w:p w:rsidR="004855DC" w:rsidRDefault="004855DC">
      <w:pPr>
        <w:spacing w:line="240" w:lineRule="auto"/>
        <w:rPr>
          <w:lang w:val="fr-FR"/>
        </w:rPr>
      </w:pPr>
      <w:r>
        <w:rPr>
          <w:lang w:val="fr-FR"/>
        </w:rPr>
        <w:br w:type="page"/>
      </w:r>
    </w:p>
    <w:p w:rsidR="004855DC" w:rsidRDefault="004855DC" w:rsidP="00A457C5">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80DB3">
        <w:rPr>
          <w:lang w:val="fr-FR"/>
        </w:rPr>
        <w:lastRenderedPageBreak/>
        <w:tab/>
        <w:t>I.</w:t>
      </w:r>
      <w:r w:rsidRPr="00880DB3">
        <w:rPr>
          <w:lang w:val="fr-FR"/>
        </w:rPr>
        <w:tab/>
        <w:t>Proposition</w:t>
      </w:r>
    </w:p>
    <w:p w:rsidR="00A457C5" w:rsidRPr="00A457C5" w:rsidRDefault="00A457C5" w:rsidP="00A457C5">
      <w:pPr>
        <w:pStyle w:val="SingleTxt"/>
        <w:spacing w:after="0" w:line="120" w:lineRule="exact"/>
        <w:rPr>
          <w:sz w:val="10"/>
          <w:lang w:val="fr-FR"/>
        </w:rPr>
      </w:pPr>
    </w:p>
    <w:p w:rsidR="00A457C5" w:rsidRPr="00A457C5" w:rsidRDefault="00A457C5" w:rsidP="00A457C5">
      <w:pPr>
        <w:pStyle w:val="SingleTxt"/>
        <w:spacing w:after="0" w:line="120" w:lineRule="exact"/>
        <w:rPr>
          <w:sz w:val="10"/>
          <w:lang w:val="fr-FR"/>
        </w:rPr>
      </w:pPr>
    </w:p>
    <w:p w:rsidR="004855DC" w:rsidRPr="00880DB3" w:rsidRDefault="004855DC" w:rsidP="00A457C5">
      <w:pPr>
        <w:pStyle w:val="SingleTxt"/>
        <w:rPr>
          <w:lang w:val="fr-FR"/>
        </w:rPr>
      </w:pPr>
      <w:r w:rsidRPr="00A457C5">
        <w:rPr>
          <w:i/>
          <w:lang w:val="fr-FR"/>
        </w:rPr>
        <w:t>Ajouter un nouveau paragraphe 3.3.1.3</w:t>
      </w:r>
      <w:r w:rsidRPr="00880DB3">
        <w:rPr>
          <w:lang w:val="fr-FR"/>
        </w:rPr>
        <w:t>, libellé comme suit</w:t>
      </w:r>
      <w:r w:rsidR="00EC3054">
        <w:rPr>
          <w:lang w:val="fr-FR"/>
        </w:rPr>
        <w:t> </w:t>
      </w:r>
      <w:r w:rsidRPr="00880DB3">
        <w:rPr>
          <w:lang w:val="fr-FR"/>
        </w:rPr>
        <w:t>:</w:t>
      </w:r>
    </w:p>
    <w:p w:rsidR="004855DC" w:rsidRPr="00880DB3" w:rsidRDefault="004855DC" w:rsidP="00EC3054">
      <w:pPr>
        <w:pStyle w:val="SingleTxt"/>
        <w:ind w:left="2218" w:hanging="951"/>
        <w:rPr>
          <w:lang w:val="fr-FR"/>
        </w:rPr>
      </w:pPr>
      <w:r w:rsidRPr="00880DB3">
        <w:rPr>
          <w:lang w:val="fr-FR"/>
        </w:rPr>
        <w:t>«</w:t>
      </w:r>
      <w:r w:rsidR="00EC3054">
        <w:rPr>
          <w:lang w:val="fr-FR"/>
        </w:rPr>
        <w:t> 3.3.1.3</w:t>
      </w:r>
      <w:r w:rsidRPr="00880DB3">
        <w:rPr>
          <w:lang w:val="fr-FR"/>
        </w:rPr>
        <w:tab/>
      </w:r>
      <w:r w:rsidRPr="00EC3054">
        <w:rPr>
          <w:b/>
          <w:lang w:val="fr-FR"/>
        </w:rPr>
        <w:t>Dans le cas des garnitures de frein assemblées pour les véhicules de la catégorie L, la liste des jeux de garnitures de frein assemblées appartenant au même groupe défini conformément à l’annexe 7a. Pour chaque garniture de frein assemblée, cette liste indique: le nom et le code du fabricant de garnitures de frein, et la surface du matériau de friction (en cm</w:t>
      </w:r>
      <w:r w:rsidRPr="00EC3054">
        <w:rPr>
          <w:b/>
          <w:vertAlign w:val="superscript"/>
          <w:lang w:val="fr-FR"/>
        </w:rPr>
        <w:t>2</w:t>
      </w:r>
      <w:r w:rsidRPr="00EC3054">
        <w:rPr>
          <w:b/>
          <w:lang w:val="fr-FR"/>
        </w:rPr>
        <w:t>).</w:t>
      </w:r>
      <w:r w:rsidR="00EC3054">
        <w:rPr>
          <w:lang w:val="fr-FR"/>
        </w:rPr>
        <w:t> </w:t>
      </w:r>
      <w:r w:rsidRPr="00880DB3">
        <w:rPr>
          <w:lang w:val="fr-FR"/>
        </w:rPr>
        <w:t>».</w:t>
      </w:r>
    </w:p>
    <w:p w:rsidR="004855DC" w:rsidRPr="00880DB3" w:rsidRDefault="004855DC" w:rsidP="00EC3054">
      <w:pPr>
        <w:pStyle w:val="SingleTxt"/>
        <w:rPr>
          <w:lang w:val="fr-FR"/>
        </w:rPr>
      </w:pPr>
      <w:r w:rsidRPr="00EC3054">
        <w:rPr>
          <w:i/>
          <w:lang w:val="fr-FR"/>
        </w:rPr>
        <w:t>Ajouter un nouveau paragraphe 4.2.4</w:t>
      </w:r>
      <w:r w:rsidRPr="00880DB3">
        <w:rPr>
          <w:lang w:val="fr-FR"/>
        </w:rPr>
        <w:t>, libellé comme suit</w:t>
      </w:r>
      <w:r w:rsidR="00EC3054">
        <w:rPr>
          <w:lang w:val="fr-FR"/>
        </w:rPr>
        <w:t> </w:t>
      </w:r>
      <w:r w:rsidRPr="00880DB3">
        <w:rPr>
          <w:lang w:val="fr-FR"/>
        </w:rPr>
        <w:t>:</w:t>
      </w:r>
    </w:p>
    <w:p w:rsidR="004855DC" w:rsidRPr="00880DB3" w:rsidRDefault="004855DC" w:rsidP="00EC3054">
      <w:pPr>
        <w:pStyle w:val="SingleTxt"/>
        <w:ind w:left="2218" w:hanging="951"/>
        <w:rPr>
          <w:lang w:val="fr-FR"/>
        </w:rPr>
      </w:pPr>
      <w:r w:rsidRPr="00880DB3">
        <w:rPr>
          <w:lang w:val="fr-FR"/>
        </w:rPr>
        <w:t>«</w:t>
      </w:r>
      <w:r w:rsidR="00EC3054">
        <w:rPr>
          <w:lang w:val="fr-FR"/>
        </w:rPr>
        <w:t> </w:t>
      </w:r>
      <w:r w:rsidRPr="00880DB3">
        <w:rPr>
          <w:lang w:val="fr-FR"/>
        </w:rPr>
        <w:t>4.2.4</w:t>
      </w:r>
      <w:r w:rsidRPr="00880DB3">
        <w:rPr>
          <w:lang w:val="fr-FR"/>
        </w:rPr>
        <w:tab/>
      </w:r>
      <w:r w:rsidRPr="00880DB3">
        <w:rPr>
          <w:b/>
          <w:lang w:val="fr-FR"/>
        </w:rPr>
        <w:t>Dans le cas des garnitures de frein assemblées pour les véhicules de la catégorie L, les garnitures de frein assemblées appartenant au même groupe défini selon les critères de l’annexe</w:t>
      </w:r>
      <w:r w:rsidR="00EC3054">
        <w:rPr>
          <w:b/>
          <w:lang w:val="fr-FR"/>
        </w:rPr>
        <w:t> </w:t>
      </w:r>
      <w:r w:rsidRPr="00880DB3">
        <w:rPr>
          <w:b/>
          <w:lang w:val="fr-FR"/>
        </w:rPr>
        <w:t>7a doivent être affectées au même numéro d’agrément que celui attribué à la garniture de frein assemblée représentative.</w:t>
      </w:r>
      <w:r w:rsidR="00EC3054">
        <w:rPr>
          <w:b/>
          <w:lang w:val="fr-FR"/>
        </w:rPr>
        <w:t> </w:t>
      </w:r>
      <w:r w:rsidRPr="00880DB3">
        <w:rPr>
          <w:lang w:val="fr-FR"/>
        </w:rPr>
        <w:t>».</w:t>
      </w:r>
    </w:p>
    <w:p w:rsidR="004855DC" w:rsidRPr="00880DB3" w:rsidRDefault="004855DC" w:rsidP="004855DC">
      <w:pPr>
        <w:pStyle w:val="SingleTxt"/>
        <w:rPr>
          <w:lang w:val="fr-FR"/>
        </w:rPr>
      </w:pPr>
      <w:r w:rsidRPr="00880DB3">
        <w:rPr>
          <w:i/>
          <w:lang w:val="fr-FR"/>
        </w:rPr>
        <w:t>Paragraphe 5.2.1.5</w:t>
      </w:r>
      <w:r w:rsidRPr="00880DB3">
        <w:rPr>
          <w:lang w:val="fr-FR"/>
        </w:rPr>
        <w:t>, modifier comme suit (la note de bas de page reste inchangée)</w:t>
      </w:r>
      <w:r w:rsidR="00EC3054">
        <w:rPr>
          <w:lang w:val="fr-FR"/>
        </w:rPr>
        <w:t> </w:t>
      </w:r>
      <w:r w:rsidRPr="00880DB3">
        <w:rPr>
          <w:lang w:val="fr-FR"/>
        </w:rPr>
        <w:t>:</w:t>
      </w:r>
    </w:p>
    <w:p w:rsidR="004855DC" w:rsidRPr="00880DB3" w:rsidRDefault="004855DC" w:rsidP="007322F6">
      <w:pPr>
        <w:pStyle w:val="SingleTxt"/>
        <w:ind w:left="2218" w:hanging="951"/>
        <w:jc w:val="left"/>
        <w:rPr>
          <w:lang w:val="fr-FR"/>
        </w:rPr>
      </w:pPr>
      <w:r w:rsidRPr="00880DB3">
        <w:rPr>
          <w:lang w:val="fr-FR"/>
        </w:rPr>
        <w:t>«</w:t>
      </w:r>
      <w:r w:rsidR="00EC3054">
        <w:rPr>
          <w:lang w:val="fr-FR"/>
        </w:rPr>
        <w:t> </w:t>
      </w:r>
      <w:r w:rsidRPr="00880DB3">
        <w:rPr>
          <w:lang w:val="fr-FR"/>
        </w:rPr>
        <w:t>5.2.1.5</w:t>
      </w:r>
      <w:r w:rsidRPr="00880DB3">
        <w:rPr>
          <w:lang w:val="fr-FR"/>
        </w:rPr>
        <w:tab/>
        <w:t xml:space="preserve">Garnitures de frein assemblées de rechange pour les véhicules </w:t>
      </w:r>
      <w:r w:rsidR="007322F6">
        <w:rPr>
          <w:lang w:val="fr-FR"/>
        </w:rPr>
        <w:br/>
      </w:r>
      <w:r w:rsidRPr="00880DB3">
        <w:rPr>
          <w:lang w:val="fr-FR"/>
        </w:rPr>
        <w:t>de la catégorie L</w:t>
      </w:r>
    </w:p>
    <w:p w:rsidR="004855DC" w:rsidRPr="00D642AC" w:rsidRDefault="00D642AC" w:rsidP="00D642AC">
      <w:pPr>
        <w:pStyle w:val="SingleTxt"/>
        <w:ind w:left="2218" w:hanging="951"/>
        <w:rPr>
          <w:b/>
          <w:lang w:val="fr-FR"/>
        </w:rPr>
      </w:pPr>
      <w:r>
        <w:rPr>
          <w:b/>
          <w:lang w:val="fr-FR"/>
        </w:rPr>
        <w:tab/>
      </w:r>
      <w:r>
        <w:rPr>
          <w:b/>
          <w:lang w:val="fr-FR"/>
        </w:rPr>
        <w:tab/>
      </w:r>
      <w:r w:rsidR="004855DC" w:rsidRPr="00D642AC">
        <w:rPr>
          <w:b/>
          <w:lang w:val="fr-FR"/>
        </w:rPr>
        <w:t>Il est permis de considérer la vérification d’une garniture de frein assemblée comme représentative d’un groupe de garnitures de frein assemblées, regroupées selon les critères définis à l’annexe 7a.</w:t>
      </w:r>
    </w:p>
    <w:p w:rsidR="004855DC" w:rsidRPr="00880DB3" w:rsidRDefault="00D642AC" w:rsidP="00D642AC">
      <w:pPr>
        <w:pStyle w:val="SingleTxt"/>
        <w:ind w:left="2218" w:hanging="951"/>
        <w:rPr>
          <w:b/>
          <w:lang w:val="fr-FR"/>
        </w:rPr>
      </w:pPr>
      <w:r>
        <w:rPr>
          <w:b/>
          <w:lang w:val="fr-FR"/>
        </w:rPr>
        <w:tab/>
      </w:r>
      <w:r>
        <w:rPr>
          <w:b/>
          <w:lang w:val="fr-FR"/>
        </w:rPr>
        <w:tab/>
      </w:r>
      <w:r w:rsidR="004855DC" w:rsidRPr="00880DB3">
        <w:rPr>
          <w:b/>
          <w:lang w:val="fr-FR"/>
        </w:rPr>
        <w:t>La garniture de frein représentative est réputée constituer le cas le plus défavorable.</w:t>
      </w:r>
    </w:p>
    <w:p w:rsidR="004855DC" w:rsidRPr="00880DB3" w:rsidRDefault="00D642AC" w:rsidP="00D642AC">
      <w:pPr>
        <w:pStyle w:val="SingleTxt"/>
        <w:ind w:left="2218" w:hanging="951"/>
        <w:rPr>
          <w:lang w:val="fr-FR"/>
        </w:rPr>
      </w:pPr>
      <w:r>
        <w:rPr>
          <w:b/>
          <w:lang w:val="fr-FR"/>
        </w:rPr>
        <w:tab/>
      </w:r>
      <w:r>
        <w:rPr>
          <w:b/>
          <w:lang w:val="fr-FR"/>
        </w:rPr>
        <w:tab/>
      </w:r>
      <w:r w:rsidR="004855DC" w:rsidRPr="00880DB3">
        <w:rPr>
          <w:b/>
          <w:lang w:val="fr-FR"/>
        </w:rPr>
        <w:t>Les résultats obtenus avec la garniture de frein représentative sont réputés valables pour toutes les garnitures de frein assemblées appartenant au même groupe défini selon les critères de regroupement tels qu’énoncés à l’annexe 7a.</w:t>
      </w:r>
    </w:p>
    <w:p w:rsidR="004855DC" w:rsidRPr="00880DB3" w:rsidRDefault="00D642AC" w:rsidP="00D642AC">
      <w:pPr>
        <w:pStyle w:val="SingleTxt"/>
        <w:ind w:left="2218" w:hanging="951"/>
        <w:rPr>
          <w:lang w:val="fr-FR"/>
        </w:rPr>
      </w:pPr>
      <w:r>
        <w:rPr>
          <w:lang w:val="fr-FR"/>
        </w:rPr>
        <w:tab/>
      </w:r>
      <w:r>
        <w:rPr>
          <w:lang w:val="fr-FR"/>
        </w:rPr>
        <w:tab/>
      </w:r>
      <w:r w:rsidR="004855DC" w:rsidRPr="00880DB3">
        <w:rPr>
          <w:lang w:val="fr-FR"/>
        </w:rPr>
        <w:t>Au moins un jeu de</w:t>
      </w:r>
      <w:r w:rsidR="004855DC" w:rsidRPr="00880DB3">
        <w:rPr>
          <w:b/>
          <w:lang w:val="fr-FR"/>
        </w:rPr>
        <w:t>s</w:t>
      </w:r>
      <w:r w:rsidR="004855DC" w:rsidRPr="00880DB3">
        <w:rPr>
          <w:lang w:val="fr-FR"/>
        </w:rPr>
        <w:t xml:space="preserve"> garnitures de frein assemblées de rechange </w:t>
      </w:r>
      <w:r w:rsidR="004855DC" w:rsidRPr="00880DB3">
        <w:rPr>
          <w:b/>
          <w:lang w:val="fr-FR"/>
        </w:rPr>
        <w:t>sélectionnées</w:t>
      </w:r>
      <w:r w:rsidR="004855DC" w:rsidRPr="00880DB3">
        <w:rPr>
          <w:lang w:val="fr-FR"/>
        </w:rPr>
        <w:t>, représentant le type de garniture à homologuer, doit être installé et soumis à des essais sur au moins un véhicule, représentatif du type de véhicule pour lequel l’homologation est demandée, conformément aux prescriptions de l’annexe 7; il doit satisfaire aux prescriptions énoncées dans ladite annexe. Le ou les véhicules représentatifs doivent être sélectionnés parmi la gamme de véhicules sur lesquels ces garnitures sont utilisées, sur la base d’une analyse du cas le plus défavorable</w:t>
      </w:r>
      <w:r w:rsidR="004855DC" w:rsidRPr="00880DB3">
        <w:rPr>
          <w:vertAlign w:val="superscript"/>
          <w:lang w:val="fr-FR"/>
        </w:rPr>
        <w:t>4</w:t>
      </w:r>
      <w:r w:rsidR="004855DC" w:rsidRPr="00880DB3">
        <w:rPr>
          <w:lang w:val="fr-FR"/>
        </w:rPr>
        <w:t>.</w:t>
      </w:r>
      <w:r w:rsidR="005657BE">
        <w:rPr>
          <w:lang w:val="fr-FR"/>
        </w:rPr>
        <w:t> </w:t>
      </w:r>
      <w:r w:rsidR="004855DC" w:rsidRPr="00880DB3">
        <w:rPr>
          <w:lang w:val="fr-FR"/>
        </w:rPr>
        <w:t>».</w:t>
      </w:r>
    </w:p>
    <w:p w:rsidR="004855DC" w:rsidRDefault="004855DC" w:rsidP="004855DC">
      <w:pPr>
        <w:pStyle w:val="SingleTxt"/>
        <w:rPr>
          <w:lang w:val="fr-FR"/>
        </w:rPr>
      </w:pPr>
      <w:r w:rsidRPr="00880DB3">
        <w:rPr>
          <w:i/>
          <w:lang w:val="fr-FR"/>
        </w:rPr>
        <w:t>Ajouter une nouvelle annexe 7a, libellée comme suit</w:t>
      </w:r>
      <w:r w:rsidR="005657BE">
        <w:rPr>
          <w:i/>
          <w:lang w:val="fr-FR"/>
        </w:rPr>
        <w:t> </w:t>
      </w:r>
      <w:r w:rsidRPr="005657BE">
        <w:rPr>
          <w:lang w:val="fr-FR"/>
        </w:rPr>
        <w:t>:</w:t>
      </w:r>
    </w:p>
    <w:p w:rsidR="005657BE" w:rsidRPr="005657BE" w:rsidRDefault="005657BE" w:rsidP="005657BE">
      <w:pPr>
        <w:pStyle w:val="SingleTxt"/>
        <w:spacing w:after="0" w:line="120" w:lineRule="exact"/>
        <w:rPr>
          <w:sz w:val="10"/>
          <w:lang w:val="fr-FR"/>
        </w:rPr>
      </w:pPr>
    </w:p>
    <w:p w:rsidR="005657BE" w:rsidRPr="005657BE" w:rsidRDefault="005657BE" w:rsidP="005657BE">
      <w:pPr>
        <w:pStyle w:val="SingleTxt"/>
        <w:spacing w:after="0" w:line="120" w:lineRule="exact"/>
        <w:rPr>
          <w:i/>
          <w:sz w:val="10"/>
          <w:lang w:val="fr-FR"/>
        </w:rPr>
      </w:pPr>
    </w:p>
    <w:p w:rsidR="004855DC" w:rsidRDefault="004855DC" w:rsidP="005657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80DB3">
        <w:rPr>
          <w:lang w:val="fr-FR"/>
        </w:rPr>
        <w:tab/>
      </w:r>
      <w:r w:rsidRPr="00880DB3">
        <w:rPr>
          <w:lang w:val="fr-FR"/>
        </w:rPr>
        <w:tab/>
        <w:t>«</w:t>
      </w:r>
      <w:r w:rsidR="005657BE">
        <w:rPr>
          <w:lang w:val="fr-FR"/>
        </w:rPr>
        <w:t> </w:t>
      </w:r>
      <w:r w:rsidRPr="00880DB3">
        <w:rPr>
          <w:lang w:val="fr-FR"/>
        </w:rPr>
        <w:t xml:space="preserve">Critères de définition des groupes de garnitures de frein </w:t>
      </w:r>
      <w:r w:rsidRPr="00880DB3">
        <w:rPr>
          <w:lang w:val="fr-FR"/>
        </w:rPr>
        <w:br/>
        <w:t>pour les véhicules de la catégorie L</w:t>
      </w:r>
    </w:p>
    <w:p w:rsidR="005657BE" w:rsidRPr="005657BE" w:rsidRDefault="005657BE" w:rsidP="005657BE">
      <w:pPr>
        <w:pStyle w:val="SingleTxt"/>
        <w:spacing w:after="0" w:line="120" w:lineRule="exact"/>
        <w:rPr>
          <w:sz w:val="10"/>
          <w:lang w:val="fr-FR"/>
        </w:rPr>
      </w:pPr>
    </w:p>
    <w:p w:rsidR="005657BE" w:rsidRPr="005657BE" w:rsidRDefault="005657BE" w:rsidP="005657BE">
      <w:pPr>
        <w:pStyle w:val="SingleTxt"/>
        <w:spacing w:after="0" w:line="120" w:lineRule="exact"/>
        <w:rPr>
          <w:sz w:val="10"/>
          <w:lang w:val="fr-FR"/>
        </w:rPr>
      </w:pPr>
    </w:p>
    <w:p w:rsidR="004855DC" w:rsidRDefault="005657BE" w:rsidP="005657B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7322F6">
        <w:rPr>
          <w:lang w:val="fr-FR"/>
        </w:rPr>
        <w:tab/>
      </w:r>
      <w:r w:rsidR="004855DC" w:rsidRPr="00880DB3">
        <w:rPr>
          <w:lang w:val="fr-FR"/>
        </w:rPr>
        <w:t>1.</w:t>
      </w:r>
      <w:r w:rsidR="004855DC" w:rsidRPr="00880DB3">
        <w:rPr>
          <w:lang w:val="fr-FR"/>
        </w:rPr>
        <w:tab/>
      </w:r>
      <w:r w:rsidR="007322F6">
        <w:rPr>
          <w:lang w:val="fr-FR"/>
        </w:rPr>
        <w:tab/>
      </w:r>
      <w:r w:rsidR="004855DC" w:rsidRPr="00880DB3">
        <w:rPr>
          <w:lang w:val="fr-FR"/>
        </w:rPr>
        <w:t xml:space="preserve">Critères de regroupement </w:t>
      </w:r>
    </w:p>
    <w:p w:rsidR="005657BE" w:rsidRPr="005657BE" w:rsidRDefault="005657BE" w:rsidP="005657BE">
      <w:pPr>
        <w:pStyle w:val="SingleTxt"/>
        <w:spacing w:after="0" w:line="120" w:lineRule="exact"/>
        <w:rPr>
          <w:sz w:val="10"/>
          <w:lang w:val="fr-FR"/>
        </w:rPr>
      </w:pPr>
    </w:p>
    <w:p w:rsidR="004855DC" w:rsidRPr="005657BE" w:rsidRDefault="007322F6" w:rsidP="005657BE">
      <w:pPr>
        <w:pStyle w:val="SingleTxt"/>
        <w:rPr>
          <w:b/>
          <w:lang w:val="fr-FR"/>
        </w:rPr>
      </w:pPr>
      <w:r>
        <w:rPr>
          <w:b/>
          <w:lang w:val="fr-FR"/>
        </w:rPr>
        <w:tab/>
      </w:r>
      <w:r>
        <w:rPr>
          <w:b/>
          <w:lang w:val="fr-FR"/>
        </w:rPr>
        <w:tab/>
      </w:r>
      <w:r w:rsidR="004855DC" w:rsidRPr="005657BE">
        <w:rPr>
          <w:b/>
          <w:lang w:val="fr-FR"/>
        </w:rPr>
        <w:t>Le regroupement se fait selon la méthode suivante</w:t>
      </w:r>
      <w:r w:rsidR="005657BE">
        <w:rPr>
          <w:b/>
          <w:lang w:val="fr-FR"/>
        </w:rPr>
        <w:t> </w:t>
      </w:r>
      <w:r w:rsidR="004855DC" w:rsidRPr="005657BE">
        <w:rPr>
          <w:b/>
          <w:lang w:val="fr-FR"/>
        </w:rPr>
        <w:t>:</w:t>
      </w:r>
    </w:p>
    <w:p w:rsidR="004855DC" w:rsidRPr="0086420D" w:rsidRDefault="0007530F" w:rsidP="0086420D">
      <w:pPr>
        <w:pStyle w:val="SingleTxt"/>
        <w:rPr>
          <w:b/>
          <w:lang w:val="fr-FR"/>
        </w:rPr>
      </w:pPr>
      <w:r>
        <w:rPr>
          <w:b/>
          <w:lang w:val="fr-FR"/>
        </w:rPr>
        <w:tab/>
      </w:r>
      <w:r>
        <w:rPr>
          <w:b/>
          <w:lang w:val="fr-FR"/>
        </w:rPr>
        <w:tab/>
      </w:r>
      <w:r w:rsidR="004855DC" w:rsidRPr="0086420D">
        <w:rPr>
          <w:b/>
          <w:lang w:val="fr-FR"/>
        </w:rPr>
        <w:t>a)</w:t>
      </w:r>
      <w:r w:rsidR="004855DC" w:rsidRPr="0086420D">
        <w:rPr>
          <w:b/>
          <w:lang w:val="fr-FR"/>
        </w:rPr>
        <w:tab/>
        <w:t>Selon le matériau de friction de la garniture de frein;</w:t>
      </w:r>
    </w:p>
    <w:p w:rsidR="004855DC" w:rsidRPr="0086420D" w:rsidRDefault="0007530F" w:rsidP="0007530F">
      <w:pPr>
        <w:pStyle w:val="SingleTxt"/>
        <w:ind w:left="2218" w:hanging="951"/>
        <w:rPr>
          <w:b/>
          <w:lang w:val="fr-FR"/>
        </w:rPr>
      </w:pPr>
      <w:r>
        <w:rPr>
          <w:b/>
          <w:lang w:val="fr-FR"/>
        </w:rPr>
        <w:tab/>
      </w:r>
      <w:r>
        <w:rPr>
          <w:b/>
          <w:lang w:val="fr-FR"/>
        </w:rPr>
        <w:tab/>
      </w:r>
      <w:r w:rsidR="004855DC" w:rsidRPr="0086420D">
        <w:rPr>
          <w:b/>
          <w:lang w:val="fr-FR"/>
        </w:rPr>
        <w:t>b)</w:t>
      </w:r>
      <w:r w:rsidR="004855DC" w:rsidRPr="0086420D">
        <w:rPr>
          <w:b/>
          <w:lang w:val="fr-FR"/>
        </w:rPr>
        <w:tab/>
        <w:t>Selon la surface du matériau de friction des garnitures de frein assemblées actionné par le ou les piston(s) d’un seul côté de l’étrier de frein;</w:t>
      </w:r>
    </w:p>
    <w:p w:rsidR="004855DC" w:rsidRDefault="0007530F" w:rsidP="0007530F">
      <w:pPr>
        <w:pStyle w:val="SingleTxt"/>
        <w:ind w:left="2218" w:hanging="951"/>
        <w:rPr>
          <w:b/>
          <w:lang w:val="fr-FR"/>
        </w:rPr>
      </w:pPr>
      <w:r>
        <w:rPr>
          <w:b/>
          <w:lang w:val="fr-FR"/>
        </w:rPr>
        <w:lastRenderedPageBreak/>
        <w:tab/>
      </w:r>
      <w:r>
        <w:rPr>
          <w:b/>
          <w:lang w:val="fr-FR"/>
        </w:rPr>
        <w:tab/>
      </w:r>
      <w:r w:rsidR="004855DC" w:rsidRPr="00880DB3">
        <w:rPr>
          <w:b/>
          <w:lang w:val="fr-FR"/>
        </w:rPr>
        <w:t xml:space="preserve">Par </w:t>
      </w:r>
      <w:r w:rsidR="0086420D">
        <w:rPr>
          <w:b/>
          <w:lang w:val="en-GB"/>
        </w:rPr>
        <w:t>“</w:t>
      </w:r>
      <w:r w:rsidR="004855DC" w:rsidRPr="00880DB3">
        <w:rPr>
          <w:b/>
          <w:lang w:val="fr-FR"/>
        </w:rPr>
        <w:t>surface du matériau de friction</w:t>
      </w:r>
      <w:r w:rsidR="0086420D">
        <w:rPr>
          <w:b/>
          <w:lang w:val="en-GB"/>
        </w:rPr>
        <w:t>”</w:t>
      </w:r>
      <w:r w:rsidR="004855DC" w:rsidRPr="00880DB3">
        <w:rPr>
          <w:b/>
          <w:lang w:val="fr-FR"/>
        </w:rPr>
        <w:t>, on entend toute la surface située à l’intérieur du périmètre de la garniture de frein (voir la zone hachurée rouge, fig</w:t>
      </w:r>
      <w:r w:rsidR="002A248D">
        <w:rPr>
          <w:b/>
          <w:lang w:val="fr-FR"/>
        </w:rPr>
        <w:t>. </w:t>
      </w:r>
      <w:r w:rsidR="004855DC" w:rsidRPr="00880DB3">
        <w:rPr>
          <w:b/>
          <w:lang w:val="fr-FR"/>
        </w:rPr>
        <w:t>1), ce qui exclut la présence de toute rainure et/ou chanfrein.</w:t>
      </w:r>
    </w:p>
    <w:p w:rsidR="00552928" w:rsidRPr="00552928" w:rsidRDefault="00552928" w:rsidP="00552928">
      <w:pPr>
        <w:pStyle w:val="SingleTxt"/>
        <w:spacing w:after="0" w:line="120" w:lineRule="exact"/>
        <w:rPr>
          <w:b/>
          <w:sz w:val="10"/>
          <w:lang w:val="fr-FR"/>
        </w:rPr>
      </w:pPr>
    </w:p>
    <w:p w:rsidR="004855DC" w:rsidRDefault="00552928" w:rsidP="0055292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004855DC" w:rsidRPr="00880DB3">
        <w:rPr>
          <w:lang w:val="fr-FR"/>
        </w:rPr>
        <w:tab/>
      </w:r>
      <w:r w:rsidR="0007530F">
        <w:rPr>
          <w:lang w:val="fr-FR"/>
        </w:rPr>
        <w:tab/>
      </w:r>
      <w:r w:rsidR="0007530F">
        <w:rPr>
          <w:lang w:val="fr-FR"/>
        </w:rPr>
        <w:tab/>
      </w:r>
      <w:r w:rsidR="004855DC" w:rsidRPr="00880DB3">
        <w:rPr>
          <w:lang w:val="fr-FR"/>
        </w:rPr>
        <w:t>Figure 1</w:t>
      </w:r>
    </w:p>
    <w:p w:rsidR="00552928" w:rsidRPr="00552928" w:rsidRDefault="00552928" w:rsidP="00552928">
      <w:pPr>
        <w:pStyle w:val="SingleTxt"/>
        <w:spacing w:after="0" w:line="120" w:lineRule="exact"/>
        <w:rPr>
          <w:sz w:val="10"/>
          <w:lang w:val="fr-FR"/>
        </w:rPr>
      </w:pPr>
    </w:p>
    <w:p w:rsidR="00552928" w:rsidRPr="00552928" w:rsidRDefault="00552928" w:rsidP="00552928">
      <w:pPr>
        <w:pStyle w:val="SingleTxt"/>
        <w:spacing w:after="0" w:line="120" w:lineRule="exact"/>
        <w:rPr>
          <w:sz w:val="10"/>
          <w:lang w:val="fr-FR"/>
        </w:rPr>
      </w:pPr>
    </w:p>
    <w:p w:rsidR="00BA1F39" w:rsidRPr="00BA1F39" w:rsidRDefault="00BA1F39" w:rsidP="0007530F">
      <w:pPr>
        <w:pStyle w:val="SingleTxt"/>
        <w:tabs>
          <w:tab w:val="clear" w:pos="1267"/>
          <w:tab w:val="clear" w:pos="2218"/>
          <w:tab w:val="clear" w:pos="2693"/>
          <w:tab w:val="left" w:pos="2682"/>
        </w:tabs>
        <w:spacing w:line="240" w:lineRule="auto"/>
        <w:ind w:left="2781"/>
        <w:jc w:val="left"/>
        <w:rPr>
          <w:sz w:val="10"/>
          <w:lang w:val="fr-FR"/>
        </w:rPr>
      </w:pPr>
      <w:r w:rsidRPr="00875598">
        <w:rPr>
          <w:b/>
          <w:noProof/>
          <w:lang w:val="fr-FR" w:eastAsia="fr-FR"/>
        </w:rPr>
        <w:drawing>
          <wp:inline distT="0" distB="0" distL="0" distR="0" wp14:anchorId="1CE5EA83" wp14:editId="3B627018">
            <wp:extent cx="2197735" cy="21107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735" cy="2110740"/>
                    </a:xfrm>
                    <a:prstGeom prst="rect">
                      <a:avLst/>
                    </a:prstGeom>
                    <a:noFill/>
                  </pic:spPr>
                </pic:pic>
              </a:graphicData>
            </a:graphic>
          </wp:inline>
        </w:drawing>
      </w:r>
    </w:p>
    <w:p w:rsidR="00BA1F39" w:rsidRPr="00BA1F39" w:rsidRDefault="00BA1F39" w:rsidP="00BA1F39">
      <w:pPr>
        <w:pStyle w:val="SingleTxt"/>
        <w:spacing w:after="0" w:line="120" w:lineRule="exact"/>
        <w:rPr>
          <w:sz w:val="10"/>
          <w:lang w:val="fr-FR"/>
        </w:rPr>
      </w:pPr>
    </w:p>
    <w:p w:rsidR="004855DC" w:rsidRPr="00880DB3" w:rsidRDefault="004855DC" w:rsidP="004855DC">
      <w:pPr>
        <w:pStyle w:val="SingleTxt"/>
        <w:rPr>
          <w:b/>
          <w:lang w:val="fr-FR"/>
        </w:rPr>
      </w:pPr>
      <w:r w:rsidRPr="00880DB3">
        <w:rPr>
          <w:b/>
          <w:noProof/>
          <w:lang w:val="fr-FR" w:eastAsia="fr-FR"/>
        </w:rPr>
        <w:drawing>
          <wp:inline distT="0" distB="0" distL="0" distR="0" wp14:anchorId="4DB3733E" wp14:editId="7858DF60">
            <wp:extent cx="2197735" cy="21107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7735" cy="2110740"/>
                    </a:xfrm>
                    <a:prstGeom prst="rect">
                      <a:avLst/>
                    </a:prstGeom>
                    <a:noFill/>
                  </pic:spPr>
                </pic:pic>
              </a:graphicData>
            </a:graphic>
          </wp:inline>
        </w:drawing>
      </w:r>
    </w:p>
    <w:p w:rsidR="004855DC" w:rsidRDefault="00AD7FC3" w:rsidP="00AD7FC3">
      <w:pPr>
        <w:pStyle w:val="SingleTxt"/>
        <w:ind w:left="2218" w:hanging="951"/>
        <w:rPr>
          <w:b/>
          <w:lang w:val="fr-FR"/>
        </w:rPr>
      </w:pPr>
      <w:r>
        <w:rPr>
          <w:b/>
          <w:lang w:val="fr-FR"/>
        </w:rPr>
        <w:tab/>
      </w:r>
      <w:r>
        <w:rPr>
          <w:b/>
          <w:lang w:val="fr-FR"/>
        </w:rPr>
        <w:tab/>
      </w:r>
      <w:r w:rsidR="004855DC" w:rsidRPr="00BA1F39">
        <w:rPr>
          <w:b/>
          <w:lang w:val="fr-FR"/>
        </w:rPr>
        <w:t>Trois groupes de surfaces sont établis, tels que définis dans le tableau</w:t>
      </w:r>
      <w:r>
        <w:rPr>
          <w:b/>
          <w:lang w:val="fr-FR"/>
        </w:rPr>
        <w:t> </w:t>
      </w:r>
      <w:r w:rsidR="004855DC" w:rsidRPr="00BA1F39">
        <w:rPr>
          <w:b/>
          <w:lang w:val="fr-FR"/>
        </w:rPr>
        <w:t>1</w:t>
      </w:r>
      <w:r w:rsidR="00BA1F39">
        <w:rPr>
          <w:b/>
          <w:lang w:val="fr-FR"/>
        </w:rPr>
        <w:t> </w:t>
      </w:r>
      <w:r w:rsidR="004855DC" w:rsidRPr="00BA1F39">
        <w:rPr>
          <w:b/>
          <w:lang w:val="fr-FR"/>
        </w:rPr>
        <w:t>:</w:t>
      </w:r>
    </w:p>
    <w:p w:rsidR="00BA1F39" w:rsidRPr="00BA1F39" w:rsidRDefault="00BA1F39" w:rsidP="00BA1F39">
      <w:pPr>
        <w:pStyle w:val="SingleTxt"/>
        <w:spacing w:after="0" w:line="120" w:lineRule="exact"/>
        <w:rPr>
          <w:b/>
          <w:sz w:val="10"/>
          <w:lang w:val="fr-FR"/>
        </w:rPr>
      </w:pPr>
    </w:p>
    <w:p w:rsidR="004855DC" w:rsidRDefault="00BA1F39" w:rsidP="00BA1F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00AD7FC3">
        <w:rPr>
          <w:lang w:val="fr-FR"/>
        </w:rPr>
        <w:tab/>
      </w:r>
      <w:r w:rsidR="00AD7FC3">
        <w:rPr>
          <w:lang w:val="fr-FR"/>
        </w:rPr>
        <w:tab/>
      </w:r>
      <w:r w:rsidR="004855DC" w:rsidRPr="00880DB3">
        <w:rPr>
          <w:lang w:val="fr-FR"/>
        </w:rPr>
        <w:t>Tableau 1</w:t>
      </w:r>
    </w:p>
    <w:p w:rsidR="00BA1F39" w:rsidRPr="00BA1F39" w:rsidRDefault="00BA1F39" w:rsidP="00BA1F39">
      <w:pPr>
        <w:pStyle w:val="SingleTxt"/>
        <w:spacing w:after="0" w:line="120" w:lineRule="exact"/>
        <w:rPr>
          <w:sz w:val="10"/>
          <w:lang w:val="fr-FR"/>
        </w:rPr>
      </w:pPr>
    </w:p>
    <w:p w:rsidR="00BA1F39" w:rsidRPr="00BA1F39" w:rsidRDefault="00BA1F39" w:rsidP="00BA1F39">
      <w:pPr>
        <w:pStyle w:val="SingleTxt"/>
        <w:spacing w:after="0" w:line="120" w:lineRule="exact"/>
        <w:rPr>
          <w:sz w:val="10"/>
          <w:lang w:val="fr-FR"/>
        </w:rPr>
      </w:pPr>
    </w:p>
    <w:tbl>
      <w:tblPr>
        <w:tblW w:w="4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3204"/>
      </w:tblGrid>
      <w:tr w:rsidR="00BA1F39" w:rsidRPr="00BA1F39" w:rsidTr="00BA1F39">
        <w:trPr>
          <w:jc w:val="center"/>
        </w:trPr>
        <w:tc>
          <w:tcPr>
            <w:tcW w:w="1022" w:type="dxa"/>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lang w:val="fr-FR"/>
              </w:rPr>
            </w:pPr>
            <w:r w:rsidRPr="00BA1F39">
              <w:rPr>
                <w:b/>
                <w:lang w:val="fr-FR"/>
              </w:rPr>
              <w:t>Groupe</w:t>
            </w:r>
          </w:p>
        </w:tc>
        <w:tc>
          <w:tcPr>
            <w:tcW w:w="3204" w:type="dxa"/>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lang w:val="fr-FR"/>
              </w:rPr>
            </w:pPr>
            <w:r w:rsidRPr="00BA1F39">
              <w:rPr>
                <w:b/>
                <w:lang w:val="fr-FR"/>
              </w:rPr>
              <w:t xml:space="preserve">Surface de la garniture de frein </w:t>
            </w:r>
            <w:r>
              <w:rPr>
                <w:b/>
                <w:lang w:val="fr-FR"/>
              </w:rPr>
              <w:br/>
            </w:r>
            <w:r w:rsidRPr="00BA1F39">
              <w:rPr>
                <w:b/>
                <w:lang w:val="fr-FR"/>
              </w:rPr>
              <w:t>(en cm</w:t>
            </w:r>
            <w:r w:rsidRPr="00BA1F39">
              <w:rPr>
                <w:b/>
                <w:vertAlign w:val="superscript"/>
                <w:lang w:val="fr-FR"/>
              </w:rPr>
              <w:t>2</w:t>
            </w:r>
            <w:r w:rsidRPr="00BA1F39">
              <w:rPr>
                <w:b/>
                <w:lang w:val="fr-FR"/>
              </w:rPr>
              <w:t>)</w:t>
            </w:r>
          </w:p>
        </w:tc>
      </w:tr>
      <w:tr w:rsidR="00BA1F39" w:rsidRPr="00BA1F39" w:rsidTr="00BA1F39">
        <w:trPr>
          <w:jc w:val="center"/>
        </w:trPr>
        <w:tc>
          <w:tcPr>
            <w:tcW w:w="1022" w:type="dxa"/>
            <w:vAlign w:val="center"/>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
                <w:lang w:val="fr-FR"/>
              </w:rPr>
            </w:pPr>
            <w:r w:rsidRPr="00BA1F39">
              <w:rPr>
                <w:b/>
                <w:lang w:val="fr-FR"/>
              </w:rPr>
              <w:t>A</w:t>
            </w:r>
          </w:p>
        </w:tc>
        <w:tc>
          <w:tcPr>
            <w:tcW w:w="3204" w:type="dxa"/>
            <w:vAlign w:val="center"/>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
                <w:lang w:val="fr-FR"/>
              </w:rPr>
            </w:pPr>
            <w:r w:rsidRPr="00BA1F39">
              <w:rPr>
                <w:b/>
                <w:lang w:val="fr-FR"/>
              </w:rPr>
              <w:t>≤15</w:t>
            </w:r>
          </w:p>
        </w:tc>
      </w:tr>
      <w:tr w:rsidR="00BA1F39" w:rsidRPr="00BA1F39" w:rsidTr="00BA1F39">
        <w:trPr>
          <w:jc w:val="center"/>
        </w:trPr>
        <w:tc>
          <w:tcPr>
            <w:tcW w:w="1022" w:type="dxa"/>
            <w:vAlign w:val="center"/>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
                <w:lang w:val="fr-FR"/>
              </w:rPr>
            </w:pPr>
            <w:r w:rsidRPr="00BA1F39">
              <w:rPr>
                <w:b/>
                <w:lang w:val="fr-FR"/>
              </w:rPr>
              <w:t>B</w:t>
            </w:r>
          </w:p>
        </w:tc>
        <w:tc>
          <w:tcPr>
            <w:tcW w:w="3204" w:type="dxa"/>
            <w:vAlign w:val="center"/>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
                <w:lang w:val="fr-FR"/>
              </w:rPr>
            </w:pPr>
            <w:r w:rsidRPr="00BA1F39">
              <w:rPr>
                <w:b/>
                <w:lang w:val="fr-FR"/>
              </w:rPr>
              <w:t>&gt; 15 ≤ 22</w:t>
            </w:r>
          </w:p>
        </w:tc>
      </w:tr>
      <w:tr w:rsidR="00BA1F39" w:rsidRPr="00BA1F39" w:rsidTr="00BA1F39">
        <w:trPr>
          <w:jc w:val="center"/>
        </w:trPr>
        <w:tc>
          <w:tcPr>
            <w:tcW w:w="1022" w:type="dxa"/>
            <w:vAlign w:val="center"/>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
                <w:lang w:val="fr-FR"/>
              </w:rPr>
            </w:pPr>
            <w:r w:rsidRPr="00BA1F39">
              <w:rPr>
                <w:b/>
                <w:lang w:val="fr-FR"/>
              </w:rPr>
              <w:t>C</w:t>
            </w:r>
          </w:p>
        </w:tc>
        <w:tc>
          <w:tcPr>
            <w:tcW w:w="3204" w:type="dxa"/>
            <w:vAlign w:val="center"/>
          </w:tcPr>
          <w:p w:rsidR="00BA1F39" w:rsidRPr="00BA1F39" w:rsidRDefault="00BA1F39" w:rsidP="00BA1F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
                <w:lang w:val="fr-FR"/>
              </w:rPr>
            </w:pPr>
            <w:r w:rsidRPr="00BA1F39">
              <w:rPr>
                <w:b/>
                <w:lang w:val="fr-FR"/>
              </w:rPr>
              <w:t>&gt; 22</w:t>
            </w:r>
          </w:p>
        </w:tc>
      </w:tr>
    </w:tbl>
    <w:p w:rsidR="004855DC" w:rsidRPr="00AD7FC3" w:rsidRDefault="004855DC" w:rsidP="00AD7FC3">
      <w:pPr>
        <w:pStyle w:val="SingleTxt"/>
        <w:spacing w:after="0" w:line="120" w:lineRule="exact"/>
        <w:rPr>
          <w:b/>
          <w:sz w:val="10"/>
          <w:lang w:val="fr-FR"/>
        </w:rPr>
      </w:pPr>
    </w:p>
    <w:p w:rsidR="00AD7FC3" w:rsidRPr="00BA1F39" w:rsidRDefault="00AD7FC3" w:rsidP="00BA1F39">
      <w:pPr>
        <w:pStyle w:val="SingleTxt"/>
        <w:spacing w:after="0" w:line="120" w:lineRule="exact"/>
        <w:rPr>
          <w:b/>
          <w:sz w:val="10"/>
          <w:lang w:val="fr-FR"/>
        </w:rPr>
      </w:pPr>
    </w:p>
    <w:p w:rsidR="00BA1F39" w:rsidRDefault="00BA1F39" w:rsidP="00AD7F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218" w:right="1260" w:hanging="2218"/>
        <w:rPr>
          <w:lang w:val="fr-FR"/>
        </w:rPr>
      </w:pPr>
      <w:r>
        <w:rPr>
          <w:lang w:val="fr-FR"/>
        </w:rPr>
        <w:tab/>
      </w:r>
      <w:r w:rsidR="00AD7FC3">
        <w:rPr>
          <w:lang w:val="fr-FR"/>
        </w:rPr>
        <w:tab/>
      </w:r>
      <w:r>
        <w:rPr>
          <w:lang w:val="fr-FR"/>
        </w:rPr>
        <w:t>2</w:t>
      </w:r>
      <w:r w:rsidR="004855DC" w:rsidRPr="00880DB3">
        <w:rPr>
          <w:lang w:val="fr-FR"/>
        </w:rPr>
        <w:t>.</w:t>
      </w:r>
      <w:r w:rsidR="004855DC" w:rsidRPr="00880DB3">
        <w:rPr>
          <w:lang w:val="fr-FR"/>
        </w:rPr>
        <w:tab/>
      </w:r>
      <w:r w:rsidR="00AD7FC3">
        <w:rPr>
          <w:lang w:val="fr-FR"/>
        </w:rPr>
        <w:tab/>
      </w:r>
      <w:r w:rsidR="004855DC" w:rsidRPr="00880DB3">
        <w:rPr>
          <w:lang w:val="fr-FR"/>
        </w:rPr>
        <w:t xml:space="preserve">Procédure de sélection de la garniture de frein assemblée représentative </w:t>
      </w:r>
      <w:r>
        <w:rPr>
          <w:lang w:val="fr-FR"/>
        </w:rPr>
        <w:br/>
      </w:r>
      <w:r w:rsidR="004855DC" w:rsidRPr="00880DB3">
        <w:rPr>
          <w:lang w:val="fr-FR"/>
        </w:rPr>
        <w:t>du groupe à homologuer</w:t>
      </w:r>
      <w:r>
        <w:rPr>
          <w:lang w:val="fr-FR"/>
        </w:rPr>
        <w:t xml:space="preserve"> </w:t>
      </w:r>
    </w:p>
    <w:p w:rsidR="00BA1F39" w:rsidRPr="00BA1F39" w:rsidRDefault="00BA1F39" w:rsidP="00BA1F39">
      <w:pPr>
        <w:pStyle w:val="SingleTxt"/>
        <w:spacing w:after="0" w:line="120" w:lineRule="exact"/>
        <w:rPr>
          <w:sz w:val="10"/>
          <w:lang w:val="fr-FR"/>
        </w:rPr>
      </w:pPr>
    </w:p>
    <w:p w:rsidR="004855DC" w:rsidRPr="00BA1F39" w:rsidRDefault="00AD7FC3" w:rsidP="00AD7FC3">
      <w:pPr>
        <w:pStyle w:val="SingleTxt"/>
        <w:ind w:left="2218" w:hanging="951"/>
        <w:rPr>
          <w:b/>
          <w:lang w:val="fr-FR"/>
        </w:rPr>
      </w:pPr>
      <w:r>
        <w:rPr>
          <w:b/>
          <w:lang w:val="fr-FR"/>
        </w:rPr>
        <w:tab/>
      </w:r>
      <w:r>
        <w:rPr>
          <w:b/>
          <w:lang w:val="fr-FR"/>
        </w:rPr>
        <w:tab/>
      </w:r>
      <w:r w:rsidR="004855DC" w:rsidRPr="00BA1F39">
        <w:rPr>
          <w:b/>
          <w:lang w:val="fr-FR"/>
        </w:rPr>
        <w:t>La garniture de frein assemblée à homologuer est définie en fonction des critères suivants</w:t>
      </w:r>
      <w:r w:rsidR="00BA1F39">
        <w:rPr>
          <w:b/>
          <w:lang w:val="fr-FR"/>
        </w:rPr>
        <w:t> </w:t>
      </w:r>
      <w:r w:rsidR="004855DC" w:rsidRPr="00BA1F39">
        <w:rPr>
          <w:b/>
          <w:lang w:val="fr-FR"/>
        </w:rPr>
        <w:t>:</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a)</w:t>
      </w:r>
      <w:r w:rsidR="004855DC" w:rsidRPr="00880DB3">
        <w:rPr>
          <w:b/>
          <w:lang w:val="fr-FR"/>
        </w:rPr>
        <w:tab/>
        <w:t>Choix du matériau de friction à homologuer;</w:t>
      </w:r>
    </w:p>
    <w:p w:rsidR="004855DC" w:rsidRPr="00880DB3" w:rsidRDefault="00AD7FC3" w:rsidP="00AD7FC3">
      <w:pPr>
        <w:pStyle w:val="SingleTxt"/>
        <w:ind w:left="2218" w:hanging="951"/>
        <w:rPr>
          <w:b/>
          <w:lang w:val="fr-FR"/>
        </w:rPr>
      </w:pPr>
      <w:r>
        <w:rPr>
          <w:b/>
          <w:lang w:val="fr-FR"/>
        </w:rPr>
        <w:tab/>
      </w:r>
      <w:r>
        <w:rPr>
          <w:b/>
          <w:lang w:val="fr-FR"/>
        </w:rPr>
        <w:tab/>
      </w:r>
      <w:r w:rsidR="004855DC" w:rsidRPr="00880DB3">
        <w:rPr>
          <w:b/>
          <w:lang w:val="fr-FR"/>
        </w:rPr>
        <w:t>b)</w:t>
      </w:r>
      <w:r w:rsidR="004855DC" w:rsidRPr="00880DB3">
        <w:rPr>
          <w:b/>
          <w:lang w:val="fr-FR"/>
        </w:rPr>
        <w:tab/>
        <w:t>Vérification des applications où le matériau de friction choisi est employé;</w:t>
      </w:r>
    </w:p>
    <w:p w:rsidR="004855DC" w:rsidRPr="00880DB3" w:rsidRDefault="00AD7FC3" w:rsidP="00AD7FC3">
      <w:pPr>
        <w:pStyle w:val="SingleTxt"/>
        <w:ind w:left="2218" w:hanging="951"/>
        <w:rPr>
          <w:b/>
          <w:lang w:val="fr-FR"/>
        </w:rPr>
      </w:pPr>
      <w:r>
        <w:rPr>
          <w:b/>
          <w:lang w:val="fr-FR"/>
        </w:rPr>
        <w:tab/>
      </w:r>
      <w:r>
        <w:rPr>
          <w:b/>
          <w:lang w:val="fr-FR"/>
        </w:rPr>
        <w:tab/>
      </w:r>
      <w:r w:rsidR="004855DC" w:rsidRPr="00880DB3">
        <w:rPr>
          <w:b/>
          <w:lang w:val="fr-FR"/>
        </w:rPr>
        <w:t>c)</w:t>
      </w:r>
      <w:r w:rsidR="004855DC" w:rsidRPr="00880DB3">
        <w:rPr>
          <w:b/>
          <w:lang w:val="fr-FR"/>
        </w:rPr>
        <w:tab/>
        <w:t>Définition de la surface des garnitures de frein assemblées sélectionnées en fonction du tableau 1, et classification dans un des groupes A, B ou C;</w:t>
      </w:r>
    </w:p>
    <w:p w:rsidR="004855DC" w:rsidRPr="00880DB3" w:rsidRDefault="00AD7FC3" w:rsidP="00AD7FC3">
      <w:pPr>
        <w:pStyle w:val="SingleTxt"/>
        <w:ind w:left="2218" w:hanging="951"/>
        <w:rPr>
          <w:b/>
          <w:lang w:val="fr-FR"/>
        </w:rPr>
      </w:pPr>
      <w:r>
        <w:rPr>
          <w:b/>
          <w:lang w:val="fr-FR"/>
        </w:rPr>
        <w:tab/>
      </w:r>
      <w:r>
        <w:rPr>
          <w:b/>
          <w:lang w:val="fr-FR"/>
        </w:rPr>
        <w:tab/>
      </w:r>
      <w:r w:rsidR="004855DC" w:rsidRPr="00880DB3">
        <w:rPr>
          <w:b/>
          <w:lang w:val="fr-FR"/>
        </w:rPr>
        <w:t>d)</w:t>
      </w:r>
      <w:r w:rsidR="004855DC" w:rsidRPr="00880DB3">
        <w:rPr>
          <w:b/>
          <w:lang w:val="fr-FR"/>
        </w:rPr>
        <w:tab/>
        <w:t>Pour chaque groupe, sélection de l’application la plus sévère, selon la valeur la plus élevée de l’indice Ep (énergie cinétique par surface des garnitures de frein), comme suit</w:t>
      </w:r>
      <w:r w:rsidR="00AC0076">
        <w:rPr>
          <w:b/>
          <w:lang w:val="fr-FR"/>
        </w:rPr>
        <w:t> </w:t>
      </w:r>
      <w:r w:rsidR="004855DC" w:rsidRPr="00880DB3">
        <w:rPr>
          <w:b/>
          <w:lang w:val="fr-FR"/>
        </w:rPr>
        <w:t>:</w:t>
      </w:r>
    </w:p>
    <w:p w:rsidR="004855DC" w:rsidRPr="00880DB3" w:rsidRDefault="004855DC" w:rsidP="00AC0076">
      <w:pPr>
        <w:pStyle w:val="SingleTxt"/>
        <w:jc w:val="center"/>
        <w:rPr>
          <w:b/>
          <w:lang w:val="fr-FR"/>
        </w:rPr>
      </w:pPr>
      <w:r w:rsidRPr="00880DB3">
        <w:rPr>
          <w:b/>
          <w:lang w:val="fr-FR"/>
        </w:rPr>
        <w:t>E</w:t>
      </w:r>
      <w:r w:rsidRPr="00880DB3">
        <w:rPr>
          <w:b/>
          <w:vertAlign w:val="subscript"/>
          <w:lang w:val="fr-FR"/>
        </w:rPr>
        <w:t>p</w:t>
      </w:r>
      <w:r w:rsidRPr="00880DB3">
        <w:rPr>
          <w:b/>
          <w:lang w:val="fr-FR"/>
        </w:rPr>
        <w:t xml:space="preserve"> = ½*M*p*(V*c)</w:t>
      </w:r>
      <w:r w:rsidRPr="00880DB3">
        <w:rPr>
          <w:b/>
          <w:vertAlign w:val="superscript"/>
          <w:lang w:val="fr-FR"/>
        </w:rPr>
        <w:t>2</w:t>
      </w:r>
      <w:r w:rsidRPr="00880DB3">
        <w:rPr>
          <w:b/>
          <w:lang w:val="fr-FR"/>
        </w:rPr>
        <w:t xml:space="preserve"> / (S*q</w:t>
      </w:r>
      <w:r w:rsidRPr="00880DB3">
        <w:rPr>
          <w:b/>
          <w:vertAlign w:val="subscript"/>
          <w:lang w:val="fr-FR"/>
        </w:rPr>
        <w:t>p</w:t>
      </w:r>
      <w:r w:rsidRPr="00880DB3">
        <w:rPr>
          <w:b/>
          <w:lang w:val="fr-FR"/>
        </w:rPr>
        <w:t>)</w:t>
      </w:r>
    </w:p>
    <w:p w:rsidR="004855DC" w:rsidRPr="00880DB3" w:rsidRDefault="00AD7FC3" w:rsidP="004855DC">
      <w:pPr>
        <w:pStyle w:val="SingleTxt"/>
        <w:rPr>
          <w:b/>
          <w:lang w:val="fr-FR"/>
        </w:rPr>
      </w:pPr>
      <w:r>
        <w:rPr>
          <w:b/>
          <w:lang w:val="fr-FR"/>
        </w:rPr>
        <w:tab/>
      </w:r>
      <w:r>
        <w:rPr>
          <w:b/>
          <w:lang w:val="fr-FR"/>
        </w:rPr>
        <w:tab/>
      </w:r>
      <w:r w:rsidR="00AC0076" w:rsidRPr="00880DB3">
        <w:rPr>
          <w:b/>
          <w:lang w:val="fr-FR"/>
        </w:rPr>
        <w:t>O</w:t>
      </w:r>
      <w:r w:rsidR="004855DC" w:rsidRPr="00880DB3">
        <w:rPr>
          <w:b/>
          <w:lang w:val="fr-FR"/>
        </w:rPr>
        <w:t>ù</w:t>
      </w:r>
      <w:r w:rsidR="00AC0076">
        <w:rPr>
          <w:b/>
          <w:lang w:val="fr-FR"/>
        </w:rPr>
        <w:t> </w:t>
      </w:r>
      <w:r w:rsidR="004855DC" w:rsidRPr="00880DB3">
        <w:rPr>
          <w:b/>
          <w:lang w:val="fr-FR"/>
        </w:rPr>
        <w:t>:</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E</w:t>
      </w:r>
      <w:r w:rsidR="004855DC" w:rsidRPr="00880DB3">
        <w:rPr>
          <w:b/>
          <w:vertAlign w:val="subscript"/>
          <w:lang w:val="fr-FR"/>
        </w:rPr>
        <w:t>p</w:t>
      </w:r>
      <w:r w:rsidR="004855DC" w:rsidRPr="00880DB3">
        <w:rPr>
          <w:b/>
          <w:lang w:val="fr-FR"/>
        </w:rPr>
        <w:tab/>
        <w:t>=</w:t>
      </w:r>
      <w:r w:rsidR="004855DC" w:rsidRPr="00880DB3">
        <w:rPr>
          <w:b/>
          <w:lang w:val="fr-FR"/>
        </w:rPr>
        <w:tab/>
        <w:t>indice de l’énergie cinétique [kJ/cm</w:t>
      </w:r>
      <w:r w:rsidR="004855DC" w:rsidRPr="00880DB3">
        <w:rPr>
          <w:b/>
          <w:vertAlign w:val="superscript"/>
          <w:lang w:val="fr-FR"/>
        </w:rPr>
        <w:t>2</w:t>
      </w:r>
      <w:r w:rsidR="004855DC" w:rsidRPr="00880DB3">
        <w:rPr>
          <w:b/>
          <w:lang w:val="fr-FR"/>
        </w:rPr>
        <w:t>]</w:t>
      </w:r>
    </w:p>
    <w:p w:rsidR="004855DC" w:rsidRPr="00880DB3" w:rsidRDefault="00AD7FC3" w:rsidP="004855DC">
      <w:pPr>
        <w:pStyle w:val="SingleTxt"/>
        <w:rPr>
          <w:b/>
          <w:lang w:val="fr-FR"/>
        </w:rPr>
      </w:pPr>
      <w:r>
        <w:rPr>
          <w:b/>
          <w:lang w:val="fr-FR"/>
        </w:rPr>
        <w:lastRenderedPageBreak/>
        <w:tab/>
      </w:r>
      <w:r>
        <w:rPr>
          <w:b/>
          <w:lang w:val="fr-FR"/>
        </w:rPr>
        <w:tab/>
      </w:r>
      <w:r w:rsidR="004855DC" w:rsidRPr="00880DB3">
        <w:rPr>
          <w:b/>
          <w:lang w:val="fr-FR"/>
        </w:rPr>
        <w:t>M</w:t>
      </w:r>
      <w:r w:rsidR="004855DC" w:rsidRPr="00880DB3">
        <w:rPr>
          <w:b/>
          <w:lang w:val="fr-FR"/>
        </w:rPr>
        <w:tab/>
        <w:t>=</w:t>
      </w:r>
      <w:r w:rsidR="004855DC" w:rsidRPr="00880DB3">
        <w:rPr>
          <w:b/>
          <w:lang w:val="fr-FR"/>
        </w:rPr>
        <w:tab/>
        <w:t>poids nominal brut du véhicule [kg]</w:t>
      </w:r>
    </w:p>
    <w:p w:rsidR="004855DC" w:rsidRPr="00880DB3" w:rsidRDefault="00AD7FC3" w:rsidP="00AD7FC3">
      <w:pPr>
        <w:pStyle w:val="SingleTxt"/>
        <w:ind w:left="3182" w:hanging="1915"/>
        <w:rPr>
          <w:b/>
          <w:lang w:val="fr-FR"/>
        </w:rPr>
      </w:pPr>
      <w:r>
        <w:rPr>
          <w:b/>
          <w:lang w:val="fr-FR"/>
        </w:rPr>
        <w:tab/>
      </w:r>
      <w:r>
        <w:rPr>
          <w:b/>
          <w:lang w:val="fr-FR"/>
        </w:rPr>
        <w:tab/>
      </w:r>
      <w:r w:rsidR="004855DC" w:rsidRPr="00880DB3">
        <w:rPr>
          <w:b/>
          <w:lang w:val="fr-FR"/>
        </w:rPr>
        <w:t>p</w:t>
      </w:r>
      <w:r w:rsidR="004855DC" w:rsidRPr="00880DB3">
        <w:rPr>
          <w:b/>
          <w:lang w:val="fr-FR"/>
        </w:rPr>
        <w:tab/>
        <w:t>=</w:t>
      </w:r>
      <w:r w:rsidR="004855DC" w:rsidRPr="00880DB3">
        <w:rPr>
          <w:b/>
          <w:lang w:val="fr-FR"/>
        </w:rPr>
        <w:tab/>
        <w:t>pourcentage de répartition du poids du véhicule, comme suit</w:t>
      </w:r>
      <w:r w:rsidR="00AC0076">
        <w:rPr>
          <w:b/>
          <w:lang w:val="fr-FR"/>
        </w:rPr>
        <w:t> </w:t>
      </w:r>
      <w:r w:rsidR="004855DC" w:rsidRPr="00880DB3">
        <w:rPr>
          <w:b/>
          <w:lang w:val="fr-FR"/>
        </w:rPr>
        <w:t>:</w:t>
      </w:r>
    </w:p>
    <w:p w:rsidR="004855DC" w:rsidRPr="00880DB3" w:rsidRDefault="00AD7FC3" w:rsidP="004855DC">
      <w:pPr>
        <w:pStyle w:val="SingleTxt"/>
        <w:rPr>
          <w:b/>
          <w:lang w:val="fr-FR"/>
        </w:rPr>
      </w:pPr>
      <w:r>
        <w:rPr>
          <w:lang w:val="fr-FR"/>
        </w:rPr>
        <w:tab/>
      </w:r>
      <w:r>
        <w:rPr>
          <w:lang w:val="fr-FR"/>
        </w:rPr>
        <w:tab/>
      </w:r>
      <w:r w:rsidR="004855DC" w:rsidRPr="00880DB3">
        <w:rPr>
          <w:lang w:val="fr-FR"/>
        </w:rPr>
        <w:t>–</w:t>
      </w:r>
      <w:r w:rsidR="004855DC" w:rsidRPr="00880DB3">
        <w:rPr>
          <w:lang w:val="fr-FR"/>
        </w:rPr>
        <w:tab/>
      </w:r>
      <w:r w:rsidR="004855DC" w:rsidRPr="00880DB3">
        <w:rPr>
          <w:b/>
          <w:lang w:val="fr-FR"/>
        </w:rPr>
        <w:t>Pour le système de freinage avant</w:t>
      </w:r>
      <w:r w:rsidR="00AC0076">
        <w:rPr>
          <w:b/>
          <w:lang w:val="fr-FR"/>
        </w:rPr>
        <w:t> </w:t>
      </w:r>
      <w:r w:rsidR="004855DC" w:rsidRPr="00880DB3">
        <w:rPr>
          <w:b/>
          <w:lang w:val="fr-FR"/>
        </w:rPr>
        <w:t>:</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w:t>
      </w:r>
      <w:r w:rsidR="004855DC" w:rsidRPr="00880DB3">
        <w:rPr>
          <w:b/>
          <w:lang w:val="fr-FR"/>
        </w:rPr>
        <w:tab/>
        <w:t>75</w:t>
      </w:r>
      <w:r w:rsidR="00AC0076">
        <w:rPr>
          <w:b/>
          <w:lang w:val="fr-FR"/>
        </w:rPr>
        <w:t> </w:t>
      </w:r>
      <w:r w:rsidR="004855DC" w:rsidRPr="00880DB3">
        <w:rPr>
          <w:b/>
          <w:lang w:val="fr-FR"/>
        </w:rPr>
        <w:t xml:space="preserve">% dans le cas d’un disque de frein </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w:t>
      </w:r>
      <w:r w:rsidR="004855DC" w:rsidRPr="00880DB3">
        <w:rPr>
          <w:b/>
          <w:lang w:val="fr-FR"/>
        </w:rPr>
        <w:tab/>
        <w:t>37,5</w:t>
      </w:r>
      <w:r w:rsidR="00AC0076">
        <w:rPr>
          <w:b/>
          <w:lang w:val="fr-FR"/>
        </w:rPr>
        <w:t> </w:t>
      </w:r>
      <w:r w:rsidR="004855DC" w:rsidRPr="00880DB3">
        <w:rPr>
          <w:b/>
          <w:lang w:val="fr-FR"/>
        </w:rPr>
        <w:t>% dans le cas de deux disques de frein</w:t>
      </w:r>
    </w:p>
    <w:p w:rsidR="00AC0076" w:rsidRDefault="00AD7FC3" w:rsidP="004855DC">
      <w:pPr>
        <w:pStyle w:val="SingleTxt"/>
        <w:rPr>
          <w:b/>
          <w:lang w:val="fr-FR"/>
        </w:rPr>
      </w:pPr>
      <w:r>
        <w:rPr>
          <w:lang w:val="fr-FR"/>
        </w:rPr>
        <w:tab/>
      </w:r>
      <w:r>
        <w:rPr>
          <w:lang w:val="fr-FR"/>
        </w:rPr>
        <w:tab/>
      </w:r>
      <w:r w:rsidR="004855DC" w:rsidRPr="00880DB3">
        <w:rPr>
          <w:lang w:val="fr-FR"/>
        </w:rPr>
        <w:t>–</w:t>
      </w:r>
      <w:r w:rsidR="004855DC" w:rsidRPr="00880DB3">
        <w:rPr>
          <w:lang w:val="fr-FR"/>
        </w:rPr>
        <w:tab/>
      </w:r>
      <w:r w:rsidR="004855DC" w:rsidRPr="00880DB3">
        <w:rPr>
          <w:b/>
          <w:lang w:val="fr-FR"/>
        </w:rPr>
        <w:t>Pour le système de freinage arrière</w:t>
      </w:r>
      <w:r w:rsidR="00AC0076">
        <w:rPr>
          <w:b/>
          <w:lang w:val="fr-FR"/>
        </w:rPr>
        <w:t> </w:t>
      </w:r>
      <w:r w:rsidR="004855DC" w:rsidRPr="00880DB3">
        <w:rPr>
          <w:b/>
          <w:lang w:val="fr-FR"/>
        </w:rPr>
        <w:t>:</w:t>
      </w:r>
    </w:p>
    <w:p w:rsidR="004855DC" w:rsidRPr="00880DB3" w:rsidRDefault="00AD7FC3" w:rsidP="004855DC">
      <w:pPr>
        <w:pStyle w:val="SingleTxt"/>
        <w:rPr>
          <w:b/>
          <w:lang w:val="fr-FR"/>
        </w:rPr>
      </w:pPr>
      <w:r>
        <w:rPr>
          <w:b/>
          <w:lang w:val="fr-FR"/>
        </w:rPr>
        <w:tab/>
      </w:r>
      <w:r>
        <w:rPr>
          <w:b/>
          <w:lang w:val="fr-FR"/>
        </w:rPr>
        <w:tab/>
      </w:r>
      <w:r w:rsidR="00AC0076" w:rsidRPr="00880DB3">
        <w:rPr>
          <w:b/>
          <w:lang w:val="fr-FR"/>
        </w:rPr>
        <w:t>•</w:t>
      </w:r>
      <w:r w:rsidR="00AC0076" w:rsidRPr="00880DB3">
        <w:rPr>
          <w:b/>
          <w:lang w:val="fr-FR"/>
        </w:rPr>
        <w:tab/>
      </w:r>
      <w:r w:rsidR="004855DC" w:rsidRPr="00880DB3">
        <w:rPr>
          <w:b/>
          <w:lang w:val="fr-FR"/>
        </w:rPr>
        <w:t>50</w:t>
      </w:r>
      <w:r w:rsidR="00AC0076">
        <w:rPr>
          <w:b/>
          <w:lang w:val="fr-FR"/>
        </w:rPr>
        <w:t> </w:t>
      </w:r>
      <w:r w:rsidR="004855DC" w:rsidRPr="00880DB3">
        <w:rPr>
          <w:b/>
          <w:lang w:val="fr-FR"/>
        </w:rPr>
        <w:t>%</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V</w:t>
      </w:r>
      <w:r w:rsidR="004855DC" w:rsidRPr="00880DB3">
        <w:rPr>
          <w:b/>
          <w:lang w:val="fr-FR"/>
        </w:rPr>
        <w:tab/>
        <w:t>=</w:t>
      </w:r>
      <w:r w:rsidR="004855DC" w:rsidRPr="00880DB3">
        <w:rPr>
          <w:b/>
          <w:lang w:val="fr-FR"/>
        </w:rPr>
        <w:tab/>
        <w:t>vitesse maximale du véhicule [m/s]</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c</w:t>
      </w:r>
      <w:r w:rsidR="004855DC" w:rsidRPr="00880DB3">
        <w:rPr>
          <w:b/>
          <w:lang w:val="fr-FR"/>
        </w:rPr>
        <w:tab/>
        <w:t>=</w:t>
      </w:r>
      <w:r w:rsidR="004855DC" w:rsidRPr="00880DB3">
        <w:rPr>
          <w:b/>
          <w:lang w:val="fr-FR"/>
        </w:rPr>
        <w:tab/>
        <w:t>coefficient de correction de vitesse, comme suit</w:t>
      </w:r>
      <w:r w:rsidR="00AC0076">
        <w:rPr>
          <w:b/>
          <w:lang w:val="fr-FR"/>
        </w:rPr>
        <w:t> </w:t>
      </w:r>
      <w:r w:rsidR="004855DC" w:rsidRPr="00880DB3">
        <w:rPr>
          <w:b/>
          <w:lang w:val="fr-FR"/>
        </w:rPr>
        <w:t>:</w:t>
      </w:r>
    </w:p>
    <w:p w:rsidR="004855DC" w:rsidRPr="00880DB3" w:rsidRDefault="00AD7FC3" w:rsidP="004855DC">
      <w:pPr>
        <w:pStyle w:val="SingleTxt"/>
        <w:rPr>
          <w:b/>
          <w:lang w:val="fr-FR"/>
        </w:rPr>
      </w:pPr>
      <w:r>
        <w:rPr>
          <w:lang w:val="fr-FR"/>
        </w:rPr>
        <w:tab/>
      </w:r>
      <w:r>
        <w:rPr>
          <w:lang w:val="fr-FR"/>
        </w:rPr>
        <w:tab/>
      </w:r>
      <w:r w:rsidR="004855DC" w:rsidRPr="00880DB3">
        <w:rPr>
          <w:lang w:val="fr-FR"/>
        </w:rPr>
        <w:t>–</w:t>
      </w:r>
      <w:r w:rsidR="004855DC" w:rsidRPr="00880DB3">
        <w:rPr>
          <w:lang w:val="fr-FR"/>
        </w:rPr>
        <w:tab/>
      </w:r>
      <w:r w:rsidR="004855DC" w:rsidRPr="00880DB3">
        <w:rPr>
          <w:b/>
          <w:lang w:val="fr-FR"/>
        </w:rPr>
        <w:t>Pour le système de freinage avant : 0,8</w:t>
      </w:r>
    </w:p>
    <w:p w:rsidR="004855DC" w:rsidRPr="00880DB3" w:rsidRDefault="00AD7FC3" w:rsidP="00AD7FC3">
      <w:pPr>
        <w:pStyle w:val="SingleTxt"/>
        <w:ind w:left="2693" w:hanging="1426"/>
        <w:rPr>
          <w:b/>
          <w:lang w:val="fr-FR"/>
        </w:rPr>
      </w:pPr>
      <w:r>
        <w:rPr>
          <w:lang w:val="fr-FR"/>
        </w:rPr>
        <w:tab/>
      </w:r>
      <w:r>
        <w:rPr>
          <w:lang w:val="fr-FR"/>
        </w:rPr>
        <w:tab/>
      </w:r>
      <w:r w:rsidR="004855DC" w:rsidRPr="00880DB3">
        <w:rPr>
          <w:lang w:val="fr-FR"/>
        </w:rPr>
        <w:t>–</w:t>
      </w:r>
      <w:r w:rsidR="004855DC" w:rsidRPr="00880DB3">
        <w:rPr>
          <w:lang w:val="fr-FR"/>
        </w:rPr>
        <w:tab/>
      </w:r>
      <w:r w:rsidR="004855DC" w:rsidRPr="00880DB3">
        <w:rPr>
          <w:b/>
          <w:lang w:val="fr-FR"/>
        </w:rPr>
        <w:t>Pour le système de freinage arrière: variable selon le diamètre du disque de</w:t>
      </w:r>
      <w:r w:rsidR="00AC0076">
        <w:rPr>
          <w:b/>
          <w:lang w:val="fr-FR"/>
        </w:rPr>
        <w:t> </w:t>
      </w:r>
      <w:r w:rsidR="004855DC" w:rsidRPr="00880DB3">
        <w:rPr>
          <w:b/>
          <w:lang w:val="fr-FR"/>
        </w:rPr>
        <w:t>frein</w:t>
      </w:r>
      <w:r w:rsidR="00AC0076">
        <w:rPr>
          <w:b/>
          <w:lang w:val="fr-FR"/>
        </w:rPr>
        <w:t> </w:t>
      </w:r>
      <w:r w:rsidR="004855DC" w:rsidRPr="00880DB3">
        <w:rPr>
          <w:b/>
          <w:lang w:val="fr-FR"/>
        </w:rPr>
        <w:t>:</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w:t>
      </w:r>
      <w:r w:rsidR="004855DC" w:rsidRPr="00880DB3">
        <w:rPr>
          <w:b/>
          <w:lang w:val="fr-FR"/>
        </w:rPr>
        <w:tab/>
        <w:t>0,5</w:t>
      </w:r>
      <w:r w:rsidR="004855DC" w:rsidRPr="00880DB3">
        <w:rPr>
          <w:b/>
          <w:lang w:val="fr-FR"/>
        </w:rPr>
        <w:tab/>
        <w:t>(Ø ≤ 245 [mm])</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w:t>
      </w:r>
      <w:r w:rsidR="004855DC" w:rsidRPr="00880DB3">
        <w:rPr>
          <w:b/>
          <w:lang w:val="fr-FR"/>
        </w:rPr>
        <w:tab/>
        <w:t>0,6</w:t>
      </w:r>
      <w:r w:rsidR="004855DC" w:rsidRPr="00880DB3">
        <w:rPr>
          <w:b/>
          <w:lang w:val="fr-FR"/>
        </w:rPr>
        <w:tab/>
        <w:t>(245 &gt; Ø &lt; 280 [mm])</w:t>
      </w:r>
    </w:p>
    <w:p w:rsidR="004855DC" w:rsidRPr="00880DB3" w:rsidRDefault="00AD7FC3" w:rsidP="004855DC">
      <w:pPr>
        <w:pStyle w:val="SingleTxt"/>
        <w:rPr>
          <w:b/>
          <w:lang w:val="fr-FR"/>
        </w:rPr>
      </w:pPr>
      <w:r>
        <w:rPr>
          <w:b/>
          <w:lang w:val="fr-FR"/>
        </w:rPr>
        <w:tab/>
      </w:r>
      <w:r>
        <w:rPr>
          <w:b/>
          <w:lang w:val="fr-FR"/>
        </w:rPr>
        <w:tab/>
      </w:r>
      <w:r w:rsidR="004855DC" w:rsidRPr="00880DB3">
        <w:rPr>
          <w:b/>
          <w:lang w:val="fr-FR"/>
        </w:rPr>
        <w:t>•</w:t>
      </w:r>
      <w:r w:rsidR="004855DC" w:rsidRPr="00880DB3">
        <w:rPr>
          <w:b/>
          <w:lang w:val="fr-FR"/>
        </w:rPr>
        <w:tab/>
        <w:t>0,75</w:t>
      </w:r>
      <w:r w:rsidR="004855DC" w:rsidRPr="00880DB3">
        <w:rPr>
          <w:b/>
          <w:lang w:val="fr-FR"/>
        </w:rPr>
        <w:tab/>
        <w:t>(Ø ≥ 280 [mm])</w:t>
      </w:r>
    </w:p>
    <w:p w:rsidR="004855DC" w:rsidRPr="00880DB3" w:rsidRDefault="00AD7FC3" w:rsidP="00AD7FC3">
      <w:pPr>
        <w:pStyle w:val="SingleTxt"/>
        <w:ind w:left="3182" w:hanging="1915"/>
        <w:rPr>
          <w:b/>
          <w:lang w:val="fr-FR"/>
        </w:rPr>
      </w:pPr>
      <w:r>
        <w:rPr>
          <w:b/>
          <w:lang w:val="fr-FR"/>
        </w:rPr>
        <w:tab/>
      </w:r>
      <w:r>
        <w:rPr>
          <w:b/>
          <w:lang w:val="fr-FR"/>
        </w:rPr>
        <w:tab/>
      </w:r>
      <w:r w:rsidR="004855DC" w:rsidRPr="00880DB3">
        <w:rPr>
          <w:b/>
          <w:lang w:val="fr-FR"/>
        </w:rPr>
        <w:t>S</w:t>
      </w:r>
      <w:r w:rsidR="004855DC" w:rsidRPr="00880DB3">
        <w:rPr>
          <w:b/>
          <w:lang w:val="fr-FR"/>
        </w:rPr>
        <w:tab/>
        <w:t>=</w:t>
      </w:r>
      <w:r w:rsidR="004855DC" w:rsidRPr="00880DB3">
        <w:rPr>
          <w:b/>
          <w:lang w:val="fr-FR"/>
        </w:rPr>
        <w:tab/>
        <w:t>surface de la garniture de frein telle que définie dans le tableau 1 [cm</w:t>
      </w:r>
      <w:r w:rsidR="004855DC" w:rsidRPr="00880DB3">
        <w:rPr>
          <w:b/>
          <w:vertAlign w:val="superscript"/>
          <w:lang w:val="fr-FR"/>
        </w:rPr>
        <w:t>2</w:t>
      </w:r>
      <w:r w:rsidR="004855DC" w:rsidRPr="00880DB3">
        <w:rPr>
          <w:b/>
          <w:lang w:val="fr-FR"/>
        </w:rPr>
        <w:t>]</w:t>
      </w:r>
    </w:p>
    <w:p w:rsidR="004855DC" w:rsidRDefault="00AD7FC3" w:rsidP="004855DC">
      <w:pPr>
        <w:pStyle w:val="SingleTxt"/>
        <w:rPr>
          <w:b/>
          <w:lang w:val="fr-FR"/>
        </w:rPr>
      </w:pPr>
      <w:r>
        <w:rPr>
          <w:b/>
          <w:lang w:val="fr-FR"/>
        </w:rPr>
        <w:tab/>
      </w:r>
      <w:r>
        <w:rPr>
          <w:b/>
          <w:lang w:val="fr-FR"/>
        </w:rPr>
        <w:tab/>
      </w:r>
      <w:r w:rsidR="004855DC" w:rsidRPr="00880DB3">
        <w:rPr>
          <w:b/>
          <w:lang w:val="fr-FR"/>
        </w:rPr>
        <w:t>q</w:t>
      </w:r>
      <w:r w:rsidR="004855DC" w:rsidRPr="00880DB3">
        <w:rPr>
          <w:b/>
          <w:vertAlign w:val="subscript"/>
          <w:lang w:val="fr-FR"/>
        </w:rPr>
        <w:t>p</w:t>
      </w:r>
      <w:r w:rsidR="004855DC" w:rsidRPr="00880DB3">
        <w:rPr>
          <w:b/>
          <w:lang w:val="fr-FR"/>
        </w:rPr>
        <w:tab/>
        <w:t>=</w:t>
      </w:r>
      <w:r w:rsidR="004855DC" w:rsidRPr="00880DB3">
        <w:rPr>
          <w:b/>
          <w:lang w:val="fr-FR"/>
        </w:rPr>
        <w:tab/>
        <w:t>nombre de plaquettes dans un étrier</w:t>
      </w:r>
      <w:r w:rsidR="00AC0076">
        <w:rPr>
          <w:b/>
          <w:lang w:val="fr-FR"/>
        </w:rPr>
        <w:t>.</w:t>
      </w:r>
    </w:p>
    <w:p w:rsidR="00AC0076" w:rsidRPr="00AC0076" w:rsidRDefault="00AC0076" w:rsidP="00AC0076">
      <w:pPr>
        <w:pStyle w:val="SingleTxt"/>
        <w:spacing w:after="0" w:line="120" w:lineRule="exact"/>
        <w:rPr>
          <w:b/>
          <w:sz w:val="10"/>
          <w:lang w:val="fr-FR"/>
        </w:rPr>
      </w:pPr>
    </w:p>
    <w:p w:rsidR="004855DC" w:rsidRDefault="00AC0076" w:rsidP="00AD7FC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218" w:right="1260" w:hanging="2218"/>
        <w:rPr>
          <w:lang w:val="fr-FR"/>
        </w:rPr>
      </w:pPr>
      <w:r>
        <w:rPr>
          <w:lang w:val="fr-FR"/>
        </w:rPr>
        <w:tab/>
      </w:r>
      <w:r w:rsidR="00AD7FC3">
        <w:rPr>
          <w:lang w:val="fr-FR"/>
        </w:rPr>
        <w:tab/>
      </w:r>
      <w:r>
        <w:rPr>
          <w:lang w:val="fr-FR"/>
        </w:rPr>
        <w:t>3</w:t>
      </w:r>
      <w:r w:rsidR="004855DC" w:rsidRPr="00880DB3">
        <w:rPr>
          <w:lang w:val="fr-FR"/>
        </w:rPr>
        <w:t>.</w:t>
      </w:r>
      <w:r w:rsidR="004855DC" w:rsidRPr="00880DB3">
        <w:rPr>
          <w:lang w:val="fr-FR"/>
        </w:rPr>
        <w:tab/>
      </w:r>
      <w:r w:rsidR="00AD7FC3">
        <w:rPr>
          <w:lang w:val="fr-FR"/>
        </w:rPr>
        <w:tab/>
      </w:r>
      <w:r w:rsidR="004855DC" w:rsidRPr="00880DB3">
        <w:rPr>
          <w:lang w:val="fr-FR"/>
        </w:rPr>
        <w:t>Extension de l’homologation pour une nouvelle demande</w:t>
      </w:r>
    </w:p>
    <w:p w:rsidR="00AC0076" w:rsidRPr="00AC0076" w:rsidRDefault="00AC0076" w:rsidP="00AC0076">
      <w:pPr>
        <w:pStyle w:val="SingleTxt"/>
        <w:spacing w:after="0" w:line="120" w:lineRule="exact"/>
        <w:rPr>
          <w:sz w:val="10"/>
          <w:lang w:val="fr-FR"/>
        </w:rPr>
      </w:pPr>
    </w:p>
    <w:p w:rsidR="004855DC" w:rsidRDefault="00AD7FC3" w:rsidP="00AD7FC3">
      <w:pPr>
        <w:pStyle w:val="SingleTxt"/>
        <w:ind w:left="2218" w:hanging="951"/>
        <w:rPr>
          <w:b/>
          <w:lang w:val="fr-FR"/>
        </w:rPr>
      </w:pPr>
      <w:r>
        <w:rPr>
          <w:b/>
          <w:lang w:val="fr-FR"/>
        </w:rPr>
        <w:tab/>
      </w:r>
      <w:r>
        <w:rPr>
          <w:b/>
          <w:lang w:val="fr-FR"/>
        </w:rPr>
        <w:tab/>
      </w:r>
      <w:r w:rsidR="004855DC" w:rsidRPr="00AC0076">
        <w:rPr>
          <w:b/>
          <w:lang w:val="fr-FR"/>
        </w:rPr>
        <w:t>Pour une nouvelle demande concernant des éléments qui seront inclus dans un groupe existant, une augmentation maximale de 10</w:t>
      </w:r>
      <w:r w:rsidR="00AC0076">
        <w:rPr>
          <w:b/>
          <w:lang w:val="fr-FR"/>
        </w:rPr>
        <w:t> </w:t>
      </w:r>
      <w:r w:rsidR="004855DC" w:rsidRPr="00AC0076">
        <w:rPr>
          <w:b/>
          <w:lang w:val="fr-FR"/>
        </w:rPr>
        <w:t>% de l’indice de l’énergie cinétique (E</w:t>
      </w:r>
      <w:r w:rsidR="004855DC" w:rsidRPr="00AC0076">
        <w:rPr>
          <w:b/>
          <w:vertAlign w:val="subscript"/>
          <w:lang w:val="fr-FR"/>
        </w:rPr>
        <w:t>p</w:t>
      </w:r>
      <w:r w:rsidR="004855DC" w:rsidRPr="00AC0076">
        <w:rPr>
          <w:b/>
          <w:lang w:val="fr-FR"/>
        </w:rPr>
        <w:t xml:space="preserve"> = énergie cinétique [kJ/cm</w:t>
      </w:r>
      <w:r w:rsidR="004855DC" w:rsidRPr="00AC0076">
        <w:rPr>
          <w:b/>
          <w:vertAlign w:val="superscript"/>
          <w:lang w:val="fr-FR"/>
        </w:rPr>
        <w:t>2</w:t>
      </w:r>
      <w:r w:rsidR="004855DC" w:rsidRPr="00AC0076">
        <w:rPr>
          <w:b/>
          <w:lang w:val="fr-FR"/>
        </w:rPr>
        <w:t>]) est autorisée par rapport à la valeur utilisée pour l’homologation de la garniture de frein assemblée du groupe de référence.</w:t>
      </w:r>
      <w:r w:rsidR="00AC0076">
        <w:rPr>
          <w:b/>
          <w:lang w:val="fr-FR"/>
        </w:rPr>
        <w:t> </w:t>
      </w:r>
      <w:r w:rsidR="004855DC" w:rsidRPr="00AC0076">
        <w:rPr>
          <w:b/>
          <w:lang w:val="fr-FR"/>
        </w:rPr>
        <w:t>».</w:t>
      </w:r>
    </w:p>
    <w:p w:rsidR="00AC0076" w:rsidRPr="00AC0076" w:rsidRDefault="00AC0076" w:rsidP="00AC0076">
      <w:pPr>
        <w:pStyle w:val="SingleTxt"/>
        <w:spacing w:after="0" w:line="120" w:lineRule="exact"/>
        <w:rPr>
          <w:b/>
          <w:sz w:val="10"/>
          <w:lang w:val="fr-FR"/>
        </w:rPr>
      </w:pPr>
    </w:p>
    <w:p w:rsidR="00AC0076" w:rsidRPr="00AC0076" w:rsidRDefault="00AC0076" w:rsidP="00AC0076">
      <w:pPr>
        <w:pStyle w:val="SingleTxt"/>
        <w:spacing w:after="0" w:line="120" w:lineRule="exact"/>
        <w:rPr>
          <w:b/>
          <w:sz w:val="10"/>
          <w:lang w:val="fr-FR"/>
        </w:rPr>
      </w:pPr>
    </w:p>
    <w:p w:rsidR="004855DC" w:rsidRDefault="004855DC" w:rsidP="00AC007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880DB3">
        <w:rPr>
          <w:lang w:val="fr-FR"/>
        </w:rPr>
        <w:tab/>
        <w:t>II.</w:t>
      </w:r>
      <w:r w:rsidRPr="00880DB3">
        <w:rPr>
          <w:lang w:val="fr-FR"/>
        </w:rPr>
        <w:tab/>
        <w:t>Justification</w:t>
      </w:r>
    </w:p>
    <w:p w:rsidR="00AC0076" w:rsidRPr="00AC0076" w:rsidRDefault="00AC0076" w:rsidP="00AC0076">
      <w:pPr>
        <w:pStyle w:val="SingleTxt"/>
        <w:spacing w:after="0" w:line="120" w:lineRule="exact"/>
        <w:rPr>
          <w:sz w:val="10"/>
          <w:lang w:val="fr-FR"/>
        </w:rPr>
      </w:pPr>
    </w:p>
    <w:p w:rsidR="00AC0076" w:rsidRPr="00AC0076" w:rsidRDefault="00AC0076" w:rsidP="00AC0076">
      <w:pPr>
        <w:pStyle w:val="SingleTxt"/>
        <w:spacing w:after="0" w:line="120" w:lineRule="exact"/>
        <w:rPr>
          <w:sz w:val="10"/>
          <w:lang w:val="fr-FR"/>
        </w:rPr>
      </w:pPr>
    </w:p>
    <w:p w:rsidR="004855DC" w:rsidRPr="00880DB3" w:rsidRDefault="004855DC" w:rsidP="00AC0076">
      <w:pPr>
        <w:pStyle w:val="SingleTxt"/>
        <w:rPr>
          <w:lang w:val="fr-FR"/>
        </w:rPr>
      </w:pPr>
      <w:r w:rsidRPr="00880DB3">
        <w:rPr>
          <w:lang w:val="fr-FR"/>
        </w:rPr>
        <w:t>1.</w:t>
      </w:r>
      <w:r w:rsidRPr="00880DB3">
        <w:rPr>
          <w:lang w:val="fr-FR"/>
        </w:rPr>
        <w:tab/>
        <w:t>Dans le cas des véhicules de la catégorie L, les types de garnitures de frein assemblées sont très nombreux, et les pièces de rechange appartenant à un même type sont commercialisées en très petites quantités. À titre d’exemple, un fabricant de taille moyenne produisant environ 600 types de garnitures de frein assemblées se référant à 12 000</w:t>
      </w:r>
      <w:r w:rsidR="00AC0076">
        <w:rPr>
          <w:lang w:val="fr-FR"/>
        </w:rPr>
        <w:t> </w:t>
      </w:r>
      <w:r w:rsidRPr="00880DB3">
        <w:rPr>
          <w:lang w:val="fr-FR"/>
        </w:rPr>
        <w:t>demandes d’homologation différentes et utilisant quatre matériaux différents doit déposer 2 400</w:t>
      </w:r>
      <w:r w:rsidR="00AC0076">
        <w:rPr>
          <w:lang w:val="fr-FR"/>
        </w:rPr>
        <w:t> </w:t>
      </w:r>
      <w:r w:rsidRPr="00880DB3">
        <w:rPr>
          <w:lang w:val="fr-FR"/>
        </w:rPr>
        <w:t>demandes d’homologation de type.</w:t>
      </w:r>
    </w:p>
    <w:p w:rsidR="004855DC" w:rsidRPr="00880DB3" w:rsidRDefault="004855DC" w:rsidP="00AC0076">
      <w:pPr>
        <w:pStyle w:val="SingleTxt"/>
        <w:rPr>
          <w:lang w:val="fr-FR"/>
        </w:rPr>
      </w:pPr>
      <w:r w:rsidRPr="00880DB3">
        <w:rPr>
          <w:lang w:val="fr-FR"/>
        </w:rPr>
        <w:t>2.</w:t>
      </w:r>
      <w:r w:rsidRPr="00880DB3">
        <w:rPr>
          <w:lang w:val="fr-FR"/>
        </w:rPr>
        <w:tab/>
        <w:t>Le regroupement est donc nécessaire de manière à réduire progressivement le fardeau pesant sur le fabricant que constitue l’homologation. Le fabricant de taille moyenne visé à l’article 1 ne devrait plus mener que 12 essais d’homologation de type, ce qui rendrait l’application du Règlement n</w:t>
      </w:r>
      <w:r w:rsidRPr="00880DB3">
        <w:rPr>
          <w:vertAlign w:val="superscript"/>
          <w:lang w:val="fr-FR"/>
        </w:rPr>
        <w:t>o</w:t>
      </w:r>
      <w:r w:rsidRPr="00880DB3">
        <w:rPr>
          <w:lang w:val="fr-FR"/>
        </w:rPr>
        <w:t> 90 réellement durable et faisable.</w:t>
      </w:r>
    </w:p>
    <w:p w:rsidR="004855DC" w:rsidRDefault="004855DC" w:rsidP="00AC0076">
      <w:pPr>
        <w:pStyle w:val="SingleTxt"/>
        <w:rPr>
          <w:lang w:val="fr-FR"/>
        </w:rPr>
      </w:pPr>
      <w:r w:rsidRPr="00880DB3">
        <w:rPr>
          <w:lang w:val="fr-FR"/>
        </w:rPr>
        <w:t>3.</w:t>
      </w:r>
      <w:r w:rsidRPr="00880DB3">
        <w:rPr>
          <w:lang w:val="fr-FR"/>
        </w:rPr>
        <w:tab/>
        <w:t>L’indice de l’énergie cinétique E</w:t>
      </w:r>
      <w:r w:rsidRPr="00880DB3">
        <w:rPr>
          <w:vertAlign w:val="subscript"/>
          <w:lang w:val="fr-FR"/>
        </w:rPr>
        <w:t>p</w:t>
      </w:r>
      <w:r w:rsidRPr="00880DB3">
        <w:rPr>
          <w:lang w:val="fr-FR"/>
        </w:rPr>
        <w:t xml:space="preserve"> a été sélectionné en tant que critère permettant de sélectionner le cas le plus défavorable, étant donné qu’il s’agit de la donnée la plus pertinente en ce qui concerne la contrainte appliquée à l’ensemble de la garniture de frein assemblée.</w:t>
      </w:r>
    </w:p>
    <w:p w:rsidR="00AC0076" w:rsidRPr="00AC0076" w:rsidRDefault="00AC0076" w:rsidP="00AC0076">
      <w:pPr>
        <w:pStyle w:val="SingleTxt"/>
        <w:spacing w:after="0" w:line="240" w:lineRule="auto"/>
      </w:pPr>
      <w:r>
        <w:rPr>
          <w:noProof/>
          <w:w w:val="100"/>
          <w:lang w:val="fr-FR" w:eastAsia="fr-FR"/>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21887" id="Straight Connector 6"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KhN&#10;9Eb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AC0076" w:rsidRPr="00AC0076" w:rsidSect="00367F9B">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6E6" w:rsidRDefault="007916E6" w:rsidP="00F3330B">
      <w:pPr>
        <w:spacing w:line="240" w:lineRule="auto"/>
      </w:pPr>
      <w:r>
        <w:separator/>
      </w:r>
    </w:p>
  </w:endnote>
  <w:endnote w:type="continuationSeparator" w:id="0">
    <w:p w:rsidR="007916E6" w:rsidRDefault="007916E6"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5126"/>
      <w:gridCol w:w="5127"/>
    </w:tblGrid>
    <w:tr w:rsidR="00367F9B" w:rsidTr="00367F9B">
      <w:trPr>
        <w:jc w:val="center"/>
      </w:trPr>
      <w:tc>
        <w:tcPr>
          <w:tcW w:w="5126" w:type="dxa"/>
          <w:shd w:val="clear" w:color="auto" w:fill="auto"/>
        </w:tcPr>
        <w:p w:rsidR="00367F9B" w:rsidRPr="00367F9B" w:rsidRDefault="00367F9B" w:rsidP="00367F9B">
          <w:pPr>
            <w:pStyle w:val="Pieddepage"/>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B0EE8">
            <w:rPr>
              <w:b w:val="0"/>
              <w:w w:val="103"/>
              <w:sz w:val="14"/>
            </w:rPr>
            <w:t>GE.15-20570</w:t>
          </w:r>
          <w:r>
            <w:rPr>
              <w:b w:val="0"/>
              <w:w w:val="103"/>
              <w:sz w:val="14"/>
            </w:rPr>
            <w:fldChar w:fldCharType="end"/>
          </w:r>
        </w:p>
      </w:tc>
      <w:tc>
        <w:tcPr>
          <w:tcW w:w="5127" w:type="dxa"/>
          <w:shd w:val="clear" w:color="auto" w:fill="auto"/>
        </w:tcPr>
        <w:p w:rsidR="00367F9B" w:rsidRPr="00367F9B" w:rsidRDefault="00367F9B" w:rsidP="00367F9B">
          <w:pPr>
            <w:pStyle w:val="Pieddepage"/>
            <w:rPr>
              <w:w w:val="103"/>
            </w:rPr>
          </w:pPr>
          <w:r>
            <w:rPr>
              <w:w w:val="103"/>
            </w:rPr>
            <w:fldChar w:fldCharType="begin"/>
          </w:r>
          <w:r>
            <w:rPr>
              <w:w w:val="103"/>
            </w:rPr>
            <w:instrText xml:space="preserve"> PAGE  \* Arabic  \* MERGEFORMAT </w:instrText>
          </w:r>
          <w:r>
            <w:rPr>
              <w:w w:val="103"/>
            </w:rPr>
            <w:fldChar w:fldCharType="separate"/>
          </w:r>
          <w:r w:rsidR="002F13CE">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F13CE">
            <w:rPr>
              <w:noProof/>
              <w:w w:val="103"/>
            </w:rPr>
            <w:t>4</w:t>
          </w:r>
          <w:r>
            <w:rPr>
              <w:w w:val="103"/>
            </w:rPr>
            <w:fldChar w:fldCharType="end"/>
          </w:r>
        </w:p>
      </w:tc>
    </w:tr>
  </w:tbl>
  <w:p w:rsidR="00367F9B" w:rsidRPr="00367F9B" w:rsidRDefault="00367F9B" w:rsidP="00367F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ayout w:type="fixed"/>
      <w:tblLook w:val="0000" w:firstRow="0" w:lastRow="0" w:firstColumn="0" w:lastColumn="0" w:noHBand="0" w:noVBand="0"/>
    </w:tblPr>
    <w:tblGrid>
      <w:gridCol w:w="5126"/>
      <w:gridCol w:w="5127"/>
    </w:tblGrid>
    <w:tr w:rsidR="00367F9B" w:rsidTr="00367F9B">
      <w:trPr>
        <w:jc w:val="center"/>
      </w:trPr>
      <w:tc>
        <w:tcPr>
          <w:tcW w:w="5126" w:type="dxa"/>
          <w:shd w:val="clear" w:color="auto" w:fill="auto"/>
        </w:tcPr>
        <w:p w:rsidR="00367F9B" w:rsidRPr="00367F9B" w:rsidRDefault="00367F9B" w:rsidP="00367F9B">
          <w:pPr>
            <w:pStyle w:val="Pieddepage"/>
            <w:jc w:val="right"/>
            <w:rPr>
              <w:w w:val="103"/>
            </w:rPr>
          </w:pPr>
          <w:r>
            <w:rPr>
              <w:w w:val="103"/>
            </w:rPr>
            <w:fldChar w:fldCharType="begin"/>
          </w:r>
          <w:r>
            <w:rPr>
              <w:w w:val="103"/>
            </w:rPr>
            <w:instrText xml:space="preserve"> PAGE  \* Arabic  \* MERGEFORMAT </w:instrText>
          </w:r>
          <w:r>
            <w:rPr>
              <w:w w:val="103"/>
            </w:rPr>
            <w:fldChar w:fldCharType="separate"/>
          </w:r>
          <w:r w:rsidR="002F13CE">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F13CE">
            <w:rPr>
              <w:noProof/>
              <w:w w:val="103"/>
            </w:rPr>
            <w:t>4</w:t>
          </w:r>
          <w:r>
            <w:rPr>
              <w:w w:val="103"/>
            </w:rPr>
            <w:fldChar w:fldCharType="end"/>
          </w:r>
        </w:p>
      </w:tc>
      <w:tc>
        <w:tcPr>
          <w:tcW w:w="5127" w:type="dxa"/>
          <w:shd w:val="clear" w:color="auto" w:fill="auto"/>
        </w:tcPr>
        <w:p w:rsidR="00367F9B" w:rsidRPr="00367F9B" w:rsidRDefault="00367F9B" w:rsidP="00367F9B">
          <w:pPr>
            <w:pStyle w:val="Pieddepage"/>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2B0EE8">
            <w:rPr>
              <w:b w:val="0"/>
              <w:w w:val="103"/>
              <w:sz w:val="14"/>
            </w:rPr>
            <w:t>GE.15-20570</w:t>
          </w:r>
          <w:r>
            <w:rPr>
              <w:b w:val="0"/>
              <w:w w:val="103"/>
              <w:sz w:val="14"/>
            </w:rPr>
            <w:fldChar w:fldCharType="end"/>
          </w:r>
        </w:p>
      </w:tc>
    </w:tr>
  </w:tbl>
  <w:p w:rsidR="00367F9B" w:rsidRPr="00367F9B" w:rsidRDefault="00367F9B" w:rsidP="00367F9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9B" w:rsidRDefault="00367F9B">
    <w:pPr>
      <w:pStyle w:val="Pieddepage"/>
    </w:pPr>
    <w:r>
      <w:rPr>
        <w:noProof/>
        <w:lang w:val="fr-FR" w:eastAsia="fr-FR"/>
      </w:rPr>
      <w:drawing>
        <wp:anchor distT="0" distB="0" distL="114300" distR="114300" simplePos="0" relativeHeight="251658240" behindDoc="0" locked="0" layoutInCell="1" allowOverlap="1" wp14:anchorId="6FCD79C2" wp14:editId="38C4F59F">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ECE/TRANS/WP.29/GRRF/2016/18&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CE/TRANS/WP.29/GRRF/2016/18&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367F9B" w:rsidTr="00367F9B">
      <w:tc>
        <w:tcPr>
          <w:tcW w:w="3859" w:type="dxa"/>
        </w:tcPr>
        <w:p w:rsidR="00367F9B" w:rsidRDefault="00367F9B" w:rsidP="00367F9B">
          <w:pPr>
            <w:pStyle w:val="Pieddepage"/>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2B0EE8">
            <w:rPr>
              <w:b w:val="0"/>
              <w:sz w:val="20"/>
            </w:rPr>
            <w:t>GE.15-20570 (F)</w:t>
          </w:r>
          <w:r>
            <w:rPr>
              <w:b w:val="0"/>
              <w:sz w:val="20"/>
            </w:rPr>
            <w:fldChar w:fldCharType="end"/>
          </w:r>
          <w:r w:rsidR="00A17012">
            <w:rPr>
              <w:b w:val="0"/>
              <w:sz w:val="20"/>
            </w:rPr>
            <w:t xml:space="preserve">    07</w:t>
          </w:r>
          <w:r w:rsidR="002015B2">
            <w:rPr>
              <w:b w:val="0"/>
              <w:sz w:val="20"/>
            </w:rPr>
            <w:t>1215    21</w:t>
          </w:r>
          <w:r>
            <w:rPr>
              <w:b w:val="0"/>
              <w:sz w:val="20"/>
            </w:rPr>
            <w:t>1215</w:t>
          </w:r>
        </w:p>
        <w:p w:rsidR="00367F9B" w:rsidRPr="00367F9B" w:rsidRDefault="00367F9B" w:rsidP="00367F9B">
          <w:pPr>
            <w:pStyle w:val="Pieddepage"/>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2B0EE8">
            <w:rPr>
              <w:rFonts w:ascii="Barcode 3 of 9 by request" w:hAnsi="Barcode 3 of 9 by request"/>
              <w:b w:val="0"/>
              <w:spacing w:val="0"/>
              <w:w w:val="100"/>
              <w:sz w:val="24"/>
            </w:rPr>
            <w:t>*1520570*</w:t>
          </w:r>
          <w:r>
            <w:rPr>
              <w:rFonts w:ascii="Barcode 3 of 9 by request" w:hAnsi="Barcode 3 of 9 by request"/>
              <w:b w:val="0"/>
              <w:spacing w:val="0"/>
              <w:w w:val="100"/>
              <w:sz w:val="24"/>
            </w:rPr>
            <w:fldChar w:fldCharType="end"/>
          </w:r>
        </w:p>
      </w:tc>
      <w:tc>
        <w:tcPr>
          <w:tcW w:w="5127" w:type="dxa"/>
        </w:tcPr>
        <w:p w:rsidR="00367F9B" w:rsidRDefault="00367F9B" w:rsidP="00367F9B">
          <w:pPr>
            <w:pStyle w:val="Pieddepage"/>
            <w:spacing w:line="240" w:lineRule="atLeast"/>
            <w:jc w:val="right"/>
            <w:rPr>
              <w:b w:val="0"/>
              <w:sz w:val="20"/>
            </w:rPr>
          </w:pPr>
          <w:r>
            <w:rPr>
              <w:b w:val="0"/>
              <w:noProof/>
              <w:sz w:val="20"/>
              <w:lang w:val="fr-FR" w:eastAsia="fr-FR"/>
            </w:rPr>
            <w:drawing>
              <wp:inline distT="0" distB="0" distL="0" distR="0" wp14:anchorId="770FAF0C" wp14:editId="2FBB5AD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367F9B" w:rsidRPr="00367F9B" w:rsidRDefault="00367F9B" w:rsidP="00367F9B">
    <w:pPr>
      <w:pStyle w:val="Pieddepage"/>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6E6" w:rsidRPr="00DC0893" w:rsidRDefault="007916E6" w:rsidP="00DC0893">
      <w:pPr>
        <w:pStyle w:val="Pieddepage"/>
        <w:spacing w:after="80"/>
        <w:ind w:left="792"/>
        <w:rPr>
          <w:sz w:val="16"/>
        </w:rPr>
      </w:pPr>
      <w:r w:rsidRPr="00DC0893">
        <w:rPr>
          <w:sz w:val="16"/>
        </w:rPr>
        <w:t>__________________</w:t>
      </w:r>
    </w:p>
  </w:footnote>
  <w:footnote w:type="continuationSeparator" w:id="0">
    <w:p w:rsidR="007916E6" w:rsidRPr="00DC0893" w:rsidRDefault="007916E6" w:rsidP="00DC0893">
      <w:pPr>
        <w:pStyle w:val="Pieddepage"/>
        <w:spacing w:after="80"/>
        <w:ind w:left="792"/>
        <w:rPr>
          <w:sz w:val="16"/>
        </w:rPr>
      </w:pPr>
      <w:r w:rsidRPr="00DC0893">
        <w:rPr>
          <w:sz w:val="16"/>
        </w:rPr>
        <w:t>__________________</w:t>
      </w:r>
    </w:p>
  </w:footnote>
  <w:footnote w:id="1">
    <w:p w:rsidR="00DC0893" w:rsidRPr="00B91504" w:rsidRDefault="00DC0893" w:rsidP="00DC0893">
      <w:pPr>
        <w:pStyle w:val="Notedebasdepage"/>
        <w:tabs>
          <w:tab w:val="right" w:pos="1195"/>
          <w:tab w:val="left" w:pos="1267"/>
          <w:tab w:val="left" w:pos="1742"/>
          <w:tab w:val="left" w:pos="2218"/>
          <w:tab w:val="left" w:pos="2693"/>
        </w:tabs>
        <w:ind w:left="1267" w:right="1260" w:hanging="432"/>
        <w:rPr>
          <w:lang w:val="fr-FR"/>
        </w:rPr>
      </w:pPr>
      <w:r w:rsidRPr="00B91504">
        <w:rPr>
          <w:lang w:val="fr-FR"/>
        </w:rPr>
        <w:tab/>
      </w:r>
      <w:r w:rsidRPr="00B91504">
        <w:rPr>
          <w:rStyle w:val="Appelnotedebasdep"/>
          <w:vertAlign w:val="baseline"/>
          <w:lang w:val="fr-FR"/>
        </w:rPr>
        <w:t>*</w:t>
      </w:r>
      <w:r w:rsidRPr="00B91504">
        <w:rPr>
          <w:lang w:val="fr-FR"/>
        </w:rPr>
        <w:tab/>
      </w:r>
      <w:r w:rsidRPr="00B91504">
        <w:rPr>
          <w:szCs w:val="18"/>
          <w:lang w:val="fr-FR"/>
        </w:rPr>
        <w:t>Conformément au programme de travail du Comité des transports intérieurs pour la période 2014-2018 (ECE/TRANS/240, par. 105, et ECE/TRANS/2014/26, activité 02.4), le Forum mondial a pour mission d’élaborer, d’harmoniser et de mettre à jour les Règlements en vue d’améliorer les caractéristiques fonctionnelles des véhicules. Le présent document est soumis dans le cadre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67F9B" w:rsidTr="00367F9B">
      <w:trPr>
        <w:trHeight w:hRule="exact" w:val="864"/>
        <w:jc w:val="center"/>
      </w:trPr>
      <w:tc>
        <w:tcPr>
          <w:tcW w:w="4882" w:type="dxa"/>
          <w:shd w:val="clear" w:color="auto" w:fill="auto"/>
          <w:vAlign w:val="bottom"/>
        </w:tcPr>
        <w:p w:rsidR="00367F9B" w:rsidRPr="00367F9B" w:rsidRDefault="00367F9B" w:rsidP="00367F9B">
          <w:pPr>
            <w:pStyle w:val="En-tte"/>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B0EE8">
            <w:rPr>
              <w:b/>
              <w:color w:val="000000"/>
            </w:rPr>
            <w:t>ECE/TRANS/WP.29/GRRF/2016/18</w:t>
          </w:r>
          <w:r>
            <w:rPr>
              <w:b/>
              <w:color w:val="000000"/>
            </w:rPr>
            <w:fldChar w:fldCharType="end"/>
          </w:r>
        </w:p>
      </w:tc>
      <w:tc>
        <w:tcPr>
          <w:tcW w:w="5127" w:type="dxa"/>
          <w:shd w:val="clear" w:color="auto" w:fill="auto"/>
          <w:vAlign w:val="bottom"/>
        </w:tcPr>
        <w:p w:rsidR="00367F9B" w:rsidRDefault="00367F9B" w:rsidP="00367F9B">
          <w:pPr>
            <w:pStyle w:val="En-tte"/>
          </w:pPr>
        </w:p>
      </w:tc>
    </w:tr>
  </w:tbl>
  <w:p w:rsidR="00367F9B" w:rsidRPr="00367F9B" w:rsidRDefault="00367F9B" w:rsidP="00367F9B">
    <w:pPr>
      <w:pStyle w:val="En-tte"/>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367F9B" w:rsidTr="00367F9B">
      <w:trPr>
        <w:trHeight w:hRule="exact" w:val="864"/>
        <w:jc w:val="center"/>
      </w:trPr>
      <w:tc>
        <w:tcPr>
          <w:tcW w:w="4882" w:type="dxa"/>
          <w:shd w:val="clear" w:color="auto" w:fill="auto"/>
          <w:vAlign w:val="bottom"/>
        </w:tcPr>
        <w:p w:rsidR="00367F9B" w:rsidRDefault="00367F9B" w:rsidP="00367F9B">
          <w:pPr>
            <w:pStyle w:val="En-tte"/>
          </w:pPr>
        </w:p>
      </w:tc>
      <w:tc>
        <w:tcPr>
          <w:tcW w:w="5127" w:type="dxa"/>
          <w:shd w:val="clear" w:color="auto" w:fill="auto"/>
          <w:vAlign w:val="bottom"/>
        </w:tcPr>
        <w:p w:rsidR="00367F9B" w:rsidRPr="00367F9B" w:rsidRDefault="00367F9B" w:rsidP="00367F9B">
          <w:pPr>
            <w:pStyle w:val="En-tte"/>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B0EE8">
            <w:rPr>
              <w:b/>
              <w:color w:val="000000"/>
            </w:rPr>
            <w:t>ECE/TRANS/WP.29/GRRF/2016/18</w:t>
          </w:r>
          <w:r>
            <w:rPr>
              <w:b/>
              <w:color w:val="000000"/>
            </w:rPr>
            <w:fldChar w:fldCharType="end"/>
          </w:r>
        </w:p>
      </w:tc>
    </w:tr>
  </w:tbl>
  <w:p w:rsidR="00367F9B" w:rsidRPr="00367F9B" w:rsidRDefault="00367F9B" w:rsidP="00367F9B">
    <w:pPr>
      <w:pStyle w:val="En-tte"/>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367F9B" w:rsidTr="00367F9B">
      <w:trPr>
        <w:trHeight w:hRule="exact" w:val="864"/>
      </w:trPr>
      <w:tc>
        <w:tcPr>
          <w:tcW w:w="1267" w:type="dxa"/>
          <w:tcBorders>
            <w:bottom w:val="single" w:sz="4" w:space="0" w:color="auto"/>
          </w:tcBorders>
          <w:shd w:val="clear" w:color="auto" w:fill="auto"/>
          <w:vAlign w:val="bottom"/>
        </w:tcPr>
        <w:p w:rsidR="00367F9B" w:rsidRDefault="00367F9B" w:rsidP="00367F9B">
          <w:pPr>
            <w:pStyle w:val="En-tte"/>
            <w:spacing w:after="120"/>
          </w:pPr>
        </w:p>
      </w:tc>
      <w:tc>
        <w:tcPr>
          <w:tcW w:w="2059" w:type="dxa"/>
          <w:tcBorders>
            <w:bottom w:val="single" w:sz="4" w:space="0" w:color="auto"/>
          </w:tcBorders>
          <w:shd w:val="clear" w:color="auto" w:fill="auto"/>
          <w:vAlign w:val="bottom"/>
        </w:tcPr>
        <w:p w:rsidR="00367F9B" w:rsidRPr="00367F9B" w:rsidRDefault="00367F9B" w:rsidP="00367F9B">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367F9B" w:rsidRDefault="00367F9B" w:rsidP="00367F9B">
          <w:pPr>
            <w:pStyle w:val="En-tte"/>
            <w:spacing w:after="120"/>
          </w:pPr>
        </w:p>
      </w:tc>
      <w:tc>
        <w:tcPr>
          <w:tcW w:w="6653" w:type="dxa"/>
          <w:gridSpan w:val="4"/>
          <w:tcBorders>
            <w:bottom w:val="single" w:sz="4" w:space="0" w:color="auto"/>
          </w:tcBorders>
          <w:shd w:val="clear" w:color="auto" w:fill="auto"/>
          <w:vAlign w:val="bottom"/>
        </w:tcPr>
        <w:p w:rsidR="00367F9B" w:rsidRPr="00367F9B" w:rsidRDefault="00367F9B" w:rsidP="00367F9B">
          <w:pPr>
            <w:spacing w:after="80" w:line="240" w:lineRule="auto"/>
            <w:jc w:val="right"/>
            <w:rPr>
              <w:position w:val="-4"/>
            </w:rPr>
          </w:pPr>
          <w:r>
            <w:rPr>
              <w:position w:val="-4"/>
              <w:sz w:val="40"/>
            </w:rPr>
            <w:t>ECE</w:t>
          </w:r>
          <w:r>
            <w:rPr>
              <w:position w:val="-4"/>
            </w:rPr>
            <w:t>/TRANS/WP.29/GRRF/2016/18</w:t>
          </w:r>
        </w:p>
      </w:tc>
    </w:tr>
    <w:tr w:rsidR="00367F9B" w:rsidRPr="00367F9B" w:rsidTr="00367F9B">
      <w:trPr>
        <w:gridAfter w:val="1"/>
        <w:wAfter w:w="18" w:type="dxa"/>
        <w:trHeight w:hRule="exact" w:val="2880"/>
      </w:trPr>
      <w:tc>
        <w:tcPr>
          <w:tcW w:w="1267" w:type="dxa"/>
          <w:tcBorders>
            <w:top w:val="single" w:sz="4" w:space="0" w:color="auto"/>
            <w:bottom w:val="single" w:sz="12" w:space="0" w:color="auto"/>
          </w:tcBorders>
          <w:shd w:val="clear" w:color="auto" w:fill="auto"/>
        </w:tcPr>
        <w:p w:rsidR="00367F9B" w:rsidRPr="00367F9B" w:rsidRDefault="00367F9B" w:rsidP="00367F9B">
          <w:pPr>
            <w:pStyle w:val="En-tte"/>
            <w:spacing w:before="120" w:line="240" w:lineRule="auto"/>
            <w:ind w:left="-72"/>
            <w:jc w:val="center"/>
          </w:pPr>
          <w:r>
            <w:t xml:space="preserve">  </w:t>
          </w:r>
          <w:r>
            <w:rPr>
              <w:noProof/>
              <w:lang w:val="fr-FR" w:eastAsia="fr-FR"/>
            </w:rPr>
            <w:drawing>
              <wp:inline distT="0" distB="0" distL="0" distR="0" wp14:anchorId="707BC4A3" wp14:editId="57338DA3">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367F9B" w:rsidRPr="00367F9B" w:rsidRDefault="00367F9B" w:rsidP="00367F9B">
          <w:pPr>
            <w:pStyle w:val="XLarge"/>
            <w:spacing w:before="109"/>
          </w:pPr>
          <w:r>
            <w:t>Conseil économique et social</w:t>
          </w:r>
        </w:p>
      </w:tc>
      <w:tc>
        <w:tcPr>
          <w:tcW w:w="245" w:type="dxa"/>
          <w:tcBorders>
            <w:top w:val="single" w:sz="4" w:space="0" w:color="auto"/>
            <w:bottom w:val="single" w:sz="12" w:space="0" w:color="auto"/>
          </w:tcBorders>
          <w:shd w:val="clear" w:color="auto" w:fill="auto"/>
        </w:tcPr>
        <w:p w:rsidR="00367F9B" w:rsidRPr="00367F9B" w:rsidRDefault="00367F9B" w:rsidP="00367F9B">
          <w:pPr>
            <w:pStyle w:val="En-tte"/>
            <w:spacing w:before="109"/>
          </w:pPr>
        </w:p>
      </w:tc>
      <w:tc>
        <w:tcPr>
          <w:tcW w:w="3280" w:type="dxa"/>
          <w:tcBorders>
            <w:top w:val="single" w:sz="4" w:space="0" w:color="auto"/>
            <w:bottom w:val="single" w:sz="12" w:space="0" w:color="auto"/>
          </w:tcBorders>
          <w:shd w:val="clear" w:color="auto" w:fill="auto"/>
        </w:tcPr>
        <w:p w:rsidR="00367F9B" w:rsidRDefault="00367F9B" w:rsidP="00367F9B">
          <w:pPr>
            <w:pStyle w:val="Distribution"/>
            <w:rPr>
              <w:color w:val="000000"/>
            </w:rPr>
          </w:pPr>
          <w:r>
            <w:rPr>
              <w:color w:val="000000"/>
            </w:rPr>
            <w:t>Distr. générale</w:t>
          </w:r>
        </w:p>
        <w:p w:rsidR="00367F9B" w:rsidRDefault="00367F9B" w:rsidP="00367F9B">
          <w:pPr>
            <w:pStyle w:val="Publication"/>
            <w:rPr>
              <w:color w:val="000000"/>
            </w:rPr>
          </w:pPr>
          <w:r>
            <w:rPr>
              <w:color w:val="000000"/>
            </w:rPr>
            <w:t>23 novembre 2015</w:t>
          </w:r>
        </w:p>
        <w:p w:rsidR="00367F9B" w:rsidRDefault="00367F9B" w:rsidP="00367F9B">
          <w:pPr>
            <w:rPr>
              <w:lang w:val="en-US"/>
            </w:rPr>
          </w:pPr>
          <w:r>
            <w:rPr>
              <w:lang w:val="en-US"/>
            </w:rPr>
            <w:t>Français</w:t>
          </w:r>
        </w:p>
        <w:p w:rsidR="00367F9B" w:rsidRPr="00367F9B" w:rsidRDefault="00367F9B" w:rsidP="00367F9B">
          <w:pPr>
            <w:pStyle w:val="Original"/>
            <w:rPr>
              <w:color w:val="000000"/>
            </w:rPr>
          </w:pPr>
          <w:r>
            <w:rPr>
              <w:color w:val="000000"/>
            </w:rPr>
            <w:t>Original : anglais</w:t>
          </w:r>
        </w:p>
      </w:tc>
    </w:tr>
  </w:tbl>
  <w:p w:rsidR="00367F9B" w:rsidRPr="00367F9B" w:rsidRDefault="00367F9B" w:rsidP="00367F9B">
    <w:pPr>
      <w:pStyle w:val="En-tt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2D06B23"/>
    <w:multiLevelType w:val="multilevel"/>
    <w:tmpl w:val="0A5CDD56"/>
    <w:lvl w:ilvl="0">
      <w:start w:val="1"/>
      <w:numFmt w:val="decimal"/>
      <w:pStyle w:val="Titre1"/>
      <w:suff w:val="space"/>
      <w:lvlText w:val="Chapter %1"/>
      <w:lvlJc w:val="left"/>
      <w:pPr>
        <w:ind w:left="0" w:firstLine="0"/>
      </w:pPr>
      <w:rPr>
        <w:rFonts w:ascii="Times New Roman" w:hAnsi="Times New Roman" w:hint="default"/>
        <w:color w:val="auto"/>
        <w:sz w:val="20"/>
      </w:rPr>
    </w:lvl>
    <w:lvl w:ilvl="1">
      <w:start w:val="1"/>
      <w:numFmt w:val="none"/>
      <w:pStyle w:val="Titre2"/>
      <w:suff w:val="nothing"/>
      <w:lvlText w:val=""/>
      <w:lvlJc w:val="left"/>
      <w:pPr>
        <w:ind w:left="0" w:firstLine="0"/>
      </w:pPr>
      <w:rPr>
        <w:rFonts w:hint="default"/>
      </w:rPr>
    </w:lvl>
    <w:lvl w:ilvl="2">
      <w:start w:val="1"/>
      <w:numFmt w:val="none"/>
      <w:pStyle w:val="Titre3"/>
      <w:suff w:val="nothing"/>
      <w:lvlText w:val=""/>
      <w:lvlJc w:val="left"/>
      <w:pPr>
        <w:ind w:left="0" w:firstLine="0"/>
      </w:pPr>
      <w:rPr>
        <w:rFonts w:hint="default"/>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3"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SortMethod w:val="0003"/>
  <w:defaultTabStop w:val="475"/>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0570*"/>
    <w:docVar w:name="CreationDt" w:val="12/16/2015 10:00 AM"/>
    <w:docVar w:name="DocCategory" w:val="Doc"/>
    <w:docVar w:name="DocType" w:val="Final"/>
    <w:docVar w:name="DutyStation" w:val="Geneva"/>
    <w:docVar w:name="FooterJN" w:val="GE.15-20570"/>
    <w:docVar w:name="jobn" w:val="GE.15-20570 (F)"/>
    <w:docVar w:name="jobnDT" w:val="GE.15-20570 (F)   161215"/>
    <w:docVar w:name="jobnDTDT" w:val="GE.15-20570 (F)   161215   161215"/>
    <w:docVar w:name="JobNo" w:val="GE.1520570F"/>
    <w:docVar w:name="JobNo2" w:val="GE.1526631F"/>
    <w:docVar w:name="LocalDrive" w:val="0"/>
    <w:docVar w:name="OandT" w:val="CC"/>
    <w:docVar w:name="PaperSize" w:val="A4"/>
    <w:docVar w:name="sss1" w:val="ECE/TRANS/WP.29/GRRF/2016/18"/>
    <w:docVar w:name="sss2" w:val="-"/>
    <w:docVar w:name="Symbol1" w:val="ECE/TRANS/WP.29/GRRF/2016/18"/>
    <w:docVar w:name="Symbol2" w:val="-"/>
  </w:docVars>
  <w:rsids>
    <w:rsidRoot w:val="00D708B6"/>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530F"/>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23812"/>
    <w:rsid w:val="001256F6"/>
    <w:rsid w:val="001262BA"/>
    <w:rsid w:val="00126FB2"/>
    <w:rsid w:val="00127266"/>
    <w:rsid w:val="0013186C"/>
    <w:rsid w:val="00132A45"/>
    <w:rsid w:val="001359FA"/>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15B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48D"/>
    <w:rsid w:val="002A27E5"/>
    <w:rsid w:val="002A530D"/>
    <w:rsid w:val="002A69DB"/>
    <w:rsid w:val="002B037D"/>
    <w:rsid w:val="002B0EE8"/>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3CE"/>
    <w:rsid w:val="002F18EE"/>
    <w:rsid w:val="002F1E33"/>
    <w:rsid w:val="002F5482"/>
    <w:rsid w:val="002F5972"/>
    <w:rsid w:val="00303A3C"/>
    <w:rsid w:val="00303D82"/>
    <w:rsid w:val="00303E4E"/>
    <w:rsid w:val="003046E5"/>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67F9B"/>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55DC"/>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2928"/>
    <w:rsid w:val="005536AE"/>
    <w:rsid w:val="005541A7"/>
    <w:rsid w:val="00554B37"/>
    <w:rsid w:val="0055536F"/>
    <w:rsid w:val="005657BE"/>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22F6"/>
    <w:rsid w:val="00735F3A"/>
    <w:rsid w:val="00735FB1"/>
    <w:rsid w:val="007367E1"/>
    <w:rsid w:val="007379A0"/>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16E6"/>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206E"/>
    <w:rsid w:val="007C29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20D"/>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12F7"/>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2711B"/>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17012"/>
    <w:rsid w:val="00A210DD"/>
    <w:rsid w:val="00A21443"/>
    <w:rsid w:val="00A22ED0"/>
    <w:rsid w:val="00A23006"/>
    <w:rsid w:val="00A24099"/>
    <w:rsid w:val="00A264B0"/>
    <w:rsid w:val="00A2768E"/>
    <w:rsid w:val="00A329BC"/>
    <w:rsid w:val="00A33E3C"/>
    <w:rsid w:val="00A3426E"/>
    <w:rsid w:val="00A353ED"/>
    <w:rsid w:val="00A375D9"/>
    <w:rsid w:val="00A37FBB"/>
    <w:rsid w:val="00A4236C"/>
    <w:rsid w:val="00A43CAC"/>
    <w:rsid w:val="00A457C5"/>
    <w:rsid w:val="00A45E20"/>
    <w:rsid w:val="00A46DB8"/>
    <w:rsid w:val="00A52DF2"/>
    <w:rsid w:val="00A54A5E"/>
    <w:rsid w:val="00A55810"/>
    <w:rsid w:val="00A56CDD"/>
    <w:rsid w:val="00A56E3B"/>
    <w:rsid w:val="00A57C5A"/>
    <w:rsid w:val="00A64AD2"/>
    <w:rsid w:val="00A72C1F"/>
    <w:rsid w:val="00A72F5E"/>
    <w:rsid w:val="00A75482"/>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7EB"/>
    <w:rsid w:val="00AB39C5"/>
    <w:rsid w:val="00AB4438"/>
    <w:rsid w:val="00AB4466"/>
    <w:rsid w:val="00AB50E6"/>
    <w:rsid w:val="00AB6814"/>
    <w:rsid w:val="00AB6863"/>
    <w:rsid w:val="00AB6BE3"/>
    <w:rsid w:val="00AB71F3"/>
    <w:rsid w:val="00AC0076"/>
    <w:rsid w:val="00AC0555"/>
    <w:rsid w:val="00AC625F"/>
    <w:rsid w:val="00AC67C3"/>
    <w:rsid w:val="00AC6CA3"/>
    <w:rsid w:val="00AC6DB5"/>
    <w:rsid w:val="00AD3D04"/>
    <w:rsid w:val="00AD500D"/>
    <w:rsid w:val="00AD7C27"/>
    <w:rsid w:val="00AD7FC3"/>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504"/>
    <w:rsid w:val="00B932C8"/>
    <w:rsid w:val="00B93B31"/>
    <w:rsid w:val="00B9457F"/>
    <w:rsid w:val="00B965BF"/>
    <w:rsid w:val="00BA06B1"/>
    <w:rsid w:val="00BA1F39"/>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1FE5"/>
    <w:rsid w:val="00D12150"/>
    <w:rsid w:val="00D12CFB"/>
    <w:rsid w:val="00D1326C"/>
    <w:rsid w:val="00D1431B"/>
    <w:rsid w:val="00D14690"/>
    <w:rsid w:val="00D15BBA"/>
    <w:rsid w:val="00D1608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2AC"/>
    <w:rsid w:val="00D64A77"/>
    <w:rsid w:val="00D66AB5"/>
    <w:rsid w:val="00D67265"/>
    <w:rsid w:val="00D676A0"/>
    <w:rsid w:val="00D70856"/>
    <w:rsid w:val="00D708B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B689A"/>
    <w:rsid w:val="00DC0893"/>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693"/>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5CD2"/>
    <w:rsid w:val="00EC3054"/>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5DB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518A9-B470-432F-A7D0-B812D72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Titre1">
    <w:name w:val="heading 1"/>
    <w:basedOn w:val="Normal"/>
    <w:next w:val="Normal"/>
    <w:link w:val="Titre1C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Titre2">
    <w:name w:val="heading 2"/>
    <w:basedOn w:val="Normal"/>
    <w:next w:val="Normal"/>
    <w:link w:val="Titre2C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Titre3">
    <w:name w:val="heading 3"/>
    <w:basedOn w:val="Normal"/>
    <w:next w:val="Normal"/>
    <w:link w:val="Titre3C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Titre4">
    <w:name w:val="heading 4"/>
    <w:basedOn w:val="Normal"/>
    <w:next w:val="Normal"/>
    <w:link w:val="Titre4C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Titre6">
    <w:name w:val="heading 6"/>
    <w:basedOn w:val="Normal"/>
    <w:next w:val="Normal"/>
    <w:link w:val="Titre6C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Titre7">
    <w:name w:val="heading 7"/>
    <w:basedOn w:val="Normal"/>
    <w:next w:val="Normal"/>
    <w:link w:val="Titre7C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Titre8">
    <w:name w:val="heading 8"/>
    <w:basedOn w:val="Normal"/>
    <w:next w:val="Normal"/>
    <w:link w:val="Titre8C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Titre9">
    <w:name w:val="heading 9"/>
    <w:basedOn w:val="Normal"/>
    <w:next w:val="Normal"/>
    <w:link w:val="Titre9C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745376"/>
    <w:rPr>
      <w:rFonts w:ascii="Arial" w:eastAsia="Times New Roman" w:hAnsi="Arial" w:cs="Times New Roman"/>
      <w:b/>
      <w:bCs/>
      <w:i/>
      <w:color w:val="4F81BD"/>
      <w:spacing w:val="4"/>
      <w:w w:val="103"/>
      <w:kern w:val="14"/>
      <w:sz w:val="28"/>
      <w:szCs w:val="26"/>
    </w:rPr>
  </w:style>
  <w:style w:type="character" w:customStyle="1" w:styleId="Titre3Car">
    <w:name w:val="Titre 3 Car"/>
    <w:link w:val="Titre3"/>
    <w:uiPriority w:val="9"/>
    <w:rsid w:val="00745376"/>
    <w:rPr>
      <w:rFonts w:ascii="Arial" w:eastAsia="Times New Roman" w:hAnsi="Arial" w:cs="Times New Roman"/>
      <w:b/>
      <w:bCs/>
      <w:color w:val="4F81BD"/>
      <w:spacing w:val="4"/>
      <w:w w:val="103"/>
      <w:kern w:val="14"/>
      <w:sz w:val="26"/>
    </w:rPr>
  </w:style>
  <w:style w:type="character" w:customStyle="1" w:styleId="Titre4Car">
    <w:name w:val="Titre 4 Car"/>
    <w:link w:val="Titre4"/>
    <w:uiPriority w:val="9"/>
    <w:rsid w:val="000055FB"/>
    <w:rPr>
      <w:rFonts w:ascii="Cambria" w:eastAsia="Times New Roman" w:hAnsi="Cambria" w:cs="Times New Roman"/>
      <w:b/>
      <w:bCs/>
      <w:i/>
      <w:iCs/>
      <w:color w:val="4F81BD"/>
      <w:spacing w:val="4"/>
      <w:w w:val="103"/>
      <w:kern w:val="14"/>
      <w:sz w:val="20"/>
    </w:rPr>
  </w:style>
  <w:style w:type="character" w:customStyle="1" w:styleId="Titre5Car">
    <w:name w:val="Titre 5 Car"/>
    <w:link w:val="Titre5"/>
    <w:uiPriority w:val="9"/>
    <w:rsid w:val="000055FB"/>
    <w:rPr>
      <w:rFonts w:ascii="Cambria" w:eastAsia="Times New Roman" w:hAnsi="Cambria" w:cs="Times New Roman"/>
      <w:color w:val="243F60"/>
      <w:spacing w:val="4"/>
      <w:w w:val="103"/>
      <w:kern w:val="14"/>
      <w:sz w:val="20"/>
    </w:rPr>
  </w:style>
  <w:style w:type="character" w:customStyle="1" w:styleId="Titre6Car">
    <w:name w:val="Titre 6 Car"/>
    <w:link w:val="Titre6"/>
    <w:uiPriority w:val="9"/>
    <w:rsid w:val="000055FB"/>
    <w:rPr>
      <w:rFonts w:ascii="Cambria" w:eastAsia="Times New Roman" w:hAnsi="Cambria" w:cs="Times New Roman"/>
      <w:i/>
      <w:iCs/>
      <w:color w:val="243F60"/>
      <w:spacing w:val="4"/>
      <w:w w:val="103"/>
      <w:kern w:val="14"/>
      <w:sz w:val="20"/>
    </w:rPr>
  </w:style>
  <w:style w:type="character" w:styleId="lev">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Sansinterligne">
    <w:name w:val="No Spacing"/>
    <w:uiPriority w:val="1"/>
    <w:rsid w:val="000055FB"/>
    <w:rPr>
      <w:sz w:val="22"/>
      <w:szCs w:val="22"/>
    </w:rPr>
  </w:style>
  <w:style w:type="character" w:customStyle="1" w:styleId="Titre1Car">
    <w:name w:val="Titre 1 Car"/>
    <w:link w:val="Titre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Pieddepage">
    <w:name w:val="footer"/>
    <w:link w:val="PieddepageC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PieddepageCar">
    <w:name w:val="Pied de page Car"/>
    <w:link w:val="Pieddepage"/>
    <w:uiPriority w:val="99"/>
    <w:rsid w:val="00745376"/>
    <w:rPr>
      <w:rFonts w:ascii="Times New Roman" w:hAnsi="Times New Roman"/>
      <w:b/>
      <w:spacing w:val="3"/>
      <w:w w:val="105"/>
      <w:sz w:val="17"/>
    </w:rPr>
  </w:style>
  <w:style w:type="paragraph" w:styleId="En-tte">
    <w:name w:val="header"/>
    <w:link w:val="En-tteC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En-tteCar">
    <w:name w:val="En-tête Car"/>
    <w:link w:val="En-tte"/>
    <w:uiPriority w:val="99"/>
    <w:rsid w:val="000055FB"/>
    <w:rPr>
      <w:rFonts w:ascii="Times New Roman" w:hAnsi="Times New Roman"/>
      <w:spacing w:val="3"/>
      <w:w w:val="105"/>
      <w:sz w:val="17"/>
    </w:rPr>
  </w:style>
  <w:style w:type="character" w:styleId="Numrodeligne">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Textedebulles">
    <w:name w:val="Balloon Text"/>
    <w:basedOn w:val="Normal"/>
    <w:link w:val="TextedebullesCar"/>
    <w:uiPriority w:val="99"/>
    <w:semiHidden/>
    <w:unhideWhenUsed/>
    <w:rsid w:val="00520271"/>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520271"/>
    <w:rPr>
      <w:rFonts w:ascii="Tahoma" w:hAnsi="Tahoma" w:cs="Tahoma"/>
      <w:spacing w:val="4"/>
      <w:w w:val="103"/>
      <w:kern w:val="14"/>
      <w:sz w:val="16"/>
      <w:szCs w:val="16"/>
    </w:rPr>
  </w:style>
  <w:style w:type="paragraph" w:styleId="Notedebasdepage">
    <w:name w:val="footnote text"/>
    <w:basedOn w:val="Normal"/>
    <w:link w:val="NotedebasdepageCar"/>
    <w:uiPriority w:val="99"/>
    <w:rsid w:val="00611DA0"/>
    <w:pPr>
      <w:spacing w:line="210" w:lineRule="exact"/>
    </w:pPr>
    <w:rPr>
      <w:sz w:val="17"/>
      <w:szCs w:val="20"/>
    </w:rPr>
  </w:style>
  <w:style w:type="character" w:customStyle="1" w:styleId="NotedebasdepageCar">
    <w:name w:val="Note de bas de page Car"/>
    <w:link w:val="Notedebasdepage"/>
    <w:uiPriority w:val="99"/>
    <w:rsid w:val="00611DA0"/>
    <w:rPr>
      <w:rFonts w:ascii="Times New Roman" w:hAnsi="Times New Roman"/>
      <w:spacing w:val="4"/>
      <w:w w:val="103"/>
      <w:kern w:val="14"/>
      <w:sz w:val="17"/>
    </w:rPr>
  </w:style>
  <w:style w:type="character" w:customStyle="1" w:styleId="Titre7Car">
    <w:name w:val="Titre 7 Car"/>
    <w:link w:val="Titre7"/>
    <w:uiPriority w:val="9"/>
    <w:semiHidden/>
    <w:rsid w:val="005B74B8"/>
    <w:rPr>
      <w:rFonts w:ascii="Cambria" w:eastAsia="Times New Roman" w:hAnsi="Cambria" w:cs="Times New Roman"/>
      <w:i/>
      <w:iCs/>
      <w:color w:val="404040"/>
      <w:spacing w:val="4"/>
      <w:w w:val="103"/>
      <w:kern w:val="14"/>
      <w:sz w:val="20"/>
    </w:rPr>
  </w:style>
  <w:style w:type="character" w:customStyle="1" w:styleId="Titre8Car">
    <w:name w:val="Titre 8 Car"/>
    <w:link w:val="Titre8"/>
    <w:uiPriority w:val="9"/>
    <w:semiHidden/>
    <w:rsid w:val="005B74B8"/>
    <w:rPr>
      <w:rFonts w:ascii="Cambria" w:eastAsia="Times New Roman" w:hAnsi="Cambria" w:cs="Times New Roman"/>
      <w:color w:val="404040"/>
      <w:spacing w:val="4"/>
      <w:w w:val="103"/>
      <w:kern w:val="14"/>
      <w:sz w:val="20"/>
      <w:szCs w:val="20"/>
    </w:rPr>
  </w:style>
  <w:style w:type="character" w:customStyle="1" w:styleId="Titre9Car">
    <w:name w:val="Titre 9 Car"/>
    <w:link w:val="Titre9"/>
    <w:uiPriority w:val="9"/>
    <w:semiHidden/>
    <w:rsid w:val="005B74B8"/>
    <w:rPr>
      <w:rFonts w:ascii="Cambria" w:eastAsia="Times New Roman" w:hAnsi="Cambria" w:cs="Times New Roman"/>
      <w:i/>
      <w:iCs/>
      <w:color w:val="404040"/>
      <w:spacing w:val="4"/>
      <w:w w:val="103"/>
      <w:kern w:val="14"/>
      <w:sz w:val="20"/>
      <w:szCs w:val="20"/>
    </w:rPr>
  </w:style>
  <w:style w:type="paragraph" w:styleId="Paragraphedeliste">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Notedefin">
    <w:name w:val="endnote text"/>
    <w:basedOn w:val="Normal"/>
    <w:link w:val="NotedefinCar"/>
    <w:uiPriority w:val="99"/>
    <w:semiHidden/>
    <w:unhideWhenUsed/>
    <w:rsid w:val="00F3330B"/>
    <w:pPr>
      <w:spacing w:line="210" w:lineRule="exact"/>
    </w:pPr>
    <w:rPr>
      <w:sz w:val="17"/>
      <w:szCs w:val="20"/>
    </w:rPr>
  </w:style>
  <w:style w:type="character" w:customStyle="1" w:styleId="NotedefinCar">
    <w:name w:val="Note de fin Car"/>
    <w:link w:val="Notedefin"/>
    <w:uiPriority w:val="99"/>
    <w:semiHidden/>
    <w:rsid w:val="00F3330B"/>
    <w:rPr>
      <w:rFonts w:ascii="Times New Roman" w:hAnsi="Times New Roman"/>
      <w:spacing w:val="4"/>
      <w:w w:val="103"/>
      <w:kern w:val="14"/>
      <w:sz w:val="17"/>
    </w:rPr>
  </w:style>
  <w:style w:type="character" w:styleId="Appelnotedebasdep">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Appeldenotedefin">
    <w:name w:val="endnote reference"/>
    <w:basedOn w:val="Policepardfau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Marquedecommentaire">
    <w:name w:val="annotation reference"/>
    <w:basedOn w:val="Policepardfaut"/>
    <w:uiPriority w:val="99"/>
    <w:semiHidden/>
    <w:unhideWhenUsed/>
    <w:rsid w:val="00367F9B"/>
    <w:rPr>
      <w:sz w:val="16"/>
      <w:szCs w:val="16"/>
    </w:rPr>
  </w:style>
  <w:style w:type="paragraph" w:styleId="Commentaire">
    <w:name w:val="annotation text"/>
    <w:basedOn w:val="Normal"/>
    <w:link w:val="CommentaireCar"/>
    <w:uiPriority w:val="99"/>
    <w:semiHidden/>
    <w:unhideWhenUsed/>
    <w:rsid w:val="00367F9B"/>
    <w:pPr>
      <w:spacing w:line="240" w:lineRule="auto"/>
    </w:pPr>
    <w:rPr>
      <w:szCs w:val="20"/>
    </w:rPr>
  </w:style>
  <w:style w:type="character" w:customStyle="1" w:styleId="CommentaireCar">
    <w:name w:val="Commentaire Car"/>
    <w:basedOn w:val="Policepardfaut"/>
    <w:link w:val="Commentaire"/>
    <w:uiPriority w:val="99"/>
    <w:semiHidden/>
    <w:rsid w:val="00367F9B"/>
    <w:rPr>
      <w:rFonts w:ascii="Times New Roman" w:hAnsi="Times New Roman"/>
      <w:spacing w:val="4"/>
      <w:w w:val="103"/>
      <w:kern w:val="14"/>
      <w:lang w:val="fr-CA"/>
    </w:rPr>
  </w:style>
  <w:style w:type="paragraph" w:styleId="Objetducommentaire">
    <w:name w:val="annotation subject"/>
    <w:basedOn w:val="Commentaire"/>
    <w:next w:val="Commentaire"/>
    <w:link w:val="ObjetducommentaireCar"/>
    <w:uiPriority w:val="99"/>
    <w:semiHidden/>
    <w:unhideWhenUsed/>
    <w:rsid w:val="00367F9B"/>
    <w:rPr>
      <w:b/>
      <w:bCs/>
    </w:rPr>
  </w:style>
  <w:style w:type="character" w:customStyle="1" w:styleId="ObjetducommentaireCar">
    <w:name w:val="Objet du commentaire Car"/>
    <w:basedOn w:val="CommentaireCar"/>
    <w:link w:val="Objetducommentaire"/>
    <w:uiPriority w:val="99"/>
    <w:semiHidden/>
    <w:rsid w:val="00367F9B"/>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45B76-C569-44F3-85A6-7BA10447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5835</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FTPU - Office 2010</vt:lpstr>
      <vt:lpstr>FTPU - Office 2010</vt:lpstr>
    </vt:vector>
  </TitlesOfParts>
  <Company>DCM</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Chautagnat</dc:creator>
  <cp:keywords/>
  <dc:description/>
  <cp:lastModifiedBy>Bénédicte Boudol</cp:lastModifiedBy>
  <cp:revision>2</cp:revision>
  <cp:lastPrinted>2015-12-16T10:24:00Z</cp:lastPrinted>
  <dcterms:created xsi:type="dcterms:W3CDTF">2015-12-21T10:44:00Z</dcterms:created>
  <dcterms:modified xsi:type="dcterms:W3CDTF">2015-12-21T10:44:00Z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1520570F</vt:lpwstr>
  </property>
  <property fmtid="{D5CDD505-2E9C-101B-9397-08002B2CF9AE}" pid="3" name="ODSRefJobNo">
    <vt:lpwstr>1526631F</vt:lpwstr>
  </property>
  <property fmtid="{D5CDD505-2E9C-101B-9397-08002B2CF9AE}" pid="4" name="Symbol1">
    <vt:lpwstr>ECE/TRANS/WP.29/GRRF/2016/18</vt:lpwstr>
  </property>
  <property fmtid="{D5CDD505-2E9C-101B-9397-08002B2CF9AE}" pid="5" name="Symbol2">
    <vt:lpwstr/>
  </property>
  <property fmtid="{D5CDD505-2E9C-101B-9397-08002B2CF9AE}" pid="6" name="Translator">
    <vt:lpwstr/>
  </property>
  <property fmtid="{D5CDD505-2E9C-101B-9397-08002B2CF9AE}" pid="7" name="Operator">
    <vt:lpwstr>CC</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23 novembre 2015</vt:lpwstr>
  </property>
  <property fmtid="{D5CDD505-2E9C-101B-9397-08002B2CF9AE}" pid="12" name="Original">
    <vt:lpwstr>anglais</vt:lpwstr>
  </property>
  <property fmtid="{D5CDD505-2E9C-101B-9397-08002B2CF9AE}" pid="13" name="Release Date">
    <vt:lpwstr>161215</vt:lpwstr>
  </property>
</Properties>
</file>