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FD4196" w:rsidTr="00D9503E">
        <w:trPr>
          <w:cantSplit/>
          <w:trHeight w:hRule="exact" w:val="851"/>
        </w:trPr>
        <w:tc>
          <w:tcPr>
            <w:tcW w:w="1276" w:type="dxa"/>
            <w:tcBorders>
              <w:bottom w:val="single" w:sz="4" w:space="0" w:color="auto"/>
            </w:tcBorders>
            <w:vAlign w:val="bottom"/>
          </w:tcPr>
          <w:p w:rsidR="00B56E9C" w:rsidRPr="00A9434B" w:rsidRDefault="00B56E9C" w:rsidP="00A9434B">
            <w:pPr>
              <w:spacing w:line="20" w:lineRule="exact"/>
              <w:rPr>
                <w:sz w:val="2"/>
              </w:rPr>
            </w:pPr>
            <w:bookmarkStart w:id="0" w:name="_GoBack"/>
            <w:bookmarkEnd w:id="0"/>
          </w:p>
          <w:p w:rsidR="00A9434B" w:rsidRPr="00FD4196" w:rsidRDefault="00A9434B" w:rsidP="00D9503E">
            <w:pPr>
              <w:spacing w:after="80"/>
            </w:pPr>
          </w:p>
        </w:tc>
        <w:tc>
          <w:tcPr>
            <w:tcW w:w="2268" w:type="dxa"/>
            <w:tcBorders>
              <w:bottom w:val="single" w:sz="4" w:space="0" w:color="auto"/>
            </w:tcBorders>
            <w:vAlign w:val="bottom"/>
          </w:tcPr>
          <w:p w:rsidR="00B56E9C" w:rsidRPr="00FD4196" w:rsidRDefault="00B56E9C" w:rsidP="00D9503E">
            <w:pPr>
              <w:spacing w:after="80" w:line="300" w:lineRule="exact"/>
              <w:rPr>
                <w:b/>
                <w:sz w:val="24"/>
                <w:szCs w:val="24"/>
              </w:rPr>
            </w:pPr>
            <w:r w:rsidRPr="00FD4196">
              <w:rPr>
                <w:sz w:val="28"/>
                <w:szCs w:val="28"/>
              </w:rPr>
              <w:t>United Nations</w:t>
            </w:r>
          </w:p>
        </w:tc>
        <w:tc>
          <w:tcPr>
            <w:tcW w:w="6095" w:type="dxa"/>
            <w:gridSpan w:val="2"/>
            <w:tcBorders>
              <w:bottom w:val="single" w:sz="4" w:space="0" w:color="auto"/>
            </w:tcBorders>
            <w:vAlign w:val="bottom"/>
          </w:tcPr>
          <w:p w:rsidR="00B56E9C" w:rsidRPr="00FD4196" w:rsidRDefault="00D45CC9" w:rsidP="00836F00">
            <w:pPr>
              <w:jc w:val="right"/>
            </w:pPr>
            <w:r w:rsidRPr="00FD4196">
              <w:rPr>
                <w:sz w:val="40"/>
              </w:rPr>
              <w:t>ECE</w:t>
            </w:r>
            <w:r w:rsidR="002077C3" w:rsidRPr="00FD4196">
              <w:t>/TRANS/WP.29/GRPE/</w:t>
            </w:r>
            <w:r w:rsidR="00660C48">
              <w:t>2016</w:t>
            </w:r>
            <w:r w:rsidR="00DB2094">
              <w:t>/</w:t>
            </w:r>
            <w:r w:rsidR="008065ED">
              <w:t>7</w:t>
            </w:r>
          </w:p>
        </w:tc>
      </w:tr>
      <w:tr w:rsidR="00B56E9C" w:rsidRPr="00FD4196" w:rsidTr="00D9503E">
        <w:trPr>
          <w:cantSplit/>
          <w:trHeight w:hRule="exact" w:val="2835"/>
        </w:trPr>
        <w:tc>
          <w:tcPr>
            <w:tcW w:w="1276" w:type="dxa"/>
            <w:tcBorders>
              <w:top w:val="single" w:sz="4" w:space="0" w:color="auto"/>
              <w:bottom w:val="single" w:sz="12" w:space="0" w:color="auto"/>
            </w:tcBorders>
          </w:tcPr>
          <w:p w:rsidR="00B56E9C" w:rsidRPr="00FD4196" w:rsidRDefault="00F7273B" w:rsidP="00D9503E">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DB2094" w:rsidRDefault="00D773DF" w:rsidP="00D9503E">
            <w:pPr>
              <w:spacing w:before="120" w:line="420" w:lineRule="exact"/>
              <w:rPr>
                <w:sz w:val="40"/>
                <w:szCs w:val="40"/>
              </w:rPr>
            </w:pPr>
            <w:r w:rsidRPr="00DB2094">
              <w:rPr>
                <w:b/>
                <w:sz w:val="40"/>
                <w:szCs w:val="40"/>
              </w:rPr>
              <w:t>Economic and Social Council</w:t>
            </w:r>
          </w:p>
        </w:tc>
        <w:tc>
          <w:tcPr>
            <w:tcW w:w="2835" w:type="dxa"/>
            <w:tcBorders>
              <w:top w:val="single" w:sz="4" w:space="0" w:color="auto"/>
              <w:bottom w:val="single" w:sz="12" w:space="0" w:color="auto"/>
            </w:tcBorders>
          </w:tcPr>
          <w:p w:rsidR="00D45CC9" w:rsidRPr="00DB2094" w:rsidRDefault="00D45CC9" w:rsidP="00D9503E">
            <w:pPr>
              <w:spacing w:before="240" w:line="240" w:lineRule="exact"/>
            </w:pPr>
            <w:r w:rsidRPr="00DB2094">
              <w:t>Distr.: General</w:t>
            </w:r>
          </w:p>
          <w:p w:rsidR="00836F00" w:rsidRPr="00245892" w:rsidRDefault="0066007A" w:rsidP="00836F00">
            <w:fldSimple w:instr=" FILLIN  &quot;Введите дату документа&quot; \* MERGEFORMAT ">
              <w:r>
                <w:t xml:space="preserve">26 </w:t>
              </w:r>
              <w:r w:rsidRPr="0066007A">
                <w:rPr>
                  <w:lang w:val="en-US"/>
                </w:rPr>
                <w:t>October</w:t>
              </w:r>
              <w:r>
                <w:t xml:space="preserve"> 2015</w:t>
              </w:r>
            </w:fldSimple>
          </w:p>
          <w:p w:rsidR="0090004D" w:rsidRDefault="0090004D" w:rsidP="00D9503E">
            <w:pPr>
              <w:spacing w:line="240" w:lineRule="exact"/>
            </w:pPr>
          </w:p>
          <w:p w:rsidR="0090004D" w:rsidRPr="00DB2094" w:rsidRDefault="00FA1AC3" w:rsidP="00B47222">
            <w:pPr>
              <w:spacing w:line="240" w:lineRule="exact"/>
            </w:pPr>
            <w:r w:rsidRPr="00DB2094">
              <w:t>Original: English</w:t>
            </w:r>
          </w:p>
        </w:tc>
      </w:tr>
    </w:tbl>
    <w:p w:rsidR="00086456" w:rsidRPr="00FD4196" w:rsidRDefault="00086456" w:rsidP="00086456">
      <w:pPr>
        <w:tabs>
          <w:tab w:val="left" w:pos="567"/>
          <w:tab w:val="left" w:pos="1134"/>
        </w:tabs>
        <w:spacing w:before="120"/>
        <w:rPr>
          <w:sz w:val="22"/>
          <w:szCs w:val="22"/>
        </w:rPr>
      </w:pPr>
      <w:r w:rsidRPr="00FD4196">
        <w:rPr>
          <w:b/>
          <w:sz w:val="28"/>
          <w:szCs w:val="28"/>
        </w:rPr>
        <w:t>Economic</w:t>
      </w:r>
      <w:r w:rsidRPr="00FD4196">
        <w:rPr>
          <w:b/>
          <w:bCs/>
          <w:sz w:val="28"/>
          <w:szCs w:val="28"/>
        </w:rPr>
        <w:t xml:space="preserve"> Commission for Europe </w:t>
      </w:r>
    </w:p>
    <w:p w:rsidR="00086456" w:rsidRPr="00FD4196" w:rsidRDefault="00086456" w:rsidP="00086456">
      <w:pPr>
        <w:tabs>
          <w:tab w:val="left" w:pos="567"/>
          <w:tab w:val="left" w:pos="1134"/>
        </w:tabs>
        <w:spacing w:before="120"/>
        <w:rPr>
          <w:sz w:val="22"/>
          <w:szCs w:val="22"/>
        </w:rPr>
      </w:pPr>
      <w:r w:rsidRPr="00FD4196">
        <w:rPr>
          <w:sz w:val="28"/>
          <w:szCs w:val="28"/>
        </w:rPr>
        <w:t xml:space="preserve">Inland Transport Committee </w:t>
      </w:r>
    </w:p>
    <w:p w:rsidR="00086456" w:rsidRPr="00FD4196" w:rsidRDefault="00086456" w:rsidP="00086456">
      <w:pPr>
        <w:tabs>
          <w:tab w:val="left" w:pos="567"/>
          <w:tab w:val="left" w:pos="1134"/>
        </w:tabs>
        <w:spacing w:before="120"/>
        <w:rPr>
          <w:sz w:val="22"/>
          <w:szCs w:val="22"/>
        </w:rPr>
      </w:pPr>
      <w:r w:rsidRPr="00FD4196">
        <w:rPr>
          <w:b/>
          <w:bCs/>
          <w:sz w:val="24"/>
          <w:szCs w:val="24"/>
        </w:rPr>
        <w:t xml:space="preserve">World Forum for Harmonization of Vehicle Regulations </w:t>
      </w:r>
    </w:p>
    <w:p w:rsidR="00086456" w:rsidRPr="00E26872" w:rsidRDefault="00086456" w:rsidP="00086456">
      <w:pPr>
        <w:tabs>
          <w:tab w:val="left" w:pos="567"/>
          <w:tab w:val="left" w:pos="1134"/>
        </w:tabs>
        <w:spacing w:before="120" w:after="120"/>
        <w:rPr>
          <w:b/>
          <w:bCs/>
        </w:rPr>
      </w:pPr>
      <w:r w:rsidRPr="00E26872">
        <w:rPr>
          <w:b/>
          <w:bCs/>
        </w:rPr>
        <w:t xml:space="preserve">Working Party on Pollution and Energy </w:t>
      </w:r>
    </w:p>
    <w:p w:rsidR="007B7C35" w:rsidRDefault="007B7C35" w:rsidP="00DB2094">
      <w:pPr>
        <w:rPr>
          <w:b/>
        </w:rPr>
      </w:pPr>
      <w:r>
        <w:rPr>
          <w:b/>
        </w:rPr>
        <w:t>Sevent</w:t>
      </w:r>
      <w:r w:rsidR="00660C48">
        <w:rPr>
          <w:b/>
        </w:rPr>
        <w:t>y-second</w:t>
      </w:r>
      <w:r>
        <w:rPr>
          <w:b/>
        </w:rPr>
        <w:t xml:space="preserve"> </w:t>
      </w:r>
      <w:proofErr w:type="gramStart"/>
      <w:r>
        <w:rPr>
          <w:b/>
        </w:rPr>
        <w:t>session</w:t>
      </w:r>
      <w:proofErr w:type="gramEnd"/>
    </w:p>
    <w:p w:rsidR="007B7C35" w:rsidRDefault="007B7C35" w:rsidP="00DB2094">
      <w:r>
        <w:t xml:space="preserve">Geneva, </w:t>
      </w:r>
      <w:r w:rsidR="007E5C8F">
        <w:t>12-15</w:t>
      </w:r>
      <w:r w:rsidRPr="007B7C35">
        <w:t xml:space="preserve"> </w:t>
      </w:r>
      <w:r w:rsidR="00660C48">
        <w:t>January 2016</w:t>
      </w:r>
    </w:p>
    <w:p w:rsidR="002945AE" w:rsidRDefault="002945AE" w:rsidP="002945AE">
      <w:pPr>
        <w:tabs>
          <w:tab w:val="left" w:pos="567"/>
          <w:tab w:val="left" w:pos="1134"/>
        </w:tabs>
        <w:rPr>
          <w:bCs/>
        </w:rPr>
      </w:pPr>
      <w:r>
        <w:rPr>
          <w:bCs/>
        </w:rPr>
        <w:t>Item 4(a) of the provisional agenda</w:t>
      </w:r>
    </w:p>
    <w:p w:rsidR="00F32F82" w:rsidRPr="00944D6C" w:rsidRDefault="002945AE" w:rsidP="002945AE">
      <w:pPr>
        <w:tabs>
          <w:tab w:val="left" w:pos="567"/>
          <w:tab w:val="left" w:pos="1134"/>
        </w:tabs>
        <w:rPr>
          <w:b/>
          <w:bCs/>
        </w:rPr>
      </w:pPr>
      <w:r>
        <w:rPr>
          <w:b/>
        </w:rPr>
        <w:t xml:space="preserve">Heavy duty vehicles - Regulations Nos. 49 </w:t>
      </w:r>
      <w:r>
        <w:rPr>
          <w:b/>
        </w:rPr>
        <w:br/>
        <w:t xml:space="preserve">(Emissions of compression ignition and positive </w:t>
      </w:r>
      <w:r>
        <w:rPr>
          <w:b/>
        </w:rPr>
        <w:br/>
        <w:t xml:space="preserve">ignition (LPG and CNG) engines) and 132 </w:t>
      </w:r>
      <w:r>
        <w:rPr>
          <w:b/>
        </w:rPr>
        <w:br/>
        <w:t>(Retrofit Emissions Control devices (REC))</w:t>
      </w:r>
    </w:p>
    <w:p w:rsidR="00450B28" w:rsidRPr="00FD4196" w:rsidRDefault="00450B28" w:rsidP="00252825">
      <w:pPr>
        <w:pStyle w:val="HChG"/>
      </w:pPr>
      <w:r w:rsidRPr="00FD4196">
        <w:tab/>
      </w:r>
      <w:r w:rsidRPr="00FD4196">
        <w:tab/>
      </w:r>
      <w:r w:rsidR="001617DC">
        <w:t xml:space="preserve">Proposal for </w:t>
      </w:r>
      <w:r w:rsidR="00C5077E">
        <w:t xml:space="preserve">a new Supplement to the 06 series of amendments </w:t>
      </w:r>
      <w:r w:rsidR="001617DC">
        <w:t>to Regulation No. 49 (Compression ignition and positive ignition (LPG and CNG) engines)</w:t>
      </w:r>
    </w:p>
    <w:p w:rsidR="00450B28" w:rsidRPr="007E5C8F" w:rsidRDefault="00C97374" w:rsidP="00450B28">
      <w:pPr>
        <w:pStyle w:val="H1G"/>
        <w:rPr>
          <w:lang w:val="en-GB"/>
        </w:rPr>
      </w:pPr>
      <w:r w:rsidRPr="00FD4196">
        <w:tab/>
      </w:r>
      <w:r w:rsidRPr="00FD4196">
        <w:tab/>
        <w:t xml:space="preserve">Submitted by </w:t>
      </w:r>
      <w:r w:rsidR="00586A6E" w:rsidRPr="00FD4196">
        <w:t xml:space="preserve">the </w:t>
      </w:r>
      <w:r w:rsidR="00DF618D" w:rsidRPr="00D70CCC">
        <w:rPr>
          <w:lang w:val="en-GB"/>
        </w:rPr>
        <w:t xml:space="preserve">expert </w:t>
      </w:r>
      <w:r w:rsidR="00DF618D">
        <w:t>from the International Organization of Motor Vehicle Manufacturers</w:t>
      </w:r>
      <w:r w:rsidR="00735EE3" w:rsidRPr="007E5C8F">
        <w:rPr>
          <w:rStyle w:val="H1GChar"/>
          <w:lang w:val="en-GB"/>
        </w:rPr>
        <w:footnoteReference w:customMarkFollows="1" w:id="2"/>
        <w:t>*</w:t>
      </w:r>
    </w:p>
    <w:p w:rsidR="00E426D9" w:rsidRPr="00FD4196" w:rsidRDefault="007E5C8F" w:rsidP="001A0D98">
      <w:pPr>
        <w:pStyle w:val="SingleTxtG"/>
        <w:ind w:firstLine="567"/>
      </w:pPr>
      <w:r>
        <w:t>The text reproduced below was pre</w:t>
      </w:r>
      <w:r w:rsidR="00DF7001">
        <w:t xml:space="preserve">pared </w:t>
      </w:r>
      <w:r w:rsidR="00DF618D">
        <w:t>by the expert from the International Organization of Motor Vehicle Manufacturers (OICA)</w:t>
      </w:r>
      <w:r>
        <w:t xml:space="preserve"> </w:t>
      </w:r>
      <w:r w:rsidR="00E426D9">
        <w:t xml:space="preserve">to </w:t>
      </w:r>
      <w:r w:rsidR="008065ED">
        <w:t>adapt the requirements related to fuel injection malfunction monitoring (O</w:t>
      </w:r>
      <w:r w:rsidR="002F63F0">
        <w:t>n-</w:t>
      </w:r>
      <w:r w:rsidR="008065ED">
        <w:t>B</w:t>
      </w:r>
      <w:r w:rsidR="002F63F0">
        <w:t xml:space="preserve">oard </w:t>
      </w:r>
      <w:r w:rsidR="008065ED">
        <w:t>D</w:t>
      </w:r>
      <w:r w:rsidR="002F63F0">
        <w:t>iagnostic systems</w:t>
      </w:r>
      <w:r w:rsidR="008065ED">
        <w:t>) to the current state of technology</w:t>
      </w:r>
      <w:r w:rsidR="00E426D9">
        <w:t>. It</w:t>
      </w:r>
      <w:r>
        <w:t xml:space="preserve"> is ba</w:t>
      </w:r>
      <w:r w:rsidR="00084EC7">
        <w:t>sed</w:t>
      </w:r>
      <w:r w:rsidR="008065ED">
        <w:t xml:space="preserve"> on informal document GRPE-71-06</w:t>
      </w:r>
      <w:r>
        <w:t xml:space="preserve"> (see report EC</w:t>
      </w:r>
      <w:r w:rsidR="005E24A2">
        <w:t>E/TRANS/WP.29/GRPE/71, paras. 25-26</w:t>
      </w:r>
      <w:r>
        <w:t>). The modifications to the current t</w:t>
      </w:r>
      <w:r w:rsidR="00E426D9">
        <w:t>ext of Regulation No. 49</w:t>
      </w:r>
      <w:r>
        <w:t xml:space="preserve"> are marked in bold for new or strikethrough for deleted characters.</w:t>
      </w:r>
    </w:p>
    <w:p w:rsidR="00422AF5" w:rsidRPr="00FD4196" w:rsidRDefault="00EC6158" w:rsidP="00E07251">
      <w:pPr>
        <w:pStyle w:val="HChG"/>
        <w:ind w:hanging="567"/>
      </w:pPr>
      <w:r w:rsidRPr="00FD4196">
        <w:br w:type="page"/>
      </w:r>
      <w:r w:rsidR="00FA06A4" w:rsidRPr="00FD4196">
        <w:lastRenderedPageBreak/>
        <w:t>I.</w:t>
      </w:r>
      <w:r w:rsidR="00F70163" w:rsidRPr="00FD4196">
        <w:tab/>
      </w:r>
      <w:r w:rsidR="00730687" w:rsidRPr="00FD4196">
        <w:tab/>
      </w:r>
      <w:r w:rsidR="00E25B71">
        <w:t>Proposal</w:t>
      </w:r>
    </w:p>
    <w:p w:rsidR="00267F2B" w:rsidRPr="0088413F" w:rsidRDefault="00267F2B" w:rsidP="00267F2B">
      <w:pPr>
        <w:pStyle w:val="para"/>
        <w:ind w:left="1134" w:firstLine="0"/>
        <w:rPr>
          <w:i/>
          <w:lang w:val="en-GB"/>
        </w:rPr>
      </w:pPr>
      <w:r w:rsidRPr="00F41921">
        <w:rPr>
          <w:i/>
          <w:lang w:val="en-GB"/>
        </w:rPr>
        <w:t>Annex 9A</w:t>
      </w:r>
      <w:r>
        <w:rPr>
          <w:i/>
          <w:lang w:val="en-GB"/>
        </w:rPr>
        <w:t>, p</w:t>
      </w:r>
      <w:r w:rsidRPr="00F41921">
        <w:rPr>
          <w:i/>
          <w:lang w:val="en-GB"/>
        </w:rPr>
        <w:t>aragraph</w:t>
      </w:r>
      <w:r>
        <w:rPr>
          <w:i/>
          <w:lang w:val="en-GB"/>
        </w:rPr>
        <w:t>s</w:t>
      </w:r>
      <w:r w:rsidRPr="00F41921">
        <w:rPr>
          <w:i/>
          <w:lang w:val="en-GB"/>
        </w:rPr>
        <w:t xml:space="preserve"> 2.</w:t>
      </w:r>
      <w:r>
        <w:rPr>
          <w:i/>
          <w:lang w:val="en-GB"/>
        </w:rPr>
        <w:t>3.1</w:t>
      </w:r>
      <w:r w:rsidRPr="00F41921">
        <w:rPr>
          <w:i/>
          <w:lang w:val="en-GB"/>
        </w:rPr>
        <w:t>.,</w:t>
      </w:r>
      <w:r w:rsidRPr="00F41921">
        <w:rPr>
          <w:lang w:val="en-GB"/>
        </w:rPr>
        <w:t xml:space="preserve"> amend to read:</w:t>
      </w:r>
    </w:p>
    <w:p w:rsidR="00267F2B" w:rsidRPr="00923A95" w:rsidRDefault="00267F2B" w:rsidP="00267F2B">
      <w:pPr>
        <w:spacing w:after="120"/>
        <w:ind w:left="2268" w:right="1134" w:hanging="1134"/>
        <w:jc w:val="both"/>
      </w:pPr>
      <w:r>
        <w:t>"2.3.1.</w:t>
      </w:r>
      <w:r>
        <w:tab/>
        <w:t>Malfunctioning injectors</w:t>
      </w:r>
    </w:p>
    <w:p w:rsidR="00267F2B" w:rsidRPr="00520895" w:rsidRDefault="00267F2B" w:rsidP="00267F2B">
      <w:pPr>
        <w:pStyle w:val="SingleTxtG"/>
        <w:spacing w:before="120"/>
        <w:ind w:left="2268"/>
        <w:rPr>
          <w:b/>
        </w:rPr>
      </w:pPr>
      <w:r w:rsidRPr="00520895">
        <w:rPr>
          <w:b/>
        </w:rPr>
        <w:t>As an alternative to the monitor specified i</w:t>
      </w:r>
      <w:r>
        <w:rPr>
          <w:b/>
        </w:rPr>
        <w:t>n line (d) of the table in i</w:t>
      </w:r>
      <w:r w:rsidRPr="00520895">
        <w:rPr>
          <w:b/>
        </w:rPr>
        <w:t>tem</w:t>
      </w:r>
      <w:r>
        <w:rPr>
          <w:b/>
        </w:rPr>
        <w:t xml:space="preserve"> </w:t>
      </w:r>
      <w:r w:rsidRPr="00520895">
        <w:rPr>
          <w:b/>
        </w:rPr>
        <w:t xml:space="preserve">7 </w:t>
      </w:r>
      <w:r>
        <w:rPr>
          <w:b/>
        </w:rPr>
        <w:t xml:space="preserve">of Appendix </w:t>
      </w:r>
      <w:r w:rsidRPr="00520895">
        <w:rPr>
          <w:b/>
        </w:rPr>
        <w:t xml:space="preserve">3 </w:t>
      </w:r>
      <w:r>
        <w:rPr>
          <w:b/>
        </w:rPr>
        <w:t>to</w:t>
      </w:r>
      <w:r w:rsidRPr="00520895">
        <w:rPr>
          <w:b/>
        </w:rPr>
        <w:t xml:space="preserve"> </w:t>
      </w:r>
      <w:proofErr w:type="gramStart"/>
      <w:r w:rsidRPr="00520895">
        <w:rPr>
          <w:b/>
        </w:rPr>
        <w:t>Annex</w:t>
      </w:r>
      <w:proofErr w:type="gramEnd"/>
      <w:r w:rsidRPr="00520895">
        <w:rPr>
          <w:b/>
        </w:rPr>
        <w:t xml:space="preserve"> 9B to this Regulation, the manufacturer may opt for </w:t>
      </w:r>
      <w:r w:rsidR="007D45A6">
        <w:rPr>
          <w:b/>
        </w:rPr>
        <w:t>compliance</w:t>
      </w:r>
      <w:r>
        <w:rPr>
          <w:b/>
        </w:rPr>
        <w:t xml:space="preserve"> with </w:t>
      </w:r>
      <w:r w:rsidRPr="00520895">
        <w:rPr>
          <w:b/>
        </w:rPr>
        <w:t xml:space="preserve">the provisions </w:t>
      </w:r>
      <w:r>
        <w:rPr>
          <w:b/>
        </w:rPr>
        <w:t>specified in paragraphs 2.3.1.</w:t>
      </w:r>
      <w:r w:rsidRPr="00520895">
        <w:rPr>
          <w:b/>
        </w:rPr>
        <w:t>1</w:t>
      </w:r>
      <w:r>
        <w:rPr>
          <w:b/>
        </w:rPr>
        <w:t>.</w:t>
      </w:r>
      <w:r w:rsidRPr="00520895">
        <w:rPr>
          <w:b/>
        </w:rPr>
        <w:t xml:space="preserve"> </w:t>
      </w:r>
      <w:proofErr w:type="gramStart"/>
      <w:r w:rsidRPr="00520895">
        <w:rPr>
          <w:b/>
        </w:rPr>
        <w:t>to</w:t>
      </w:r>
      <w:proofErr w:type="gramEnd"/>
      <w:r>
        <w:rPr>
          <w:b/>
        </w:rPr>
        <w:t xml:space="preserve"> 2.3.1</w:t>
      </w:r>
      <w:r w:rsidRPr="00520895">
        <w:rPr>
          <w:b/>
        </w:rPr>
        <w:t xml:space="preserve">.2.1. </w:t>
      </w:r>
      <w:proofErr w:type="gramStart"/>
      <w:r w:rsidRPr="00520895">
        <w:rPr>
          <w:b/>
        </w:rPr>
        <w:t>of</w:t>
      </w:r>
      <w:proofErr w:type="gramEnd"/>
      <w:r w:rsidRPr="00520895">
        <w:rPr>
          <w:b/>
        </w:rPr>
        <w:t xml:space="preserve"> this Annex.</w:t>
      </w:r>
      <w:r w:rsidRPr="00B6462C">
        <w:t>"</w:t>
      </w:r>
    </w:p>
    <w:p w:rsidR="00267F2B" w:rsidRPr="0088413F" w:rsidRDefault="00267F2B" w:rsidP="00267F2B">
      <w:pPr>
        <w:pStyle w:val="para"/>
        <w:tabs>
          <w:tab w:val="left" w:pos="2160"/>
        </w:tabs>
        <w:ind w:left="2160" w:hanging="1026"/>
        <w:rPr>
          <w:i/>
          <w:lang w:val="en-GB"/>
        </w:rPr>
      </w:pPr>
      <w:bookmarkStart w:id="1" w:name="_Toc307819031"/>
      <w:bookmarkStart w:id="2" w:name="_Toc307819405"/>
      <w:r w:rsidRPr="00F41921">
        <w:rPr>
          <w:i/>
          <w:lang w:val="en-GB"/>
        </w:rPr>
        <w:t>Annex 9</w:t>
      </w:r>
      <w:r>
        <w:rPr>
          <w:i/>
          <w:lang w:val="en-GB"/>
        </w:rPr>
        <w:t>B, Appendix 3,</w:t>
      </w:r>
      <w:r w:rsidRPr="00571FC4">
        <w:rPr>
          <w:i/>
          <w:lang w:val="en-GB"/>
        </w:rPr>
        <w:t xml:space="preserve"> Item 7</w:t>
      </w:r>
      <w:r>
        <w:rPr>
          <w:i/>
          <w:lang w:val="en-GB"/>
        </w:rPr>
        <w:t>,</w:t>
      </w:r>
      <w:r>
        <w:rPr>
          <w:lang w:val="en-GB"/>
        </w:rPr>
        <w:t xml:space="preserve"> </w:t>
      </w:r>
      <w:r w:rsidRPr="00F41921">
        <w:rPr>
          <w:lang w:val="en-GB"/>
        </w:rPr>
        <w:t>amend to read:</w:t>
      </w:r>
    </w:p>
    <w:p w:rsidR="00267F2B" w:rsidRPr="00923A95" w:rsidRDefault="00267F2B" w:rsidP="00267F2B">
      <w:pPr>
        <w:pStyle w:val="para"/>
        <w:ind w:left="1134" w:firstLine="0"/>
        <w:rPr>
          <w:lang w:val="en-GB"/>
        </w:rPr>
      </w:pPr>
      <w:bookmarkStart w:id="3" w:name="_Toc307819032"/>
      <w:bookmarkStart w:id="4" w:name="_Toc307819406"/>
      <w:bookmarkEnd w:id="1"/>
      <w:bookmarkEnd w:id="2"/>
      <w:r>
        <w:rPr>
          <w:lang w:val="en-GB"/>
        </w:rPr>
        <w:t>"</w:t>
      </w:r>
      <w:r w:rsidRPr="00923A95">
        <w:rPr>
          <w:lang w:val="en-GB"/>
        </w:rPr>
        <w:t>Fuel System monitoring</w:t>
      </w:r>
      <w:bookmarkEnd w:id="3"/>
      <w:bookmarkEnd w:id="4"/>
    </w:p>
    <w:p w:rsidR="00267F2B" w:rsidRPr="00923A95" w:rsidRDefault="00267F2B" w:rsidP="00267F2B">
      <w:pPr>
        <w:pStyle w:val="para"/>
        <w:ind w:left="1134" w:firstLine="0"/>
        <w:rPr>
          <w:lang w:val="en-GB"/>
        </w:rPr>
      </w:pPr>
      <w:r w:rsidRPr="00923A95">
        <w:rPr>
          <w:lang w:val="en-GB"/>
        </w:rPr>
        <w:t>The OBD system shall monitor the following elements of the fuel system on engines so-equipped for proper operation:</w:t>
      </w:r>
    </w:p>
    <w:tbl>
      <w:tblPr>
        <w:tblW w:w="737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1134"/>
        <w:gridCol w:w="992"/>
      </w:tblGrid>
      <w:tr w:rsidR="00267F2B" w:rsidRPr="00923A95" w:rsidTr="004C115B">
        <w:tc>
          <w:tcPr>
            <w:tcW w:w="5245" w:type="dxa"/>
            <w:tcBorders>
              <w:top w:val="nil"/>
              <w:left w:val="nil"/>
              <w:bottom w:val="single" w:sz="12" w:space="0" w:color="auto"/>
            </w:tcBorders>
            <w:vAlign w:val="center"/>
          </w:tcPr>
          <w:p w:rsidR="00267F2B" w:rsidRPr="00923A95" w:rsidRDefault="00267F2B" w:rsidP="00D31CBF">
            <w:pPr>
              <w:pStyle w:val="para"/>
              <w:spacing w:before="80" w:after="80" w:line="200" w:lineRule="atLeast"/>
              <w:rPr>
                <w:i/>
                <w:sz w:val="16"/>
                <w:szCs w:val="16"/>
                <w:lang w:val="en-GB"/>
              </w:rPr>
            </w:pPr>
          </w:p>
        </w:tc>
        <w:tc>
          <w:tcPr>
            <w:tcW w:w="1134" w:type="dxa"/>
            <w:tcBorders>
              <w:bottom w:val="single" w:sz="12" w:space="0" w:color="auto"/>
            </w:tcBorders>
            <w:vAlign w:val="center"/>
          </w:tcPr>
          <w:p w:rsidR="00267F2B" w:rsidRPr="00923A95" w:rsidRDefault="00267F2B" w:rsidP="00D31CBF">
            <w:pPr>
              <w:pStyle w:val="para"/>
              <w:ind w:left="601" w:right="121" w:hanging="567"/>
              <w:jc w:val="center"/>
              <w:rPr>
                <w:i/>
                <w:sz w:val="16"/>
                <w:szCs w:val="16"/>
                <w:lang w:val="en-GB"/>
              </w:rPr>
            </w:pPr>
            <w:r w:rsidRPr="00923A95">
              <w:rPr>
                <w:i/>
                <w:sz w:val="16"/>
                <w:szCs w:val="16"/>
                <w:lang w:val="en-GB"/>
              </w:rPr>
              <w:t>Diesel</w:t>
            </w:r>
          </w:p>
        </w:tc>
        <w:tc>
          <w:tcPr>
            <w:tcW w:w="992" w:type="dxa"/>
            <w:tcBorders>
              <w:bottom w:val="single" w:sz="12" w:space="0" w:color="auto"/>
            </w:tcBorders>
            <w:vAlign w:val="center"/>
          </w:tcPr>
          <w:p w:rsidR="00267F2B" w:rsidRPr="00923A95" w:rsidRDefault="00267F2B" w:rsidP="00D31CBF">
            <w:pPr>
              <w:pStyle w:val="para"/>
              <w:ind w:left="601" w:right="121" w:hanging="567"/>
              <w:jc w:val="center"/>
              <w:rPr>
                <w:i/>
                <w:sz w:val="16"/>
                <w:szCs w:val="16"/>
                <w:lang w:val="en-GB"/>
              </w:rPr>
            </w:pPr>
            <w:r w:rsidRPr="00923A95">
              <w:rPr>
                <w:i/>
                <w:sz w:val="16"/>
                <w:szCs w:val="16"/>
                <w:lang w:val="en-GB"/>
              </w:rPr>
              <w:t>Gas</w:t>
            </w:r>
          </w:p>
        </w:tc>
      </w:tr>
      <w:tr w:rsidR="00267F2B" w:rsidRPr="00923A95" w:rsidTr="004C115B">
        <w:tc>
          <w:tcPr>
            <w:tcW w:w="5245" w:type="dxa"/>
            <w:tcBorders>
              <w:top w:val="single" w:sz="12" w:space="0" w:color="auto"/>
            </w:tcBorders>
            <w:vAlign w:val="center"/>
          </w:tcPr>
          <w:p w:rsidR="00267F2B" w:rsidRPr="00923A95" w:rsidRDefault="00267F2B" w:rsidP="00D31CBF">
            <w:pPr>
              <w:pStyle w:val="para"/>
              <w:spacing w:before="80" w:after="80" w:line="200" w:lineRule="atLeast"/>
              <w:ind w:left="591" w:right="115" w:hanging="562"/>
              <w:rPr>
                <w:lang w:val="en-GB"/>
              </w:rPr>
            </w:pPr>
            <w:r w:rsidRPr="00923A95">
              <w:rPr>
                <w:lang w:val="en-GB"/>
              </w:rPr>
              <w:t>(a)</w:t>
            </w:r>
            <w:r w:rsidRPr="00923A95">
              <w:rPr>
                <w:lang w:val="en-GB"/>
              </w:rPr>
              <w:tab/>
              <w:t>Fuel system pressure control: fuel system ability to achieve the commanded fuel pressure in closed loop control - performance monitoring.</w:t>
            </w:r>
          </w:p>
        </w:tc>
        <w:tc>
          <w:tcPr>
            <w:tcW w:w="1134" w:type="dxa"/>
            <w:tcBorders>
              <w:top w:val="single" w:sz="12" w:space="0" w:color="auto"/>
            </w:tcBorders>
            <w:vAlign w:val="center"/>
          </w:tcPr>
          <w:p w:rsidR="00267F2B" w:rsidRPr="00923A95" w:rsidRDefault="00267F2B" w:rsidP="00D31CBF">
            <w:pPr>
              <w:pStyle w:val="para"/>
              <w:ind w:left="601" w:right="121" w:hanging="567"/>
              <w:jc w:val="center"/>
              <w:rPr>
                <w:lang w:val="en-GB"/>
              </w:rPr>
            </w:pPr>
            <w:r w:rsidRPr="00923A95">
              <w:rPr>
                <w:lang w:val="en-GB"/>
              </w:rPr>
              <w:t>X</w:t>
            </w:r>
          </w:p>
        </w:tc>
        <w:tc>
          <w:tcPr>
            <w:tcW w:w="992" w:type="dxa"/>
            <w:tcBorders>
              <w:top w:val="single" w:sz="12" w:space="0" w:color="auto"/>
            </w:tcBorders>
            <w:vAlign w:val="center"/>
          </w:tcPr>
          <w:p w:rsidR="00267F2B" w:rsidRPr="00923A95" w:rsidRDefault="00267F2B" w:rsidP="00D31CBF">
            <w:pPr>
              <w:pStyle w:val="para"/>
              <w:ind w:left="601" w:right="121" w:hanging="567"/>
              <w:jc w:val="center"/>
              <w:rPr>
                <w:lang w:val="en-GB"/>
              </w:rPr>
            </w:pPr>
          </w:p>
        </w:tc>
      </w:tr>
      <w:tr w:rsidR="00267F2B" w:rsidRPr="00923A95" w:rsidTr="00D31CBF">
        <w:tc>
          <w:tcPr>
            <w:tcW w:w="5245" w:type="dxa"/>
            <w:vAlign w:val="center"/>
          </w:tcPr>
          <w:p w:rsidR="00267F2B" w:rsidRPr="00923A95" w:rsidRDefault="00267F2B" w:rsidP="00D31CBF">
            <w:pPr>
              <w:pStyle w:val="para"/>
              <w:spacing w:before="80" w:after="80" w:line="200" w:lineRule="atLeast"/>
              <w:ind w:left="591" w:right="115" w:hanging="562"/>
              <w:rPr>
                <w:lang w:val="en-GB"/>
              </w:rPr>
            </w:pPr>
            <w:r w:rsidRPr="00923A95">
              <w:rPr>
                <w:lang w:val="en-GB"/>
              </w:rPr>
              <w:t>(b)</w:t>
            </w:r>
            <w:r w:rsidRPr="00923A95">
              <w:rPr>
                <w:lang w:val="en-GB"/>
              </w:rPr>
              <w:tab/>
              <w:t>Fuel system pressure control: fuel system ability to achieve the commanded fuel pressure in closed loop control in the case where the system is so constructed that the pressure can be controlled independently of other parameters - performance monitoring.</w:t>
            </w:r>
          </w:p>
        </w:tc>
        <w:tc>
          <w:tcPr>
            <w:tcW w:w="1134" w:type="dxa"/>
            <w:vAlign w:val="center"/>
          </w:tcPr>
          <w:p w:rsidR="00267F2B" w:rsidRPr="00923A95" w:rsidRDefault="00267F2B" w:rsidP="00D31CBF">
            <w:pPr>
              <w:pStyle w:val="para"/>
              <w:ind w:left="601" w:right="121" w:hanging="567"/>
              <w:jc w:val="center"/>
              <w:rPr>
                <w:lang w:val="en-GB"/>
              </w:rPr>
            </w:pPr>
            <w:r w:rsidRPr="00923A95">
              <w:rPr>
                <w:lang w:val="en-GB"/>
              </w:rPr>
              <w:t>X</w:t>
            </w:r>
          </w:p>
        </w:tc>
        <w:tc>
          <w:tcPr>
            <w:tcW w:w="992" w:type="dxa"/>
            <w:vAlign w:val="center"/>
          </w:tcPr>
          <w:p w:rsidR="00267F2B" w:rsidRPr="00923A95" w:rsidRDefault="00267F2B" w:rsidP="00D31CBF">
            <w:pPr>
              <w:pStyle w:val="para"/>
              <w:ind w:left="601" w:right="121" w:hanging="567"/>
              <w:jc w:val="center"/>
              <w:rPr>
                <w:lang w:val="en-GB"/>
              </w:rPr>
            </w:pPr>
          </w:p>
        </w:tc>
      </w:tr>
      <w:tr w:rsidR="00267F2B" w:rsidRPr="00923A95" w:rsidTr="00D31CBF">
        <w:tc>
          <w:tcPr>
            <w:tcW w:w="5245" w:type="dxa"/>
            <w:vAlign w:val="center"/>
          </w:tcPr>
          <w:p w:rsidR="00267F2B" w:rsidRPr="00923A95" w:rsidRDefault="00267F2B" w:rsidP="00D31CBF">
            <w:pPr>
              <w:pStyle w:val="para"/>
              <w:spacing w:before="80" w:after="80" w:line="200" w:lineRule="atLeast"/>
              <w:ind w:left="591" w:right="115" w:hanging="562"/>
              <w:rPr>
                <w:lang w:val="en-GB"/>
              </w:rPr>
            </w:pPr>
            <w:r w:rsidRPr="00923A95">
              <w:rPr>
                <w:lang w:val="en-GB"/>
              </w:rPr>
              <w:t>(c)</w:t>
            </w:r>
            <w:r w:rsidRPr="00923A95">
              <w:rPr>
                <w:lang w:val="en-GB"/>
              </w:rPr>
              <w:tab/>
              <w:t>Fuel injection timing: fuel system ability to achieve the commanded fuel timing for at least one of the injection events when the engine is equipped with the appropriate sensors - performance monitoring.</w:t>
            </w:r>
          </w:p>
        </w:tc>
        <w:tc>
          <w:tcPr>
            <w:tcW w:w="1134" w:type="dxa"/>
            <w:vAlign w:val="center"/>
          </w:tcPr>
          <w:p w:rsidR="00267F2B" w:rsidRPr="00923A95" w:rsidRDefault="00267F2B" w:rsidP="00D31CBF">
            <w:pPr>
              <w:pStyle w:val="para"/>
              <w:ind w:left="601" w:right="121" w:hanging="567"/>
              <w:jc w:val="center"/>
              <w:rPr>
                <w:lang w:val="en-GB"/>
              </w:rPr>
            </w:pPr>
            <w:r w:rsidRPr="00923A95">
              <w:rPr>
                <w:lang w:val="en-GB"/>
              </w:rPr>
              <w:t>X</w:t>
            </w:r>
          </w:p>
        </w:tc>
        <w:tc>
          <w:tcPr>
            <w:tcW w:w="992" w:type="dxa"/>
            <w:vAlign w:val="center"/>
          </w:tcPr>
          <w:p w:rsidR="00267F2B" w:rsidRPr="00923A95" w:rsidRDefault="00267F2B" w:rsidP="00D31CBF">
            <w:pPr>
              <w:pStyle w:val="para"/>
              <w:ind w:left="601" w:right="121" w:hanging="567"/>
              <w:jc w:val="center"/>
              <w:rPr>
                <w:lang w:val="en-GB"/>
              </w:rPr>
            </w:pPr>
          </w:p>
        </w:tc>
      </w:tr>
      <w:tr w:rsidR="00267F2B" w:rsidRPr="00923A95" w:rsidTr="004C115B">
        <w:tc>
          <w:tcPr>
            <w:tcW w:w="5245" w:type="dxa"/>
            <w:tcBorders>
              <w:bottom w:val="single" w:sz="4" w:space="0" w:color="auto"/>
            </w:tcBorders>
            <w:vAlign w:val="center"/>
          </w:tcPr>
          <w:p w:rsidR="00267F2B" w:rsidRPr="00923A95" w:rsidRDefault="00267F2B" w:rsidP="00D31CBF">
            <w:pPr>
              <w:pStyle w:val="para"/>
              <w:spacing w:before="80" w:after="80" w:line="200" w:lineRule="atLeast"/>
              <w:ind w:left="591" w:right="115" w:hanging="562"/>
              <w:rPr>
                <w:lang w:val="en-GB"/>
              </w:rPr>
            </w:pPr>
            <w:r>
              <w:rPr>
                <w:lang w:val="en-GB"/>
              </w:rPr>
              <w:t>(d)</w:t>
            </w:r>
            <w:r>
              <w:rPr>
                <w:lang w:val="en-GB"/>
              </w:rPr>
              <w:tab/>
            </w:r>
            <w:r w:rsidRPr="00520895">
              <w:rPr>
                <w:b/>
                <w:lang w:val="en-GB"/>
              </w:rPr>
              <w:t xml:space="preserve">Fuel injection quantity: fuel system ability to achieve the commanded fuel quantity by detecting </w:t>
            </w:r>
            <w:r w:rsidRPr="001047F7">
              <w:rPr>
                <w:b/>
                <w:lang w:val="en-GB"/>
              </w:rPr>
              <w:t>errors from desired fuel quantity in at least one of the injection events</w:t>
            </w:r>
            <w:r w:rsidRPr="00520895">
              <w:rPr>
                <w:b/>
                <w:lang w:val="en-GB"/>
              </w:rPr>
              <w:t xml:space="preserve"> </w:t>
            </w:r>
            <w:r w:rsidRPr="000D2420">
              <w:rPr>
                <w:b/>
                <w:color w:val="000000"/>
                <w:lang w:val="en-US"/>
              </w:rPr>
              <w:t>(e.g. in pre- main- or post-injection)</w:t>
            </w:r>
            <w:r>
              <w:rPr>
                <w:b/>
                <w:color w:val="0070C0"/>
                <w:lang w:val="en-US"/>
              </w:rPr>
              <w:t xml:space="preserve"> </w:t>
            </w:r>
            <w:r w:rsidRPr="00520895">
              <w:rPr>
                <w:b/>
                <w:lang w:val="en-GB"/>
              </w:rPr>
              <w:t>– emission threshold monitoring</w:t>
            </w:r>
            <w:r>
              <w:rPr>
                <w:b/>
                <w:lang w:val="en-GB"/>
              </w:rPr>
              <w:t>.</w:t>
            </w:r>
          </w:p>
        </w:tc>
        <w:tc>
          <w:tcPr>
            <w:tcW w:w="1134" w:type="dxa"/>
            <w:tcBorders>
              <w:bottom w:val="single" w:sz="4" w:space="0" w:color="auto"/>
            </w:tcBorders>
            <w:vAlign w:val="center"/>
          </w:tcPr>
          <w:p w:rsidR="00267F2B" w:rsidRPr="00923A95" w:rsidRDefault="00267F2B" w:rsidP="00D31CBF">
            <w:pPr>
              <w:pStyle w:val="para"/>
              <w:ind w:left="601" w:right="121" w:hanging="567"/>
              <w:jc w:val="center"/>
              <w:rPr>
                <w:lang w:val="en-GB"/>
              </w:rPr>
            </w:pPr>
            <w:r>
              <w:rPr>
                <w:lang w:val="en-GB"/>
              </w:rPr>
              <w:t>X</w:t>
            </w:r>
          </w:p>
        </w:tc>
        <w:tc>
          <w:tcPr>
            <w:tcW w:w="992" w:type="dxa"/>
            <w:tcBorders>
              <w:bottom w:val="single" w:sz="4" w:space="0" w:color="auto"/>
            </w:tcBorders>
            <w:vAlign w:val="center"/>
          </w:tcPr>
          <w:p w:rsidR="00267F2B" w:rsidRPr="00923A95" w:rsidRDefault="00267F2B" w:rsidP="00D31CBF">
            <w:pPr>
              <w:pStyle w:val="para"/>
              <w:ind w:left="601" w:right="121" w:hanging="567"/>
              <w:jc w:val="center"/>
              <w:rPr>
                <w:lang w:val="en-GB"/>
              </w:rPr>
            </w:pPr>
          </w:p>
        </w:tc>
      </w:tr>
      <w:tr w:rsidR="00267F2B" w:rsidRPr="00923A95" w:rsidTr="004C115B">
        <w:tc>
          <w:tcPr>
            <w:tcW w:w="5245" w:type="dxa"/>
            <w:tcBorders>
              <w:bottom w:val="single" w:sz="12" w:space="0" w:color="auto"/>
            </w:tcBorders>
            <w:vAlign w:val="center"/>
          </w:tcPr>
          <w:p w:rsidR="00267F2B" w:rsidRPr="00923A95" w:rsidRDefault="00267F2B" w:rsidP="00D31CBF">
            <w:pPr>
              <w:pStyle w:val="para"/>
              <w:spacing w:before="80" w:after="80" w:line="200" w:lineRule="atLeast"/>
              <w:ind w:left="591" w:right="115" w:hanging="562"/>
              <w:rPr>
                <w:lang w:val="en-GB"/>
              </w:rPr>
            </w:pPr>
            <w:r w:rsidRPr="00571FC4">
              <w:rPr>
                <w:b/>
                <w:lang w:val="en-GB"/>
              </w:rPr>
              <w:t>(e)</w:t>
            </w:r>
            <w:r w:rsidRPr="00923A95">
              <w:rPr>
                <w:lang w:val="en-GB"/>
              </w:rPr>
              <w:tab/>
              <w:t>Fuel injection system: ability to maintain the desired air-fuel ratio (incl. but not limited to self-adaptation features) – performance monitoring.</w:t>
            </w:r>
          </w:p>
        </w:tc>
        <w:tc>
          <w:tcPr>
            <w:tcW w:w="1134" w:type="dxa"/>
            <w:tcBorders>
              <w:bottom w:val="single" w:sz="12" w:space="0" w:color="auto"/>
            </w:tcBorders>
            <w:vAlign w:val="center"/>
          </w:tcPr>
          <w:p w:rsidR="00267F2B" w:rsidRPr="00923A95" w:rsidRDefault="00267F2B" w:rsidP="00D31CBF">
            <w:pPr>
              <w:pStyle w:val="para"/>
              <w:ind w:left="601" w:right="121" w:hanging="567"/>
              <w:jc w:val="center"/>
              <w:rPr>
                <w:lang w:val="en-GB"/>
              </w:rPr>
            </w:pPr>
          </w:p>
        </w:tc>
        <w:tc>
          <w:tcPr>
            <w:tcW w:w="992" w:type="dxa"/>
            <w:tcBorders>
              <w:bottom w:val="single" w:sz="12" w:space="0" w:color="auto"/>
            </w:tcBorders>
            <w:vAlign w:val="center"/>
          </w:tcPr>
          <w:p w:rsidR="00267F2B" w:rsidRPr="00923A95" w:rsidRDefault="00267F2B" w:rsidP="00D31CBF">
            <w:pPr>
              <w:pStyle w:val="para"/>
              <w:ind w:left="601" w:right="121" w:hanging="567"/>
              <w:jc w:val="center"/>
              <w:rPr>
                <w:lang w:val="en-GB"/>
              </w:rPr>
            </w:pPr>
            <w:r w:rsidRPr="00923A95">
              <w:rPr>
                <w:lang w:val="en-GB"/>
              </w:rPr>
              <w:t>X</w:t>
            </w:r>
          </w:p>
        </w:tc>
      </w:tr>
    </w:tbl>
    <w:p w:rsidR="005C5A37" w:rsidRPr="005C5A37" w:rsidRDefault="005C5A37" w:rsidP="00267F2B">
      <w:pPr>
        <w:ind w:left="2268" w:right="1134"/>
        <w:jc w:val="right"/>
      </w:pPr>
      <w:r w:rsidRPr="005C5A37">
        <w:t>"</w:t>
      </w:r>
    </w:p>
    <w:p w:rsidR="00422AF5" w:rsidRPr="00DB2094" w:rsidRDefault="00023BEA" w:rsidP="00DB2094">
      <w:pPr>
        <w:pStyle w:val="HChG"/>
      </w:pPr>
      <w:r w:rsidRPr="00DB2094">
        <w:tab/>
      </w:r>
      <w:r w:rsidR="00FA06A4" w:rsidRPr="00DB2094">
        <w:t>II.</w:t>
      </w:r>
      <w:r w:rsidR="00FA06A4" w:rsidRPr="00DB2094">
        <w:tab/>
      </w:r>
      <w:r w:rsidR="00E25B71" w:rsidRPr="00DB2094">
        <w:t>Justification</w:t>
      </w:r>
    </w:p>
    <w:p w:rsidR="002F63F0" w:rsidRDefault="002F63F0" w:rsidP="002F63F0">
      <w:pPr>
        <w:pStyle w:val="SingleTxtG"/>
      </w:pPr>
      <w:r>
        <w:t>1.</w:t>
      </w:r>
      <w:r>
        <w:tab/>
        <w:t>Monitoring of clogged injection sy</w:t>
      </w:r>
      <w:r w:rsidR="00D36643">
        <w:t>stems has been introduced into</w:t>
      </w:r>
      <w:r>
        <w:t xml:space="preserve"> legislation in order to prevent a high level of Particulate Matter emissions when a partial failure of the </w:t>
      </w:r>
      <w:r w:rsidR="00D36643">
        <w:t xml:space="preserve">Diesel Particulate Filter </w:t>
      </w:r>
      <w:r>
        <w:t>occur</w:t>
      </w:r>
      <w:r w:rsidR="00D36643">
        <w:t>s</w:t>
      </w:r>
      <w:r>
        <w:t xml:space="preserve"> simultaneously.</w:t>
      </w:r>
    </w:p>
    <w:p w:rsidR="002F63F0" w:rsidRDefault="00CF41CD" w:rsidP="002F63F0">
      <w:pPr>
        <w:pStyle w:val="SingleTxtG"/>
      </w:pPr>
      <w:r>
        <w:t>2.</w:t>
      </w:r>
      <w:r>
        <w:tab/>
      </w:r>
      <w:r w:rsidR="002F63F0">
        <w:t xml:space="preserve">Currently, no specific monitoring technique is specified, but it is required that, at stage C, each manufacturer presents to its Type Approval Authority a monitoring technique to detect the eventual clogging of injectors. </w:t>
      </w:r>
    </w:p>
    <w:p w:rsidR="002F63F0" w:rsidRPr="00F41921" w:rsidRDefault="006633C9" w:rsidP="002F63F0">
      <w:pPr>
        <w:pStyle w:val="SingleTxtG"/>
      </w:pPr>
      <w:r>
        <w:lastRenderedPageBreak/>
        <w:t>3</w:t>
      </w:r>
      <w:r w:rsidR="002F63F0" w:rsidRPr="00F41921">
        <w:t>.</w:t>
      </w:r>
      <w:r w:rsidR="002F63F0" w:rsidRPr="00F41921">
        <w:tab/>
      </w:r>
      <w:r w:rsidR="00030096">
        <w:t>As</w:t>
      </w:r>
      <w:r w:rsidR="002F63F0">
        <w:t xml:space="preserve"> a clogged injection system will always affect the </w:t>
      </w:r>
      <w:r w:rsidR="00030096">
        <w:t>quantity delivered of fuel</w:t>
      </w:r>
      <w:r w:rsidR="002F63F0">
        <w:t>, it is proposed to</w:t>
      </w:r>
      <w:r w:rsidR="002F63F0" w:rsidRPr="00F41921">
        <w:t xml:space="preserve"> transpos</w:t>
      </w:r>
      <w:r w:rsidR="002F63F0">
        <w:t>e</w:t>
      </w:r>
      <w:r w:rsidR="002F63F0" w:rsidRPr="00F41921">
        <w:t xml:space="preserve"> the provisions </w:t>
      </w:r>
      <w:r w:rsidR="00030096">
        <w:t>on</w:t>
      </w:r>
      <w:r w:rsidR="002F63F0" w:rsidRPr="00F41921">
        <w:t xml:space="preserve"> </w:t>
      </w:r>
      <w:r w:rsidR="002F63F0">
        <w:rPr>
          <w:rStyle w:val="Emphasis"/>
          <w:i w:val="0"/>
        </w:rPr>
        <w:t xml:space="preserve">the </w:t>
      </w:r>
      <w:r w:rsidR="002F63F0">
        <w:t>"</w:t>
      </w:r>
      <w:r w:rsidR="002F63F0" w:rsidRPr="00621747">
        <w:rPr>
          <w:rStyle w:val="Emphasis"/>
          <w:i w:val="0"/>
        </w:rPr>
        <w:t xml:space="preserve">ability </w:t>
      </w:r>
      <w:r w:rsidR="002F63F0">
        <w:rPr>
          <w:rStyle w:val="Emphasis"/>
          <w:i w:val="0"/>
        </w:rPr>
        <w:t xml:space="preserve">of the system </w:t>
      </w:r>
      <w:r w:rsidR="002F63F0" w:rsidRPr="00621747">
        <w:rPr>
          <w:rStyle w:val="Emphasis"/>
          <w:i w:val="0"/>
        </w:rPr>
        <w:t>to achieve the commanded fuel quantity</w:t>
      </w:r>
      <w:r w:rsidR="002F63F0">
        <w:t>"</w:t>
      </w:r>
      <w:r w:rsidR="002F63F0" w:rsidRPr="00621747">
        <w:rPr>
          <w:rStyle w:val="Emphasis"/>
          <w:i w:val="0"/>
        </w:rPr>
        <w:t xml:space="preserve"> </w:t>
      </w:r>
      <w:r w:rsidR="002F63F0" w:rsidRPr="00F41921">
        <w:t xml:space="preserve">that are specified in </w:t>
      </w:r>
      <w:r w:rsidR="002F63F0">
        <w:t>Global Technical Regulation No. 5</w:t>
      </w:r>
      <w:r w:rsidR="00283ED6">
        <w:t xml:space="preserve"> </w:t>
      </w:r>
      <w:r w:rsidR="00283ED6" w:rsidRPr="00F41921">
        <w:t>into Regulation No. 49</w:t>
      </w:r>
      <w:r w:rsidR="002F63F0" w:rsidRPr="00F41921">
        <w:t>.</w:t>
      </w:r>
    </w:p>
    <w:p w:rsidR="00961E1D" w:rsidRDefault="006633C9" w:rsidP="002F63F0">
      <w:pPr>
        <w:pStyle w:val="SingleTxtG"/>
      </w:pPr>
      <w:r>
        <w:t>4</w:t>
      </w:r>
      <w:r w:rsidR="002F63F0" w:rsidRPr="00F41921">
        <w:t>.</w:t>
      </w:r>
      <w:r w:rsidR="002F63F0" w:rsidRPr="00F41921">
        <w:tab/>
        <w:t xml:space="preserve">The </w:t>
      </w:r>
      <w:r w:rsidR="002F63F0" w:rsidRPr="00621747">
        <w:t xml:space="preserve">current </w:t>
      </w:r>
      <w:r w:rsidR="002F63F0">
        <w:t>requirements</w:t>
      </w:r>
      <w:r w:rsidR="002F63F0" w:rsidRPr="00621747">
        <w:t xml:space="preserve"> would remain unchanged, and be considered as an alternative </w:t>
      </w:r>
      <w:r w:rsidR="00D2020F">
        <w:t>choice for the manufacturer to the "</w:t>
      </w:r>
      <w:r w:rsidR="002F63F0">
        <w:t>default"</w:t>
      </w:r>
      <w:r w:rsidR="002F63F0" w:rsidRPr="00621747">
        <w:t xml:space="preserve"> </w:t>
      </w:r>
      <w:r w:rsidR="002F63F0">
        <w:t xml:space="preserve">fuel delivery </w:t>
      </w:r>
      <w:r w:rsidR="002F63F0" w:rsidRPr="00621747">
        <w:t>monitoring t</w:t>
      </w:r>
      <w:r w:rsidR="00D2020F">
        <w:t xml:space="preserve">echnique. This permits </w:t>
      </w:r>
      <w:r w:rsidR="002F63F0" w:rsidRPr="00621747">
        <w:t xml:space="preserve">manufacturers that </w:t>
      </w:r>
      <w:r w:rsidR="00E25319">
        <w:t xml:space="preserve">have </w:t>
      </w:r>
      <w:r w:rsidR="002F63F0">
        <w:t xml:space="preserve">already </w:t>
      </w:r>
      <w:r w:rsidR="002F63F0" w:rsidRPr="00621747">
        <w:t>agreed with their T</w:t>
      </w:r>
      <w:r w:rsidR="002F63F0">
        <w:t xml:space="preserve">ype </w:t>
      </w:r>
      <w:r w:rsidR="002F63F0" w:rsidRPr="00621747">
        <w:t>A</w:t>
      </w:r>
      <w:r w:rsidR="002F63F0">
        <w:t xml:space="preserve">pproval </w:t>
      </w:r>
      <w:r w:rsidR="002F63F0" w:rsidRPr="00621747">
        <w:t>A</w:t>
      </w:r>
      <w:r w:rsidR="002F63F0">
        <w:t>uthority</w:t>
      </w:r>
      <w:r w:rsidR="002F63F0" w:rsidRPr="00621747">
        <w:t xml:space="preserve"> on another monitoring technique</w:t>
      </w:r>
      <w:r w:rsidR="002F63F0">
        <w:t xml:space="preserve"> </w:t>
      </w:r>
      <w:r w:rsidR="0049482C">
        <w:t>to</w:t>
      </w:r>
      <w:r w:rsidR="002F63F0">
        <w:t xml:space="preserve"> not be penalised by </w:t>
      </w:r>
      <w:r w:rsidR="008B4C72">
        <w:t>a</w:t>
      </w:r>
      <w:r w:rsidR="002F63F0">
        <w:t xml:space="preserve"> "last minute change"</w:t>
      </w:r>
      <w:r w:rsidR="002F63F0" w:rsidRPr="00621747">
        <w:t>.</w:t>
      </w:r>
    </w:p>
    <w:p w:rsidR="005C7411" w:rsidRPr="00FD4196" w:rsidRDefault="005C7411" w:rsidP="00023BEA">
      <w:pPr>
        <w:pStyle w:val="SingleTxtG"/>
        <w:spacing w:before="240" w:after="0"/>
        <w:jc w:val="center"/>
        <w:rPr>
          <w:u w:val="single"/>
        </w:rPr>
      </w:pPr>
      <w:r w:rsidRPr="00FD4196">
        <w:rPr>
          <w:u w:val="single"/>
        </w:rPr>
        <w:tab/>
      </w:r>
      <w:r w:rsidRPr="00FD4196">
        <w:rPr>
          <w:u w:val="single"/>
        </w:rPr>
        <w:tab/>
      </w:r>
      <w:r w:rsidRPr="00FD4196">
        <w:rPr>
          <w:u w:val="single"/>
        </w:rPr>
        <w:tab/>
      </w:r>
    </w:p>
    <w:sectPr w:rsidR="005C7411" w:rsidRPr="00FD4196" w:rsidSect="00A9434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200" w:rsidRDefault="00CF3200"/>
  </w:endnote>
  <w:endnote w:type="continuationSeparator" w:id="0">
    <w:p w:rsidR="00CF3200" w:rsidRDefault="00CF3200"/>
  </w:endnote>
  <w:endnote w:type="continuationNotice" w:id="1">
    <w:p w:rsidR="00CF3200" w:rsidRDefault="00CF32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245" w:rsidRDefault="00E6676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1E2D60">
      <w:rPr>
        <w:b/>
        <w:noProof/>
        <w:sz w:val="18"/>
      </w:rPr>
      <w:t>2</w:t>
    </w:r>
    <w:r w:rsidRPr="00D45CC9">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245" w:rsidRDefault="00E6676C" w:rsidP="00E6676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1E2D60">
      <w:rPr>
        <w:b/>
        <w:noProof/>
        <w:sz w:val="18"/>
      </w:rPr>
      <w:t>3</w:t>
    </w:r>
    <w:r w:rsidRPr="00D45CC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A9434B" w:rsidTr="00A9434B">
      <w:tc>
        <w:tcPr>
          <w:tcW w:w="3614" w:type="dxa"/>
          <w:shd w:val="clear" w:color="auto" w:fill="auto"/>
        </w:tcPr>
        <w:p w:rsidR="00A9434B" w:rsidRDefault="00A9434B" w:rsidP="00A9434B">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ECE/TRANS/WP.29/GRPE/2016/7&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PE/2016/7&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GE.15-18619(E)</w:t>
          </w:r>
        </w:p>
        <w:p w:rsidR="00A9434B" w:rsidRPr="00A9434B" w:rsidRDefault="00A9434B" w:rsidP="00A9434B">
          <w:pPr>
            <w:pStyle w:val="Footer"/>
            <w:rPr>
              <w:rFonts w:ascii="Barcode 3 of 9 by request" w:hAnsi="Barcode 3 of 9 by request"/>
              <w:sz w:val="24"/>
            </w:rPr>
          </w:pPr>
          <w:r>
            <w:rPr>
              <w:rFonts w:ascii="Barcode 3 of 9 by request" w:hAnsi="Barcode 3 of 9 by request"/>
              <w:sz w:val="24"/>
            </w:rPr>
            <w:t>*1518619*</w:t>
          </w:r>
        </w:p>
      </w:tc>
      <w:tc>
        <w:tcPr>
          <w:tcW w:w="4752" w:type="dxa"/>
          <w:shd w:val="clear" w:color="auto" w:fill="auto"/>
        </w:tcPr>
        <w:p w:rsidR="00A9434B" w:rsidRDefault="00A9434B" w:rsidP="00A9434B">
          <w:pPr>
            <w:pStyle w:val="Footer"/>
            <w:spacing w:line="240" w:lineRule="atLeast"/>
            <w:jc w:val="right"/>
            <w:rPr>
              <w:sz w:val="20"/>
            </w:rPr>
          </w:pPr>
          <w:r>
            <w:rPr>
              <w:noProof/>
              <w:sz w:val="20"/>
              <w:lang w:eastAsia="en-GB"/>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A9434B" w:rsidRPr="00A9434B" w:rsidRDefault="00A9434B" w:rsidP="00A9434B">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200" w:rsidRPr="000B175B" w:rsidRDefault="00CF3200" w:rsidP="000B175B">
      <w:pPr>
        <w:tabs>
          <w:tab w:val="right" w:pos="2155"/>
        </w:tabs>
        <w:spacing w:after="80"/>
        <w:ind w:left="680"/>
        <w:rPr>
          <w:u w:val="single"/>
        </w:rPr>
      </w:pPr>
      <w:r>
        <w:rPr>
          <w:u w:val="single"/>
        </w:rPr>
        <w:tab/>
      </w:r>
    </w:p>
  </w:footnote>
  <w:footnote w:type="continuationSeparator" w:id="0">
    <w:p w:rsidR="00CF3200" w:rsidRPr="00FC68B7" w:rsidRDefault="00CF3200" w:rsidP="00FC68B7">
      <w:pPr>
        <w:tabs>
          <w:tab w:val="left" w:pos="2155"/>
        </w:tabs>
        <w:spacing w:after="80"/>
        <w:ind w:left="680"/>
        <w:rPr>
          <w:u w:val="single"/>
        </w:rPr>
      </w:pPr>
      <w:r>
        <w:rPr>
          <w:u w:val="single"/>
        </w:rPr>
        <w:tab/>
      </w:r>
    </w:p>
  </w:footnote>
  <w:footnote w:type="continuationNotice" w:id="1">
    <w:p w:rsidR="00CF3200" w:rsidRDefault="00CF3200"/>
  </w:footnote>
  <w:footnote w:id="2">
    <w:p w:rsidR="00EE16EE" w:rsidRPr="007E5C8F" w:rsidRDefault="00EE16EE" w:rsidP="00735EE3">
      <w:pPr>
        <w:pStyle w:val="FootnoteText"/>
      </w:pPr>
      <w:r>
        <w:tab/>
      </w:r>
      <w:r w:rsidRPr="002232AF">
        <w:rPr>
          <w:rStyle w:val="FootnoteReference"/>
          <w:sz w:val="20"/>
          <w:vertAlign w:val="baseline"/>
          <w:lang w:val="en-US"/>
        </w:rPr>
        <w:t>*</w:t>
      </w:r>
      <w:r w:rsidRPr="002232AF">
        <w:rPr>
          <w:sz w:val="20"/>
          <w:lang w:val="en-US"/>
        </w:rPr>
        <w:tab/>
      </w:r>
      <w:r w:rsidR="00AA7D06" w:rsidRPr="00C04C5C">
        <w:rPr>
          <w:szCs w:val="18"/>
          <w:lang w:val="en-US"/>
        </w:rPr>
        <w:t>In accordance with the programme of work of the Inla</w:t>
      </w:r>
      <w:r w:rsidR="00AA7D06">
        <w:rPr>
          <w:szCs w:val="18"/>
          <w:lang w:val="en-US"/>
        </w:rPr>
        <w:t>nd Transport Committee for 2014–2018 (ECE/TRANS/240</w:t>
      </w:r>
      <w:r w:rsidR="00AA7D06" w:rsidRPr="00DC2E82">
        <w:rPr>
          <w:szCs w:val="18"/>
          <w:lang w:val="en-US"/>
        </w:rPr>
        <w:t xml:space="preserve">, para. </w:t>
      </w:r>
      <w:r w:rsidR="00AA7D06">
        <w:rPr>
          <w:szCs w:val="18"/>
          <w:lang w:val="en-US"/>
        </w:rPr>
        <w:t>105</w:t>
      </w:r>
      <w:r w:rsidR="00AA7D06" w:rsidRPr="00DC2E82">
        <w:rPr>
          <w:szCs w:val="18"/>
          <w:lang w:val="en-US"/>
        </w:rPr>
        <w:t xml:space="preserve"> and ECE/TRANS/201</w:t>
      </w:r>
      <w:r w:rsidR="00AA7D06">
        <w:rPr>
          <w:szCs w:val="18"/>
          <w:lang w:val="en-US"/>
        </w:rPr>
        <w:t>4/26</w:t>
      </w:r>
      <w:r w:rsidR="00AA7D06" w:rsidRPr="00DC2E82">
        <w:rPr>
          <w:szCs w:val="18"/>
          <w:lang w:val="en-US"/>
        </w:rPr>
        <w:t xml:space="preserve">, </w:t>
      </w:r>
      <w:r w:rsidR="00AA7D06" w:rsidRPr="00C04C5C">
        <w:rPr>
          <w:szCs w:val="18"/>
          <w:lang w:val="en-US"/>
        </w:rPr>
        <w:t>programme activity 02.4), the World Forum will</w:t>
      </w:r>
      <w:r w:rsidR="00AA7D06">
        <w:rPr>
          <w:szCs w:val="18"/>
          <w:lang w:val="en-US"/>
        </w:rPr>
        <w:t xml:space="preserve"> develop, harmonize and update R</w:t>
      </w:r>
      <w:r w:rsidR="00AA7D06" w:rsidRPr="00C04C5C">
        <w:rPr>
          <w:szCs w:val="18"/>
          <w:lang w:val="en-US"/>
        </w:rPr>
        <w:t xml:space="preserve">egulations in order to enhance </w:t>
      </w:r>
      <w:r w:rsidR="00AA7D06">
        <w:rPr>
          <w:szCs w:val="18"/>
          <w:lang w:val="en-US"/>
        </w:rPr>
        <w:t xml:space="preserve">the </w:t>
      </w:r>
      <w:r w:rsidR="00AA7D06" w:rsidRPr="00C04C5C">
        <w:rPr>
          <w:szCs w:val="18"/>
          <w:lang w:val="en-US"/>
        </w:rPr>
        <w:t xml:space="preserve">performance of vehicles. The </w:t>
      </w:r>
      <w:r w:rsidR="00AA7D06" w:rsidRPr="007E5C8F">
        <w:rPr>
          <w:szCs w:val="18"/>
        </w:rPr>
        <w:t>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6EE" w:rsidRPr="00EE16EE" w:rsidRDefault="007E5C8F" w:rsidP="00BD7245">
    <w:pPr>
      <w:pStyle w:val="Header"/>
      <w:rPr>
        <w:lang w:val="fr-CH"/>
      </w:rPr>
    </w:pPr>
    <w:r>
      <w:rPr>
        <w:lang w:val="fr-CH"/>
      </w:rPr>
      <w:t>ECE/TRANS/WP.29/GRPE/2016</w:t>
    </w:r>
    <w:r w:rsidR="00DB2094">
      <w:rPr>
        <w:lang w:val="fr-CH"/>
      </w:rPr>
      <w:t>/</w:t>
    </w:r>
    <w:r w:rsidR="008065ED">
      <w:rPr>
        <w:lang w:val="fr-CH"/>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6EE" w:rsidRPr="00EE16EE" w:rsidRDefault="00EE16EE" w:rsidP="00BD7245">
    <w:pPr>
      <w:pStyle w:val="Header"/>
      <w:jc w:val="right"/>
      <w:rPr>
        <w:lang w:val="fr-CH"/>
      </w:rPr>
    </w:pPr>
    <w:r>
      <w:rPr>
        <w:lang w:val="fr-CH"/>
      </w:rPr>
      <w:t>ECE/TRANS/WP.29/GRPE/201</w:t>
    </w:r>
    <w:r w:rsidR="005F5F8A">
      <w:rPr>
        <w:lang w:val="fr-CH"/>
      </w:rPr>
      <w:t>6</w:t>
    </w:r>
    <w:r>
      <w:rPr>
        <w:lang w:val="fr-CH"/>
      </w:rPr>
      <w:t>/</w:t>
    </w:r>
    <w:r w:rsidR="0009000C">
      <w:rPr>
        <w:lang w:val="fr-CH"/>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267B62"/>
    <w:multiLevelType w:val="hybridMultilevel"/>
    <w:tmpl w:val="5C406A3C"/>
    <w:lvl w:ilvl="0" w:tplc="A2120718">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73F3903"/>
    <w:multiLevelType w:val="hybridMultilevel"/>
    <w:tmpl w:val="7FE26C9A"/>
    <w:lvl w:ilvl="0" w:tplc="D158BC5A">
      <w:start w:val="1"/>
      <w:numFmt w:val="bullet"/>
      <w:lvlText w:val="-"/>
      <w:lvlJc w:val="left"/>
      <w:pPr>
        <w:ind w:left="2232" w:hanging="360"/>
      </w:pPr>
      <w:rPr>
        <w:rFonts w:ascii="Times New Roman" w:eastAsia="Times New Roman" w:hAnsi="Times New Roman" w:cs="Times New Roman"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3461E68"/>
    <w:multiLevelType w:val="hybridMultilevel"/>
    <w:tmpl w:val="A2005F08"/>
    <w:lvl w:ilvl="0" w:tplc="83E2E5A6">
      <w:start w:val="6"/>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8720479"/>
    <w:multiLevelType w:val="hybridMultilevel"/>
    <w:tmpl w:val="20FA98A2"/>
    <w:lvl w:ilvl="0" w:tplc="C248B81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7">
    <w:nsid w:val="2DAF3F86"/>
    <w:multiLevelType w:val="hybridMultilevel"/>
    <w:tmpl w:val="C5060F4E"/>
    <w:lvl w:ilvl="0" w:tplc="F58248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9">
    <w:nsid w:val="3D1515BC"/>
    <w:multiLevelType w:val="hybridMultilevel"/>
    <w:tmpl w:val="55228028"/>
    <w:lvl w:ilvl="0" w:tplc="B6BE0A80">
      <w:start w:val="4"/>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0">
    <w:nsid w:val="423D543E"/>
    <w:multiLevelType w:val="hybridMultilevel"/>
    <w:tmpl w:val="81DC4930"/>
    <w:lvl w:ilvl="0" w:tplc="C50CFA0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1">
    <w:nsid w:val="46E336F0"/>
    <w:multiLevelType w:val="hybridMultilevel"/>
    <w:tmpl w:val="48347386"/>
    <w:lvl w:ilvl="0" w:tplc="636A3D5C">
      <w:start w:val="1"/>
      <w:numFmt w:val="decimal"/>
      <w:lvlText w:val="%1."/>
      <w:lvlJc w:val="left"/>
      <w:pPr>
        <w:ind w:left="1689" w:hanging="5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9582047"/>
    <w:multiLevelType w:val="multilevel"/>
    <w:tmpl w:val="7DE658DA"/>
    <w:lvl w:ilvl="0">
      <w:start w:val="1"/>
      <w:numFmt w:val="decimal"/>
      <w:lvlText w:val="%1."/>
      <w:lvlJc w:val="left"/>
      <w:pPr>
        <w:ind w:left="2265" w:hanging="1125"/>
      </w:pPr>
      <w:rPr>
        <w:rFonts w:hint="default"/>
      </w:rPr>
    </w:lvl>
    <w:lvl w:ilvl="1">
      <w:start w:val="4"/>
      <w:numFmt w:val="decimal"/>
      <w:isLgl/>
      <w:lvlText w:val="%1.%2."/>
      <w:lvlJc w:val="left"/>
      <w:pPr>
        <w:ind w:left="2265" w:hanging="1125"/>
      </w:pPr>
      <w:rPr>
        <w:rFonts w:hint="default"/>
      </w:rPr>
    </w:lvl>
    <w:lvl w:ilvl="2">
      <w:start w:val="4"/>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25">
    <w:nsid w:val="715647C7"/>
    <w:multiLevelType w:val="hybridMultilevel"/>
    <w:tmpl w:val="E92CF836"/>
    <w:lvl w:ilvl="0" w:tplc="B0CAAFAC">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73A468C"/>
    <w:multiLevelType w:val="hybridMultilevel"/>
    <w:tmpl w:val="28C4711A"/>
    <w:lvl w:ilvl="0" w:tplc="416407EC">
      <w:start w:val="1"/>
      <w:numFmt w:val="low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28">
    <w:nsid w:val="79214B2C"/>
    <w:multiLevelType w:val="hybridMultilevel"/>
    <w:tmpl w:val="07302068"/>
    <w:lvl w:ilvl="0" w:tplc="2A3EF4F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C6212EA"/>
    <w:multiLevelType w:val="hybridMultilevel"/>
    <w:tmpl w:val="0916DD60"/>
    <w:lvl w:ilvl="0" w:tplc="BC32786A">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4"/>
  </w:num>
  <w:num w:numId="13">
    <w:abstractNumId w:val="12"/>
  </w:num>
  <w:num w:numId="14">
    <w:abstractNumId w:val="23"/>
  </w:num>
  <w:num w:numId="15">
    <w:abstractNumId w:val="26"/>
  </w:num>
  <w:num w:numId="16">
    <w:abstractNumId w:val="16"/>
  </w:num>
  <w:num w:numId="17">
    <w:abstractNumId w:val="28"/>
  </w:num>
  <w:num w:numId="18">
    <w:abstractNumId w:val="24"/>
  </w:num>
  <w:num w:numId="19">
    <w:abstractNumId w:val="19"/>
  </w:num>
  <w:num w:numId="20">
    <w:abstractNumId w:val="18"/>
  </w:num>
  <w:num w:numId="21">
    <w:abstractNumId w:val="17"/>
  </w:num>
  <w:num w:numId="22">
    <w:abstractNumId w:val="25"/>
  </w:num>
  <w:num w:numId="23">
    <w:abstractNumId w:val="29"/>
  </w:num>
  <w:num w:numId="24">
    <w:abstractNumId w:val="10"/>
  </w:num>
  <w:num w:numId="25">
    <w:abstractNumId w:val="27"/>
  </w:num>
  <w:num w:numId="26">
    <w:abstractNumId w:val="15"/>
  </w:num>
  <w:num w:numId="27">
    <w:abstractNumId w:val="11"/>
  </w:num>
  <w:num w:numId="28">
    <w:abstractNumId w:val="20"/>
  </w:num>
  <w:num w:numId="29">
    <w:abstractNumId w:val="13"/>
  </w:num>
  <w:num w:numId="30">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RANS_WP29_2009_E"/>
  </w:docVars>
  <w:rsids>
    <w:rsidRoot w:val="00D45CC9"/>
    <w:rsid w:val="00002EAF"/>
    <w:rsid w:val="000030A6"/>
    <w:rsid w:val="000060FD"/>
    <w:rsid w:val="0001163B"/>
    <w:rsid w:val="00012209"/>
    <w:rsid w:val="00012908"/>
    <w:rsid w:val="00015498"/>
    <w:rsid w:val="00023BEA"/>
    <w:rsid w:val="000246CC"/>
    <w:rsid w:val="00025AFC"/>
    <w:rsid w:val="00027A69"/>
    <w:rsid w:val="00030096"/>
    <w:rsid w:val="00031B3A"/>
    <w:rsid w:val="00033466"/>
    <w:rsid w:val="00033A4F"/>
    <w:rsid w:val="00040591"/>
    <w:rsid w:val="000405D9"/>
    <w:rsid w:val="00043D2E"/>
    <w:rsid w:val="00045DFD"/>
    <w:rsid w:val="00046B1F"/>
    <w:rsid w:val="0005081A"/>
    <w:rsid w:val="00050F6B"/>
    <w:rsid w:val="0005211C"/>
    <w:rsid w:val="00052635"/>
    <w:rsid w:val="00052F85"/>
    <w:rsid w:val="00054B69"/>
    <w:rsid w:val="00054D92"/>
    <w:rsid w:val="00055345"/>
    <w:rsid w:val="000554E7"/>
    <w:rsid w:val="000558D9"/>
    <w:rsid w:val="000577B6"/>
    <w:rsid w:val="00057E97"/>
    <w:rsid w:val="000646F4"/>
    <w:rsid w:val="00065CA7"/>
    <w:rsid w:val="00066D3B"/>
    <w:rsid w:val="000675FD"/>
    <w:rsid w:val="00070947"/>
    <w:rsid w:val="00070A26"/>
    <w:rsid w:val="00070F1B"/>
    <w:rsid w:val="0007134E"/>
    <w:rsid w:val="00071A73"/>
    <w:rsid w:val="00072C8C"/>
    <w:rsid w:val="000733B5"/>
    <w:rsid w:val="00073C2B"/>
    <w:rsid w:val="00073E4C"/>
    <w:rsid w:val="00074498"/>
    <w:rsid w:val="00074527"/>
    <w:rsid w:val="00075781"/>
    <w:rsid w:val="0007716C"/>
    <w:rsid w:val="0007792A"/>
    <w:rsid w:val="00081815"/>
    <w:rsid w:val="000840B6"/>
    <w:rsid w:val="00084EC7"/>
    <w:rsid w:val="000859C1"/>
    <w:rsid w:val="00086456"/>
    <w:rsid w:val="00087B2E"/>
    <w:rsid w:val="0009000C"/>
    <w:rsid w:val="000915C8"/>
    <w:rsid w:val="00091C16"/>
    <w:rsid w:val="0009252F"/>
    <w:rsid w:val="0009284D"/>
    <w:rsid w:val="000931C0"/>
    <w:rsid w:val="00097EF2"/>
    <w:rsid w:val="000A27AC"/>
    <w:rsid w:val="000A2FB0"/>
    <w:rsid w:val="000A3650"/>
    <w:rsid w:val="000A3C46"/>
    <w:rsid w:val="000A5252"/>
    <w:rsid w:val="000A716D"/>
    <w:rsid w:val="000B0595"/>
    <w:rsid w:val="000B175B"/>
    <w:rsid w:val="000B2D67"/>
    <w:rsid w:val="000B2F02"/>
    <w:rsid w:val="000B3A0F"/>
    <w:rsid w:val="000B4D21"/>
    <w:rsid w:val="000B4EF7"/>
    <w:rsid w:val="000B7A47"/>
    <w:rsid w:val="000C09C7"/>
    <w:rsid w:val="000C09F4"/>
    <w:rsid w:val="000C1495"/>
    <w:rsid w:val="000C1A31"/>
    <w:rsid w:val="000C1AB3"/>
    <w:rsid w:val="000C1ACC"/>
    <w:rsid w:val="000C2C03"/>
    <w:rsid w:val="000C2D2E"/>
    <w:rsid w:val="000C3F7F"/>
    <w:rsid w:val="000C3F89"/>
    <w:rsid w:val="000C66C8"/>
    <w:rsid w:val="000D245A"/>
    <w:rsid w:val="000D3C51"/>
    <w:rsid w:val="000D3E5C"/>
    <w:rsid w:val="000D4B33"/>
    <w:rsid w:val="000D64F9"/>
    <w:rsid w:val="000D7F00"/>
    <w:rsid w:val="000E0415"/>
    <w:rsid w:val="000E0854"/>
    <w:rsid w:val="000E1D94"/>
    <w:rsid w:val="000E48B0"/>
    <w:rsid w:val="000E4D42"/>
    <w:rsid w:val="000E5276"/>
    <w:rsid w:val="000E70B3"/>
    <w:rsid w:val="000E73A7"/>
    <w:rsid w:val="000F1142"/>
    <w:rsid w:val="000F1E65"/>
    <w:rsid w:val="000F3975"/>
    <w:rsid w:val="000F39F3"/>
    <w:rsid w:val="000F47F4"/>
    <w:rsid w:val="000F56BA"/>
    <w:rsid w:val="000F7F91"/>
    <w:rsid w:val="00100059"/>
    <w:rsid w:val="00102531"/>
    <w:rsid w:val="0010362C"/>
    <w:rsid w:val="001039D1"/>
    <w:rsid w:val="001052FD"/>
    <w:rsid w:val="001067FA"/>
    <w:rsid w:val="00106F05"/>
    <w:rsid w:val="00107257"/>
    <w:rsid w:val="00107694"/>
    <w:rsid w:val="001076F0"/>
    <w:rsid w:val="001103AA"/>
    <w:rsid w:val="00113F8C"/>
    <w:rsid w:val="00114D62"/>
    <w:rsid w:val="0011505B"/>
    <w:rsid w:val="0011616E"/>
    <w:rsid w:val="0011666B"/>
    <w:rsid w:val="00120A59"/>
    <w:rsid w:val="00122970"/>
    <w:rsid w:val="001234B3"/>
    <w:rsid w:val="001243AB"/>
    <w:rsid w:val="0012498C"/>
    <w:rsid w:val="00124B1B"/>
    <w:rsid w:val="001250C1"/>
    <w:rsid w:val="00125BC2"/>
    <w:rsid w:val="00131483"/>
    <w:rsid w:val="00131EAA"/>
    <w:rsid w:val="00136C8D"/>
    <w:rsid w:val="00137F6B"/>
    <w:rsid w:val="00140460"/>
    <w:rsid w:val="001418F0"/>
    <w:rsid w:val="00142E1A"/>
    <w:rsid w:val="00145974"/>
    <w:rsid w:val="00145E75"/>
    <w:rsid w:val="00145F18"/>
    <w:rsid w:val="001476A6"/>
    <w:rsid w:val="00151A8D"/>
    <w:rsid w:val="00151C46"/>
    <w:rsid w:val="00151CCC"/>
    <w:rsid w:val="00152AA1"/>
    <w:rsid w:val="00153747"/>
    <w:rsid w:val="001545A5"/>
    <w:rsid w:val="00154A21"/>
    <w:rsid w:val="001554FE"/>
    <w:rsid w:val="00156683"/>
    <w:rsid w:val="00157968"/>
    <w:rsid w:val="001603C3"/>
    <w:rsid w:val="001617DC"/>
    <w:rsid w:val="00164FDA"/>
    <w:rsid w:val="00165F3A"/>
    <w:rsid w:val="0017009D"/>
    <w:rsid w:val="00171426"/>
    <w:rsid w:val="00174F20"/>
    <w:rsid w:val="001754B0"/>
    <w:rsid w:val="001760B5"/>
    <w:rsid w:val="0018046F"/>
    <w:rsid w:val="00182131"/>
    <w:rsid w:val="00182290"/>
    <w:rsid w:val="00182D78"/>
    <w:rsid w:val="001910A7"/>
    <w:rsid w:val="001911FF"/>
    <w:rsid w:val="00193FAC"/>
    <w:rsid w:val="00195D6F"/>
    <w:rsid w:val="00197992"/>
    <w:rsid w:val="001A0D98"/>
    <w:rsid w:val="001A207D"/>
    <w:rsid w:val="001A3521"/>
    <w:rsid w:val="001A3955"/>
    <w:rsid w:val="001A4FE3"/>
    <w:rsid w:val="001A5E0D"/>
    <w:rsid w:val="001A671B"/>
    <w:rsid w:val="001A6EDB"/>
    <w:rsid w:val="001A7CE2"/>
    <w:rsid w:val="001B0543"/>
    <w:rsid w:val="001B333D"/>
    <w:rsid w:val="001B3821"/>
    <w:rsid w:val="001B4B04"/>
    <w:rsid w:val="001B62A4"/>
    <w:rsid w:val="001B673D"/>
    <w:rsid w:val="001B7473"/>
    <w:rsid w:val="001B7D29"/>
    <w:rsid w:val="001C53DC"/>
    <w:rsid w:val="001C5B58"/>
    <w:rsid w:val="001C6663"/>
    <w:rsid w:val="001C73CA"/>
    <w:rsid w:val="001C7895"/>
    <w:rsid w:val="001C7B02"/>
    <w:rsid w:val="001D06AD"/>
    <w:rsid w:val="001D0C8C"/>
    <w:rsid w:val="001D1419"/>
    <w:rsid w:val="001D26DF"/>
    <w:rsid w:val="001D2E31"/>
    <w:rsid w:val="001D2EB9"/>
    <w:rsid w:val="001D3233"/>
    <w:rsid w:val="001D3A03"/>
    <w:rsid w:val="001D4790"/>
    <w:rsid w:val="001D4C3B"/>
    <w:rsid w:val="001D6001"/>
    <w:rsid w:val="001D79DE"/>
    <w:rsid w:val="001E2D60"/>
    <w:rsid w:val="001E3759"/>
    <w:rsid w:val="001E44EA"/>
    <w:rsid w:val="001E678C"/>
    <w:rsid w:val="001E6BCB"/>
    <w:rsid w:val="001E70A4"/>
    <w:rsid w:val="001E7B67"/>
    <w:rsid w:val="001F05D7"/>
    <w:rsid w:val="001F0A89"/>
    <w:rsid w:val="001F3A08"/>
    <w:rsid w:val="001F3AAD"/>
    <w:rsid w:val="001F4AD7"/>
    <w:rsid w:val="001F5F29"/>
    <w:rsid w:val="001F64D1"/>
    <w:rsid w:val="00200979"/>
    <w:rsid w:val="002013DA"/>
    <w:rsid w:val="00202DA8"/>
    <w:rsid w:val="0020452E"/>
    <w:rsid w:val="00205171"/>
    <w:rsid w:val="0020549D"/>
    <w:rsid w:val="00206073"/>
    <w:rsid w:val="002060D3"/>
    <w:rsid w:val="00206EF7"/>
    <w:rsid w:val="002077C3"/>
    <w:rsid w:val="00207F53"/>
    <w:rsid w:val="00210443"/>
    <w:rsid w:val="0021059A"/>
    <w:rsid w:val="00210CE8"/>
    <w:rsid w:val="00211E0B"/>
    <w:rsid w:val="00212BB8"/>
    <w:rsid w:val="0021442B"/>
    <w:rsid w:val="00214974"/>
    <w:rsid w:val="00214A53"/>
    <w:rsid w:val="00214EDB"/>
    <w:rsid w:val="00215213"/>
    <w:rsid w:val="00216B2B"/>
    <w:rsid w:val="00223E57"/>
    <w:rsid w:val="0022630B"/>
    <w:rsid w:val="00227EAC"/>
    <w:rsid w:val="0023123D"/>
    <w:rsid w:val="0023493D"/>
    <w:rsid w:val="00236EA9"/>
    <w:rsid w:val="00240C92"/>
    <w:rsid w:val="002450A2"/>
    <w:rsid w:val="00245FD8"/>
    <w:rsid w:val="00246A4B"/>
    <w:rsid w:val="0024715F"/>
    <w:rsid w:val="0024772E"/>
    <w:rsid w:val="00247BF7"/>
    <w:rsid w:val="00252825"/>
    <w:rsid w:val="00253A44"/>
    <w:rsid w:val="00254F7D"/>
    <w:rsid w:val="002577D6"/>
    <w:rsid w:val="00260039"/>
    <w:rsid w:val="00263E13"/>
    <w:rsid w:val="00264FD3"/>
    <w:rsid w:val="0026637B"/>
    <w:rsid w:val="00267A8E"/>
    <w:rsid w:val="00267F2B"/>
    <w:rsid w:val="00267F5F"/>
    <w:rsid w:val="002717CB"/>
    <w:rsid w:val="002728AB"/>
    <w:rsid w:val="0027386A"/>
    <w:rsid w:val="00273D06"/>
    <w:rsid w:val="0027635E"/>
    <w:rsid w:val="002806CE"/>
    <w:rsid w:val="00281C66"/>
    <w:rsid w:val="00282FBC"/>
    <w:rsid w:val="00283180"/>
    <w:rsid w:val="00283882"/>
    <w:rsid w:val="00283ED6"/>
    <w:rsid w:val="00285BA9"/>
    <w:rsid w:val="00286A18"/>
    <w:rsid w:val="00286B4D"/>
    <w:rsid w:val="00287B01"/>
    <w:rsid w:val="002945AE"/>
    <w:rsid w:val="0029703F"/>
    <w:rsid w:val="0029709B"/>
    <w:rsid w:val="00297C3F"/>
    <w:rsid w:val="002A0FFD"/>
    <w:rsid w:val="002A18A5"/>
    <w:rsid w:val="002A1CB8"/>
    <w:rsid w:val="002A4724"/>
    <w:rsid w:val="002A4914"/>
    <w:rsid w:val="002A4CDC"/>
    <w:rsid w:val="002A6964"/>
    <w:rsid w:val="002A77EE"/>
    <w:rsid w:val="002B4850"/>
    <w:rsid w:val="002B53DC"/>
    <w:rsid w:val="002B66AC"/>
    <w:rsid w:val="002B6D65"/>
    <w:rsid w:val="002C0600"/>
    <w:rsid w:val="002C1557"/>
    <w:rsid w:val="002C30EA"/>
    <w:rsid w:val="002C3E6E"/>
    <w:rsid w:val="002C5A0A"/>
    <w:rsid w:val="002C68C3"/>
    <w:rsid w:val="002D16CF"/>
    <w:rsid w:val="002D174D"/>
    <w:rsid w:val="002D2433"/>
    <w:rsid w:val="002D4643"/>
    <w:rsid w:val="002D621E"/>
    <w:rsid w:val="002D759B"/>
    <w:rsid w:val="002D78FC"/>
    <w:rsid w:val="002E08D3"/>
    <w:rsid w:val="002E15DE"/>
    <w:rsid w:val="002E1C6A"/>
    <w:rsid w:val="002E2A65"/>
    <w:rsid w:val="002E33A0"/>
    <w:rsid w:val="002E5076"/>
    <w:rsid w:val="002E6E2E"/>
    <w:rsid w:val="002E7702"/>
    <w:rsid w:val="002E7B27"/>
    <w:rsid w:val="002F076A"/>
    <w:rsid w:val="002F0DA4"/>
    <w:rsid w:val="002F175C"/>
    <w:rsid w:val="002F333C"/>
    <w:rsid w:val="002F50B2"/>
    <w:rsid w:val="002F590C"/>
    <w:rsid w:val="002F63F0"/>
    <w:rsid w:val="002F6B3B"/>
    <w:rsid w:val="002F7C7C"/>
    <w:rsid w:val="002F7DE0"/>
    <w:rsid w:val="003007CC"/>
    <w:rsid w:val="00300B08"/>
    <w:rsid w:val="00302DA5"/>
    <w:rsid w:val="00302E18"/>
    <w:rsid w:val="00304B5B"/>
    <w:rsid w:val="00304BEF"/>
    <w:rsid w:val="0030555B"/>
    <w:rsid w:val="00307164"/>
    <w:rsid w:val="003072DF"/>
    <w:rsid w:val="003122B3"/>
    <w:rsid w:val="0031298E"/>
    <w:rsid w:val="00312CFC"/>
    <w:rsid w:val="00314805"/>
    <w:rsid w:val="00315F24"/>
    <w:rsid w:val="00320865"/>
    <w:rsid w:val="0032289D"/>
    <w:rsid w:val="003229D8"/>
    <w:rsid w:val="00323143"/>
    <w:rsid w:val="00324864"/>
    <w:rsid w:val="0032589A"/>
    <w:rsid w:val="003265CB"/>
    <w:rsid w:val="00326B9C"/>
    <w:rsid w:val="00331ACF"/>
    <w:rsid w:val="00332E17"/>
    <w:rsid w:val="00333790"/>
    <w:rsid w:val="00334573"/>
    <w:rsid w:val="00334FE9"/>
    <w:rsid w:val="0033630B"/>
    <w:rsid w:val="00336586"/>
    <w:rsid w:val="00337C05"/>
    <w:rsid w:val="003400B3"/>
    <w:rsid w:val="003403C3"/>
    <w:rsid w:val="0034058B"/>
    <w:rsid w:val="00340C2B"/>
    <w:rsid w:val="00340E25"/>
    <w:rsid w:val="0034256C"/>
    <w:rsid w:val="00343DB0"/>
    <w:rsid w:val="00344B69"/>
    <w:rsid w:val="00344CED"/>
    <w:rsid w:val="00344E5D"/>
    <w:rsid w:val="00345AF1"/>
    <w:rsid w:val="00345FA4"/>
    <w:rsid w:val="003460FC"/>
    <w:rsid w:val="00350352"/>
    <w:rsid w:val="00350BB4"/>
    <w:rsid w:val="003511B6"/>
    <w:rsid w:val="00351C7D"/>
    <w:rsid w:val="003526C8"/>
    <w:rsid w:val="00352709"/>
    <w:rsid w:val="00352EE2"/>
    <w:rsid w:val="003531E9"/>
    <w:rsid w:val="00354125"/>
    <w:rsid w:val="003579F5"/>
    <w:rsid w:val="00357B91"/>
    <w:rsid w:val="003619B5"/>
    <w:rsid w:val="00361AC3"/>
    <w:rsid w:val="00363CDE"/>
    <w:rsid w:val="00363F91"/>
    <w:rsid w:val="00365763"/>
    <w:rsid w:val="00365A07"/>
    <w:rsid w:val="00371178"/>
    <w:rsid w:val="0037169B"/>
    <w:rsid w:val="00374A06"/>
    <w:rsid w:val="00375546"/>
    <w:rsid w:val="00375D0F"/>
    <w:rsid w:val="003815AF"/>
    <w:rsid w:val="003821A5"/>
    <w:rsid w:val="003831BA"/>
    <w:rsid w:val="003857A5"/>
    <w:rsid w:val="00386431"/>
    <w:rsid w:val="00386A4B"/>
    <w:rsid w:val="0038705A"/>
    <w:rsid w:val="00387384"/>
    <w:rsid w:val="003900DB"/>
    <w:rsid w:val="00391D3F"/>
    <w:rsid w:val="00392206"/>
    <w:rsid w:val="00392E47"/>
    <w:rsid w:val="003933EA"/>
    <w:rsid w:val="003963F8"/>
    <w:rsid w:val="003A0D28"/>
    <w:rsid w:val="003A1CDC"/>
    <w:rsid w:val="003A1FB6"/>
    <w:rsid w:val="003A28F1"/>
    <w:rsid w:val="003A2D24"/>
    <w:rsid w:val="003A4744"/>
    <w:rsid w:val="003A4C25"/>
    <w:rsid w:val="003A524C"/>
    <w:rsid w:val="003A5B22"/>
    <w:rsid w:val="003A6810"/>
    <w:rsid w:val="003A6BBC"/>
    <w:rsid w:val="003A7494"/>
    <w:rsid w:val="003B1BC5"/>
    <w:rsid w:val="003B48BA"/>
    <w:rsid w:val="003B5254"/>
    <w:rsid w:val="003C01C3"/>
    <w:rsid w:val="003C021A"/>
    <w:rsid w:val="003C0B18"/>
    <w:rsid w:val="003C104B"/>
    <w:rsid w:val="003C2113"/>
    <w:rsid w:val="003C2CC4"/>
    <w:rsid w:val="003C534D"/>
    <w:rsid w:val="003C54CA"/>
    <w:rsid w:val="003C57E6"/>
    <w:rsid w:val="003C5F72"/>
    <w:rsid w:val="003C6667"/>
    <w:rsid w:val="003C6943"/>
    <w:rsid w:val="003C6A00"/>
    <w:rsid w:val="003C6E98"/>
    <w:rsid w:val="003C6F87"/>
    <w:rsid w:val="003D0191"/>
    <w:rsid w:val="003D041D"/>
    <w:rsid w:val="003D0AC1"/>
    <w:rsid w:val="003D2D9B"/>
    <w:rsid w:val="003D301C"/>
    <w:rsid w:val="003D369E"/>
    <w:rsid w:val="003D427B"/>
    <w:rsid w:val="003D4784"/>
    <w:rsid w:val="003D4B23"/>
    <w:rsid w:val="003D66B8"/>
    <w:rsid w:val="003D6B33"/>
    <w:rsid w:val="003D6DA9"/>
    <w:rsid w:val="003D6E3C"/>
    <w:rsid w:val="003E10CF"/>
    <w:rsid w:val="003E130E"/>
    <w:rsid w:val="003E1A41"/>
    <w:rsid w:val="003E1EE1"/>
    <w:rsid w:val="003E1FF8"/>
    <w:rsid w:val="003E23A3"/>
    <w:rsid w:val="003E37E2"/>
    <w:rsid w:val="003E43C7"/>
    <w:rsid w:val="003E4BB1"/>
    <w:rsid w:val="003E60D2"/>
    <w:rsid w:val="003E630F"/>
    <w:rsid w:val="003E63C4"/>
    <w:rsid w:val="003E75FD"/>
    <w:rsid w:val="003E79FF"/>
    <w:rsid w:val="003E7B4B"/>
    <w:rsid w:val="003E7D83"/>
    <w:rsid w:val="003F3AA4"/>
    <w:rsid w:val="003F613F"/>
    <w:rsid w:val="003F66FA"/>
    <w:rsid w:val="003F798C"/>
    <w:rsid w:val="003F7CBF"/>
    <w:rsid w:val="0040013F"/>
    <w:rsid w:val="004009E3"/>
    <w:rsid w:val="00400A0E"/>
    <w:rsid w:val="00401E80"/>
    <w:rsid w:val="00402A8E"/>
    <w:rsid w:val="00403443"/>
    <w:rsid w:val="004045DA"/>
    <w:rsid w:val="00405056"/>
    <w:rsid w:val="00405AFB"/>
    <w:rsid w:val="00407F84"/>
    <w:rsid w:val="00410462"/>
    <w:rsid w:val="00410C89"/>
    <w:rsid w:val="00410DE0"/>
    <w:rsid w:val="00411B4B"/>
    <w:rsid w:val="0041299D"/>
    <w:rsid w:val="0041347A"/>
    <w:rsid w:val="00413918"/>
    <w:rsid w:val="00414B03"/>
    <w:rsid w:val="0042039F"/>
    <w:rsid w:val="00421A40"/>
    <w:rsid w:val="00421DAB"/>
    <w:rsid w:val="00422AF5"/>
    <w:rsid w:val="00422E03"/>
    <w:rsid w:val="00424BF6"/>
    <w:rsid w:val="00425DD1"/>
    <w:rsid w:val="00426B9B"/>
    <w:rsid w:val="00427B7E"/>
    <w:rsid w:val="0043081A"/>
    <w:rsid w:val="00430988"/>
    <w:rsid w:val="004325CB"/>
    <w:rsid w:val="00433173"/>
    <w:rsid w:val="00436073"/>
    <w:rsid w:val="00437992"/>
    <w:rsid w:val="00440813"/>
    <w:rsid w:val="00441775"/>
    <w:rsid w:val="00441ACD"/>
    <w:rsid w:val="00442A83"/>
    <w:rsid w:val="00444661"/>
    <w:rsid w:val="004448AC"/>
    <w:rsid w:val="00447337"/>
    <w:rsid w:val="00447A4C"/>
    <w:rsid w:val="0045013F"/>
    <w:rsid w:val="00450191"/>
    <w:rsid w:val="00450B28"/>
    <w:rsid w:val="004519D6"/>
    <w:rsid w:val="004522D1"/>
    <w:rsid w:val="00452CEA"/>
    <w:rsid w:val="0045495B"/>
    <w:rsid w:val="004561E5"/>
    <w:rsid w:val="00461838"/>
    <w:rsid w:val="00463EB4"/>
    <w:rsid w:val="004648CA"/>
    <w:rsid w:val="00470C76"/>
    <w:rsid w:val="00470FBC"/>
    <w:rsid w:val="00471929"/>
    <w:rsid w:val="00473EA1"/>
    <w:rsid w:val="004778E7"/>
    <w:rsid w:val="0048107A"/>
    <w:rsid w:val="0048161D"/>
    <w:rsid w:val="00481FD3"/>
    <w:rsid w:val="0048271F"/>
    <w:rsid w:val="00482E1A"/>
    <w:rsid w:val="0048397A"/>
    <w:rsid w:val="004839E9"/>
    <w:rsid w:val="00485712"/>
    <w:rsid w:val="00485CBB"/>
    <w:rsid w:val="004866B7"/>
    <w:rsid w:val="00486789"/>
    <w:rsid w:val="00486FFE"/>
    <w:rsid w:val="0048701E"/>
    <w:rsid w:val="00487123"/>
    <w:rsid w:val="00487DB2"/>
    <w:rsid w:val="00490D99"/>
    <w:rsid w:val="004918DF"/>
    <w:rsid w:val="00491985"/>
    <w:rsid w:val="0049482C"/>
    <w:rsid w:val="004968A5"/>
    <w:rsid w:val="00497E06"/>
    <w:rsid w:val="004A037B"/>
    <w:rsid w:val="004A0AEA"/>
    <w:rsid w:val="004A2257"/>
    <w:rsid w:val="004A346C"/>
    <w:rsid w:val="004A41C6"/>
    <w:rsid w:val="004A5737"/>
    <w:rsid w:val="004A5BDD"/>
    <w:rsid w:val="004A7983"/>
    <w:rsid w:val="004B088E"/>
    <w:rsid w:val="004B11AD"/>
    <w:rsid w:val="004B2461"/>
    <w:rsid w:val="004B31DB"/>
    <w:rsid w:val="004B3B72"/>
    <w:rsid w:val="004B3C44"/>
    <w:rsid w:val="004B4149"/>
    <w:rsid w:val="004C0F99"/>
    <w:rsid w:val="004C115B"/>
    <w:rsid w:val="004C2276"/>
    <w:rsid w:val="004C2461"/>
    <w:rsid w:val="004C32BC"/>
    <w:rsid w:val="004C42B3"/>
    <w:rsid w:val="004C4363"/>
    <w:rsid w:val="004C4911"/>
    <w:rsid w:val="004C5E1F"/>
    <w:rsid w:val="004C727E"/>
    <w:rsid w:val="004C7462"/>
    <w:rsid w:val="004C7A75"/>
    <w:rsid w:val="004D00E2"/>
    <w:rsid w:val="004D18A6"/>
    <w:rsid w:val="004D31EB"/>
    <w:rsid w:val="004D33D1"/>
    <w:rsid w:val="004D6FFE"/>
    <w:rsid w:val="004D7196"/>
    <w:rsid w:val="004D7F55"/>
    <w:rsid w:val="004E11CC"/>
    <w:rsid w:val="004E3269"/>
    <w:rsid w:val="004E4DAA"/>
    <w:rsid w:val="004E543F"/>
    <w:rsid w:val="004E54EE"/>
    <w:rsid w:val="004E77B2"/>
    <w:rsid w:val="004E7DCC"/>
    <w:rsid w:val="004F1CE4"/>
    <w:rsid w:val="004F391F"/>
    <w:rsid w:val="004F3CF2"/>
    <w:rsid w:val="004F44D2"/>
    <w:rsid w:val="004F6C66"/>
    <w:rsid w:val="005029B0"/>
    <w:rsid w:val="005034A5"/>
    <w:rsid w:val="005041E6"/>
    <w:rsid w:val="00504B2D"/>
    <w:rsid w:val="00504F48"/>
    <w:rsid w:val="0050532A"/>
    <w:rsid w:val="00505AB0"/>
    <w:rsid w:val="005064C4"/>
    <w:rsid w:val="00507910"/>
    <w:rsid w:val="00507C09"/>
    <w:rsid w:val="005103E1"/>
    <w:rsid w:val="00511B89"/>
    <w:rsid w:val="00512205"/>
    <w:rsid w:val="00513501"/>
    <w:rsid w:val="0051371E"/>
    <w:rsid w:val="00513D88"/>
    <w:rsid w:val="00515FB8"/>
    <w:rsid w:val="00517B67"/>
    <w:rsid w:val="0052136D"/>
    <w:rsid w:val="00521558"/>
    <w:rsid w:val="00526425"/>
    <w:rsid w:val="00526A2D"/>
    <w:rsid w:val="0052775E"/>
    <w:rsid w:val="00527E11"/>
    <w:rsid w:val="00527E80"/>
    <w:rsid w:val="00530340"/>
    <w:rsid w:val="00532326"/>
    <w:rsid w:val="00533A5D"/>
    <w:rsid w:val="005348D8"/>
    <w:rsid w:val="00535458"/>
    <w:rsid w:val="0053588E"/>
    <w:rsid w:val="00536842"/>
    <w:rsid w:val="00536B24"/>
    <w:rsid w:val="00536F83"/>
    <w:rsid w:val="00540F14"/>
    <w:rsid w:val="0054145F"/>
    <w:rsid w:val="005420F2"/>
    <w:rsid w:val="00542742"/>
    <w:rsid w:val="00543F29"/>
    <w:rsid w:val="00545350"/>
    <w:rsid w:val="00546D35"/>
    <w:rsid w:val="0055039D"/>
    <w:rsid w:val="00551D91"/>
    <w:rsid w:val="00552597"/>
    <w:rsid w:val="005543E8"/>
    <w:rsid w:val="00554BEE"/>
    <w:rsid w:val="00555F33"/>
    <w:rsid w:val="00561068"/>
    <w:rsid w:val="0056209A"/>
    <w:rsid w:val="00562410"/>
    <w:rsid w:val="005628B6"/>
    <w:rsid w:val="0056329E"/>
    <w:rsid w:val="0056399C"/>
    <w:rsid w:val="00566D10"/>
    <w:rsid w:val="00567B99"/>
    <w:rsid w:val="005702DD"/>
    <w:rsid w:val="00570606"/>
    <w:rsid w:val="005720B8"/>
    <w:rsid w:val="00573248"/>
    <w:rsid w:val="005757A2"/>
    <w:rsid w:val="00575A62"/>
    <w:rsid w:val="00576A0F"/>
    <w:rsid w:val="0058088F"/>
    <w:rsid w:val="005813AF"/>
    <w:rsid w:val="005829DD"/>
    <w:rsid w:val="00584E9A"/>
    <w:rsid w:val="00586A6E"/>
    <w:rsid w:val="00587680"/>
    <w:rsid w:val="00590C1A"/>
    <w:rsid w:val="00592DA2"/>
    <w:rsid w:val="005941EC"/>
    <w:rsid w:val="00595DEE"/>
    <w:rsid w:val="00595F66"/>
    <w:rsid w:val="00596C0C"/>
    <w:rsid w:val="0059724D"/>
    <w:rsid w:val="00597470"/>
    <w:rsid w:val="00597B3A"/>
    <w:rsid w:val="005A0830"/>
    <w:rsid w:val="005A0C13"/>
    <w:rsid w:val="005A212D"/>
    <w:rsid w:val="005A3426"/>
    <w:rsid w:val="005A5A0D"/>
    <w:rsid w:val="005A5A4A"/>
    <w:rsid w:val="005B061E"/>
    <w:rsid w:val="005B0911"/>
    <w:rsid w:val="005B320C"/>
    <w:rsid w:val="005B349C"/>
    <w:rsid w:val="005B3DB3"/>
    <w:rsid w:val="005B4E13"/>
    <w:rsid w:val="005B5BCD"/>
    <w:rsid w:val="005B71CB"/>
    <w:rsid w:val="005C342F"/>
    <w:rsid w:val="005C37C7"/>
    <w:rsid w:val="005C5A37"/>
    <w:rsid w:val="005C7411"/>
    <w:rsid w:val="005C7745"/>
    <w:rsid w:val="005C7D1E"/>
    <w:rsid w:val="005C7D28"/>
    <w:rsid w:val="005D0C82"/>
    <w:rsid w:val="005D11EE"/>
    <w:rsid w:val="005D1646"/>
    <w:rsid w:val="005D23EB"/>
    <w:rsid w:val="005D2E09"/>
    <w:rsid w:val="005D2FCC"/>
    <w:rsid w:val="005D2FD1"/>
    <w:rsid w:val="005D48B8"/>
    <w:rsid w:val="005D67D9"/>
    <w:rsid w:val="005E018E"/>
    <w:rsid w:val="005E0567"/>
    <w:rsid w:val="005E1B74"/>
    <w:rsid w:val="005E24A2"/>
    <w:rsid w:val="005E2DE2"/>
    <w:rsid w:val="005E37A4"/>
    <w:rsid w:val="005E4FF5"/>
    <w:rsid w:val="005E6FA0"/>
    <w:rsid w:val="005F139A"/>
    <w:rsid w:val="005F333C"/>
    <w:rsid w:val="005F3A2B"/>
    <w:rsid w:val="005F45FB"/>
    <w:rsid w:val="005F5F8A"/>
    <w:rsid w:val="005F649C"/>
    <w:rsid w:val="005F675D"/>
    <w:rsid w:val="005F6F34"/>
    <w:rsid w:val="005F7449"/>
    <w:rsid w:val="005F7B75"/>
    <w:rsid w:val="006001EE"/>
    <w:rsid w:val="00604D06"/>
    <w:rsid w:val="00605042"/>
    <w:rsid w:val="0060768C"/>
    <w:rsid w:val="0061154A"/>
    <w:rsid w:val="00611900"/>
    <w:rsid w:val="00611FC4"/>
    <w:rsid w:val="00612600"/>
    <w:rsid w:val="00613932"/>
    <w:rsid w:val="006149C0"/>
    <w:rsid w:val="006176FB"/>
    <w:rsid w:val="00617B6A"/>
    <w:rsid w:val="00617E99"/>
    <w:rsid w:val="0062106D"/>
    <w:rsid w:val="0062182D"/>
    <w:rsid w:val="00621E55"/>
    <w:rsid w:val="00622065"/>
    <w:rsid w:val="00624C23"/>
    <w:rsid w:val="006252B5"/>
    <w:rsid w:val="00627DD8"/>
    <w:rsid w:val="00630501"/>
    <w:rsid w:val="00631103"/>
    <w:rsid w:val="00631C76"/>
    <w:rsid w:val="006335CD"/>
    <w:rsid w:val="0063370A"/>
    <w:rsid w:val="0063375D"/>
    <w:rsid w:val="00633EEA"/>
    <w:rsid w:val="006353EF"/>
    <w:rsid w:val="00640B26"/>
    <w:rsid w:val="00641B1F"/>
    <w:rsid w:val="00642837"/>
    <w:rsid w:val="00642B77"/>
    <w:rsid w:val="00643823"/>
    <w:rsid w:val="00646320"/>
    <w:rsid w:val="00646ABD"/>
    <w:rsid w:val="0065075C"/>
    <w:rsid w:val="00651D2B"/>
    <w:rsid w:val="00652D0A"/>
    <w:rsid w:val="00653D09"/>
    <w:rsid w:val="00654026"/>
    <w:rsid w:val="006544BD"/>
    <w:rsid w:val="00654CDA"/>
    <w:rsid w:val="00655314"/>
    <w:rsid w:val="00656B47"/>
    <w:rsid w:val="00656F75"/>
    <w:rsid w:val="0066007A"/>
    <w:rsid w:val="00660883"/>
    <w:rsid w:val="00660C48"/>
    <w:rsid w:val="006615F1"/>
    <w:rsid w:val="00662BB6"/>
    <w:rsid w:val="006633C9"/>
    <w:rsid w:val="00664177"/>
    <w:rsid w:val="006641EB"/>
    <w:rsid w:val="00667AED"/>
    <w:rsid w:val="00670044"/>
    <w:rsid w:val="00671B51"/>
    <w:rsid w:val="00671FED"/>
    <w:rsid w:val="006721A3"/>
    <w:rsid w:val="00672546"/>
    <w:rsid w:val="0067362F"/>
    <w:rsid w:val="00674686"/>
    <w:rsid w:val="00674B6E"/>
    <w:rsid w:val="00674F38"/>
    <w:rsid w:val="0067539B"/>
    <w:rsid w:val="00675455"/>
    <w:rsid w:val="0067550E"/>
    <w:rsid w:val="00675A46"/>
    <w:rsid w:val="0067601B"/>
    <w:rsid w:val="0067646D"/>
    <w:rsid w:val="00676606"/>
    <w:rsid w:val="00677375"/>
    <w:rsid w:val="00680077"/>
    <w:rsid w:val="00680259"/>
    <w:rsid w:val="00680B0E"/>
    <w:rsid w:val="00681686"/>
    <w:rsid w:val="00681F8E"/>
    <w:rsid w:val="006836A4"/>
    <w:rsid w:val="00684C21"/>
    <w:rsid w:val="00686D50"/>
    <w:rsid w:val="0068744D"/>
    <w:rsid w:val="00691A02"/>
    <w:rsid w:val="00691EB1"/>
    <w:rsid w:val="00693741"/>
    <w:rsid w:val="00696804"/>
    <w:rsid w:val="006A0C09"/>
    <w:rsid w:val="006A2530"/>
    <w:rsid w:val="006A65B8"/>
    <w:rsid w:val="006A78A1"/>
    <w:rsid w:val="006B1AD4"/>
    <w:rsid w:val="006B3031"/>
    <w:rsid w:val="006B6E62"/>
    <w:rsid w:val="006B7E43"/>
    <w:rsid w:val="006C14EA"/>
    <w:rsid w:val="006C2AA5"/>
    <w:rsid w:val="006C3422"/>
    <w:rsid w:val="006C3589"/>
    <w:rsid w:val="006C52EA"/>
    <w:rsid w:val="006C6475"/>
    <w:rsid w:val="006C66A2"/>
    <w:rsid w:val="006C6EA7"/>
    <w:rsid w:val="006D058A"/>
    <w:rsid w:val="006D166C"/>
    <w:rsid w:val="006D37AF"/>
    <w:rsid w:val="006D51D0"/>
    <w:rsid w:val="006D5644"/>
    <w:rsid w:val="006D5FB9"/>
    <w:rsid w:val="006D658E"/>
    <w:rsid w:val="006E142B"/>
    <w:rsid w:val="006E1DDE"/>
    <w:rsid w:val="006E218A"/>
    <w:rsid w:val="006E2233"/>
    <w:rsid w:val="006E2E46"/>
    <w:rsid w:val="006E43DD"/>
    <w:rsid w:val="006E564B"/>
    <w:rsid w:val="006E6C4C"/>
    <w:rsid w:val="006E7191"/>
    <w:rsid w:val="006F0259"/>
    <w:rsid w:val="006F17C2"/>
    <w:rsid w:val="006F4B9B"/>
    <w:rsid w:val="006F6406"/>
    <w:rsid w:val="006F6D38"/>
    <w:rsid w:val="007003FD"/>
    <w:rsid w:val="00701B07"/>
    <w:rsid w:val="00703577"/>
    <w:rsid w:val="007041FF"/>
    <w:rsid w:val="0070558D"/>
    <w:rsid w:val="00705894"/>
    <w:rsid w:val="0070697A"/>
    <w:rsid w:val="00710104"/>
    <w:rsid w:val="00711491"/>
    <w:rsid w:val="00711F2C"/>
    <w:rsid w:val="0071662F"/>
    <w:rsid w:val="00716EC0"/>
    <w:rsid w:val="00716F45"/>
    <w:rsid w:val="00720E47"/>
    <w:rsid w:val="00721617"/>
    <w:rsid w:val="007225CD"/>
    <w:rsid w:val="00722FF0"/>
    <w:rsid w:val="00723209"/>
    <w:rsid w:val="00724FED"/>
    <w:rsid w:val="00725587"/>
    <w:rsid w:val="00725735"/>
    <w:rsid w:val="0072632A"/>
    <w:rsid w:val="00730687"/>
    <w:rsid w:val="00730C56"/>
    <w:rsid w:val="00731147"/>
    <w:rsid w:val="00732065"/>
    <w:rsid w:val="007327D5"/>
    <w:rsid w:val="00734FB5"/>
    <w:rsid w:val="00735EE3"/>
    <w:rsid w:val="0073781B"/>
    <w:rsid w:val="00742590"/>
    <w:rsid w:val="0074385A"/>
    <w:rsid w:val="0074390C"/>
    <w:rsid w:val="007440E0"/>
    <w:rsid w:val="00752A93"/>
    <w:rsid w:val="00757437"/>
    <w:rsid w:val="0075765E"/>
    <w:rsid w:val="00761C65"/>
    <w:rsid w:val="00761FBE"/>
    <w:rsid w:val="007629C8"/>
    <w:rsid w:val="00763BF6"/>
    <w:rsid w:val="00770145"/>
    <w:rsid w:val="0077047D"/>
    <w:rsid w:val="007710C6"/>
    <w:rsid w:val="007712B1"/>
    <w:rsid w:val="00771F33"/>
    <w:rsid w:val="007722F5"/>
    <w:rsid w:val="007738C1"/>
    <w:rsid w:val="00781E22"/>
    <w:rsid w:val="007820AF"/>
    <w:rsid w:val="007838B2"/>
    <w:rsid w:val="0078451C"/>
    <w:rsid w:val="00784960"/>
    <w:rsid w:val="00786137"/>
    <w:rsid w:val="00790AED"/>
    <w:rsid w:val="00791E8D"/>
    <w:rsid w:val="007939FA"/>
    <w:rsid w:val="00795175"/>
    <w:rsid w:val="007959E3"/>
    <w:rsid w:val="00796E9C"/>
    <w:rsid w:val="007A2AA2"/>
    <w:rsid w:val="007A3C74"/>
    <w:rsid w:val="007B20A0"/>
    <w:rsid w:val="007B2682"/>
    <w:rsid w:val="007B4089"/>
    <w:rsid w:val="007B47E9"/>
    <w:rsid w:val="007B530F"/>
    <w:rsid w:val="007B62FB"/>
    <w:rsid w:val="007B6BA5"/>
    <w:rsid w:val="007B7C35"/>
    <w:rsid w:val="007C0CBE"/>
    <w:rsid w:val="007C277A"/>
    <w:rsid w:val="007C2E19"/>
    <w:rsid w:val="007C3390"/>
    <w:rsid w:val="007C4E68"/>
    <w:rsid w:val="007C4F4B"/>
    <w:rsid w:val="007C559B"/>
    <w:rsid w:val="007C58AB"/>
    <w:rsid w:val="007C595C"/>
    <w:rsid w:val="007D0F16"/>
    <w:rsid w:val="007D1003"/>
    <w:rsid w:val="007D1438"/>
    <w:rsid w:val="007D2279"/>
    <w:rsid w:val="007D36F9"/>
    <w:rsid w:val="007D43F2"/>
    <w:rsid w:val="007D45A6"/>
    <w:rsid w:val="007D6308"/>
    <w:rsid w:val="007D7E4A"/>
    <w:rsid w:val="007E01E9"/>
    <w:rsid w:val="007E1584"/>
    <w:rsid w:val="007E17E1"/>
    <w:rsid w:val="007E1C3D"/>
    <w:rsid w:val="007E2DD5"/>
    <w:rsid w:val="007E37A3"/>
    <w:rsid w:val="007E5096"/>
    <w:rsid w:val="007E5C8F"/>
    <w:rsid w:val="007E63F3"/>
    <w:rsid w:val="007E79D9"/>
    <w:rsid w:val="007F0305"/>
    <w:rsid w:val="007F06AD"/>
    <w:rsid w:val="007F1AC3"/>
    <w:rsid w:val="007F2029"/>
    <w:rsid w:val="007F26E5"/>
    <w:rsid w:val="007F3D76"/>
    <w:rsid w:val="007F42D4"/>
    <w:rsid w:val="007F42F3"/>
    <w:rsid w:val="007F6611"/>
    <w:rsid w:val="007F710A"/>
    <w:rsid w:val="007F75B9"/>
    <w:rsid w:val="007F789C"/>
    <w:rsid w:val="008007AB"/>
    <w:rsid w:val="00802462"/>
    <w:rsid w:val="008062AC"/>
    <w:rsid w:val="008065ED"/>
    <w:rsid w:val="0081080D"/>
    <w:rsid w:val="00811920"/>
    <w:rsid w:val="00811B14"/>
    <w:rsid w:val="00812D6F"/>
    <w:rsid w:val="00812ED5"/>
    <w:rsid w:val="00813148"/>
    <w:rsid w:val="00814F84"/>
    <w:rsid w:val="00815AD0"/>
    <w:rsid w:val="00815EDB"/>
    <w:rsid w:val="008164AE"/>
    <w:rsid w:val="00821122"/>
    <w:rsid w:val="00821D46"/>
    <w:rsid w:val="00822DF2"/>
    <w:rsid w:val="008242D7"/>
    <w:rsid w:val="00824DB0"/>
    <w:rsid w:val="008257B1"/>
    <w:rsid w:val="0082699A"/>
    <w:rsid w:val="0082710E"/>
    <w:rsid w:val="008305FB"/>
    <w:rsid w:val="0083074B"/>
    <w:rsid w:val="00832334"/>
    <w:rsid w:val="008333DE"/>
    <w:rsid w:val="00833CAA"/>
    <w:rsid w:val="00835C31"/>
    <w:rsid w:val="00836F00"/>
    <w:rsid w:val="0083752D"/>
    <w:rsid w:val="0083784A"/>
    <w:rsid w:val="00837CC7"/>
    <w:rsid w:val="0084251F"/>
    <w:rsid w:val="00842589"/>
    <w:rsid w:val="00842BAA"/>
    <w:rsid w:val="00843767"/>
    <w:rsid w:val="00844386"/>
    <w:rsid w:val="00847172"/>
    <w:rsid w:val="0085246A"/>
    <w:rsid w:val="00853186"/>
    <w:rsid w:val="00855558"/>
    <w:rsid w:val="00855987"/>
    <w:rsid w:val="008570DA"/>
    <w:rsid w:val="00857885"/>
    <w:rsid w:val="0086017F"/>
    <w:rsid w:val="008605F7"/>
    <w:rsid w:val="00860DEE"/>
    <w:rsid w:val="00862170"/>
    <w:rsid w:val="008628A7"/>
    <w:rsid w:val="0086478A"/>
    <w:rsid w:val="00864A4B"/>
    <w:rsid w:val="0086544D"/>
    <w:rsid w:val="008655E4"/>
    <w:rsid w:val="00865EFF"/>
    <w:rsid w:val="0086622E"/>
    <w:rsid w:val="0086633D"/>
    <w:rsid w:val="00867023"/>
    <w:rsid w:val="008679D9"/>
    <w:rsid w:val="00870FE5"/>
    <w:rsid w:val="00872F35"/>
    <w:rsid w:val="00875D94"/>
    <w:rsid w:val="008769EA"/>
    <w:rsid w:val="00876C7E"/>
    <w:rsid w:val="00882FF2"/>
    <w:rsid w:val="00884731"/>
    <w:rsid w:val="008873A0"/>
    <w:rsid w:val="008878DE"/>
    <w:rsid w:val="00891C10"/>
    <w:rsid w:val="00892101"/>
    <w:rsid w:val="00893D64"/>
    <w:rsid w:val="00895AF3"/>
    <w:rsid w:val="008979B1"/>
    <w:rsid w:val="008A1ED5"/>
    <w:rsid w:val="008A2882"/>
    <w:rsid w:val="008A2C30"/>
    <w:rsid w:val="008A358E"/>
    <w:rsid w:val="008A518B"/>
    <w:rsid w:val="008A5E67"/>
    <w:rsid w:val="008A6A2F"/>
    <w:rsid w:val="008A6B25"/>
    <w:rsid w:val="008A6C4F"/>
    <w:rsid w:val="008A703A"/>
    <w:rsid w:val="008B12EF"/>
    <w:rsid w:val="008B14B7"/>
    <w:rsid w:val="008B2335"/>
    <w:rsid w:val="008B2E36"/>
    <w:rsid w:val="008B4C72"/>
    <w:rsid w:val="008B5CF0"/>
    <w:rsid w:val="008C05F1"/>
    <w:rsid w:val="008C1B44"/>
    <w:rsid w:val="008C1B8D"/>
    <w:rsid w:val="008C2C6C"/>
    <w:rsid w:val="008C3964"/>
    <w:rsid w:val="008C7313"/>
    <w:rsid w:val="008C791A"/>
    <w:rsid w:val="008D492C"/>
    <w:rsid w:val="008D78C5"/>
    <w:rsid w:val="008E0678"/>
    <w:rsid w:val="008E37C2"/>
    <w:rsid w:val="008F03ED"/>
    <w:rsid w:val="008F07F7"/>
    <w:rsid w:val="008F1A93"/>
    <w:rsid w:val="008F2266"/>
    <w:rsid w:val="008F31D2"/>
    <w:rsid w:val="008F32AC"/>
    <w:rsid w:val="008F374D"/>
    <w:rsid w:val="008F4D34"/>
    <w:rsid w:val="008F646C"/>
    <w:rsid w:val="008F795B"/>
    <w:rsid w:val="0090004D"/>
    <w:rsid w:val="009010E1"/>
    <w:rsid w:val="009040C5"/>
    <w:rsid w:val="00904749"/>
    <w:rsid w:val="009052BA"/>
    <w:rsid w:val="009052C7"/>
    <w:rsid w:val="009057DD"/>
    <w:rsid w:val="00906166"/>
    <w:rsid w:val="00906DEB"/>
    <w:rsid w:val="00907D84"/>
    <w:rsid w:val="009126F0"/>
    <w:rsid w:val="0091351E"/>
    <w:rsid w:val="00913611"/>
    <w:rsid w:val="00915241"/>
    <w:rsid w:val="00915EF6"/>
    <w:rsid w:val="0091617E"/>
    <w:rsid w:val="00916624"/>
    <w:rsid w:val="0091697A"/>
    <w:rsid w:val="009223CA"/>
    <w:rsid w:val="00923980"/>
    <w:rsid w:val="00923AD4"/>
    <w:rsid w:val="009261DA"/>
    <w:rsid w:val="00926CEE"/>
    <w:rsid w:val="00931791"/>
    <w:rsid w:val="009330C2"/>
    <w:rsid w:val="00934864"/>
    <w:rsid w:val="009349DC"/>
    <w:rsid w:val="00935104"/>
    <w:rsid w:val="00935E4E"/>
    <w:rsid w:val="00936E5C"/>
    <w:rsid w:val="00940F93"/>
    <w:rsid w:val="00941363"/>
    <w:rsid w:val="00943D87"/>
    <w:rsid w:val="009440DF"/>
    <w:rsid w:val="009448C3"/>
    <w:rsid w:val="00944ADC"/>
    <w:rsid w:val="00944D6C"/>
    <w:rsid w:val="00945281"/>
    <w:rsid w:val="0094763D"/>
    <w:rsid w:val="00950B06"/>
    <w:rsid w:val="00951A74"/>
    <w:rsid w:val="009526F6"/>
    <w:rsid w:val="00953061"/>
    <w:rsid w:val="00953D1D"/>
    <w:rsid w:val="009545E3"/>
    <w:rsid w:val="00955497"/>
    <w:rsid w:val="00955A0D"/>
    <w:rsid w:val="00957A10"/>
    <w:rsid w:val="00957CE3"/>
    <w:rsid w:val="00961E1D"/>
    <w:rsid w:val="00962984"/>
    <w:rsid w:val="00962A33"/>
    <w:rsid w:val="00964618"/>
    <w:rsid w:val="009673BE"/>
    <w:rsid w:val="00967E9C"/>
    <w:rsid w:val="00972E21"/>
    <w:rsid w:val="009760F3"/>
    <w:rsid w:val="00976BCB"/>
    <w:rsid w:val="00976CFB"/>
    <w:rsid w:val="00980594"/>
    <w:rsid w:val="009832D3"/>
    <w:rsid w:val="00983B7A"/>
    <w:rsid w:val="00986229"/>
    <w:rsid w:val="00986FB3"/>
    <w:rsid w:val="00986FBD"/>
    <w:rsid w:val="009910C7"/>
    <w:rsid w:val="009911AE"/>
    <w:rsid w:val="00991218"/>
    <w:rsid w:val="00992ABB"/>
    <w:rsid w:val="00995084"/>
    <w:rsid w:val="00996A28"/>
    <w:rsid w:val="009A0830"/>
    <w:rsid w:val="009A0E8D"/>
    <w:rsid w:val="009A1DA3"/>
    <w:rsid w:val="009A226B"/>
    <w:rsid w:val="009A2ECC"/>
    <w:rsid w:val="009A4BBE"/>
    <w:rsid w:val="009A5BAA"/>
    <w:rsid w:val="009A6734"/>
    <w:rsid w:val="009B10F9"/>
    <w:rsid w:val="009B145A"/>
    <w:rsid w:val="009B2503"/>
    <w:rsid w:val="009B26E7"/>
    <w:rsid w:val="009B295B"/>
    <w:rsid w:val="009B3744"/>
    <w:rsid w:val="009B38DE"/>
    <w:rsid w:val="009B3C54"/>
    <w:rsid w:val="009B4070"/>
    <w:rsid w:val="009B4ED1"/>
    <w:rsid w:val="009B64BB"/>
    <w:rsid w:val="009C2788"/>
    <w:rsid w:val="009C5193"/>
    <w:rsid w:val="009C5C64"/>
    <w:rsid w:val="009C671A"/>
    <w:rsid w:val="009C6D6A"/>
    <w:rsid w:val="009C7A60"/>
    <w:rsid w:val="009D1C12"/>
    <w:rsid w:val="009D2C05"/>
    <w:rsid w:val="009D3748"/>
    <w:rsid w:val="009D59C7"/>
    <w:rsid w:val="009E2D1A"/>
    <w:rsid w:val="009E3266"/>
    <w:rsid w:val="009E3509"/>
    <w:rsid w:val="009E5350"/>
    <w:rsid w:val="009E5748"/>
    <w:rsid w:val="009F20FB"/>
    <w:rsid w:val="009F505F"/>
    <w:rsid w:val="009F56EA"/>
    <w:rsid w:val="00A00103"/>
    <w:rsid w:val="00A0038D"/>
    <w:rsid w:val="00A00697"/>
    <w:rsid w:val="00A00A3F"/>
    <w:rsid w:val="00A0136F"/>
    <w:rsid w:val="00A01489"/>
    <w:rsid w:val="00A0151A"/>
    <w:rsid w:val="00A04133"/>
    <w:rsid w:val="00A0500A"/>
    <w:rsid w:val="00A0644D"/>
    <w:rsid w:val="00A112AA"/>
    <w:rsid w:val="00A11F0B"/>
    <w:rsid w:val="00A12653"/>
    <w:rsid w:val="00A1434F"/>
    <w:rsid w:val="00A14AFF"/>
    <w:rsid w:val="00A16603"/>
    <w:rsid w:val="00A16A78"/>
    <w:rsid w:val="00A177C1"/>
    <w:rsid w:val="00A22C69"/>
    <w:rsid w:val="00A25A60"/>
    <w:rsid w:val="00A25BAE"/>
    <w:rsid w:val="00A26389"/>
    <w:rsid w:val="00A3026E"/>
    <w:rsid w:val="00A30ADF"/>
    <w:rsid w:val="00A338F1"/>
    <w:rsid w:val="00A35416"/>
    <w:rsid w:val="00A35BE0"/>
    <w:rsid w:val="00A36977"/>
    <w:rsid w:val="00A370E5"/>
    <w:rsid w:val="00A43B78"/>
    <w:rsid w:val="00A44D4A"/>
    <w:rsid w:val="00A509FF"/>
    <w:rsid w:val="00A51625"/>
    <w:rsid w:val="00A51BD4"/>
    <w:rsid w:val="00A51C3F"/>
    <w:rsid w:val="00A53360"/>
    <w:rsid w:val="00A539F7"/>
    <w:rsid w:val="00A5486D"/>
    <w:rsid w:val="00A55594"/>
    <w:rsid w:val="00A567E2"/>
    <w:rsid w:val="00A56F66"/>
    <w:rsid w:val="00A6129C"/>
    <w:rsid w:val="00A64EA7"/>
    <w:rsid w:val="00A66837"/>
    <w:rsid w:val="00A66F44"/>
    <w:rsid w:val="00A66F7F"/>
    <w:rsid w:val="00A70098"/>
    <w:rsid w:val="00A7181B"/>
    <w:rsid w:val="00A72787"/>
    <w:rsid w:val="00A72F22"/>
    <w:rsid w:val="00A7360F"/>
    <w:rsid w:val="00A748A6"/>
    <w:rsid w:val="00A74A5D"/>
    <w:rsid w:val="00A7621D"/>
    <w:rsid w:val="00A769F4"/>
    <w:rsid w:val="00A76B0F"/>
    <w:rsid w:val="00A776B4"/>
    <w:rsid w:val="00A83BED"/>
    <w:rsid w:val="00A83FFC"/>
    <w:rsid w:val="00A84559"/>
    <w:rsid w:val="00A87C30"/>
    <w:rsid w:val="00A90B8B"/>
    <w:rsid w:val="00A90F9F"/>
    <w:rsid w:val="00A933D3"/>
    <w:rsid w:val="00A9434B"/>
    <w:rsid w:val="00A94361"/>
    <w:rsid w:val="00A95A32"/>
    <w:rsid w:val="00A95C2E"/>
    <w:rsid w:val="00A97B46"/>
    <w:rsid w:val="00A97CDA"/>
    <w:rsid w:val="00AA083A"/>
    <w:rsid w:val="00AA0D06"/>
    <w:rsid w:val="00AA293C"/>
    <w:rsid w:val="00AA5714"/>
    <w:rsid w:val="00AA7D06"/>
    <w:rsid w:val="00AB1B74"/>
    <w:rsid w:val="00AB3ED5"/>
    <w:rsid w:val="00AB5729"/>
    <w:rsid w:val="00AB7440"/>
    <w:rsid w:val="00AC5823"/>
    <w:rsid w:val="00AC5B09"/>
    <w:rsid w:val="00AD1236"/>
    <w:rsid w:val="00AD2EFF"/>
    <w:rsid w:val="00AD6799"/>
    <w:rsid w:val="00AD7842"/>
    <w:rsid w:val="00AD7EE1"/>
    <w:rsid w:val="00AE16F0"/>
    <w:rsid w:val="00AE25D8"/>
    <w:rsid w:val="00AE2A3C"/>
    <w:rsid w:val="00AF0D2A"/>
    <w:rsid w:val="00AF102D"/>
    <w:rsid w:val="00AF1296"/>
    <w:rsid w:val="00AF260C"/>
    <w:rsid w:val="00AF32AA"/>
    <w:rsid w:val="00AF3EAE"/>
    <w:rsid w:val="00AF4B2C"/>
    <w:rsid w:val="00AF4CAD"/>
    <w:rsid w:val="00AF6F45"/>
    <w:rsid w:val="00AF7532"/>
    <w:rsid w:val="00B0282F"/>
    <w:rsid w:val="00B07909"/>
    <w:rsid w:val="00B07E22"/>
    <w:rsid w:val="00B11B30"/>
    <w:rsid w:val="00B123B2"/>
    <w:rsid w:val="00B12737"/>
    <w:rsid w:val="00B12BE7"/>
    <w:rsid w:val="00B174F7"/>
    <w:rsid w:val="00B24E1F"/>
    <w:rsid w:val="00B2530E"/>
    <w:rsid w:val="00B25F97"/>
    <w:rsid w:val="00B26FCC"/>
    <w:rsid w:val="00B30179"/>
    <w:rsid w:val="00B34CA7"/>
    <w:rsid w:val="00B34DEA"/>
    <w:rsid w:val="00B40607"/>
    <w:rsid w:val="00B4114A"/>
    <w:rsid w:val="00B421C1"/>
    <w:rsid w:val="00B44D51"/>
    <w:rsid w:val="00B457C7"/>
    <w:rsid w:val="00B47222"/>
    <w:rsid w:val="00B52701"/>
    <w:rsid w:val="00B53098"/>
    <w:rsid w:val="00B530EA"/>
    <w:rsid w:val="00B53C21"/>
    <w:rsid w:val="00B54D03"/>
    <w:rsid w:val="00B55208"/>
    <w:rsid w:val="00B5539D"/>
    <w:rsid w:val="00B55C71"/>
    <w:rsid w:val="00B56A6D"/>
    <w:rsid w:val="00B56E4A"/>
    <w:rsid w:val="00B56E9C"/>
    <w:rsid w:val="00B57291"/>
    <w:rsid w:val="00B575AC"/>
    <w:rsid w:val="00B57E52"/>
    <w:rsid w:val="00B64B1F"/>
    <w:rsid w:val="00B64BE6"/>
    <w:rsid w:val="00B6553F"/>
    <w:rsid w:val="00B67061"/>
    <w:rsid w:val="00B7012F"/>
    <w:rsid w:val="00B70CFE"/>
    <w:rsid w:val="00B72084"/>
    <w:rsid w:val="00B728A8"/>
    <w:rsid w:val="00B72966"/>
    <w:rsid w:val="00B72B6C"/>
    <w:rsid w:val="00B743BC"/>
    <w:rsid w:val="00B75899"/>
    <w:rsid w:val="00B76760"/>
    <w:rsid w:val="00B76BEA"/>
    <w:rsid w:val="00B77D05"/>
    <w:rsid w:val="00B802B3"/>
    <w:rsid w:val="00B805DC"/>
    <w:rsid w:val="00B80636"/>
    <w:rsid w:val="00B81070"/>
    <w:rsid w:val="00B81206"/>
    <w:rsid w:val="00B8152C"/>
    <w:rsid w:val="00B81E12"/>
    <w:rsid w:val="00B830A5"/>
    <w:rsid w:val="00B83910"/>
    <w:rsid w:val="00B8744E"/>
    <w:rsid w:val="00B9013D"/>
    <w:rsid w:val="00B91289"/>
    <w:rsid w:val="00B921D6"/>
    <w:rsid w:val="00B92D2F"/>
    <w:rsid w:val="00B96D46"/>
    <w:rsid w:val="00BA1E08"/>
    <w:rsid w:val="00BA2F4C"/>
    <w:rsid w:val="00BA36C4"/>
    <w:rsid w:val="00BA372C"/>
    <w:rsid w:val="00BA57C2"/>
    <w:rsid w:val="00BA726B"/>
    <w:rsid w:val="00BA7D69"/>
    <w:rsid w:val="00BB06ED"/>
    <w:rsid w:val="00BB0FAB"/>
    <w:rsid w:val="00BB2B0F"/>
    <w:rsid w:val="00BB35D8"/>
    <w:rsid w:val="00BB481C"/>
    <w:rsid w:val="00BB6B1D"/>
    <w:rsid w:val="00BB6C56"/>
    <w:rsid w:val="00BC31D4"/>
    <w:rsid w:val="00BC36B2"/>
    <w:rsid w:val="00BC3FA0"/>
    <w:rsid w:val="00BC49BF"/>
    <w:rsid w:val="00BC5B7C"/>
    <w:rsid w:val="00BC74E9"/>
    <w:rsid w:val="00BD0C5A"/>
    <w:rsid w:val="00BD0DEF"/>
    <w:rsid w:val="00BD3E77"/>
    <w:rsid w:val="00BD4C4E"/>
    <w:rsid w:val="00BD5DAC"/>
    <w:rsid w:val="00BD7245"/>
    <w:rsid w:val="00BD7DF6"/>
    <w:rsid w:val="00BE5C4A"/>
    <w:rsid w:val="00BE6341"/>
    <w:rsid w:val="00BF4AFF"/>
    <w:rsid w:val="00BF4D22"/>
    <w:rsid w:val="00BF4EC6"/>
    <w:rsid w:val="00BF4FBB"/>
    <w:rsid w:val="00BF52B3"/>
    <w:rsid w:val="00BF538C"/>
    <w:rsid w:val="00BF6208"/>
    <w:rsid w:val="00BF6370"/>
    <w:rsid w:val="00BF68A8"/>
    <w:rsid w:val="00C0151E"/>
    <w:rsid w:val="00C02A34"/>
    <w:rsid w:val="00C03005"/>
    <w:rsid w:val="00C03F4E"/>
    <w:rsid w:val="00C04C4A"/>
    <w:rsid w:val="00C0628C"/>
    <w:rsid w:val="00C11A03"/>
    <w:rsid w:val="00C11C9F"/>
    <w:rsid w:val="00C1318B"/>
    <w:rsid w:val="00C1420F"/>
    <w:rsid w:val="00C1470C"/>
    <w:rsid w:val="00C14AA6"/>
    <w:rsid w:val="00C159B4"/>
    <w:rsid w:val="00C165E7"/>
    <w:rsid w:val="00C16C6B"/>
    <w:rsid w:val="00C17010"/>
    <w:rsid w:val="00C17352"/>
    <w:rsid w:val="00C206FA"/>
    <w:rsid w:val="00C20E0F"/>
    <w:rsid w:val="00C2127B"/>
    <w:rsid w:val="00C228FE"/>
    <w:rsid w:val="00C22C0C"/>
    <w:rsid w:val="00C277C6"/>
    <w:rsid w:val="00C30181"/>
    <w:rsid w:val="00C3146E"/>
    <w:rsid w:val="00C3338B"/>
    <w:rsid w:val="00C33CBE"/>
    <w:rsid w:val="00C34736"/>
    <w:rsid w:val="00C34B10"/>
    <w:rsid w:val="00C3741F"/>
    <w:rsid w:val="00C40D9C"/>
    <w:rsid w:val="00C42F42"/>
    <w:rsid w:val="00C4527F"/>
    <w:rsid w:val="00C452C9"/>
    <w:rsid w:val="00C459B6"/>
    <w:rsid w:val="00C45D9D"/>
    <w:rsid w:val="00C463DD"/>
    <w:rsid w:val="00C4724C"/>
    <w:rsid w:val="00C50151"/>
    <w:rsid w:val="00C50239"/>
    <w:rsid w:val="00C5077E"/>
    <w:rsid w:val="00C50B2E"/>
    <w:rsid w:val="00C52453"/>
    <w:rsid w:val="00C52DC3"/>
    <w:rsid w:val="00C53616"/>
    <w:rsid w:val="00C5562E"/>
    <w:rsid w:val="00C55FF5"/>
    <w:rsid w:val="00C56FC6"/>
    <w:rsid w:val="00C60D55"/>
    <w:rsid w:val="00C61C0C"/>
    <w:rsid w:val="00C627E7"/>
    <w:rsid w:val="00C629A0"/>
    <w:rsid w:val="00C64629"/>
    <w:rsid w:val="00C64A45"/>
    <w:rsid w:val="00C64CB3"/>
    <w:rsid w:val="00C67D31"/>
    <w:rsid w:val="00C70139"/>
    <w:rsid w:val="00C7100A"/>
    <w:rsid w:val="00C72906"/>
    <w:rsid w:val="00C74157"/>
    <w:rsid w:val="00C745C3"/>
    <w:rsid w:val="00C7592E"/>
    <w:rsid w:val="00C75D61"/>
    <w:rsid w:val="00C76E29"/>
    <w:rsid w:val="00C818BF"/>
    <w:rsid w:val="00C82CCB"/>
    <w:rsid w:val="00C8661D"/>
    <w:rsid w:val="00C905A8"/>
    <w:rsid w:val="00C90AFA"/>
    <w:rsid w:val="00C91C84"/>
    <w:rsid w:val="00C944D7"/>
    <w:rsid w:val="00C94611"/>
    <w:rsid w:val="00C94667"/>
    <w:rsid w:val="00C9563B"/>
    <w:rsid w:val="00C9617F"/>
    <w:rsid w:val="00C96DF2"/>
    <w:rsid w:val="00C97374"/>
    <w:rsid w:val="00C973B2"/>
    <w:rsid w:val="00CA0D54"/>
    <w:rsid w:val="00CA0F2C"/>
    <w:rsid w:val="00CA1852"/>
    <w:rsid w:val="00CA3C0F"/>
    <w:rsid w:val="00CA52B2"/>
    <w:rsid w:val="00CB2786"/>
    <w:rsid w:val="00CB3B10"/>
    <w:rsid w:val="00CB3E03"/>
    <w:rsid w:val="00CB59EB"/>
    <w:rsid w:val="00CB65DA"/>
    <w:rsid w:val="00CB7D84"/>
    <w:rsid w:val="00CB7E97"/>
    <w:rsid w:val="00CC0FB6"/>
    <w:rsid w:val="00CC1072"/>
    <w:rsid w:val="00CC28BD"/>
    <w:rsid w:val="00CC5E16"/>
    <w:rsid w:val="00CD0EE4"/>
    <w:rsid w:val="00CD2B75"/>
    <w:rsid w:val="00CD490F"/>
    <w:rsid w:val="00CD4AA6"/>
    <w:rsid w:val="00CD5641"/>
    <w:rsid w:val="00CD67C2"/>
    <w:rsid w:val="00CE16CC"/>
    <w:rsid w:val="00CE2F5B"/>
    <w:rsid w:val="00CE4A8F"/>
    <w:rsid w:val="00CE581B"/>
    <w:rsid w:val="00CE5F4A"/>
    <w:rsid w:val="00CE622A"/>
    <w:rsid w:val="00CE72F0"/>
    <w:rsid w:val="00CE7364"/>
    <w:rsid w:val="00CE7D6C"/>
    <w:rsid w:val="00CF3200"/>
    <w:rsid w:val="00CF39A5"/>
    <w:rsid w:val="00CF41CD"/>
    <w:rsid w:val="00CF6B0A"/>
    <w:rsid w:val="00D020CD"/>
    <w:rsid w:val="00D03C6B"/>
    <w:rsid w:val="00D03D06"/>
    <w:rsid w:val="00D0439F"/>
    <w:rsid w:val="00D04951"/>
    <w:rsid w:val="00D0505A"/>
    <w:rsid w:val="00D05663"/>
    <w:rsid w:val="00D061FE"/>
    <w:rsid w:val="00D1082E"/>
    <w:rsid w:val="00D10E2C"/>
    <w:rsid w:val="00D114D3"/>
    <w:rsid w:val="00D11610"/>
    <w:rsid w:val="00D14394"/>
    <w:rsid w:val="00D174AA"/>
    <w:rsid w:val="00D2020F"/>
    <w:rsid w:val="00D2031B"/>
    <w:rsid w:val="00D20B99"/>
    <w:rsid w:val="00D20EE5"/>
    <w:rsid w:val="00D21E1A"/>
    <w:rsid w:val="00D248B6"/>
    <w:rsid w:val="00D24AFC"/>
    <w:rsid w:val="00D25FE2"/>
    <w:rsid w:val="00D26E07"/>
    <w:rsid w:val="00D27004"/>
    <w:rsid w:val="00D270CB"/>
    <w:rsid w:val="00D272A9"/>
    <w:rsid w:val="00D30EAF"/>
    <w:rsid w:val="00D31CBF"/>
    <w:rsid w:val="00D3338C"/>
    <w:rsid w:val="00D351B0"/>
    <w:rsid w:val="00D35F31"/>
    <w:rsid w:val="00D36643"/>
    <w:rsid w:val="00D3710D"/>
    <w:rsid w:val="00D3742E"/>
    <w:rsid w:val="00D401D9"/>
    <w:rsid w:val="00D4171B"/>
    <w:rsid w:val="00D418D8"/>
    <w:rsid w:val="00D42B28"/>
    <w:rsid w:val="00D42B92"/>
    <w:rsid w:val="00D42FF9"/>
    <w:rsid w:val="00D430BF"/>
    <w:rsid w:val="00D43252"/>
    <w:rsid w:val="00D45CC9"/>
    <w:rsid w:val="00D46407"/>
    <w:rsid w:val="00D46611"/>
    <w:rsid w:val="00D478F1"/>
    <w:rsid w:val="00D47EEA"/>
    <w:rsid w:val="00D514AD"/>
    <w:rsid w:val="00D531BE"/>
    <w:rsid w:val="00D54A3A"/>
    <w:rsid w:val="00D556AE"/>
    <w:rsid w:val="00D56030"/>
    <w:rsid w:val="00D60EE2"/>
    <w:rsid w:val="00D633A6"/>
    <w:rsid w:val="00D648E3"/>
    <w:rsid w:val="00D652A8"/>
    <w:rsid w:val="00D70CCC"/>
    <w:rsid w:val="00D70F4E"/>
    <w:rsid w:val="00D7298F"/>
    <w:rsid w:val="00D73DDB"/>
    <w:rsid w:val="00D7493F"/>
    <w:rsid w:val="00D75D92"/>
    <w:rsid w:val="00D76408"/>
    <w:rsid w:val="00D773DF"/>
    <w:rsid w:val="00D77717"/>
    <w:rsid w:val="00D77744"/>
    <w:rsid w:val="00D77A18"/>
    <w:rsid w:val="00D81D89"/>
    <w:rsid w:val="00D829D4"/>
    <w:rsid w:val="00D834A3"/>
    <w:rsid w:val="00D85165"/>
    <w:rsid w:val="00D93987"/>
    <w:rsid w:val="00D9503E"/>
    <w:rsid w:val="00D95303"/>
    <w:rsid w:val="00D96CE0"/>
    <w:rsid w:val="00D978C6"/>
    <w:rsid w:val="00DA143C"/>
    <w:rsid w:val="00DA2403"/>
    <w:rsid w:val="00DA2804"/>
    <w:rsid w:val="00DA3C1C"/>
    <w:rsid w:val="00DA4B8E"/>
    <w:rsid w:val="00DA5A85"/>
    <w:rsid w:val="00DA77C0"/>
    <w:rsid w:val="00DA7C9F"/>
    <w:rsid w:val="00DB0701"/>
    <w:rsid w:val="00DB0EC7"/>
    <w:rsid w:val="00DB2094"/>
    <w:rsid w:val="00DB2EC4"/>
    <w:rsid w:val="00DB3311"/>
    <w:rsid w:val="00DB4837"/>
    <w:rsid w:val="00DB7E31"/>
    <w:rsid w:val="00DC57B4"/>
    <w:rsid w:val="00DC6D39"/>
    <w:rsid w:val="00DD17E2"/>
    <w:rsid w:val="00DE40E9"/>
    <w:rsid w:val="00DE5756"/>
    <w:rsid w:val="00DE5EE2"/>
    <w:rsid w:val="00DE6573"/>
    <w:rsid w:val="00DF0F92"/>
    <w:rsid w:val="00DF1CBE"/>
    <w:rsid w:val="00DF2151"/>
    <w:rsid w:val="00DF2962"/>
    <w:rsid w:val="00DF36C0"/>
    <w:rsid w:val="00DF3E3A"/>
    <w:rsid w:val="00DF5A5B"/>
    <w:rsid w:val="00DF618D"/>
    <w:rsid w:val="00DF7001"/>
    <w:rsid w:val="00DF7DFE"/>
    <w:rsid w:val="00E03A50"/>
    <w:rsid w:val="00E0416D"/>
    <w:rsid w:val="00E046DF"/>
    <w:rsid w:val="00E0532C"/>
    <w:rsid w:val="00E07251"/>
    <w:rsid w:val="00E10A8F"/>
    <w:rsid w:val="00E12394"/>
    <w:rsid w:val="00E12CED"/>
    <w:rsid w:val="00E16520"/>
    <w:rsid w:val="00E16640"/>
    <w:rsid w:val="00E22B0C"/>
    <w:rsid w:val="00E25319"/>
    <w:rsid w:val="00E25A9C"/>
    <w:rsid w:val="00E25B71"/>
    <w:rsid w:val="00E2672F"/>
    <w:rsid w:val="00E26872"/>
    <w:rsid w:val="00E27346"/>
    <w:rsid w:val="00E2788A"/>
    <w:rsid w:val="00E27CFA"/>
    <w:rsid w:val="00E27D5F"/>
    <w:rsid w:val="00E30EC1"/>
    <w:rsid w:val="00E32F4E"/>
    <w:rsid w:val="00E33588"/>
    <w:rsid w:val="00E335D1"/>
    <w:rsid w:val="00E37F22"/>
    <w:rsid w:val="00E40A45"/>
    <w:rsid w:val="00E41BA6"/>
    <w:rsid w:val="00E426D9"/>
    <w:rsid w:val="00E429EF"/>
    <w:rsid w:val="00E44ECD"/>
    <w:rsid w:val="00E45B14"/>
    <w:rsid w:val="00E46953"/>
    <w:rsid w:val="00E47350"/>
    <w:rsid w:val="00E560CA"/>
    <w:rsid w:val="00E56A10"/>
    <w:rsid w:val="00E56A91"/>
    <w:rsid w:val="00E56A9E"/>
    <w:rsid w:val="00E60712"/>
    <w:rsid w:val="00E60B22"/>
    <w:rsid w:val="00E61B35"/>
    <w:rsid w:val="00E61E24"/>
    <w:rsid w:val="00E6402B"/>
    <w:rsid w:val="00E6609A"/>
    <w:rsid w:val="00E6620B"/>
    <w:rsid w:val="00E6676C"/>
    <w:rsid w:val="00E669CD"/>
    <w:rsid w:val="00E672F9"/>
    <w:rsid w:val="00E71BC8"/>
    <w:rsid w:val="00E72315"/>
    <w:rsid w:val="00E7260F"/>
    <w:rsid w:val="00E738FE"/>
    <w:rsid w:val="00E73F5D"/>
    <w:rsid w:val="00E74546"/>
    <w:rsid w:val="00E7683D"/>
    <w:rsid w:val="00E77E4E"/>
    <w:rsid w:val="00E80AB7"/>
    <w:rsid w:val="00E81046"/>
    <w:rsid w:val="00E82B5F"/>
    <w:rsid w:val="00E87F7C"/>
    <w:rsid w:val="00E90D97"/>
    <w:rsid w:val="00E91BC8"/>
    <w:rsid w:val="00E91C42"/>
    <w:rsid w:val="00E936FE"/>
    <w:rsid w:val="00E93FA6"/>
    <w:rsid w:val="00E940E2"/>
    <w:rsid w:val="00E96630"/>
    <w:rsid w:val="00E976C0"/>
    <w:rsid w:val="00E977C2"/>
    <w:rsid w:val="00EA0D2A"/>
    <w:rsid w:val="00EA1443"/>
    <w:rsid w:val="00EA14C0"/>
    <w:rsid w:val="00EA14C7"/>
    <w:rsid w:val="00EA1765"/>
    <w:rsid w:val="00EA1DC3"/>
    <w:rsid w:val="00EA2A77"/>
    <w:rsid w:val="00EA31DB"/>
    <w:rsid w:val="00EA3B29"/>
    <w:rsid w:val="00EA53DC"/>
    <w:rsid w:val="00EA5A06"/>
    <w:rsid w:val="00EA7542"/>
    <w:rsid w:val="00EB113F"/>
    <w:rsid w:val="00EB1C9F"/>
    <w:rsid w:val="00EB1F45"/>
    <w:rsid w:val="00EB2659"/>
    <w:rsid w:val="00EB383C"/>
    <w:rsid w:val="00EB3A6D"/>
    <w:rsid w:val="00EB7493"/>
    <w:rsid w:val="00EC1649"/>
    <w:rsid w:val="00EC2BB2"/>
    <w:rsid w:val="00EC36FF"/>
    <w:rsid w:val="00EC6158"/>
    <w:rsid w:val="00EC7408"/>
    <w:rsid w:val="00ED4C16"/>
    <w:rsid w:val="00ED7241"/>
    <w:rsid w:val="00ED7A2A"/>
    <w:rsid w:val="00ED7F3E"/>
    <w:rsid w:val="00EE029E"/>
    <w:rsid w:val="00EE16EE"/>
    <w:rsid w:val="00EE1DDB"/>
    <w:rsid w:val="00EE54C3"/>
    <w:rsid w:val="00EE55B6"/>
    <w:rsid w:val="00EE5C3C"/>
    <w:rsid w:val="00EE5D52"/>
    <w:rsid w:val="00EE6A8D"/>
    <w:rsid w:val="00EE7F70"/>
    <w:rsid w:val="00EF0848"/>
    <w:rsid w:val="00EF1D7F"/>
    <w:rsid w:val="00EF407C"/>
    <w:rsid w:val="00F0007E"/>
    <w:rsid w:val="00F01461"/>
    <w:rsid w:val="00F014EF"/>
    <w:rsid w:val="00F01B5B"/>
    <w:rsid w:val="00F03BB4"/>
    <w:rsid w:val="00F04438"/>
    <w:rsid w:val="00F07504"/>
    <w:rsid w:val="00F16C36"/>
    <w:rsid w:val="00F20389"/>
    <w:rsid w:val="00F211BC"/>
    <w:rsid w:val="00F21A2E"/>
    <w:rsid w:val="00F21AC2"/>
    <w:rsid w:val="00F22655"/>
    <w:rsid w:val="00F2330B"/>
    <w:rsid w:val="00F236AE"/>
    <w:rsid w:val="00F25563"/>
    <w:rsid w:val="00F25612"/>
    <w:rsid w:val="00F261CC"/>
    <w:rsid w:val="00F27BF4"/>
    <w:rsid w:val="00F3040D"/>
    <w:rsid w:val="00F3117A"/>
    <w:rsid w:val="00F31826"/>
    <w:rsid w:val="00F31E5F"/>
    <w:rsid w:val="00F32F82"/>
    <w:rsid w:val="00F361B9"/>
    <w:rsid w:val="00F3760E"/>
    <w:rsid w:val="00F40FAC"/>
    <w:rsid w:val="00F41321"/>
    <w:rsid w:val="00F42E73"/>
    <w:rsid w:val="00F43391"/>
    <w:rsid w:val="00F45E51"/>
    <w:rsid w:val="00F46155"/>
    <w:rsid w:val="00F4644F"/>
    <w:rsid w:val="00F56E27"/>
    <w:rsid w:val="00F5706A"/>
    <w:rsid w:val="00F573AA"/>
    <w:rsid w:val="00F57D67"/>
    <w:rsid w:val="00F60CD5"/>
    <w:rsid w:val="00F6100A"/>
    <w:rsid w:val="00F648DE"/>
    <w:rsid w:val="00F650B3"/>
    <w:rsid w:val="00F655DF"/>
    <w:rsid w:val="00F66207"/>
    <w:rsid w:val="00F66570"/>
    <w:rsid w:val="00F665FD"/>
    <w:rsid w:val="00F679DE"/>
    <w:rsid w:val="00F70163"/>
    <w:rsid w:val="00F70626"/>
    <w:rsid w:val="00F71803"/>
    <w:rsid w:val="00F7273B"/>
    <w:rsid w:val="00F7343E"/>
    <w:rsid w:val="00F74DEE"/>
    <w:rsid w:val="00F7575C"/>
    <w:rsid w:val="00F76D60"/>
    <w:rsid w:val="00F802DC"/>
    <w:rsid w:val="00F82112"/>
    <w:rsid w:val="00F83E15"/>
    <w:rsid w:val="00F83F5E"/>
    <w:rsid w:val="00F9008C"/>
    <w:rsid w:val="00F90175"/>
    <w:rsid w:val="00F90C8E"/>
    <w:rsid w:val="00F90F1F"/>
    <w:rsid w:val="00F93781"/>
    <w:rsid w:val="00F938AE"/>
    <w:rsid w:val="00F94019"/>
    <w:rsid w:val="00F9452E"/>
    <w:rsid w:val="00F96431"/>
    <w:rsid w:val="00F96537"/>
    <w:rsid w:val="00F966E4"/>
    <w:rsid w:val="00F97A28"/>
    <w:rsid w:val="00FA06A4"/>
    <w:rsid w:val="00FA0EC1"/>
    <w:rsid w:val="00FA1AC3"/>
    <w:rsid w:val="00FA2C2B"/>
    <w:rsid w:val="00FA2E13"/>
    <w:rsid w:val="00FA326D"/>
    <w:rsid w:val="00FA3678"/>
    <w:rsid w:val="00FA3E70"/>
    <w:rsid w:val="00FA62F9"/>
    <w:rsid w:val="00FA636C"/>
    <w:rsid w:val="00FA6B49"/>
    <w:rsid w:val="00FA6B59"/>
    <w:rsid w:val="00FB03A9"/>
    <w:rsid w:val="00FB32CA"/>
    <w:rsid w:val="00FB613B"/>
    <w:rsid w:val="00FB6CFF"/>
    <w:rsid w:val="00FC120C"/>
    <w:rsid w:val="00FC309D"/>
    <w:rsid w:val="00FC55A5"/>
    <w:rsid w:val="00FC59E3"/>
    <w:rsid w:val="00FC5F7D"/>
    <w:rsid w:val="00FC65C8"/>
    <w:rsid w:val="00FC68B7"/>
    <w:rsid w:val="00FC6F80"/>
    <w:rsid w:val="00FD281D"/>
    <w:rsid w:val="00FD29EB"/>
    <w:rsid w:val="00FD3D1C"/>
    <w:rsid w:val="00FD3F98"/>
    <w:rsid w:val="00FD4196"/>
    <w:rsid w:val="00FD66C4"/>
    <w:rsid w:val="00FD76C4"/>
    <w:rsid w:val="00FE106A"/>
    <w:rsid w:val="00FE1A0E"/>
    <w:rsid w:val="00FE4AAE"/>
    <w:rsid w:val="00FE5881"/>
    <w:rsid w:val="00FE646D"/>
    <w:rsid w:val="00FE71DB"/>
    <w:rsid w:val="00FE7450"/>
    <w:rsid w:val="00FF145D"/>
    <w:rsid w:val="00FF1CEB"/>
    <w:rsid w:val="00FF3A20"/>
    <w:rsid w:val="00FF3C22"/>
    <w:rsid w:val="00FF548D"/>
    <w:rsid w:val="00FF554E"/>
    <w:rsid w:val="00FF6015"/>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F60CD5"/>
    <w:rPr>
      <w:sz w:val="6"/>
    </w:rPr>
  </w:style>
  <w:style w:type="paragraph" w:styleId="CommentText">
    <w:name w:val="annotation text"/>
    <w:basedOn w:val="Normal"/>
    <w:link w:val="CommentTextChar"/>
    <w:semiHidden/>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semiHidden/>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semiHidden/>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F60CD5"/>
    <w:rPr>
      <w:sz w:val="6"/>
    </w:rPr>
  </w:style>
  <w:style w:type="paragraph" w:styleId="CommentText">
    <w:name w:val="annotation text"/>
    <w:basedOn w:val="Normal"/>
    <w:link w:val="CommentTextChar"/>
    <w:semiHidden/>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semiHidden/>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semiHidden/>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DD485-A31C-47DC-92E3-EDE9BBB28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3</Pages>
  <Words>594</Words>
  <Characters>3388</Characters>
  <Application>Microsoft Office Word</Application>
  <DocSecurity>4</DocSecurity>
  <Lines>28</Lines>
  <Paragraphs>7</Paragraphs>
  <ScaleCrop>false</ScaleCrop>
  <HeadingPairs>
    <vt:vector size="10" baseType="variant">
      <vt:variant>
        <vt:lpstr>Title</vt:lpstr>
      </vt:variant>
      <vt:variant>
        <vt:i4>1</vt:i4>
      </vt:variant>
      <vt:variant>
        <vt:lpstr>Название</vt:lpstr>
      </vt:variant>
      <vt:variant>
        <vt:i4>1</vt:i4>
      </vt:variant>
      <vt:variant>
        <vt:lpstr>Titre</vt:lpstr>
      </vt:variant>
      <vt:variant>
        <vt:i4>1</vt:i4>
      </vt:variant>
      <vt:variant>
        <vt:lpstr>Titel</vt:lpstr>
      </vt:variant>
      <vt:variant>
        <vt:i4>1</vt:i4>
      </vt:variant>
      <vt:variant>
        <vt:lpstr>Título</vt:lpstr>
      </vt:variant>
      <vt:variant>
        <vt:i4>1</vt:i4>
      </vt:variant>
    </vt:vector>
  </HeadingPairs>
  <TitlesOfParts>
    <vt:vector size="5" baseType="lpstr">
      <vt:lpstr>United Nations</vt:lpstr>
      <vt:lpstr>United Nations</vt:lpstr>
      <vt:lpstr>United Nations</vt:lpstr>
      <vt:lpstr>United Nations</vt:lpstr>
      <vt:lpstr>United Nations</vt:lpstr>
    </vt:vector>
  </TitlesOfParts>
  <Company>UNECE Transport Division</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oica</dc:creator>
  <cp:lastModifiedBy>Benedicte Boudol</cp:lastModifiedBy>
  <cp:revision>2</cp:revision>
  <cp:lastPrinted>2015-12-01T07:21:00Z</cp:lastPrinted>
  <dcterms:created xsi:type="dcterms:W3CDTF">2015-12-01T13:15:00Z</dcterms:created>
  <dcterms:modified xsi:type="dcterms:W3CDTF">2015-12-01T13:15:00Z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